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pStyle w:val="30"/>
        <w:jc w:val="center"/>
        <w:rPr>
          <w:rFonts w:hint="eastAsia" w:ascii="黑体" w:hAnsi="宋体" w:eastAsia="黑体"/>
          <w:b/>
          <w:color w:val="auto"/>
          <w:sz w:val="48"/>
          <w:szCs w:val="48"/>
          <w:lang w:val="en-US" w:eastAsia="zh-CN"/>
        </w:rPr>
      </w:pPr>
      <w:r>
        <w:rPr>
          <w:rFonts w:hint="eastAsia" w:ascii="黑体" w:hAnsi="宋体" w:eastAsia="黑体"/>
          <w:b/>
          <w:color w:val="auto"/>
          <w:sz w:val="48"/>
          <w:szCs w:val="48"/>
          <w:lang w:eastAsia="zh-CN"/>
        </w:rPr>
        <w:t>2021年新疆维吾尔自治区伊宁卫生学校医疗设备采购项目二标段二次</w:t>
      </w:r>
    </w:p>
    <w:p>
      <w:pPr>
        <w:pStyle w:val="30"/>
        <w:rPr>
          <w:rFonts w:ascii="宋体" w:hAnsi="宋体"/>
          <w:color w:val="auto"/>
          <w:sz w:val="32"/>
        </w:rPr>
      </w:pPr>
    </w:p>
    <w:p>
      <w:pPr>
        <w:pStyle w:val="30"/>
        <w:rPr>
          <w:rFonts w:ascii="宋体" w:hAnsi="宋体"/>
          <w:color w:val="auto"/>
          <w:sz w:val="32"/>
        </w:rPr>
      </w:pPr>
    </w:p>
    <w:p>
      <w:pPr>
        <w:pStyle w:val="30"/>
        <w:rPr>
          <w:rFonts w:ascii="宋体" w:hAnsi="宋体"/>
          <w:color w:val="auto"/>
          <w:sz w:val="32"/>
        </w:rPr>
      </w:pPr>
    </w:p>
    <w:p>
      <w:pPr>
        <w:pStyle w:val="30"/>
        <w:rPr>
          <w:rFonts w:ascii="宋体" w:hAnsi="宋体"/>
          <w:color w:val="auto"/>
          <w:sz w:val="32"/>
        </w:rPr>
      </w:pPr>
    </w:p>
    <w:p>
      <w:pPr>
        <w:pStyle w:val="30"/>
        <w:rPr>
          <w:rFonts w:ascii="宋体" w:hAnsi="宋体"/>
          <w:color w:val="auto"/>
          <w:sz w:val="32"/>
        </w:rPr>
      </w:pPr>
    </w:p>
    <w:p>
      <w:pPr>
        <w:pStyle w:val="30"/>
        <w:jc w:val="center"/>
        <w:rPr>
          <w:rFonts w:ascii="黑体" w:hAnsi="华文中宋" w:eastAsia="黑体"/>
          <w:color w:val="auto"/>
          <w:sz w:val="96"/>
        </w:rPr>
      </w:pPr>
      <w:r>
        <w:rPr>
          <w:rFonts w:hint="eastAsia" w:ascii="黑体" w:hAnsi="华文中宋" w:eastAsia="黑体"/>
          <w:color w:val="auto"/>
          <w:sz w:val="96"/>
          <w:szCs w:val="112"/>
        </w:rPr>
        <w:t>公开</w:t>
      </w:r>
      <w:r>
        <w:rPr>
          <w:rFonts w:hint="eastAsia" w:ascii="黑体" w:hAnsi="华文中宋" w:eastAsia="黑体"/>
          <w:color w:val="auto"/>
          <w:sz w:val="96"/>
          <w:szCs w:val="112"/>
          <w:lang w:eastAsia="zh-CN"/>
        </w:rPr>
        <w:t>采购</w:t>
      </w:r>
      <w:r>
        <w:rPr>
          <w:rFonts w:hint="eastAsia" w:ascii="黑体" w:hAnsi="华文中宋" w:eastAsia="黑体"/>
          <w:color w:val="auto"/>
          <w:sz w:val="96"/>
          <w:szCs w:val="112"/>
        </w:rPr>
        <w:t>文件</w:t>
      </w:r>
    </w:p>
    <w:p>
      <w:pPr>
        <w:pStyle w:val="30"/>
        <w:ind w:firstLine="1920" w:firstLineChars="600"/>
        <w:rPr>
          <w:rFonts w:ascii="黑体" w:hAnsi="宋体" w:eastAsia="黑体"/>
          <w:color w:val="auto"/>
          <w:sz w:val="32"/>
        </w:rPr>
      </w:pPr>
    </w:p>
    <w:p>
      <w:pPr>
        <w:pStyle w:val="30"/>
        <w:ind w:firstLine="1920" w:firstLineChars="600"/>
        <w:rPr>
          <w:rFonts w:ascii="黑体" w:hAnsi="宋体" w:eastAsia="黑体"/>
          <w:color w:val="auto"/>
          <w:sz w:val="32"/>
        </w:rPr>
      </w:pPr>
    </w:p>
    <w:p>
      <w:pPr>
        <w:pStyle w:val="30"/>
        <w:ind w:firstLine="1920" w:firstLineChars="600"/>
        <w:rPr>
          <w:rFonts w:ascii="黑体" w:hAnsi="宋体" w:eastAsia="黑体"/>
          <w:color w:val="auto"/>
          <w:sz w:val="32"/>
        </w:rPr>
      </w:pPr>
    </w:p>
    <w:p>
      <w:pPr>
        <w:pStyle w:val="2"/>
        <w:ind w:left="0"/>
        <w:rPr>
          <w:b/>
          <w:sz w:val="84"/>
        </w:rPr>
      </w:pPr>
    </w:p>
    <w:p>
      <w:pPr>
        <w:pStyle w:val="2"/>
        <w:ind w:left="0"/>
        <w:rPr>
          <w:b/>
          <w:sz w:val="84"/>
        </w:rPr>
      </w:pPr>
    </w:p>
    <w:p>
      <w:pPr>
        <w:pStyle w:val="2"/>
        <w:spacing w:before="10"/>
        <w:ind w:left="0"/>
        <w:rPr>
          <w:b/>
          <w:sz w:val="86"/>
        </w:rPr>
      </w:pPr>
    </w:p>
    <w:p>
      <w:pPr>
        <w:spacing w:before="1" w:line="360" w:lineRule="auto"/>
        <w:ind w:firstLine="643" w:firstLineChars="200"/>
        <w:rPr>
          <w:rFonts w:hint="eastAsia"/>
          <w:b/>
          <w:color w:val="auto"/>
          <w:sz w:val="32"/>
          <w:szCs w:val="32"/>
          <w:lang w:val="en-US" w:eastAsia="zh-CN"/>
        </w:rPr>
      </w:pPr>
    </w:p>
    <w:p>
      <w:pPr>
        <w:spacing w:before="1" w:line="360" w:lineRule="auto"/>
        <w:ind w:firstLine="643" w:firstLineChars="200"/>
        <w:rPr>
          <w:rFonts w:hint="eastAsia"/>
          <w:b/>
          <w:color w:val="auto"/>
          <w:sz w:val="32"/>
          <w:szCs w:val="32"/>
          <w:lang w:val="en-US" w:eastAsia="zh-CN"/>
        </w:rPr>
      </w:pPr>
    </w:p>
    <w:p>
      <w:pPr>
        <w:spacing w:before="1" w:line="360" w:lineRule="auto"/>
        <w:ind w:firstLine="643" w:firstLineChars="200"/>
        <w:rPr>
          <w:rFonts w:hint="default"/>
          <w:b/>
          <w:color w:val="auto"/>
          <w:sz w:val="32"/>
          <w:szCs w:val="32"/>
          <w:lang w:val="en-US" w:eastAsia="zh-CN"/>
        </w:rPr>
      </w:pPr>
      <w:r>
        <w:rPr>
          <w:rFonts w:hint="eastAsia"/>
          <w:b/>
          <w:color w:val="auto"/>
          <w:sz w:val="32"/>
          <w:szCs w:val="32"/>
          <w:lang w:val="en-US" w:eastAsia="zh-CN"/>
        </w:rPr>
        <w:t>文件编号：FZYL202166-2</w:t>
      </w:r>
    </w:p>
    <w:p>
      <w:pPr>
        <w:spacing w:before="1" w:line="360" w:lineRule="auto"/>
        <w:ind w:firstLine="643" w:firstLineChars="200"/>
        <w:rPr>
          <w:rFonts w:hint="eastAsia"/>
          <w:b/>
          <w:color w:val="auto"/>
          <w:sz w:val="32"/>
          <w:szCs w:val="32"/>
          <w:lang w:val="en-US" w:eastAsia="zh-CN"/>
        </w:rPr>
      </w:pPr>
      <w:r>
        <w:rPr>
          <w:rFonts w:hint="eastAsia"/>
          <w:b/>
          <w:color w:val="auto"/>
          <w:sz w:val="32"/>
          <w:szCs w:val="32"/>
          <w:lang w:val="en-US" w:eastAsia="zh-CN"/>
        </w:rPr>
        <w:t>采购人：新疆维吾尔自治区伊宁卫生学校</w:t>
      </w:r>
    </w:p>
    <w:p>
      <w:pPr>
        <w:spacing w:before="1" w:line="360" w:lineRule="auto"/>
        <w:ind w:firstLine="643" w:firstLineChars="200"/>
        <w:rPr>
          <w:rFonts w:hint="eastAsia"/>
          <w:b/>
          <w:color w:val="auto"/>
          <w:sz w:val="32"/>
          <w:szCs w:val="32"/>
          <w:lang w:val="en-US" w:eastAsia="zh-CN"/>
        </w:rPr>
      </w:pPr>
      <w:r>
        <w:rPr>
          <w:rFonts w:hint="eastAsia"/>
          <w:b/>
          <w:color w:val="auto"/>
          <w:sz w:val="32"/>
          <w:szCs w:val="32"/>
          <w:lang w:val="en-US" w:eastAsia="zh-CN"/>
        </w:rPr>
        <w:t>采购代理机构：法正项目管理集团有限公司</w:t>
      </w:r>
    </w:p>
    <w:p>
      <w:pPr>
        <w:spacing w:before="1" w:line="360" w:lineRule="auto"/>
        <w:ind w:firstLine="643" w:firstLineChars="200"/>
        <w:rPr>
          <w:rFonts w:hint="eastAsia"/>
          <w:b/>
          <w:color w:val="auto"/>
          <w:sz w:val="32"/>
          <w:szCs w:val="32"/>
          <w:lang w:val="en-US" w:eastAsia="zh-CN"/>
        </w:rPr>
      </w:pPr>
      <w:r>
        <w:rPr>
          <w:rFonts w:hint="eastAsia"/>
          <w:b/>
          <w:color w:val="auto"/>
          <w:sz w:val="32"/>
          <w:szCs w:val="32"/>
          <w:lang w:val="en-US" w:eastAsia="zh-CN"/>
        </w:rPr>
        <w:t>编制日期：2022年7月29日</w:t>
      </w:r>
    </w:p>
    <w:p>
      <w:pPr>
        <w:pStyle w:val="5"/>
        <w:rPr>
          <w:sz w:val="36"/>
          <w:highlight w:val="yellow"/>
        </w:rPr>
      </w:pPr>
    </w:p>
    <w:p>
      <w:pPr>
        <w:rPr>
          <w:highlight w:val="yellow"/>
        </w:rPr>
      </w:pPr>
    </w:p>
    <w:p>
      <w:pPr>
        <w:tabs>
          <w:tab w:val="left" w:pos="1267"/>
        </w:tabs>
        <w:spacing w:before="37"/>
        <w:ind w:right="18"/>
        <w:jc w:val="both"/>
        <w:rPr>
          <w:b/>
          <w:sz w:val="36"/>
          <w:highlight w:val="yellow"/>
        </w:rPr>
      </w:pPr>
    </w:p>
    <w:p>
      <w:pPr>
        <w:pStyle w:val="5"/>
        <w:rPr>
          <w:highlight w:val="yellow"/>
        </w:rPr>
      </w:pPr>
    </w:p>
    <w:p>
      <w:pPr>
        <w:tabs>
          <w:tab w:val="left" w:pos="1267"/>
        </w:tabs>
        <w:spacing w:before="37"/>
        <w:ind w:right="18"/>
        <w:jc w:val="center"/>
        <w:rPr>
          <w:b/>
          <w:sz w:val="36"/>
        </w:rPr>
      </w:pPr>
      <w:r>
        <w:rPr>
          <w:b/>
          <w:sz w:val="36"/>
        </w:rPr>
        <w:t>目</w:t>
      </w:r>
      <w:r>
        <w:rPr>
          <w:b/>
          <w:sz w:val="36"/>
        </w:rPr>
        <w:tab/>
      </w:r>
      <w:r>
        <w:rPr>
          <w:b/>
          <w:sz w:val="36"/>
        </w:rPr>
        <w:t>录</w:t>
      </w:r>
    </w:p>
    <w:p>
      <w:pPr>
        <w:pStyle w:val="14"/>
        <w:tabs>
          <w:tab w:val="right" w:leader="dot" w:pos="9998"/>
        </w:tabs>
        <w:spacing w:before="250"/>
        <w:rPr>
          <w:rFonts w:ascii="Times New Roman" w:eastAsia="Times New Roman"/>
        </w:rPr>
      </w:pPr>
      <w:r>
        <w:fldChar w:fldCharType="begin"/>
      </w:r>
      <w:r>
        <w:instrText xml:space="preserve"> HYPERLINK \l "_bookmark0" </w:instrText>
      </w:r>
      <w:r>
        <w:fldChar w:fldCharType="separate"/>
      </w:r>
      <w:r>
        <w:t>第一</w:t>
      </w:r>
      <w:r>
        <w:rPr>
          <w:spacing w:val="-3"/>
        </w:rPr>
        <w:t>部</w:t>
      </w:r>
      <w:r>
        <w:t>分</w:t>
      </w:r>
      <w:r>
        <w:rPr>
          <w:rFonts w:hint="eastAsia"/>
          <w:lang w:eastAsia="zh-CN"/>
        </w:rPr>
        <w:t>采购</w:t>
      </w:r>
      <w:r>
        <w:rPr>
          <w:rFonts w:hint="eastAsia"/>
        </w:rPr>
        <w:t>公告</w:t>
      </w:r>
      <w:r>
        <w:tab/>
      </w:r>
      <w:r>
        <w:rPr>
          <w:rFonts w:hint="eastAsia" w:ascii="Times New Roman"/>
          <w:lang w:val="en-US"/>
        </w:rPr>
        <w:t>4</w:t>
      </w:r>
      <w:r>
        <w:rPr>
          <w:rFonts w:hint="eastAsia" w:ascii="Times New Roman"/>
          <w:lang w:val="en-US"/>
        </w:rPr>
        <w:fldChar w:fldCharType="end"/>
      </w:r>
    </w:p>
    <w:p>
      <w:pPr>
        <w:pStyle w:val="14"/>
        <w:tabs>
          <w:tab w:val="left" w:pos="1309"/>
          <w:tab w:val="right" w:leader="dot" w:pos="9998"/>
        </w:tabs>
        <w:rPr>
          <w:rFonts w:ascii="Times New Roman" w:eastAsia="Times New Roman"/>
        </w:rPr>
      </w:pPr>
      <w:r>
        <w:fldChar w:fldCharType="begin"/>
      </w:r>
      <w:r>
        <w:instrText xml:space="preserve"> HYPERLINK \l "_bookmark1" </w:instrText>
      </w:r>
      <w:r>
        <w:fldChar w:fldCharType="separate"/>
      </w:r>
      <w:r>
        <w:t>第二</w:t>
      </w:r>
      <w:r>
        <w:rPr>
          <w:spacing w:val="-3"/>
        </w:rPr>
        <w:t>部</w:t>
      </w:r>
      <w:r>
        <w:t>分</w:t>
      </w:r>
      <w:r>
        <w:tab/>
      </w:r>
      <w:r>
        <w:t>供应商</w:t>
      </w:r>
      <w:r>
        <w:rPr>
          <w:spacing w:val="-3"/>
        </w:rPr>
        <w:t>须知</w:t>
      </w:r>
      <w:r>
        <w:rPr>
          <w:spacing w:val="-3"/>
        </w:rPr>
        <w:tab/>
      </w:r>
      <w:r>
        <w:rPr>
          <w:rFonts w:hint="eastAsia" w:ascii="Times New Roman"/>
          <w:lang w:val="en-US"/>
        </w:rPr>
        <w:t>5</w:t>
      </w:r>
      <w:r>
        <w:rPr>
          <w:rFonts w:hint="eastAsia" w:ascii="Times New Roman"/>
          <w:lang w:val="en-US"/>
        </w:rPr>
        <w:fldChar w:fldCharType="end"/>
      </w:r>
    </w:p>
    <w:p>
      <w:pPr>
        <w:pStyle w:val="16"/>
        <w:numPr>
          <w:ilvl w:val="0"/>
          <w:numId w:val="1"/>
        </w:numPr>
        <w:tabs>
          <w:tab w:val="left" w:pos="1031"/>
          <w:tab w:val="right" w:leader="dot" w:pos="9998"/>
        </w:tabs>
        <w:spacing w:before="142"/>
        <w:ind w:hanging="350"/>
        <w:rPr>
          <w:rFonts w:ascii="Times New Roman" w:eastAsia="Times New Roman"/>
        </w:rPr>
      </w:pPr>
      <w:r>
        <w:fldChar w:fldCharType="begin"/>
      </w:r>
      <w:r>
        <w:instrText xml:space="preserve"> HYPERLINK \l "_bookmark2" </w:instrText>
      </w:r>
      <w:r>
        <w:fldChar w:fldCharType="separate"/>
      </w:r>
      <w:r>
        <w:t>说明</w:t>
      </w:r>
      <w:r>
        <w:tab/>
      </w:r>
      <w:r>
        <w:rPr>
          <w:rFonts w:hint="eastAsia" w:ascii="Times New Roman"/>
          <w:lang w:val="en-US"/>
        </w:rPr>
        <w:t>1</w:t>
      </w:r>
      <w:r>
        <w:rPr>
          <w:rFonts w:hint="eastAsia" w:ascii="Times New Roman"/>
          <w:lang w:val="en-US"/>
        </w:rPr>
        <w:fldChar w:fldCharType="end"/>
      </w:r>
      <w:r>
        <w:rPr>
          <w:rFonts w:hint="eastAsia" w:ascii="Times New Roman"/>
          <w:lang w:val="en-US"/>
        </w:rPr>
        <w:t>1</w:t>
      </w:r>
    </w:p>
    <w:p>
      <w:pPr>
        <w:pStyle w:val="16"/>
        <w:numPr>
          <w:ilvl w:val="0"/>
          <w:numId w:val="1"/>
        </w:numPr>
        <w:tabs>
          <w:tab w:val="left" w:pos="1030"/>
          <w:tab w:val="left" w:pos="1031"/>
          <w:tab w:val="right" w:leader="dot" w:pos="9998"/>
        </w:tabs>
        <w:spacing w:before="138"/>
        <w:ind w:hanging="350"/>
        <w:rPr>
          <w:rFonts w:ascii="Times New Roman" w:eastAsia="Times New Roman"/>
        </w:rPr>
      </w:pPr>
      <w:r>
        <w:fldChar w:fldCharType="begin"/>
      </w:r>
      <w:r>
        <w:instrText xml:space="preserve"> HYPERLINK \l "_bookmark3" </w:instrText>
      </w:r>
      <w:r>
        <w:fldChar w:fldCharType="separate"/>
      </w:r>
      <w:r>
        <w:t>采</w:t>
      </w:r>
      <w:r>
        <w:rPr>
          <w:spacing w:val="-3"/>
        </w:rPr>
        <w:t>购</w:t>
      </w:r>
      <w:r>
        <w:t>文件</w:t>
      </w:r>
      <w:r>
        <w:tab/>
      </w:r>
      <w:r>
        <w:rPr>
          <w:rFonts w:hint="eastAsia" w:ascii="Times New Roman"/>
          <w:lang w:val="en-US"/>
        </w:rPr>
        <w:t>1</w:t>
      </w:r>
      <w:r>
        <w:rPr>
          <w:rFonts w:hint="eastAsia" w:ascii="Times New Roman"/>
          <w:lang w:val="en-US"/>
        </w:rPr>
        <w:fldChar w:fldCharType="end"/>
      </w:r>
      <w:r>
        <w:rPr>
          <w:rFonts w:hint="eastAsia" w:ascii="Times New Roman"/>
          <w:lang w:val="en-US"/>
        </w:rPr>
        <w:t>1</w:t>
      </w:r>
    </w:p>
    <w:p>
      <w:pPr>
        <w:pStyle w:val="16"/>
        <w:numPr>
          <w:ilvl w:val="0"/>
          <w:numId w:val="1"/>
        </w:numPr>
        <w:tabs>
          <w:tab w:val="left" w:pos="1030"/>
          <w:tab w:val="left" w:pos="1031"/>
          <w:tab w:val="right" w:leader="dot" w:pos="9993"/>
        </w:tabs>
        <w:ind w:hanging="350"/>
        <w:rPr>
          <w:rFonts w:ascii="Times New Roman" w:eastAsia="Times New Roman"/>
        </w:rPr>
      </w:pPr>
      <w:r>
        <w:fldChar w:fldCharType="begin"/>
      </w:r>
      <w:r>
        <w:instrText xml:space="preserve"> HYPERLINK \l "_bookmark4" </w:instrText>
      </w:r>
      <w:r>
        <w:fldChar w:fldCharType="separate"/>
      </w:r>
      <w:r>
        <w:t>投</w:t>
      </w:r>
      <w:r>
        <w:rPr>
          <w:spacing w:val="-3"/>
        </w:rPr>
        <w:t>标</w:t>
      </w:r>
      <w:r>
        <w:t>文</w:t>
      </w:r>
      <w:r>
        <w:rPr>
          <w:spacing w:val="-3"/>
        </w:rPr>
        <w:t>件</w:t>
      </w:r>
      <w:r>
        <w:t>的</w:t>
      </w:r>
      <w:r>
        <w:rPr>
          <w:spacing w:val="-3"/>
        </w:rPr>
        <w:t>编</w:t>
      </w:r>
      <w:r>
        <w:t>写</w:t>
      </w:r>
      <w:r>
        <w:tab/>
      </w:r>
      <w:r>
        <w:rPr>
          <w:rFonts w:hint="eastAsia" w:ascii="Times New Roman"/>
          <w:spacing w:val="-8"/>
          <w:lang w:val="en-US"/>
        </w:rPr>
        <w:t>1</w:t>
      </w:r>
      <w:r>
        <w:rPr>
          <w:rFonts w:hint="eastAsia" w:ascii="Times New Roman"/>
          <w:spacing w:val="-8"/>
          <w:lang w:val="en-US"/>
        </w:rPr>
        <w:fldChar w:fldCharType="end"/>
      </w:r>
      <w:r>
        <w:rPr>
          <w:rFonts w:hint="eastAsia" w:ascii="Times New Roman"/>
          <w:spacing w:val="-8"/>
          <w:lang w:val="en-US"/>
        </w:rPr>
        <w:t>2</w:t>
      </w:r>
    </w:p>
    <w:p>
      <w:pPr>
        <w:pStyle w:val="16"/>
        <w:numPr>
          <w:ilvl w:val="0"/>
          <w:numId w:val="1"/>
        </w:numPr>
        <w:tabs>
          <w:tab w:val="left" w:pos="1042"/>
          <w:tab w:val="left" w:pos="1043"/>
          <w:tab w:val="right" w:leader="dot" w:pos="9998"/>
        </w:tabs>
        <w:spacing w:before="142"/>
        <w:ind w:left="1042" w:hanging="362"/>
        <w:rPr>
          <w:rFonts w:ascii="Times New Roman" w:eastAsia="Times New Roman"/>
        </w:rPr>
      </w:pPr>
      <w:r>
        <w:fldChar w:fldCharType="begin"/>
      </w:r>
      <w:r>
        <w:instrText xml:space="preserve"> HYPERLINK \l "_bookmark5" </w:instrText>
      </w:r>
      <w:r>
        <w:fldChar w:fldCharType="separate"/>
      </w:r>
      <w:r>
        <w:t>投</w:t>
      </w:r>
      <w:r>
        <w:rPr>
          <w:spacing w:val="-3"/>
        </w:rPr>
        <w:t>标</w:t>
      </w:r>
      <w:r>
        <w:t>文</w:t>
      </w:r>
      <w:r>
        <w:rPr>
          <w:spacing w:val="-3"/>
        </w:rPr>
        <w:t>件</w:t>
      </w:r>
      <w:r>
        <w:t>的</w:t>
      </w:r>
      <w:r>
        <w:rPr>
          <w:spacing w:val="-3"/>
        </w:rPr>
        <w:t>递</w:t>
      </w:r>
      <w:r>
        <w:t>交</w:t>
      </w:r>
      <w:r>
        <w:tab/>
      </w:r>
      <w:r>
        <w:rPr>
          <w:rFonts w:hint="eastAsia" w:ascii="Times New Roman"/>
          <w:lang w:val="en-US"/>
        </w:rPr>
        <w:t>1</w:t>
      </w:r>
      <w:r>
        <w:rPr>
          <w:rFonts w:hint="eastAsia" w:ascii="Times New Roman"/>
          <w:lang w:val="en-US"/>
        </w:rPr>
        <w:fldChar w:fldCharType="end"/>
      </w:r>
      <w:r>
        <w:rPr>
          <w:rFonts w:hint="eastAsia" w:ascii="Times New Roman"/>
          <w:lang w:val="en-US"/>
        </w:rPr>
        <w:t>5</w:t>
      </w:r>
    </w:p>
    <w:p>
      <w:pPr>
        <w:pStyle w:val="16"/>
        <w:numPr>
          <w:ilvl w:val="0"/>
          <w:numId w:val="1"/>
        </w:numPr>
        <w:tabs>
          <w:tab w:val="left" w:pos="1018"/>
          <w:tab w:val="left" w:pos="1019"/>
          <w:tab w:val="right" w:leader="dot" w:pos="9998"/>
        </w:tabs>
        <w:ind w:left="1018" w:hanging="338"/>
        <w:rPr>
          <w:rFonts w:ascii="Times New Roman" w:eastAsia="Times New Roman"/>
        </w:rPr>
      </w:pPr>
      <w:r>
        <w:fldChar w:fldCharType="begin"/>
      </w:r>
      <w:r>
        <w:instrText xml:space="preserve"> HYPERLINK \l "_bookmark6" </w:instrText>
      </w:r>
      <w:r>
        <w:fldChar w:fldCharType="separate"/>
      </w:r>
      <w:r>
        <w:t>评</w:t>
      </w:r>
      <w:r>
        <w:rPr>
          <w:spacing w:val="-3"/>
        </w:rPr>
        <w:t>标</w:t>
      </w:r>
      <w:r>
        <w:t>程序</w:t>
      </w:r>
      <w:r>
        <w:tab/>
      </w:r>
      <w:r>
        <w:rPr>
          <w:rFonts w:hint="eastAsia" w:ascii="Times New Roman"/>
          <w:lang w:val="en-US"/>
        </w:rPr>
        <w:t>1</w:t>
      </w:r>
      <w:r>
        <w:rPr>
          <w:rFonts w:hint="eastAsia" w:ascii="Times New Roman"/>
          <w:lang w:val="en-US"/>
        </w:rPr>
        <w:fldChar w:fldCharType="end"/>
      </w:r>
      <w:r>
        <w:rPr>
          <w:rFonts w:hint="eastAsia" w:ascii="Times New Roman"/>
          <w:lang w:val="en-US"/>
        </w:rPr>
        <w:t>6</w:t>
      </w:r>
    </w:p>
    <w:p>
      <w:pPr>
        <w:pStyle w:val="16"/>
        <w:numPr>
          <w:ilvl w:val="0"/>
          <w:numId w:val="1"/>
        </w:numPr>
        <w:tabs>
          <w:tab w:val="left" w:pos="1004"/>
          <w:tab w:val="left" w:pos="1005"/>
          <w:tab w:val="right" w:leader="dot" w:pos="9998"/>
        </w:tabs>
        <w:spacing w:before="141"/>
        <w:ind w:left="1004" w:hanging="324"/>
        <w:rPr>
          <w:rFonts w:ascii="Times New Roman" w:eastAsia="Times New Roman"/>
        </w:rPr>
      </w:pPr>
      <w:r>
        <w:fldChar w:fldCharType="begin"/>
      </w:r>
      <w:r>
        <w:instrText xml:space="preserve"> HYPERLINK \l "_bookmark7" </w:instrText>
      </w:r>
      <w:r>
        <w:fldChar w:fldCharType="separate"/>
      </w:r>
      <w:r>
        <w:t>授予合同</w:t>
      </w:r>
      <w:r>
        <w:tab/>
      </w:r>
      <w:r>
        <w:rPr>
          <w:rFonts w:hint="eastAsia" w:ascii="Times New Roman"/>
          <w:lang w:val="en-US"/>
        </w:rPr>
        <w:t>2</w:t>
      </w:r>
      <w:r>
        <w:rPr>
          <w:rFonts w:hint="eastAsia" w:ascii="Times New Roman"/>
          <w:lang w:val="en-US"/>
        </w:rPr>
        <w:fldChar w:fldCharType="end"/>
      </w:r>
      <w:r>
        <w:rPr>
          <w:rFonts w:hint="eastAsia" w:ascii="Times New Roman"/>
          <w:lang w:val="en-US"/>
        </w:rPr>
        <w:t>0</w:t>
      </w:r>
    </w:p>
    <w:p>
      <w:pPr>
        <w:pStyle w:val="16"/>
        <w:numPr>
          <w:ilvl w:val="0"/>
          <w:numId w:val="1"/>
        </w:numPr>
        <w:tabs>
          <w:tab w:val="left" w:pos="1042"/>
          <w:tab w:val="left" w:pos="1043"/>
          <w:tab w:val="right" w:leader="dot" w:pos="9998"/>
        </w:tabs>
        <w:spacing w:before="140"/>
        <w:ind w:left="1042" w:hanging="362"/>
        <w:rPr>
          <w:rFonts w:ascii="Times New Roman" w:eastAsia="Times New Roman"/>
        </w:rPr>
      </w:pPr>
      <w:r>
        <w:fldChar w:fldCharType="begin"/>
      </w:r>
      <w:r>
        <w:instrText xml:space="preserve"> HYPERLINK \l "_bookmark8" </w:instrText>
      </w:r>
      <w:r>
        <w:fldChar w:fldCharType="separate"/>
      </w:r>
      <w:r>
        <w:rPr>
          <w:rFonts w:hint="eastAsia"/>
          <w:lang w:eastAsia="zh-CN"/>
        </w:rPr>
        <w:t>采购</w:t>
      </w:r>
      <w:r>
        <w:t>失</w:t>
      </w:r>
      <w:r>
        <w:rPr>
          <w:spacing w:val="-3"/>
        </w:rPr>
        <w:t>败</w:t>
      </w:r>
      <w:r>
        <w:t>条件</w:t>
      </w:r>
      <w:r>
        <w:tab/>
      </w:r>
      <w:r>
        <w:rPr>
          <w:rFonts w:hint="eastAsia" w:ascii="Times New Roman"/>
          <w:lang w:val="en-US"/>
        </w:rPr>
        <w:t>2</w:t>
      </w:r>
      <w:r>
        <w:rPr>
          <w:rFonts w:hint="eastAsia" w:ascii="Times New Roman"/>
          <w:lang w:val="en-US"/>
        </w:rPr>
        <w:fldChar w:fldCharType="end"/>
      </w:r>
      <w:r>
        <w:rPr>
          <w:rFonts w:hint="eastAsia" w:ascii="Times New Roman"/>
          <w:lang w:val="en-US"/>
        </w:rPr>
        <w:t>0</w:t>
      </w:r>
    </w:p>
    <w:p>
      <w:pPr>
        <w:pStyle w:val="14"/>
        <w:tabs>
          <w:tab w:val="left" w:pos="1309"/>
          <w:tab w:val="right" w:leader="dot" w:pos="9998"/>
        </w:tabs>
        <w:spacing w:before="141"/>
        <w:rPr>
          <w:rFonts w:ascii="Times New Roman"/>
          <w:lang w:val="en-US"/>
        </w:rPr>
      </w:pPr>
      <w:r>
        <w:fldChar w:fldCharType="begin"/>
      </w:r>
      <w:r>
        <w:instrText xml:space="preserve"> HYPERLINK \l "_bookmark9" </w:instrText>
      </w:r>
      <w:r>
        <w:fldChar w:fldCharType="separate"/>
      </w:r>
      <w:r>
        <w:t>第三</w:t>
      </w:r>
      <w:r>
        <w:rPr>
          <w:spacing w:val="-3"/>
        </w:rPr>
        <w:t>部</w:t>
      </w:r>
      <w:r>
        <w:t>分</w:t>
      </w:r>
      <w:r>
        <w:tab/>
      </w:r>
      <w:r>
        <w:t>货物需</w:t>
      </w:r>
      <w:r>
        <w:rPr>
          <w:spacing w:val="-3"/>
        </w:rPr>
        <w:t>求</w:t>
      </w:r>
      <w:r>
        <w:t>及</w:t>
      </w:r>
      <w:r>
        <w:rPr>
          <w:spacing w:val="-3"/>
        </w:rPr>
        <w:t>技</w:t>
      </w:r>
      <w:r>
        <w:t>术要求</w:t>
      </w:r>
      <w:r>
        <w:tab/>
      </w:r>
      <w:r>
        <w:rPr>
          <w:rFonts w:hint="eastAsia" w:ascii="Times New Roman"/>
          <w:lang w:val="en-US"/>
        </w:rPr>
        <w:t>2</w:t>
      </w:r>
      <w:r>
        <w:rPr>
          <w:rFonts w:hint="eastAsia" w:ascii="Times New Roman"/>
          <w:lang w:val="en-US"/>
        </w:rPr>
        <w:fldChar w:fldCharType="end"/>
      </w:r>
      <w:r>
        <w:rPr>
          <w:rFonts w:hint="eastAsia" w:ascii="Times New Roman"/>
          <w:lang w:val="en-US"/>
        </w:rPr>
        <w:t>1</w:t>
      </w:r>
    </w:p>
    <w:p>
      <w:pPr>
        <w:pStyle w:val="14"/>
        <w:tabs>
          <w:tab w:val="left" w:pos="1309"/>
          <w:tab w:val="right" w:leader="dot" w:pos="9998"/>
        </w:tabs>
        <w:rPr>
          <w:rFonts w:ascii="Times New Roman"/>
          <w:lang w:val="en-US"/>
        </w:rPr>
      </w:pPr>
      <w:r>
        <w:fldChar w:fldCharType="begin"/>
      </w:r>
      <w:r>
        <w:instrText xml:space="preserve"> HYPERLINK \l "_bookmark10" </w:instrText>
      </w:r>
      <w:r>
        <w:fldChar w:fldCharType="separate"/>
      </w:r>
      <w:r>
        <w:t>第四</w:t>
      </w:r>
      <w:r>
        <w:rPr>
          <w:spacing w:val="-3"/>
        </w:rPr>
        <w:t>部</w:t>
      </w:r>
      <w:r>
        <w:t>分</w:t>
      </w:r>
      <w:r>
        <w:tab/>
      </w:r>
      <w:r>
        <w:t>合同一</w:t>
      </w:r>
      <w:r>
        <w:rPr>
          <w:spacing w:val="-3"/>
        </w:rPr>
        <w:t>般</w:t>
      </w:r>
      <w:r>
        <w:t>条款</w:t>
      </w:r>
      <w:r>
        <w:tab/>
      </w:r>
      <w:r>
        <w:rPr>
          <w:rFonts w:hint="eastAsia" w:ascii="Times New Roman"/>
          <w:lang w:val="en-US"/>
        </w:rPr>
        <w:t>2</w:t>
      </w:r>
      <w:r>
        <w:rPr>
          <w:rFonts w:hint="eastAsia" w:ascii="Times New Roman"/>
          <w:lang w:val="en-US"/>
        </w:rPr>
        <w:fldChar w:fldCharType="end"/>
      </w:r>
      <w:r>
        <w:rPr>
          <w:rFonts w:hint="eastAsia" w:ascii="Times New Roman"/>
          <w:lang w:val="en-US"/>
        </w:rPr>
        <w:t>4</w:t>
      </w:r>
    </w:p>
    <w:p>
      <w:pPr>
        <w:pStyle w:val="14"/>
        <w:tabs>
          <w:tab w:val="left" w:pos="1309"/>
          <w:tab w:val="right" w:leader="dot" w:pos="9998"/>
        </w:tabs>
        <w:rPr>
          <w:rFonts w:ascii="Times New Roman"/>
          <w:lang w:val="en-US"/>
        </w:rPr>
      </w:pPr>
      <w:r>
        <w:fldChar w:fldCharType="begin"/>
      </w:r>
      <w:r>
        <w:instrText xml:space="preserve"> HYPERLINK \l "_bookmark11" </w:instrText>
      </w:r>
      <w:r>
        <w:fldChar w:fldCharType="separate"/>
      </w:r>
      <w:r>
        <w:t>第五</w:t>
      </w:r>
      <w:r>
        <w:rPr>
          <w:spacing w:val="-3"/>
        </w:rPr>
        <w:t>部</w:t>
      </w:r>
      <w:r>
        <w:t>分</w:t>
      </w:r>
      <w:r>
        <w:tab/>
      </w:r>
      <w:r>
        <w:t>合同特</w:t>
      </w:r>
      <w:r>
        <w:rPr>
          <w:spacing w:val="-3"/>
        </w:rPr>
        <w:t>殊</w:t>
      </w:r>
      <w:r>
        <w:t>条款</w:t>
      </w:r>
      <w:r>
        <w:tab/>
      </w:r>
      <w:r>
        <w:rPr>
          <w:rFonts w:hint="eastAsia" w:ascii="Times New Roman"/>
          <w:lang w:val="en-US"/>
        </w:rPr>
        <w:t>3</w:t>
      </w:r>
      <w:r>
        <w:rPr>
          <w:rFonts w:hint="eastAsia" w:ascii="Times New Roman"/>
          <w:lang w:val="en-US"/>
        </w:rPr>
        <w:fldChar w:fldCharType="end"/>
      </w:r>
      <w:r>
        <w:rPr>
          <w:rFonts w:hint="eastAsia" w:ascii="Times New Roman"/>
          <w:lang w:val="en-US"/>
        </w:rPr>
        <w:t>0</w:t>
      </w:r>
    </w:p>
    <w:p>
      <w:pPr>
        <w:pStyle w:val="14"/>
        <w:tabs>
          <w:tab w:val="right" w:leader="dot" w:pos="9998"/>
        </w:tabs>
        <w:spacing w:before="141"/>
        <w:rPr>
          <w:rFonts w:ascii="Times New Roman" w:eastAsia="Times New Roman"/>
          <w:lang w:val="en-US"/>
        </w:rPr>
      </w:pPr>
      <w:r>
        <w:fldChar w:fldCharType="begin"/>
      </w:r>
      <w:r>
        <w:instrText xml:space="preserve"> HYPERLINK \l "_bookmark12" </w:instrText>
      </w:r>
      <w:r>
        <w:fldChar w:fldCharType="separate"/>
      </w:r>
      <w:r>
        <w:t>第六</w:t>
      </w:r>
      <w:r>
        <w:rPr>
          <w:spacing w:val="-3"/>
        </w:rPr>
        <w:t>部</w:t>
      </w:r>
      <w:r>
        <w:t>分范</w:t>
      </w:r>
      <w:r>
        <w:rPr>
          <w:spacing w:val="-3"/>
        </w:rPr>
        <w:t>本</w:t>
      </w:r>
      <w:r>
        <w:t>格式</w:t>
      </w:r>
      <w:r>
        <w:rPr>
          <w:lang w:val="en-US"/>
        </w:rPr>
        <w:tab/>
      </w:r>
      <w:r>
        <w:rPr>
          <w:rFonts w:hint="eastAsia" w:ascii="Times New Roman"/>
          <w:lang w:val="en-US"/>
        </w:rPr>
        <w:t>3</w:t>
      </w:r>
      <w:r>
        <w:rPr>
          <w:rFonts w:hint="eastAsia" w:ascii="Times New Roman"/>
          <w:lang w:val="en-US"/>
        </w:rPr>
        <w:fldChar w:fldCharType="end"/>
      </w:r>
      <w:r>
        <w:rPr>
          <w:rFonts w:hint="eastAsia" w:ascii="Times New Roman"/>
          <w:lang w:val="en-US"/>
        </w:rPr>
        <w:t>2</w:t>
      </w:r>
    </w:p>
    <w:p>
      <w:pPr>
        <w:rPr>
          <w:rFonts w:ascii="Times New Roman" w:eastAsia="Times New Roman"/>
          <w:highlight w:val="yellow"/>
          <w:lang w:val="en-US"/>
        </w:rPr>
        <w:sectPr>
          <w:footerReference r:id="rId3" w:type="default"/>
          <w:pgSz w:w="11910" w:h="16850"/>
          <w:pgMar w:top="1580" w:right="800" w:bottom="460" w:left="820" w:header="0" w:footer="191" w:gutter="0"/>
          <w:pgNumType w:start="1"/>
          <w:cols w:space="720" w:num="1"/>
        </w:sectPr>
      </w:pPr>
    </w:p>
    <w:p>
      <w:pPr>
        <w:pStyle w:val="3"/>
        <w:spacing w:before="38"/>
        <w:ind w:left="3767" w:firstLine="643" w:firstLineChars="200"/>
        <w:jc w:val="both"/>
        <w:rPr>
          <w:lang w:val="en-US"/>
        </w:rPr>
      </w:pPr>
      <w:bookmarkStart w:id="0" w:name="_bookmark0"/>
      <w:bookmarkEnd w:id="0"/>
      <w:r>
        <w:t>第一部分</w:t>
      </w:r>
    </w:p>
    <w:p>
      <w:pPr>
        <w:pStyle w:val="3"/>
        <w:spacing w:before="38"/>
        <w:jc w:val="center"/>
      </w:pPr>
      <w:r>
        <w:rPr>
          <w:rFonts w:hint="eastAsia"/>
        </w:rPr>
        <w:t>2021年</w:t>
      </w:r>
      <w:r>
        <w:rPr>
          <w:rFonts w:hint="eastAsia"/>
          <w:lang w:eastAsia="zh-CN"/>
        </w:rPr>
        <w:t>新疆维吾尔自治区伊宁卫生学校</w:t>
      </w:r>
      <w:r>
        <w:rPr>
          <w:rFonts w:hint="eastAsia"/>
        </w:rPr>
        <w:t xml:space="preserve">医疗设备采购项目 </w:t>
      </w:r>
    </w:p>
    <w:p>
      <w:pPr>
        <w:pStyle w:val="3"/>
        <w:spacing w:before="38"/>
        <w:jc w:val="center"/>
      </w:pPr>
      <w:r>
        <w:rPr>
          <w:rFonts w:hint="eastAsia"/>
          <w:lang w:eastAsia="zh-CN"/>
        </w:rPr>
        <w:t>采购</w:t>
      </w:r>
      <w:r>
        <w:rPr>
          <w:rFonts w:hint="eastAsia"/>
        </w:rPr>
        <w:t>公告</w:t>
      </w:r>
    </w:p>
    <w:p>
      <w:pPr>
        <w:spacing w:line="560" w:lineRule="exact"/>
        <w:rPr>
          <w:color w:val="FF0000"/>
          <w:sz w:val="24"/>
          <w:szCs w:val="24"/>
          <w:lang w:val="en-US"/>
        </w:rPr>
      </w:pPr>
      <w:bookmarkStart w:id="1" w:name="_bookmark1"/>
      <w:bookmarkEnd w:id="1"/>
      <w:r>
        <w:rPr>
          <w:rFonts w:hint="eastAsia"/>
          <w:sz w:val="24"/>
          <w:szCs w:val="24"/>
          <w:lang w:val="en-US"/>
        </w:rPr>
        <w:t xml:space="preserve">一、 </w:t>
      </w:r>
      <w:r>
        <w:rPr>
          <w:rFonts w:hint="eastAsia"/>
          <w:sz w:val="24"/>
          <w:szCs w:val="24"/>
          <w:lang w:val="en-US" w:eastAsia="zh-CN"/>
        </w:rPr>
        <w:t>采购</w:t>
      </w:r>
      <w:r>
        <w:rPr>
          <w:rFonts w:hint="eastAsia"/>
          <w:color w:val="auto"/>
          <w:sz w:val="24"/>
          <w:szCs w:val="24"/>
          <w:lang w:val="en-US"/>
        </w:rPr>
        <w:t>项目编号：</w:t>
      </w:r>
      <w:r>
        <w:rPr>
          <w:rFonts w:hint="eastAsia"/>
          <w:color w:val="auto"/>
          <w:sz w:val="24"/>
          <w:szCs w:val="24"/>
          <w:lang w:val="en-US" w:eastAsia="zh-CN"/>
        </w:rPr>
        <w:t>FZYL202166</w:t>
      </w:r>
      <w:r>
        <w:rPr>
          <w:rFonts w:hint="eastAsia"/>
          <w:color w:val="auto"/>
          <w:sz w:val="24"/>
          <w:szCs w:val="24"/>
          <w:lang w:val="en-US"/>
        </w:rPr>
        <w:t> </w:t>
      </w:r>
    </w:p>
    <w:p>
      <w:pPr>
        <w:spacing w:line="560" w:lineRule="exact"/>
        <w:rPr>
          <w:sz w:val="24"/>
          <w:szCs w:val="24"/>
          <w:lang w:val="en-US"/>
        </w:rPr>
      </w:pPr>
      <w:r>
        <w:rPr>
          <w:rFonts w:hint="eastAsia"/>
          <w:sz w:val="24"/>
          <w:szCs w:val="24"/>
          <w:lang w:val="en-US"/>
        </w:rPr>
        <w:t>二、 采购组织类型：</w:t>
      </w:r>
      <w:r>
        <w:rPr>
          <w:rFonts w:hint="eastAsia"/>
          <w:sz w:val="24"/>
          <w:szCs w:val="24"/>
          <w:lang w:val="en-US" w:eastAsia="zh-CN"/>
        </w:rPr>
        <w:t>分散</w:t>
      </w:r>
      <w:r>
        <w:rPr>
          <w:rFonts w:hint="eastAsia"/>
          <w:sz w:val="24"/>
          <w:szCs w:val="24"/>
          <w:lang w:val="en-US"/>
        </w:rPr>
        <w:t>采购-委托中介机构 </w:t>
      </w:r>
    </w:p>
    <w:p>
      <w:pPr>
        <w:spacing w:line="560" w:lineRule="exact"/>
        <w:rPr>
          <w:sz w:val="24"/>
          <w:szCs w:val="24"/>
          <w:lang w:val="en-US"/>
        </w:rPr>
      </w:pPr>
      <w:r>
        <w:rPr>
          <w:rFonts w:hint="eastAsia"/>
          <w:sz w:val="24"/>
          <w:szCs w:val="24"/>
          <w:lang w:val="en-US"/>
        </w:rPr>
        <w:t xml:space="preserve">三、 </w:t>
      </w:r>
      <w:r>
        <w:rPr>
          <w:rFonts w:hint="eastAsia"/>
          <w:sz w:val="24"/>
          <w:szCs w:val="24"/>
          <w:lang w:val="en-US" w:eastAsia="zh-CN"/>
        </w:rPr>
        <w:t>采购</w:t>
      </w:r>
      <w:r>
        <w:rPr>
          <w:rFonts w:hint="eastAsia"/>
          <w:sz w:val="24"/>
          <w:szCs w:val="24"/>
          <w:lang w:val="en-US"/>
        </w:rPr>
        <w:t>项目概况</w:t>
      </w:r>
    </w:p>
    <w:tbl>
      <w:tblPr>
        <w:tblStyle w:val="20"/>
        <w:tblpPr w:leftFromText="180" w:rightFromText="180" w:vertAnchor="text" w:horzAnchor="page" w:tblpX="863" w:tblpY="361"/>
        <w:tblOverlap w:val="never"/>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56"/>
        <w:gridCol w:w="1985"/>
        <w:gridCol w:w="1327"/>
        <w:gridCol w:w="1430"/>
        <w:gridCol w:w="1674"/>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61" w:hRule="atLeast"/>
        </w:trPr>
        <w:tc>
          <w:tcPr>
            <w:tcW w:w="1956" w:type="dxa"/>
            <w:tcMar>
              <w:top w:w="0" w:type="dxa"/>
              <w:left w:w="105" w:type="dxa"/>
              <w:bottom w:w="0" w:type="dxa"/>
              <w:right w:w="105" w:type="dxa"/>
            </w:tcMar>
            <w:vAlign w:val="center"/>
          </w:tcPr>
          <w:p>
            <w:pPr>
              <w:spacing w:line="560" w:lineRule="exact"/>
              <w:jc w:val="center"/>
              <w:rPr>
                <w:sz w:val="24"/>
                <w:szCs w:val="24"/>
                <w:lang w:val="en-US"/>
              </w:rPr>
            </w:pPr>
            <w:r>
              <w:rPr>
                <w:rFonts w:hint="eastAsia"/>
                <w:sz w:val="24"/>
                <w:szCs w:val="24"/>
                <w:lang w:val="en-US"/>
              </w:rPr>
              <w:t>序号</w:t>
            </w:r>
          </w:p>
        </w:tc>
        <w:tc>
          <w:tcPr>
            <w:tcW w:w="1985" w:type="dxa"/>
            <w:tcMar>
              <w:top w:w="0" w:type="dxa"/>
              <w:left w:w="105" w:type="dxa"/>
              <w:bottom w:w="0" w:type="dxa"/>
              <w:right w:w="105" w:type="dxa"/>
            </w:tcMar>
            <w:vAlign w:val="center"/>
          </w:tcPr>
          <w:p>
            <w:pPr>
              <w:spacing w:line="560" w:lineRule="exact"/>
              <w:jc w:val="center"/>
              <w:rPr>
                <w:sz w:val="24"/>
                <w:szCs w:val="24"/>
                <w:lang w:val="en-US"/>
              </w:rPr>
            </w:pPr>
            <w:r>
              <w:rPr>
                <w:rFonts w:hint="eastAsia"/>
                <w:sz w:val="24"/>
                <w:szCs w:val="24"/>
                <w:lang w:val="en-US"/>
              </w:rPr>
              <w:t>设备名称</w:t>
            </w:r>
          </w:p>
        </w:tc>
        <w:tc>
          <w:tcPr>
            <w:tcW w:w="1327" w:type="dxa"/>
            <w:tcMar>
              <w:top w:w="0" w:type="dxa"/>
              <w:left w:w="105" w:type="dxa"/>
              <w:bottom w:w="0" w:type="dxa"/>
              <w:right w:w="105" w:type="dxa"/>
            </w:tcMar>
            <w:vAlign w:val="center"/>
          </w:tcPr>
          <w:p>
            <w:pPr>
              <w:spacing w:line="560" w:lineRule="exact"/>
              <w:jc w:val="center"/>
              <w:rPr>
                <w:sz w:val="24"/>
                <w:szCs w:val="24"/>
                <w:lang w:val="en-US"/>
              </w:rPr>
            </w:pPr>
            <w:r>
              <w:rPr>
                <w:rFonts w:hint="eastAsia"/>
                <w:sz w:val="24"/>
                <w:szCs w:val="24"/>
                <w:lang w:val="en-US"/>
              </w:rPr>
              <w:t>数量</w:t>
            </w:r>
          </w:p>
        </w:tc>
        <w:tc>
          <w:tcPr>
            <w:tcW w:w="1430" w:type="dxa"/>
            <w:tcMar>
              <w:top w:w="0" w:type="dxa"/>
              <w:left w:w="105" w:type="dxa"/>
              <w:bottom w:w="0" w:type="dxa"/>
              <w:right w:w="105" w:type="dxa"/>
            </w:tcMar>
            <w:vAlign w:val="center"/>
          </w:tcPr>
          <w:p>
            <w:pPr>
              <w:spacing w:line="560" w:lineRule="exact"/>
              <w:jc w:val="center"/>
              <w:rPr>
                <w:sz w:val="24"/>
                <w:szCs w:val="24"/>
                <w:lang w:val="en-US"/>
              </w:rPr>
            </w:pPr>
            <w:r>
              <w:rPr>
                <w:rFonts w:hint="eastAsia"/>
                <w:sz w:val="24"/>
                <w:szCs w:val="24"/>
                <w:lang w:val="en-US"/>
              </w:rPr>
              <w:t>单位</w:t>
            </w:r>
          </w:p>
        </w:tc>
        <w:tc>
          <w:tcPr>
            <w:tcW w:w="1674" w:type="dxa"/>
            <w:tcMar>
              <w:top w:w="0" w:type="dxa"/>
              <w:left w:w="105" w:type="dxa"/>
              <w:bottom w:w="0" w:type="dxa"/>
              <w:right w:w="105" w:type="dxa"/>
            </w:tcMar>
            <w:vAlign w:val="center"/>
          </w:tcPr>
          <w:p>
            <w:pPr>
              <w:spacing w:line="560" w:lineRule="exact"/>
              <w:jc w:val="center"/>
              <w:rPr>
                <w:rFonts w:hint="eastAsia"/>
                <w:sz w:val="24"/>
                <w:szCs w:val="24"/>
                <w:lang w:val="en-US"/>
              </w:rPr>
            </w:pPr>
            <w:r>
              <w:rPr>
                <w:rFonts w:hint="eastAsia"/>
                <w:sz w:val="24"/>
                <w:szCs w:val="24"/>
                <w:lang w:val="en-US"/>
              </w:rPr>
              <w:t>预算金额</w:t>
            </w:r>
          </w:p>
          <w:p>
            <w:pPr>
              <w:spacing w:line="560" w:lineRule="exact"/>
              <w:jc w:val="center"/>
              <w:rPr>
                <w:sz w:val="24"/>
                <w:szCs w:val="24"/>
                <w:lang w:val="en-US"/>
              </w:rPr>
            </w:pPr>
            <w:r>
              <w:rPr>
                <w:rFonts w:hint="eastAsia"/>
                <w:sz w:val="24"/>
                <w:szCs w:val="24"/>
                <w:lang w:val="en-US"/>
              </w:rPr>
              <w:t>（</w:t>
            </w:r>
            <w:r>
              <w:rPr>
                <w:rFonts w:hint="eastAsia"/>
                <w:sz w:val="24"/>
                <w:szCs w:val="24"/>
                <w:lang w:val="en-US" w:eastAsia="zh-CN"/>
              </w:rPr>
              <w:t>万</w:t>
            </w:r>
            <w:r>
              <w:rPr>
                <w:rFonts w:hint="eastAsia"/>
                <w:sz w:val="24"/>
                <w:szCs w:val="24"/>
                <w:lang w:val="en-US"/>
              </w:rPr>
              <w:t>元）</w:t>
            </w:r>
          </w:p>
        </w:tc>
        <w:tc>
          <w:tcPr>
            <w:tcW w:w="1788" w:type="dxa"/>
            <w:tcMar>
              <w:top w:w="0" w:type="dxa"/>
              <w:left w:w="105" w:type="dxa"/>
              <w:bottom w:w="0" w:type="dxa"/>
              <w:right w:w="105" w:type="dxa"/>
            </w:tcMar>
            <w:vAlign w:val="center"/>
          </w:tcPr>
          <w:p>
            <w:pPr>
              <w:spacing w:line="560" w:lineRule="exact"/>
              <w:jc w:val="center"/>
              <w:rPr>
                <w:rFonts w:hint="eastAsia"/>
                <w:sz w:val="24"/>
                <w:szCs w:val="24"/>
                <w:lang w:val="en-US" w:eastAsia="zh-CN"/>
              </w:rPr>
            </w:pPr>
            <w:r>
              <w:rPr>
                <w:rFonts w:hint="eastAsia"/>
                <w:sz w:val="24"/>
                <w:szCs w:val="24"/>
                <w:lang w:val="en-US" w:eastAsia="zh-CN"/>
              </w:rPr>
              <w:t>简要规格</w:t>
            </w:r>
          </w:p>
          <w:p>
            <w:pPr>
              <w:spacing w:line="560" w:lineRule="exact"/>
              <w:jc w:val="center"/>
              <w:rPr>
                <w:rFonts w:hint="eastAsia" w:eastAsia="宋体"/>
                <w:sz w:val="24"/>
                <w:szCs w:val="24"/>
                <w:lang w:val="en-US" w:eastAsia="zh-CN"/>
              </w:rPr>
            </w:pPr>
            <w:r>
              <w:rPr>
                <w:rFonts w:hint="eastAsia"/>
                <w:sz w:val="24"/>
                <w:szCs w:val="24"/>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37" w:hRule="atLeast"/>
        </w:trPr>
        <w:tc>
          <w:tcPr>
            <w:tcW w:w="1956" w:type="dxa"/>
            <w:tcMar>
              <w:top w:w="0" w:type="dxa"/>
              <w:left w:w="105" w:type="dxa"/>
              <w:bottom w:w="0" w:type="dxa"/>
              <w:right w:w="105" w:type="dxa"/>
            </w:tcMar>
            <w:vAlign w:val="center"/>
          </w:tcPr>
          <w:p>
            <w:pPr>
              <w:spacing w:line="560" w:lineRule="exact"/>
              <w:jc w:val="center"/>
              <w:rPr>
                <w:rFonts w:hint="eastAsia"/>
                <w:sz w:val="24"/>
                <w:szCs w:val="24"/>
                <w:lang w:val="en-US" w:eastAsia="zh-CN"/>
              </w:rPr>
            </w:pPr>
            <w:r>
              <w:rPr>
                <w:rFonts w:hint="eastAsia"/>
                <w:sz w:val="24"/>
                <w:szCs w:val="24"/>
                <w:lang w:val="en-US" w:eastAsia="zh-CN"/>
              </w:rPr>
              <w:t>二标段</w:t>
            </w:r>
          </w:p>
          <w:p>
            <w:pPr>
              <w:spacing w:line="560" w:lineRule="exact"/>
              <w:jc w:val="center"/>
              <w:rPr>
                <w:rFonts w:hint="eastAsia" w:eastAsia="宋体"/>
                <w:i/>
                <w:iCs/>
                <w:sz w:val="24"/>
                <w:szCs w:val="24"/>
                <w:lang w:val="en-US" w:eastAsia="zh-CN"/>
              </w:rPr>
            </w:pPr>
            <w:r>
              <w:rPr>
                <w:rFonts w:hint="eastAsia"/>
                <w:sz w:val="24"/>
                <w:szCs w:val="24"/>
                <w:lang w:val="en-US" w:eastAsia="zh-CN"/>
              </w:rPr>
              <w:t>75.027万元</w:t>
            </w:r>
          </w:p>
        </w:tc>
        <w:tc>
          <w:tcPr>
            <w:tcW w:w="1985" w:type="dxa"/>
            <w:tcMar>
              <w:top w:w="0" w:type="dxa"/>
              <w:left w:w="105" w:type="dxa"/>
              <w:bottom w:w="0" w:type="dxa"/>
              <w:right w:w="105" w:type="dxa"/>
            </w:tcMar>
            <w:vAlign w:val="center"/>
          </w:tcPr>
          <w:p>
            <w:pPr>
              <w:spacing w:line="560" w:lineRule="exact"/>
              <w:jc w:val="center"/>
              <w:rPr>
                <w:rFonts w:hint="default" w:ascii="宋体" w:hAnsi="宋体" w:eastAsia="宋体" w:cs="宋体"/>
                <w:sz w:val="24"/>
                <w:szCs w:val="24"/>
                <w:lang w:val="en-US" w:eastAsia="zh-CN"/>
              </w:rPr>
            </w:pPr>
            <w:r>
              <w:rPr>
                <w:rFonts w:hint="eastAsia" w:cs="宋体"/>
                <w:sz w:val="24"/>
                <w:szCs w:val="24"/>
                <w:lang w:val="en-US" w:eastAsia="zh-CN"/>
              </w:rPr>
              <w:t>司法</w:t>
            </w:r>
            <w:r>
              <w:rPr>
                <w:rFonts w:hint="eastAsia" w:ascii="宋体" w:hAnsi="宋体" w:eastAsia="宋体" w:cs="宋体"/>
                <w:sz w:val="24"/>
                <w:szCs w:val="24"/>
                <w:lang w:val="en-US" w:eastAsia="zh-CN"/>
              </w:rPr>
              <w:t>鉴定</w:t>
            </w:r>
            <w:r>
              <w:rPr>
                <w:rFonts w:hint="eastAsia" w:cs="宋体"/>
                <w:sz w:val="24"/>
                <w:szCs w:val="24"/>
                <w:lang w:val="en-US" w:eastAsia="zh-CN"/>
              </w:rPr>
              <w:t>设备</w:t>
            </w:r>
          </w:p>
        </w:tc>
        <w:tc>
          <w:tcPr>
            <w:tcW w:w="1327" w:type="dxa"/>
            <w:tcMar>
              <w:top w:w="0" w:type="dxa"/>
              <w:left w:w="105" w:type="dxa"/>
              <w:bottom w:w="0" w:type="dxa"/>
              <w:right w:w="105" w:type="dxa"/>
            </w:tcMar>
            <w:vAlign w:val="center"/>
          </w:tcPr>
          <w:p>
            <w:pPr>
              <w:jc w:val="center"/>
              <w:rPr>
                <w:rFonts w:hint="default" w:ascii="宋体" w:hAnsi="宋体" w:eastAsia="宋体" w:cs="宋体"/>
                <w:sz w:val="24"/>
                <w:szCs w:val="24"/>
                <w:lang w:val="en-US" w:eastAsia="zh-CN"/>
              </w:rPr>
            </w:pPr>
            <w:r>
              <w:rPr>
                <w:rFonts w:hint="eastAsia"/>
                <w:sz w:val="24"/>
                <w:szCs w:val="24"/>
                <w:lang w:val="en-US" w:eastAsia="zh-CN"/>
              </w:rPr>
              <w:t>1</w:t>
            </w:r>
          </w:p>
        </w:tc>
        <w:tc>
          <w:tcPr>
            <w:tcW w:w="1430" w:type="dxa"/>
            <w:tcMar>
              <w:top w:w="0" w:type="dxa"/>
              <w:left w:w="105" w:type="dxa"/>
              <w:bottom w:w="0" w:type="dxa"/>
              <w:right w:w="105" w:type="dxa"/>
            </w:tcMar>
            <w:vAlign w:val="center"/>
          </w:tcPr>
          <w:p>
            <w:pPr>
              <w:spacing w:line="560" w:lineRule="exact"/>
              <w:jc w:val="center"/>
              <w:rPr>
                <w:rFonts w:hint="eastAsia" w:ascii="宋体" w:hAnsi="宋体" w:eastAsia="宋体" w:cs="宋体"/>
                <w:sz w:val="24"/>
                <w:szCs w:val="24"/>
                <w:lang w:val="en-US" w:eastAsia="zh-CN"/>
              </w:rPr>
            </w:pPr>
            <w:r>
              <w:rPr>
                <w:rFonts w:hint="eastAsia" w:eastAsia="宋体"/>
                <w:sz w:val="24"/>
                <w:szCs w:val="24"/>
                <w:lang w:val="en-US" w:eastAsia="zh-CN"/>
              </w:rPr>
              <w:t>批</w:t>
            </w:r>
          </w:p>
        </w:tc>
        <w:tc>
          <w:tcPr>
            <w:tcW w:w="1674" w:type="dxa"/>
            <w:tcMar>
              <w:top w:w="0" w:type="dxa"/>
              <w:left w:w="105" w:type="dxa"/>
              <w:bottom w:w="0" w:type="dxa"/>
              <w:right w:w="105" w:type="dxa"/>
            </w:tcMar>
            <w:vAlign w:val="center"/>
          </w:tcPr>
          <w:p>
            <w:pPr>
              <w:keepNext w:val="0"/>
              <w:keepLines w:val="0"/>
              <w:widowControl/>
              <w:suppressLineNumbers w:val="0"/>
              <w:jc w:val="center"/>
              <w:textAlignment w:val="center"/>
              <w:rPr>
                <w:rFonts w:hint="default"/>
                <w:lang w:val="en-US" w:eastAsia="zh-CN"/>
              </w:rPr>
            </w:pPr>
            <w:r>
              <w:rPr>
                <w:rFonts w:hint="eastAsia"/>
                <w:sz w:val="24"/>
                <w:szCs w:val="24"/>
                <w:lang w:val="en-US" w:eastAsia="zh-CN"/>
              </w:rPr>
              <w:t>75.027</w:t>
            </w:r>
          </w:p>
        </w:tc>
        <w:tc>
          <w:tcPr>
            <w:tcW w:w="1788" w:type="dxa"/>
            <w:tcMar>
              <w:top w:w="0" w:type="dxa"/>
              <w:left w:w="105" w:type="dxa"/>
              <w:bottom w:w="0" w:type="dxa"/>
              <w:right w:w="105" w:type="dxa"/>
            </w:tcMar>
            <w:vAlign w:val="center"/>
          </w:tcPr>
          <w:p>
            <w:pPr>
              <w:keepNext w:val="0"/>
              <w:keepLines w:val="0"/>
              <w:widowControl/>
              <w:suppressLineNumbers w:val="0"/>
              <w:jc w:val="center"/>
              <w:textAlignment w:val="center"/>
              <w:rPr>
                <w:rFonts w:hint="eastAsia"/>
                <w:sz w:val="24"/>
                <w:szCs w:val="24"/>
                <w:lang w:val="en-US" w:eastAsia="zh-CN"/>
              </w:rPr>
            </w:pPr>
            <w:r>
              <w:rPr>
                <w:rFonts w:hint="eastAsia"/>
                <w:sz w:val="24"/>
                <w:szCs w:val="24"/>
                <w:lang w:val="en-US" w:eastAsia="zh-CN"/>
              </w:rPr>
              <w:t>具体内容详见采购文件清单</w:t>
            </w:r>
          </w:p>
        </w:tc>
      </w:tr>
    </w:tbl>
    <w:p>
      <w:pPr>
        <w:spacing w:line="480" w:lineRule="exact"/>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            </w:t>
      </w:r>
    </w:p>
    <w:p>
      <w:pPr>
        <w:spacing w:line="560" w:lineRule="exact"/>
        <w:jc w:val="both"/>
        <w:rPr>
          <w:sz w:val="24"/>
          <w:szCs w:val="24"/>
          <w:lang w:val="en-US"/>
        </w:rPr>
      </w:pPr>
      <w:r>
        <w:rPr>
          <w:rFonts w:hint="eastAsia"/>
          <w:sz w:val="24"/>
          <w:szCs w:val="24"/>
          <w:lang w:val="en-US"/>
        </w:rPr>
        <w:t>四、投标供应商资格要求:</w:t>
      </w:r>
    </w:p>
    <w:p>
      <w:pPr>
        <w:spacing w:line="56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1.符合《中华人民共和国政府采购法》第二十二条的相关规定；  </w:t>
      </w:r>
    </w:p>
    <w:p>
      <w:pPr>
        <w:spacing w:line="56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2.参加采购活动前三年内，在经营活动中没有重大违法记录(受行政主管部门的处罚不能参加投标)</w:t>
      </w:r>
    </w:p>
    <w:p>
      <w:pPr>
        <w:spacing w:line="56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3.落实的政府采购政策：《政府采购促进中小企业发展管理办法》（财库〔2020〕46号）；《财政部民政部中国残疾人联合会关于促进残疾人就业政府采购政策的通知》财库〔2017〕141号。</w:t>
      </w:r>
    </w:p>
    <w:p>
      <w:pPr>
        <w:spacing w:line="56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4、不接受联合体投标。</w:t>
      </w:r>
    </w:p>
    <w:p>
      <w:pPr>
        <w:spacing w:line="560" w:lineRule="exact"/>
        <w:jc w:val="both"/>
        <w:rPr>
          <w:sz w:val="24"/>
          <w:szCs w:val="24"/>
          <w:lang w:val="en-US"/>
        </w:rPr>
      </w:pPr>
      <w:r>
        <w:rPr>
          <w:rFonts w:hint="eastAsia"/>
          <w:sz w:val="24"/>
          <w:szCs w:val="24"/>
          <w:lang w:val="en-US"/>
        </w:rPr>
        <w:t>五、</w:t>
      </w:r>
      <w:r>
        <w:rPr>
          <w:rFonts w:hint="eastAsia"/>
          <w:sz w:val="24"/>
          <w:szCs w:val="24"/>
          <w:lang w:val="en-US" w:eastAsia="zh-CN"/>
        </w:rPr>
        <w:t>采购</w:t>
      </w:r>
      <w:r>
        <w:rPr>
          <w:rFonts w:hint="eastAsia"/>
          <w:sz w:val="24"/>
          <w:szCs w:val="24"/>
          <w:lang w:val="en-US"/>
        </w:rPr>
        <w:t>文件的报名/发售时间、地址、售价:</w:t>
      </w:r>
    </w:p>
    <w:p>
      <w:pPr>
        <w:spacing w:line="560" w:lineRule="exact"/>
        <w:jc w:val="both"/>
        <w:rPr>
          <w:sz w:val="24"/>
          <w:szCs w:val="24"/>
          <w:lang w:val="en-US"/>
        </w:rPr>
      </w:pPr>
      <w:r>
        <w:rPr>
          <w:rFonts w:hint="eastAsia"/>
          <w:sz w:val="24"/>
          <w:szCs w:val="24"/>
          <w:lang w:val="en-US"/>
        </w:rPr>
        <w:t>1．报名（发售／获取）时间：202</w:t>
      </w:r>
      <w:r>
        <w:rPr>
          <w:rFonts w:hint="eastAsia"/>
          <w:sz w:val="24"/>
          <w:szCs w:val="24"/>
          <w:lang w:val="en-US" w:eastAsia="zh-CN"/>
        </w:rPr>
        <w:t>2-08-03</w:t>
      </w:r>
      <w:r>
        <w:rPr>
          <w:rFonts w:hint="eastAsia"/>
          <w:sz w:val="24"/>
          <w:szCs w:val="24"/>
          <w:lang w:val="en-US"/>
        </w:rPr>
        <w:t>至202</w:t>
      </w:r>
      <w:r>
        <w:rPr>
          <w:rFonts w:hint="eastAsia"/>
          <w:sz w:val="24"/>
          <w:szCs w:val="24"/>
          <w:lang w:val="en-US" w:eastAsia="zh-CN"/>
        </w:rPr>
        <w:t>2</w:t>
      </w:r>
      <w:r>
        <w:rPr>
          <w:rFonts w:hint="eastAsia"/>
          <w:sz w:val="24"/>
          <w:szCs w:val="24"/>
          <w:lang w:val="en-US"/>
        </w:rPr>
        <w:t>-</w:t>
      </w:r>
      <w:r>
        <w:rPr>
          <w:rFonts w:hint="eastAsia"/>
          <w:sz w:val="24"/>
          <w:szCs w:val="24"/>
          <w:lang w:val="en-US" w:eastAsia="zh-CN"/>
        </w:rPr>
        <w:t>08</w:t>
      </w:r>
      <w:r>
        <w:rPr>
          <w:rFonts w:hint="eastAsia"/>
          <w:sz w:val="24"/>
          <w:szCs w:val="24"/>
          <w:lang w:val="en-US"/>
        </w:rPr>
        <w:t>-</w:t>
      </w:r>
      <w:r>
        <w:rPr>
          <w:rFonts w:hint="eastAsia"/>
          <w:sz w:val="24"/>
          <w:szCs w:val="24"/>
          <w:lang w:val="en-US" w:eastAsia="zh-CN"/>
        </w:rPr>
        <w:t>10</w:t>
      </w:r>
      <w:r>
        <w:rPr>
          <w:rFonts w:hint="eastAsia"/>
          <w:sz w:val="24"/>
          <w:szCs w:val="24"/>
          <w:lang w:val="en-US"/>
        </w:rPr>
        <w:t>（北京时间）</w:t>
      </w:r>
    </w:p>
    <w:p>
      <w:pPr>
        <w:spacing w:line="560" w:lineRule="exact"/>
        <w:jc w:val="both"/>
        <w:rPr>
          <w:sz w:val="24"/>
          <w:szCs w:val="24"/>
          <w:lang w:val="en-US"/>
        </w:rPr>
      </w:pPr>
      <w:r>
        <w:rPr>
          <w:rFonts w:hint="eastAsia"/>
          <w:sz w:val="24"/>
          <w:szCs w:val="24"/>
          <w:lang w:val="en-US"/>
        </w:rPr>
        <w:t>上午：10:00-14:00   下午：1</w:t>
      </w:r>
      <w:r>
        <w:rPr>
          <w:rFonts w:hint="eastAsia"/>
          <w:sz w:val="24"/>
          <w:szCs w:val="24"/>
          <w:lang w:val="en-US" w:eastAsia="zh-CN"/>
        </w:rPr>
        <w:t>6</w:t>
      </w:r>
      <w:r>
        <w:rPr>
          <w:rFonts w:hint="eastAsia"/>
          <w:sz w:val="24"/>
          <w:szCs w:val="24"/>
          <w:lang w:val="en-US"/>
        </w:rPr>
        <w:t>:</w:t>
      </w:r>
      <w:r>
        <w:rPr>
          <w:rFonts w:hint="eastAsia"/>
          <w:sz w:val="24"/>
          <w:szCs w:val="24"/>
          <w:lang w:val="en-US" w:eastAsia="zh-CN"/>
        </w:rPr>
        <w:t>0</w:t>
      </w:r>
      <w:r>
        <w:rPr>
          <w:rFonts w:hint="eastAsia"/>
          <w:sz w:val="24"/>
          <w:szCs w:val="24"/>
          <w:lang w:val="en-US"/>
        </w:rPr>
        <w:t>0-</w:t>
      </w:r>
      <w:r>
        <w:rPr>
          <w:rFonts w:hint="eastAsia"/>
          <w:sz w:val="24"/>
          <w:szCs w:val="24"/>
          <w:lang w:val="en-US" w:eastAsia="zh-CN"/>
        </w:rPr>
        <w:t>20</w:t>
      </w:r>
      <w:r>
        <w:rPr>
          <w:rFonts w:hint="eastAsia"/>
          <w:sz w:val="24"/>
          <w:szCs w:val="24"/>
          <w:lang w:val="en-US"/>
        </w:rPr>
        <w:t>:</w:t>
      </w:r>
      <w:r>
        <w:rPr>
          <w:rFonts w:hint="eastAsia"/>
          <w:sz w:val="24"/>
          <w:szCs w:val="24"/>
          <w:lang w:val="en-US" w:eastAsia="zh-CN"/>
        </w:rPr>
        <w:t>0</w:t>
      </w:r>
      <w:r>
        <w:rPr>
          <w:rFonts w:hint="eastAsia"/>
          <w:sz w:val="24"/>
          <w:szCs w:val="24"/>
          <w:lang w:val="en-US"/>
        </w:rPr>
        <w:t>0 </w:t>
      </w:r>
    </w:p>
    <w:p>
      <w:pPr>
        <w:spacing w:line="560" w:lineRule="exact"/>
        <w:jc w:val="both"/>
        <w:rPr>
          <w:sz w:val="24"/>
          <w:szCs w:val="24"/>
          <w:lang w:val="en-US"/>
        </w:rPr>
      </w:pPr>
      <w:r>
        <w:rPr>
          <w:rFonts w:hint="eastAsia"/>
          <w:sz w:val="24"/>
          <w:szCs w:val="24"/>
          <w:lang w:val="en-US"/>
        </w:rPr>
        <w:t>2．报名（发售／获取）地址：</w:t>
      </w:r>
      <w:r>
        <w:rPr>
          <w:rFonts w:hint="eastAsia"/>
          <w:color w:val="000000"/>
          <w:sz w:val="24"/>
          <w:szCs w:val="24"/>
          <w:lang w:val="en-US"/>
        </w:rPr>
        <w:t>伊宁市新华西路58号3楼（呼勒佳宾馆院内）</w:t>
      </w:r>
    </w:p>
    <w:p>
      <w:pPr>
        <w:spacing w:line="560" w:lineRule="exact"/>
        <w:jc w:val="both"/>
        <w:rPr>
          <w:sz w:val="24"/>
          <w:szCs w:val="24"/>
          <w:lang w:val="en-US"/>
        </w:rPr>
      </w:pPr>
      <w:r>
        <w:rPr>
          <w:rFonts w:hint="eastAsia"/>
          <w:sz w:val="24"/>
          <w:szCs w:val="24"/>
          <w:lang w:val="en-US"/>
        </w:rPr>
        <w:t>3．标书售价(元)：200/份</w:t>
      </w:r>
    </w:p>
    <w:p>
      <w:pPr>
        <w:spacing w:line="560" w:lineRule="exact"/>
        <w:jc w:val="both"/>
        <w:rPr>
          <w:color w:val="auto"/>
          <w:sz w:val="24"/>
          <w:szCs w:val="24"/>
          <w:lang w:val="en-US"/>
        </w:rPr>
      </w:pPr>
      <w:r>
        <w:rPr>
          <w:rFonts w:hint="eastAsia"/>
          <w:sz w:val="24"/>
          <w:szCs w:val="24"/>
          <w:lang w:val="en-US"/>
        </w:rPr>
        <w:t>4．投标人购买标书时应提交的</w:t>
      </w:r>
      <w:r>
        <w:rPr>
          <w:rFonts w:hint="eastAsia"/>
          <w:color w:val="auto"/>
          <w:sz w:val="24"/>
          <w:szCs w:val="24"/>
          <w:lang w:val="en-US"/>
        </w:rPr>
        <w:t>资料：法人代表授权书原件、被授权人身份证原件、营业执照副本原件</w:t>
      </w:r>
      <w:r>
        <w:rPr>
          <w:rFonts w:hint="eastAsia"/>
          <w:color w:val="auto"/>
          <w:sz w:val="24"/>
          <w:szCs w:val="24"/>
          <w:lang w:val="en-US" w:eastAsia="zh-CN"/>
        </w:rPr>
        <w:t>、</w:t>
      </w:r>
      <w:r>
        <w:rPr>
          <w:rFonts w:hint="eastAsia"/>
          <w:color w:val="auto"/>
          <w:sz w:val="24"/>
          <w:szCs w:val="24"/>
          <w:lang w:val="en-US"/>
        </w:rPr>
        <w:t>投标人为制造商的须提供《医疗器械生产许可证》</w:t>
      </w:r>
      <w:r>
        <w:rPr>
          <w:rFonts w:hint="eastAsia"/>
          <w:color w:val="auto"/>
          <w:sz w:val="24"/>
          <w:szCs w:val="24"/>
          <w:lang w:val="en-US" w:eastAsia="zh-CN"/>
        </w:rPr>
        <w:t>、</w:t>
      </w:r>
      <w:r>
        <w:rPr>
          <w:rFonts w:hint="eastAsia"/>
          <w:color w:val="auto"/>
          <w:sz w:val="24"/>
          <w:szCs w:val="24"/>
          <w:lang w:val="en-US"/>
        </w:rPr>
        <w:t>投标人为经销商的须提供《医疗器械经营许可证》或者《医疗器械经营备案凭证》</w:t>
      </w:r>
      <w:r>
        <w:rPr>
          <w:rFonts w:hint="eastAsia"/>
          <w:color w:val="auto"/>
          <w:sz w:val="24"/>
          <w:szCs w:val="24"/>
          <w:lang w:val="en-US" w:eastAsia="zh-CN"/>
        </w:rPr>
        <w:t>，</w:t>
      </w:r>
      <w:r>
        <w:rPr>
          <w:rFonts w:hint="eastAsia"/>
          <w:color w:val="auto"/>
          <w:sz w:val="24"/>
          <w:szCs w:val="24"/>
          <w:lang w:val="en-US"/>
        </w:rPr>
        <w:t>“信用中国”网站（www.creditchina.gov.cn）信用信息查询记录（加盖公章）。（以上证件须携带原件及加盖公章的复印件一套，不接受公证件） </w:t>
      </w:r>
    </w:p>
    <w:p>
      <w:pPr>
        <w:spacing w:line="560" w:lineRule="exact"/>
        <w:rPr>
          <w:color w:val="auto"/>
          <w:sz w:val="24"/>
          <w:szCs w:val="24"/>
          <w:lang w:val="en-US"/>
        </w:rPr>
      </w:pPr>
      <w:r>
        <w:rPr>
          <w:rFonts w:hint="eastAsia"/>
          <w:color w:val="auto"/>
          <w:sz w:val="24"/>
          <w:szCs w:val="24"/>
          <w:lang w:val="en-US"/>
        </w:rPr>
        <w:t>六、 投标截止时间：2022-</w:t>
      </w:r>
      <w:r>
        <w:rPr>
          <w:rFonts w:hint="eastAsia"/>
          <w:color w:val="auto"/>
          <w:sz w:val="24"/>
          <w:szCs w:val="24"/>
          <w:lang w:val="en-US" w:eastAsia="zh-CN"/>
        </w:rPr>
        <w:t>8</w:t>
      </w:r>
      <w:r>
        <w:rPr>
          <w:rFonts w:hint="eastAsia"/>
          <w:color w:val="auto"/>
          <w:sz w:val="24"/>
          <w:szCs w:val="24"/>
          <w:lang w:val="en-US"/>
        </w:rPr>
        <w:t>-</w:t>
      </w:r>
      <w:r>
        <w:rPr>
          <w:rFonts w:hint="eastAsia"/>
          <w:color w:val="auto"/>
          <w:sz w:val="24"/>
          <w:szCs w:val="24"/>
          <w:lang w:val="en-US" w:eastAsia="zh-CN"/>
        </w:rPr>
        <w:t>23</w:t>
      </w:r>
      <w:r>
        <w:rPr>
          <w:rFonts w:hint="eastAsia"/>
          <w:color w:val="auto"/>
          <w:sz w:val="24"/>
          <w:szCs w:val="24"/>
          <w:lang w:val="en-US"/>
        </w:rPr>
        <w:t xml:space="preserve">  11:00:00 </w:t>
      </w:r>
    </w:p>
    <w:p>
      <w:pPr>
        <w:spacing w:line="560" w:lineRule="exact"/>
        <w:rPr>
          <w:color w:val="auto"/>
          <w:sz w:val="24"/>
          <w:szCs w:val="24"/>
          <w:lang w:val="en-US"/>
        </w:rPr>
      </w:pPr>
      <w:r>
        <w:rPr>
          <w:rFonts w:hint="eastAsia"/>
          <w:color w:val="auto"/>
          <w:sz w:val="24"/>
          <w:szCs w:val="24"/>
          <w:lang w:val="en-US"/>
        </w:rPr>
        <w:t>七、 投标地址：</w:t>
      </w:r>
      <w:r>
        <w:rPr>
          <w:rFonts w:hint="eastAsia"/>
          <w:color w:val="auto"/>
          <w:sz w:val="24"/>
          <w:szCs w:val="24"/>
          <w:lang w:val="en-US" w:eastAsia="zh-CN"/>
        </w:rPr>
        <w:t>伊宁市海棠路铂科瑞特酒店三楼</w:t>
      </w:r>
      <w:r>
        <w:rPr>
          <w:rFonts w:hint="eastAsia"/>
          <w:color w:val="auto"/>
          <w:sz w:val="24"/>
          <w:szCs w:val="24"/>
          <w:lang w:val="en-US"/>
        </w:rPr>
        <w:t>  </w:t>
      </w:r>
    </w:p>
    <w:p>
      <w:pPr>
        <w:spacing w:line="560" w:lineRule="exact"/>
        <w:rPr>
          <w:color w:val="auto"/>
          <w:sz w:val="24"/>
          <w:szCs w:val="24"/>
          <w:lang w:val="en-US"/>
        </w:rPr>
      </w:pPr>
      <w:r>
        <w:rPr>
          <w:rFonts w:hint="eastAsia"/>
          <w:color w:val="auto"/>
          <w:sz w:val="24"/>
          <w:szCs w:val="24"/>
          <w:lang w:val="en-US"/>
        </w:rPr>
        <w:t>八、 开标时间：2022-</w:t>
      </w:r>
      <w:r>
        <w:rPr>
          <w:rFonts w:hint="eastAsia"/>
          <w:color w:val="auto"/>
          <w:sz w:val="24"/>
          <w:szCs w:val="24"/>
          <w:lang w:val="en-US" w:eastAsia="zh-CN"/>
        </w:rPr>
        <w:t>8</w:t>
      </w:r>
      <w:r>
        <w:rPr>
          <w:rFonts w:hint="eastAsia"/>
          <w:color w:val="auto"/>
          <w:sz w:val="24"/>
          <w:szCs w:val="24"/>
          <w:lang w:val="en-US"/>
        </w:rPr>
        <w:t>-</w:t>
      </w:r>
      <w:r>
        <w:rPr>
          <w:rFonts w:hint="eastAsia"/>
          <w:color w:val="auto"/>
          <w:sz w:val="24"/>
          <w:szCs w:val="24"/>
          <w:lang w:val="en-US" w:eastAsia="zh-CN"/>
        </w:rPr>
        <w:t>23</w:t>
      </w:r>
      <w:r>
        <w:rPr>
          <w:rFonts w:hint="eastAsia"/>
          <w:color w:val="auto"/>
          <w:sz w:val="24"/>
          <w:szCs w:val="24"/>
          <w:lang w:val="en-US"/>
        </w:rPr>
        <w:t xml:space="preserve">    11:00:00 </w:t>
      </w:r>
    </w:p>
    <w:p>
      <w:pPr>
        <w:spacing w:line="560" w:lineRule="exact"/>
        <w:rPr>
          <w:rFonts w:hint="eastAsia" w:eastAsia="宋体"/>
          <w:lang w:val="en-US" w:eastAsia="zh-CN"/>
        </w:rPr>
      </w:pPr>
      <w:r>
        <w:rPr>
          <w:rFonts w:hint="eastAsia"/>
          <w:color w:val="auto"/>
          <w:sz w:val="24"/>
          <w:szCs w:val="24"/>
          <w:lang w:val="en-US"/>
        </w:rPr>
        <w:t>九、 开标地址：</w:t>
      </w:r>
      <w:r>
        <w:rPr>
          <w:rFonts w:hint="eastAsia"/>
          <w:color w:val="auto"/>
          <w:sz w:val="24"/>
          <w:szCs w:val="24"/>
          <w:lang w:val="en-US" w:eastAsia="zh-CN"/>
        </w:rPr>
        <w:t>伊宁市海棠路铂科瑞特酒店三楼</w:t>
      </w:r>
    </w:p>
    <w:p>
      <w:pPr>
        <w:spacing w:line="560" w:lineRule="exact"/>
        <w:rPr>
          <w:sz w:val="24"/>
          <w:szCs w:val="24"/>
          <w:lang w:val="en-US"/>
        </w:rPr>
      </w:pPr>
      <w:r>
        <w:rPr>
          <w:rFonts w:hint="eastAsia"/>
          <w:sz w:val="24"/>
          <w:szCs w:val="24"/>
          <w:lang w:val="en-US"/>
        </w:rPr>
        <w:t>十、 投标保证金：     </w:t>
      </w:r>
    </w:p>
    <w:tbl>
      <w:tblPr>
        <w:tblStyle w:val="20"/>
        <w:tblW w:w="10360" w:type="dxa"/>
        <w:tblInd w:w="0" w:type="dxa"/>
        <w:tblLayout w:type="fixed"/>
        <w:tblCellMar>
          <w:top w:w="15" w:type="dxa"/>
          <w:left w:w="15" w:type="dxa"/>
          <w:bottom w:w="15" w:type="dxa"/>
          <w:right w:w="15" w:type="dxa"/>
        </w:tblCellMar>
      </w:tblPr>
      <w:tblGrid>
        <w:gridCol w:w="802"/>
        <w:gridCol w:w="1394"/>
        <w:gridCol w:w="1985"/>
        <w:gridCol w:w="2780"/>
        <w:gridCol w:w="2002"/>
        <w:gridCol w:w="1397"/>
      </w:tblGrid>
      <w:tr>
        <w:tblPrEx>
          <w:tblLayout w:type="fixed"/>
          <w:tblCellMar>
            <w:top w:w="15" w:type="dxa"/>
            <w:left w:w="15" w:type="dxa"/>
            <w:bottom w:w="15" w:type="dxa"/>
            <w:right w:w="15" w:type="dxa"/>
          </w:tblCellMar>
        </w:tblPrEx>
        <w:trPr>
          <w:trHeight w:val="1086" w:hRule="atLeast"/>
        </w:trPr>
        <w:tc>
          <w:tcPr>
            <w:tcW w:w="802"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560" w:lineRule="exact"/>
              <w:rPr>
                <w:color w:val="auto"/>
                <w:sz w:val="24"/>
                <w:szCs w:val="24"/>
                <w:lang w:val="en-US"/>
              </w:rPr>
            </w:pPr>
            <w:r>
              <w:rPr>
                <w:rFonts w:hint="eastAsia"/>
                <w:color w:val="auto"/>
                <w:sz w:val="24"/>
                <w:szCs w:val="24"/>
                <w:lang w:val="en-US"/>
              </w:rPr>
              <w:t>序号</w:t>
            </w:r>
          </w:p>
        </w:tc>
        <w:tc>
          <w:tcPr>
            <w:tcW w:w="1394"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560" w:lineRule="exact"/>
              <w:rPr>
                <w:color w:val="auto"/>
                <w:sz w:val="24"/>
                <w:szCs w:val="24"/>
                <w:lang w:val="en-US"/>
              </w:rPr>
            </w:pPr>
            <w:r>
              <w:rPr>
                <w:rFonts w:hint="eastAsia"/>
                <w:color w:val="auto"/>
                <w:sz w:val="24"/>
                <w:szCs w:val="24"/>
                <w:lang w:val="en-US"/>
              </w:rPr>
              <w:t>标项名称</w:t>
            </w:r>
          </w:p>
        </w:tc>
        <w:tc>
          <w:tcPr>
            <w:tcW w:w="1985"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560" w:lineRule="exact"/>
              <w:jc w:val="center"/>
              <w:rPr>
                <w:color w:val="auto"/>
                <w:sz w:val="24"/>
                <w:szCs w:val="24"/>
                <w:lang w:val="en-US"/>
              </w:rPr>
            </w:pPr>
            <w:r>
              <w:rPr>
                <w:rFonts w:hint="eastAsia"/>
                <w:color w:val="auto"/>
                <w:sz w:val="24"/>
                <w:szCs w:val="24"/>
                <w:lang w:val="en-US"/>
              </w:rPr>
              <w:t>投标保证金金额（元）</w:t>
            </w:r>
          </w:p>
        </w:tc>
        <w:tc>
          <w:tcPr>
            <w:tcW w:w="2780"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560" w:lineRule="exact"/>
              <w:rPr>
                <w:color w:val="auto"/>
                <w:sz w:val="24"/>
                <w:szCs w:val="24"/>
                <w:lang w:val="en-US"/>
              </w:rPr>
            </w:pPr>
            <w:r>
              <w:rPr>
                <w:rFonts w:hint="eastAsia"/>
                <w:color w:val="auto"/>
                <w:sz w:val="24"/>
                <w:szCs w:val="24"/>
                <w:lang w:val="en-US"/>
              </w:rPr>
              <w:t>开户银行</w:t>
            </w:r>
          </w:p>
        </w:tc>
        <w:tc>
          <w:tcPr>
            <w:tcW w:w="2002"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560" w:lineRule="exact"/>
              <w:rPr>
                <w:color w:val="auto"/>
                <w:sz w:val="24"/>
                <w:szCs w:val="24"/>
                <w:lang w:val="en-US"/>
              </w:rPr>
            </w:pPr>
            <w:r>
              <w:rPr>
                <w:rFonts w:hint="eastAsia"/>
                <w:color w:val="auto"/>
                <w:sz w:val="24"/>
                <w:szCs w:val="24"/>
                <w:lang w:val="en-US"/>
              </w:rPr>
              <w:t>收款账号</w:t>
            </w:r>
          </w:p>
        </w:tc>
        <w:tc>
          <w:tcPr>
            <w:tcW w:w="1397"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560" w:lineRule="exact"/>
              <w:rPr>
                <w:color w:val="auto"/>
                <w:sz w:val="24"/>
                <w:szCs w:val="24"/>
                <w:lang w:val="en-US"/>
              </w:rPr>
            </w:pPr>
            <w:r>
              <w:rPr>
                <w:rFonts w:hint="eastAsia"/>
                <w:color w:val="auto"/>
                <w:sz w:val="24"/>
                <w:szCs w:val="24"/>
                <w:lang w:val="en-US"/>
              </w:rPr>
              <w:t>交付</w:t>
            </w:r>
          </w:p>
          <w:p>
            <w:pPr>
              <w:spacing w:line="560" w:lineRule="exact"/>
              <w:rPr>
                <w:color w:val="auto"/>
                <w:sz w:val="24"/>
                <w:szCs w:val="24"/>
                <w:lang w:val="en-US"/>
              </w:rPr>
            </w:pPr>
            <w:r>
              <w:rPr>
                <w:rFonts w:hint="eastAsia"/>
                <w:color w:val="auto"/>
                <w:sz w:val="24"/>
                <w:szCs w:val="24"/>
                <w:lang w:val="en-US"/>
              </w:rPr>
              <w:t>方式</w:t>
            </w:r>
          </w:p>
        </w:tc>
      </w:tr>
      <w:tr>
        <w:tblPrEx>
          <w:tblLayout w:type="fixed"/>
          <w:tblCellMar>
            <w:top w:w="15" w:type="dxa"/>
            <w:left w:w="15" w:type="dxa"/>
            <w:bottom w:w="15" w:type="dxa"/>
            <w:right w:w="15" w:type="dxa"/>
          </w:tblCellMar>
        </w:tblPrEx>
        <w:trPr>
          <w:trHeight w:val="650" w:hRule="atLeast"/>
        </w:trPr>
        <w:tc>
          <w:tcPr>
            <w:tcW w:w="802"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560" w:lineRule="exact"/>
              <w:jc w:val="center"/>
              <w:rPr>
                <w:color w:val="auto"/>
                <w:sz w:val="24"/>
                <w:szCs w:val="24"/>
                <w:highlight w:val="none"/>
                <w:lang w:val="en-US"/>
              </w:rPr>
            </w:pPr>
            <w:r>
              <w:rPr>
                <w:rFonts w:hint="eastAsia"/>
                <w:color w:val="auto"/>
                <w:sz w:val="24"/>
                <w:szCs w:val="24"/>
                <w:highlight w:val="none"/>
                <w:lang w:val="en-US"/>
              </w:rPr>
              <w:t>1</w:t>
            </w:r>
          </w:p>
        </w:tc>
        <w:tc>
          <w:tcPr>
            <w:tcW w:w="1394"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560" w:lineRule="exact"/>
              <w:rPr>
                <w:color w:val="auto"/>
                <w:sz w:val="24"/>
                <w:szCs w:val="24"/>
                <w:highlight w:val="none"/>
                <w:lang w:val="en-US"/>
              </w:rPr>
            </w:pPr>
            <w:r>
              <w:rPr>
                <w:rFonts w:hint="eastAsia"/>
                <w:color w:val="auto"/>
                <w:sz w:val="24"/>
                <w:szCs w:val="24"/>
                <w:highlight w:val="none"/>
                <w:lang w:val="en-US"/>
              </w:rPr>
              <w:t>二标段</w:t>
            </w:r>
          </w:p>
        </w:tc>
        <w:tc>
          <w:tcPr>
            <w:tcW w:w="1985"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560" w:lineRule="exact"/>
              <w:jc w:val="center"/>
              <w:rPr>
                <w:rFonts w:hint="eastAsia"/>
                <w:color w:val="auto"/>
                <w:sz w:val="24"/>
                <w:szCs w:val="24"/>
                <w:highlight w:val="none"/>
                <w:lang w:val="en-US"/>
              </w:rPr>
            </w:pPr>
            <w:r>
              <w:rPr>
                <w:rFonts w:hint="eastAsia"/>
                <w:color w:val="auto"/>
                <w:sz w:val="24"/>
                <w:szCs w:val="24"/>
                <w:highlight w:val="none"/>
                <w:lang w:val="en-US" w:eastAsia="zh-CN"/>
              </w:rPr>
              <w:t>15000</w:t>
            </w:r>
          </w:p>
        </w:tc>
        <w:tc>
          <w:tcPr>
            <w:tcW w:w="2780" w:type="dxa"/>
            <w:tcBorders>
              <w:left w:val="dashed" w:color="DDDDDD" w:sz="6" w:space="0"/>
              <w:right w:val="dashed" w:color="DDDDDD" w:sz="6" w:space="0"/>
            </w:tcBorders>
            <w:tcMar>
              <w:top w:w="75" w:type="dxa"/>
              <w:left w:w="150" w:type="dxa"/>
              <w:bottom w:w="75" w:type="dxa"/>
              <w:right w:w="150" w:type="dxa"/>
            </w:tcMar>
            <w:vAlign w:val="center"/>
          </w:tcPr>
          <w:p>
            <w:pPr>
              <w:spacing w:line="560" w:lineRule="exact"/>
              <w:rPr>
                <w:color w:val="auto"/>
                <w:sz w:val="24"/>
                <w:szCs w:val="24"/>
                <w:highlight w:val="none"/>
                <w:lang w:val="en-US"/>
              </w:rPr>
            </w:pPr>
            <w:r>
              <w:rPr>
                <w:rFonts w:hint="eastAsia"/>
                <w:color w:val="auto"/>
                <w:sz w:val="24"/>
                <w:szCs w:val="24"/>
                <w:highlight w:val="none"/>
                <w:lang w:val="en-US"/>
              </w:rPr>
              <w:t>中国农业银行股份有限公司伊宁新华支行</w:t>
            </w:r>
          </w:p>
        </w:tc>
        <w:tc>
          <w:tcPr>
            <w:tcW w:w="2002" w:type="dxa"/>
            <w:tcBorders>
              <w:left w:val="dashed" w:color="DDDDDD" w:sz="6" w:space="0"/>
              <w:right w:val="dashed" w:color="DDDDDD" w:sz="6" w:space="0"/>
            </w:tcBorders>
            <w:tcMar>
              <w:top w:w="75" w:type="dxa"/>
              <w:left w:w="150" w:type="dxa"/>
              <w:bottom w:w="75" w:type="dxa"/>
              <w:right w:w="150" w:type="dxa"/>
            </w:tcMar>
            <w:vAlign w:val="center"/>
          </w:tcPr>
          <w:p>
            <w:pPr>
              <w:spacing w:line="560" w:lineRule="exact"/>
              <w:rPr>
                <w:color w:val="auto"/>
                <w:sz w:val="24"/>
                <w:szCs w:val="24"/>
                <w:highlight w:val="none"/>
                <w:lang w:val="en-US"/>
              </w:rPr>
            </w:pPr>
            <w:r>
              <w:rPr>
                <w:rFonts w:hint="eastAsia"/>
                <w:color w:val="auto"/>
                <w:sz w:val="24"/>
                <w:szCs w:val="24"/>
                <w:highlight w:val="none"/>
                <w:lang w:val="en-US"/>
              </w:rPr>
              <w:t>30101001040003044</w:t>
            </w:r>
          </w:p>
        </w:tc>
        <w:tc>
          <w:tcPr>
            <w:tcW w:w="1397" w:type="dxa"/>
            <w:tcBorders>
              <w:left w:val="dashed" w:color="DDDDDD" w:sz="6" w:space="0"/>
              <w:right w:val="dashed" w:color="DDDDDD" w:sz="6" w:space="0"/>
            </w:tcBorders>
            <w:tcMar>
              <w:top w:w="75" w:type="dxa"/>
              <w:left w:w="150" w:type="dxa"/>
              <w:bottom w:w="75" w:type="dxa"/>
              <w:right w:w="150" w:type="dxa"/>
            </w:tcMar>
            <w:vAlign w:val="center"/>
          </w:tcPr>
          <w:p>
            <w:pPr>
              <w:spacing w:line="560" w:lineRule="exact"/>
              <w:rPr>
                <w:rFonts w:hint="eastAsia"/>
                <w:color w:val="auto"/>
                <w:sz w:val="24"/>
                <w:szCs w:val="24"/>
                <w:highlight w:val="none"/>
                <w:lang w:val="en-US" w:eastAsia="zh-CN"/>
              </w:rPr>
            </w:pPr>
            <w:r>
              <w:rPr>
                <w:rFonts w:hint="eastAsia"/>
                <w:color w:val="auto"/>
                <w:sz w:val="24"/>
                <w:szCs w:val="24"/>
                <w:highlight w:val="none"/>
                <w:lang w:val="en-US" w:eastAsia="zh-CN"/>
              </w:rPr>
              <w:t>电汇或</w:t>
            </w:r>
          </w:p>
          <w:p>
            <w:pPr>
              <w:spacing w:line="560" w:lineRule="exact"/>
              <w:rPr>
                <w:rFonts w:hint="eastAsia" w:eastAsia="宋体"/>
                <w:color w:val="auto"/>
                <w:sz w:val="24"/>
                <w:szCs w:val="24"/>
                <w:highlight w:val="none"/>
                <w:lang w:val="en-US" w:eastAsia="zh-CN"/>
              </w:rPr>
            </w:pPr>
            <w:r>
              <w:rPr>
                <w:rFonts w:hint="eastAsia"/>
                <w:color w:val="auto"/>
                <w:sz w:val="24"/>
                <w:szCs w:val="24"/>
                <w:highlight w:val="none"/>
                <w:lang w:val="en-US" w:eastAsia="zh-CN"/>
              </w:rPr>
              <w:t>保函</w:t>
            </w:r>
          </w:p>
        </w:tc>
      </w:tr>
    </w:tbl>
    <w:p>
      <w:pPr>
        <w:spacing w:line="560" w:lineRule="exact"/>
        <w:rPr>
          <w:sz w:val="24"/>
          <w:szCs w:val="24"/>
          <w:highlight w:val="none"/>
          <w:lang w:val="en-US"/>
        </w:rPr>
      </w:pPr>
      <w:r>
        <w:rPr>
          <w:rFonts w:hint="eastAsia"/>
          <w:sz w:val="24"/>
          <w:szCs w:val="24"/>
          <w:highlight w:val="none"/>
          <w:lang w:val="en-US"/>
        </w:rPr>
        <w:t>十一、 其他事项：</w:t>
      </w:r>
    </w:p>
    <w:p>
      <w:pPr>
        <w:spacing w:line="560" w:lineRule="exact"/>
        <w:rPr>
          <w:sz w:val="24"/>
          <w:szCs w:val="24"/>
          <w:lang w:val="en-US"/>
        </w:rPr>
      </w:pPr>
      <w:r>
        <w:rPr>
          <w:rFonts w:hint="eastAsia"/>
          <w:sz w:val="24"/>
          <w:szCs w:val="24"/>
          <w:lang w:val="en-US"/>
        </w:rPr>
        <w:t>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560" w:lineRule="exact"/>
        <w:rPr>
          <w:sz w:val="24"/>
          <w:szCs w:val="24"/>
          <w:lang w:val="en-US"/>
        </w:rPr>
      </w:pPr>
      <w:r>
        <w:rPr>
          <w:rFonts w:hint="eastAsia"/>
          <w:sz w:val="24"/>
          <w:szCs w:val="24"/>
          <w:lang w:val="en-US"/>
        </w:rPr>
        <w:t>十二、 联系方式</w:t>
      </w:r>
    </w:p>
    <w:p>
      <w:pPr>
        <w:spacing w:line="560" w:lineRule="exact"/>
        <w:rPr>
          <w:sz w:val="24"/>
          <w:szCs w:val="24"/>
          <w:lang w:val="en-US"/>
        </w:rPr>
      </w:pPr>
      <w:r>
        <w:rPr>
          <w:rFonts w:hint="eastAsia"/>
          <w:sz w:val="24"/>
          <w:szCs w:val="24"/>
          <w:lang w:val="en-US"/>
        </w:rPr>
        <w:t>1、采购代理机构名称：法正项目管理集团有限公司伊犁分公司 </w:t>
      </w:r>
    </w:p>
    <w:p>
      <w:pPr>
        <w:spacing w:line="560" w:lineRule="exact"/>
        <w:rPr>
          <w:sz w:val="24"/>
          <w:szCs w:val="24"/>
          <w:lang w:val="en-US"/>
        </w:rPr>
      </w:pPr>
      <w:r>
        <w:rPr>
          <w:rFonts w:hint="eastAsia"/>
          <w:sz w:val="24"/>
          <w:szCs w:val="24"/>
          <w:lang w:val="en-US"/>
        </w:rPr>
        <w:t>联系人：刘婷 </w:t>
      </w:r>
    </w:p>
    <w:p>
      <w:pPr>
        <w:spacing w:line="560" w:lineRule="exact"/>
        <w:rPr>
          <w:sz w:val="24"/>
          <w:szCs w:val="24"/>
          <w:lang w:val="en-US"/>
        </w:rPr>
      </w:pPr>
      <w:r>
        <w:rPr>
          <w:rFonts w:hint="eastAsia"/>
          <w:sz w:val="24"/>
          <w:szCs w:val="24"/>
          <w:lang w:val="en-US"/>
        </w:rPr>
        <w:t>联系电话：15276327404</w:t>
      </w:r>
    </w:p>
    <w:p>
      <w:pPr>
        <w:spacing w:line="560" w:lineRule="exact"/>
        <w:rPr>
          <w:sz w:val="24"/>
          <w:szCs w:val="24"/>
          <w:lang w:val="en-US"/>
        </w:rPr>
      </w:pPr>
      <w:r>
        <w:rPr>
          <w:rFonts w:hint="eastAsia"/>
          <w:sz w:val="24"/>
          <w:szCs w:val="24"/>
          <w:lang w:val="en-US"/>
        </w:rPr>
        <w:t>地址：新疆维吾尔自治区伊犁哈萨克自治州伊宁市新华西路58号3层 </w:t>
      </w:r>
    </w:p>
    <w:p>
      <w:pPr>
        <w:spacing w:line="560" w:lineRule="exact"/>
        <w:rPr>
          <w:sz w:val="24"/>
          <w:szCs w:val="24"/>
          <w:lang w:val="en-US"/>
        </w:rPr>
      </w:pPr>
      <w:r>
        <w:rPr>
          <w:rFonts w:hint="eastAsia"/>
          <w:sz w:val="24"/>
          <w:szCs w:val="24"/>
          <w:lang w:val="en-US"/>
        </w:rPr>
        <w:t>2、采购人名称：</w:t>
      </w:r>
      <w:r>
        <w:rPr>
          <w:rFonts w:hint="eastAsia"/>
          <w:sz w:val="24"/>
          <w:szCs w:val="24"/>
          <w:lang w:val="en-US" w:eastAsia="zh-CN"/>
        </w:rPr>
        <w:t>新疆维吾尔自治区伊宁卫生学校</w:t>
      </w:r>
      <w:r>
        <w:rPr>
          <w:rFonts w:hint="eastAsia"/>
          <w:sz w:val="24"/>
          <w:szCs w:val="24"/>
          <w:lang w:val="en-US"/>
        </w:rPr>
        <w:t> </w:t>
      </w:r>
    </w:p>
    <w:p>
      <w:pPr>
        <w:spacing w:line="560" w:lineRule="exact"/>
        <w:rPr>
          <w:sz w:val="24"/>
          <w:szCs w:val="24"/>
          <w:lang w:val="en-US"/>
        </w:rPr>
      </w:pPr>
      <w:r>
        <w:rPr>
          <w:rFonts w:hint="eastAsia"/>
          <w:sz w:val="24"/>
          <w:szCs w:val="24"/>
          <w:lang w:val="en-US"/>
        </w:rPr>
        <w:t>联系人：</w:t>
      </w:r>
      <w:r>
        <w:rPr>
          <w:rFonts w:hint="eastAsia"/>
          <w:sz w:val="24"/>
          <w:szCs w:val="24"/>
          <w:lang w:val="en-US" w:eastAsia="zh-CN"/>
        </w:rPr>
        <w:t>何毅</w:t>
      </w:r>
      <w:r>
        <w:rPr>
          <w:rFonts w:hint="eastAsia"/>
          <w:sz w:val="24"/>
          <w:szCs w:val="24"/>
          <w:lang w:val="en-US"/>
        </w:rPr>
        <w:t> </w:t>
      </w:r>
    </w:p>
    <w:p>
      <w:pPr>
        <w:spacing w:line="560" w:lineRule="exact"/>
        <w:rPr>
          <w:rFonts w:hint="eastAsia" w:eastAsia="宋体"/>
          <w:sz w:val="24"/>
          <w:szCs w:val="24"/>
          <w:lang w:val="en-US" w:eastAsia="zh-CN"/>
        </w:rPr>
      </w:pPr>
      <w:r>
        <w:rPr>
          <w:rFonts w:hint="eastAsia"/>
          <w:sz w:val="24"/>
          <w:szCs w:val="24"/>
          <w:lang w:val="en-US"/>
        </w:rPr>
        <w:t>联系电话：</w:t>
      </w:r>
      <w:r>
        <w:rPr>
          <w:rFonts w:hint="eastAsia"/>
          <w:sz w:val="24"/>
          <w:szCs w:val="24"/>
          <w:lang w:val="en-US" w:eastAsia="zh-CN"/>
        </w:rPr>
        <w:t>0999-8218398</w:t>
      </w:r>
    </w:p>
    <w:p>
      <w:pPr>
        <w:spacing w:line="560" w:lineRule="exact"/>
        <w:rPr>
          <w:sz w:val="24"/>
          <w:szCs w:val="24"/>
          <w:lang w:val="en-US"/>
        </w:rPr>
      </w:pPr>
      <w:r>
        <w:rPr>
          <w:rFonts w:hint="eastAsia"/>
          <w:sz w:val="24"/>
          <w:szCs w:val="24"/>
          <w:lang w:val="en-US"/>
        </w:rPr>
        <w:t>3、同级政府采购监督管理部门名称：伊犁州采购办 </w:t>
      </w:r>
    </w:p>
    <w:p>
      <w:pPr>
        <w:widowControl/>
        <w:spacing w:line="500" w:lineRule="exact"/>
        <w:rPr>
          <w:bCs/>
          <w:sz w:val="24"/>
          <w:shd w:val="clear" w:color="050000" w:fill="auto"/>
        </w:rPr>
      </w:pPr>
      <w:r>
        <w:rPr>
          <w:rFonts w:hint="eastAsia"/>
          <w:bCs/>
          <w:sz w:val="24"/>
          <w:shd w:val="clear" w:color="050000" w:fill="auto"/>
        </w:rPr>
        <w:t>联系人：</w:t>
      </w:r>
      <w:r>
        <w:rPr>
          <w:rFonts w:hint="eastAsia"/>
          <w:bCs/>
          <w:sz w:val="24"/>
          <w:shd w:val="clear" w:color="050000" w:fill="auto"/>
          <w:lang w:eastAsia="zh-CN"/>
        </w:rPr>
        <w:t>赵文君</w:t>
      </w:r>
      <w:r>
        <w:rPr>
          <w:rFonts w:hint="eastAsia"/>
          <w:bCs/>
          <w:sz w:val="24"/>
          <w:shd w:val="clear" w:color="050000" w:fill="auto"/>
        </w:rPr>
        <w:t> </w:t>
      </w:r>
    </w:p>
    <w:p>
      <w:pPr>
        <w:pStyle w:val="3"/>
        <w:tabs>
          <w:tab w:val="left" w:pos="1607"/>
        </w:tabs>
        <w:spacing w:line="500" w:lineRule="exact"/>
        <w:ind w:right="15"/>
        <w:rPr>
          <w:b w:val="0"/>
          <w:bCs w:val="0"/>
          <w:sz w:val="24"/>
          <w:shd w:val="clear" w:color="050000" w:fill="auto"/>
        </w:rPr>
      </w:pPr>
      <w:r>
        <w:rPr>
          <w:rFonts w:hint="eastAsia"/>
          <w:b w:val="0"/>
          <w:bCs w:val="0"/>
          <w:sz w:val="24"/>
          <w:shd w:val="clear" w:color="050000" w:fill="auto"/>
        </w:rPr>
        <w:t>监督投诉电话：0999-8075070</w:t>
      </w: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440" w:firstLine="480"/>
        <w:rPr>
          <w:bCs/>
          <w:sz w:val="24"/>
          <w:highlight w:val="yellow"/>
          <w:shd w:val="clear" w:color="050000" w:fill="auto"/>
        </w:rPr>
      </w:pPr>
    </w:p>
    <w:p>
      <w:pPr>
        <w:pStyle w:val="12"/>
        <w:ind w:left="0" w:leftChars="0" w:firstLine="0" w:firstLineChars="0"/>
        <w:rPr>
          <w:bCs/>
          <w:sz w:val="24"/>
          <w:highlight w:val="yellow"/>
          <w:shd w:val="clear" w:color="050000" w:fill="auto"/>
        </w:rPr>
      </w:pPr>
    </w:p>
    <w:p>
      <w:pPr>
        <w:pStyle w:val="3"/>
        <w:tabs>
          <w:tab w:val="left" w:pos="1607"/>
        </w:tabs>
        <w:ind w:right="15"/>
        <w:jc w:val="center"/>
      </w:pPr>
      <w:r>
        <w:t>第二部分</w:t>
      </w:r>
      <w:r>
        <w:tab/>
      </w:r>
      <w:r>
        <w:t>供应商须知</w:t>
      </w:r>
    </w:p>
    <w:p>
      <w:pPr>
        <w:pStyle w:val="2"/>
        <w:ind w:left="0"/>
        <w:rPr>
          <w:b/>
          <w:sz w:val="20"/>
        </w:rPr>
      </w:pPr>
    </w:p>
    <w:p>
      <w:pPr>
        <w:pStyle w:val="2"/>
        <w:spacing w:before="7"/>
        <w:ind w:left="0"/>
        <w:rPr>
          <w:b/>
          <w:sz w:val="26"/>
        </w:rPr>
      </w:pPr>
    </w:p>
    <w:p>
      <w:pPr>
        <w:pStyle w:val="2"/>
        <w:tabs>
          <w:tab w:val="left" w:pos="980"/>
        </w:tabs>
        <w:spacing w:before="67"/>
      </w:pPr>
      <w:r>
        <w:rPr>
          <w:u w:val="single"/>
        </w:rPr>
        <w:t>目</w:t>
      </w:r>
      <w:r>
        <w:rPr>
          <w:u w:val="single"/>
        </w:rPr>
        <w:tab/>
      </w:r>
      <w:r>
        <w:rPr>
          <w:u w:val="single"/>
        </w:rPr>
        <w:t>录</w:t>
      </w:r>
    </w:p>
    <w:p>
      <w:pPr>
        <w:pStyle w:val="2"/>
        <w:ind w:left="0"/>
        <w:rPr>
          <w:sz w:val="20"/>
        </w:rPr>
      </w:pPr>
    </w:p>
    <w:p>
      <w:pPr>
        <w:pStyle w:val="2"/>
        <w:spacing w:before="11"/>
        <w:ind w:left="0"/>
        <w:rPr>
          <w:sz w:val="19"/>
        </w:rPr>
      </w:pPr>
    </w:p>
    <w:p>
      <w:pPr>
        <w:pStyle w:val="22"/>
        <w:numPr>
          <w:ilvl w:val="0"/>
          <w:numId w:val="2"/>
        </w:numPr>
        <w:tabs>
          <w:tab w:val="left" w:pos="621"/>
        </w:tabs>
        <w:spacing w:before="0"/>
        <w:ind w:hanging="360"/>
        <w:rPr>
          <w:sz w:val="24"/>
        </w:rPr>
      </w:pPr>
      <w:r>
        <w:rPr>
          <w:sz w:val="24"/>
        </w:rPr>
        <w:t>说明</w:t>
      </w:r>
    </w:p>
    <w:p>
      <w:pPr>
        <w:pStyle w:val="22"/>
        <w:numPr>
          <w:ilvl w:val="0"/>
          <w:numId w:val="3"/>
        </w:numPr>
        <w:tabs>
          <w:tab w:val="left" w:pos="463"/>
        </w:tabs>
        <w:spacing w:before="100"/>
        <w:ind w:hanging="202"/>
        <w:rPr>
          <w:sz w:val="24"/>
        </w:rPr>
      </w:pPr>
      <w:r>
        <w:rPr>
          <w:sz w:val="24"/>
        </w:rPr>
        <w:t>适用范围</w:t>
      </w:r>
    </w:p>
    <w:p>
      <w:pPr>
        <w:pStyle w:val="22"/>
        <w:numPr>
          <w:ilvl w:val="0"/>
          <w:numId w:val="3"/>
        </w:numPr>
        <w:tabs>
          <w:tab w:val="left" w:pos="463"/>
        </w:tabs>
        <w:spacing w:before="103"/>
        <w:ind w:hanging="202"/>
        <w:rPr>
          <w:sz w:val="24"/>
        </w:rPr>
      </w:pPr>
      <w:r>
        <w:rPr>
          <w:sz w:val="24"/>
        </w:rPr>
        <w:t>定义</w:t>
      </w:r>
    </w:p>
    <w:p>
      <w:pPr>
        <w:pStyle w:val="22"/>
        <w:numPr>
          <w:ilvl w:val="0"/>
          <w:numId w:val="3"/>
        </w:numPr>
        <w:tabs>
          <w:tab w:val="left" w:pos="463"/>
        </w:tabs>
        <w:ind w:hanging="202"/>
        <w:rPr>
          <w:sz w:val="24"/>
        </w:rPr>
      </w:pPr>
      <w:r>
        <w:rPr>
          <w:sz w:val="24"/>
        </w:rPr>
        <w:t>合格的供应商</w:t>
      </w:r>
    </w:p>
    <w:p>
      <w:pPr>
        <w:pStyle w:val="22"/>
        <w:numPr>
          <w:ilvl w:val="0"/>
          <w:numId w:val="3"/>
        </w:numPr>
        <w:tabs>
          <w:tab w:val="left" w:pos="463"/>
        </w:tabs>
        <w:spacing w:before="103"/>
        <w:ind w:hanging="202"/>
        <w:rPr>
          <w:sz w:val="24"/>
        </w:rPr>
      </w:pPr>
      <w:r>
        <w:rPr>
          <w:sz w:val="24"/>
        </w:rPr>
        <w:t>供应商资格</w:t>
      </w:r>
    </w:p>
    <w:p>
      <w:pPr>
        <w:pStyle w:val="22"/>
        <w:numPr>
          <w:ilvl w:val="0"/>
          <w:numId w:val="3"/>
        </w:numPr>
        <w:tabs>
          <w:tab w:val="left" w:pos="463"/>
        </w:tabs>
        <w:ind w:hanging="202"/>
        <w:rPr>
          <w:sz w:val="24"/>
        </w:rPr>
      </w:pPr>
      <w:r>
        <w:rPr>
          <w:sz w:val="24"/>
        </w:rPr>
        <w:t>投标费用</w:t>
      </w:r>
    </w:p>
    <w:p>
      <w:pPr>
        <w:pStyle w:val="22"/>
        <w:numPr>
          <w:ilvl w:val="0"/>
          <w:numId w:val="2"/>
        </w:numPr>
        <w:tabs>
          <w:tab w:val="left" w:pos="621"/>
        </w:tabs>
        <w:spacing w:before="103"/>
        <w:ind w:hanging="360"/>
        <w:rPr>
          <w:sz w:val="24"/>
        </w:rPr>
      </w:pPr>
      <w:r>
        <w:rPr>
          <w:sz w:val="24"/>
        </w:rPr>
        <w:t>采购文件</w:t>
      </w:r>
    </w:p>
    <w:p>
      <w:pPr>
        <w:pStyle w:val="22"/>
        <w:numPr>
          <w:ilvl w:val="0"/>
          <w:numId w:val="3"/>
        </w:numPr>
        <w:tabs>
          <w:tab w:val="left" w:pos="463"/>
        </w:tabs>
        <w:spacing w:before="100"/>
        <w:ind w:hanging="202"/>
        <w:rPr>
          <w:sz w:val="24"/>
        </w:rPr>
      </w:pPr>
      <w:r>
        <w:rPr>
          <w:sz w:val="24"/>
        </w:rPr>
        <w:t>采购文件构成</w:t>
      </w:r>
    </w:p>
    <w:p>
      <w:pPr>
        <w:pStyle w:val="22"/>
        <w:numPr>
          <w:ilvl w:val="0"/>
          <w:numId w:val="3"/>
        </w:numPr>
        <w:tabs>
          <w:tab w:val="left" w:pos="463"/>
        </w:tabs>
        <w:ind w:hanging="202"/>
        <w:rPr>
          <w:sz w:val="24"/>
        </w:rPr>
      </w:pPr>
      <w:r>
        <w:rPr>
          <w:sz w:val="24"/>
        </w:rPr>
        <w:t>采购文件澄清</w:t>
      </w:r>
    </w:p>
    <w:p>
      <w:pPr>
        <w:pStyle w:val="22"/>
        <w:numPr>
          <w:ilvl w:val="0"/>
          <w:numId w:val="3"/>
        </w:numPr>
        <w:tabs>
          <w:tab w:val="left" w:pos="463"/>
        </w:tabs>
        <w:spacing w:before="103"/>
        <w:ind w:hanging="202"/>
        <w:rPr>
          <w:sz w:val="24"/>
        </w:rPr>
      </w:pPr>
      <w:r>
        <w:rPr>
          <w:sz w:val="24"/>
        </w:rPr>
        <w:t>采购文件的修改</w:t>
      </w:r>
    </w:p>
    <w:p>
      <w:pPr>
        <w:pStyle w:val="22"/>
        <w:numPr>
          <w:ilvl w:val="0"/>
          <w:numId w:val="2"/>
        </w:numPr>
        <w:tabs>
          <w:tab w:val="left" w:pos="621"/>
        </w:tabs>
        <w:spacing w:before="100"/>
        <w:ind w:hanging="360"/>
        <w:rPr>
          <w:sz w:val="24"/>
        </w:rPr>
      </w:pPr>
      <w:r>
        <w:rPr>
          <w:sz w:val="24"/>
        </w:rPr>
        <w:t>投标文件的编写</w:t>
      </w:r>
    </w:p>
    <w:p>
      <w:pPr>
        <w:pStyle w:val="22"/>
        <w:numPr>
          <w:ilvl w:val="0"/>
          <w:numId w:val="3"/>
        </w:numPr>
        <w:tabs>
          <w:tab w:val="left" w:pos="463"/>
        </w:tabs>
        <w:spacing w:before="103"/>
        <w:ind w:hanging="202"/>
        <w:rPr>
          <w:sz w:val="24"/>
        </w:rPr>
      </w:pPr>
      <w:r>
        <w:rPr>
          <w:sz w:val="24"/>
        </w:rPr>
        <w:t>要求</w:t>
      </w:r>
    </w:p>
    <w:p>
      <w:pPr>
        <w:pStyle w:val="22"/>
        <w:numPr>
          <w:ilvl w:val="0"/>
          <w:numId w:val="3"/>
        </w:numPr>
        <w:tabs>
          <w:tab w:val="left" w:pos="597"/>
        </w:tabs>
        <w:ind w:left="596" w:hanging="336"/>
        <w:rPr>
          <w:sz w:val="24"/>
        </w:rPr>
      </w:pPr>
      <w:r>
        <w:rPr>
          <w:sz w:val="24"/>
        </w:rPr>
        <w:t>投标语言</w:t>
      </w:r>
    </w:p>
    <w:p>
      <w:pPr>
        <w:pStyle w:val="22"/>
        <w:numPr>
          <w:ilvl w:val="0"/>
          <w:numId w:val="3"/>
        </w:numPr>
        <w:tabs>
          <w:tab w:val="left" w:pos="597"/>
        </w:tabs>
        <w:spacing w:before="100"/>
        <w:ind w:left="596" w:hanging="336"/>
        <w:rPr>
          <w:sz w:val="24"/>
        </w:rPr>
      </w:pPr>
      <w:r>
        <w:rPr>
          <w:sz w:val="24"/>
        </w:rPr>
        <w:t>投标文件的构成</w:t>
      </w:r>
    </w:p>
    <w:p>
      <w:pPr>
        <w:pStyle w:val="22"/>
        <w:numPr>
          <w:ilvl w:val="0"/>
          <w:numId w:val="3"/>
        </w:numPr>
        <w:tabs>
          <w:tab w:val="left" w:pos="597"/>
        </w:tabs>
        <w:spacing w:before="103"/>
        <w:ind w:left="596" w:hanging="336"/>
        <w:rPr>
          <w:sz w:val="24"/>
        </w:rPr>
      </w:pPr>
      <w:r>
        <w:rPr>
          <w:sz w:val="24"/>
        </w:rPr>
        <w:t>投标文件格式</w:t>
      </w:r>
    </w:p>
    <w:p>
      <w:pPr>
        <w:pStyle w:val="22"/>
        <w:numPr>
          <w:ilvl w:val="0"/>
          <w:numId w:val="3"/>
        </w:numPr>
        <w:tabs>
          <w:tab w:val="left" w:pos="597"/>
        </w:tabs>
        <w:ind w:left="596" w:hanging="336"/>
        <w:rPr>
          <w:sz w:val="24"/>
        </w:rPr>
      </w:pPr>
      <w:r>
        <w:rPr>
          <w:sz w:val="24"/>
        </w:rPr>
        <w:t>投标报价</w:t>
      </w:r>
    </w:p>
    <w:p>
      <w:pPr>
        <w:pStyle w:val="22"/>
        <w:numPr>
          <w:ilvl w:val="0"/>
          <w:numId w:val="3"/>
        </w:numPr>
        <w:tabs>
          <w:tab w:val="left" w:pos="597"/>
        </w:tabs>
        <w:spacing w:before="103"/>
        <w:ind w:left="596" w:hanging="336"/>
        <w:rPr>
          <w:sz w:val="24"/>
        </w:rPr>
      </w:pPr>
      <w:r>
        <w:rPr>
          <w:sz w:val="24"/>
        </w:rPr>
        <w:t>投标货币</w:t>
      </w:r>
    </w:p>
    <w:p>
      <w:pPr>
        <w:pStyle w:val="22"/>
        <w:numPr>
          <w:ilvl w:val="0"/>
          <w:numId w:val="3"/>
        </w:numPr>
        <w:tabs>
          <w:tab w:val="left" w:pos="597"/>
        </w:tabs>
        <w:spacing w:before="100"/>
        <w:ind w:left="596" w:hanging="336"/>
        <w:rPr>
          <w:sz w:val="24"/>
        </w:rPr>
      </w:pPr>
      <w:r>
        <w:rPr>
          <w:spacing w:val="-1"/>
          <w:sz w:val="24"/>
        </w:rPr>
        <w:t>供应商资格的证明文件</w:t>
      </w:r>
    </w:p>
    <w:p>
      <w:pPr>
        <w:pStyle w:val="22"/>
        <w:numPr>
          <w:ilvl w:val="0"/>
          <w:numId w:val="3"/>
        </w:numPr>
        <w:tabs>
          <w:tab w:val="left" w:pos="597"/>
        </w:tabs>
        <w:spacing w:before="103"/>
        <w:ind w:left="596" w:hanging="336"/>
        <w:rPr>
          <w:sz w:val="24"/>
        </w:rPr>
      </w:pPr>
      <w:r>
        <w:rPr>
          <w:spacing w:val="-1"/>
          <w:sz w:val="24"/>
        </w:rPr>
        <w:t>投标货物符合采购文件规定的技术响应文件</w:t>
      </w:r>
    </w:p>
    <w:p>
      <w:pPr>
        <w:pStyle w:val="22"/>
        <w:numPr>
          <w:ilvl w:val="0"/>
          <w:numId w:val="3"/>
        </w:numPr>
        <w:tabs>
          <w:tab w:val="left" w:pos="597"/>
        </w:tabs>
        <w:ind w:left="596" w:hanging="336"/>
        <w:rPr>
          <w:sz w:val="24"/>
        </w:rPr>
      </w:pPr>
      <w:r>
        <w:rPr>
          <w:sz w:val="24"/>
        </w:rPr>
        <w:t>投标有效期</w:t>
      </w:r>
    </w:p>
    <w:p>
      <w:pPr>
        <w:pStyle w:val="22"/>
        <w:numPr>
          <w:ilvl w:val="0"/>
          <w:numId w:val="3"/>
        </w:numPr>
        <w:tabs>
          <w:tab w:val="left" w:pos="597"/>
        </w:tabs>
        <w:spacing w:before="100"/>
        <w:ind w:left="596" w:hanging="336"/>
        <w:rPr>
          <w:sz w:val="24"/>
        </w:rPr>
      </w:pPr>
      <w:r>
        <w:rPr>
          <w:spacing w:val="-1"/>
          <w:sz w:val="24"/>
        </w:rPr>
        <w:t>投标文件的书写要求</w:t>
      </w:r>
    </w:p>
    <w:p>
      <w:pPr>
        <w:pStyle w:val="22"/>
        <w:numPr>
          <w:ilvl w:val="0"/>
          <w:numId w:val="3"/>
        </w:numPr>
        <w:tabs>
          <w:tab w:val="left" w:pos="597"/>
        </w:tabs>
        <w:spacing w:before="103"/>
        <w:ind w:left="596" w:hanging="336"/>
        <w:rPr>
          <w:sz w:val="24"/>
        </w:rPr>
      </w:pPr>
      <w:r>
        <w:rPr>
          <w:sz w:val="24"/>
        </w:rPr>
        <w:t>投标保证金</w:t>
      </w:r>
    </w:p>
    <w:p>
      <w:pPr>
        <w:pStyle w:val="22"/>
        <w:numPr>
          <w:ilvl w:val="0"/>
          <w:numId w:val="2"/>
        </w:numPr>
        <w:tabs>
          <w:tab w:val="left" w:pos="621"/>
        </w:tabs>
        <w:ind w:hanging="360"/>
        <w:rPr>
          <w:sz w:val="24"/>
        </w:rPr>
      </w:pPr>
      <w:r>
        <w:rPr>
          <w:sz w:val="24"/>
        </w:rPr>
        <w:t>投标文件的递交</w:t>
      </w:r>
    </w:p>
    <w:p>
      <w:pPr>
        <w:pStyle w:val="22"/>
        <w:numPr>
          <w:ilvl w:val="0"/>
          <w:numId w:val="3"/>
        </w:numPr>
        <w:tabs>
          <w:tab w:val="left" w:pos="597"/>
        </w:tabs>
        <w:spacing w:before="102"/>
        <w:ind w:left="596" w:hanging="336"/>
        <w:rPr>
          <w:sz w:val="24"/>
        </w:rPr>
      </w:pPr>
      <w:r>
        <w:rPr>
          <w:spacing w:val="-1"/>
          <w:sz w:val="24"/>
        </w:rPr>
        <w:t>投标文件的密封与标记</w:t>
      </w:r>
    </w:p>
    <w:p>
      <w:pPr>
        <w:pStyle w:val="22"/>
        <w:numPr>
          <w:ilvl w:val="0"/>
          <w:numId w:val="3"/>
        </w:numPr>
        <w:tabs>
          <w:tab w:val="left" w:pos="597"/>
        </w:tabs>
        <w:spacing w:before="102"/>
        <w:ind w:left="596" w:hanging="336"/>
        <w:rPr>
          <w:sz w:val="24"/>
        </w:rPr>
      </w:pPr>
      <w:r>
        <w:rPr>
          <w:sz w:val="24"/>
        </w:rPr>
        <w:t>投标截止时间</w:t>
      </w:r>
    </w:p>
    <w:p>
      <w:pPr>
        <w:pStyle w:val="22"/>
        <w:numPr>
          <w:ilvl w:val="0"/>
          <w:numId w:val="3"/>
        </w:numPr>
        <w:tabs>
          <w:tab w:val="left" w:pos="597"/>
        </w:tabs>
        <w:spacing w:before="100"/>
        <w:ind w:left="596" w:hanging="336"/>
        <w:rPr>
          <w:sz w:val="24"/>
        </w:rPr>
      </w:pPr>
      <w:r>
        <w:rPr>
          <w:spacing w:val="-1"/>
          <w:sz w:val="24"/>
        </w:rPr>
        <w:t>投标文件的修改和撤销</w:t>
      </w:r>
    </w:p>
    <w:p>
      <w:pPr>
        <w:pStyle w:val="22"/>
        <w:numPr>
          <w:ilvl w:val="0"/>
          <w:numId w:val="2"/>
        </w:numPr>
        <w:tabs>
          <w:tab w:val="left" w:pos="621"/>
        </w:tabs>
        <w:spacing w:before="103"/>
        <w:ind w:hanging="360"/>
        <w:rPr>
          <w:sz w:val="24"/>
        </w:rPr>
      </w:pPr>
      <w:r>
        <w:rPr>
          <w:sz w:val="24"/>
        </w:rPr>
        <w:t>评标程序</w:t>
      </w:r>
    </w:p>
    <w:p>
      <w:pPr>
        <w:pStyle w:val="22"/>
        <w:numPr>
          <w:ilvl w:val="0"/>
          <w:numId w:val="3"/>
        </w:numPr>
        <w:tabs>
          <w:tab w:val="left" w:pos="597"/>
        </w:tabs>
        <w:spacing w:before="100"/>
        <w:ind w:left="596" w:hanging="336"/>
        <w:rPr>
          <w:sz w:val="24"/>
        </w:rPr>
      </w:pPr>
      <w:r>
        <w:rPr>
          <w:sz w:val="24"/>
        </w:rPr>
        <w:t>开标</w:t>
      </w:r>
    </w:p>
    <w:p>
      <w:pPr>
        <w:pStyle w:val="22"/>
        <w:numPr>
          <w:ilvl w:val="0"/>
          <w:numId w:val="3"/>
        </w:numPr>
        <w:tabs>
          <w:tab w:val="left" w:pos="597"/>
        </w:tabs>
        <w:spacing w:before="103"/>
        <w:ind w:left="596" w:hanging="336"/>
        <w:rPr>
          <w:sz w:val="24"/>
        </w:rPr>
      </w:pPr>
      <w:r>
        <w:rPr>
          <w:sz w:val="24"/>
        </w:rPr>
        <w:t>评标过程</w:t>
      </w:r>
    </w:p>
    <w:p>
      <w:pPr>
        <w:rPr>
          <w:sz w:val="24"/>
          <w:highlight w:val="yellow"/>
        </w:rPr>
        <w:sectPr>
          <w:pgSz w:w="11910" w:h="16850"/>
          <w:pgMar w:top="1600" w:right="800" w:bottom="460" w:left="820" w:header="0" w:footer="191" w:gutter="0"/>
          <w:cols w:space="720" w:num="1"/>
        </w:sectPr>
      </w:pPr>
    </w:p>
    <w:p>
      <w:pPr>
        <w:pStyle w:val="22"/>
        <w:numPr>
          <w:ilvl w:val="0"/>
          <w:numId w:val="3"/>
        </w:numPr>
        <w:tabs>
          <w:tab w:val="left" w:pos="597"/>
        </w:tabs>
        <w:spacing w:before="49"/>
        <w:ind w:left="596" w:hanging="336"/>
        <w:rPr>
          <w:sz w:val="24"/>
        </w:rPr>
      </w:pPr>
      <w:r>
        <w:rPr>
          <w:sz w:val="24"/>
        </w:rPr>
        <w:t>投标文件的澄清</w:t>
      </w:r>
    </w:p>
    <w:p>
      <w:pPr>
        <w:pStyle w:val="22"/>
        <w:numPr>
          <w:ilvl w:val="0"/>
          <w:numId w:val="3"/>
        </w:numPr>
        <w:tabs>
          <w:tab w:val="left" w:pos="597"/>
        </w:tabs>
        <w:ind w:left="596" w:hanging="336"/>
        <w:rPr>
          <w:sz w:val="24"/>
        </w:rPr>
      </w:pPr>
      <w:r>
        <w:rPr>
          <w:sz w:val="24"/>
        </w:rPr>
        <w:t>对投标文件的评标</w:t>
      </w:r>
    </w:p>
    <w:p>
      <w:pPr>
        <w:pStyle w:val="22"/>
        <w:numPr>
          <w:ilvl w:val="0"/>
          <w:numId w:val="3"/>
        </w:numPr>
        <w:tabs>
          <w:tab w:val="left" w:pos="597"/>
        </w:tabs>
        <w:spacing w:before="103"/>
        <w:ind w:left="596" w:hanging="336"/>
        <w:rPr>
          <w:sz w:val="24"/>
        </w:rPr>
      </w:pPr>
      <w:r>
        <w:rPr>
          <w:sz w:val="24"/>
        </w:rPr>
        <w:t>评标过程的保密性</w:t>
      </w:r>
    </w:p>
    <w:p>
      <w:pPr>
        <w:pStyle w:val="22"/>
        <w:numPr>
          <w:ilvl w:val="0"/>
          <w:numId w:val="2"/>
        </w:numPr>
        <w:tabs>
          <w:tab w:val="left" w:pos="621"/>
        </w:tabs>
        <w:ind w:hanging="360"/>
        <w:rPr>
          <w:sz w:val="24"/>
        </w:rPr>
      </w:pPr>
      <w:r>
        <w:rPr>
          <w:sz w:val="24"/>
        </w:rPr>
        <w:t>授予合同</w:t>
      </w:r>
    </w:p>
    <w:p>
      <w:pPr>
        <w:pStyle w:val="22"/>
        <w:numPr>
          <w:ilvl w:val="0"/>
          <w:numId w:val="3"/>
        </w:numPr>
        <w:tabs>
          <w:tab w:val="left" w:pos="597"/>
        </w:tabs>
        <w:spacing w:before="103"/>
        <w:ind w:left="596" w:hanging="336"/>
        <w:rPr>
          <w:sz w:val="24"/>
        </w:rPr>
      </w:pPr>
      <w:r>
        <w:rPr>
          <w:sz w:val="24"/>
        </w:rPr>
        <w:t>合同授予标准</w:t>
      </w:r>
    </w:p>
    <w:p>
      <w:pPr>
        <w:pStyle w:val="22"/>
        <w:numPr>
          <w:ilvl w:val="0"/>
          <w:numId w:val="3"/>
        </w:numPr>
        <w:tabs>
          <w:tab w:val="left" w:pos="597"/>
        </w:tabs>
        <w:spacing w:before="100"/>
        <w:ind w:left="596" w:hanging="336"/>
        <w:rPr>
          <w:sz w:val="24"/>
        </w:rPr>
      </w:pPr>
      <w:r>
        <w:rPr>
          <w:spacing w:val="-1"/>
          <w:sz w:val="24"/>
        </w:rPr>
        <w:t>接受和拒绝任何或所有投标的权力</w:t>
      </w:r>
    </w:p>
    <w:p>
      <w:pPr>
        <w:pStyle w:val="22"/>
        <w:numPr>
          <w:ilvl w:val="0"/>
          <w:numId w:val="3"/>
        </w:numPr>
        <w:tabs>
          <w:tab w:val="left" w:pos="597"/>
        </w:tabs>
        <w:ind w:left="596" w:hanging="336"/>
        <w:rPr>
          <w:sz w:val="24"/>
        </w:rPr>
      </w:pPr>
      <w:r>
        <w:rPr>
          <w:sz w:val="24"/>
        </w:rPr>
        <w:t>中标通知书</w:t>
      </w:r>
    </w:p>
    <w:p>
      <w:pPr>
        <w:pStyle w:val="22"/>
        <w:numPr>
          <w:ilvl w:val="0"/>
          <w:numId w:val="3"/>
        </w:numPr>
        <w:tabs>
          <w:tab w:val="left" w:pos="597"/>
        </w:tabs>
        <w:spacing w:before="102"/>
        <w:ind w:left="596" w:hanging="336"/>
        <w:rPr>
          <w:sz w:val="24"/>
        </w:rPr>
      </w:pPr>
      <w:r>
        <w:rPr>
          <w:sz w:val="24"/>
        </w:rPr>
        <w:t>签订合同</w:t>
      </w:r>
    </w:p>
    <w:p>
      <w:pPr>
        <w:pStyle w:val="22"/>
        <w:numPr>
          <w:ilvl w:val="0"/>
          <w:numId w:val="3"/>
        </w:numPr>
        <w:tabs>
          <w:tab w:val="left" w:pos="597"/>
        </w:tabs>
        <w:ind w:left="596" w:hanging="336"/>
        <w:rPr>
          <w:sz w:val="24"/>
        </w:rPr>
      </w:pPr>
      <w:r>
        <w:rPr>
          <w:rFonts w:hint="eastAsia"/>
          <w:sz w:val="24"/>
          <w:lang w:eastAsia="zh-CN"/>
        </w:rPr>
        <w:t>采购</w:t>
      </w:r>
      <w:r>
        <w:rPr>
          <w:sz w:val="24"/>
        </w:rPr>
        <w:t>代理标服务费</w:t>
      </w:r>
    </w:p>
    <w:p>
      <w:pPr>
        <w:pStyle w:val="22"/>
        <w:numPr>
          <w:ilvl w:val="0"/>
          <w:numId w:val="2"/>
        </w:numPr>
        <w:tabs>
          <w:tab w:val="left" w:pos="621"/>
        </w:tabs>
        <w:spacing w:before="103"/>
        <w:ind w:hanging="360"/>
        <w:rPr>
          <w:sz w:val="24"/>
        </w:rPr>
      </w:pPr>
      <w:r>
        <w:rPr>
          <w:rFonts w:hint="eastAsia"/>
          <w:sz w:val="24"/>
          <w:lang w:eastAsia="zh-CN"/>
        </w:rPr>
        <w:t>采购</w:t>
      </w:r>
      <w:r>
        <w:rPr>
          <w:sz w:val="24"/>
        </w:rPr>
        <w:t>失败条件</w:t>
      </w:r>
    </w:p>
    <w:p>
      <w:pPr>
        <w:rPr>
          <w:sz w:val="24"/>
          <w:highlight w:val="yellow"/>
        </w:rPr>
        <w:sectPr>
          <w:pgSz w:w="11910" w:h="16850"/>
          <w:pgMar w:top="1440" w:right="800" w:bottom="460" w:left="820" w:header="0" w:footer="191" w:gutter="0"/>
          <w:cols w:space="720" w:num="1"/>
        </w:sectPr>
      </w:pPr>
    </w:p>
    <w:p>
      <w:pPr>
        <w:spacing w:before="46"/>
        <w:ind w:right="18"/>
        <w:jc w:val="center"/>
        <w:rPr>
          <w:b/>
          <w:sz w:val="28"/>
        </w:rPr>
      </w:pPr>
      <w:r>
        <w:rPr>
          <w:b/>
          <w:sz w:val="28"/>
        </w:rPr>
        <w:t>供应商须知附表</w:t>
      </w:r>
    </w:p>
    <w:p>
      <w:pPr>
        <w:pStyle w:val="2"/>
        <w:spacing w:before="8" w:after="1"/>
        <w:ind w:left="0"/>
        <w:rPr>
          <w:b/>
          <w:sz w:val="23"/>
        </w:rPr>
      </w:pPr>
    </w:p>
    <w:tbl>
      <w:tblPr>
        <w:tblStyle w:val="20"/>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7" w:hRule="atLeast"/>
        </w:trPr>
        <w:tc>
          <w:tcPr>
            <w:tcW w:w="687" w:type="dxa"/>
          </w:tcPr>
          <w:p>
            <w:pPr>
              <w:pStyle w:val="23"/>
              <w:spacing w:before="50"/>
              <w:ind w:left="222"/>
              <w:rPr>
                <w:sz w:val="24"/>
              </w:rPr>
            </w:pPr>
            <w:r>
              <w:rPr>
                <w:sz w:val="24"/>
              </w:rPr>
              <w:t>序</w:t>
            </w:r>
          </w:p>
          <w:p>
            <w:pPr>
              <w:pStyle w:val="23"/>
              <w:spacing w:before="103"/>
              <w:ind w:left="222"/>
              <w:rPr>
                <w:sz w:val="24"/>
              </w:rPr>
            </w:pPr>
            <w:r>
              <w:rPr>
                <w:sz w:val="24"/>
              </w:rPr>
              <w:t>号</w:t>
            </w:r>
          </w:p>
        </w:tc>
        <w:tc>
          <w:tcPr>
            <w:tcW w:w="9278" w:type="dxa"/>
          </w:tcPr>
          <w:p>
            <w:pPr>
              <w:pStyle w:val="23"/>
              <w:spacing w:before="10"/>
              <w:rPr>
                <w:b/>
                <w:sz w:val="19"/>
              </w:rPr>
            </w:pPr>
          </w:p>
          <w:p>
            <w:pPr>
              <w:pStyle w:val="23"/>
              <w:tabs>
                <w:tab w:val="left" w:pos="966"/>
              </w:tabs>
              <w:ind w:left="6"/>
              <w:jc w:val="center"/>
              <w:rPr>
                <w:sz w:val="24"/>
              </w:rPr>
            </w:pPr>
            <w:r>
              <w:rPr>
                <w:sz w:val="24"/>
              </w:rPr>
              <w:t>内</w:t>
            </w:r>
            <w:r>
              <w:rPr>
                <w:sz w:val="24"/>
              </w:rPr>
              <w:tab/>
            </w:r>
            <w:r>
              <w:rPr>
                <w:sz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1" w:hRule="atLeast"/>
        </w:trPr>
        <w:tc>
          <w:tcPr>
            <w:tcW w:w="687" w:type="dxa"/>
          </w:tcPr>
          <w:p>
            <w:pPr>
              <w:pStyle w:val="23"/>
              <w:spacing w:before="1"/>
              <w:ind w:left="9"/>
              <w:jc w:val="center"/>
              <w:rPr>
                <w:rFonts w:ascii="Arial"/>
                <w:sz w:val="24"/>
              </w:rPr>
            </w:pPr>
            <w:r>
              <w:rPr>
                <w:rFonts w:ascii="Arial"/>
                <w:w w:val="99"/>
                <w:sz w:val="24"/>
              </w:rPr>
              <w:t>1</w:t>
            </w:r>
          </w:p>
        </w:tc>
        <w:tc>
          <w:tcPr>
            <w:tcW w:w="9278" w:type="dxa"/>
          </w:tcPr>
          <w:p>
            <w:pPr>
              <w:pStyle w:val="23"/>
              <w:spacing w:before="50"/>
              <w:ind w:left="1306" w:leftChars="48" w:hanging="1200" w:hangingChars="500"/>
              <w:rPr>
                <w:rFonts w:hint="eastAsia" w:eastAsia="宋体"/>
                <w:sz w:val="24"/>
                <w:lang w:eastAsia="zh-CN"/>
              </w:rPr>
            </w:pPr>
            <w:r>
              <w:rPr>
                <w:sz w:val="24"/>
              </w:rPr>
              <w:t>项目名称：</w:t>
            </w:r>
            <w:r>
              <w:rPr>
                <w:rFonts w:hint="eastAsia"/>
                <w:sz w:val="24"/>
              </w:rPr>
              <w:t>2021年</w:t>
            </w:r>
            <w:r>
              <w:rPr>
                <w:rFonts w:hint="eastAsia"/>
                <w:sz w:val="24"/>
                <w:lang w:eastAsia="zh-CN"/>
              </w:rPr>
              <w:t>新疆维吾尔自治区伊宁卫生学校</w:t>
            </w:r>
            <w:r>
              <w:rPr>
                <w:rFonts w:hint="eastAsia"/>
                <w:sz w:val="24"/>
              </w:rPr>
              <w:t>医疗设备采购项目</w:t>
            </w:r>
            <w:r>
              <w:rPr>
                <w:rFonts w:hint="eastAsia"/>
                <w:sz w:val="24"/>
                <w:lang w:eastAsia="zh-CN"/>
              </w:rPr>
              <w:t>二标段</w:t>
            </w:r>
          </w:p>
          <w:p>
            <w:pPr>
              <w:pStyle w:val="23"/>
              <w:spacing w:before="50"/>
              <w:ind w:left="107"/>
              <w:rPr>
                <w:rFonts w:hint="default" w:ascii="Arial" w:eastAsia="宋体"/>
                <w:sz w:val="24"/>
                <w:lang w:val="en-US" w:eastAsia="zh-CN"/>
              </w:rPr>
            </w:pPr>
            <w:r>
              <w:rPr>
                <w:sz w:val="24"/>
              </w:rPr>
              <w:t>项目编</w:t>
            </w:r>
            <w:r>
              <w:rPr>
                <w:rFonts w:hint="eastAsia"/>
                <w:sz w:val="24"/>
                <w:lang w:eastAsia="zh-CN"/>
              </w:rPr>
              <w:t>号：</w:t>
            </w:r>
            <w:r>
              <w:rPr>
                <w:rFonts w:hint="eastAsia"/>
                <w:sz w:val="24"/>
                <w:lang w:val="en-US" w:eastAsia="zh-CN"/>
              </w:rPr>
              <w:t>FZYL202166-2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0" w:hRule="atLeast"/>
        </w:trPr>
        <w:tc>
          <w:tcPr>
            <w:tcW w:w="687" w:type="dxa"/>
            <w:vAlign w:val="center"/>
          </w:tcPr>
          <w:p>
            <w:pPr>
              <w:pStyle w:val="23"/>
              <w:spacing w:before="50"/>
              <w:ind w:left="107"/>
              <w:jc w:val="center"/>
              <w:rPr>
                <w:sz w:val="24"/>
              </w:rPr>
            </w:pPr>
            <w:r>
              <w:rPr>
                <w:sz w:val="24"/>
              </w:rPr>
              <w:t>2</w:t>
            </w:r>
          </w:p>
        </w:tc>
        <w:tc>
          <w:tcPr>
            <w:tcW w:w="9278" w:type="dxa"/>
            <w:vAlign w:val="center"/>
          </w:tcPr>
          <w:p>
            <w:pPr>
              <w:pStyle w:val="23"/>
              <w:spacing w:before="50"/>
              <w:ind w:left="107"/>
              <w:rPr>
                <w:rFonts w:hint="eastAsia" w:eastAsia="宋体"/>
                <w:sz w:val="24"/>
                <w:lang w:eastAsia="zh-CN"/>
              </w:rPr>
            </w:pPr>
            <w:r>
              <w:rPr>
                <w:rFonts w:hint="eastAsia"/>
                <w:sz w:val="24"/>
                <w:lang w:val="en-US" w:eastAsia="zh-CN"/>
              </w:rPr>
              <w:t>采购</w:t>
            </w:r>
            <w:r>
              <w:rPr>
                <w:rFonts w:hint="eastAsia"/>
                <w:sz w:val="24"/>
                <w:lang w:val="en-US"/>
              </w:rPr>
              <w:t>人名称：</w:t>
            </w:r>
            <w:r>
              <w:rPr>
                <w:rFonts w:hint="eastAsia"/>
                <w:sz w:val="24"/>
                <w:lang w:val="en-US" w:eastAsia="zh-CN"/>
              </w:rPr>
              <w:t>新疆维吾尔自治区伊宁卫生学校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9" w:hRule="atLeast"/>
        </w:trPr>
        <w:tc>
          <w:tcPr>
            <w:tcW w:w="687" w:type="dxa"/>
          </w:tcPr>
          <w:p>
            <w:pPr>
              <w:pStyle w:val="23"/>
              <w:rPr>
                <w:b/>
                <w:sz w:val="26"/>
              </w:rPr>
            </w:pPr>
          </w:p>
          <w:p>
            <w:pPr>
              <w:pStyle w:val="23"/>
              <w:rPr>
                <w:b/>
                <w:sz w:val="26"/>
              </w:rPr>
            </w:pPr>
          </w:p>
          <w:p>
            <w:pPr>
              <w:pStyle w:val="23"/>
              <w:spacing w:before="218"/>
              <w:ind w:left="9"/>
              <w:jc w:val="center"/>
              <w:rPr>
                <w:rFonts w:ascii="Arial"/>
                <w:sz w:val="24"/>
              </w:rPr>
            </w:pPr>
            <w:r>
              <w:rPr>
                <w:rFonts w:ascii="Arial"/>
                <w:w w:val="99"/>
                <w:sz w:val="24"/>
              </w:rPr>
              <w:t>3</w:t>
            </w:r>
          </w:p>
        </w:tc>
        <w:tc>
          <w:tcPr>
            <w:tcW w:w="9278" w:type="dxa"/>
          </w:tcPr>
          <w:p>
            <w:pPr>
              <w:pStyle w:val="23"/>
              <w:spacing w:before="100"/>
              <w:jc w:val="both"/>
              <w:rPr>
                <w:color w:val="000000"/>
                <w:sz w:val="24"/>
                <w:szCs w:val="24"/>
              </w:rPr>
            </w:pPr>
            <w:r>
              <w:rPr>
                <w:rFonts w:hint="eastAsia"/>
                <w:sz w:val="24"/>
                <w:lang w:val="en-US"/>
              </w:rPr>
              <w:t xml:space="preserve"> </w:t>
            </w:r>
            <w:r>
              <w:rPr>
                <w:rFonts w:hint="eastAsia"/>
                <w:sz w:val="24"/>
                <w:lang w:val="en-US" w:eastAsia="zh-CN"/>
              </w:rPr>
              <w:t>采购</w:t>
            </w:r>
            <w:r>
              <w:rPr>
                <w:rFonts w:hint="eastAsia"/>
                <w:sz w:val="24"/>
                <w:lang w:val="en-US"/>
              </w:rPr>
              <w:t>代理公司：</w:t>
            </w:r>
            <w:r>
              <w:rPr>
                <w:rFonts w:hint="eastAsia"/>
                <w:color w:val="000000"/>
                <w:sz w:val="24"/>
                <w:szCs w:val="24"/>
              </w:rPr>
              <w:t>法正项目管理集团有限公司</w:t>
            </w:r>
          </w:p>
          <w:p>
            <w:pPr>
              <w:pStyle w:val="23"/>
              <w:spacing w:before="100"/>
              <w:jc w:val="both"/>
              <w:rPr>
                <w:color w:val="000000"/>
                <w:sz w:val="24"/>
                <w:szCs w:val="24"/>
                <w:lang w:val="en-US"/>
              </w:rPr>
            </w:pPr>
            <w:r>
              <w:rPr>
                <w:rFonts w:hint="eastAsia"/>
                <w:color w:val="000000"/>
                <w:sz w:val="24"/>
                <w:szCs w:val="24"/>
                <w:lang w:val="en-US"/>
              </w:rPr>
              <w:t xml:space="preserve"> 单位地址：伊宁市新华西路58号3楼（呼勒佳宾馆院内）</w:t>
            </w:r>
          </w:p>
          <w:p>
            <w:pPr>
              <w:pStyle w:val="23"/>
              <w:spacing w:before="100"/>
              <w:jc w:val="both"/>
              <w:rPr>
                <w:sz w:val="24"/>
                <w:szCs w:val="24"/>
                <w:lang w:val="en-US"/>
              </w:rPr>
            </w:pPr>
            <w:r>
              <w:rPr>
                <w:rFonts w:hint="eastAsia"/>
                <w:color w:val="000000"/>
                <w:sz w:val="24"/>
                <w:szCs w:val="24"/>
                <w:lang w:val="en-US"/>
              </w:rPr>
              <w:t xml:space="preserve"> 联 系 人：刘婷           联系电话：</w:t>
            </w:r>
            <w:r>
              <w:rPr>
                <w:rFonts w:hint="eastAsia"/>
                <w:sz w:val="24"/>
                <w:szCs w:val="24"/>
                <w:lang w:val="en-US"/>
              </w:rPr>
              <w:t>15276327404</w:t>
            </w:r>
          </w:p>
          <w:p>
            <w:pPr>
              <w:pStyle w:val="23"/>
              <w:spacing w:before="100"/>
              <w:jc w:val="both"/>
              <w:rPr>
                <w:sz w:val="24"/>
                <w:szCs w:val="24"/>
                <w:lang w:val="en-US"/>
              </w:rPr>
            </w:pPr>
            <w:r>
              <w:rPr>
                <w:rFonts w:hint="eastAsia"/>
                <w:sz w:val="24"/>
                <w:szCs w:val="24"/>
                <w:lang w:val="en-US"/>
              </w:rPr>
              <w:t xml:space="preserve"> 邮    编：835000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55" w:hRule="atLeast"/>
        </w:trPr>
        <w:tc>
          <w:tcPr>
            <w:tcW w:w="687" w:type="dxa"/>
          </w:tcPr>
          <w:p>
            <w:pPr>
              <w:pStyle w:val="23"/>
              <w:rPr>
                <w:b/>
                <w:sz w:val="26"/>
                <w:highlight w:val="yellow"/>
              </w:rPr>
            </w:pPr>
          </w:p>
          <w:p>
            <w:pPr>
              <w:pStyle w:val="23"/>
              <w:rPr>
                <w:b/>
                <w:sz w:val="26"/>
                <w:highlight w:val="yellow"/>
              </w:rPr>
            </w:pPr>
          </w:p>
          <w:p>
            <w:pPr>
              <w:pStyle w:val="23"/>
              <w:spacing w:before="11"/>
              <w:rPr>
                <w:b/>
                <w:sz w:val="32"/>
                <w:highlight w:val="yellow"/>
              </w:rPr>
            </w:pPr>
          </w:p>
          <w:p>
            <w:pPr>
              <w:pStyle w:val="23"/>
              <w:ind w:left="9"/>
              <w:jc w:val="center"/>
              <w:rPr>
                <w:rFonts w:ascii="Arial"/>
                <w:sz w:val="24"/>
                <w:highlight w:val="yellow"/>
              </w:rPr>
            </w:pPr>
            <w:r>
              <w:rPr>
                <w:rFonts w:ascii="Arial"/>
                <w:w w:val="99"/>
                <w:sz w:val="24"/>
              </w:rPr>
              <w:t>4</w:t>
            </w:r>
          </w:p>
        </w:tc>
        <w:tc>
          <w:tcPr>
            <w:tcW w:w="9278" w:type="dxa"/>
          </w:tcPr>
          <w:p>
            <w:pPr>
              <w:pStyle w:val="23"/>
              <w:spacing w:before="103"/>
              <w:ind w:left="107"/>
              <w:rPr>
                <w:rFonts w:hint="eastAsia" w:eastAsia="宋体"/>
                <w:color w:val="auto"/>
                <w:sz w:val="24"/>
                <w:lang w:eastAsia="zh-CN"/>
              </w:rPr>
            </w:pPr>
            <w:r>
              <w:rPr>
                <w:rFonts w:hint="eastAsia"/>
                <w:color w:val="auto"/>
                <w:sz w:val="24"/>
              </w:rPr>
              <w:t>投标保证金的形式：电汇</w:t>
            </w:r>
            <w:r>
              <w:rPr>
                <w:rFonts w:hint="eastAsia"/>
                <w:color w:val="auto"/>
                <w:sz w:val="24"/>
                <w:lang w:eastAsia="zh-CN"/>
              </w:rPr>
              <w:t>或保函</w:t>
            </w:r>
          </w:p>
          <w:p>
            <w:pPr>
              <w:pStyle w:val="23"/>
              <w:spacing w:before="103"/>
              <w:ind w:left="107"/>
              <w:rPr>
                <w:rFonts w:hint="eastAsia"/>
                <w:color w:val="auto"/>
                <w:sz w:val="24"/>
                <w:highlight w:val="none"/>
                <w:lang w:eastAsia="zh-CN"/>
              </w:rPr>
            </w:pPr>
            <w:r>
              <w:rPr>
                <w:rFonts w:hint="eastAsia"/>
                <w:color w:val="auto"/>
                <w:sz w:val="24"/>
              </w:rPr>
              <w:t>投标保证金的金额</w:t>
            </w:r>
            <w:r>
              <w:rPr>
                <w:rFonts w:hint="eastAsia"/>
                <w:color w:val="auto"/>
                <w:sz w:val="24"/>
                <w:highlight w:val="none"/>
              </w:rPr>
              <w:t>：</w:t>
            </w:r>
            <w:r>
              <w:rPr>
                <w:rFonts w:hint="eastAsia"/>
                <w:color w:val="auto"/>
                <w:sz w:val="24"/>
                <w:highlight w:val="none"/>
                <w:lang w:val="en-US" w:eastAsia="zh-CN"/>
              </w:rPr>
              <w:t>15</w:t>
            </w:r>
            <w:r>
              <w:rPr>
                <w:rFonts w:hint="eastAsia"/>
                <w:color w:val="auto"/>
                <w:sz w:val="24"/>
                <w:highlight w:val="none"/>
              </w:rPr>
              <w:t>000</w:t>
            </w:r>
            <w:r>
              <w:rPr>
                <w:rFonts w:hint="eastAsia"/>
                <w:color w:val="auto"/>
                <w:sz w:val="24"/>
                <w:highlight w:val="none"/>
                <w:lang w:eastAsia="zh-CN"/>
              </w:rPr>
              <w:t>元</w:t>
            </w:r>
          </w:p>
          <w:p>
            <w:pPr>
              <w:pStyle w:val="23"/>
              <w:spacing w:before="103"/>
              <w:ind w:left="107"/>
              <w:rPr>
                <w:sz w:val="24"/>
              </w:rPr>
            </w:pPr>
            <w:r>
              <w:rPr>
                <w:rFonts w:hint="eastAsia"/>
                <w:color w:val="auto"/>
                <w:sz w:val="24"/>
              </w:rPr>
              <w:t>递交方式： 投标人将投标保证金从企业基本帐户汇</w:t>
            </w:r>
            <w:r>
              <w:rPr>
                <w:rFonts w:hint="eastAsia"/>
                <w:sz w:val="24"/>
              </w:rPr>
              <w:t>至以下账户</w:t>
            </w:r>
          </w:p>
          <w:p>
            <w:pPr>
              <w:pStyle w:val="23"/>
              <w:spacing w:before="103"/>
              <w:ind w:left="107"/>
              <w:rPr>
                <w:sz w:val="24"/>
              </w:rPr>
            </w:pPr>
            <w:r>
              <w:rPr>
                <w:rFonts w:hint="eastAsia"/>
                <w:sz w:val="24"/>
              </w:rPr>
              <w:t>账户名称：法正项目管理集团有限公司伊犁分公司</w:t>
            </w:r>
          </w:p>
          <w:p>
            <w:pPr>
              <w:pStyle w:val="23"/>
              <w:spacing w:before="103"/>
              <w:ind w:left="107"/>
              <w:rPr>
                <w:sz w:val="24"/>
                <w:lang w:val="en-US"/>
              </w:rPr>
            </w:pPr>
            <w:r>
              <w:rPr>
                <w:rFonts w:hint="eastAsia"/>
                <w:sz w:val="24"/>
              </w:rPr>
              <w:t>开户银行</w:t>
            </w:r>
            <w:r>
              <w:rPr>
                <w:rFonts w:hint="eastAsia"/>
                <w:sz w:val="24"/>
                <w:lang w:val="en-US"/>
              </w:rPr>
              <w:t>: 中国农业银行股份有限公司伊宁新华支行</w:t>
            </w:r>
          </w:p>
          <w:p>
            <w:pPr>
              <w:pStyle w:val="23"/>
              <w:spacing w:before="103"/>
              <w:ind w:left="107"/>
              <w:rPr>
                <w:sz w:val="24"/>
                <w:lang w:val="en-US"/>
              </w:rPr>
            </w:pPr>
            <w:r>
              <w:rPr>
                <w:rFonts w:hint="eastAsia"/>
                <w:sz w:val="24"/>
              </w:rPr>
              <w:t>账号：</w:t>
            </w:r>
            <w:r>
              <w:rPr>
                <w:rFonts w:hint="eastAsia"/>
                <w:sz w:val="24"/>
                <w:lang w:val="en-US"/>
              </w:rPr>
              <w:t xml:space="preserve">30101001040003044 </w:t>
            </w:r>
          </w:p>
          <w:p>
            <w:pPr>
              <w:pStyle w:val="23"/>
              <w:spacing w:before="103"/>
              <w:ind w:left="107"/>
              <w:rPr>
                <w:sz w:val="24"/>
                <w:highlight w:val="yellow"/>
              </w:rPr>
            </w:pPr>
            <w:r>
              <w:rPr>
                <w:rFonts w:hint="eastAsia"/>
                <w:sz w:val="24"/>
              </w:rPr>
              <w:t>投标保证金有效期应当与投标有效期一致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87" w:type="dxa"/>
          </w:tcPr>
          <w:p>
            <w:pPr>
              <w:pStyle w:val="23"/>
              <w:spacing w:before="86"/>
              <w:ind w:left="9"/>
              <w:jc w:val="center"/>
              <w:rPr>
                <w:rFonts w:ascii="Arial"/>
                <w:sz w:val="24"/>
              </w:rPr>
            </w:pPr>
            <w:r>
              <w:rPr>
                <w:rFonts w:ascii="Arial"/>
                <w:w w:val="99"/>
                <w:sz w:val="24"/>
              </w:rPr>
              <w:t>5</w:t>
            </w:r>
          </w:p>
        </w:tc>
        <w:tc>
          <w:tcPr>
            <w:tcW w:w="9278" w:type="dxa"/>
          </w:tcPr>
          <w:p>
            <w:pPr>
              <w:pStyle w:val="23"/>
              <w:spacing w:before="103"/>
              <w:ind w:left="107"/>
              <w:rPr>
                <w:sz w:val="24"/>
              </w:rPr>
            </w:pPr>
            <w:r>
              <w:rPr>
                <w:rFonts w:hint="eastAsia"/>
                <w:sz w:val="24"/>
              </w:rPr>
              <w:t>投标语言：中文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687" w:type="dxa"/>
          </w:tcPr>
          <w:p>
            <w:pPr>
              <w:pStyle w:val="23"/>
              <w:spacing w:before="86"/>
              <w:ind w:left="9"/>
              <w:jc w:val="center"/>
              <w:rPr>
                <w:rFonts w:ascii="Arial"/>
                <w:sz w:val="24"/>
              </w:rPr>
            </w:pPr>
            <w:r>
              <w:rPr>
                <w:rFonts w:ascii="Arial"/>
                <w:w w:val="99"/>
                <w:sz w:val="24"/>
              </w:rPr>
              <w:t>6</w:t>
            </w:r>
          </w:p>
        </w:tc>
        <w:tc>
          <w:tcPr>
            <w:tcW w:w="9278" w:type="dxa"/>
          </w:tcPr>
          <w:p>
            <w:pPr>
              <w:pStyle w:val="23"/>
              <w:spacing w:before="72"/>
              <w:ind w:left="107"/>
              <w:rPr>
                <w:sz w:val="24"/>
              </w:rPr>
            </w:pPr>
            <w:r>
              <w:rPr>
                <w:sz w:val="24"/>
              </w:rPr>
              <w:t>投标货币：人民币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8" w:hRule="atLeast"/>
        </w:trPr>
        <w:tc>
          <w:tcPr>
            <w:tcW w:w="687" w:type="dxa"/>
          </w:tcPr>
          <w:p>
            <w:pPr>
              <w:pStyle w:val="23"/>
              <w:rPr>
                <w:b/>
                <w:sz w:val="26"/>
              </w:rPr>
            </w:pPr>
          </w:p>
          <w:p>
            <w:pPr>
              <w:pStyle w:val="23"/>
              <w:rPr>
                <w:b/>
                <w:sz w:val="26"/>
              </w:rPr>
            </w:pPr>
          </w:p>
          <w:p>
            <w:pPr>
              <w:pStyle w:val="23"/>
              <w:rPr>
                <w:b/>
                <w:sz w:val="26"/>
              </w:rPr>
            </w:pPr>
          </w:p>
          <w:p>
            <w:pPr>
              <w:pStyle w:val="23"/>
              <w:rPr>
                <w:b/>
                <w:sz w:val="26"/>
              </w:rPr>
            </w:pPr>
          </w:p>
          <w:p>
            <w:pPr>
              <w:pStyle w:val="23"/>
              <w:spacing w:before="11"/>
              <w:rPr>
                <w:b/>
                <w:sz w:val="28"/>
              </w:rPr>
            </w:pPr>
          </w:p>
          <w:p>
            <w:pPr>
              <w:pStyle w:val="23"/>
              <w:jc w:val="center"/>
              <w:rPr>
                <w:rFonts w:ascii="Arial"/>
                <w:sz w:val="24"/>
              </w:rPr>
            </w:pPr>
            <w:r>
              <w:rPr>
                <w:rFonts w:hint="eastAsia" w:ascii="Arial"/>
                <w:w w:val="99"/>
                <w:sz w:val="24"/>
                <w:lang w:val="en-US"/>
              </w:rPr>
              <w:t>7</w:t>
            </w:r>
          </w:p>
        </w:tc>
        <w:tc>
          <w:tcPr>
            <w:tcW w:w="9278" w:type="dxa"/>
          </w:tcPr>
          <w:p>
            <w:pPr>
              <w:pStyle w:val="23"/>
              <w:spacing w:before="50"/>
              <w:ind w:left="107"/>
              <w:rPr>
                <w:b/>
                <w:sz w:val="24"/>
              </w:rPr>
            </w:pPr>
            <w:r>
              <w:rPr>
                <w:b/>
                <w:sz w:val="24"/>
              </w:rPr>
              <w:t>供应商资格标准：</w:t>
            </w:r>
          </w:p>
          <w:p>
            <w:pPr>
              <w:pStyle w:val="23"/>
              <w:spacing w:before="103"/>
              <w:ind w:left="107"/>
              <w:rPr>
                <w:rFonts w:hint="eastAsia" w:ascii="宋体" w:hAnsi="宋体" w:eastAsia="宋体" w:cs="宋体"/>
                <w:color w:val="auto"/>
                <w:sz w:val="24"/>
              </w:rPr>
            </w:pPr>
            <w:r>
              <w:rPr>
                <w:rFonts w:hint="eastAsia" w:ascii="宋体" w:hAnsi="宋体" w:eastAsia="宋体" w:cs="宋体"/>
                <w:color w:val="auto"/>
                <w:sz w:val="24"/>
              </w:rPr>
              <w:t xml:space="preserve">1.符合《中华人民共和国政府采购法》第二十二条的相关规定；  </w:t>
            </w:r>
          </w:p>
          <w:p>
            <w:pPr>
              <w:pStyle w:val="23"/>
              <w:spacing w:before="103"/>
              <w:ind w:left="107"/>
              <w:rPr>
                <w:rFonts w:hint="eastAsia" w:ascii="宋体" w:hAnsi="宋体" w:eastAsia="宋体" w:cs="宋体"/>
                <w:color w:val="auto"/>
                <w:sz w:val="24"/>
              </w:rPr>
            </w:pPr>
            <w:r>
              <w:rPr>
                <w:rFonts w:hint="eastAsia" w:ascii="宋体" w:hAnsi="宋体" w:eastAsia="宋体" w:cs="宋体"/>
                <w:color w:val="auto"/>
                <w:sz w:val="24"/>
              </w:rPr>
              <w:t>2.参加采购活动前三年内，在经营活动中没有重大违法记录(受行政主管部门的处罚不能参加投标)</w:t>
            </w:r>
          </w:p>
          <w:p>
            <w:pPr>
              <w:pStyle w:val="23"/>
              <w:spacing w:before="103"/>
              <w:ind w:left="107"/>
              <w:rPr>
                <w:rFonts w:hint="eastAsia" w:ascii="宋体" w:hAnsi="宋体" w:eastAsia="宋体" w:cs="宋体"/>
                <w:color w:val="auto"/>
                <w:sz w:val="24"/>
              </w:rPr>
            </w:pPr>
            <w:r>
              <w:rPr>
                <w:rFonts w:hint="eastAsia" w:ascii="宋体" w:hAnsi="宋体" w:eastAsia="宋体" w:cs="宋体"/>
                <w:color w:val="auto"/>
                <w:sz w:val="24"/>
              </w:rPr>
              <w:t>3.落实的政府采购政策：《政府采购促进中小企业发展管理办法》（财库〔2020〕46号）；《财政部民政部中国残疾人联合会关于促进残疾人就业政府采购政策的通知》财库〔2017〕141号。</w:t>
            </w:r>
          </w:p>
          <w:p>
            <w:pPr>
              <w:pStyle w:val="23"/>
              <w:spacing w:before="103"/>
              <w:ind w:left="107"/>
              <w:rPr>
                <w:sz w:val="24"/>
              </w:rPr>
            </w:pPr>
            <w:r>
              <w:rPr>
                <w:rFonts w:hint="eastAsia" w:ascii="宋体" w:hAnsi="宋体" w:eastAsia="宋体" w:cs="宋体"/>
                <w:color w:val="auto"/>
                <w:sz w:val="24"/>
              </w:rPr>
              <w:t>4、不接受联合体投标。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trPr>
        <w:tc>
          <w:tcPr>
            <w:tcW w:w="687" w:type="dxa"/>
          </w:tcPr>
          <w:p>
            <w:pPr>
              <w:pStyle w:val="23"/>
              <w:spacing w:before="89"/>
              <w:ind w:left="9"/>
              <w:jc w:val="center"/>
              <w:rPr>
                <w:rFonts w:ascii="Arial"/>
                <w:sz w:val="24"/>
              </w:rPr>
            </w:pPr>
            <w:r>
              <w:rPr>
                <w:rFonts w:hint="eastAsia" w:ascii="Arial"/>
                <w:w w:val="99"/>
                <w:sz w:val="24"/>
                <w:lang w:val="en-US"/>
              </w:rPr>
              <w:t>8</w:t>
            </w:r>
          </w:p>
        </w:tc>
        <w:tc>
          <w:tcPr>
            <w:tcW w:w="9278" w:type="dxa"/>
          </w:tcPr>
          <w:p>
            <w:pPr>
              <w:pStyle w:val="23"/>
              <w:spacing w:before="74"/>
              <w:ind w:left="107"/>
              <w:rPr>
                <w:b/>
                <w:sz w:val="24"/>
              </w:rPr>
            </w:pPr>
            <w:r>
              <w:rPr>
                <w:b/>
                <w:sz w:val="24"/>
              </w:rPr>
              <w:t>投标有效期：</w:t>
            </w:r>
            <w:r>
              <w:rPr>
                <w:rFonts w:ascii="Arial" w:eastAsia="Arial"/>
                <w:b/>
                <w:sz w:val="24"/>
                <w:u w:val="thick"/>
              </w:rPr>
              <w:t>90</w:t>
            </w:r>
            <w:r>
              <w:rPr>
                <w:b/>
                <w:sz w:val="24"/>
              </w:rPr>
              <w:t>天（如不满足将导致废标）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687" w:type="dxa"/>
          </w:tcPr>
          <w:p>
            <w:pPr>
              <w:pStyle w:val="23"/>
              <w:spacing w:before="86"/>
              <w:ind w:left="183" w:right="174"/>
              <w:jc w:val="center"/>
              <w:rPr>
                <w:rFonts w:ascii="Arial"/>
                <w:sz w:val="24"/>
              </w:rPr>
            </w:pPr>
            <w:r>
              <w:rPr>
                <w:rFonts w:hint="eastAsia" w:ascii="Arial"/>
                <w:sz w:val="24"/>
                <w:lang w:val="en-US"/>
              </w:rPr>
              <w:t>9</w:t>
            </w:r>
          </w:p>
        </w:tc>
        <w:tc>
          <w:tcPr>
            <w:tcW w:w="9278" w:type="dxa"/>
          </w:tcPr>
          <w:p>
            <w:pPr>
              <w:pStyle w:val="23"/>
              <w:spacing w:before="72"/>
              <w:ind w:left="107"/>
              <w:rPr>
                <w:sz w:val="24"/>
              </w:rPr>
            </w:pPr>
            <w:r>
              <w:rPr>
                <w:sz w:val="24"/>
              </w:rPr>
              <w:t>投标文件：一套正本，</w:t>
            </w:r>
            <w:r>
              <w:rPr>
                <w:rFonts w:hint="eastAsia"/>
                <w:sz w:val="24"/>
                <w:lang w:eastAsia="zh-CN"/>
              </w:rPr>
              <w:t>贰</w:t>
            </w:r>
            <w:r>
              <w:rPr>
                <w:sz w:val="24"/>
              </w:rPr>
              <w:t>套副本</w:t>
            </w:r>
            <w:r>
              <w:rPr>
                <w:rFonts w:hint="eastAsia"/>
                <w:sz w:val="24"/>
              </w:rPr>
              <w:t>、电子版一套单独封装（</w:t>
            </w:r>
            <w:r>
              <w:rPr>
                <w:rFonts w:hint="eastAsia"/>
                <w:sz w:val="24"/>
                <w:lang w:val="en-US"/>
              </w:rPr>
              <w:t>U盘及光盘各一个）、开标一览表单独密封一份。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8" w:hRule="atLeast"/>
        </w:trPr>
        <w:tc>
          <w:tcPr>
            <w:tcW w:w="687" w:type="dxa"/>
          </w:tcPr>
          <w:p>
            <w:pPr>
              <w:pStyle w:val="23"/>
              <w:spacing w:before="3"/>
              <w:rPr>
                <w:b/>
                <w:color w:val="auto"/>
                <w:sz w:val="21"/>
              </w:rPr>
            </w:pPr>
          </w:p>
          <w:p>
            <w:pPr>
              <w:pStyle w:val="23"/>
              <w:ind w:left="177" w:right="180"/>
              <w:jc w:val="center"/>
              <w:rPr>
                <w:rFonts w:ascii="Arial"/>
                <w:color w:val="auto"/>
                <w:sz w:val="24"/>
                <w:lang w:val="en-US"/>
              </w:rPr>
            </w:pPr>
            <w:r>
              <w:rPr>
                <w:rFonts w:hint="eastAsia" w:ascii="Arial"/>
                <w:color w:val="auto"/>
                <w:sz w:val="24"/>
                <w:lang w:val="en-US"/>
              </w:rPr>
              <w:t>10</w:t>
            </w:r>
          </w:p>
        </w:tc>
        <w:tc>
          <w:tcPr>
            <w:tcW w:w="9278" w:type="dxa"/>
          </w:tcPr>
          <w:p>
            <w:pPr>
              <w:pStyle w:val="23"/>
              <w:spacing w:before="50"/>
              <w:ind w:left="107"/>
              <w:rPr>
                <w:color w:val="auto"/>
                <w:sz w:val="24"/>
              </w:rPr>
            </w:pPr>
            <w:r>
              <w:rPr>
                <w:color w:val="auto"/>
                <w:sz w:val="24"/>
              </w:rPr>
              <w:t>投标文件以密封形式递交至：开标现场</w:t>
            </w:r>
          </w:p>
          <w:p>
            <w:pPr>
              <w:pStyle w:val="23"/>
              <w:spacing w:before="103"/>
              <w:ind w:left="107"/>
              <w:rPr>
                <w:color w:val="auto"/>
                <w:sz w:val="24"/>
              </w:rPr>
            </w:pPr>
            <w:r>
              <w:rPr>
                <w:color w:val="auto"/>
                <w:sz w:val="24"/>
              </w:rPr>
              <w:t>投标文件递交截止时间：20</w:t>
            </w:r>
            <w:r>
              <w:rPr>
                <w:rFonts w:hint="eastAsia"/>
                <w:color w:val="auto"/>
                <w:sz w:val="24"/>
                <w:lang w:val="en-US"/>
              </w:rPr>
              <w:t>22</w:t>
            </w:r>
            <w:r>
              <w:rPr>
                <w:color w:val="auto"/>
                <w:sz w:val="24"/>
              </w:rPr>
              <w:t>年</w:t>
            </w:r>
            <w:r>
              <w:rPr>
                <w:rFonts w:hint="eastAsia"/>
                <w:color w:val="auto"/>
                <w:sz w:val="24"/>
                <w:lang w:val="en-US" w:eastAsia="zh-CN"/>
              </w:rPr>
              <w:t>8</w:t>
            </w:r>
            <w:r>
              <w:rPr>
                <w:color w:val="auto"/>
                <w:sz w:val="24"/>
              </w:rPr>
              <w:t>月</w:t>
            </w:r>
            <w:r>
              <w:rPr>
                <w:rFonts w:hint="eastAsia"/>
                <w:color w:val="auto"/>
                <w:sz w:val="24"/>
                <w:lang w:val="en-US" w:eastAsia="zh-CN"/>
              </w:rPr>
              <w:t>23</w:t>
            </w:r>
            <w:r>
              <w:rPr>
                <w:color w:val="auto"/>
                <w:sz w:val="24"/>
              </w:rPr>
              <w:t>日</w:t>
            </w:r>
            <w:r>
              <w:rPr>
                <w:rFonts w:hint="eastAsia"/>
                <w:color w:val="auto"/>
                <w:sz w:val="24"/>
                <w:lang w:val="en-US"/>
              </w:rPr>
              <w:t xml:space="preserve">   11：00</w:t>
            </w:r>
            <w:r>
              <w:rPr>
                <w:color w:val="auto"/>
                <w:sz w:val="24"/>
              </w:rPr>
              <w:t xml:space="preserve"> 时（北京时间）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7" w:hRule="atLeast"/>
        </w:trPr>
        <w:tc>
          <w:tcPr>
            <w:tcW w:w="687" w:type="dxa"/>
          </w:tcPr>
          <w:p>
            <w:pPr>
              <w:pStyle w:val="23"/>
              <w:spacing w:before="2"/>
              <w:rPr>
                <w:b/>
                <w:color w:val="auto"/>
                <w:sz w:val="21"/>
              </w:rPr>
            </w:pPr>
          </w:p>
          <w:p>
            <w:pPr>
              <w:pStyle w:val="23"/>
              <w:ind w:left="183" w:right="174"/>
              <w:jc w:val="center"/>
              <w:rPr>
                <w:rFonts w:ascii="Arial"/>
                <w:color w:val="auto"/>
                <w:sz w:val="24"/>
                <w:lang w:val="en-US"/>
              </w:rPr>
            </w:pPr>
            <w:r>
              <w:rPr>
                <w:rFonts w:hint="eastAsia" w:ascii="Arial"/>
                <w:color w:val="auto"/>
                <w:sz w:val="24"/>
                <w:lang w:val="en-US"/>
              </w:rPr>
              <w:t>11</w:t>
            </w:r>
          </w:p>
        </w:tc>
        <w:tc>
          <w:tcPr>
            <w:tcW w:w="9278" w:type="dxa"/>
          </w:tcPr>
          <w:p>
            <w:pPr>
              <w:pStyle w:val="23"/>
              <w:spacing w:before="50"/>
              <w:ind w:left="107"/>
              <w:rPr>
                <w:color w:val="auto"/>
                <w:sz w:val="24"/>
              </w:rPr>
            </w:pPr>
            <w:r>
              <w:rPr>
                <w:color w:val="auto"/>
                <w:sz w:val="24"/>
              </w:rPr>
              <w:t>开标日期：20</w:t>
            </w:r>
            <w:r>
              <w:rPr>
                <w:rFonts w:hint="eastAsia"/>
                <w:color w:val="auto"/>
                <w:sz w:val="24"/>
                <w:lang w:val="en-US"/>
              </w:rPr>
              <w:t>22</w:t>
            </w:r>
            <w:r>
              <w:rPr>
                <w:color w:val="auto"/>
                <w:sz w:val="24"/>
              </w:rPr>
              <w:t>年</w:t>
            </w:r>
            <w:r>
              <w:rPr>
                <w:rFonts w:hint="eastAsia"/>
                <w:color w:val="auto"/>
                <w:sz w:val="24"/>
                <w:lang w:val="en-US" w:eastAsia="zh-CN"/>
              </w:rPr>
              <w:t>8</w:t>
            </w:r>
            <w:r>
              <w:rPr>
                <w:color w:val="auto"/>
                <w:sz w:val="24"/>
              </w:rPr>
              <w:t>月</w:t>
            </w:r>
            <w:r>
              <w:rPr>
                <w:rFonts w:hint="eastAsia"/>
                <w:color w:val="auto"/>
                <w:sz w:val="24"/>
                <w:lang w:val="en-US" w:eastAsia="zh-CN"/>
              </w:rPr>
              <w:t>23</w:t>
            </w:r>
            <w:r>
              <w:rPr>
                <w:color w:val="auto"/>
                <w:sz w:val="24"/>
              </w:rPr>
              <w:t>日</w:t>
            </w:r>
            <w:r>
              <w:rPr>
                <w:rFonts w:hint="eastAsia"/>
                <w:color w:val="auto"/>
                <w:sz w:val="24"/>
                <w:lang w:val="en-US"/>
              </w:rPr>
              <w:t xml:space="preserve">   11</w:t>
            </w:r>
            <w:r>
              <w:rPr>
                <w:color w:val="auto"/>
                <w:sz w:val="24"/>
              </w:rPr>
              <w:t>：</w:t>
            </w:r>
            <w:r>
              <w:rPr>
                <w:rFonts w:hint="eastAsia"/>
                <w:color w:val="auto"/>
                <w:sz w:val="24"/>
                <w:lang w:val="en-US"/>
              </w:rPr>
              <w:t>00</w:t>
            </w:r>
            <w:r>
              <w:rPr>
                <w:color w:val="auto"/>
                <w:sz w:val="24"/>
              </w:rPr>
              <w:t xml:space="preserve"> 时（北京时间）</w:t>
            </w:r>
          </w:p>
          <w:p>
            <w:pPr>
              <w:pStyle w:val="23"/>
              <w:spacing w:before="103"/>
              <w:ind w:left="107"/>
              <w:rPr>
                <w:rFonts w:hint="eastAsia" w:eastAsia="宋体"/>
                <w:color w:val="auto"/>
                <w:sz w:val="24"/>
                <w:lang w:eastAsia="zh-CN"/>
              </w:rPr>
            </w:pPr>
            <w:r>
              <w:rPr>
                <w:color w:val="auto"/>
                <w:sz w:val="24"/>
              </w:rPr>
              <w:t>开标地点：</w:t>
            </w:r>
            <w:r>
              <w:rPr>
                <w:rFonts w:hint="eastAsia"/>
                <w:color w:val="auto"/>
                <w:sz w:val="24"/>
                <w:szCs w:val="24"/>
                <w:lang w:eastAsia="zh-CN"/>
              </w:rPr>
              <w:t>伊宁市海棠路铂科瑞特酒店三楼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atLeast"/>
        </w:trPr>
        <w:tc>
          <w:tcPr>
            <w:tcW w:w="9965" w:type="dxa"/>
            <w:gridSpan w:val="2"/>
          </w:tcPr>
          <w:p>
            <w:pPr>
              <w:pStyle w:val="23"/>
              <w:spacing w:before="50"/>
              <w:ind w:left="7"/>
              <w:jc w:val="center"/>
              <w:rPr>
                <w:sz w:val="24"/>
              </w:rPr>
            </w:pPr>
            <w:r>
              <w:rPr>
                <w:sz w:val="24"/>
              </w:rPr>
              <w:t>授  予  合  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22" w:hRule="atLeast"/>
        </w:trPr>
        <w:tc>
          <w:tcPr>
            <w:tcW w:w="9965" w:type="dxa"/>
            <w:gridSpan w:val="2"/>
          </w:tcPr>
          <w:p>
            <w:pPr>
              <w:pStyle w:val="23"/>
              <w:spacing w:before="50" w:line="319" w:lineRule="auto"/>
              <w:ind w:left="107" w:right="4"/>
              <w:rPr>
                <w:sz w:val="24"/>
              </w:rPr>
            </w:pPr>
            <w:r>
              <w:rPr>
                <w:sz w:val="24"/>
              </w:rPr>
              <w:t>适用于本供应商须知的额外增加的变动：</w:t>
            </w:r>
            <w:r>
              <w:rPr>
                <w:rFonts w:hint="eastAsia"/>
                <w:sz w:val="24"/>
                <w:lang w:eastAsia="zh-CN"/>
              </w:rPr>
              <w:t>采购</w:t>
            </w:r>
            <w:r>
              <w:rPr>
                <w:sz w:val="24"/>
              </w:rPr>
              <w:t>代理服务费由中标方向</w:t>
            </w:r>
            <w:r>
              <w:rPr>
                <w:rFonts w:hint="eastAsia"/>
                <w:sz w:val="24"/>
              </w:rPr>
              <w:t>法正项目管理集团有限公司</w:t>
            </w:r>
            <w:r>
              <w:rPr>
                <w:sz w:val="24"/>
              </w:rPr>
              <w:t xml:space="preserve">支付， </w:t>
            </w:r>
            <w:r>
              <w:rPr>
                <w:rFonts w:hint="eastAsia"/>
                <w:sz w:val="24"/>
                <w:lang w:eastAsia="zh-CN"/>
              </w:rPr>
              <w:t>采购</w:t>
            </w:r>
            <w:r>
              <w:rPr>
                <w:sz w:val="24"/>
              </w:rPr>
              <w:t>代理服务费</w:t>
            </w:r>
            <w:r>
              <w:rPr>
                <w:rFonts w:hint="eastAsia"/>
                <w:sz w:val="24"/>
              </w:rPr>
              <w:t>参考</w:t>
            </w:r>
            <w:r>
              <w:rPr>
                <w:sz w:val="24"/>
              </w:rPr>
              <w:t>国家计委计价格【</w:t>
            </w:r>
            <w:r>
              <w:rPr>
                <w:rFonts w:ascii="Arial" w:eastAsia="Arial"/>
                <w:sz w:val="24"/>
              </w:rPr>
              <w:t>2002</w:t>
            </w:r>
            <w:r>
              <w:rPr>
                <w:sz w:val="24"/>
              </w:rPr>
              <w:t>】</w:t>
            </w:r>
            <w:r>
              <w:rPr>
                <w:rFonts w:ascii="Arial" w:eastAsia="Arial"/>
                <w:sz w:val="24"/>
              </w:rPr>
              <w:t xml:space="preserve">1980 </w:t>
            </w:r>
            <w:r>
              <w:rPr>
                <w:sz w:val="24"/>
              </w:rPr>
              <w:t>号文件和发改委【</w:t>
            </w:r>
            <w:r>
              <w:rPr>
                <w:rFonts w:ascii="Arial" w:eastAsia="Arial"/>
                <w:sz w:val="24"/>
              </w:rPr>
              <w:t>2003</w:t>
            </w:r>
            <w:r>
              <w:rPr>
                <w:sz w:val="24"/>
              </w:rPr>
              <w:t>】</w:t>
            </w:r>
            <w:r>
              <w:rPr>
                <w:rFonts w:ascii="Arial" w:eastAsia="Arial"/>
                <w:sz w:val="24"/>
              </w:rPr>
              <w:t xml:space="preserve">857 </w:t>
            </w:r>
            <w:r>
              <w:rPr>
                <w:sz w:val="24"/>
              </w:rPr>
              <w:t>号文件规定的收费标准。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9" w:hRule="atLeast"/>
        </w:trPr>
        <w:tc>
          <w:tcPr>
            <w:tcW w:w="9965" w:type="dxa"/>
            <w:gridSpan w:val="2"/>
          </w:tcPr>
          <w:p>
            <w:pPr>
              <w:pStyle w:val="23"/>
              <w:spacing w:before="96" w:line="304" w:lineRule="exact"/>
              <w:ind w:left="6"/>
              <w:jc w:val="center"/>
              <w:rPr>
                <w:sz w:val="24"/>
              </w:rPr>
            </w:pPr>
            <w:r>
              <w:rPr>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6" w:hRule="atLeast"/>
        </w:trPr>
        <w:tc>
          <w:tcPr>
            <w:tcW w:w="687" w:type="dxa"/>
          </w:tcPr>
          <w:p>
            <w:pPr>
              <w:pStyle w:val="23"/>
              <w:rPr>
                <w:b/>
                <w:sz w:val="26"/>
              </w:rPr>
            </w:pPr>
          </w:p>
          <w:p>
            <w:pPr>
              <w:pStyle w:val="23"/>
              <w:rPr>
                <w:b/>
                <w:sz w:val="27"/>
              </w:rPr>
            </w:pPr>
          </w:p>
          <w:p>
            <w:pPr>
              <w:pStyle w:val="23"/>
              <w:spacing w:before="1"/>
              <w:ind w:left="183" w:right="175"/>
              <w:jc w:val="center"/>
              <w:rPr>
                <w:rFonts w:ascii="Arial"/>
                <w:sz w:val="24"/>
                <w:lang w:val="en-US"/>
              </w:rPr>
            </w:pPr>
            <w:r>
              <w:rPr>
                <w:rFonts w:hint="eastAsia" w:ascii="Arial"/>
                <w:sz w:val="24"/>
                <w:lang w:val="en-US"/>
              </w:rPr>
              <w:t>12</w:t>
            </w:r>
          </w:p>
        </w:tc>
        <w:tc>
          <w:tcPr>
            <w:tcW w:w="9278" w:type="dxa"/>
          </w:tcPr>
          <w:p>
            <w:pPr>
              <w:pStyle w:val="23"/>
              <w:spacing w:before="50"/>
              <w:ind w:left="107"/>
              <w:rPr>
                <w:sz w:val="24"/>
              </w:rPr>
            </w:pPr>
            <w:r>
              <w:rPr>
                <w:sz w:val="24"/>
              </w:rPr>
              <w:t>采购代理机构名称：</w:t>
            </w:r>
            <w:r>
              <w:rPr>
                <w:rFonts w:hint="eastAsia"/>
                <w:sz w:val="24"/>
              </w:rPr>
              <w:t>法正项目管理集团有限公司</w:t>
            </w:r>
          </w:p>
          <w:p>
            <w:pPr>
              <w:pStyle w:val="23"/>
              <w:spacing w:before="103"/>
              <w:ind w:left="107"/>
              <w:rPr>
                <w:sz w:val="24"/>
              </w:rPr>
            </w:pPr>
            <w:r>
              <w:rPr>
                <w:sz w:val="24"/>
              </w:rPr>
              <w:t>详细地址：</w:t>
            </w:r>
            <w:r>
              <w:rPr>
                <w:rFonts w:hint="eastAsia"/>
                <w:sz w:val="24"/>
              </w:rPr>
              <w:t>伊宁市新华西路58号3楼（呼勒佳宾馆院内）</w:t>
            </w:r>
          </w:p>
          <w:p>
            <w:pPr>
              <w:pStyle w:val="23"/>
              <w:tabs>
                <w:tab w:val="left" w:pos="3828"/>
              </w:tabs>
              <w:spacing w:before="13" w:line="410" w:lineRule="exact"/>
              <w:ind w:left="107" w:right="3168"/>
              <w:rPr>
                <w:rFonts w:ascii="Arial"/>
                <w:sz w:val="24"/>
                <w:lang w:val="en-US"/>
              </w:rPr>
            </w:pPr>
            <w:r>
              <w:rPr>
                <w:sz w:val="24"/>
              </w:rPr>
              <w:t>联系 人：</w:t>
            </w:r>
            <w:r>
              <w:rPr>
                <w:rFonts w:hint="eastAsia"/>
                <w:sz w:val="24"/>
              </w:rPr>
              <w:t>刘婷</w:t>
            </w:r>
            <w:r>
              <w:rPr>
                <w:sz w:val="24"/>
              </w:rPr>
              <w:tab/>
            </w:r>
            <w:r>
              <w:rPr>
                <w:sz w:val="24"/>
              </w:rPr>
              <w:t>电话：</w:t>
            </w:r>
            <w:r>
              <w:rPr>
                <w:rFonts w:hint="eastAsia"/>
                <w:sz w:val="24"/>
                <w:lang w:val="en-US"/>
              </w:rPr>
              <w:t>15276327404</w:t>
            </w:r>
          </w:p>
        </w:tc>
      </w:tr>
    </w:tbl>
    <w:p>
      <w:pPr>
        <w:spacing w:line="410" w:lineRule="exact"/>
        <w:rPr>
          <w:rFonts w:ascii="Arial" w:eastAsia="Arial"/>
          <w:sz w:val="24"/>
          <w:highlight w:val="yellow"/>
        </w:rPr>
        <w:sectPr>
          <w:pgSz w:w="11910" w:h="16850"/>
          <w:pgMar w:top="1440" w:right="800" w:bottom="380" w:left="820" w:header="0" w:footer="191" w:gutter="0"/>
          <w:cols w:space="720" w:num="1"/>
        </w:sectPr>
      </w:pPr>
    </w:p>
    <w:p>
      <w:pPr>
        <w:pStyle w:val="4"/>
        <w:tabs>
          <w:tab w:val="left" w:pos="479"/>
        </w:tabs>
        <w:spacing w:before="145"/>
        <w:ind w:right="15"/>
      </w:pPr>
      <w:bookmarkStart w:id="2" w:name="_bookmark2"/>
      <w:bookmarkEnd w:id="2"/>
      <w:r>
        <w:rPr>
          <w:rFonts w:ascii="Arial" w:eastAsia="Arial"/>
        </w:rPr>
        <w:t>A</w:t>
      </w:r>
      <w:r>
        <w:rPr>
          <w:rFonts w:ascii="Arial" w:eastAsia="Arial"/>
        </w:rPr>
        <w:tab/>
      </w:r>
      <w:r>
        <w:t>说  明</w:t>
      </w:r>
    </w:p>
    <w:p>
      <w:pPr>
        <w:pStyle w:val="2"/>
        <w:spacing w:before="9"/>
        <w:ind w:left="0"/>
        <w:rPr>
          <w:b/>
          <w:sz w:val="27"/>
        </w:rPr>
      </w:pPr>
    </w:p>
    <w:p>
      <w:pPr>
        <w:pStyle w:val="22"/>
        <w:numPr>
          <w:ilvl w:val="1"/>
          <w:numId w:val="2"/>
        </w:numPr>
        <w:tabs>
          <w:tab w:val="left" w:pos="583"/>
        </w:tabs>
        <w:spacing w:before="1"/>
        <w:ind w:hanging="322"/>
        <w:rPr>
          <w:sz w:val="24"/>
        </w:rPr>
      </w:pPr>
      <w:r>
        <w:rPr>
          <w:sz w:val="24"/>
        </w:rPr>
        <w:t>适用范围</w:t>
      </w:r>
    </w:p>
    <w:p>
      <w:pPr>
        <w:pStyle w:val="22"/>
        <w:numPr>
          <w:ilvl w:val="2"/>
          <w:numId w:val="2"/>
        </w:numPr>
        <w:tabs>
          <w:tab w:val="left" w:pos="741"/>
        </w:tabs>
        <w:spacing w:before="100"/>
        <w:ind w:hanging="480"/>
        <w:rPr>
          <w:sz w:val="24"/>
        </w:rPr>
      </w:pPr>
      <w:r>
        <w:rPr>
          <w:sz w:val="24"/>
        </w:rPr>
        <w:t>本采购文件仅适用于本次投标邀请中所叙述项目的货物及服务采购。</w:t>
      </w:r>
    </w:p>
    <w:p>
      <w:pPr>
        <w:pStyle w:val="22"/>
        <w:numPr>
          <w:ilvl w:val="1"/>
          <w:numId w:val="2"/>
        </w:numPr>
        <w:tabs>
          <w:tab w:val="left" w:pos="636"/>
        </w:tabs>
        <w:spacing w:before="103"/>
        <w:ind w:left="635" w:hanging="375"/>
        <w:rPr>
          <w:sz w:val="24"/>
        </w:rPr>
      </w:pPr>
      <w:r>
        <w:rPr>
          <w:sz w:val="24"/>
        </w:rPr>
        <w:t>定义</w:t>
      </w:r>
    </w:p>
    <w:p>
      <w:pPr>
        <w:pStyle w:val="22"/>
        <w:numPr>
          <w:ilvl w:val="2"/>
          <w:numId w:val="2"/>
        </w:numPr>
        <w:tabs>
          <w:tab w:val="left" w:pos="663"/>
        </w:tabs>
        <w:ind w:left="662" w:hanging="402"/>
        <w:rPr>
          <w:sz w:val="24"/>
        </w:rPr>
      </w:pPr>
      <w:r>
        <w:rPr>
          <w:rFonts w:ascii="Arial" w:hAnsi="Arial" w:eastAsia="Arial"/>
          <w:sz w:val="24"/>
        </w:rPr>
        <w:t>“</w:t>
      </w:r>
      <w:r>
        <w:rPr>
          <w:rFonts w:hint="eastAsia"/>
          <w:sz w:val="24"/>
          <w:lang w:eastAsia="zh-CN"/>
        </w:rPr>
        <w:t>采购</w:t>
      </w:r>
      <w:r>
        <w:rPr>
          <w:sz w:val="24"/>
        </w:rPr>
        <w:t>代理机构</w:t>
      </w:r>
      <w:r>
        <w:rPr>
          <w:rFonts w:ascii="Arial" w:hAnsi="Arial" w:eastAsia="Arial"/>
          <w:sz w:val="24"/>
        </w:rPr>
        <w:t>”</w:t>
      </w:r>
      <w:r>
        <w:rPr>
          <w:spacing w:val="-2"/>
          <w:sz w:val="24"/>
        </w:rPr>
        <w:t>系指</w:t>
      </w:r>
      <w:r>
        <w:rPr>
          <w:rFonts w:hint="eastAsia"/>
          <w:spacing w:val="-2"/>
          <w:sz w:val="24"/>
        </w:rPr>
        <w:t>法正项目管理集团有限公司</w:t>
      </w:r>
      <w:r>
        <w:rPr>
          <w:spacing w:val="-2"/>
          <w:sz w:val="24"/>
        </w:rPr>
        <w:t>；</w:t>
      </w:r>
    </w:p>
    <w:p>
      <w:pPr>
        <w:pStyle w:val="22"/>
        <w:numPr>
          <w:ilvl w:val="2"/>
          <w:numId w:val="2"/>
        </w:numPr>
        <w:tabs>
          <w:tab w:val="left" w:pos="663"/>
        </w:tabs>
        <w:spacing w:before="100"/>
        <w:ind w:left="662" w:hanging="402"/>
        <w:rPr>
          <w:sz w:val="24"/>
        </w:rPr>
      </w:pPr>
      <w:r>
        <w:rPr>
          <w:rFonts w:ascii="Arial" w:hAnsi="Arial" w:eastAsia="Arial"/>
          <w:sz w:val="24"/>
        </w:rPr>
        <w:t>“</w:t>
      </w:r>
      <w:r>
        <w:rPr>
          <w:spacing w:val="-1"/>
          <w:sz w:val="24"/>
        </w:rPr>
        <w:t>买方</w:t>
      </w:r>
      <w:r>
        <w:rPr>
          <w:rFonts w:ascii="Arial" w:hAnsi="Arial" w:eastAsia="Arial"/>
          <w:spacing w:val="-1"/>
          <w:sz w:val="24"/>
        </w:rPr>
        <w:t>”</w:t>
      </w:r>
      <w:r>
        <w:rPr>
          <w:spacing w:val="-1"/>
          <w:sz w:val="24"/>
        </w:rPr>
        <w:t>系指</w:t>
      </w:r>
      <w:r>
        <w:rPr>
          <w:rFonts w:hint="eastAsia"/>
          <w:spacing w:val="-1"/>
          <w:sz w:val="24"/>
          <w:lang w:eastAsia="zh-CN"/>
        </w:rPr>
        <w:t>新疆维吾尔自治区伊宁卫生学校</w:t>
      </w:r>
      <w:r>
        <w:rPr>
          <w:sz w:val="24"/>
        </w:rPr>
        <w:t>；</w:t>
      </w:r>
    </w:p>
    <w:p>
      <w:pPr>
        <w:pStyle w:val="22"/>
        <w:numPr>
          <w:ilvl w:val="2"/>
          <w:numId w:val="2"/>
        </w:numPr>
        <w:tabs>
          <w:tab w:val="left" w:pos="663"/>
        </w:tabs>
        <w:spacing w:before="103"/>
        <w:ind w:left="662" w:hanging="402"/>
        <w:rPr>
          <w:sz w:val="24"/>
        </w:rPr>
      </w:pPr>
      <w:r>
        <w:rPr>
          <w:rFonts w:ascii="Arial" w:hAnsi="Arial" w:eastAsia="Arial"/>
          <w:sz w:val="24"/>
        </w:rPr>
        <w:t>“</w:t>
      </w:r>
      <w:r>
        <w:rPr>
          <w:sz w:val="24"/>
        </w:rPr>
        <w:t>供应商</w:t>
      </w:r>
      <w:r>
        <w:rPr>
          <w:rFonts w:ascii="Arial" w:hAnsi="Arial" w:eastAsia="Arial"/>
          <w:sz w:val="24"/>
        </w:rPr>
        <w:t>”</w:t>
      </w:r>
      <w:r>
        <w:rPr>
          <w:spacing w:val="-1"/>
          <w:sz w:val="24"/>
        </w:rPr>
        <w:t>系指向</w:t>
      </w:r>
      <w:r>
        <w:rPr>
          <w:rFonts w:hint="eastAsia"/>
          <w:spacing w:val="-1"/>
          <w:sz w:val="24"/>
          <w:lang w:eastAsia="zh-CN"/>
        </w:rPr>
        <w:t>采购</w:t>
      </w:r>
      <w:r>
        <w:rPr>
          <w:spacing w:val="-1"/>
          <w:sz w:val="24"/>
        </w:rPr>
        <w:t>代理机构提交投标文件的制造商或代理商；</w:t>
      </w:r>
    </w:p>
    <w:p>
      <w:pPr>
        <w:pStyle w:val="22"/>
        <w:numPr>
          <w:ilvl w:val="2"/>
          <w:numId w:val="2"/>
        </w:numPr>
        <w:tabs>
          <w:tab w:val="left" w:pos="663"/>
        </w:tabs>
        <w:spacing w:before="100"/>
        <w:ind w:left="662" w:hanging="402"/>
        <w:rPr>
          <w:sz w:val="24"/>
        </w:rPr>
      </w:pPr>
      <w:r>
        <w:rPr>
          <w:rFonts w:ascii="Arial" w:hAnsi="Arial" w:eastAsia="Arial"/>
          <w:sz w:val="24"/>
        </w:rPr>
        <w:t>“</w:t>
      </w:r>
      <w:r>
        <w:rPr>
          <w:sz w:val="24"/>
        </w:rPr>
        <w:t>中标方</w:t>
      </w:r>
      <w:r>
        <w:rPr>
          <w:rFonts w:ascii="Arial" w:hAnsi="Arial" w:eastAsia="Arial"/>
          <w:sz w:val="24"/>
        </w:rPr>
        <w:t>”</w:t>
      </w:r>
      <w:r>
        <w:rPr>
          <w:spacing w:val="-1"/>
          <w:sz w:val="24"/>
        </w:rPr>
        <w:t>系指在本次项目中将被授予合同的供应商。</w:t>
      </w:r>
    </w:p>
    <w:p>
      <w:pPr>
        <w:pStyle w:val="22"/>
        <w:numPr>
          <w:ilvl w:val="1"/>
          <w:numId w:val="2"/>
        </w:numPr>
        <w:tabs>
          <w:tab w:val="left" w:pos="636"/>
        </w:tabs>
        <w:spacing w:before="103"/>
        <w:ind w:left="635" w:hanging="375"/>
        <w:rPr>
          <w:sz w:val="24"/>
        </w:rPr>
      </w:pPr>
      <w:r>
        <w:rPr>
          <w:sz w:val="24"/>
        </w:rPr>
        <w:t>合格的供应商</w:t>
      </w:r>
    </w:p>
    <w:p>
      <w:pPr>
        <w:pStyle w:val="22"/>
        <w:numPr>
          <w:ilvl w:val="2"/>
          <w:numId w:val="2"/>
        </w:numPr>
        <w:tabs>
          <w:tab w:val="left" w:pos="717"/>
        </w:tabs>
        <w:spacing w:line="319" w:lineRule="auto"/>
        <w:ind w:right="276" w:hanging="480"/>
        <w:rPr>
          <w:sz w:val="24"/>
        </w:rPr>
      </w:pPr>
      <w:r>
        <w:rPr>
          <w:spacing w:val="-6"/>
          <w:sz w:val="24"/>
        </w:rPr>
        <w:t>有能力提供采购文件中所要求的货物及服务、资格审查合格的制造商或代理商为合格的供</w:t>
      </w:r>
      <w:r>
        <w:rPr>
          <w:sz w:val="24"/>
        </w:rPr>
        <w:t>应商；</w:t>
      </w:r>
    </w:p>
    <w:p>
      <w:pPr>
        <w:pStyle w:val="22"/>
        <w:numPr>
          <w:ilvl w:val="2"/>
          <w:numId w:val="2"/>
        </w:numPr>
        <w:tabs>
          <w:tab w:val="left" w:pos="717"/>
        </w:tabs>
        <w:spacing w:before="1"/>
        <w:ind w:left="716" w:hanging="456"/>
        <w:rPr>
          <w:sz w:val="24"/>
        </w:rPr>
      </w:pPr>
      <w:r>
        <w:rPr>
          <w:spacing w:val="-1"/>
          <w:sz w:val="24"/>
        </w:rPr>
        <w:t>供应商必须遵守有关的国内法律和规章条例。</w:t>
      </w:r>
    </w:p>
    <w:p>
      <w:pPr>
        <w:pStyle w:val="22"/>
        <w:numPr>
          <w:ilvl w:val="1"/>
          <w:numId w:val="2"/>
        </w:numPr>
        <w:tabs>
          <w:tab w:val="left" w:pos="636"/>
        </w:tabs>
        <w:spacing w:before="100"/>
        <w:ind w:left="635" w:hanging="375"/>
        <w:rPr>
          <w:sz w:val="24"/>
        </w:rPr>
      </w:pPr>
      <w:r>
        <w:rPr>
          <w:sz w:val="24"/>
        </w:rPr>
        <w:t>供应商资格（</w:t>
      </w:r>
      <w:r>
        <w:rPr>
          <w:spacing w:val="-5"/>
          <w:sz w:val="24"/>
        </w:rPr>
        <w:t xml:space="preserve">详见“供应商须知附表”第 </w:t>
      </w:r>
      <w:r>
        <w:rPr>
          <w:rFonts w:ascii="Arial" w:hAnsi="Arial" w:eastAsia="Arial"/>
          <w:sz w:val="24"/>
        </w:rPr>
        <w:t>8</w:t>
      </w:r>
      <w:r>
        <w:rPr>
          <w:sz w:val="24"/>
        </w:rPr>
        <w:t>条）</w:t>
      </w:r>
    </w:p>
    <w:p>
      <w:pPr>
        <w:pStyle w:val="22"/>
        <w:numPr>
          <w:ilvl w:val="1"/>
          <w:numId w:val="2"/>
        </w:numPr>
        <w:tabs>
          <w:tab w:val="left" w:pos="636"/>
        </w:tabs>
        <w:spacing w:before="103"/>
        <w:ind w:left="635" w:hanging="375"/>
        <w:rPr>
          <w:sz w:val="24"/>
        </w:rPr>
      </w:pPr>
      <w:r>
        <w:rPr>
          <w:sz w:val="24"/>
        </w:rPr>
        <w:t>投标费用</w:t>
      </w:r>
    </w:p>
    <w:p>
      <w:pPr>
        <w:pStyle w:val="22"/>
        <w:numPr>
          <w:ilvl w:val="2"/>
          <w:numId w:val="2"/>
        </w:numPr>
        <w:tabs>
          <w:tab w:val="left" w:pos="717"/>
        </w:tabs>
        <w:ind w:left="716" w:hanging="456"/>
        <w:rPr>
          <w:sz w:val="24"/>
        </w:rPr>
      </w:pPr>
      <w:r>
        <w:rPr>
          <w:spacing w:val="-1"/>
          <w:sz w:val="24"/>
        </w:rPr>
        <w:t>无论投标过程中的作法和结果如何，供应商将自行承担所有与参加投标有关的全部费用。</w:t>
      </w:r>
    </w:p>
    <w:p>
      <w:pPr>
        <w:pStyle w:val="2"/>
        <w:spacing w:before="12"/>
        <w:ind w:left="0"/>
        <w:rPr>
          <w:sz w:val="27"/>
        </w:rPr>
      </w:pPr>
    </w:p>
    <w:p>
      <w:pPr>
        <w:pStyle w:val="4"/>
        <w:tabs>
          <w:tab w:val="left" w:pos="484"/>
        </w:tabs>
        <w:ind w:right="18"/>
      </w:pPr>
      <w:bookmarkStart w:id="3" w:name="_bookmark3"/>
      <w:bookmarkEnd w:id="3"/>
      <w:r>
        <w:rPr>
          <w:rFonts w:ascii="Arial" w:eastAsia="Arial"/>
        </w:rPr>
        <w:t>B</w:t>
      </w:r>
      <w:r>
        <w:rPr>
          <w:rFonts w:ascii="Arial" w:eastAsia="Arial"/>
        </w:rPr>
        <w:tab/>
      </w:r>
      <w:r>
        <w:t>采购文件</w:t>
      </w:r>
    </w:p>
    <w:p>
      <w:pPr>
        <w:pStyle w:val="22"/>
        <w:numPr>
          <w:ilvl w:val="1"/>
          <w:numId w:val="2"/>
        </w:numPr>
        <w:tabs>
          <w:tab w:val="left" w:pos="636"/>
        </w:tabs>
        <w:spacing w:before="0"/>
        <w:ind w:left="635" w:hanging="375"/>
        <w:rPr>
          <w:sz w:val="24"/>
        </w:rPr>
      </w:pPr>
      <w:r>
        <w:rPr>
          <w:sz w:val="24"/>
        </w:rPr>
        <w:t>采购文件构成</w:t>
      </w:r>
    </w:p>
    <w:p>
      <w:pPr>
        <w:pStyle w:val="22"/>
        <w:numPr>
          <w:ilvl w:val="2"/>
          <w:numId w:val="2"/>
        </w:numPr>
        <w:tabs>
          <w:tab w:val="left" w:pos="657"/>
        </w:tabs>
        <w:spacing w:before="104"/>
        <w:ind w:left="656" w:hanging="396"/>
        <w:rPr>
          <w:sz w:val="24"/>
        </w:rPr>
      </w:pPr>
      <w:r>
        <w:rPr>
          <w:sz w:val="24"/>
        </w:rPr>
        <w:t>采购文件包括：</w:t>
      </w:r>
    </w:p>
    <w:p>
      <w:pPr>
        <w:pStyle w:val="2"/>
        <w:spacing w:before="100"/>
        <w:ind w:left="500"/>
      </w:pPr>
      <w:r>
        <w:t>⑴投标</w:t>
      </w:r>
      <w:r>
        <w:rPr>
          <w:rFonts w:hint="eastAsia"/>
        </w:rPr>
        <w:t>书</w:t>
      </w:r>
      <w:r>
        <w:t xml:space="preserve">； </w:t>
      </w:r>
    </w:p>
    <w:p>
      <w:pPr>
        <w:pStyle w:val="2"/>
        <w:spacing w:before="103"/>
        <w:ind w:left="500"/>
      </w:pPr>
      <w:r>
        <w:t xml:space="preserve">⑵供应商须知； </w:t>
      </w:r>
    </w:p>
    <w:p>
      <w:pPr>
        <w:pStyle w:val="2"/>
        <w:spacing w:before="100"/>
        <w:ind w:left="500"/>
      </w:pPr>
      <w:r>
        <w:t xml:space="preserve">⑶货物需求一览表及技术规格； </w:t>
      </w:r>
    </w:p>
    <w:p>
      <w:pPr>
        <w:pStyle w:val="2"/>
        <w:spacing w:before="101"/>
        <w:ind w:left="500"/>
      </w:pPr>
      <w:r>
        <w:rPr>
          <w:spacing w:val="-1"/>
        </w:rPr>
        <w:t xml:space="preserve">⑷合同一般条款； </w:t>
      </w:r>
    </w:p>
    <w:p>
      <w:pPr>
        <w:pStyle w:val="2"/>
        <w:spacing w:before="103"/>
        <w:ind w:left="500"/>
      </w:pPr>
      <w:r>
        <w:rPr>
          <w:spacing w:val="-1"/>
        </w:rPr>
        <w:t xml:space="preserve">⑸合同特殊条款； </w:t>
      </w:r>
    </w:p>
    <w:p>
      <w:pPr>
        <w:pStyle w:val="2"/>
        <w:spacing w:before="100"/>
        <w:ind w:left="500"/>
      </w:pPr>
      <w:r>
        <w:t xml:space="preserve">⑹范本格式。 </w:t>
      </w:r>
    </w:p>
    <w:p>
      <w:pPr>
        <w:pStyle w:val="22"/>
        <w:numPr>
          <w:ilvl w:val="2"/>
          <w:numId w:val="2"/>
        </w:numPr>
        <w:tabs>
          <w:tab w:val="left" w:pos="717"/>
        </w:tabs>
        <w:spacing w:before="103"/>
        <w:ind w:left="716" w:hanging="456"/>
        <w:rPr>
          <w:sz w:val="24"/>
        </w:rPr>
      </w:pPr>
      <w:r>
        <w:rPr>
          <w:spacing w:val="-1"/>
          <w:sz w:val="24"/>
        </w:rPr>
        <w:t>采购文件以中文编写。</w:t>
      </w:r>
    </w:p>
    <w:p>
      <w:pPr>
        <w:pStyle w:val="22"/>
        <w:numPr>
          <w:ilvl w:val="2"/>
          <w:numId w:val="2"/>
        </w:numPr>
        <w:tabs>
          <w:tab w:val="left" w:pos="717"/>
        </w:tabs>
        <w:spacing w:line="319" w:lineRule="auto"/>
        <w:ind w:left="620" w:right="275" w:hanging="360"/>
        <w:jc w:val="both"/>
        <w:rPr>
          <w:sz w:val="24"/>
        </w:rPr>
      </w:pPr>
      <w:r>
        <w:rPr>
          <w:spacing w:val="-6"/>
          <w:sz w:val="24"/>
        </w:rPr>
        <w:t>供应商应认真阅读采购文件中所有的事项、格式、条款和规范等要求，从而对采购文件作</w:t>
      </w:r>
      <w:r>
        <w:rPr>
          <w:sz w:val="24"/>
        </w:rPr>
        <w:t>出实质性响应。如果没有按照采购文件要求提交全部投标文件或资料，没有对采购文件作出实质性响应，其风险应由供应商自行承担。</w:t>
      </w:r>
    </w:p>
    <w:p>
      <w:pPr>
        <w:pStyle w:val="22"/>
        <w:numPr>
          <w:ilvl w:val="1"/>
          <w:numId w:val="2"/>
        </w:numPr>
        <w:tabs>
          <w:tab w:val="left" w:pos="636"/>
        </w:tabs>
        <w:spacing w:before="0"/>
        <w:ind w:left="635" w:hanging="375"/>
        <w:rPr>
          <w:sz w:val="24"/>
        </w:rPr>
      </w:pPr>
      <w:r>
        <w:rPr>
          <w:sz w:val="24"/>
        </w:rPr>
        <w:t>采购文件澄清</w:t>
      </w:r>
    </w:p>
    <w:p>
      <w:pPr>
        <w:pStyle w:val="22"/>
        <w:numPr>
          <w:ilvl w:val="2"/>
          <w:numId w:val="2"/>
        </w:numPr>
        <w:tabs>
          <w:tab w:val="left" w:pos="686"/>
        </w:tabs>
        <w:spacing w:before="103" w:line="319" w:lineRule="auto"/>
        <w:ind w:right="268" w:hanging="480"/>
      </w:pPr>
      <w:r>
        <w:rPr>
          <w:spacing w:val="-3"/>
          <w:sz w:val="24"/>
        </w:rPr>
        <w:t xml:space="preserve">供应商对采购文件有疑问的，须在投标截止时间 </w:t>
      </w:r>
      <w:r>
        <w:rPr>
          <w:rFonts w:ascii="Arial" w:eastAsia="Arial"/>
          <w:sz w:val="24"/>
        </w:rPr>
        <w:t>15</w:t>
      </w:r>
      <w:r>
        <w:rPr>
          <w:spacing w:val="-1"/>
          <w:sz w:val="24"/>
        </w:rPr>
        <w:t>日前以书面形式向</w:t>
      </w:r>
      <w:r>
        <w:rPr>
          <w:rFonts w:hint="eastAsia"/>
          <w:spacing w:val="-1"/>
          <w:sz w:val="24"/>
          <w:lang w:eastAsia="zh-CN"/>
        </w:rPr>
        <w:t>采购</w:t>
      </w:r>
      <w:r>
        <w:rPr>
          <w:spacing w:val="-1"/>
          <w:sz w:val="24"/>
        </w:rPr>
        <w:t>机构提出；</w:t>
      </w:r>
      <w:r>
        <w:rPr>
          <w:rFonts w:hint="eastAsia"/>
          <w:spacing w:val="-1"/>
          <w:sz w:val="24"/>
          <w:lang w:eastAsia="zh-CN"/>
        </w:rPr>
        <w:t>采购</w:t>
      </w:r>
      <w:r>
        <w:rPr>
          <w:sz w:val="24"/>
        </w:rPr>
        <w:t>机构在收到书面疑问后尽快做出答复，并以书面形式通知疑问供应商和其他有关供应</w:t>
      </w:r>
      <w:r>
        <w:t>商。</w:t>
      </w:r>
    </w:p>
    <w:p>
      <w:pPr>
        <w:pStyle w:val="22"/>
        <w:numPr>
          <w:ilvl w:val="2"/>
          <w:numId w:val="2"/>
        </w:numPr>
        <w:tabs>
          <w:tab w:val="left" w:pos="657"/>
        </w:tabs>
        <w:spacing w:line="319" w:lineRule="auto"/>
        <w:ind w:right="274" w:hanging="480"/>
        <w:jc w:val="both"/>
        <w:rPr>
          <w:sz w:val="24"/>
        </w:rPr>
      </w:pPr>
      <w:r>
        <w:rPr>
          <w:spacing w:val="-5"/>
          <w:sz w:val="24"/>
        </w:rPr>
        <w:t xml:space="preserve">供应商对采购文件有质疑的，须在得到采购文件之日起 </w:t>
      </w:r>
      <w:r>
        <w:rPr>
          <w:rFonts w:ascii="Arial" w:eastAsia="Arial"/>
          <w:sz w:val="24"/>
        </w:rPr>
        <w:t>7</w:t>
      </w:r>
      <w:r>
        <w:rPr>
          <w:spacing w:val="-3"/>
          <w:sz w:val="24"/>
        </w:rPr>
        <w:t>个工作日内，以书面形式向</w:t>
      </w:r>
      <w:r>
        <w:rPr>
          <w:rFonts w:hint="eastAsia"/>
          <w:spacing w:val="-3"/>
          <w:sz w:val="24"/>
          <w:lang w:eastAsia="zh-CN"/>
        </w:rPr>
        <w:t>采购</w:t>
      </w:r>
      <w:r>
        <w:rPr>
          <w:spacing w:val="-10"/>
          <w:sz w:val="24"/>
        </w:rPr>
        <w:t>机构提出质疑；</w:t>
      </w:r>
      <w:r>
        <w:rPr>
          <w:rFonts w:hint="eastAsia"/>
          <w:spacing w:val="-10"/>
          <w:sz w:val="24"/>
          <w:lang w:eastAsia="zh-CN"/>
        </w:rPr>
        <w:t>采购</w:t>
      </w:r>
      <w:r>
        <w:rPr>
          <w:spacing w:val="-10"/>
          <w:sz w:val="24"/>
        </w:rPr>
        <w:t xml:space="preserve">机构在收到书面质疑后 </w:t>
      </w:r>
      <w:r>
        <w:rPr>
          <w:rFonts w:ascii="Arial" w:eastAsia="Arial"/>
          <w:sz w:val="24"/>
        </w:rPr>
        <w:t>7</w:t>
      </w:r>
      <w:r>
        <w:rPr>
          <w:spacing w:val="-7"/>
          <w:sz w:val="24"/>
        </w:rPr>
        <w:t>个工作日内作出答复，并以书面形式通知质</w:t>
      </w:r>
      <w:r>
        <w:rPr>
          <w:sz w:val="24"/>
        </w:rPr>
        <w:t>疑供应商和其他有关供应商。</w:t>
      </w:r>
    </w:p>
    <w:p>
      <w:pPr>
        <w:pStyle w:val="22"/>
        <w:numPr>
          <w:ilvl w:val="1"/>
          <w:numId w:val="2"/>
        </w:numPr>
        <w:tabs>
          <w:tab w:val="left" w:pos="701"/>
          <w:tab w:val="left" w:pos="703"/>
        </w:tabs>
        <w:spacing w:before="2"/>
        <w:ind w:left="702" w:hanging="442"/>
        <w:rPr>
          <w:sz w:val="24"/>
        </w:rPr>
      </w:pPr>
      <w:r>
        <w:rPr>
          <w:sz w:val="24"/>
        </w:rPr>
        <w:t>采购文件的修改</w:t>
      </w:r>
    </w:p>
    <w:p>
      <w:pPr>
        <w:pStyle w:val="22"/>
        <w:numPr>
          <w:ilvl w:val="2"/>
          <w:numId w:val="2"/>
        </w:numPr>
        <w:tabs>
          <w:tab w:val="left" w:pos="717"/>
        </w:tabs>
        <w:spacing w:line="319" w:lineRule="auto"/>
        <w:ind w:right="276" w:hanging="480"/>
        <w:rPr>
          <w:sz w:val="24"/>
        </w:rPr>
      </w:pPr>
      <w:r>
        <w:rPr>
          <w:spacing w:val="-3"/>
          <w:sz w:val="24"/>
        </w:rPr>
        <w:t>对采购文件进行必要的修改，</w:t>
      </w:r>
      <w:r>
        <w:rPr>
          <w:rFonts w:hint="eastAsia"/>
          <w:spacing w:val="-3"/>
          <w:sz w:val="24"/>
          <w:lang w:eastAsia="zh-CN"/>
        </w:rPr>
        <w:t>采购</w:t>
      </w:r>
      <w:r>
        <w:rPr>
          <w:spacing w:val="-3"/>
          <w:sz w:val="24"/>
        </w:rPr>
        <w:t xml:space="preserve">代理机构将在投标截止时间 </w:t>
      </w:r>
      <w:r>
        <w:rPr>
          <w:rFonts w:ascii="Arial" w:eastAsia="Arial"/>
          <w:sz w:val="24"/>
        </w:rPr>
        <w:t>15</w:t>
      </w:r>
      <w:r>
        <w:rPr>
          <w:spacing w:val="-3"/>
          <w:sz w:val="24"/>
        </w:rPr>
        <w:t>日前以书面形式通知所</w:t>
      </w:r>
      <w:r>
        <w:rPr>
          <w:sz w:val="24"/>
        </w:rPr>
        <w:t>有购买采购文件的供应商。该修改的内容为采购文件的组成部分；</w:t>
      </w:r>
    </w:p>
    <w:p>
      <w:pPr>
        <w:pStyle w:val="22"/>
        <w:numPr>
          <w:ilvl w:val="2"/>
          <w:numId w:val="2"/>
        </w:numPr>
        <w:tabs>
          <w:tab w:val="left" w:pos="717"/>
        </w:tabs>
        <w:spacing w:before="0" w:line="319" w:lineRule="auto"/>
        <w:ind w:right="277" w:hanging="480"/>
        <w:rPr>
          <w:sz w:val="24"/>
        </w:rPr>
      </w:pPr>
      <w:r>
        <w:rPr>
          <w:spacing w:val="-8"/>
          <w:sz w:val="24"/>
        </w:rPr>
        <w:t>在投标截止时间前，</w:t>
      </w:r>
      <w:r>
        <w:rPr>
          <w:rFonts w:hint="eastAsia"/>
          <w:spacing w:val="-8"/>
          <w:sz w:val="24"/>
          <w:lang w:eastAsia="zh-CN"/>
        </w:rPr>
        <w:t>采购</w:t>
      </w:r>
      <w:r>
        <w:rPr>
          <w:spacing w:val="-8"/>
          <w:sz w:val="24"/>
        </w:rPr>
        <w:t>机构可视具体情况延长投标截止时间，并将变更时间书面通知所</w:t>
      </w:r>
      <w:r>
        <w:rPr>
          <w:sz w:val="24"/>
        </w:rPr>
        <w:t>有购买采购文件的供应商。</w:t>
      </w:r>
    </w:p>
    <w:p>
      <w:pPr>
        <w:pStyle w:val="2"/>
        <w:ind w:left="0"/>
        <w:rPr>
          <w:sz w:val="20"/>
        </w:rPr>
      </w:pPr>
    </w:p>
    <w:p>
      <w:pPr>
        <w:pStyle w:val="4"/>
        <w:tabs>
          <w:tab w:val="left" w:pos="484"/>
        </w:tabs>
      </w:pPr>
      <w:bookmarkStart w:id="4" w:name="_bookmark4"/>
      <w:bookmarkEnd w:id="4"/>
      <w:r>
        <w:rPr>
          <w:rFonts w:ascii="Arial" w:eastAsia="Arial"/>
        </w:rPr>
        <w:t>C</w:t>
      </w:r>
      <w:r>
        <w:rPr>
          <w:rFonts w:ascii="Arial" w:eastAsia="Arial"/>
        </w:rPr>
        <w:tab/>
      </w:r>
      <w:r>
        <w:t>投标文件的编写</w:t>
      </w:r>
    </w:p>
    <w:p>
      <w:pPr>
        <w:pStyle w:val="2"/>
        <w:spacing w:before="7"/>
        <w:ind w:left="0"/>
        <w:rPr>
          <w:b/>
          <w:sz w:val="27"/>
        </w:rPr>
      </w:pPr>
    </w:p>
    <w:p>
      <w:pPr>
        <w:pStyle w:val="22"/>
        <w:numPr>
          <w:ilvl w:val="1"/>
          <w:numId w:val="2"/>
        </w:numPr>
        <w:tabs>
          <w:tab w:val="left" w:pos="636"/>
        </w:tabs>
        <w:spacing w:before="0"/>
        <w:ind w:left="635" w:hanging="375"/>
        <w:rPr>
          <w:sz w:val="24"/>
        </w:rPr>
      </w:pPr>
      <w:r>
        <w:rPr>
          <w:sz w:val="24"/>
        </w:rPr>
        <w:t>要求</w:t>
      </w:r>
    </w:p>
    <w:p>
      <w:pPr>
        <w:pStyle w:val="22"/>
        <w:numPr>
          <w:ilvl w:val="2"/>
          <w:numId w:val="2"/>
        </w:numPr>
        <w:tabs>
          <w:tab w:val="left" w:pos="717"/>
        </w:tabs>
        <w:spacing w:before="103" w:line="319" w:lineRule="auto"/>
        <w:ind w:left="620" w:right="157" w:hanging="360"/>
        <w:rPr>
          <w:sz w:val="24"/>
        </w:rPr>
      </w:pPr>
      <w:r>
        <w:rPr>
          <w:spacing w:val="-4"/>
          <w:sz w:val="24"/>
        </w:rPr>
        <w:t>供应商应仔细阅读采购文件的所有内容，按采购文件的要求提供投标文件，并保证所提供</w:t>
      </w:r>
      <w:r>
        <w:rPr>
          <w:spacing w:val="-10"/>
          <w:sz w:val="24"/>
        </w:rPr>
        <w:t>的全部资料的真实性，以使其投标对采购文件作出实质性响应，否则，其投标可能被拒绝。</w:t>
      </w:r>
    </w:p>
    <w:p>
      <w:pPr>
        <w:pStyle w:val="22"/>
        <w:numPr>
          <w:ilvl w:val="1"/>
          <w:numId w:val="2"/>
        </w:numPr>
        <w:tabs>
          <w:tab w:val="left" w:pos="771"/>
        </w:tabs>
        <w:spacing w:before="1"/>
        <w:ind w:left="770" w:hanging="510"/>
        <w:rPr>
          <w:sz w:val="24"/>
        </w:rPr>
      </w:pPr>
      <w:r>
        <w:rPr>
          <w:sz w:val="24"/>
        </w:rPr>
        <w:t>投标语言</w:t>
      </w:r>
    </w:p>
    <w:p>
      <w:pPr>
        <w:pStyle w:val="22"/>
        <w:numPr>
          <w:ilvl w:val="2"/>
          <w:numId w:val="2"/>
        </w:numPr>
        <w:tabs>
          <w:tab w:val="left" w:pos="791"/>
        </w:tabs>
        <w:spacing w:before="100"/>
        <w:ind w:left="790" w:hanging="530"/>
        <w:rPr>
          <w:sz w:val="24"/>
        </w:rPr>
      </w:pPr>
      <w:r>
        <w:rPr>
          <w:spacing w:val="-1"/>
          <w:sz w:val="24"/>
        </w:rPr>
        <w:t>投标文件及供应商与</w:t>
      </w:r>
      <w:r>
        <w:rPr>
          <w:rFonts w:hint="eastAsia"/>
          <w:spacing w:val="-1"/>
          <w:sz w:val="24"/>
          <w:lang w:eastAsia="zh-CN"/>
        </w:rPr>
        <w:t>采购</w:t>
      </w:r>
      <w:r>
        <w:rPr>
          <w:spacing w:val="-1"/>
          <w:sz w:val="24"/>
        </w:rPr>
        <w:t>代理机构就投标交换的文件和来往信件，应以中文书写。</w:t>
      </w:r>
    </w:p>
    <w:p>
      <w:pPr>
        <w:pStyle w:val="22"/>
        <w:numPr>
          <w:ilvl w:val="1"/>
          <w:numId w:val="2"/>
        </w:numPr>
        <w:tabs>
          <w:tab w:val="left" w:pos="754"/>
        </w:tabs>
        <w:spacing w:before="103"/>
        <w:ind w:left="753" w:hanging="493"/>
        <w:rPr>
          <w:sz w:val="24"/>
        </w:rPr>
      </w:pPr>
      <w:r>
        <w:rPr>
          <w:sz w:val="24"/>
        </w:rPr>
        <w:t>投标文件的构成</w:t>
      </w:r>
    </w:p>
    <w:p>
      <w:pPr>
        <w:pStyle w:val="22"/>
        <w:numPr>
          <w:ilvl w:val="2"/>
          <w:numId w:val="2"/>
        </w:numPr>
        <w:tabs>
          <w:tab w:val="left" w:pos="832"/>
        </w:tabs>
        <w:ind w:left="831" w:hanging="571"/>
        <w:rPr>
          <w:color w:val="auto"/>
          <w:sz w:val="24"/>
        </w:rPr>
      </w:pPr>
      <w:r>
        <w:rPr>
          <w:spacing w:val="-1"/>
          <w:sz w:val="24"/>
        </w:rPr>
        <w:t>供应商</w:t>
      </w:r>
      <w:r>
        <w:rPr>
          <w:color w:val="auto"/>
          <w:spacing w:val="-1"/>
          <w:sz w:val="24"/>
        </w:rPr>
        <w:t>编写的投标文件应包括下列内容：</w:t>
      </w:r>
    </w:p>
    <w:p>
      <w:pPr>
        <w:pStyle w:val="22"/>
        <w:numPr>
          <w:ilvl w:val="3"/>
          <w:numId w:val="2"/>
        </w:numPr>
        <w:tabs>
          <w:tab w:val="left" w:pos="1341"/>
        </w:tabs>
        <w:spacing w:before="100"/>
        <w:rPr>
          <w:color w:val="auto"/>
          <w:sz w:val="24"/>
        </w:rPr>
      </w:pPr>
      <w:r>
        <w:rPr>
          <w:color w:val="auto"/>
          <w:sz w:val="24"/>
        </w:rPr>
        <w:t>投标书、开标一览表、投标分项报价表；</w:t>
      </w:r>
    </w:p>
    <w:p>
      <w:pPr>
        <w:pStyle w:val="22"/>
        <w:numPr>
          <w:ilvl w:val="3"/>
          <w:numId w:val="2"/>
        </w:numPr>
        <w:tabs>
          <w:tab w:val="left" w:pos="1341"/>
        </w:tabs>
        <w:rPr>
          <w:color w:val="auto"/>
          <w:sz w:val="24"/>
        </w:rPr>
      </w:pPr>
      <w:r>
        <w:rPr>
          <w:color w:val="auto"/>
          <w:sz w:val="24"/>
        </w:rPr>
        <w:t>资格证明文件；</w:t>
      </w:r>
    </w:p>
    <w:p>
      <w:pPr>
        <w:pStyle w:val="22"/>
        <w:numPr>
          <w:ilvl w:val="3"/>
          <w:numId w:val="2"/>
        </w:numPr>
        <w:tabs>
          <w:tab w:val="left" w:pos="1341"/>
        </w:tabs>
        <w:rPr>
          <w:color w:val="auto"/>
          <w:sz w:val="24"/>
        </w:rPr>
      </w:pPr>
      <w:r>
        <w:rPr>
          <w:color w:val="auto"/>
          <w:sz w:val="24"/>
        </w:rPr>
        <w:t>所投所有设备生产厂家针对本项目的授权书；</w:t>
      </w:r>
    </w:p>
    <w:p>
      <w:pPr>
        <w:pStyle w:val="22"/>
        <w:numPr>
          <w:ilvl w:val="3"/>
          <w:numId w:val="2"/>
        </w:numPr>
        <w:tabs>
          <w:tab w:val="left" w:pos="1341"/>
        </w:tabs>
        <w:rPr>
          <w:color w:val="auto"/>
          <w:sz w:val="24"/>
        </w:rPr>
      </w:pPr>
      <w:r>
        <w:rPr>
          <w:color w:val="auto"/>
          <w:sz w:val="24"/>
        </w:rPr>
        <w:t>所投设备的相关技术/证明资料；</w:t>
      </w:r>
      <w:r>
        <w:rPr>
          <w:rFonts w:hint="eastAsia"/>
          <w:color w:val="auto"/>
          <w:sz w:val="24"/>
        </w:rPr>
        <w:t>所投产品的有效的检测报告（国家法定检测部门出具有效） ；</w:t>
      </w:r>
    </w:p>
    <w:p>
      <w:pPr>
        <w:pStyle w:val="22"/>
        <w:numPr>
          <w:ilvl w:val="3"/>
          <w:numId w:val="2"/>
        </w:numPr>
        <w:tabs>
          <w:tab w:val="left" w:pos="1341"/>
        </w:tabs>
        <w:spacing w:before="100"/>
        <w:rPr>
          <w:color w:val="auto"/>
          <w:sz w:val="24"/>
        </w:rPr>
      </w:pPr>
      <w:r>
        <w:rPr>
          <w:color w:val="auto"/>
          <w:sz w:val="24"/>
        </w:rPr>
        <w:t>投标保证金；</w:t>
      </w:r>
    </w:p>
    <w:p>
      <w:pPr>
        <w:pStyle w:val="22"/>
        <w:numPr>
          <w:ilvl w:val="3"/>
          <w:numId w:val="2"/>
        </w:numPr>
        <w:tabs>
          <w:tab w:val="left" w:pos="1341"/>
        </w:tabs>
        <w:rPr>
          <w:color w:val="auto"/>
          <w:sz w:val="24"/>
        </w:rPr>
      </w:pPr>
      <w:r>
        <w:rPr>
          <w:color w:val="auto"/>
          <w:sz w:val="24"/>
        </w:rPr>
        <w:t>采购文件货物需求及技术规格、合同特殊条款中要求提交的文件资料。</w:t>
      </w:r>
    </w:p>
    <w:p>
      <w:pPr>
        <w:pStyle w:val="22"/>
        <w:numPr>
          <w:ilvl w:val="3"/>
          <w:numId w:val="2"/>
        </w:numPr>
        <w:tabs>
          <w:tab w:val="left" w:pos="1341"/>
        </w:tabs>
        <w:spacing w:before="103"/>
        <w:rPr>
          <w:color w:val="auto"/>
          <w:sz w:val="24"/>
        </w:rPr>
      </w:pPr>
      <w:r>
        <w:rPr>
          <w:color w:val="auto"/>
          <w:sz w:val="24"/>
        </w:rPr>
        <w:t>所投设备彩页。</w:t>
      </w:r>
    </w:p>
    <w:p>
      <w:pPr>
        <w:pStyle w:val="22"/>
        <w:numPr>
          <w:ilvl w:val="2"/>
          <w:numId w:val="2"/>
        </w:numPr>
        <w:tabs>
          <w:tab w:val="left" w:pos="832"/>
        </w:tabs>
        <w:spacing w:before="100"/>
        <w:ind w:left="831" w:hanging="571"/>
        <w:rPr>
          <w:color w:val="auto"/>
          <w:sz w:val="24"/>
        </w:rPr>
      </w:pPr>
      <w:r>
        <w:rPr>
          <w:color w:val="auto"/>
          <w:spacing w:val="-1"/>
          <w:sz w:val="24"/>
        </w:rPr>
        <w:t>供应商应将投标文件装订成册，并填写文件资料清单。</w:t>
      </w:r>
    </w:p>
    <w:p>
      <w:pPr>
        <w:pStyle w:val="22"/>
        <w:numPr>
          <w:ilvl w:val="1"/>
          <w:numId w:val="2"/>
        </w:numPr>
        <w:tabs>
          <w:tab w:val="left" w:pos="771"/>
        </w:tabs>
        <w:spacing w:before="103"/>
        <w:ind w:left="770" w:hanging="510"/>
        <w:rPr>
          <w:color w:val="auto"/>
          <w:sz w:val="24"/>
        </w:rPr>
      </w:pPr>
      <w:r>
        <w:rPr>
          <w:color w:val="auto"/>
          <w:sz w:val="24"/>
        </w:rPr>
        <w:t>投标文件格式</w:t>
      </w:r>
    </w:p>
    <w:p>
      <w:pPr>
        <w:pStyle w:val="22"/>
        <w:numPr>
          <w:ilvl w:val="2"/>
          <w:numId w:val="2"/>
        </w:numPr>
        <w:tabs>
          <w:tab w:val="left" w:pos="851"/>
        </w:tabs>
        <w:spacing w:line="321" w:lineRule="auto"/>
        <w:ind w:left="860" w:right="283" w:hanging="600"/>
        <w:rPr>
          <w:sz w:val="24"/>
        </w:rPr>
      </w:pPr>
      <w:r>
        <w:rPr>
          <w:color w:val="auto"/>
          <w:spacing w:val="-1"/>
          <w:sz w:val="24"/>
        </w:rPr>
        <w:t>供应商应按采购文件的范本格式中提供的投标文件格式填写投标书、开标一览表、投标</w:t>
      </w:r>
      <w:r>
        <w:rPr>
          <w:color w:val="auto"/>
          <w:sz w:val="24"/>
        </w:rPr>
        <w:t>分项报</w:t>
      </w:r>
      <w:r>
        <w:rPr>
          <w:sz w:val="24"/>
        </w:rPr>
        <w:t>价表，注明提供的货物名称、货物简介、原产地、数量和价格等。</w:t>
      </w:r>
    </w:p>
    <w:p>
      <w:pPr>
        <w:pStyle w:val="22"/>
        <w:numPr>
          <w:ilvl w:val="1"/>
          <w:numId w:val="2"/>
        </w:numPr>
        <w:tabs>
          <w:tab w:val="left" w:pos="771"/>
        </w:tabs>
        <w:spacing w:before="0" w:line="302" w:lineRule="exact"/>
        <w:ind w:left="770" w:hanging="510"/>
        <w:rPr>
          <w:sz w:val="24"/>
        </w:rPr>
      </w:pPr>
      <w:r>
        <w:rPr>
          <w:sz w:val="24"/>
        </w:rPr>
        <w:t>投标报价</w:t>
      </w:r>
    </w:p>
    <w:p>
      <w:pPr>
        <w:pStyle w:val="22"/>
        <w:numPr>
          <w:ilvl w:val="2"/>
          <w:numId w:val="2"/>
        </w:numPr>
        <w:tabs>
          <w:tab w:val="left" w:pos="851"/>
        </w:tabs>
        <w:spacing w:before="100" w:line="319" w:lineRule="auto"/>
        <w:ind w:left="860" w:right="278" w:hanging="600"/>
        <w:jc w:val="both"/>
        <w:rPr>
          <w:sz w:val="24"/>
        </w:rPr>
      </w:pPr>
      <w:r>
        <w:rPr>
          <w:spacing w:val="-1"/>
          <w:sz w:val="24"/>
        </w:rPr>
        <w:t>供应商应在投标报价表上标明单价和总价。单价和总价要相符。小写和大写要相符。供应商应在投标报价表中标明其提供的所有货物及其相关工作范围内所有费用的总价，不</w:t>
      </w:r>
      <w:r>
        <w:rPr>
          <w:sz w:val="24"/>
        </w:rPr>
        <w:t>接受有任何选择性报价。</w:t>
      </w:r>
    </w:p>
    <w:p>
      <w:pPr>
        <w:pStyle w:val="22"/>
        <w:numPr>
          <w:ilvl w:val="2"/>
          <w:numId w:val="2"/>
        </w:numPr>
        <w:tabs>
          <w:tab w:val="left" w:pos="851"/>
        </w:tabs>
        <w:spacing w:before="49"/>
        <w:ind w:left="850" w:hanging="590"/>
        <w:rPr>
          <w:sz w:val="24"/>
        </w:rPr>
      </w:pPr>
      <w:r>
        <w:rPr>
          <w:spacing w:val="-1"/>
          <w:sz w:val="24"/>
        </w:rPr>
        <w:t>投标报价应注意下列要求：</w:t>
      </w:r>
    </w:p>
    <w:p>
      <w:pPr>
        <w:pStyle w:val="22"/>
        <w:numPr>
          <w:ilvl w:val="2"/>
          <w:numId w:val="4"/>
        </w:numPr>
        <w:tabs>
          <w:tab w:val="left" w:pos="1051"/>
        </w:tabs>
        <w:ind w:hanging="790"/>
        <w:rPr>
          <w:sz w:val="24"/>
        </w:rPr>
      </w:pPr>
      <w:r>
        <w:rPr>
          <w:spacing w:val="-1"/>
          <w:sz w:val="24"/>
        </w:rPr>
        <w:t>采购文件中特别要求的备品备件、易损件和专用工具的费用；</w:t>
      </w:r>
    </w:p>
    <w:p>
      <w:pPr>
        <w:pStyle w:val="22"/>
        <w:numPr>
          <w:ilvl w:val="2"/>
          <w:numId w:val="4"/>
        </w:numPr>
        <w:tabs>
          <w:tab w:val="left" w:pos="1051"/>
        </w:tabs>
        <w:spacing w:before="103"/>
        <w:ind w:hanging="790"/>
        <w:rPr>
          <w:sz w:val="24"/>
        </w:rPr>
      </w:pPr>
      <w:r>
        <w:rPr>
          <w:spacing w:val="-1"/>
          <w:sz w:val="24"/>
        </w:rPr>
        <w:t>采购文件中特别要求的安装、调试、培训及其它附带服务的费用；</w:t>
      </w:r>
    </w:p>
    <w:p>
      <w:pPr>
        <w:pStyle w:val="22"/>
        <w:numPr>
          <w:ilvl w:val="2"/>
          <w:numId w:val="4"/>
        </w:numPr>
        <w:tabs>
          <w:tab w:val="left" w:pos="1051"/>
        </w:tabs>
        <w:ind w:hanging="790"/>
        <w:rPr>
          <w:spacing w:val="-1"/>
          <w:sz w:val="24"/>
        </w:rPr>
      </w:pPr>
      <w:r>
        <w:rPr>
          <w:spacing w:val="-1"/>
          <w:sz w:val="24"/>
        </w:rPr>
        <w:t>货物的交货价，包括制造、组装该货物所使用的零部件及原材料已付的全部关税、销售税和其他税（其关税和其他税不分别填写，计入货价内即可）。</w:t>
      </w:r>
    </w:p>
    <w:p>
      <w:pPr>
        <w:pStyle w:val="22"/>
        <w:numPr>
          <w:ilvl w:val="1"/>
          <w:numId w:val="5"/>
        </w:numPr>
        <w:tabs>
          <w:tab w:val="left" w:pos="851"/>
        </w:tabs>
        <w:spacing w:before="0" w:line="319" w:lineRule="auto"/>
        <w:ind w:right="283" w:hanging="629"/>
        <w:rPr>
          <w:sz w:val="24"/>
        </w:rPr>
      </w:pPr>
      <w:r>
        <w:rPr>
          <w:spacing w:val="-1"/>
          <w:sz w:val="24"/>
        </w:rPr>
        <w:t>算术性修正。算术性修正是指对投标文件的报价明细进行校核，并对其算术上和运算上</w:t>
      </w:r>
      <w:r>
        <w:rPr>
          <w:sz w:val="24"/>
        </w:rPr>
        <w:t>的差错给予修正。修正的原则如下：</w:t>
      </w:r>
    </w:p>
    <w:p>
      <w:pPr>
        <w:pStyle w:val="22"/>
        <w:numPr>
          <w:ilvl w:val="2"/>
          <w:numId w:val="5"/>
        </w:numPr>
        <w:tabs>
          <w:tab w:val="left" w:pos="1051"/>
        </w:tabs>
        <w:spacing w:before="0"/>
        <w:ind w:hanging="790"/>
        <w:rPr>
          <w:sz w:val="24"/>
        </w:rPr>
      </w:pPr>
      <w:r>
        <w:rPr>
          <w:spacing w:val="-1"/>
          <w:sz w:val="24"/>
        </w:rPr>
        <w:t>当以数字表示的金额与文字表示的金额有差异时，以文字表示的金额为准；</w:t>
      </w:r>
    </w:p>
    <w:p>
      <w:pPr>
        <w:pStyle w:val="22"/>
        <w:numPr>
          <w:ilvl w:val="2"/>
          <w:numId w:val="5"/>
        </w:numPr>
        <w:tabs>
          <w:tab w:val="left" w:pos="1053"/>
        </w:tabs>
        <w:spacing w:line="319" w:lineRule="auto"/>
        <w:ind w:left="980" w:right="284" w:hanging="720"/>
        <w:rPr>
          <w:sz w:val="24"/>
        </w:rPr>
      </w:pPr>
      <w:r>
        <w:rPr>
          <w:sz w:val="24"/>
        </w:rPr>
        <w:t>当单价与数量相乘不等于合价时，以单价计算为准。如果单价有明显的小数点位置差错，应以标出的合价为准，同时对单价予以修正；</w:t>
      </w:r>
    </w:p>
    <w:p>
      <w:pPr>
        <w:pStyle w:val="22"/>
        <w:numPr>
          <w:ilvl w:val="2"/>
          <w:numId w:val="5"/>
        </w:numPr>
        <w:tabs>
          <w:tab w:val="left" w:pos="1051"/>
        </w:tabs>
        <w:spacing w:before="1"/>
        <w:ind w:hanging="790"/>
        <w:rPr>
          <w:sz w:val="24"/>
        </w:rPr>
      </w:pPr>
      <w:r>
        <w:rPr>
          <w:spacing w:val="-1"/>
          <w:sz w:val="24"/>
        </w:rPr>
        <w:t>当各明细部分的价格累计不等于合价时，应以各明细的累计计数为准，修正合价。</w:t>
      </w:r>
    </w:p>
    <w:p>
      <w:pPr>
        <w:pStyle w:val="22"/>
        <w:numPr>
          <w:ilvl w:val="2"/>
          <w:numId w:val="5"/>
        </w:numPr>
        <w:tabs>
          <w:tab w:val="left" w:pos="1053"/>
        </w:tabs>
        <w:spacing w:before="103" w:line="319" w:lineRule="auto"/>
        <w:ind w:left="980" w:right="279" w:hanging="720"/>
        <w:rPr>
          <w:sz w:val="24"/>
        </w:rPr>
      </w:pPr>
      <w:r>
        <w:rPr>
          <w:sz w:val="24"/>
        </w:rPr>
        <w:t>按以上原则对算术性差错修正，应取得供应商的同意，并确认修正后最终投标价。如果供应商拒绝确认，则其投标文件将不予以评审并按废标处理，没收其投标担保。</w:t>
      </w:r>
    </w:p>
    <w:p>
      <w:pPr>
        <w:pStyle w:val="22"/>
        <w:numPr>
          <w:ilvl w:val="1"/>
          <w:numId w:val="2"/>
        </w:numPr>
        <w:tabs>
          <w:tab w:val="left" w:pos="771"/>
        </w:tabs>
        <w:spacing w:before="0" w:line="306" w:lineRule="exact"/>
        <w:ind w:left="770" w:hanging="510"/>
        <w:rPr>
          <w:sz w:val="24"/>
        </w:rPr>
      </w:pPr>
      <w:r>
        <w:rPr>
          <w:sz w:val="24"/>
        </w:rPr>
        <w:t>投标货币</w:t>
      </w:r>
    </w:p>
    <w:p>
      <w:pPr>
        <w:pStyle w:val="22"/>
        <w:numPr>
          <w:ilvl w:val="2"/>
          <w:numId w:val="2"/>
        </w:numPr>
        <w:tabs>
          <w:tab w:val="left" w:pos="791"/>
        </w:tabs>
        <w:spacing w:before="103"/>
        <w:ind w:left="790" w:hanging="530"/>
        <w:rPr>
          <w:sz w:val="24"/>
        </w:rPr>
      </w:pPr>
      <w:r>
        <w:rPr>
          <w:sz w:val="24"/>
        </w:rPr>
        <w:t>人民币报价。</w:t>
      </w:r>
    </w:p>
    <w:p>
      <w:pPr>
        <w:pStyle w:val="5"/>
        <w:numPr>
          <w:ilvl w:val="1"/>
          <w:numId w:val="2"/>
        </w:numPr>
        <w:tabs>
          <w:tab w:val="left" w:pos="771"/>
        </w:tabs>
        <w:spacing w:before="100"/>
        <w:ind w:left="770" w:hanging="510"/>
      </w:pPr>
      <w:r>
        <w:t>供应商的证明文件：</w:t>
      </w:r>
    </w:p>
    <w:p>
      <w:pPr>
        <w:pStyle w:val="5"/>
        <w:spacing w:before="132" w:line="312" w:lineRule="auto"/>
        <w:ind w:left="786" w:right="278"/>
      </w:pPr>
      <w:r>
        <w:rPr>
          <w:spacing w:val="-1"/>
        </w:rPr>
        <w:t>供应商必须提交证明其有资格进行投标和有能力履行合同的文件</w:t>
      </w:r>
      <w:r>
        <w:t>（范本格式</w:t>
      </w:r>
      <w:r>
        <w:rPr>
          <w:spacing w:val="-73"/>
        </w:rPr>
        <w:t>）</w:t>
      </w:r>
      <w:r>
        <w:rPr>
          <w:spacing w:val="-18"/>
        </w:rPr>
        <w:t>，作为投标文件的一部分。</w:t>
      </w:r>
      <w:r>
        <w:rPr>
          <w:spacing w:val="3"/>
        </w:rPr>
        <w:t>（</w:t>
      </w:r>
      <w:r>
        <w:rPr>
          <w:spacing w:val="15"/>
        </w:rPr>
        <w:t>如不满足以下条款将导致废标</w:t>
      </w:r>
      <w:r>
        <w:t>）</w:t>
      </w:r>
    </w:p>
    <w:p>
      <w:pPr>
        <w:pStyle w:val="23"/>
        <w:spacing w:before="103"/>
        <w:ind w:left="107"/>
        <w:rPr>
          <w:rFonts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符合《中华人民共和国政府采购法》第二十二条的相关规定；  </w:t>
      </w:r>
    </w:p>
    <w:p>
      <w:pPr>
        <w:pStyle w:val="23"/>
        <w:spacing w:before="103"/>
        <w:ind w:left="107"/>
        <w:rPr>
          <w:rFonts w:ascii="宋体" w:hAnsi="宋体" w:eastAsia="宋体" w:cs="宋体"/>
          <w:sz w:val="24"/>
          <w:szCs w:val="22"/>
          <w:lang w:val="en-US" w:eastAsia="zh-CN" w:bidi="zh-CN"/>
        </w:rPr>
      </w:pPr>
      <w:r>
        <w:rPr>
          <w:rFonts w:hint="eastAsia" w:cs="宋体"/>
          <w:sz w:val="24"/>
          <w:szCs w:val="22"/>
          <w:lang w:val="en-US" w:eastAsia="zh-CN" w:bidi="zh-CN"/>
        </w:rPr>
        <w:t>1</w:t>
      </w:r>
      <w:r>
        <w:rPr>
          <w:rFonts w:hint="eastAsia" w:ascii="宋体" w:hAnsi="宋体" w:eastAsia="宋体" w:cs="宋体"/>
          <w:sz w:val="24"/>
          <w:szCs w:val="22"/>
          <w:lang w:val="en-US" w:eastAsia="zh-CN" w:bidi="zh-CN"/>
        </w:rPr>
        <w:t xml:space="preserve">.参加采购活动前三年内，在经营活动中没有重大违法记录(受行政主管部门的处罚不能参加投标)，供应商须提供 “信用中国”网站（打印件加盖公章）（http://www.creditchina.gov.cn/）无违法违规行为的查询纪录； </w:t>
      </w:r>
    </w:p>
    <w:p>
      <w:pPr>
        <w:pStyle w:val="23"/>
        <w:spacing w:before="103"/>
        <w:ind w:left="107"/>
        <w:rPr>
          <w:rFonts w:ascii="宋体" w:hAnsi="宋体" w:eastAsia="宋体" w:cs="宋体"/>
          <w:sz w:val="24"/>
          <w:szCs w:val="22"/>
          <w:lang w:val="en-US" w:eastAsia="zh-CN" w:bidi="zh-CN"/>
        </w:rPr>
      </w:pPr>
      <w:r>
        <w:rPr>
          <w:rFonts w:hint="eastAsia" w:cs="宋体"/>
          <w:sz w:val="24"/>
          <w:szCs w:val="22"/>
          <w:lang w:val="en-US" w:eastAsia="zh-CN" w:bidi="zh-CN"/>
        </w:rPr>
        <w:t>2</w:t>
      </w:r>
      <w:r>
        <w:rPr>
          <w:rFonts w:hint="eastAsia" w:ascii="宋体" w:hAnsi="宋体" w:eastAsia="宋体" w:cs="宋体"/>
          <w:sz w:val="24"/>
          <w:szCs w:val="22"/>
          <w:lang w:val="en-US" w:eastAsia="zh-CN" w:bidi="zh-CN"/>
        </w:rPr>
        <w:t>、法人代表授权书原件、被授权人身份证原件；</w:t>
      </w:r>
    </w:p>
    <w:p>
      <w:pPr>
        <w:pStyle w:val="23"/>
        <w:spacing w:before="103"/>
        <w:ind w:left="107"/>
        <w:rPr>
          <w:rFonts w:ascii="宋体" w:hAnsi="宋体" w:eastAsia="宋体" w:cs="宋体"/>
          <w:sz w:val="24"/>
          <w:szCs w:val="22"/>
          <w:lang w:val="en-US" w:eastAsia="zh-CN" w:bidi="zh-CN"/>
        </w:rPr>
      </w:pPr>
      <w:r>
        <w:rPr>
          <w:rFonts w:hint="eastAsia" w:cs="宋体"/>
          <w:sz w:val="24"/>
          <w:szCs w:val="22"/>
          <w:lang w:val="en-US" w:eastAsia="zh-CN" w:bidi="zh-CN"/>
        </w:rPr>
        <w:t>3</w:t>
      </w:r>
      <w:r>
        <w:rPr>
          <w:rFonts w:hint="eastAsia" w:ascii="宋体" w:hAnsi="宋体" w:eastAsia="宋体" w:cs="宋体"/>
          <w:sz w:val="24"/>
          <w:szCs w:val="22"/>
          <w:lang w:val="en-US" w:eastAsia="zh-CN" w:bidi="zh-CN"/>
        </w:rPr>
        <w:t>、营业执照副本原件；</w:t>
      </w:r>
    </w:p>
    <w:p>
      <w:pPr>
        <w:pStyle w:val="23"/>
        <w:spacing w:before="103"/>
        <w:ind w:left="107"/>
        <w:rPr>
          <w:rFonts w:hint="eastAsia" w:ascii="宋体" w:hAnsi="宋体" w:eastAsia="宋体" w:cs="宋体"/>
          <w:sz w:val="24"/>
          <w:szCs w:val="22"/>
          <w:lang w:val="en-US" w:eastAsia="zh-CN" w:bidi="zh-CN"/>
        </w:rPr>
      </w:pPr>
      <w:r>
        <w:rPr>
          <w:rFonts w:hint="eastAsia" w:cs="宋体"/>
          <w:sz w:val="24"/>
          <w:szCs w:val="22"/>
          <w:lang w:val="en-US" w:eastAsia="zh-CN" w:bidi="zh-CN"/>
        </w:rPr>
        <w:t>4</w:t>
      </w:r>
      <w:r>
        <w:rPr>
          <w:rFonts w:hint="eastAsia" w:ascii="宋体" w:hAnsi="宋体" w:eastAsia="宋体" w:cs="宋体"/>
          <w:sz w:val="24"/>
          <w:szCs w:val="22"/>
          <w:lang w:val="en-US" w:eastAsia="zh-CN" w:bidi="zh-CN"/>
        </w:rPr>
        <w:t>、投标人为制造商的须提供《医疗器械生产许可证》原件（或复印件加盖公章）、投标人为经销商的须提供《医疗器械经营许可证》原件（或复印件加盖公章）或者《医疗器械经营备案凭证》原件（或复印件加盖公章）</w:t>
      </w:r>
    </w:p>
    <w:p>
      <w:pPr>
        <w:pStyle w:val="23"/>
        <w:spacing w:before="103"/>
        <w:ind w:left="107"/>
        <w:rPr>
          <w:rFonts w:ascii="宋体" w:hAnsi="宋体" w:eastAsia="宋体" w:cs="宋体"/>
          <w:sz w:val="24"/>
          <w:szCs w:val="22"/>
          <w:lang w:val="en-US" w:eastAsia="zh-CN" w:bidi="zh-CN"/>
        </w:rPr>
      </w:pPr>
      <w:r>
        <w:rPr>
          <w:rFonts w:hint="eastAsia" w:cs="宋体"/>
          <w:sz w:val="24"/>
          <w:szCs w:val="22"/>
          <w:lang w:val="en-US" w:eastAsia="zh-CN" w:bidi="zh-CN"/>
        </w:rPr>
        <w:t>5</w:t>
      </w:r>
      <w:r>
        <w:rPr>
          <w:rFonts w:hint="eastAsia" w:ascii="宋体" w:hAnsi="宋体" w:eastAsia="宋体" w:cs="宋体"/>
          <w:sz w:val="24"/>
          <w:szCs w:val="22"/>
          <w:lang w:val="en-US" w:eastAsia="zh-CN" w:bidi="zh-CN"/>
        </w:rPr>
        <w:t>、投标保证金收据原件</w:t>
      </w:r>
      <w:r>
        <w:rPr>
          <w:rFonts w:hint="eastAsia" w:cs="宋体"/>
          <w:sz w:val="24"/>
          <w:szCs w:val="22"/>
          <w:lang w:val="en-US" w:eastAsia="zh-CN" w:bidi="zh-CN"/>
        </w:rPr>
        <w:t>或保函原件</w:t>
      </w:r>
      <w:r>
        <w:rPr>
          <w:rFonts w:hint="eastAsia" w:ascii="宋体" w:hAnsi="宋体" w:eastAsia="宋体" w:cs="宋体"/>
          <w:sz w:val="24"/>
          <w:szCs w:val="22"/>
          <w:lang w:val="en-US" w:eastAsia="zh-CN" w:bidi="zh-CN"/>
        </w:rPr>
        <w:t>。</w:t>
      </w:r>
    </w:p>
    <w:p>
      <w:pPr>
        <w:pStyle w:val="23"/>
        <w:spacing w:before="103"/>
        <w:ind w:left="107"/>
        <w:rPr>
          <w:sz w:val="24"/>
          <w:highlight w:val="none"/>
        </w:rPr>
      </w:pPr>
      <w:r>
        <w:rPr>
          <w:rFonts w:hint="eastAsia" w:cs="宋体"/>
          <w:sz w:val="24"/>
          <w:szCs w:val="22"/>
          <w:lang w:val="en-US" w:eastAsia="zh-CN" w:bidi="zh-CN"/>
        </w:rPr>
        <w:t>6</w:t>
      </w:r>
      <w:r>
        <w:rPr>
          <w:rFonts w:hint="eastAsia" w:ascii="宋体" w:hAnsi="宋体" w:eastAsia="宋体" w:cs="宋体"/>
          <w:sz w:val="24"/>
          <w:szCs w:val="22"/>
          <w:lang w:val="en-US" w:eastAsia="zh-CN" w:bidi="zh-CN"/>
        </w:rPr>
        <w:t>、</w:t>
      </w:r>
      <w:r>
        <w:rPr>
          <w:rFonts w:hint="eastAsia" w:ascii="宋体" w:hAnsi="宋体" w:eastAsia="宋体" w:cs="宋体"/>
          <w:sz w:val="24"/>
          <w:szCs w:val="22"/>
          <w:lang w:val="zh-CN" w:eastAsia="zh-CN" w:bidi="zh-CN"/>
        </w:rPr>
        <w:t>本项目不接受联合体投标。</w:t>
      </w:r>
      <w:r>
        <w:rPr>
          <w:rFonts w:hint="eastAsia"/>
          <w:sz w:val="24"/>
          <w:highlight w:val="none"/>
        </w:rPr>
        <w:t> </w:t>
      </w:r>
    </w:p>
    <w:p>
      <w:pPr>
        <w:pStyle w:val="22"/>
        <w:tabs>
          <w:tab w:val="left" w:pos="907"/>
        </w:tabs>
        <w:spacing w:before="103"/>
        <w:ind w:firstLine="0"/>
        <w:rPr>
          <w:rFonts w:hint="eastAsia" w:ascii="宋体" w:hAnsi="宋体" w:eastAsia="宋体" w:cs="宋体"/>
          <w:b/>
          <w:bCs/>
          <w:spacing w:val="-1"/>
          <w:sz w:val="24"/>
          <w:szCs w:val="22"/>
          <w:lang w:val="zh-CN" w:eastAsia="zh-CN" w:bidi="zh-CN"/>
        </w:rPr>
      </w:pPr>
      <w:r>
        <w:rPr>
          <w:rFonts w:hint="eastAsia" w:ascii="宋体" w:hAnsi="宋体" w:eastAsia="宋体" w:cs="宋体"/>
          <w:b/>
          <w:bCs/>
          <w:spacing w:val="-1"/>
          <w:sz w:val="24"/>
          <w:szCs w:val="22"/>
          <w:lang w:val="zh-CN" w:eastAsia="zh-CN" w:bidi="zh-CN"/>
        </w:rPr>
        <w:t>（以上证明文件</w:t>
      </w:r>
      <w:r>
        <w:rPr>
          <w:rFonts w:hint="eastAsia" w:cs="宋体"/>
          <w:b/>
          <w:bCs/>
          <w:spacing w:val="-1"/>
          <w:sz w:val="24"/>
          <w:szCs w:val="22"/>
          <w:lang w:val="en-US" w:eastAsia="zh-CN" w:bidi="zh-CN"/>
        </w:rPr>
        <w:t>1</w:t>
      </w:r>
      <w:r>
        <w:rPr>
          <w:rFonts w:hint="eastAsia" w:ascii="宋体" w:hAnsi="宋体" w:eastAsia="宋体" w:cs="宋体"/>
          <w:b/>
          <w:bCs/>
          <w:spacing w:val="-1"/>
          <w:sz w:val="24"/>
          <w:szCs w:val="22"/>
          <w:lang w:val="en-US" w:eastAsia="zh-CN" w:bidi="zh-CN"/>
        </w:rPr>
        <w:t>-</w:t>
      </w:r>
      <w:r>
        <w:rPr>
          <w:rFonts w:hint="eastAsia" w:cs="宋体"/>
          <w:b/>
          <w:bCs/>
          <w:spacing w:val="-1"/>
          <w:sz w:val="24"/>
          <w:szCs w:val="22"/>
          <w:lang w:val="en-US" w:eastAsia="zh-CN" w:bidi="zh-CN"/>
        </w:rPr>
        <w:t>5</w:t>
      </w:r>
      <w:r>
        <w:rPr>
          <w:rFonts w:hint="eastAsia" w:ascii="宋体" w:hAnsi="宋体" w:eastAsia="宋体" w:cs="宋体"/>
          <w:b/>
          <w:bCs/>
          <w:spacing w:val="-1"/>
          <w:sz w:val="24"/>
          <w:szCs w:val="22"/>
          <w:lang w:val="en-US" w:eastAsia="zh-CN" w:bidi="zh-CN"/>
        </w:rPr>
        <w:t>项标注</w:t>
      </w:r>
      <w:r>
        <w:rPr>
          <w:rFonts w:hint="eastAsia" w:ascii="宋体" w:hAnsi="宋体" w:eastAsia="宋体" w:cs="宋体"/>
          <w:b/>
          <w:bCs/>
          <w:spacing w:val="-1"/>
          <w:sz w:val="24"/>
          <w:szCs w:val="22"/>
          <w:lang w:val="zh-CN" w:eastAsia="zh-CN" w:bidi="zh-CN"/>
        </w:rPr>
        <w:t>为原件的须现场提供原件，未标注原件的携带复印件加盖公章，不接受公证件，</w:t>
      </w:r>
      <w:r>
        <w:rPr>
          <w:rFonts w:hint="eastAsia" w:ascii="宋体" w:hAnsi="宋体" w:eastAsia="宋体" w:cs="宋体"/>
          <w:b/>
          <w:bCs/>
          <w:spacing w:val="-1"/>
          <w:sz w:val="24"/>
          <w:szCs w:val="22"/>
          <w:lang w:val="en-US" w:eastAsia="zh-CN" w:bidi="zh-CN"/>
        </w:rPr>
        <w:t>不接受二次提供）</w:t>
      </w:r>
      <w:r>
        <w:rPr>
          <w:rFonts w:hint="eastAsia" w:ascii="宋体" w:hAnsi="宋体" w:eastAsia="宋体" w:cs="宋体"/>
          <w:b/>
          <w:bCs/>
          <w:spacing w:val="-1"/>
          <w:sz w:val="24"/>
          <w:szCs w:val="22"/>
          <w:lang w:val="zh-CN" w:eastAsia="zh-CN" w:bidi="zh-CN"/>
        </w:rPr>
        <w:t>）</w:t>
      </w:r>
    </w:p>
    <w:p>
      <w:pPr>
        <w:pStyle w:val="5"/>
        <w:spacing w:before="101"/>
      </w:pPr>
      <w:r>
        <w:rPr>
          <w:rFonts w:hint="eastAsia"/>
          <w:spacing w:val="-1"/>
          <w:szCs w:val="22"/>
        </w:rPr>
        <w:t>注：（1）投标文件中，所有供应商签字、法人代表签字、法人代表授权人签字和其它签</w:t>
      </w:r>
      <w:r>
        <w:t>字处须同时加盖有关有法律效力的印章方为有效；</w:t>
      </w:r>
    </w:p>
    <w:p>
      <w:pPr>
        <w:pStyle w:val="5"/>
        <w:numPr>
          <w:ilvl w:val="0"/>
          <w:numId w:val="6"/>
        </w:numPr>
        <w:tabs>
          <w:tab w:val="left" w:pos="1360"/>
        </w:tabs>
        <w:spacing w:before="101"/>
      </w:pPr>
      <w:r>
        <w:t>所有资格证明文件必须满足采购文件要求，否则将导致废标。</w:t>
      </w:r>
    </w:p>
    <w:p>
      <w:pPr>
        <w:pStyle w:val="5"/>
        <w:numPr>
          <w:ilvl w:val="0"/>
          <w:numId w:val="6"/>
        </w:numPr>
        <w:tabs>
          <w:tab w:val="left" w:pos="1360"/>
        </w:tabs>
        <w:spacing w:before="101"/>
      </w:pPr>
      <w:r>
        <w:t>在投标文件中，所有相关资料及证明文件的有效期必须明确，并以阿拉伯数字为准。</w:t>
      </w:r>
    </w:p>
    <w:p>
      <w:pPr>
        <w:pStyle w:val="22"/>
        <w:numPr>
          <w:ilvl w:val="0"/>
          <w:numId w:val="7"/>
        </w:numPr>
        <w:tabs>
          <w:tab w:val="left" w:pos="650"/>
        </w:tabs>
        <w:spacing w:before="0" w:line="306" w:lineRule="exact"/>
        <w:ind w:hanging="389"/>
        <w:rPr>
          <w:sz w:val="24"/>
        </w:rPr>
      </w:pPr>
      <w:r>
        <w:rPr>
          <w:spacing w:val="-1"/>
          <w:sz w:val="24"/>
        </w:rPr>
        <w:t>投标货物符合采购文件规定的技术响应文件</w:t>
      </w:r>
    </w:p>
    <w:p>
      <w:pPr>
        <w:pStyle w:val="22"/>
        <w:numPr>
          <w:ilvl w:val="1"/>
          <w:numId w:val="7"/>
        </w:numPr>
        <w:tabs>
          <w:tab w:val="left" w:pos="851"/>
        </w:tabs>
        <w:spacing w:before="102" w:line="319" w:lineRule="auto"/>
        <w:ind w:right="283" w:hanging="600"/>
        <w:rPr>
          <w:sz w:val="24"/>
        </w:rPr>
      </w:pPr>
      <w:r>
        <w:rPr>
          <w:spacing w:val="-1"/>
          <w:sz w:val="24"/>
        </w:rPr>
        <w:t>供应商须提交证明拟供货物和服务符合采购文件规定的技术响应文件，作为投标文件的</w:t>
      </w:r>
      <w:r>
        <w:rPr>
          <w:sz w:val="24"/>
        </w:rPr>
        <w:t>一部分。</w:t>
      </w:r>
    </w:p>
    <w:p>
      <w:pPr>
        <w:pStyle w:val="22"/>
        <w:numPr>
          <w:ilvl w:val="1"/>
          <w:numId w:val="7"/>
        </w:numPr>
        <w:tabs>
          <w:tab w:val="left" w:pos="791"/>
        </w:tabs>
        <w:spacing w:before="1"/>
        <w:ind w:left="790" w:hanging="530"/>
        <w:rPr>
          <w:sz w:val="24"/>
        </w:rPr>
      </w:pPr>
      <w:r>
        <w:rPr>
          <w:spacing w:val="-1"/>
          <w:sz w:val="24"/>
        </w:rPr>
        <w:t>上述文件为文字资料、产品彩页和数据，并提供：</w:t>
      </w:r>
    </w:p>
    <w:p>
      <w:pPr>
        <w:pStyle w:val="22"/>
        <w:numPr>
          <w:ilvl w:val="2"/>
          <w:numId w:val="7"/>
        </w:numPr>
        <w:tabs>
          <w:tab w:val="left" w:pos="1356"/>
        </w:tabs>
        <w:ind w:hanging="615"/>
        <w:rPr>
          <w:sz w:val="24"/>
        </w:rPr>
      </w:pPr>
      <w:r>
        <w:rPr>
          <w:sz w:val="24"/>
        </w:rPr>
        <w:t>货物主要技术及性能特点的详细描述；</w:t>
      </w:r>
    </w:p>
    <w:p>
      <w:pPr>
        <w:pStyle w:val="22"/>
        <w:numPr>
          <w:ilvl w:val="2"/>
          <w:numId w:val="7"/>
        </w:numPr>
        <w:tabs>
          <w:tab w:val="left" w:pos="1356"/>
        </w:tabs>
        <w:spacing w:before="103"/>
        <w:ind w:hanging="615"/>
        <w:rPr>
          <w:sz w:val="24"/>
        </w:rPr>
      </w:pPr>
      <w:r>
        <w:rPr>
          <w:sz w:val="24"/>
        </w:rPr>
        <w:t>货物主要部件的详细资料；</w:t>
      </w:r>
    </w:p>
    <w:p>
      <w:pPr>
        <w:pStyle w:val="22"/>
        <w:numPr>
          <w:ilvl w:val="2"/>
          <w:numId w:val="7"/>
        </w:numPr>
        <w:tabs>
          <w:tab w:val="left" w:pos="1356"/>
        </w:tabs>
        <w:spacing w:before="100" w:line="319" w:lineRule="auto"/>
        <w:ind w:left="260" w:right="278" w:firstLine="480"/>
        <w:rPr>
          <w:sz w:val="24"/>
        </w:rPr>
      </w:pPr>
      <w:r>
        <w:rPr>
          <w:spacing w:val="-1"/>
          <w:sz w:val="24"/>
        </w:rPr>
        <w:t>一份在技术规格中规定的保证货物正常和连续运转期间所需要的所有备件和专业工</w:t>
      </w:r>
      <w:r>
        <w:rPr>
          <w:sz w:val="24"/>
        </w:rPr>
        <w:t>具的详细清单包括价格及供货来源信息；</w:t>
      </w:r>
    </w:p>
    <w:p>
      <w:pPr>
        <w:pStyle w:val="22"/>
        <w:numPr>
          <w:ilvl w:val="2"/>
          <w:numId w:val="7"/>
        </w:numPr>
        <w:tabs>
          <w:tab w:val="left" w:pos="1356"/>
        </w:tabs>
        <w:spacing w:before="1"/>
        <w:ind w:hanging="615"/>
        <w:rPr>
          <w:sz w:val="24"/>
        </w:rPr>
      </w:pPr>
      <w:r>
        <w:rPr>
          <w:sz w:val="24"/>
        </w:rPr>
        <w:t>规格、技术参数偏离表（见附件</w:t>
      </w:r>
      <w:r>
        <w:rPr>
          <w:spacing w:val="-120"/>
          <w:sz w:val="24"/>
        </w:rPr>
        <w:t>）</w:t>
      </w:r>
      <w:r>
        <w:rPr>
          <w:sz w:val="24"/>
        </w:rPr>
        <w:t>。</w:t>
      </w:r>
    </w:p>
    <w:p>
      <w:pPr>
        <w:pStyle w:val="22"/>
        <w:numPr>
          <w:ilvl w:val="2"/>
          <w:numId w:val="7"/>
        </w:numPr>
        <w:tabs>
          <w:tab w:val="left" w:pos="1356"/>
        </w:tabs>
        <w:spacing w:before="100"/>
        <w:ind w:hanging="615"/>
        <w:rPr>
          <w:sz w:val="24"/>
        </w:rPr>
      </w:pPr>
      <w:r>
        <w:rPr>
          <w:sz w:val="24"/>
        </w:rPr>
        <w:t>所投产品彩页。</w:t>
      </w:r>
    </w:p>
    <w:p>
      <w:pPr>
        <w:pStyle w:val="22"/>
        <w:numPr>
          <w:ilvl w:val="2"/>
          <w:numId w:val="7"/>
        </w:numPr>
        <w:tabs>
          <w:tab w:val="left" w:pos="1356"/>
        </w:tabs>
        <w:spacing w:before="103"/>
        <w:ind w:hanging="615"/>
        <w:rPr>
          <w:sz w:val="24"/>
        </w:rPr>
      </w:pPr>
      <w:r>
        <w:rPr>
          <w:sz w:val="24"/>
        </w:rPr>
        <w:t>投标产品须附原厂技术白皮书。</w:t>
      </w:r>
    </w:p>
    <w:p>
      <w:pPr>
        <w:pStyle w:val="22"/>
        <w:numPr>
          <w:ilvl w:val="0"/>
          <w:numId w:val="8"/>
        </w:numPr>
        <w:tabs>
          <w:tab w:val="left" w:pos="771"/>
        </w:tabs>
        <w:spacing w:line="300" w:lineRule="exact"/>
        <w:ind w:hanging="510"/>
        <w:rPr>
          <w:sz w:val="24"/>
        </w:rPr>
      </w:pPr>
      <w:r>
        <w:rPr>
          <w:sz w:val="24"/>
        </w:rPr>
        <w:t>投标的有效期</w:t>
      </w:r>
    </w:p>
    <w:p>
      <w:pPr>
        <w:pStyle w:val="5"/>
        <w:tabs>
          <w:tab w:val="left" w:pos="849"/>
        </w:tabs>
        <w:spacing w:before="100" w:line="300" w:lineRule="exact"/>
      </w:pPr>
      <w:r>
        <w:rPr>
          <w:rFonts w:hint="eastAsia"/>
          <w:b w:val="0"/>
          <w:bCs w:val="0"/>
          <w:spacing w:val="-4"/>
          <w:lang w:val="en-US"/>
        </w:rPr>
        <w:t xml:space="preserve">17.1 </w:t>
      </w:r>
      <w:r>
        <w:rPr>
          <w:spacing w:val="-4"/>
        </w:rPr>
        <w:t xml:space="preserve">投标文件从开标之日起，投标有效期为 </w:t>
      </w:r>
      <w:r>
        <w:rPr>
          <w:rFonts w:ascii="Arial" w:eastAsia="Arial"/>
          <w:u w:val="thick"/>
        </w:rPr>
        <w:t>90</w:t>
      </w:r>
      <w:r>
        <w:rPr>
          <w:spacing w:val="-59"/>
        </w:rPr>
        <w:t>天。</w:t>
      </w:r>
      <w:r>
        <w:t>（如不满足将导致废标）</w:t>
      </w:r>
    </w:p>
    <w:p>
      <w:pPr>
        <w:pStyle w:val="22"/>
        <w:tabs>
          <w:tab w:val="left" w:pos="851"/>
        </w:tabs>
        <w:spacing w:before="104" w:line="300" w:lineRule="exact"/>
        <w:ind w:firstLine="0"/>
        <w:rPr>
          <w:sz w:val="24"/>
        </w:rPr>
      </w:pPr>
      <w:r>
        <w:rPr>
          <w:rFonts w:hint="eastAsia"/>
          <w:spacing w:val="-1"/>
          <w:sz w:val="24"/>
          <w:lang w:val="en-US"/>
        </w:rPr>
        <w:t xml:space="preserve">17.2 </w:t>
      </w:r>
      <w:r>
        <w:rPr>
          <w:spacing w:val="-1"/>
          <w:sz w:val="24"/>
        </w:rPr>
        <w:t>在特殊情况下，</w:t>
      </w:r>
      <w:r>
        <w:rPr>
          <w:rFonts w:hint="eastAsia"/>
          <w:spacing w:val="-1"/>
          <w:sz w:val="24"/>
          <w:lang w:eastAsia="zh-CN"/>
        </w:rPr>
        <w:t>采购</w:t>
      </w:r>
      <w:r>
        <w:rPr>
          <w:spacing w:val="-1"/>
          <w:sz w:val="24"/>
        </w:rPr>
        <w:t>代理机构可与供应商商量延长投标文件的有效期。</w:t>
      </w:r>
    </w:p>
    <w:p>
      <w:pPr>
        <w:pStyle w:val="22"/>
        <w:numPr>
          <w:ilvl w:val="0"/>
          <w:numId w:val="8"/>
        </w:numPr>
        <w:tabs>
          <w:tab w:val="left" w:pos="771"/>
        </w:tabs>
        <w:spacing w:before="100" w:line="300" w:lineRule="exact"/>
        <w:ind w:hanging="510"/>
        <w:rPr>
          <w:sz w:val="24"/>
        </w:rPr>
      </w:pPr>
      <w:r>
        <w:rPr>
          <w:spacing w:val="-1"/>
          <w:sz w:val="24"/>
        </w:rPr>
        <w:t>投标文件的书写要求。</w:t>
      </w:r>
    </w:p>
    <w:p>
      <w:pPr>
        <w:pStyle w:val="22"/>
        <w:tabs>
          <w:tab w:val="left" w:pos="851"/>
        </w:tabs>
        <w:spacing w:before="103" w:line="300" w:lineRule="exact"/>
        <w:ind w:firstLine="0"/>
        <w:rPr>
          <w:sz w:val="24"/>
        </w:rPr>
      </w:pPr>
      <w:r>
        <w:rPr>
          <w:rFonts w:hint="eastAsia"/>
          <w:spacing w:val="-1"/>
          <w:sz w:val="24"/>
          <w:lang w:val="en-US"/>
        </w:rPr>
        <w:t xml:space="preserve">18.1 </w:t>
      </w:r>
      <w:r>
        <w:rPr>
          <w:spacing w:val="-1"/>
          <w:sz w:val="24"/>
        </w:rPr>
        <w:t>投标文件须打印胶装，活页装订不予评审。</w:t>
      </w:r>
    </w:p>
    <w:p>
      <w:pPr>
        <w:pStyle w:val="22"/>
        <w:tabs>
          <w:tab w:val="left" w:pos="851"/>
        </w:tabs>
        <w:spacing w:before="100" w:line="300" w:lineRule="exact"/>
        <w:ind w:firstLine="0"/>
        <w:rPr>
          <w:sz w:val="24"/>
        </w:rPr>
      </w:pPr>
      <w:r>
        <w:rPr>
          <w:rFonts w:hint="eastAsia"/>
          <w:spacing w:val="-1"/>
          <w:sz w:val="24"/>
          <w:lang w:val="en-US"/>
        </w:rPr>
        <w:t xml:space="preserve">18.2 </w:t>
      </w:r>
      <w:r>
        <w:rPr>
          <w:spacing w:val="-1"/>
          <w:sz w:val="24"/>
        </w:rPr>
        <w:t>投标文件应清楚工整，修改处应由投标全权代表签章。</w:t>
      </w:r>
    </w:p>
    <w:p>
      <w:pPr>
        <w:pStyle w:val="22"/>
        <w:tabs>
          <w:tab w:val="left" w:pos="791"/>
        </w:tabs>
        <w:spacing w:before="103" w:line="300" w:lineRule="exact"/>
        <w:ind w:firstLine="0"/>
        <w:rPr>
          <w:sz w:val="24"/>
        </w:rPr>
      </w:pPr>
      <w:r>
        <w:rPr>
          <w:rFonts w:hint="eastAsia"/>
          <w:spacing w:val="-1"/>
          <w:sz w:val="24"/>
          <w:lang w:val="en-US"/>
        </w:rPr>
        <w:t xml:space="preserve">18.3 </w:t>
      </w:r>
      <w:r>
        <w:rPr>
          <w:spacing w:val="-1"/>
          <w:sz w:val="24"/>
        </w:rPr>
        <w:t>投标文件应由法人代表或法人授权代表在凡规定签章处逐一签署及加盖单位的公章。</w:t>
      </w:r>
    </w:p>
    <w:p>
      <w:pPr>
        <w:pStyle w:val="22"/>
        <w:tabs>
          <w:tab w:val="left" w:pos="851"/>
        </w:tabs>
        <w:spacing w:before="100" w:line="300" w:lineRule="exact"/>
        <w:ind w:firstLine="0"/>
        <w:rPr>
          <w:spacing w:val="-1"/>
          <w:sz w:val="24"/>
        </w:rPr>
      </w:pPr>
      <w:r>
        <w:rPr>
          <w:rFonts w:hint="eastAsia"/>
          <w:spacing w:val="-1"/>
          <w:sz w:val="24"/>
          <w:lang w:val="en-US"/>
        </w:rPr>
        <w:t xml:space="preserve">18.4 </w:t>
      </w:r>
      <w:r>
        <w:rPr>
          <w:spacing w:val="-1"/>
          <w:sz w:val="24"/>
        </w:rPr>
        <w:t>电报、电话、传真形式的投标概不接受。</w:t>
      </w:r>
    </w:p>
    <w:p>
      <w:pPr>
        <w:pStyle w:val="22"/>
        <w:tabs>
          <w:tab w:val="left" w:pos="851"/>
        </w:tabs>
        <w:spacing w:before="100" w:line="300" w:lineRule="exact"/>
        <w:ind w:firstLine="0"/>
        <w:rPr>
          <w:color w:val="auto"/>
          <w:spacing w:val="-1"/>
          <w:sz w:val="24"/>
        </w:rPr>
      </w:pPr>
      <w:r>
        <w:rPr>
          <w:rFonts w:hint="eastAsia"/>
          <w:spacing w:val="-1"/>
          <w:sz w:val="24"/>
          <w:lang w:val="en-US"/>
        </w:rPr>
        <w:t xml:space="preserve">18.5 </w:t>
      </w:r>
      <w:r>
        <w:rPr>
          <w:spacing w:val="-1"/>
          <w:sz w:val="24"/>
        </w:rPr>
        <w:t>投标文件的份数：一式</w:t>
      </w:r>
      <w:r>
        <w:rPr>
          <w:rFonts w:hint="eastAsia"/>
          <w:spacing w:val="-1"/>
          <w:sz w:val="24"/>
          <w:lang w:val="en-US" w:eastAsia="zh-CN"/>
        </w:rPr>
        <w:t>3</w:t>
      </w:r>
      <w:r>
        <w:rPr>
          <w:spacing w:val="-1"/>
          <w:sz w:val="24"/>
        </w:rPr>
        <w:t xml:space="preserve">份。正本 1份，副本 </w:t>
      </w:r>
      <w:r>
        <w:rPr>
          <w:rFonts w:hint="eastAsia"/>
          <w:spacing w:val="-1"/>
          <w:sz w:val="24"/>
          <w:lang w:val="en-US" w:eastAsia="zh-CN"/>
        </w:rPr>
        <w:t>2</w:t>
      </w:r>
      <w:r>
        <w:rPr>
          <w:spacing w:val="-1"/>
          <w:sz w:val="24"/>
        </w:rPr>
        <w:t>份</w:t>
      </w:r>
      <w:r>
        <w:rPr>
          <w:rFonts w:hint="eastAsia"/>
          <w:spacing w:val="-1"/>
          <w:sz w:val="24"/>
        </w:rPr>
        <w:t>，电子版一套（</w:t>
      </w:r>
      <w:r>
        <w:rPr>
          <w:rFonts w:hint="eastAsia"/>
          <w:spacing w:val="-1"/>
          <w:sz w:val="24"/>
          <w:lang w:val="en-US"/>
        </w:rPr>
        <w:t>U盘及光盘各一个），开标一</w:t>
      </w:r>
      <w:r>
        <w:rPr>
          <w:rFonts w:hint="eastAsia"/>
          <w:color w:val="auto"/>
          <w:spacing w:val="-1"/>
          <w:sz w:val="24"/>
          <w:lang w:val="en-US"/>
        </w:rPr>
        <w:t>览表单独密封一份</w:t>
      </w:r>
      <w:r>
        <w:rPr>
          <w:color w:val="auto"/>
          <w:spacing w:val="-1"/>
          <w:sz w:val="24"/>
        </w:rPr>
        <w:t>。</w:t>
      </w:r>
    </w:p>
    <w:p>
      <w:pPr>
        <w:pStyle w:val="22"/>
        <w:tabs>
          <w:tab w:val="left" w:pos="851"/>
        </w:tabs>
        <w:spacing w:before="100" w:line="300" w:lineRule="exact"/>
        <w:ind w:firstLine="0"/>
        <w:rPr>
          <w:color w:val="auto"/>
          <w:spacing w:val="-1"/>
          <w:sz w:val="24"/>
          <w:highlight w:val="none"/>
        </w:rPr>
      </w:pPr>
      <w:r>
        <w:rPr>
          <w:rFonts w:hint="eastAsia"/>
          <w:color w:val="auto"/>
          <w:spacing w:val="-1"/>
          <w:sz w:val="24"/>
          <w:highlight w:val="none"/>
          <w:lang w:val="en-US"/>
        </w:rPr>
        <w:t>19.</w:t>
      </w:r>
      <w:r>
        <w:rPr>
          <w:color w:val="auto"/>
          <w:spacing w:val="-1"/>
          <w:sz w:val="24"/>
          <w:highlight w:val="none"/>
        </w:rPr>
        <w:t>投标保证金</w:t>
      </w:r>
    </w:p>
    <w:p>
      <w:pPr>
        <w:pStyle w:val="22"/>
        <w:tabs>
          <w:tab w:val="left" w:pos="851"/>
        </w:tabs>
        <w:spacing w:before="100" w:line="300" w:lineRule="exact"/>
        <w:ind w:firstLine="0"/>
        <w:rPr>
          <w:color w:val="auto"/>
          <w:spacing w:val="-1"/>
          <w:sz w:val="24"/>
          <w:highlight w:val="none"/>
        </w:rPr>
      </w:pPr>
      <w:r>
        <w:rPr>
          <w:rFonts w:hint="eastAsia"/>
          <w:color w:val="auto"/>
          <w:spacing w:val="-1"/>
          <w:sz w:val="24"/>
          <w:highlight w:val="none"/>
          <w:lang w:val="en-US"/>
        </w:rPr>
        <w:t xml:space="preserve">19.1 </w:t>
      </w:r>
      <w:r>
        <w:rPr>
          <w:color w:val="auto"/>
          <w:spacing w:val="-1"/>
          <w:sz w:val="24"/>
          <w:highlight w:val="none"/>
        </w:rPr>
        <w:t>投标保证金金额：</w:t>
      </w:r>
      <w:r>
        <w:rPr>
          <w:rFonts w:hint="eastAsia"/>
          <w:color w:val="auto"/>
          <w:spacing w:val="-1"/>
          <w:sz w:val="24"/>
          <w:highlight w:val="none"/>
        </w:rPr>
        <w:t>15000元。</w:t>
      </w:r>
      <w:r>
        <w:rPr>
          <w:color w:val="auto"/>
          <w:spacing w:val="-1"/>
          <w:sz w:val="24"/>
          <w:highlight w:val="none"/>
        </w:rPr>
        <w:t>于20</w:t>
      </w:r>
      <w:r>
        <w:rPr>
          <w:rFonts w:hint="eastAsia"/>
          <w:color w:val="auto"/>
          <w:spacing w:val="-1"/>
          <w:sz w:val="24"/>
          <w:highlight w:val="none"/>
          <w:lang w:val="en-US"/>
        </w:rPr>
        <w:t>22</w:t>
      </w:r>
      <w:r>
        <w:rPr>
          <w:color w:val="auto"/>
          <w:spacing w:val="-1"/>
          <w:sz w:val="24"/>
          <w:highlight w:val="none"/>
        </w:rPr>
        <w:t>年</w:t>
      </w:r>
      <w:r>
        <w:rPr>
          <w:rFonts w:hint="eastAsia"/>
          <w:color w:val="auto"/>
          <w:spacing w:val="-1"/>
          <w:sz w:val="24"/>
          <w:highlight w:val="none"/>
          <w:lang w:val="en-US" w:eastAsia="zh-CN"/>
        </w:rPr>
        <w:t>8</w:t>
      </w:r>
      <w:r>
        <w:rPr>
          <w:color w:val="auto"/>
          <w:spacing w:val="-1"/>
          <w:sz w:val="24"/>
          <w:highlight w:val="none"/>
        </w:rPr>
        <w:t>月</w:t>
      </w:r>
      <w:r>
        <w:rPr>
          <w:rFonts w:hint="eastAsia"/>
          <w:color w:val="auto"/>
          <w:spacing w:val="-1"/>
          <w:sz w:val="24"/>
          <w:highlight w:val="none"/>
          <w:lang w:val="en-US" w:eastAsia="zh-CN"/>
        </w:rPr>
        <w:t>19</w:t>
      </w:r>
      <w:r>
        <w:rPr>
          <w:color w:val="auto"/>
          <w:spacing w:val="-1"/>
          <w:sz w:val="24"/>
          <w:highlight w:val="none"/>
        </w:rPr>
        <w:t>日</w:t>
      </w:r>
      <w:r>
        <w:rPr>
          <w:rFonts w:hint="eastAsia"/>
          <w:color w:val="auto"/>
          <w:spacing w:val="-1"/>
          <w:sz w:val="24"/>
          <w:highlight w:val="none"/>
          <w:lang w:val="en-US" w:eastAsia="zh-CN"/>
        </w:rPr>
        <w:t>11</w:t>
      </w:r>
      <w:r>
        <w:rPr>
          <w:color w:val="auto"/>
          <w:spacing w:val="-1"/>
          <w:sz w:val="24"/>
          <w:highlight w:val="none"/>
        </w:rPr>
        <w:t>:</w:t>
      </w:r>
      <w:r>
        <w:rPr>
          <w:rFonts w:hint="eastAsia"/>
          <w:color w:val="auto"/>
          <w:spacing w:val="-1"/>
          <w:sz w:val="24"/>
          <w:highlight w:val="none"/>
          <w:lang w:val="en-US"/>
        </w:rPr>
        <w:t>0</w:t>
      </w:r>
      <w:r>
        <w:rPr>
          <w:color w:val="auto"/>
          <w:spacing w:val="-1"/>
          <w:sz w:val="24"/>
          <w:highlight w:val="none"/>
        </w:rPr>
        <w:t>0 时（北京时间）前到达</w:t>
      </w:r>
      <w:r>
        <w:rPr>
          <w:rFonts w:hint="eastAsia"/>
          <w:color w:val="auto"/>
          <w:spacing w:val="-1"/>
          <w:sz w:val="24"/>
          <w:highlight w:val="none"/>
          <w:lang w:eastAsia="zh-CN"/>
        </w:rPr>
        <w:t>采购</w:t>
      </w:r>
      <w:r>
        <w:rPr>
          <w:color w:val="auto"/>
          <w:spacing w:val="-1"/>
          <w:sz w:val="24"/>
          <w:highlight w:val="none"/>
        </w:rPr>
        <w:t>代理机构指定账户。</w:t>
      </w:r>
    </w:p>
    <w:p>
      <w:pPr>
        <w:pStyle w:val="22"/>
        <w:tabs>
          <w:tab w:val="left" w:pos="771"/>
        </w:tabs>
        <w:spacing w:before="100" w:line="300" w:lineRule="exact"/>
        <w:ind w:firstLine="0"/>
        <w:rPr>
          <w:spacing w:val="-1"/>
          <w:sz w:val="24"/>
        </w:rPr>
      </w:pPr>
      <w:r>
        <w:rPr>
          <w:rFonts w:hint="eastAsia"/>
          <w:color w:val="auto"/>
          <w:spacing w:val="-1"/>
          <w:sz w:val="24"/>
          <w:lang w:val="en-US"/>
        </w:rPr>
        <w:t xml:space="preserve">19.2 </w:t>
      </w:r>
      <w:r>
        <w:rPr>
          <w:color w:val="auto"/>
          <w:spacing w:val="-1"/>
          <w:sz w:val="24"/>
        </w:rPr>
        <w:t>本次</w:t>
      </w:r>
      <w:r>
        <w:rPr>
          <w:rFonts w:hint="eastAsia"/>
          <w:color w:val="auto"/>
          <w:spacing w:val="-1"/>
          <w:sz w:val="24"/>
          <w:lang w:eastAsia="zh-CN"/>
        </w:rPr>
        <w:t>采购</w:t>
      </w:r>
      <w:r>
        <w:rPr>
          <w:color w:val="auto"/>
          <w:spacing w:val="-1"/>
          <w:sz w:val="24"/>
        </w:rPr>
        <w:t>可接受电汇</w:t>
      </w:r>
      <w:r>
        <w:rPr>
          <w:rFonts w:hint="eastAsia"/>
          <w:color w:val="auto"/>
          <w:spacing w:val="-1"/>
          <w:sz w:val="24"/>
          <w:lang w:eastAsia="zh-CN"/>
        </w:rPr>
        <w:t>、保函</w:t>
      </w:r>
      <w:r>
        <w:rPr>
          <w:color w:val="auto"/>
          <w:spacing w:val="-1"/>
          <w:sz w:val="24"/>
        </w:rPr>
        <w:t>等作为投标保证金，投标保证金有效期应</w:t>
      </w:r>
      <w:r>
        <w:rPr>
          <w:spacing w:val="-1"/>
          <w:sz w:val="24"/>
        </w:rPr>
        <w:t>当与投标有效期一致。</w:t>
      </w:r>
    </w:p>
    <w:p>
      <w:pPr>
        <w:pStyle w:val="22"/>
        <w:tabs>
          <w:tab w:val="left" w:pos="771"/>
        </w:tabs>
        <w:spacing w:before="100" w:line="300" w:lineRule="exact"/>
        <w:ind w:firstLine="0"/>
        <w:rPr>
          <w:spacing w:val="-1"/>
          <w:sz w:val="24"/>
        </w:rPr>
      </w:pPr>
      <w:r>
        <w:rPr>
          <w:rFonts w:hint="eastAsia"/>
          <w:spacing w:val="-1"/>
          <w:sz w:val="24"/>
          <w:lang w:val="en-US"/>
        </w:rPr>
        <w:t xml:space="preserve">19.3 </w:t>
      </w:r>
      <w:r>
        <w:rPr>
          <w:spacing w:val="-1"/>
          <w:sz w:val="24"/>
        </w:rPr>
        <w:t>投标保证金的退还时间：</w:t>
      </w:r>
    </w:p>
    <w:p>
      <w:pPr>
        <w:pStyle w:val="22"/>
        <w:tabs>
          <w:tab w:val="left" w:pos="771"/>
        </w:tabs>
        <w:spacing w:before="100" w:line="300" w:lineRule="exact"/>
        <w:ind w:firstLine="0"/>
        <w:rPr>
          <w:rFonts w:hint="eastAsia" w:eastAsia="宋体"/>
          <w:spacing w:val="-1"/>
          <w:sz w:val="24"/>
          <w:lang w:val="en-US" w:eastAsia="zh-CN"/>
        </w:rPr>
      </w:pPr>
      <w:r>
        <w:rPr>
          <w:rFonts w:hint="eastAsia"/>
          <w:spacing w:val="-1"/>
          <w:sz w:val="24"/>
          <w:lang w:val="en-US"/>
        </w:rPr>
        <w:t xml:space="preserve">19.3.1 </w:t>
      </w:r>
      <w:r>
        <w:rPr>
          <w:spacing w:val="-1"/>
          <w:sz w:val="24"/>
        </w:rPr>
        <w:t>在中标通知书发出后 5 个工作日内退还未中标供应商的投标保证金，在采购合同签订后 5 个工作日内退还中标供应商的投标保证金。未按规定提交投标保证金的投标，将被视为投标无效。</w:t>
      </w:r>
    </w:p>
    <w:p>
      <w:pPr>
        <w:pStyle w:val="22"/>
        <w:numPr>
          <w:ilvl w:val="1"/>
          <w:numId w:val="9"/>
        </w:numPr>
        <w:tabs>
          <w:tab w:val="left" w:pos="791"/>
        </w:tabs>
        <w:spacing w:before="49"/>
        <w:ind w:left="790" w:hanging="530"/>
        <w:rPr>
          <w:sz w:val="24"/>
        </w:rPr>
      </w:pPr>
      <w:r>
        <w:rPr>
          <w:spacing w:val="-1"/>
          <w:sz w:val="24"/>
        </w:rPr>
        <w:t>下列任何情况发生时，投标保证金将被没收：</w:t>
      </w:r>
    </w:p>
    <w:p>
      <w:pPr>
        <w:pStyle w:val="22"/>
        <w:numPr>
          <w:ilvl w:val="2"/>
          <w:numId w:val="9"/>
        </w:numPr>
        <w:tabs>
          <w:tab w:val="left" w:pos="991"/>
        </w:tabs>
        <w:ind w:hanging="730"/>
        <w:rPr>
          <w:sz w:val="24"/>
        </w:rPr>
      </w:pPr>
      <w:r>
        <w:rPr>
          <w:spacing w:val="-1"/>
          <w:sz w:val="24"/>
        </w:rPr>
        <w:t>供应商在采购文件规定的投标有效期内撤回其投标；</w:t>
      </w:r>
    </w:p>
    <w:p>
      <w:pPr>
        <w:pStyle w:val="22"/>
        <w:numPr>
          <w:ilvl w:val="2"/>
          <w:numId w:val="9"/>
        </w:numPr>
        <w:tabs>
          <w:tab w:val="left" w:pos="991"/>
        </w:tabs>
        <w:spacing w:before="103"/>
        <w:ind w:hanging="730"/>
        <w:rPr>
          <w:sz w:val="24"/>
        </w:rPr>
      </w:pPr>
      <w:r>
        <w:rPr>
          <w:spacing w:val="-1"/>
          <w:sz w:val="24"/>
        </w:rPr>
        <w:t>中标方在规定期限内未能：</w:t>
      </w:r>
    </w:p>
    <w:p>
      <w:pPr>
        <w:pStyle w:val="22"/>
        <w:numPr>
          <w:ilvl w:val="3"/>
          <w:numId w:val="9"/>
        </w:numPr>
        <w:tabs>
          <w:tab w:val="left" w:pos="1190"/>
        </w:tabs>
        <w:ind w:hanging="929"/>
        <w:rPr>
          <w:sz w:val="24"/>
        </w:rPr>
      </w:pPr>
      <w:r>
        <w:rPr>
          <w:sz w:val="24"/>
        </w:rPr>
        <w:t>按本须知规定签订合同；</w:t>
      </w:r>
    </w:p>
    <w:p>
      <w:pPr>
        <w:pStyle w:val="22"/>
        <w:numPr>
          <w:ilvl w:val="3"/>
          <w:numId w:val="9"/>
        </w:numPr>
        <w:tabs>
          <w:tab w:val="left" w:pos="1190"/>
        </w:tabs>
        <w:spacing w:before="103"/>
        <w:ind w:hanging="929"/>
        <w:rPr>
          <w:sz w:val="24"/>
        </w:rPr>
      </w:pPr>
      <w:r>
        <w:rPr>
          <w:sz w:val="24"/>
        </w:rPr>
        <w:t>按本须知规定向</w:t>
      </w:r>
      <w:r>
        <w:rPr>
          <w:rFonts w:hint="eastAsia"/>
          <w:sz w:val="24"/>
          <w:lang w:eastAsia="zh-CN"/>
        </w:rPr>
        <w:t>采购</w:t>
      </w:r>
      <w:r>
        <w:rPr>
          <w:sz w:val="24"/>
        </w:rPr>
        <w:t>代理机构交纳</w:t>
      </w:r>
      <w:r>
        <w:rPr>
          <w:rFonts w:hint="eastAsia"/>
          <w:sz w:val="24"/>
          <w:lang w:eastAsia="zh-CN"/>
        </w:rPr>
        <w:t>采购</w:t>
      </w:r>
      <w:r>
        <w:rPr>
          <w:sz w:val="24"/>
        </w:rPr>
        <w:t>代理服务费。</w:t>
      </w:r>
    </w:p>
    <w:p>
      <w:pPr>
        <w:pStyle w:val="2"/>
        <w:ind w:left="0"/>
        <w:rPr>
          <w:sz w:val="26"/>
        </w:rPr>
      </w:pPr>
    </w:p>
    <w:p>
      <w:pPr>
        <w:pStyle w:val="4"/>
        <w:tabs>
          <w:tab w:val="left" w:pos="484"/>
        </w:tabs>
      </w:pPr>
      <w:bookmarkStart w:id="5" w:name="_bookmark5"/>
      <w:bookmarkEnd w:id="5"/>
      <w:r>
        <w:rPr>
          <w:rFonts w:ascii="Arial" w:eastAsia="Arial"/>
        </w:rPr>
        <w:t>D</w:t>
      </w:r>
      <w:r>
        <w:rPr>
          <w:rFonts w:ascii="Arial" w:eastAsia="Arial"/>
        </w:rPr>
        <w:tab/>
      </w:r>
      <w:r>
        <w:t>投标文件的递交</w:t>
      </w:r>
    </w:p>
    <w:p>
      <w:pPr>
        <w:pStyle w:val="22"/>
        <w:numPr>
          <w:ilvl w:val="0"/>
          <w:numId w:val="8"/>
        </w:numPr>
        <w:tabs>
          <w:tab w:val="left" w:pos="717"/>
        </w:tabs>
        <w:spacing w:before="0"/>
        <w:ind w:left="716" w:hanging="456"/>
        <w:rPr>
          <w:sz w:val="24"/>
        </w:rPr>
      </w:pPr>
      <w:r>
        <w:rPr>
          <w:spacing w:val="-1"/>
          <w:sz w:val="24"/>
        </w:rPr>
        <w:t>投标文件的密封与标记</w:t>
      </w:r>
    </w:p>
    <w:p>
      <w:pPr>
        <w:pStyle w:val="22"/>
        <w:tabs>
          <w:tab w:val="left" w:pos="851"/>
        </w:tabs>
        <w:spacing w:before="103" w:line="319" w:lineRule="auto"/>
        <w:ind w:right="278" w:firstLine="0"/>
        <w:rPr>
          <w:sz w:val="24"/>
        </w:rPr>
      </w:pPr>
      <w:r>
        <w:rPr>
          <w:rFonts w:hint="eastAsia"/>
          <w:spacing w:val="-1"/>
          <w:sz w:val="24"/>
          <w:lang w:val="en-US"/>
        </w:rPr>
        <w:t xml:space="preserve">20.1 </w:t>
      </w:r>
      <w:r>
        <w:rPr>
          <w:spacing w:val="-1"/>
          <w:sz w:val="24"/>
        </w:rPr>
        <w:t>供应商应将投标文件正、副本分别密封，在每个密封件的封面上标明供应商名称、法定</w:t>
      </w:r>
      <w:r>
        <w:rPr>
          <w:sz w:val="24"/>
        </w:rPr>
        <w:t>代表人、单位公章、正本或副本。</w:t>
      </w:r>
    </w:p>
    <w:p>
      <w:pPr>
        <w:pStyle w:val="22"/>
        <w:tabs>
          <w:tab w:val="left" w:pos="851"/>
        </w:tabs>
        <w:spacing w:before="0" w:line="306" w:lineRule="exact"/>
        <w:ind w:firstLine="0"/>
        <w:rPr>
          <w:sz w:val="24"/>
        </w:rPr>
      </w:pPr>
      <w:r>
        <w:rPr>
          <w:rFonts w:hint="eastAsia"/>
          <w:spacing w:val="-1"/>
          <w:sz w:val="24"/>
          <w:lang w:val="en-US"/>
        </w:rPr>
        <w:t xml:space="preserve">20.2 </w:t>
      </w:r>
      <w:r>
        <w:rPr>
          <w:spacing w:val="-1"/>
          <w:sz w:val="24"/>
        </w:rPr>
        <w:t>投标文件袋上应写明：</w:t>
      </w:r>
    </w:p>
    <w:p>
      <w:pPr>
        <w:pStyle w:val="22"/>
        <w:numPr>
          <w:ilvl w:val="2"/>
          <w:numId w:val="8"/>
        </w:numPr>
        <w:tabs>
          <w:tab w:val="left" w:pos="1341"/>
        </w:tabs>
        <w:spacing w:before="103"/>
        <w:rPr>
          <w:sz w:val="24"/>
        </w:rPr>
      </w:pPr>
      <w:r>
        <w:rPr>
          <w:rFonts w:hint="eastAsia"/>
          <w:sz w:val="24"/>
          <w:lang w:eastAsia="zh-CN"/>
        </w:rPr>
        <w:t>采购</w:t>
      </w:r>
      <w:r>
        <w:rPr>
          <w:sz w:val="24"/>
        </w:rPr>
        <w:t>机构：</w:t>
      </w:r>
      <w:r>
        <w:rPr>
          <w:rFonts w:hint="eastAsia"/>
          <w:sz w:val="24"/>
        </w:rPr>
        <w:t>法正项目管理集团有限公司</w:t>
      </w:r>
    </w:p>
    <w:p>
      <w:pPr>
        <w:pStyle w:val="22"/>
        <w:numPr>
          <w:ilvl w:val="2"/>
          <w:numId w:val="8"/>
        </w:numPr>
        <w:tabs>
          <w:tab w:val="left" w:pos="1341"/>
          <w:tab w:val="left" w:pos="4155"/>
        </w:tabs>
        <w:spacing w:before="100"/>
        <w:rPr>
          <w:rFonts w:ascii="Times New Roman" w:eastAsia="Times New Roman"/>
          <w:sz w:val="24"/>
        </w:rPr>
      </w:pPr>
      <w:r>
        <w:rPr>
          <w:sz w:val="24"/>
        </w:rPr>
        <w:t>项目名称：</w:t>
      </w:r>
      <w:r>
        <w:rPr>
          <w:rFonts w:ascii="Times New Roman" w:eastAsia="Times New Roman"/>
          <w:sz w:val="24"/>
          <w:u w:val="single"/>
        </w:rPr>
        <w:tab/>
      </w:r>
    </w:p>
    <w:p>
      <w:pPr>
        <w:pStyle w:val="22"/>
        <w:numPr>
          <w:ilvl w:val="2"/>
          <w:numId w:val="8"/>
        </w:numPr>
        <w:tabs>
          <w:tab w:val="left" w:pos="1341"/>
          <w:tab w:val="left" w:pos="4155"/>
        </w:tabs>
        <w:spacing w:before="103"/>
        <w:rPr>
          <w:rFonts w:ascii="Times New Roman" w:eastAsia="Times New Roman"/>
          <w:sz w:val="24"/>
        </w:rPr>
      </w:pPr>
      <w:r>
        <w:rPr>
          <w:sz w:val="24"/>
        </w:rPr>
        <w:t>项目编号：</w:t>
      </w:r>
      <w:r>
        <w:rPr>
          <w:rFonts w:ascii="Times New Roman" w:eastAsia="Times New Roman"/>
          <w:sz w:val="24"/>
          <w:u w:val="single"/>
        </w:rPr>
        <w:tab/>
      </w:r>
    </w:p>
    <w:p>
      <w:pPr>
        <w:pStyle w:val="22"/>
        <w:numPr>
          <w:ilvl w:val="2"/>
          <w:numId w:val="8"/>
        </w:numPr>
        <w:tabs>
          <w:tab w:val="left" w:pos="1341"/>
          <w:tab w:val="left" w:pos="4155"/>
        </w:tabs>
        <w:rPr>
          <w:rFonts w:ascii="Times New Roman" w:eastAsia="Times New Roman"/>
          <w:sz w:val="24"/>
        </w:rPr>
      </w:pPr>
      <w:r>
        <w:rPr>
          <w:sz w:val="24"/>
        </w:rPr>
        <w:t>包号：</w:t>
      </w:r>
      <w:r>
        <w:rPr>
          <w:rFonts w:ascii="Times New Roman" w:eastAsia="Times New Roman"/>
          <w:sz w:val="24"/>
          <w:u w:val="single"/>
        </w:rPr>
        <w:tab/>
      </w:r>
    </w:p>
    <w:p>
      <w:pPr>
        <w:pStyle w:val="22"/>
        <w:numPr>
          <w:ilvl w:val="2"/>
          <w:numId w:val="8"/>
        </w:numPr>
        <w:tabs>
          <w:tab w:val="left" w:pos="1341"/>
        </w:tabs>
        <w:spacing w:before="103"/>
        <w:rPr>
          <w:rFonts w:ascii="Arial" w:hAnsi="Arial" w:eastAsia="Arial"/>
          <w:sz w:val="24"/>
        </w:rPr>
      </w:pPr>
      <w:r>
        <w:rPr>
          <w:sz w:val="24"/>
        </w:rPr>
        <w:t>注明</w:t>
      </w:r>
      <w:r>
        <w:rPr>
          <w:rFonts w:ascii="Arial" w:hAnsi="Arial" w:eastAsia="Arial"/>
          <w:sz w:val="24"/>
        </w:rPr>
        <w:t>“</w:t>
      </w:r>
      <w:r>
        <w:rPr>
          <w:sz w:val="24"/>
        </w:rPr>
        <w:t>开标时才能启封</w:t>
      </w:r>
      <w:r>
        <w:rPr>
          <w:rFonts w:ascii="Arial" w:hAnsi="Arial" w:eastAsia="Arial"/>
          <w:sz w:val="24"/>
        </w:rPr>
        <w:t>”</w:t>
      </w:r>
    </w:p>
    <w:p>
      <w:pPr>
        <w:pStyle w:val="22"/>
        <w:numPr>
          <w:ilvl w:val="2"/>
          <w:numId w:val="8"/>
        </w:numPr>
        <w:tabs>
          <w:tab w:val="left" w:pos="1341"/>
          <w:tab w:val="left" w:pos="4275"/>
        </w:tabs>
        <w:spacing w:before="100"/>
        <w:rPr>
          <w:rFonts w:ascii="Times New Roman" w:eastAsia="Times New Roman"/>
          <w:sz w:val="24"/>
        </w:rPr>
      </w:pPr>
      <w:r>
        <w:rPr>
          <w:sz w:val="24"/>
        </w:rPr>
        <w:t>供应商名称：</w:t>
      </w:r>
      <w:r>
        <w:rPr>
          <w:rFonts w:ascii="Times New Roman" w:eastAsia="Times New Roman"/>
          <w:sz w:val="24"/>
          <w:u w:val="single"/>
        </w:rPr>
        <w:tab/>
      </w:r>
    </w:p>
    <w:p>
      <w:pPr>
        <w:pStyle w:val="22"/>
        <w:tabs>
          <w:tab w:val="left" w:pos="851"/>
        </w:tabs>
        <w:spacing w:line="321" w:lineRule="auto"/>
        <w:ind w:right="282" w:firstLine="0"/>
        <w:rPr>
          <w:sz w:val="24"/>
        </w:rPr>
      </w:pPr>
      <w:r>
        <w:rPr>
          <w:rFonts w:hint="eastAsia"/>
          <w:spacing w:val="-1"/>
          <w:sz w:val="24"/>
          <w:lang w:val="en-US"/>
        </w:rPr>
        <w:t xml:space="preserve">20.3 </w:t>
      </w:r>
      <w:r>
        <w:rPr>
          <w:spacing w:val="-1"/>
          <w:sz w:val="24"/>
        </w:rPr>
        <w:t>为方便开标唱标，供应商须将开标一览表单独密封，并在</w:t>
      </w:r>
      <w:r>
        <w:rPr>
          <w:sz w:val="24"/>
        </w:rPr>
        <w:t>信封上标明</w:t>
      </w:r>
      <w:r>
        <w:rPr>
          <w:rFonts w:ascii="Arial" w:hAnsi="Arial" w:eastAsia="Arial"/>
          <w:sz w:val="24"/>
        </w:rPr>
        <w:t>“</w:t>
      </w:r>
      <w:r>
        <w:rPr>
          <w:sz w:val="24"/>
        </w:rPr>
        <w:t>开标一览表</w:t>
      </w:r>
      <w:r>
        <w:rPr>
          <w:rFonts w:ascii="Arial" w:hAnsi="Arial" w:eastAsia="Arial"/>
          <w:sz w:val="24"/>
        </w:rPr>
        <w:t>”</w:t>
      </w:r>
      <w:r>
        <w:rPr>
          <w:sz w:val="24"/>
        </w:rPr>
        <w:t>字样。</w:t>
      </w:r>
    </w:p>
    <w:p>
      <w:pPr>
        <w:pStyle w:val="22"/>
        <w:tabs>
          <w:tab w:val="left" w:pos="791"/>
        </w:tabs>
        <w:spacing w:before="0" w:line="302" w:lineRule="exact"/>
        <w:ind w:firstLine="0"/>
        <w:rPr>
          <w:sz w:val="24"/>
        </w:rPr>
      </w:pPr>
      <w:r>
        <w:rPr>
          <w:rFonts w:hint="eastAsia"/>
          <w:spacing w:val="-1"/>
          <w:sz w:val="24"/>
          <w:lang w:val="en-US"/>
        </w:rPr>
        <w:t xml:space="preserve">20.4 </w:t>
      </w:r>
      <w:r>
        <w:rPr>
          <w:spacing w:val="-1"/>
          <w:sz w:val="24"/>
        </w:rPr>
        <w:t>采购文件装订要求：投标文件要求不得活页装订。</w:t>
      </w:r>
    </w:p>
    <w:p>
      <w:pPr>
        <w:pStyle w:val="22"/>
        <w:numPr>
          <w:ilvl w:val="0"/>
          <w:numId w:val="8"/>
        </w:numPr>
        <w:tabs>
          <w:tab w:val="left" w:pos="717"/>
        </w:tabs>
        <w:spacing w:before="102"/>
        <w:ind w:left="716" w:hanging="456"/>
        <w:rPr>
          <w:color w:val="auto"/>
          <w:sz w:val="24"/>
        </w:rPr>
      </w:pPr>
      <w:r>
        <w:rPr>
          <w:sz w:val="24"/>
        </w:rPr>
        <w:t>投标截</w:t>
      </w:r>
      <w:r>
        <w:rPr>
          <w:color w:val="auto"/>
          <w:sz w:val="24"/>
        </w:rPr>
        <w:t>止时间</w:t>
      </w:r>
    </w:p>
    <w:p>
      <w:pPr>
        <w:pStyle w:val="22"/>
        <w:tabs>
          <w:tab w:val="left" w:pos="851"/>
        </w:tabs>
        <w:spacing w:line="319" w:lineRule="auto"/>
        <w:ind w:left="716" w:leftChars="118" w:right="2104" w:hanging="456" w:hangingChars="200"/>
        <w:jc w:val="both"/>
        <w:rPr>
          <w:sz w:val="24"/>
        </w:rPr>
      </w:pPr>
      <w:r>
        <w:rPr>
          <w:rFonts w:hint="eastAsia"/>
          <w:color w:val="auto"/>
          <w:spacing w:val="-6"/>
          <w:sz w:val="24"/>
          <w:lang w:val="en-US"/>
        </w:rPr>
        <w:t xml:space="preserve">21.1 </w:t>
      </w:r>
      <w:r>
        <w:rPr>
          <w:color w:val="auto"/>
          <w:spacing w:val="-6"/>
          <w:sz w:val="24"/>
        </w:rPr>
        <w:t>投标文件的</w:t>
      </w:r>
      <w:r>
        <w:rPr>
          <w:spacing w:val="-1"/>
          <w:sz w:val="24"/>
        </w:rPr>
        <w:t>递交不得迟于</w:t>
      </w:r>
      <w:r>
        <w:rPr>
          <w:color w:val="00B050"/>
          <w:spacing w:val="-1"/>
          <w:sz w:val="24"/>
        </w:rPr>
        <w:t xml:space="preserve"> </w:t>
      </w:r>
      <w:r>
        <w:rPr>
          <w:color w:val="auto"/>
          <w:spacing w:val="-1"/>
          <w:sz w:val="24"/>
        </w:rPr>
        <w:t>20</w:t>
      </w:r>
      <w:r>
        <w:rPr>
          <w:rFonts w:hint="eastAsia"/>
          <w:color w:val="auto"/>
          <w:spacing w:val="-1"/>
          <w:sz w:val="24"/>
          <w:lang w:val="en-US"/>
        </w:rPr>
        <w:t>22</w:t>
      </w:r>
      <w:r>
        <w:rPr>
          <w:color w:val="auto"/>
          <w:spacing w:val="-1"/>
          <w:sz w:val="24"/>
        </w:rPr>
        <w:t>年</w:t>
      </w:r>
      <w:r>
        <w:rPr>
          <w:rFonts w:hint="eastAsia"/>
          <w:color w:val="auto"/>
          <w:spacing w:val="-1"/>
          <w:sz w:val="24"/>
          <w:lang w:val="en-US" w:eastAsia="zh-CN"/>
        </w:rPr>
        <w:t>8</w:t>
      </w:r>
      <w:r>
        <w:rPr>
          <w:color w:val="auto"/>
          <w:spacing w:val="-1"/>
          <w:sz w:val="24"/>
        </w:rPr>
        <w:t>月</w:t>
      </w:r>
      <w:r>
        <w:rPr>
          <w:rFonts w:hint="eastAsia"/>
          <w:color w:val="auto"/>
          <w:spacing w:val="-1"/>
          <w:sz w:val="24"/>
          <w:lang w:val="en-US" w:eastAsia="zh-CN"/>
        </w:rPr>
        <w:t>19</w:t>
      </w:r>
      <w:r>
        <w:rPr>
          <w:color w:val="auto"/>
          <w:spacing w:val="-1"/>
          <w:sz w:val="24"/>
        </w:rPr>
        <w:t>日</w:t>
      </w:r>
      <w:r>
        <w:rPr>
          <w:rFonts w:hint="eastAsia"/>
          <w:color w:val="auto"/>
          <w:spacing w:val="-1"/>
          <w:sz w:val="24"/>
          <w:lang w:val="en-US"/>
        </w:rPr>
        <w:t xml:space="preserve">  11</w:t>
      </w:r>
      <w:r>
        <w:rPr>
          <w:color w:val="auto"/>
          <w:spacing w:val="-1"/>
          <w:sz w:val="24"/>
        </w:rPr>
        <w:t>：</w:t>
      </w:r>
      <w:r>
        <w:rPr>
          <w:rFonts w:hint="eastAsia"/>
          <w:color w:val="auto"/>
          <w:spacing w:val="-1"/>
          <w:sz w:val="24"/>
          <w:lang w:val="en-US"/>
        </w:rPr>
        <w:t>00</w:t>
      </w:r>
      <w:r>
        <w:rPr>
          <w:color w:val="auto"/>
          <w:spacing w:val="-1"/>
          <w:sz w:val="24"/>
        </w:rPr>
        <w:t xml:space="preserve"> 时（北京时间）。</w:t>
      </w:r>
      <w:r>
        <w:rPr>
          <w:color w:val="auto"/>
          <w:sz w:val="24"/>
          <w:highlight w:val="none"/>
        </w:rPr>
        <w:t>投</w:t>
      </w:r>
      <w:r>
        <w:rPr>
          <w:color w:val="auto"/>
          <w:sz w:val="24"/>
        </w:rPr>
        <w:t>标</w:t>
      </w:r>
      <w:r>
        <w:rPr>
          <w:sz w:val="24"/>
        </w:rPr>
        <w:t>文件以密封形式递交至：开标现场</w:t>
      </w:r>
    </w:p>
    <w:p>
      <w:pPr>
        <w:pStyle w:val="22"/>
        <w:tabs>
          <w:tab w:val="left" w:pos="851"/>
        </w:tabs>
        <w:spacing w:before="0" w:line="319" w:lineRule="auto"/>
        <w:ind w:right="283" w:firstLine="0"/>
        <w:rPr>
          <w:sz w:val="24"/>
        </w:rPr>
      </w:pPr>
      <w:r>
        <w:rPr>
          <w:rFonts w:hint="eastAsia"/>
          <w:spacing w:val="-1"/>
          <w:sz w:val="24"/>
          <w:lang w:val="en-US"/>
        </w:rPr>
        <w:t xml:space="preserve">21.2 </w:t>
      </w:r>
      <w:r>
        <w:rPr>
          <w:spacing w:val="-1"/>
          <w:sz w:val="24"/>
        </w:rPr>
        <w:t>所有投标文件不论派人送交还是通过邮寄递交，都必须按</w:t>
      </w:r>
      <w:r>
        <w:rPr>
          <w:rFonts w:hint="eastAsia"/>
          <w:spacing w:val="-1"/>
          <w:sz w:val="24"/>
          <w:lang w:eastAsia="zh-CN"/>
        </w:rPr>
        <w:t>采购</w:t>
      </w:r>
      <w:r>
        <w:rPr>
          <w:spacing w:val="-1"/>
          <w:sz w:val="24"/>
        </w:rPr>
        <w:t>代理机构在投标邀请中规</w:t>
      </w:r>
      <w:r>
        <w:rPr>
          <w:sz w:val="24"/>
        </w:rPr>
        <w:t>定的投标截止时间之前送到采购文件规定的地点。</w:t>
      </w:r>
    </w:p>
    <w:p>
      <w:pPr>
        <w:pStyle w:val="22"/>
        <w:tabs>
          <w:tab w:val="left" w:pos="851"/>
        </w:tabs>
        <w:spacing w:before="1" w:line="319" w:lineRule="auto"/>
        <w:ind w:right="277" w:firstLine="0"/>
        <w:rPr>
          <w:sz w:val="24"/>
        </w:rPr>
      </w:pPr>
      <w:r>
        <w:rPr>
          <w:rFonts w:hint="eastAsia"/>
          <w:spacing w:val="-9"/>
          <w:sz w:val="24"/>
          <w:lang w:val="en-US"/>
        </w:rPr>
        <w:t xml:space="preserve">21.3 </w:t>
      </w:r>
      <w:r>
        <w:rPr>
          <w:spacing w:val="-9"/>
          <w:sz w:val="24"/>
        </w:rPr>
        <w:t xml:space="preserve">出现第 </w:t>
      </w:r>
      <w:r>
        <w:rPr>
          <w:rFonts w:ascii="Arial" w:eastAsia="Arial"/>
          <w:sz w:val="24"/>
        </w:rPr>
        <w:t>8.2</w:t>
      </w:r>
      <w:r>
        <w:rPr>
          <w:spacing w:val="-3"/>
          <w:sz w:val="24"/>
        </w:rPr>
        <w:t>款因采购文件的修改推迟投标截止时间时，则按</w:t>
      </w:r>
      <w:r>
        <w:rPr>
          <w:rFonts w:hint="eastAsia"/>
          <w:spacing w:val="-3"/>
          <w:sz w:val="24"/>
          <w:lang w:eastAsia="zh-CN"/>
        </w:rPr>
        <w:t>采购</w:t>
      </w:r>
      <w:r>
        <w:rPr>
          <w:spacing w:val="-3"/>
          <w:sz w:val="24"/>
        </w:rPr>
        <w:t>代理机构修改通知规定</w:t>
      </w:r>
      <w:r>
        <w:rPr>
          <w:sz w:val="24"/>
        </w:rPr>
        <w:t>的时间递交。</w:t>
      </w:r>
    </w:p>
    <w:p>
      <w:pPr>
        <w:pStyle w:val="22"/>
        <w:numPr>
          <w:ilvl w:val="0"/>
          <w:numId w:val="8"/>
        </w:numPr>
        <w:tabs>
          <w:tab w:val="left" w:pos="771"/>
        </w:tabs>
        <w:spacing w:before="1"/>
        <w:ind w:hanging="510"/>
        <w:rPr>
          <w:sz w:val="24"/>
        </w:rPr>
      </w:pPr>
      <w:r>
        <w:rPr>
          <w:spacing w:val="-1"/>
          <w:sz w:val="24"/>
        </w:rPr>
        <w:t>投标文件的修改和撤销</w:t>
      </w:r>
    </w:p>
    <w:p>
      <w:pPr>
        <w:pStyle w:val="22"/>
        <w:tabs>
          <w:tab w:val="left" w:pos="851"/>
        </w:tabs>
        <w:spacing w:before="100" w:line="319" w:lineRule="auto"/>
        <w:ind w:right="283" w:firstLine="0"/>
        <w:rPr>
          <w:sz w:val="24"/>
        </w:rPr>
      </w:pPr>
      <w:r>
        <w:rPr>
          <w:rFonts w:hint="eastAsia"/>
          <w:spacing w:val="-1"/>
          <w:sz w:val="24"/>
          <w:lang w:val="en-US"/>
        </w:rPr>
        <w:t xml:space="preserve">22.1 </w:t>
      </w:r>
      <w:r>
        <w:rPr>
          <w:spacing w:val="-1"/>
          <w:sz w:val="24"/>
        </w:rPr>
        <w:t>供应商在提交投标文件后可对其投标文件进行修改或撤销，但</w:t>
      </w:r>
      <w:r>
        <w:rPr>
          <w:rFonts w:hint="eastAsia"/>
          <w:spacing w:val="-1"/>
          <w:sz w:val="24"/>
          <w:lang w:eastAsia="zh-CN"/>
        </w:rPr>
        <w:t>采购</w:t>
      </w:r>
      <w:r>
        <w:rPr>
          <w:spacing w:val="-1"/>
          <w:sz w:val="24"/>
        </w:rPr>
        <w:t>代理机构须在投标截</w:t>
      </w:r>
      <w:r>
        <w:rPr>
          <w:sz w:val="24"/>
        </w:rPr>
        <w:t>止时间之前收到该修改或撤销的书面通知，该通知须有经正式授权的供应商代表签字。</w:t>
      </w:r>
    </w:p>
    <w:p>
      <w:pPr>
        <w:pStyle w:val="22"/>
        <w:tabs>
          <w:tab w:val="left" w:pos="851"/>
        </w:tabs>
        <w:spacing w:before="1"/>
        <w:ind w:firstLine="0"/>
        <w:rPr>
          <w:sz w:val="24"/>
        </w:rPr>
      </w:pPr>
      <w:r>
        <w:rPr>
          <w:rFonts w:hint="eastAsia"/>
          <w:spacing w:val="-1"/>
          <w:sz w:val="24"/>
          <w:lang w:val="en-US"/>
        </w:rPr>
        <w:t xml:space="preserve">22.2 </w:t>
      </w:r>
      <w:r>
        <w:rPr>
          <w:spacing w:val="-1"/>
          <w:sz w:val="24"/>
        </w:rPr>
        <w:t>投标截止时间以后不得修改投标文件。</w:t>
      </w:r>
    </w:p>
    <w:p>
      <w:pPr>
        <w:pStyle w:val="22"/>
        <w:tabs>
          <w:tab w:val="left" w:pos="851"/>
        </w:tabs>
        <w:spacing w:before="100"/>
        <w:ind w:firstLine="0"/>
        <w:rPr>
          <w:rFonts w:ascii="宋体" w:hAnsi="宋体" w:eastAsia="宋体" w:cs="宋体"/>
          <w:spacing w:val="-1"/>
          <w:sz w:val="24"/>
        </w:rPr>
      </w:pPr>
      <w:r>
        <w:rPr>
          <w:rFonts w:hint="eastAsia"/>
          <w:sz w:val="24"/>
          <w:lang w:val="en-US"/>
        </w:rPr>
        <w:t xml:space="preserve">22.3 </w:t>
      </w:r>
      <w:r>
        <w:rPr>
          <w:rFonts w:ascii="宋体" w:hAnsi="宋体" w:eastAsia="宋体" w:cs="宋体"/>
          <w:spacing w:val="-1"/>
          <w:sz w:val="24"/>
        </w:rPr>
        <w:t>供应商不得在开标时间起至投标有效期期满前撤销投标文件。否则</w:t>
      </w:r>
      <w:r>
        <w:rPr>
          <w:rFonts w:hint="eastAsia" w:ascii="宋体" w:hAnsi="宋体" w:eastAsia="宋体" w:cs="宋体"/>
          <w:spacing w:val="-1"/>
          <w:sz w:val="24"/>
          <w:lang w:eastAsia="zh-CN"/>
        </w:rPr>
        <w:t>采购</w:t>
      </w:r>
      <w:r>
        <w:rPr>
          <w:rFonts w:ascii="宋体" w:hAnsi="宋体" w:eastAsia="宋体" w:cs="宋体"/>
          <w:spacing w:val="-1"/>
          <w:sz w:val="24"/>
        </w:rPr>
        <w:t>代理机构将没收其投标保证金。</w:t>
      </w:r>
    </w:p>
    <w:p>
      <w:pPr>
        <w:pStyle w:val="22"/>
        <w:tabs>
          <w:tab w:val="left" w:pos="851"/>
        </w:tabs>
        <w:spacing w:before="100"/>
        <w:ind w:firstLine="0"/>
      </w:pPr>
    </w:p>
    <w:p>
      <w:pPr>
        <w:pStyle w:val="22"/>
        <w:tabs>
          <w:tab w:val="left" w:pos="851"/>
        </w:tabs>
        <w:spacing w:before="100"/>
        <w:ind w:firstLine="0"/>
        <w:rPr>
          <w:highlight w:val="yellow"/>
        </w:rPr>
      </w:pPr>
    </w:p>
    <w:p>
      <w:pPr>
        <w:pStyle w:val="22"/>
        <w:tabs>
          <w:tab w:val="left" w:pos="851"/>
        </w:tabs>
        <w:spacing w:before="100"/>
        <w:ind w:firstLine="0"/>
        <w:rPr>
          <w:highlight w:val="yellow"/>
        </w:rPr>
      </w:pPr>
    </w:p>
    <w:p>
      <w:pPr>
        <w:pStyle w:val="4"/>
        <w:numPr>
          <w:ilvl w:val="0"/>
          <w:numId w:val="10"/>
        </w:numPr>
        <w:tabs>
          <w:tab w:val="left" w:pos="467"/>
          <w:tab w:val="left" w:pos="4807"/>
        </w:tabs>
        <w:spacing w:before="75"/>
        <w:jc w:val="left"/>
      </w:pPr>
      <w:bookmarkStart w:id="6" w:name="_bookmark6"/>
      <w:bookmarkEnd w:id="6"/>
      <w:r>
        <w:t>评标程序</w:t>
      </w:r>
    </w:p>
    <w:p>
      <w:pPr>
        <w:pStyle w:val="2"/>
        <w:spacing w:before="9"/>
        <w:ind w:left="0"/>
        <w:rPr>
          <w:b/>
          <w:sz w:val="27"/>
          <w:highlight w:val="yellow"/>
        </w:rPr>
      </w:pPr>
    </w:p>
    <w:p>
      <w:pPr>
        <w:pStyle w:val="22"/>
        <w:numPr>
          <w:ilvl w:val="0"/>
          <w:numId w:val="8"/>
        </w:numPr>
        <w:tabs>
          <w:tab w:val="left" w:pos="771"/>
        </w:tabs>
        <w:spacing w:before="0"/>
        <w:ind w:hanging="510"/>
        <w:rPr>
          <w:sz w:val="24"/>
        </w:rPr>
      </w:pPr>
      <w:r>
        <w:rPr>
          <w:sz w:val="24"/>
        </w:rPr>
        <w:t>开标</w:t>
      </w:r>
    </w:p>
    <w:p>
      <w:pPr>
        <w:pStyle w:val="22"/>
        <w:tabs>
          <w:tab w:val="left" w:pos="851"/>
        </w:tabs>
        <w:spacing w:before="103" w:line="319" w:lineRule="auto"/>
        <w:ind w:right="278" w:firstLine="0"/>
        <w:rPr>
          <w:sz w:val="24"/>
        </w:rPr>
      </w:pPr>
      <w:r>
        <w:rPr>
          <w:rFonts w:hint="eastAsia"/>
          <w:spacing w:val="-1"/>
          <w:sz w:val="24"/>
          <w:lang w:val="en-US"/>
        </w:rPr>
        <w:t xml:space="preserve">23.1 </w:t>
      </w:r>
      <w:r>
        <w:rPr>
          <w:spacing w:val="-1"/>
          <w:sz w:val="24"/>
        </w:rPr>
        <w:t>本次</w:t>
      </w:r>
      <w:r>
        <w:rPr>
          <w:rFonts w:hint="eastAsia"/>
          <w:spacing w:val="-1"/>
          <w:sz w:val="24"/>
          <w:lang w:eastAsia="zh-CN"/>
        </w:rPr>
        <w:t>采购</w:t>
      </w:r>
      <w:r>
        <w:rPr>
          <w:spacing w:val="-1"/>
          <w:sz w:val="24"/>
        </w:rPr>
        <w:t>按采购文件中投标规定的时间地点进行开标，将</w:t>
      </w:r>
      <w:r>
        <w:rPr>
          <w:rFonts w:hint="eastAsia"/>
          <w:spacing w:val="-1"/>
          <w:sz w:val="24"/>
          <w:lang w:eastAsia="zh-CN"/>
        </w:rPr>
        <w:t>投标</w:t>
      </w:r>
      <w:r>
        <w:rPr>
          <w:spacing w:val="-1"/>
          <w:sz w:val="24"/>
        </w:rPr>
        <w:t>供应商的法定代表人</w:t>
      </w:r>
      <w:r>
        <w:rPr>
          <w:sz w:val="24"/>
        </w:rPr>
        <w:t>或其授权委托人准时参加开标会。</w:t>
      </w:r>
    </w:p>
    <w:p>
      <w:pPr>
        <w:pStyle w:val="22"/>
        <w:tabs>
          <w:tab w:val="left" w:pos="791"/>
        </w:tabs>
        <w:spacing w:before="0" w:line="344" w:lineRule="exact"/>
        <w:ind w:firstLine="0"/>
        <w:rPr>
          <w:sz w:val="30"/>
        </w:rPr>
      </w:pPr>
      <w:r>
        <w:rPr>
          <w:rFonts w:hint="eastAsia"/>
          <w:spacing w:val="-1"/>
          <w:sz w:val="24"/>
          <w:lang w:val="en-US"/>
        </w:rPr>
        <w:t xml:space="preserve">23.2 </w:t>
      </w:r>
      <w:r>
        <w:rPr>
          <w:spacing w:val="-1"/>
          <w:sz w:val="24"/>
        </w:rPr>
        <w:t>宣布投标文件开启顺序</w:t>
      </w:r>
      <w:r>
        <w:rPr>
          <w:sz w:val="30"/>
        </w:rPr>
        <w:t>。</w:t>
      </w:r>
    </w:p>
    <w:p>
      <w:pPr>
        <w:pStyle w:val="22"/>
        <w:tabs>
          <w:tab w:val="left" w:pos="851"/>
        </w:tabs>
        <w:spacing w:before="65" w:line="319" w:lineRule="auto"/>
        <w:ind w:right="273" w:firstLine="0"/>
        <w:rPr>
          <w:sz w:val="24"/>
        </w:rPr>
      </w:pPr>
      <w:r>
        <w:rPr>
          <w:rFonts w:hint="eastAsia"/>
          <w:spacing w:val="-6"/>
          <w:sz w:val="24"/>
          <w:lang w:val="en-US"/>
        </w:rPr>
        <w:t>23.3</w:t>
      </w:r>
      <w:r>
        <w:rPr>
          <w:spacing w:val="-6"/>
          <w:sz w:val="24"/>
        </w:rPr>
        <w:t>开标时检查投标文件密封情况，确认无误后拆封唱标，唱正本</w:t>
      </w:r>
      <w:r>
        <w:rPr>
          <w:rFonts w:ascii="Arial" w:hAnsi="Arial" w:eastAsia="Arial"/>
          <w:sz w:val="24"/>
        </w:rPr>
        <w:t>“</w:t>
      </w:r>
      <w:r>
        <w:rPr>
          <w:sz w:val="24"/>
        </w:rPr>
        <w:t>开标一览表</w:t>
      </w:r>
      <w:r>
        <w:rPr>
          <w:rFonts w:ascii="Arial" w:hAnsi="Arial" w:eastAsia="Arial"/>
          <w:sz w:val="24"/>
        </w:rPr>
        <w:t>”</w:t>
      </w:r>
      <w:r>
        <w:rPr>
          <w:spacing w:val="-10"/>
          <w:sz w:val="24"/>
        </w:rPr>
        <w:t>内容，以及</w:t>
      </w:r>
      <w:r>
        <w:rPr>
          <w:rFonts w:hint="eastAsia"/>
          <w:spacing w:val="-10"/>
          <w:sz w:val="24"/>
          <w:lang w:eastAsia="zh-CN"/>
        </w:rPr>
        <w:t>采购</w:t>
      </w:r>
      <w:r>
        <w:rPr>
          <w:sz w:val="24"/>
        </w:rPr>
        <w:t>代理机构认为合适的其他内容并记录。</w:t>
      </w:r>
    </w:p>
    <w:p>
      <w:pPr>
        <w:pStyle w:val="22"/>
        <w:tabs>
          <w:tab w:val="left" w:pos="851"/>
        </w:tabs>
        <w:spacing w:before="0"/>
        <w:ind w:firstLine="0"/>
        <w:rPr>
          <w:sz w:val="24"/>
        </w:rPr>
      </w:pPr>
      <w:r>
        <w:rPr>
          <w:rFonts w:hint="eastAsia"/>
          <w:spacing w:val="-1"/>
          <w:sz w:val="24"/>
          <w:lang w:val="en-US"/>
        </w:rPr>
        <w:t xml:space="preserve">23.4 </w:t>
      </w:r>
      <w:r>
        <w:rPr>
          <w:spacing w:val="-1"/>
          <w:sz w:val="24"/>
        </w:rPr>
        <w:t>评标原则在开标会议上宣布。</w:t>
      </w:r>
    </w:p>
    <w:p>
      <w:pPr>
        <w:pStyle w:val="22"/>
        <w:tabs>
          <w:tab w:val="left" w:pos="851"/>
        </w:tabs>
        <w:ind w:firstLine="0"/>
        <w:rPr>
          <w:sz w:val="24"/>
        </w:rPr>
      </w:pPr>
      <w:r>
        <w:rPr>
          <w:rFonts w:hint="eastAsia"/>
          <w:spacing w:val="-1"/>
          <w:sz w:val="24"/>
          <w:lang w:val="en-US"/>
        </w:rPr>
        <w:t xml:space="preserve">23.5 </w:t>
      </w:r>
      <w:r>
        <w:rPr>
          <w:spacing w:val="-1"/>
          <w:sz w:val="24"/>
        </w:rPr>
        <w:t>对</w:t>
      </w:r>
      <w:r>
        <w:rPr>
          <w:rFonts w:hint="eastAsia"/>
          <w:spacing w:val="-1"/>
          <w:sz w:val="24"/>
          <w:lang w:eastAsia="zh-CN"/>
        </w:rPr>
        <w:t>采购</w:t>
      </w:r>
      <w:r>
        <w:rPr>
          <w:spacing w:val="-1"/>
          <w:sz w:val="24"/>
        </w:rPr>
        <w:t>人的纪律要求</w:t>
      </w:r>
    </w:p>
    <w:p>
      <w:pPr>
        <w:pStyle w:val="2"/>
        <w:spacing w:before="101" w:line="319" w:lineRule="auto"/>
        <w:ind w:right="276"/>
      </w:pPr>
      <w:r>
        <w:rPr>
          <w:rFonts w:hint="eastAsia"/>
          <w:spacing w:val="-5"/>
          <w:lang w:eastAsia="zh-CN"/>
        </w:rPr>
        <w:t>采购</w:t>
      </w:r>
      <w:r>
        <w:rPr>
          <w:spacing w:val="-5"/>
        </w:rPr>
        <w:t>人不得泄露</w:t>
      </w:r>
      <w:r>
        <w:rPr>
          <w:rFonts w:hint="eastAsia"/>
          <w:spacing w:val="-5"/>
          <w:lang w:eastAsia="zh-CN"/>
        </w:rPr>
        <w:t>采购</w:t>
      </w:r>
      <w:r>
        <w:rPr>
          <w:spacing w:val="-5"/>
        </w:rPr>
        <w:t>投标活动中应当保密的情况和资料，不得与供应商串通损害国家利</w:t>
      </w:r>
      <w:r>
        <w:t>益、社会公共利益或者他人合法权益。</w:t>
      </w:r>
    </w:p>
    <w:p>
      <w:pPr>
        <w:pStyle w:val="22"/>
        <w:tabs>
          <w:tab w:val="left" w:pos="791"/>
        </w:tabs>
        <w:spacing w:before="0"/>
        <w:ind w:firstLine="0"/>
        <w:rPr>
          <w:sz w:val="24"/>
        </w:rPr>
      </w:pPr>
      <w:r>
        <w:rPr>
          <w:rFonts w:hint="eastAsia"/>
          <w:spacing w:val="-1"/>
          <w:sz w:val="24"/>
          <w:lang w:val="en-US"/>
        </w:rPr>
        <w:t xml:space="preserve">23.6 </w:t>
      </w:r>
      <w:r>
        <w:rPr>
          <w:spacing w:val="-1"/>
          <w:sz w:val="24"/>
        </w:rPr>
        <w:t>对供应商的纪律要求</w:t>
      </w:r>
    </w:p>
    <w:p>
      <w:pPr>
        <w:pStyle w:val="2"/>
        <w:spacing w:before="103" w:line="319" w:lineRule="auto"/>
        <w:ind w:right="280" w:firstLine="480" w:firstLineChars="200"/>
        <w:jc w:val="both"/>
      </w:pPr>
      <w:r>
        <w:t>供应商不得互相串通投标或者与</w:t>
      </w:r>
      <w:r>
        <w:rPr>
          <w:rFonts w:hint="eastAsia"/>
          <w:lang w:eastAsia="zh-CN"/>
        </w:rPr>
        <w:t>采购</w:t>
      </w:r>
      <w:r>
        <w:t>人串通投标，不得向</w:t>
      </w:r>
      <w:r>
        <w:rPr>
          <w:rFonts w:hint="eastAsia"/>
          <w:lang w:eastAsia="zh-CN"/>
        </w:rPr>
        <w:t>采购</w:t>
      </w:r>
      <w:r>
        <w:t>人或者评标委员会成员行贿谋取中标，不得以他人名义投标或者以其他方式弄虚作假骗取中标；供应商不得以任何方式干扰、影响评标工作。</w:t>
      </w:r>
    </w:p>
    <w:p>
      <w:pPr>
        <w:pStyle w:val="22"/>
        <w:tabs>
          <w:tab w:val="left" w:pos="851"/>
        </w:tabs>
        <w:spacing w:before="0" w:line="307" w:lineRule="exact"/>
        <w:ind w:firstLine="0"/>
        <w:rPr>
          <w:sz w:val="24"/>
        </w:rPr>
      </w:pPr>
      <w:r>
        <w:rPr>
          <w:rFonts w:hint="eastAsia"/>
          <w:spacing w:val="-1"/>
          <w:sz w:val="24"/>
          <w:lang w:val="en-US"/>
        </w:rPr>
        <w:t xml:space="preserve">23.7 </w:t>
      </w:r>
      <w:r>
        <w:rPr>
          <w:spacing w:val="-1"/>
          <w:sz w:val="24"/>
        </w:rPr>
        <w:t>对与评标活动有关的工作人员的纪律要求</w:t>
      </w:r>
    </w:p>
    <w:p>
      <w:pPr>
        <w:pStyle w:val="2"/>
        <w:spacing w:before="100" w:line="319" w:lineRule="auto"/>
        <w:ind w:right="277" w:firstLine="460" w:firstLineChars="200"/>
        <w:jc w:val="both"/>
      </w:pPr>
      <w:r>
        <w:rPr>
          <w:spacing w:val="-5"/>
        </w:rPr>
        <w:t>与评标活动有关的工作人员不得收受他人的财物或者好处，不得向其他人透露对投标文件</w:t>
      </w:r>
      <w:r>
        <w:rPr>
          <w:spacing w:val="-8"/>
        </w:rPr>
        <w:t>的评审和比较、中标候选人的推荐情况及评标有关其他情况。在评标活动中，与评标活动有关</w:t>
      </w:r>
      <w:r>
        <w:t>的工作人员不得擅离职守，影响评标程序正常进行。</w:t>
      </w:r>
    </w:p>
    <w:p>
      <w:pPr>
        <w:pStyle w:val="22"/>
        <w:tabs>
          <w:tab w:val="left" w:pos="791"/>
        </w:tabs>
        <w:spacing w:before="3"/>
        <w:ind w:firstLine="0"/>
        <w:rPr>
          <w:sz w:val="24"/>
        </w:rPr>
      </w:pPr>
      <w:r>
        <w:rPr>
          <w:rFonts w:hint="eastAsia"/>
          <w:spacing w:val="-1"/>
          <w:sz w:val="24"/>
          <w:lang w:val="en-US"/>
        </w:rPr>
        <w:t xml:space="preserve">23.8 </w:t>
      </w:r>
      <w:r>
        <w:rPr>
          <w:spacing w:val="-1"/>
          <w:sz w:val="24"/>
        </w:rPr>
        <w:t>对评标委员会成员要求评标纪律</w:t>
      </w:r>
    </w:p>
    <w:p>
      <w:pPr>
        <w:pStyle w:val="22"/>
        <w:numPr>
          <w:ilvl w:val="2"/>
          <w:numId w:val="11"/>
        </w:numPr>
        <w:tabs>
          <w:tab w:val="left" w:pos="991"/>
        </w:tabs>
        <w:spacing w:before="100" w:line="319" w:lineRule="auto"/>
        <w:ind w:right="276" w:firstLine="0"/>
        <w:rPr>
          <w:sz w:val="24"/>
        </w:rPr>
      </w:pPr>
      <w:r>
        <w:rPr>
          <w:spacing w:val="-7"/>
          <w:sz w:val="24"/>
        </w:rPr>
        <w:t>评委会应当依照有关法律法规的规定，按照采购文件确定的评标标准和办法客观、公正</w:t>
      </w:r>
      <w:r>
        <w:rPr>
          <w:sz w:val="24"/>
        </w:rPr>
        <w:t>的对投标文件提出评审意见。采购文件设有规定的评标标准和方法不得作为评标依据。</w:t>
      </w:r>
    </w:p>
    <w:p>
      <w:pPr>
        <w:pStyle w:val="22"/>
        <w:numPr>
          <w:ilvl w:val="2"/>
          <w:numId w:val="11"/>
        </w:numPr>
        <w:tabs>
          <w:tab w:val="left" w:pos="991"/>
        </w:tabs>
        <w:spacing w:before="1" w:line="319" w:lineRule="auto"/>
        <w:ind w:right="276" w:firstLine="0"/>
        <w:rPr>
          <w:sz w:val="24"/>
        </w:rPr>
      </w:pPr>
      <w:r>
        <w:rPr>
          <w:spacing w:val="-7"/>
          <w:sz w:val="24"/>
        </w:rPr>
        <w:t>评标委员会成员不得私下接触供应商，不得收受供应商给予的财务或者其他好处，不得</w:t>
      </w:r>
      <w:r>
        <w:rPr>
          <w:sz w:val="24"/>
        </w:rPr>
        <w:t>向</w:t>
      </w:r>
      <w:r>
        <w:rPr>
          <w:rFonts w:hint="eastAsia"/>
          <w:sz w:val="24"/>
          <w:lang w:eastAsia="zh-CN"/>
        </w:rPr>
        <w:t>采购</w:t>
      </w:r>
      <w:r>
        <w:rPr>
          <w:sz w:val="24"/>
        </w:rPr>
        <w:t>人征询确定中标人意向。</w:t>
      </w:r>
    </w:p>
    <w:p>
      <w:pPr>
        <w:pStyle w:val="22"/>
        <w:numPr>
          <w:ilvl w:val="2"/>
          <w:numId w:val="11"/>
        </w:numPr>
        <w:tabs>
          <w:tab w:val="left" w:pos="991"/>
        </w:tabs>
        <w:spacing w:before="0"/>
        <w:ind w:left="990" w:hanging="730"/>
        <w:rPr>
          <w:sz w:val="24"/>
        </w:rPr>
      </w:pPr>
      <w:r>
        <w:rPr>
          <w:spacing w:val="-1"/>
          <w:sz w:val="24"/>
        </w:rPr>
        <w:t>不得接受任何单位或个人明示或暗示提出的倾向或排斥特定供应商的要求。</w:t>
      </w:r>
    </w:p>
    <w:p>
      <w:pPr>
        <w:pStyle w:val="22"/>
        <w:numPr>
          <w:ilvl w:val="2"/>
          <w:numId w:val="11"/>
        </w:numPr>
        <w:tabs>
          <w:tab w:val="left" w:pos="991"/>
        </w:tabs>
        <w:ind w:left="990" w:hanging="730"/>
        <w:rPr>
          <w:sz w:val="24"/>
        </w:rPr>
      </w:pPr>
      <w:r>
        <w:rPr>
          <w:spacing w:val="-1"/>
          <w:sz w:val="24"/>
        </w:rPr>
        <w:t>不得有其他不客观，不公正履行职务的行为。</w:t>
      </w:r>
    </w:p>
    <w:p>
      <w:pPr>
        <w:pStyle w:val="22"/>
        <w:numPr>
          <w:ilvl w:val="0"/>
          <w:numId w:val="8"/>
        </w:numPr>
        <w:tabs>
          <w:tab w:val="left" w:pos="771"/>
        </w:tabs>
        <w:spacing w:before="103"/>
        <w:ind w:hanging="510"/>
        <w:rPr>
          <w:sz w:val="24"/>
        </w:rPr>
      </w:pPr>
      <w:r>
        <w:rPr>
          <w:sz w:val="24"/>
        </w:rPr>
        <w:t>评标过程</w:t>
      </w:r>
    </w:p>
    <w:p>
      <w:pPr>
        <w:pStyle w:val="22"/>
        <w:tabs>
          <w:tab w:val="left" w:pos="851"/>
        </w:tabs>
        <w:ind w:firstLine="0"/>
        <w:rPr>
          <w:sz w:val="24"/>
        </w:rPr>
      </w:pPr>
      <w:r>
        <w:rPr>
          <w:rFonts w:hint="eastAsia"/>
          <w:spacing w:val="-1"/>
          <w:sz w:val="24"/>
          <w:lang w:val="en-US"/>
        </w:rPr>
        <w:t xml:space="preserve">24.1 </w:t>
      </w:r>
      <w:r>
        <w:rPr>
          <w:spacing w:val="-1"/>
          <w:sz w:val="24"/>
        </w:rPr>
        <w:t>评标的依据为采购文件和投标文件。</w:t>
      </w:r>
    </w:p>
    <w:p>
      <w:pPr>
        <w:pStyle w:val="22"/>
        <w:tabs>
          <w:tab w:val="left" w:pos="851"/>
        </w:tabs>
        <w:spacing w:before="100" w:line="319" w:lineRule="auto"/>
        <w:ind w:right="278" w:firstLine="0"/>
        <w:rPr>
          <w:sz w:val="24"/>
        </w:rPr>
      </w:pPr>
      <w:r>
        <w:rPr>
          <w:rFonts w:hint="eastAsia"/>
          <w:spacing w:val="-1"/>
          <w:sz w:val="24"/>
          <w:lang w:val="en-US"/>
        </w:rPr>
        <w:t xml:space="preserve">24.2 </w:t>
      </w:r>
      <w:r>
        <w:rPr>
          <w:spacing w:val="-1"/>
          <w:sz w:val="24"/>
        </w:rPr>
        <w:t xml:space="preserve">开标结束后，有关人员将对供应商进行资格审查，审查项目：提供“供应商须知附表” </w:t>
      </w:r>
      <w:r>
        <w:rPr>
          <w:spacing w:val="-30"/>
          <w:sz w:val="24"/>
        </w:rPr>
        <w:t xml:space="preserve">第 </w:t>
      </w:r>
      <w:r>
        <w:rPr>
          <w:rFonts w:ascii="Arial" w:hAnsi="Arial" w:eastAsia="Arial"/>
          <w:sz w:val="24"/>
        </w:rPr>
        <w:t>8</w:t>
      </w:r>
      <w:r>
        <w:rPr>
          <w:sz w:val="24"/>
        </w:rPr>
        <w:t>项内要求的资质文件。确认其是否已具备提交投标文件的资格。</w:t>
      </w:r>
    </w:p>
    <w:p>
      <w:pPr>
        <w:pStyle w:val="22"/>
        <w:tabs>
          <w:tab w:val="left" w:pos="851"/>
        </w:tabs>
        <w:spacing w:before="100" w:line="319" w:lineRule="auto"/>
        <w:ind w:right="278" w:firstLine="0"/>
        <w:rPr>
          <w:spacing w:val="-1"/>
          <w:sz w:val="24"/>
        </w:rPr>
      </w:pPr>
      <w:r>
        <w:rPr>
          <w:rFonts w:hint="eastAsia"/>
          <w:spacing w:val="-1"/>
          <w:sz w:val="24"/>
          <w:lang w:val="en-US"/>
        </w:rPr>
        <w:t xml:space="preserve">24.3 </w:t>
      </w:r>
      <w:r>
        <w:rPr>
          <w:spacing w:val="-1"/>
          <w:sz w:val="24"/>
        </w:rPr>
        <w:t>开标后评委会将组织审查投标文件是否完整，是否有计算错误，要求的保证金是否提供，文件是否恰当地签署。</w:t>
      </w:r>
    </w:p>
    <w:p>
      <w:pPr>
        <w:pStyle w:val="22"/>
        <w:tabs>
          <w:tab w:val="left" w:pos="851"/>
        </w:tabs>
        <w:spacing w:before="100" w:line="319" w:lineRule="auto"/>
        <w:ind w:right="278" w:firstLine="0"/>
        <w:rPr>
          <w:sz w:val="24"/>
        </w:rPr>
      </w:pPr>
      <w:r>
        <w:rPr>
          <w:rFonts w:hint="eastAsia"/>
          <w:spacing w:val="-1"/>
          <w:sz w:val="24"/>
          <w:lang w:val="en-US"/>
        </w:rPr>
        <w:t xml:space="preserve">24.4 </w:t>
      </w:r>
      <w:r>
        <w:rPr>
          <w:spacing w:val="-1"/>
          <w:sz w:val="24"/>
        </w:rPr>
        <w:t>在对投标文件进行详细评估之前，评委会将依据供应商提供的资格证明文件审查供应商的财务、技</w:t>
      </w:r>
      <w:r>
        <w:rPr>
          <w:sz w:val="24"/>
        </w:rPr>
        <w:t>术和生产能力。如果确定供应商无资格履行合同，其投标将被拒绝。</w:t>
      </w:r>
    </w:p>
    <w:p>
      <w:pPr>
        <w:pStyle w:val="22"/>
        <w:tabs>
          <w:tab w:val="left" w:pos="851"/>
        </w:tabs>
        <w:spacing w:before="1" w:line="319" w:lineRule="auto"/>
        <w:ind w:right="155" w:firstLine="0"/>
        <w:rPr>
          <w:sz w:val="24"/>
        </w:rPr>
      </w:pPr>
      <w:r>
        <w:rPr>
          <w:rFonts w:hint="eastAsia"/>
          <w:spacing w:val="-5"/>
          <w:sz w:val="24"/>
          <w:lang w:val="en-US"/>
        </w:rPr>
        <w:t xml:space="preserve">24.5 </w:t>
      </w:r>
      <w:r>
        <w:rPr>
          <w:spacing w:val="-5"/>
          <w:sz w:val="24"/>
        </w:rPr>
        <w:t>评标委员会确定每一投标是否对采购文件的要求作出了实质性的响应，而没有重大偏离。</w:t>
      </w:r>
      <w:r>
        <w:rPr>
          <w:sz w:val="24"/>
        </w:rPr>
        <w:t>重大偏离或保留系指影响到采购文件规定的供货范围、质量和性能，或限制了买方的权利和供应商的义务的规定，而纠正这些偏离将影响到其他提交实质性响应投标的供应商的公平竞争地位。其中，供应商的报价超出采购预算的，视为未实质性响应采购文件的要求，其投标文件可能被拒绝或导致废标。</w:t>
      </w:r>
    </w:p>
    <w:p>
      <w:pPr>
        <w:pStyle w:val="22"/>
        <w:numPr>
          <w:ilvl w:val="0"/>
          <w:numId w:val="8"/>
        </w:numPr>
        <w:tabs>
          <w:tab w:val="left" w:pos="771"/>
        </w:tabs>
        <w:spacing w:before="0"/>
        <w:ind w:hanging="510"/>
        <w:rPr>
          <w:sz w:val="24"/>
        </w:rPr>
      </w:pPr>
      <w:r>
        <w:rPr>
          <w:sz w:val="24"/>
        </w:rPr>
        <w:t>投标文件的澄清</w:t>
      </w:r>
    </w:p>
    <w:p>
      <w:pPr>
        <w:pStyle w:val="22"/>
        <w:tabs>
          <w:tab w:val="left" w:pos="851"/>
        </w:tabs>
        <w:spacing w:before="102" w:line="319" w:lineRule="auto"/>
        <w:ind w:right="279" w:firstLine="0"/>
        <w:jc w:val="both"/>
        <w:rPr>
          <w:sz w:val="24"/>
        </w:rPr>
      </w:pPr>
      <w:r>
        <w:rPr>
          <w:rFonts w:hint="eastAsia"/>
          <w:sz w:val="24"/>
          <w:lang w:val="en-US"/>
        </w:rPr>
        <w:t xml:space="preserve">25.1 </w:t>
      </w:r>
      <w:r>
        <w:rPr>
          <w:sz w:val="24"/>
        </w:rPr>
        <w:t xml:space="preserve">为有助于对投标文件进行审查、评估和比较，评标委员会将对认为需要（不是每一个） </w:t>
      </w:r>
      <w:r>
        <w:rPr>
          <w:spacing w:val="-1"/>
          <w:sz w:val="24"/>
        </w:rPr>
        <w:t>的供应商进行询标，请供应商澄清其投标内容，供应商有责任按照</w:t>
      </w:r>
      <w:r>
        <w:rPr>
          <w:rFonts w:hint="eastAsia"/>
          <w:spacing w:val="-1"/>
          <w:sz w:val="24"/>
          <w:lang w:eastAsia="zh-CN"/>
        </w:rPr>
        <w:t>采购</w:t>
      </w:r>
      <w:r>
        <w:rPr>
          <w:spacing w:val="-1"/>
          <w:sz w:val="24"/>
        </w:rPr>
        <w:t>代理机构通知的时间、地点指派专人进行答疑和澄清。询标时供应商代表应作书面记录。并对重要内容</w:t>
      </w:r>
      <w:r>
        <w:rPr>
          <w:sz w:val="24"/>
        </w:rPr>
        <w:t>作出书面答复。</w:t>
      </w:r>
    </w:p>
    <w:p>
      <w:pPr>
        <w:pStyle w:val="22"/>
        <w:tabs>
          <w:tab w:val="left" w:pos="851"/>
        </w:tabs>
        <w:spacing w:before="102" w:line="319" w:lineRule="auto"/>
        <w:ind w:right="279" w:firstLine="0"/>
        <w:jc w:val="both"/>
        <w:rPr>
          <w:spacing w:val="-1"/>
          <w:sz w:val="24"/>
        </w:rPr>
      </w:pPr>
      <w:r>
        <w:rPr>
          <w:rFonts w:hint="eastAsia"/>
          <w:spacing w:val="-1"/>
          <w:sz w:val="24"/>
          <w:lang w:val="en-US"/>
        </w:rPr>
        <w:t xml:space="preserve">25.2 </w:t>
      </w:r>
      <w:r>
        <w:rPr>
          <w:spacing w:val="-1"/>
          <w:sz w:val="24"/>
        </w:rPr>
        <w:t>要澄清的答复应是书面的，但不得对投标内容进行实质性修改。澄清文件须由供应商法人代表或法人授权代表签字和/或加盖公章并作为投标文件的组成部分。</w:t>
      </w:r>
    </w:p>
    <w:p>
      <w:pPr>
        <w:pStyle w:val="22"/>
        <w:tabs>
          <w:tab w:val="left" w:pos="851"/>
        </w:tabs>
        <w:spacing w:before="102" w:line="319" w:lineRule="auto"/>
        <w:ind w:right="279" w:firstLine="0"/>
        <w:jc w:val="both"/>
        <w:rPr>
          <w:spacing w:val="-1"/>
          <w:sz w:val="24"/>
        </w:rPr>
      </w:pPr>
      <w:r>
        <w:rPr>
          <w:rFonts w:hint="eastAsia"/>
          <w:spacing w:val="-1"/>
          <w:sz w:val="24"/>
          <w:lang w:val="en-US"/>
        </w:rPr>
        <w:t>25.3</w:t>
      </w:r>
      <w:r>
        <w:rPr>
          <w:spacing w:val="-1"/>
          <w:sz w:val="24"/>
        </w:rPr>
        <w:t>对投标文件的评估和比较</w:t>
      </w:r>
    </w:p>
    <w:p>
      <w:pPr>
        <w:pStyle w:val="22"/>
        <w:tabs>
          <w:tab w:val="left" w:pos="851"/>
        </w:tabs>
        <w:spacing w:before="102" w:line="319" w:lineRule="auto"/>
        <w:ind w:right="279" w:firstLine="0"/>
        <w:jc w:val="both"/>
        <w:rPr>
          <w:spacing w:val="-1"/>
          <w:sz w:val="24"/>
        </w:rPr>
      </w:pPr>
      <w:r>
        <w:rPr>
          <w:spacing w:val="-1"/>
          <w:sz w:val="24"/>
        </w:rPr>
        <w:t>对投标文件的评估和比较分为两步进行，评标委员会按照采购文件要求对投标文件中的供应商重要技术指标以及技术和商务上要求的其它重要内容进行符合性审核，审核合格后即视为实质性响应的投标文件，进行第二个步骤：对实质性响应的投标文件进行评估和比较采用综合评分法进行打分评比，打分方法：总分为 100 分，其中价格因素占 30 分，</w:t>
      </w:r>
    </w:p>
    <w:p>
      <w:pPr>
        <w:pStyle w:val="2"/>
        <w:spacing w:line="319" w:lineRule="auto"/>
        <w:ind w:left="740" w:right="204"/>
      </w:pPr>
      <w:r>
        <w:t xml:space="preserve">技术因素、商务因素占 </w:t>
      </w:r>
      <w:r>
        <w:rPr>
          <w:rFonts w:ascii="Arial" w:eastAsia="Arial"/>
        </w:rPr>
        <w:t xml:space="preserve">70 </w:t>
      </w:r>
      <w:r>
        <w:t>分。将每位供应商的价格得分、技术得分、商务得分相加即为该供应商的总得分。</w:t>
      </w:r>
    </w:p>
    <w:p>
      <w:pPr>
        <w:pStyle w:val="22"/>
        <w:tabs>
          <w:tab w:val="left" w:pos="791"/>
        </w:tabs>
        <w:spacing w:before="0" w:after="52"/>
        <w:ind w:firstLine="0"/>
        <w:rPr>
          <w:sz w:val="24"/>
        </w:rPr>
      </w:pPr>
      <w:r>
        <w:rPr>
          <w:rFonts w:hint="eastAsia"/>
          <w:spacing w:val="-5"/>
          <w:sz w:val="24"/>
          <w:lang w:val="en-US"/>
        </w:rPr>
        <w:t xml:space="preserve">26.1 </w:t>
      </w:r>
      <w:r>
        <w:rPr>
          <w:spacing w:val="-5"/>
          <w:sz w:val="24"/>
        </w:rPr>
        <w:t>符合性审查标准如下：</w:t>
      </w:r>
    </w:p>
    <w:tbl>
      <w:tblPr>
        <w:tblStyle w:val="20"/>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9"/>
        <w:gridCol w:w="8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atLeast"/>
        </w:trPr>
        <w:tc>
          <w:tcPr>
            <w:tcW w:w="1509" w:type="dxa"/>
          </w:tcPr>
          <w:p>
            <w:pPr>
              <w:pStyle w:val="23"/>
              <w:spacing w:before="153"/>
              <w:ind w:left="526" w:right="399"/>
              <w:jc w:val="center"/>
              <w:rPr>
                <w:sz w:val="24"/>
              </w:rPr>
            </w:pPr>
            <w:r>
              <w:rPr>
                <w:sz w:val="24"/>
              </w:rPr>
              <w:t xml:space="preserve">序号 </w:t>
            </w:r>
          </w:p>
        </w:tc>
        <w:tc>
          <w:tcPr>
            <w:tcW w:w="8456" w:type="dxa"/>
          </w:tcPr>
          <w:p>
            <w:pPr>
              <w:pStyle w:val="23"/>
              <w:spacing w:before="153"/>
              <w:ind w:right="3685"/>
              <w:jc w:val="center"/>
              <w:rPr>
                <w:sz w:val="24"/>
              </w:rPr>
            </w:pPr>
            <w:r>
              <w:rPr>
                <w:sz w:val="24"/>
              </w:rPr>
              <w:t>评审内</w:t>
            </w:r>
            <w:r>
              <w:rPr>
                <w:rFonts w:hint="eastAsia"/>
                <w:sz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trPr>
        <w:tc>
          <w:tcPr>
            <w:tcW w:w="1509" w:type="dxa"/>
          </w:tcPr>
          <w:p>
            <w:pPr>
              <w:pStyle w:val="23"/>
              <w:spacing w:before="153"/>
              <w:ind w:left="526" w:right="399"/>
              <w:jc w:val="center"/>
              <w:rPr>
                <w:sz w:val="24"/>
              </w:rPr>
            </w:pPr>
            <w:r>
              <w:rPr>
                <w:sz w:val="24"/>
              </w:rPr>
              <w:t xml:space="preserve">1 </w:t>
            </w:r>
          </w:p>
        </w:tc>
        <w:tc>
          <w:tcPr>
            <w:tcW w:w="8456" w:type="dxa"/>
          </w:tcPr>
          <w:p>
            <w:pPr>
              <w:pStyle w:val="23"/>
              <w:spacing w:before="153"/>
              <w:ind w:left="107"/>
              <w:rPr>
                <w:sz w:val="24"/>
              </w:rPr>
            </w:pPr>
            <w:r>
              <w:rPr>
                <w:sz w:val="24"/>
              </w:rPr>
              <w:t xml:space="preserve">投标文件是否有供应商法定代表人或其授权代表人签章和加盖供应商公章；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1509" w:type="dxa"/>
          </w:tcPr>
          <w:p>
            <w:pPr>
              <w:pStyle w:val="23"/>
              <w:spacing w:before="153"/>
              <w:ind w:left="526" w:right="399"/>
              <w:jc w:val="center"/>
              <w:rPr>
                <w:sz w:val="24"/>
              </w:rPr>
            </w:pPr>
            <w:r>
              <w:rPr>
                <w:sz w:val="24"/>
              </w:rPr>
              <w:t xml:space="preserve">2 </w:t>
            </w:r>
          </w:p>
        </w:tc>
        <w:tc>
          <w:tcPr>
            <w:tcW w:w="8456" w:type="dxa"/>
          </w:tcPr>
          <w:p>
            <w:pPr>
              <w:pStyle w:val="23"/>
              <w:spacing w:before="153"/>
              <w:ind w:left="107"/>
              <w:rPr>
                <w:sz w:val="24"/>
              </w:rPr>
            </w:pPr>
            <w:r>
              <w:rPr>
                <w:sz w:val="24"/>
              </w:rPr>
              <w:t>投标保证金是否按</w:t>
            </w:r>
            <w:r>
              <w:rPr>
                <w:rFonts w:hint="eastAsia"/>
                <w:sz w:val="24"/>
                <w:lang w:eastAsia="zh-CN"/>
              </w:rPr>
              <w:t>采购</w:t>
            </w:r>
            <w:r>
              <w:rPr>
                <w:sz w:val="24"/>
              </w:rPr>
              <w:t xml:space="preserve">文件要求缴纳；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trPr>
        <w:tc>
          <w:tcPr>
            <w:tcW w:w="1509" w:type="dxa"/>
          </w:tcPr>
          <w:p>
            <w:pPr>
              <w:pStyle w:val="23"/>
              <w:spacing w:before="153"/>
              <w:ind w:left="526" w:right="399"/>
              <w:jc w:val="center"/>
              <w:rPr>
                <w:sz w:val="24"/>
              </w:rPr>
            </w:pPr>
            <w:r>
              <w:rPr>
                <w:sz w:val="24"/>
              </w:rPr>
              <w:t xml:space="preserve">3 </w:t>
            </w:r>
          </w:p>
        </w:tc>
        <w:tc>
          <w:tcPr>
            <w:tcW w:w="8456" w:type="dxa"/>
          </w:tcPr>
          <w:p>
            <w:pPr>
              <w:pStyle w:val="23"/>
              <w:spacing w:before="153"/>
              <w:ind w:left="107"/>
              <w:rPr>
                <w:sz w:val="24"/>
              </w:rPr>
            </w:pPr>
            <w:r>
              <w:rPr>
                <w:sz w:val="24"/>
              </w:rPr>
              <w:t>投标文件是否按</w:t>
            </w:r>
            <w:r>
              <w:rPr>
                <w:rFonts w:hint="eastAsia"/>
                <w:sz w:val="24"/>
                <w:lang w:eastAsia="zh-CN"/>
              </w:rPr>
              <w:t>采购</w:t>
            </w:r>
            <w:r>
              <w:rPr>
                <w:sz w:val="24"/>
              </w:rPr>
              <w:t xml:space="preserve">文件内容不存在不全或字迹模糊、辨认不清的；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1509" w:type="dxa"/>
          </w:tcPr>
          <w:p>
            <w:pPr>
              <w:pStyle w:val="23"/>
              <w:spacing w:before="153"/>
              <w:ind w:left="526" w:right="399"/>
              <w:jc w:val="center"/>
              <w:rPr>
                <w:sz w:val="24"/>
              </w:rPr>
            </w:pPr>
            <w:r>
              <w:rPr>
                <w:sz w:val="24"/>
              </w:rPr>
              <w:t xml:space="preserve">4 </w:t>
            </w:r>
          </w:p>
        </w:tc>
        <w:tc>
          <w:tcPr>
            <w:tcW w:w="8456" w:type="dxa"/>
          </w:tcPr>
          <w:p>
            <w:pPr>
              <w:pStyle w:val="23"/>
              <w:spacing w:before="153"/>
              <w:ind w:left="107"/>
              <w:rPr>
                <w:sz w:val="24"/>
              </w:rPr>
            </w:pPr>
            <w:r>
              <w:rPr>
                <w:sz w:val="24"/>
              </w:rPr>
              <w:t xml:space="preserve">投标报价未超出本次项目预算。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1509" w:type="dxa"/>
          </w:tcPr>
          <w:p>
            <w:pPr>
              <w:pStyle w:val="23"/>
              <w:spacing w:before="153"/>
              <w:ind w:left="526" w:right="399"/>
              <w:jc w:val="center"/>
              <w:rPr>
                <w:sz w:val="24"/>
              </w:rPr>
            </w:pPr>
            <w:r>
              <w:rPr>
                <w:sz w:val="24"/>
              </w:rPr>
              <w:t xml:space="preserve">5 </w:t>
            </w:r>
          </w:p>
        </w:tc>
        <w:tc>
          <w:tcPr>
            <w:tcW w:w="8456" w:type="dxa"/>
          </w:tcPr>
          <w:p>
            <w:pPr>
              <w:pStyle w:val="23"/>
              <w:spacing w:before="153"/>
              <w:ind w:left="107"/>
              <w:rPr>
                <w:sz w:val="24"/>
              </w:rPr>
            </w:pPr>
            <w:r>
              <w:rPr>
                <w:sz w:val="24"/>
              </w:rPr>
              <w:t xml:space="preserve"> 投标文件封面右上角必须注明“正本”或“副本”字样。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1509" w:type="dxa"/>
          </w:tcPr>
          <w:p>
            <w:pPr>
              <w:pStyle w:val="23"/>
              <w:spacing w:before="153"/>
              <w:ind w:left="526" w:right="399"/>
              <w:jc w:val="center"/>
              <w:rPr>
                <w:sz w:val="24"/>
              </w:rPr>
            </w:pPr>
            <w:r>
              <w:rPr>
                <w:sz w:val="24"/>
              </w:rPr>
              <w:t xml:space="preserve">6 </w:t>
            </w:r>
          </w:p>
        </w:tc>
        <w:tc>
          <w:tcPr>
            <w:tcW w:w="8456" w:type="dxa"/>
          </w:tcPr>
          <w:p>
            <w:pPr>
              <w:pStyle w:val="23"/>
              <w:spacing w:before="153"/>
              <w:ind w:left="107"/>
              <w:rPr>
                <w:sz w:val="24"/>
              </w:rPr>
            </w:pPr>
            <w:r>
              <w:rPr>
                <w:sz w:val="24"/>
              </w:rPr>
              <w:t xml:space="preserve"> 投标文件中无采购人不能接受的条件。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0" w:hRule="atLeast"/>
        </w:trPr>
        <w:tc>
          <w:tcPr>
            <w:tcW w:w="9965" w:type="dxa"/>
            <w:gridSpan w:val="2"/>
          </w:tcPr>
          <w:p>
            <w:pPr>
              <w:pStyle w:val="23"/>
              <w:spacing w:before="153"/>
              <w:ind w:left="107"/>
              <w:rPr>
                <w:sz w:val="24"/>
                <w:highlight w:val="yellow"/>
              </w:rPr>
            </w:pPr>
            <w:r>
              <w:rPr>
                <w:sz w:val="24"/>
              </w:rPr>
              <w:t xml:space="preserve">注：投标文件有不符合上述情形之一的，作废标处理。出现重大偏差的标记“×”，没有出现重大偏差的标记“√” 。 </w:t>
            </w:r>
          </w:p>
        </w:tc>
      </w:tr>
    </w:tbl>
    <w:p>
      <w:pPr>
        <w:pStyle w:val="2"/>
        <w:spacing w:before="8"/>
        <w:ind w:left="0"/>
        <w:rPr>
          <w:sz w:val="29"/>
          <w:highlight w:val="yellow"/>
        </w:rPr>
      </w:pPr>
    </w:p>
    <w:p>
      <w:pPr>
        <w:pStyle w:val="22"/>
        <w:tabs>
          <w:tab w:val="left" w:pos="771"/>
        </w:tabs>
        <w:spacing w:before="49"/>
        <w:ind w:left="0" w:firstLine="0"/>
        <w:rPr>
          <w:spacing w:val="-1"/>
          <w:sz w:val="24"/>
        </w:rPr>
      </w:pPr>
      <w:r>
        <w:rPr>
          <w:rFonts w:hint="eastAsia"/>
          <w:spacing w:val="-1"/>
          <w:sz w:val="24"/>
          <w:lang w:val="en-US"/>
        </w:rPr>
        <w:t xml:space="preserve">26.2 </w:t>
      </w:r>
      <w:r>
        <w:rPr>
          <w:spacing w:val="-1"/>
          <w:sz w:val="24"/>
        </w:rPr>
        <w:t>详细评分标准如下：</w:t>
      </w:r>
    </w:p>
    <w:p>
      <w:pPr>
        <w:pStyle w:val="2"/>
        <w:spacing w:line="319" w:lineRule="auto"/>
        <w:ind w:right="199"/>
        <w:rPr>
          <w:rFonts w:hint="eastAsia"/>
          <w:szCs w:val="22"/>
        </w:rPr>
      </w:pPr>
      <w:r>
        <w:rPr>
          <w:rFonts w:hint="eastAsia"/>
          <w:b/>
          <w:bCs/>
          <w:spacing w:val="-1"/>
          <w:sz w:val="24"/>
          <w:lang w:eastAsia="zh-CN"/>
        </w:rPr>
        <w:t>一、</w:t>
      </w:r>
      <w:r>
        <w:rPr>
          <w:rFonts w:hint="eastAsia"/>
          <w:b/>
          <w:bCs/>
          <w:szCs w:val="22"/>
        </w:rPr>
        <w:t>价格得分的评分方法：</w:t>
      </w:r>
      <w:r>
        <w:rPr>
          <w:rFonts w:hint="eastAsia"/>
          <w:szCs w:val="22"/>
        </w:rPr>
        <w:t>采用低价优先法计算，即满足采购文件要求且投标价格最低的投标报价为评标基准价，其价格得分为满分。其他供应商的价格得分统一按照下列公式计算：价格得分=（评标基准价/投标报价）×</w:t>
      </w:r>
      <w:r>
        <w:rPr>
          <w:rFonts w:hint="eastAsia"/>
          <w:szCs w:val="22"/>
          <w:lang w:val="en-US" w:eastAsia="zh-CN"/>
        </w:rPr>
        <w:t>3</w:t>
      </w:r>
      <w:r>
        <w:rPr>
          <w:rFonts w:hint="eastAsia"/>
          <w:szCs w:val="22"/>
        </w:rPr>
        <w:t>0%×100，如此类推，算出所有投标供应商的价格得分。</w:t>
      </w:r>
    </w:p>
    <w:p>
      <w:pPr>
        <w:pStyle w:val="22"/>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注：（1）如供应商为残疾人福利性单位或中小企业（含监狱企业），需提供《中小企业声明函》，对残疾人福利性单位及小型和微型企业产品的价格给予 6%的扣除，用扣除后的价格参与评审。残疾人福利性单位属于中型小型、微型企业的，不重复享受政策。</w:t>
      </w:r>
    </w:p>
    <w:p>
      <w:pPr>
        <w:pStyle w:val="22"/>
        <w:numPr>
          <w:ilvl w:val="0"/>
          <w:numId w:val="12"/>
        </w:numPr>
        <w:tabs>
          <w:tab w:val="left" w:pos="851"/>
        </w:tabs>
        <w:spacing w:before="102" w:line="319" w:lineRule="auto"/>
        <w:ind w:right="279" w:firstLine="0"/>
        <w:jc w:val="both"/>
        <w:rPr>
          <w:rFonts w:hint="eastAsia"/>
          <w:b w:val="0"/>
          <w:bCs w:val="0"/>
          <w:spacing w:val="-1"/>
          <w:sz w:val="24"/>
          <w:lang w:val="zh-CN" w:eastAsia="zh-CN"/>
        </w:rPr>
      </w:pPr>
      <w:r>
        <w:rPr>
          <w:rFonts w:hint="eastAsia"/>
          <w:b w:val="0"/>
          <w:bCs w:val="0"/>
          <w:spacing w:val="-1"/>
          <w:sz w:val="24"/>
          <w:lang w:val="zh-CN" w:eastAsia="zh-CN"/>
        </w:rPr>
        <w:t>加分项：供应商所投产品如涉及环保节能产品将在 2分之内（包括 2分）给予加分。</w:t>
      </w:r>
    </w:p>
    <w:p>
      <w:pPr>
        <w:pStyle w:val="2"/>
        <w:spacing w:line="319" w:lineRule="auto"/>
        <w:ind w:right="199"/>
        <w:jc w:val="left"/>
        <w:rPr>
          <w:b w:val="0"/>
          <w:bCs w:val="0"/>
          <w:szCs w:val="22"/>
        </w:rPr>
      </w:pPr>
      <w:r>
        <w:rPr>
          <w:rFonts w:hint="eastAsia"/>
          <w:b w:val="0"/>
          <w:bCs w:val="0"/>
          <w:szCs w:val="22"/>
        </w:rPr>
        <w:t>如供应商不是中小微企业，无需附声明函。</w:t>
      </w:r>
    </w:p>
    <w:p>
      <w:pPr>
        <w:numPr>
          <w:ilvl w:val="0"/>
          <w:numId w:val="13"/>
        </w:numPr>
        <w:spacing w:before="45" w:line="292" w:lineRule="auto"/>
        <w:ind w:right="156" w:firstLine="723" w:firstLineChars="300"/>
        <w:jc w:val="both"/>
      </w:pPr>
      <w:bookmarkStart w:id="14" w:name="_GoBack"/>
      <w:bookmarkEnd w:id="14"/>
      <w:r>
        <w:rPr>
          <w:b/>
          <w:sz w:val="24"/>
        </w:rPr>
        <w:t>技术部分（</w:t>
      </w:r>
      <w:r>
        <w:rPr>
          <w:rFonts w:hint="eastAsia"/>
          <w:b/>
          <w:sz w:val="24"/>
          <w:lang w:val="en-US"/>
        </w:rPr>
        <w:t>7</w:t>
      </w:r>
      <w:r>
        <w:rPr>
          <w:rFonts w:ascii="Arial" w:eastAsia="Arial"/>
          <w:b/>
          <w:sz w:val="24"/>
        </w:rPr>
        <w:t>0</w:t>
      </w:r>
      <w:r>
        <w:rPr>
          <w:b/>
          <w:sz w:val="24"/>
        </w:rPr>
        <w:t>分）</w:t>
      </w:r>
    </w:p>
    <w:p>
      <w:pPr>
        <w:pStyle w:val="22"/>
        <w:tabs>
          <w:tab w:val="left" w:pos="771"/>
        </w:tabs>
        <w:spacing w:before="49"/>
        <w:ind w:left="0" w:firstLine="0"/>
        <w:rPr>
          <w:sz w:val="24"/>
          <w:highlight w:val="yellow"/>
        </w:rPr>
      </w:pPr>
    </w:p>
    <w:tbl>
      <w:tblPr>
        <w:tblStyle w:val="20"/>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406"/>
        <w:gridCol w:w="6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6" w:hRule="atLeast"/>
        </w:trPr>
        <w:tc>
          <w:tcPr>
            <w:tcW w:w="1576" w:type="dxa"/>
            <w:vMerge w:val="restart"/>
            <w:vAlign w:val="center"/>
          </w:tcPr>
          <w:p>
            <w:pPr>
              <w:jc w:val="center"/>
              <w:rPr>
                <w:sz w:val="24"/>
              </w:rPr>
            </w:pPr>
            <w:r>
              <w:rPr>
                <w:rFonts w:hint="eastAsia"/>
                <w:sz w:val="24"/>
              </w:rPr>
              <w:t>二、技术因素</w:t>
            </w:r>
          </w:p>
          <w:p>
            <w:pPr>
              <w:jc w:val="center"/>
              <w:rPr>
                <w:sz w:val="24"/>
              </w:rPr>
            </w:pPr>
            <w:r>
              <w:rPr>
                <w:rFonts w:hint="eastAsia"/>
                <w:sz w:val="24"/>
              </w:rPr>
              <w:t>（50分）</w:t>
            </w:r>
          </w:p>
        </w:tc>
        <w:tc>
          <w:tcPr>
            <w:tcW w:w="2406" w:type="dxa"/>
            <w:vAlign w:val="center"/>
          </w:tcPr>
          <w:p>
            <w:pPr>
              <w:rPr>
                <w:sz w:val="24"/>
              </w:rPr>
            </w:pPr>
            <w:r>
              <w:rPr>
                <w:rFonts w:hint="eastAsia"/>
                <w:sz w:val="24"/>
              </w:rPr>
              <w:t>技术符合程度(30分)</w:t>
            </w:r>
          </w:p>
        </w:tc>
        <w:tc>
          <w:tcPr>
            <w:tcW w:w="6138" w:type="dxa"/>
            <w:vAlign w:val="center"/>
          </w:tcPr>
          <w:p>
            <w:pPr>
              <w:rPr>
                <w:sz w:val="24"/>
              </w:rPr>
            </w:pPr>
            <w:r>
              <w:rPr>
                <w:rFonts w:hint="eastAsia"/>
                <w:sz w:val="24"/>
              </w:rPr>
              <w:t>所投产品性能指标、商务要求完全满足、无负偏离并优于</w:t>
            </w:r>
            <w:r>
              <w:rPr>
                <w:rFonts w:hint="eastAsia"/>
                <w:sz w:val="24"/>
                <w:lang w:eastAsia="zh-CN"/>
              </w:rPr>
              <w:t>采购</w:t>
            </w:r>
            <w:r>
              <w:rPr>
                <w:rFonts w:hint="eastAsia"/>
                <w:sz w:val="24"/>
              </w:rPr>
              <w:t>文件指标得26-30分；所投产品性能指标完全满足</w:t>
            </w:r>
            <w:r>
              <w:rPr>
                <w:rFonts w:hint="eastAsia"/>
                <w:sz w:val="24"/>
                <w:lang w:eastAsia="zh-CN"/>
              </w:rPr>
              <w:t>采购</w:t>
            </w:r>
            <w:r>
              <w:rPr>
                <w:rFonts w:hint="eastAsia"/>
                <w:sz w:val="24"/>
              </w:rPr>
              <w:t>文件指标，无负偏离得25分；所投产品性能指标低于要求出现负偏离的一项指标扣</w:t>
            </w:r>
            <w:r>
              <w:rPr>
                <w:rFonts w:hint="eastAsia"/>
                <w:sz w:val="24"/>
                <w:lang w:val="en-US"/>
              </w:rPr>
              <w:t>2.5</w:t>
            </w:r>
            <w:r>
              <w:rPr>
                <w:rFonts w:hint="eastAsia"/>
                <w:sz w:val="24"/>
              </w:rPr>
              <w:t xml:space="preserve">分，产品技术参数带“*”的出现负偏离一项扣5分（基准分25分，最低得分0分）。   </w:t>
            </w:r>
          </w:p>
          <w:p>
            <w:pPr>
              <w:rPr>
                <w:sz w:val="24"/>
              </w:rPr>
            </w:pPr>
            <w:r>
              <w:rPr>
                <w:rFonts w:hint="eastAsia"/>
                <w:sz w:val="24"/>
              </w:rPr>
              <w:t>（说明：以投标人提供响应</w:t>
            </w:r>
            <w:r>
              <w:rPr>
                <w:rFonts w:hint="eastAsia"/>
                <w:sz w:val="24"/>
                <w:lang w:eastAsia="zh-CN"/>
              </w:rPr>
              <w:t>采购</w:t>
            </w:r>
            <w:r>
              <w:rPr>
                <w:rFonts w:hint="eastAsia"/>
                <w:sz w:val="24"/>
              </w:rPr>
              <w:t>文件的国家法定检测机构出具的关于本次</w:t>
            </w:r>
            <w:r>
              <w:rPr>
                <w:rFonts w:hint="eastAsia"/>
                <w:sz w:val="24"/>
                <w:lang w:eastAsia="zh-CN"/>
              </w:rPr>
              <w:t>采购</w:t>
            </w:r>
            <w:r>
              <w:rPr>
                <w:rFonts w:hint="eastAsia"/>
                <w:sz w:val="24"/>
              </w:rPr>
              <w:t>主要产品的检测报告中的检测结果数据及产品官方宣传彩页、产品说明书及相关体系证书、商务要求是否响应符合；根据以上提供相关证明材料为依据进行评分）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576" w:type="dxa"/>
            <w:vMerge w:val="continue"/>
            <w:vAlign w:val="center"/>
          </w:tcPr>
          <w:p>
            <w:pPr>
              <w:jc w:val="center"/>
              <w:rPr>
                <w:sz w:val="24"/>
              </w:rPr>
            </w:pPr>
          </w:p>
        </w:tc>
        <w:tc>
          <w:tcPr>
            <w:tcW w:w="2406" w:type="dxa"/>
            <w:vAlign w:val="center"/>
          </w:tcPr>
          <w:p>
            <w:pPr>
              <w:rPr>
                <w:sz w:val="24"/>
              </w:rPr>
            </w:pPr>
            <w:r>
              <w:rPr>
                <w:rFonts w:hint="eastAsia"/>
                <w:sz w:val="24"/>
              </w:rPr>
              <w:t>技术先进性(6分)</w:t>
            </w:r>
          </w:p>
        </w:tc>
        <w:tc>
          <w:tcPr>
            <w:tcW w:w="6138" w:type="dxa"/>
            <w:vAlign w:val="center"/>
          </w:tcPr>
          <w:p>
            <w:pPr>
              <w:widowControl/>
              <w:rPr>
                <w:sz w:val="24"/>
              </w:rPr>
            </w:pPr>
            <w:r>
              <w:rPr>
                <w:rFonts w:hint="eastAsia"/>
                <w:sz w:val="24"/>
                <w:lang w:val="en-US"/>
              </w:rPr>
              <w:t>产品性能综合评价优秀的5-6分，综合评价良 3-4 分，综合评价一般 0-2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1576" w:type="dxa"/>
            <w:vMerge w:val="continue"/>
            <w:vAlign w:val="center"/>
          </w:tcPr>
          <w:p>
            <w:pPr>
              <w:jc w:val="center"/>
              <w:rPr>
                <w:sz w:val="24"/>
                <w:highlight w:val="yellow"/>
              </w:rPr>
            </w:pPr>
          </w:p>
        </w:tc>
        <w:tc>
          <w:tcPr>
            <w:tcW w:w="8544" w:type="dxa"/>
            <w:gridSpan w:val="2"/>
            <w:vAlign w:val="center"/>
          </w:tcPr>
          <w:p>
            <w:pPr>
              <w:rPr>
                <w:sz w:val="24"/>
              </w:rPr>
            </w:pPr>
            <w:r>
              <w:rPr>
                <w:rFonts w:hint="eastAsia"/>
                <w:sz w:val="24"/>
              </w:rPr>
              <w:t>配置情况(</w:t>
            </w:r>
            <w:r>
              <w:rPr>
                <w:rFonts w:hint="eastAsia"/>
                <w:sz w:val="24"/>
                <w:lang w:val="en-US"/>
              </w:rPr>
              <w:t>7</w:t>
            </w:r>
            <w:r>
              <w:rPr>
                <w:rFonts w:hint="eastAsia"/>
                <w:sz w:val="24"/>
              </w:rPr>
              <w:t>分)：以利于</w:t>
            </w:r>
            <w:r>
              <w:rPr>
                <w:rFonts w:hint="eastAsia"/>
                <w:sz w:val="24"/>
                <w:lang w:eastAsia="zh-CN"/>
              </w:rPr>
              <w:t>学校</w:t>
            </w:r>
            <w:r>
              <w:rPr>
                <w:rFonts w:hint="eastAsia"/>
                <w:sz w:val="24"/>
              </w:rPr>
              <w:t>工作需要为前提，根据设备配置符合程度综合评判，高：不超过</w:t>
            </w:r>
            <w:r>
              <w:rPr>
                <w:rFonts w:hint="eastAsia"/>
                <w:sz w:val="24"/>
                <w:lang w:val="en-US"/>
              </w:rPr>
              <w:t>7</w:t>
            </w:r>
            <w:r>
              <w:rPr>
                <w:rFonts w:hint="eastAsia"/>
                <w:sz w:val="24"/>
              </w:rPr>
              <w:t>分，中：3分，低：不得分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576" w:type="dxa"/>
            <w:vMerge w:val="continue"/>
            <w:vAlign w:val="center"/>
          </w:tcPr>
          <w:p>
            <w:pPr>
              <w:jc w:val="center"/>
              <w:rPr>
                <w:sz w:val="24"/>
                <w:highlight w:val="yellow"/>
              </w:rPr>
            </w:pPr>
          </w:p>
        </w:tc>
        <w:tc>
          <w:tcPr>
            <w:tcW w:w="8544" w:type="dxa"/>
            <w:gridSpan w:val="2"/>
            <w:vAlign w:val="center"/>
          </w:tcPr>
          <w:p>
            <w:pPr>
              <w:rPr>
                <w:sz w:val="24"/>
              </w:rPr>
            </w:pPr>
            <w:r>
              <w:rPr>
                <w:rFonts w:hint="eastAsia"/>
                <w:sz w:val="24"/>
              </w:rPr>
              <w:t>投标设备的可操作性(5分)，根据设备的操作是否方便评分，优得5分，良得2分，差不得分。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576" w:type="dxa"/>
            <w:vMerge w:val="continue"/>
            <w:vAlign w:val="center"/>
          </w:tcPr>
          <w:p>
            <w:pPr>
              <w:jc w:val="center"/>
              <w:rPr>
                <w:sz w:val="24"/>
                <w:highlight w:val="yellow"/>
              </w:rPr>
            </w:pPr>
          </w:p>
        </w:tc>
        <w:tc>
          <w:tcPr>
            <w:tcW w:w="8544" w:type="dxa"/>
            <w:gridSpan w:val="2"/>
            <w:vAlign w:val="center"/>
          </w:tcPr>
          <w:p>
            <w:pPr>
              <w:rPr>
                <w:sz w:val="24"/>
                <w:highlight w:val="yellow"/>
              </w:rPr>
            </w:pPr>
            <w:r>
              <w:rPr>
                <w:rFonts w:hint="eastAsia"/>
                <w:sz w:val="24"/>
              </w:rPr>
              <w:t>投标设备的运行成本(2分):低2分，中:1分，高:不得分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576" w:type="dxa"/>
            <w:vMerge w:val="restart"/>
            <w:vAlign w:val="center"/>
          </w:tcPr>
          <w:p>
            <w:pPr>
              <w:jc w:val="center"/>
              <w:rPr>
                <w:sz w:val="24"/>
              </w:rPr>
            </w:pPr>
            <w:r>
              <w:rPr>
                <w:rFonts w:hint="eastAsia"/>
                <w:sz w:val="24"/>
              </w:rPr>
              <w:t>三、商务因素</w:t>
            </w:r>
          </w:p>
          <w:p>
            <w:pPr>
              <w:jc w:val="center"/>
              <w:rPr>
                <w:sz w:val="24"/>
                <w:highlight w:val="yellow"/>
              </w:rPr>
            </w:pPr>
            <w:r>
              <w:rPr>
                <w:rFonts w:hint="eastAsia"/>
                <w:sz w:val="24"/>
              </w:rPr>
              <w:t>（20分）</w:t>
            </w:r>
          </w:p>
        </w:tc>
        <w:tc>
          <w:tcPr>
            <w:tcW w:w="8544" w:type="dxa"/>
            <w:gridSpan w:val="2"/>
            <w:vAlign w:val="center"/>
          </w:tcPr>
          <w:p>
            <w:pPr>
              <w:rPr>
                <w:sz w:val="24"/>
              </w:rPr>
            </w:pPr>
            <w:r>
              <w:rPr>
                <w:rFonts w:hint="eastAsia"/>
                <w:sz w:val="24"/>
              </w:rPr>
              <w:t>商务响应(</w:t>
            </w:r>
            <w:r>
              <w:rPr>
                <w:rFonts w:hint="eastAsia"/>
                <w:sz w:val="24"/>
                <w:lang w:val="en-US"/>
              </w:rPr>
              <w:t>2</w:t>
            </w:r>
            <w:r>
              <w:rPr>
                <w:rFonts w:hint="eastAsia"/>
                <w:sz w:val="24"/>
              </w:rPr>
              <w:t>分)：每低于一项减</w:t>
            </w:r>
            <w:r>
              <w:rPr>
                <w:rFonts w:hint="eastAsia"/>
                <w:sz w:val="24"/>
                <w:lang w:val="en-US"/>
              </w:rPr>
              <w:t>1</w:t>
            </w:r>
            <w:r>
              <w:rPr>
                <w:rFonts w:hint="eastAsia"/>
                <w:sz w:val="24"/>
              </w:rPr>
              <w:t>分，最高分为</w:t>
            </w:r>
            <w:r>
              <w:rPr>
                <w:rFonts w:hint="eastAsia"/>
                <w:sz w:val="24"/>
                <w:lang w:val="en-US"/>
              </w:rPr>
              <w:t>2</w:t>
            </w:r>
            <w:r>
              <w:rPr>
                <w:rFonts w:hint="eastAsia"/>
                <w:sz w:val="24"/>
              </w:rPr>
              <w:t>分，最低为0分。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576" w:type="dxa"/>
            <w:vMerge w:val="continue"/>
          </w:tcPr>
          <w:p>
            <w:pPr>
              <w:jc w:val="center"/>
              <w:rPr>
                <w:sz w:val="24"/>
                <w:highlight w:val="yellow"/>
              </w:rPr>
            </w:pPr>
          </w:p>
        </w:tc>
        <w:tc>
          <w:tcPr>
            <w:tcW w:w="2406" w:type="dxa"/>
            <w:vAlign w:val="center"/>
          </w:tcPr>
          <w:p>
            <w:pPr>
              <w:rPr>
                <w:sz w:val="24"/>
              </w:rPr>
            </w:pPr>
            <w:r>
              <w:rPr>
                <w:rFonts w:hint="eastAsia"/>
                <w:sz w:val="24"/>
              </w:rPr>
              <w:t>所投产品近三年有类似销售业绩(3分)</w:t>
            </w:r>
          </w:p>
        </w:tc>
        <w:tc>
          <w:tcPr>
            <w:tcW w:w="6138" w:type="dxa"/>
            <w:vAlign w:val="center"/>
          </w:tcPr>
          <w:p>
            <w:pPr>
              <w:rPr>
                <w:sz w:val="24"/>
              </w:rPr>
            </w:pPr>
            <w:r>
              <w:rPr>
                <w:rFonts w:hint="eastAsia"/>
                <w:sz w:val="24"/>
              </w:rPr>
              <w:t>每提供</w:t>
            </w:r>
            <w:r>
              <w:rPr>
                <w:rFonts w:hint="eastAsia"/>
                <w:sz w:val="24"/>
                <w:lang w:val="en-US"/>
              </w:rPr>
              <w:t>1项业绩得1分</w:t>
            </w:r>
            <w:r>
              <w:rPr>
                <w:rFonts w:hint="eastAsia"/>
                <w:sz w:val="24"/>
              </w:rPr>
              <w:t>，最多得</w:t>
            </w:r>
            <w:r>
              <w:rPr>
                <w:rFonts w:hint="eastAsia"/>
                <w:sz w:val="24"/>
                <w:lang w:val="en-US"/>
              </w:rPr>
              <w:t>3分</w:t>
            </w:r>
            <w:r>
              <w:rPr>
                <w:rFonts w:hint="eastAsia"/>
                <w:sz w:val="24"/>
              </w:rPr>
              <w:t>。</w:t>
            </w:r>
            <w:r>
              <w:rPr>
                <w:rFonts w:hint="eastAsia"/>
                <w:sz w:val="24"/>
                <w:lang w:val="en-US"/>
              </w:rPr>
              <w:t>(提供中标通知书复印件或合同复印件）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1" w:hRule="atLeast"/>
        </w:trPr>
        <w:tc>
          <w:tcPr>
            <w:tcW w:w="1576" w:type="dxa"/>
            <w:vMerge w:val="continue"/>
          </w:tcPr>
          <w:p>
            <w:pPr>
              <w:jc w:val="center"/>
              <w:rPr>
                <w:sz w:val="24"/>
                <w:highlight w:val="yellow"/>
              </w:rPr>
            </w:pPr>
          </w:p>
        </w:tc>
        <w:tc>
          <w:tcPr>
            <w:tcW w:w="2406" w:type="dxa"/>
            <w:vMerge w:val="restart"/>
            <w:vAlign w:val="center"/>
          </w:tcPr>
          <w:p>
            <w:pPr>
              <w:rPr>
                <w:sz w:val="24"/>
                <w:highlight w:val="yellow"/>
              </w:rPr>
            </w:pPr>
            <w:r>
              <w:rPr>
                <w:rFonts w:hint="eastAsia"/>
                <w:sz w:val="24"/>
              </w:rPr>
              <w:t>售后服务体系(1</w:t>
            </w:r>
            <w:r>
              <w:rPr>
                <w:rFonts w:hint="eastAsia"/>
                <w:sz w:val="24"/>
                <w:lang w:val="en-US"/>
              </w:rPr>
              <w:t>5</w:t>
            </w:r>
            <w:r>
              <w:rPr>
                <w:rFonts w:hint="eastAsia"/>
                <w:sz w:val="24"/>
              </w:rPr>
              <w:t>分)</w:t>
            </w:r>
          </w:p>
        </w:tc>
        <w:tc>
          <w:tcPr>
            <w:tcW w:w="6138" w:type="dxa"/>
            <w:vAlign w:val="center"/>
          </w:tcPr>
          <w:p>
            <w:pPr>
              <w:rPr>
                <w:sz w:val="24"/>
                <w:highlight w:val="yellow"/>
              </w:rPr>
            </w:pPr>
            <w:r>
              <w:rPr>
                <w:rFonts w:hint="eastAsia"/>
                <w:sz w:val="24"/>
              </w:rPr>
              <w:t>视企业承诺的工作方案、售后服务网点分布、技术全面性等方面进行评分。1、供应商须提供完善售后服务方案（</w:t>
            </w:r>
            <w:r>
              <w:rPr>
                <w:rFonts w:hint="eastAsia"/>
                <w:sz w:val="24"/>
                <w:lang w:val="en-US"/>
              </w:rPr>
              <w:t>3</w:t>
            </w:r>
            <w:r>
              <w:rPr>
                <w:rFonts w:hint="eastAsia"/>
                <w:sz w:val="24"/>
              </w:rPr>
              <w:t>分）；2、供应商疆内有常驻售后服务网点及工程师（</w:t>
            </w:r>
            <w:r>
              <w:rPr>
                <w:rFonts w:hint="eastAsia"/>
                <w:sz w:val="24"/>
                <w:lang w:val="en-US"/>
              </w:rPr>
              <w:t>3</w:t>
            </w:r>
            <w:r>
              <w:rPr>
                <w:rFonts w:hint="eastAsia"/>
                <w:sz w:val="24"/>
              </w:rPr>
              <w:t>分）；未提供证明材料不得分。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576" w:type="dxa"/>
            <w:vMerge w:val="continue"/>
          </w:tcPr>
          <w:p>
            <w:pPr>
              <w:jc w:val="center"/>
              <w:rPr>
                <w:sz w:val="24"/>
                <w:highlight w:val="yellow"/>
              </w:rPr>
            </w:pPr>
          </w:p>
        </w:tc>
        <w:tc>
          <w:tcPr>
            <w:tcW w:w="2406" w:type="dxa"/>
            <w:vMerge w:val="continue"/>
            <w:vAlign w:val="center"/>
          </w:tcPr>
          <w:p>
            <w:pPr>
              <w:rPr>
                <w:sz w:val="24"/>
                <w:highlight w:val="yellow"/>
              </w:rPr>
            </w:pPr>
          </w:p>
        </w:tc>
        <w:tc>
          <w:tcPr>
            <w:tcW w:w="6138" w:type="dxa"/>
            <w:vAlign w:val="center"/>
          </w:tcPr>
          <w:p>
            <w:pPr>
              <w:rPr>
                <w:sz w:val="24"/>
              </w:rPr>
            </w:pPr>
            <w:r>
              <w:rPr>
                <w:rFonts w:hint="eastAsia"/>
                <w:sz w:val="24"/>
              </w:rPr>
              <w:t>维修响应时间：根据投标文件承诺及响应时间符合采购文件要求得（2分），否则不得分。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1576" w:type="dxa"/>
            <w:vMerge w:val="continue"/>
          </w:tcPr>
          <w:p>
            <w:pPr>
              <w:jc w:val="center"/>
              <w:rPr>
                <w:sz w:val="24"/>
                <w:highlight w:val="yellow"/>
              </w:rPr>
            </w:pPr>
          </w:p>
        </w:tc>
        <w:tc>
          <w:tcPr>
            <w:tcW w:w="2406" w:type="dxa"/>
            <w:vMerge w:val="continue"/>
            <w:vAlign w:val="center"/>
          </w:tcPr>
          <w:p>
            <w:pPr>
              <w:rPr>
                <w:sz w:val="24"/>
                <w:highlight w:val="yellow"/>
              </w:rPr>
            </w:pPr>
          </w:p>
        </w:tc>
        <w:tc>
          <w:tcPr>
            <w:tcW w:w="6138" w:type="dxa"/>
            <w:vAlign w:val="center"/>
          </w:tcPr>
          <w:p>
            <w:pPr>
              <w:rPr>
                <w:sz w:val="24"/>
              </w:rPr>
            </w:pPr>
            <w:r>
              <w:rPr>
                <w:rFonts w:hint="eastAsia"/>
                <w:sz w:val="24"/>
              </w:rPr>
              <w:t>维修能力：根据投标人提供证明维修能力的资料得（2分），未提供证明材料不得分。</w:t>
            </w:r>
          </w:p>
        </w:tc>
      </w:tr>
      <w:tr>
        <w:tblPrEx>
          <w:tblLayout w:type="fixed"/>
          <w:tblCellMar>
            <w:top w:w="0" w:type="dxa"/>
            <w:left w:w="108" w:type="dxa"/>
            <w:bottom w:w="0" w:type="dxa"/>
            <w:right w:w="108" w:type="dxa"/>
          </w:tblCellMar>
        </w:tblPrEx>
        <w:trPr>
          <w:trHeight w:val="1139" w:hRule="atLeast"/>
        </w:trPr>
        <w:tc>
          <w:tcPr>
            <w:tcW w:w="1576" w:type="dxa"/>
            <w:vMerge w:val="continue"/>
          </w:tcPr>
          <w:p>
            <w:pPr>
              <w:jc w:val="center"/>
              <w:rPr>
                <w:sz w:val="24"/>
                <w:highlight w:val="yellow"/>
              </w:rPr>
            </w:pPr>
          </w:p>
        </w:tc>
        <w:tc>
          <w:tcPr>
            <w:tcW w:w="2406" w:type="dxa"/>
            <w:vMerge w:val="continue"/>
            <w:vAlign w:val="center"/>
          </w:tcPr>
          <w:p>
            <w:pPr>
              <w:rPr>
                <w:sz w:val="24"/>
                <w:highlight w:val="yellow"/>
              </w:rPr>
            </w:pPr>
          </w:p>
        </w:tc>
        <w:tc>
          <w:tcPr>
            <w:tcW w:w="6138" w:type="dxa"/>
            <w:vAlign w:val="center"/>
          </w:tcPr>
          <w:p>
            <w:pPr>
              <w:rPr>
                <w:sz w:val="24"/>
              </w:rPr>
            </w:pPr>
            <w:r>
              <w:rPr>
                <w:rFonts w:hint="eastAsia"/>
                <w:sz w:val="24"/>
              </w:rPr>
              <w:t>应急预案：由投标人根据医院实际情况提供相适应的方案，根据方案的合理性、适用性及可操作性进行评分。符合要求得：（</w:t>
            </w:r>
            <w:r>
              <w:rPr>
                <w:rFonts w:hint="eastAsia"/>
                <w:sz w:val="24"/>
                <w:lang w:val="en-US"/>
              </w:rPr>
              <w:t>2</w:t>
            </w:r>
            <w:r>
              <w:rPr>
                <w:rFonts w:hint="eastAsia"/>
                <w:sz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1576" w:type="dxa"/>
            <w:vMerge w:val="continue"/>
          </w:tcPr>
          <w:p>
            <w:pPr>
              <w:jc w:val="center"/>
              <w:rPr>
                <w:sz w:val="24"/>
                <w:highlight w:val="yellow"/>
              </w:rPr>
            </w:pPr>
          </w:p>
        </w:tc>
        <w:tc>
          <w:tcPr>
            <w:tcW w:w="2406" w:type="dxa"/>
            <w:vMerge w:val="continue"/>
            <w:vAlign w:val="center"/>
          </w:tcPr>
          <w:p>
            <w:pPr>
              <w:rPr>
                <w:sz w:val="24"/>
                <w:highlight w:val="yellow"/>
              </w:rPr>
            </w:pPr>
          </w:p>
        </w:tc>
        <w:tc>
          <w:tcPr>
            <w:tcW w:w="6138" w:type="dxa"/>
            <w:vAlign w:val="center"/>
          </w:tcPr>
          <w:p>
            <w:pPr>
              <w:rPr>
                <w:sz w:val="24"/>
              </w:rPr>
            </w:pPr>
            <w:r>
              <w:rPr>
                <w:rFonts w:hint="eastAsia"/>
                <w:sz w:val="24"/>
              </w:rPr>
              <w:t>培训方案，内容明确详尽，根据投标商提供的培训方案评分(</w:t>
            </w:r>
            <w:r>
              <w:rPr>
                <w:rFonts w:hint="eastAsia"/>
                <w:sz w:val="24"/>
                <w:lang w:val="en-US"/>
              </w:rPr>
              <w:t>3</w:t>
            </w:r>
            <w:r>
              <w:rPr>
                <w:rFonts w:hint="eastAsia"/>
                <w:sz w:val="24"/>
              </w:rPr>
              <w:t>分)</w:t>
            </w:r>
          </w:p>
        </w:tc>
      </w:tr>
    </w:tbl>
    <w:p>
      <w:pPr>
        <w:pStyle w:val="22"/>
        <w:tabs>
          <w:tab w:val="left" w:pos="771"/>
        </w:tabs>
        <w:spacing w:before="49"/>
        <w:ind w:left="0" w:firstLine="0"/>
        <w:rPr>
          <w:spacing w:val="-1"/>
          <w:sz w:val="24"/>
        </w:rPr>
      </w:pPr>
      <w:r>
        <w:rPr>
          <w:spacing w:val="-1"/>
          <w:sz w:val="24"/>
        </w:rPr>
        <w:t xml:space="preserve"> </w:t>
      </w:r>
    </w:p>
    <w:p>
      <w:pPr>
        <w:pStyle w:val="22"/>
        <w:numPr>
          <w:ilvl w:val="0"/>
          <w:numId w:val="8"/>
        </w:numPr>
        <w:tabs>
          <w:tab w:val="left" w:pos="771"/>
        </w:tabs>
        <w:spacing w:before="49"/>
        <w:ind w:hanging="510"/>
        <w:rPr>
          <w:sz w:val="24"/>
        </w:rPr>
      </w:pPr>
      <w:r>
        <w:rPr>
          <w:sz w:val="24"/>
        </w:rPr>
        <w:t>评标过程的保密性</w:t>
      </w:r>
    </w:p>
    <w:p>
      <w:pPr>
        <w:pStyle w:val="22"/>
        <w:tabs>
          <w:tab w:val="left" w:pos="851"/>
        </w:tabs>
        <w:spacing w:before="103" w:line="319" w:lineRule="auto"/>
        <w:ind w:right="274" w:firstLine="0"/>
        <w:jc w:val="both"/>
        <w:rPr>
          <w:sz w:val="24"/>
        </w:rPr>
      </w:pPr>
      <w:r>
        <w:rPr>
          <w:rFonts w:hint="eastAsia"/>
          <w:sz w:val="24"/>
          <w:lang w:val="en-US"/>
        </w:rPr>
        <w:t xml:space="preserve">27.1 </w:t>
      </w:r>
      <w:r>
        <w:rPr>
          <w:sz w:val="24"/>
        </w:rPr>
        <w:t>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pStyle w:val="22"/>
        <w:tabs>
          <w:tab w:val="left" w:pos="851"/>
        </w:tabs>
        <w:spacing w:before="0" w:line="319" w:lineRule="auto"/>
        <w:ind w:right="283" w:firstLine="0"/>
        <w:jc w:val="both"/>
        <w:rPr>
          <w:sz w:val="24"/>
        </w:rPr>
      </w:pPr>
      <w:r>
        <w:rPr>
          <w:rFonts w:hint="eastAsia"/>
          <w:spacing w:val="-1"/>
          <w:sz w:val="24"/>
          <w:lang w:val="en-US"/>
        </w:rPr>
        <w:t xml:space="preserve">27.2 </w:t>
      </w:r>
      <w:r>
        <w:rPr>
          <w:spacing w:val="-1"/>
          <w:sz w:val="24"/>
        </w:rPr>
        <w:t>供应商在评标过程中，所进行的力图影响评标结果的不符合《政府采购法》及本次</w:t>
      </w:r>
      <w:r>
        <w:rPr>
          <w:rFonts w:hint="eastAsia"/>
          <w:spacing w:val="-1"/>
          <w:sz w:val="24"/>
          <w:lang w:eastAsia="zh-CN"/>
        </w:rPr>
        <w:t>采购</w:t>
      </w:r>
      <w:r>
        <w:rPr>
          <w:sz w:val="24"/>
        </w:rPr>
        <w:t>中有关规定的活动，将被取消其中标资格。</w:t>
      </w:r>
    </w:p>
    <w:p>
      <w:pPr>
        <w:pStyle w:val="22"/>
        <w:numPr>
          <w:ilvl w:val="0"/>
          <w:numId w:val="8"/>
        </w:numPr>
        <w:tabs>
          <w:tab w:val="left" w:pos="771"/>
        </w:tabs>
        <w:spacing w:before="0"/>
        <w:ind w:hanging="510"/>
        <w:rPr>
          <w:sz w:val="24"/>
        </w:rPr>
      </w:pPr>
      <w:r>
        <w:rPr>
          <w:sz w:val="24"/>
        </w:rPr>
        <w:t>关于质疑</w:t>
      </w:r>
    </w:p>
    <w:p>
      <w:pPr>
        <w:pStyle w:val="22"/>
        <w:tabs>
          <w:tab w:val="left" w:pos="851"/>
        </w:tabs>
        <w:spacing w:line="319" w:lineRule="auto"/>
        <w:ind w:right="278" w:firstLine="0"/>
        <w:jc w:val="both"/>
        <w:rPr>
          <w:sz w:val="24"/>
        </w:rPr>
      </w:pPr>
      <w:r>
        <w:rPr>
          <w:rFonts w:hint="eastAsia"/>
          <w:sz w:val="24"/>
          <w:lang w:val="en-US"/>
        </w:rPr>
        <w:t xml:space="preserve">28.1 </w:t>
      </w:r>
      <w:r>
        <w:rPr>
          <w:sz w:val="24"/>
        </w:rPr>
        <w:t>供应商认为采购文件、采购过程、中标或者成交结果使自己的权益受到损害的，可以在</w:t>
      </w:r>
      <w:r>
        <w:rPr>
          <w:spacing w:val="-2"/>
          <w:sz w:val="24"/>
        </w:rPr>
        <w:t xml:space="preserve">知道或者应知其权益受到损害之日起 </w:t>
      </w:r>
      <w:r>
        <w:rPr>
          <w:rFonts w:ascii="Arial" w:eastAsia="Arial"/>
          <w:sz w:val="24"/>
        </w:rPr>
        <w:t>7</w:t>
      </w:r>
      <w:r>
        <w:rPr>
          <w:spacing w:val="-3"/>
          <w:sz w:val="24"/>
        </w:rPr>
        <w:t>个工作日内，以书面形式向采购人、采购代理机</w:t>
      </w:r>
      <w:r>
        <w:rPr>
          <w:sz w:val="24"/>
        </w:rPr>
        <w:t>构提出质疑。</w:t>
      </w:r>
    </w:p>
    <w:p>
      <w:pPr>
        <w:pStyle w:val="22"/>
        <w:tabs>
          <w:tab w:val="left" w:pos="851"/>
        </w:tabs>
        <w:spacing w:before="0" w:line="319" w:lineRule="auto"/>
        <w:ind w:right="282" w:firstLine="0"/>
        <w:jc w:val="both"/>
        <w:rPr>
          <w:sz w:val="24"/>
        </w:rPr>
      </w:pPr>
      <w:r>
        <w:rPr>
          <w:rFonts w:hint="eastAsia"/>
          <w:spacing w:val="-1"/>
          <w:sz w:val="24"/>
          <w:lang w:val="en-US"/>
        </w:rPr>
        <w:t xml:space="preserve">28.2 </w:t>
      </w:r>
      <w:r>
        <w:rPr>
          <w:spacing w:val="-1"/>
          <w:sz w:val="24"/>
        </w:rPr>
        <w:t>采购人及采购代理机构接受供应商的质疑为：供应商在质疑期内一次性提出的针对同一</w:t>
      </w:r>
      <w:r>
        <w:rPr>
          <w:sz w:val="24"/>
        </w:rPr>
        <w:t>采购程序环节的质疑。</w:t>
      </w:r>
    </w:p>
    <w:p>
      <w:pPr>
        <w:spacing w:line="319" w:lineRule="auto"/>
        <w:jc w:val="both"/>
        <w:rPr>
          <w:sz w:val="24"/>
          <w:highlight w:val="yellow"/>
        </w:rPr>
        <w:sectPr>
          <w:pgSz w:w="11910" w:h="16850"/>
          <w:pgMar w:top="1440" w:right="800" w:bottom="460" w:left="820" w:header="0" w:footer="191" w:gutter="0"/>
          <w:cols w:space="720" w:num="1"/>
        </w:sectPr>
      </w:pPr>
    </w:p>
    <w:p>
      <w:pPr>
        <w:pStyle w:val="4"/>
        <w:numPr>
          <w:ilvl w:val="0"/>
          <w:numId w:val="10"/>
        </w:numPr>
        <w:tabs>
          <w:tab w:val="left" w:pos="453"/>
          <w:tab w:val="left" w:pos="4800"/>
        </w:tabs>
        <w:spacing w:before="64"/>
        <w:ind w:left="4799" w:hanging="454"/>
        <w:jc w:val="left"/>
      </w:pPr>
      <w:bookmarkStart w:id="7" w:name="_bookmark9"/>
      <w:bookmarkEnd w:id="7"/>
      <w:bookmarkStart w:id="8" w:name="_bookmark7"/>
      <w:bookmarkEnd w:id="8"/>
      <w:r>
        <w:t>授予合同</w:t>
      </w:r>
    </w:p>
    <w:p>
      <w:pPr>
        <w:pStyle w:val="2"/>
        <w:spacing w:before="10"/>
        <w:ind w:left="0"/>
        <w:rPr>
          <w:b/>
          <w:sz w:val="27"/>
          <w:highlight w:val="yellow"/>
        </w:rPr>
      </w:pPr>
    </w:p>
    <w:p>
      <w:pPr>
        <w:pStyle w:val="22"/>
        <w:numPr>
          <w:ilvl w:val="0"/>
          <w:numId w:val="8"/>
        </w:numPr>
        <w:tabs>
          <w:tab w:val="left" w:pos="771"/>
        </w:tabs>
        <w:spacing w:before="0"/>
        <w:ind w:hanging="510"/>
        <w:rPr>
          <w:sz w:val="24"/>
        </w:rPr>
      </w:pPr>
      <w:r>
        <w:rPr>
          <w:sz w:val="24"/>
        </w:rPr>
        <w:t>合同授予标准</w:t>
      </w:r>
    </w:p>
    <w:p>
      <w:pPr>
        <w:pStyle w:val="22"/>
        <w:tabs>
          <w:tab w:val="left" w:pos="851"/>
        </w:tabs>
        <w:spacing w:before="100" w:line="319" w:lineRule="auto"/>
        <w:ind w:right="283" w:firstLine="0"/>
        <w:rPr>
          <w:sz w:val="24"/>
        </w:rPr>
      </w:pPr>
      <w:r>
        <w:rPr>
          <w:rFonts w:hint="eastAsia"/>
          <w:spacing w:val="-1"/>
          <w:sz w:val="24"/>
          <w:lang w:val="en-US"/>
        </w:rPr>
        <w:t xml:space="preserve">29.1 </w:t>
      </w:r>
      <w:r>
        <w:rPr>
          <w:spacing w:val="-1"/>
          <w:sz w:val="24"/>
        </w:rPr>
        <w:t>合同将授予被确定为实质上响应采购文件要求，评标认为具备履行合同义务条件、报价</w:t>
      </w:r>
      <w:r>
        <w:rPr>
          <w:sz w:val="24"/>
        </w:rPr>
        <w:t>合理、技术和商务条件都符合条件基础上综合评分得分最高的供应商。</w:t>
      </w:r>
    </w:p>
    <w:p>
      <w:pPr>
        <w:pStyle w:val="22"/>
        <w:tabs>
          <w:tab w:val="left" w:pos="851"/>
        </w:tabs>
        <w:spacing w:before="1"/>
        <w:ind w:firstLine="0"/>
        <w:rPr>
          <w:sz w:val="24"/>
        </w:rPr>
      </w:pPr>
      <w:r>
        <w:rPr>
          <w:rFonts w:hint="eastAsia"/>
          <w:spacing w:val="-1"/>
          <w:sz w:val="24"/>
          <w:lang w:val="en-US"/>
        </w:rPr>
        <w:t xml:space="preserve">29.2 </w:t>
      </w:r>
      <w:r>
        <w:rPr>
          <w:spacing w:val="-1"/>
          <w:sz w:val="24"/>
        </w:rPr>
        <w:t>最低投标价不一定是被授予合同的保证。</w:t>
      </w:r>
    </w:p>
    <w:p>
      <w:pPr>
        <w:pStyle w:val="22"/>
        <w:numPr>
          <w:ilvl w:val="0"/>
          <w:numId w:val="8"/>
        </w:numPr>
        <w:tabs>
          <w:tab w:val="left" w:pos="771"/>
        </w:tabs>
        <w:spacing w:before="103"/>
        <w:ind w:hanging="510"/>
        <w:rPr>
          <w:sz w:val="24"/>
        </w:rPr>
      </w:pPr>
      <w:r>
        <w:rPr>
          <w:spacing w:val="-1"/>
          <w:sz w:val="24"/>
        </w:rPr>
        <w:t>接受和拒绝任何或所有投标的权力</w:t>
      </w:r>
    </w:p>
    <w:p>
      <w:pPr>
        <w:pStyle w:val="22"/>
        <w:tabs>
          <w:tab w:val="left" w:pos="851"/>
        </w:tabs>
        <w:spacing w:before="100" w:line="319" w:lineRule="auto"/>
        <w:ind w:right="283" w:firstLine="0"/>
        <w:rPr>
          <w:sz w:val="24"/>
        </w:rPr>
      </w:pPr>
      <w:r>
        <w:rPr>
          <w:rFonts w:hint="eastAsia"/>
          <w:spacing w:val="-1"/>
          <w:sz w:val="24"/>
          <w:lang w:val="en-US"/>
        </w:rPr>
        <w:t xml:space="preserve">30.1 </w:t>
      </w:r>
      <w:r>
        <w:rPr>
          <w:spacing w:val="-1"/>
          <w:sz w:val="24"/>
        </w:rPr>
        <w:t>为维护国家利益，</w:t>
      </w:r>
      <w:r>
        <w:rPr>
          <w:rFonts w:hint="eastAsia"/>
          <w:spacing w:val="-1"/>
          <w:sz w:val="24"/>
          <w:lang w:eastAsia="zh-CN"/>
        </w:rPr>
        <w:t>采购</w:t>
      </w:r>
      <w:r>
        <w:rPr>
          <w:spacing w:val="-1"/>
          <w:sz w:val="24"/>
        </w:rPr>
        <w:t>方在授予合同之前仍有选择或拒绝任何全部投标的权力，并对所</w:t>
      </w:r>
      <w:r>
        <w:rPr>
          <w:sz w:val="24"/>
        </w:rPr>
        <w:t>采取的行为不作任何解释。</w:t>
      </w:r>
    </w:p>
    <w:p>
      <w:pPr>
        <w:pStyle w:val="22"/>
        <w:numPr>
          <w:ilvl w:val="0"/>
          <w:numId w:val="8"/>
        </w:numPr>
        <w:tabs>
          <w:tab w:val="left" w:pos="771"/>
        </w:tabs>
        <w:spacing w:before="1"/>
        <w:ind w:hanging="510"/>
        <w:rPr>
          <w:sz w:val="24"/>
        </w:rPr>
      </w:pPr>
      <w:r>
        <w:rPr>
          <w:sz w:val="24"/>
        </w:rPr>
        <w:t>中标通知书</w:t>
      </w:r>
    </w:p>
    <w:p>
      <w:pPr>
        <w:pStyle w:val="22"/>
        <w:tabs>
          <w:tab w:val="left" w:pos="851"/>
        </w:tabs>
        <w:spacing w:line="319" w:lineRule="auto"/>
        <w:ind w:right="274" w:firstLine="0"/>
        <w:rPr>
          <w:sz w:val="24"/>
        </w:rPr>
      </w:pPr>
      <w:r>
        <w:rPr>
          <w:rFonts w:hint="eastAsia"/>
          <w:spacing w:val="-12"/>
          <w:sz w:val="24"/>
          <w:lang w:val="en-US"/>
        </w:rPr>
        <w:t xml:space="preserve">31.1 </w:t>
      </w:r>
      <w:r>
        <w:rPr>
          <w:spacing w:val="-1"/>
          <w:sz w:val="24"/>
        </w:rPr>
        <w:t>中标公告期满后，</w:t>
      </w:r>
      <w:r>
        <w:rPr>
          <w:rFonts w:hint="eastAsia"/>
          <w:spacing w:val="-1"/>
          <w:sz w:val="24"/>
          <w:lang w:eastAsia="zh-CN"/>
        </w:rPr>
        <w:t>采购</w:t>
      </w:r>
      <w:r>
        <w:rPr>
          <w:spacing w:val="-1"/>
          <w:sz w:val="24"/>
        </w:rPr>
        <w:t>代理机构将以书面形式发出《中标通知书》，但发出时间不超过投标有效期，《中标通知书》一经发出即发生法律效力。</w:t>
      </w:r>
    </w:p>
    <w:p>
      <w:pPr>
        <w:pStyle w:val="22"/>
        <w:tabs>
          <w:tab w:val="left" w:pos="851"/>
        </w:tabs>
        <w:spacing w:before="0"/>
        <w:ind w:firstLine="0"/>
        <w:rPr>
          <w:sz w:val="24"/>
        </w:rPr>
      </w:pPr>
      <w:r>
        <w:rPr>
          <w:rFonts w:hint="eastAsia"/>
          <w:spacing w:val="-1"/>
          <w:sz w:val="24"/>
          <w:lang w:val="en-US"/>
        </w:rPr>
        <w:t xml:space="preserve">31.2 </w:t>
      </w:r>
      <w:r>
        <w:rPr>
          <w:spacing w:val="-1"/>
          <w:sz w:val="24"/>
        </w:rPr>
        <w:t>《中标通知书》将作为签订合同的依据。</w:t>
      </w:r>
    </w:p>
    <w:p>
      <w:pPr>
        <w:pStyle w:val="22"/>
        <w:tabs>
          <w:tab w:val="left" w:pos="851"/>
        </w:tabs>
        <w:spacing w:before="103" w:line="319" w:lineRule="auto"/>
        <w:ind w:right="283" w:firstLine="0"/>
        <w:rPr>
          <w:sz w:val="24"/>
        </w:rPr>
      </w:pPr>
      <w:r>
        <w:rPr>
          <w:rFonts w:hint="eastAsia"/>
          <w:sz w:val="24"/>
          <w:lang w:val="en-US"/>
        </w:rPr>
        <w:t xml:space="preserve">31.3 </w:t>
      </w:r>
      <w:r>
        <w:rPr>
          <w:rFonts w:hint="eastAsia"/>
          <w:sz w:val="24"/>
          <w:lang w:eastAsia="zh-CN"/>
        </w:rPr>
        <w:t>采购</w:t>
      </w:r>
      <w:r>
        <w:rPr>
          <w:sz w:val="24"/>
        </w:rPr>
        <w:t>代理机构将在中标方按规定签订合同并提交履约保证金（如适用）</w:t>
      </w:r>
      <w:r>
        <w:rPr>
          <w:spacing w:val="-2"/>
          <w:sz w:val="24"/>
        </w:rPr>
        <w:t>后退还其投标保</w:t>
      </w:r>
      <w:r>
        <w:rPr>
          <w:sz w:val="24"/>
        </w:rPr>
        <w:t>证金。</w:t>
      </w:r>
    </w:p>
    <w:p>
      <w:pPr>
        <w:pStyle w:val="22"/>
        <w:numPr>
          <w:ilvl w:val="0"/>
          <w:numId w:val="8"/>
        </w:numPr>
        <w:tabs>
          <w:tab w:val="left" w:pos="771"/>
        </w:tabs>
        <w:spacing w:before="0" w:line="306" w:lineRule="exact"/>
        <w:ind w:hanging="510"/>
        <w:rPr>
          <w:sz w:val="24"/>
        </w:rPr>
      </w:pPr>
      <w:r>
        <w:rPr>
          <w:sz w:val="24"/>
        </w:rPr>
        <w:t>签订合同</w:t>
      </w:r>
    </w:p>
    <w:p>
      <w:pPr>
        <w:pStyle w:val="22"/>
        <w:tabs>
          <w:tab w:val="left" w:pos="851"/>
        </w:tabs>
        <w:spacing w:before="103" w:line="319" w:lineRule="auto"/>
        <w:ind w:right="283" w:firstLine="0"/>
        <w:rPr>
          <w:sz w:val="24"/>
        </w:rPr>
      </w:pPr>
      <w:r>
        <w:rPr>
          <w:rFonts w:hint="eastAsia"/>
          <w:spacing w:val="-1"/>
          <w:sz w:val="24"/>
          <w:lang w:val="en-US"/>
        </w:rPr>
        <w:t>32.1</w:t>
      </w:r>
      <w:r>
        <w:rPr>
          <w:spacing w:val="-1"/>
          <w:sz w:val="24"/>
        </w:rPr>
        <w:t>供应商收到《中标通知书》后，按《中标通知书》中规定的时间地点与买方签订合同。</w:t>
      </w:r>
      <w:r>
        <w:rPr>
          <w:sz w:val="24"/>
        </w:rPr>
        <w:t>买方和中标人不得再订立背离合同实质性内容的其他协议。</w:t>
      </w:r>
    </w:p>
    <w:p>
      <w:pPr>
        <w:pStyle w:val="22"/>
        <w:tabs>
          <w:tab w:val="left" w:pos="791"/>
        </w:tabs>
        <w:spacing w:before="0"/>
        <w:ind w:firstLine="0"/>
        <w:rPr>
          <w:sz w:val="24"/>
        </w:rPr>
      </w:pPr>
      <w:r>
        <w:rPr>
          <w:rFonts w:hint="eastAsia"/>
          <w:spacing w:val="-1"/>
          <w:sz w:val="24"/>
          <w:lang w:val="en-US"/>
        </w:rPr>
        <w:t xml:space="preserve">32.2 </w:t>
      </w:r>
      <w:r>
        <w:rPr>
          <w:spacing w:val="-1"/>
          <w:sz w:val="24"/>
        </w:rPr>
        <w:t>如中标方拒签合同，则按违约处理。</w:t>
      </w:r>
      <w:r>
        <w:rPr>
          <w:rFonts w:hint="eastAsia"/>
          <w:spacing w:val="-1"/>
          <w:sz w:val="24"/>
          <w:lang w:eastAsia="zh-CN"/>
        </w:rPr>
        <w:t>采购</w:t>
      </w:r>
      <w:r>
        <w:rPr>
          <w:spacing w:val="-1"/>
          <w:sz w:val="24"/>
        </w:rPr>
        <w:t>代理机构没收其投标保证金。</w:t>
      </w:r>
    </w:p>
    <w:p>
      <w:pPr>
        <w:pStyle w:val="22"/>
        <w:tabs>
          <w:tab w:val="left" w:pos="791"/>
        </w:tabs>
        <w:ind w:firstLine="0"/>
        <w:rPr>
          <w:sz w:val="24"/>
        </w:rPr>
      </w:pPr>
      <w:r>
        <w:rPr>
          <w:rFonts w:hint="eastAsia"/>
          <w:spacing w:val="-1"/>
          <w:sz w:val="24"/>
          <w:lang w:val="en-US"/>
        </w:rPr>
        <w:t xml:space="preserve">32.3 </w:t>
      </w:r>
      <w:r>
        <w:rPr>
          <w:spacing w:val="-1"/>
          <w:sz w:val="24"/>
        </w:rPr>
        <w:t>采购文件、中标方的投标文件及其澄清文件等，均为签订经济合同的依据。</w:t>
      </w:r>
    </w:p>
    <w:p>
      <w:pPr>
        <w:pStyle w:val="2"/>
        <w:ind w:left="0"/>
        <w:rPr>
          <w:sz w:val="26"/>
        </w:rPr>
      </w:pPr>
    </w:p>
    <w:p>
      <w:pPr>
        <w:pStyle w:val="2"/>
        <w:spacing w:before="10"/>
        <w:ind w:left="0"/>
        <w:rPr>
          <w:sz w:val="33"/>
          <w:highlight w:val="yellow"/>
        </w:rPr>
      </w:pPr>
    </w:p>
    <w:p>
      <w:pPr>
        <w:pStyle w:val="4"/>
        <w:numPr>
          <w:ilvl w:val="0"/>
          <w:numId w:val="10"/>
        </w:numPr>
        <w:tabs>
          <w:tab w:val="left" w:pos="499"/>
          <w:tab w:val="left" w:pos="4541"/>
        </w:tabs>
        <w:ind w:left="4540" w:hanging="499"/>
        <w:jc w:val="left"/>
      </w:pPr>
      <w:bookmarkStart w:id="9" w:name="_bookmark8"/>
      <w:bookmarkEnd w:id="9"/>
      <w:r>
        <w:rPr>
          <w:rFonts w:hint="eastAsia"/>
          <w:lang w:eastAsia="zh-CN"/>
        </w:rPr>
        <w:t>采购</w:t>
      </w:r>
      <w:r>
        <w:t>失败条件</w:t>
      </w:r>
    </w:p>
    <w:p>
      <w:pPr>
        <w:pStyle w:val="2"/>
        <w:spacing w:before="10"/>
        <w:ind w:left="0"/>
        <w:rPr>
          <w:b/>
          <w:sz w:val="27"/>
          <w:highlight w:val="yellow"/>
        </w:rPr>
      </w:pPr>
    </w:p>
    <w:p>
      <w:pPr>
        <w:pStyle w:val="22"/>
        <w:numPr>
          <w:ilvl w:val="0"/>
          <w:numId w:val="8"/>
        </w:numPr>
        <w:tabs>
          <w:tab w:val="left" w:pos="597"/>
        </w:tabs>
        <w:spacing w:before="0"/>
        <w:ind w:left="596" w:hanging="336"/>
        <w:rPr>
          <w:sz w:val="24"/>
        </w:rPr>
      </w:pPr>
      <w:r>
        <w:rPr>
          <w:spacing w:val="-1"/>
          <w:sz w:val="24"/>
        </w:rPr>
        <w:t>出现影响采购公正的违法、违规行为的；</w:t>
      </w:r>
    </w:p>
    <w:p>
      <w:pPr>
        <w:pStyle w:val="22"/>
        <w:numPr>
          <w:ilvl w:val="0"/>
          <w:numId w:val="8"/>
        </w:numPr>
        <w:tabs>
          <w:tab w:val="left" w:pos="597"/>
        </w:tabs>
        <w:ind w:left="596" w:hanging="336"/>
        <w:rPr>
          <w:sz w:val="24"/>
        </w:rPr>
      </w:pPr>
      <w:r>
        <w:rPr>
          <w:spacing w:val="-1"/>
          <w:sz w:val="24"/>
        </w:rPr>
        <w:t>因重大变故，采购任务取消的；</w:t>
      </w:r>
    </w:p>
    <w:p>
      <w:pPr>
        <w:pStyle w:val="22"/>
        <w:numPr>
          <w:ilvl w:val="0"/>
          <w:numId w:val="8"/>
        </w:numPr>
        <w:tabs>
          <w:tab w:val="left" w:pos="597"/>
        </w:tabs>
        <w:spacing w:before="103"/>
        <w:ind w:left="596" w:hanging="336"/>
        <w:rPr>
          <w:sz w:val="24"/>
        </w:rPr>
      </w:pPr>
      <w:r>
        <w:rPr>
          <w:spacing w:val="-1"/>
          <w:sz w:val="24"/>
        </w:rPr>
        <w:t>采购文件截止时间后，实际参与的供应商不足法定家数的；</w:t>
      </w:r>
    </w:p>
    <w:p>
      <w:pPr>
        <w:pStyle w:val="22"/>
        <w:numPr>
          <w:ilvl w:val="0"/>
          <w:numId w:val="8"/>
        </w:numPr>
        <w:tabs>
          <w:tab w:val="left" w:pos="597"/>
        </w:tabs>
        <w:spacing w:before="100"/>
        <w:ind w:left="596" w:hanging="336"/>
        <w:rPr>
          <w:sz w:val="24"/>
        </w:rPr>
      </w:pPr>
      <w:r>
        <w:rPr>
          <w:spacing w:val="-1"/>
          <w:sz w:val="24"/>
        </w:rPr>
        <w:t>最终报价均超过采购预算的；</w:t>
      </w:r>
    </w:p>
    <w:p>
      <w:pPr>
        <w:pStyle w:val="22"/>
        <w:numPr>
          <w:ilvl w:val="0"/>
          <w:numId w:val="8"/>
        </w:numPr>
        <w:tabs>
          <w:tab w:val="left" w:pos="597"/>
        </w:tabs>
        <w:ind w:left="596" w:hanging="336"/>
        <w:rPr>
          <w:sz w:val="24"/>
        </w:rPr>
      </w:pPr>
      <w:r>
        <w:rPr>
          <w:spacing w:val="-1"/>
          <w:sz w:val="24"/>
        </w:rPr>
        <w:t>对采购文件作出实质性响应的供应商不足法定家数的；</w:t>
      </w:r>
    </w:p>
    <w:p>
      <w:pPr>
        <w:rPr>
          <w:sz w:val="24"/>
          <w:highlight w:val="yellow"/>
        </w:rPr>
        <w:sectPr>
          <w:pgSz w:w="11910" w:h="16850"/>
          <w:pgMar w:top="1400" w:right="800" w:bottom="460" w:left="820" w:header="0" w:footer="191" w:gutter="0"/>
          <w:cols w:space="720" w:num="1"/>
        </w:sectPr>
      </w:pPr>
    </w:p>
    <w:p>
      <w:pPr>
        <w:jc w:val="center"/>
        <w:rPr>
          <w:b/>
          <w:bCs/>
          <w:sz w:val="32"/>
          <w:szCs w:val="32"/>
          <w:lang w:val="en-US"/>
        </w:rPr>
      </w:pPr>
      <w:r>
        <w:rPr>
          <w:rFonts w:hint="eastAsia"/>
          <w:b/>
          <w:bCs/>
          <w:sz w:val="32"/>
          <w:szCs w:val="32"/>
          <w:lang w:val="en-US"/>
        </w:rPr>
        <w:t>第三部分</w:t>
      </w:r>
      <w:r>
        <w:rPr>
          <w:rFonts w:hint="eastAsia"/>
          <w:b/>
          <w:bCs/>
          <w:sz w:val="32"/>
          <w:szCs w:val="32"/>
          <w:lang w:val="en-US"/>
        </w:rPr>
        <w:tab/>
      </w:r>
      <w:r>
        <w:rPr>
          <w:rFonts w:hint="eastAsia"/>
          <w:b/>
          <w:bCs/>
          <w:sz w:val="32"/>
          <w:szCs w:val="32"/>
          <w:lang w:val="en-US"/>
        </w:rPr>
        <w:t>货物需求及技术说明</w:t>
      </w:r>
    </w:p>
    <w:p>
      <w:pPr>
        <w:jc w:val="center"/>
        <w:rPr>
          <w:rFonts w:ascii="仿宋" w:hAnsi="仿宋" w:eastAsia="仿宋" w:cs="Times New Roman"/>
          <w:b/>
          <w:color w:val="FF0000"/>
          <w:sz w:val="32"/>
          <w:szCs w:val="32"/>
        </w:rPr>
      </w:pPr>
    </w:p>
    <w:p>
      <w:pPr>
        <w:jc w:val="center"/>
        <w:rPr>
          <w:rFonts w:ascii="仿宋" w:hAnsi="仿宋" w:eastAsia="仿宋" w:cs="仿宋"/>
          <w:b/>
          <w:sz w:val="24"/>
          <w:szCs w:val="24"/>
        </w:rPr>
      </w:pPr>
      <w:r>
        <w:rPr>
          <w:rFonts w:hint="eastAsia" w:ascii="仿宋" w:hAnsi="仿宋" w:eastAsia="仿宋" w:cs="Times New Roman"/>
          <w:b/>
          <w:sz w:val="32"/>
          <w:szCs w:val="32"/>
        </w:rPr>
        <w:t>第一章</w:t>
      </w:r>
      <w:r>
        <w:rPr>
          <w:rFonts w:hint="eastAsia" w:ascii="仿宋" w:hAnsi="仿宋" w:eastAsia="仿宋" w:cs="Times New Roman"/>
          <w:b/>
          <w:sz w:val="32"/>
          <w:szCs w:val="32"/>
          <w:lang w:val="en-US" w:eastAsia="zh-CN"/>
        </w:rPr>
        <w:t xml:space="preserve"> </w:t>
      </w:r>
      <w:r>
        <w:rPr>
          <w:rFonts w:hint="eastAsia" w:ascii="仿宋" w:hAnsi="仿宋" w:eastAsia="仿宋" w:cs="Times New Roman"/>
          <w:b/>
          <w:sz w:val="32"/>
          <w:szCs w:val="32"/>
        </w:rPr>
        <w:t>采购项目内容及要求</w:t>
      </w:r>
    </w:p>
    <w:p>
      <w:pPr>
        <w:tabs>
          <w:tab w:val="left" w:pos="312"/>
        </w:tabs>
        <w:spacing w:line="360" w:lineRule="auto"/>
        <w:ind w:left="482"/>
        <w:rPr>
          <w:rFonts w:ascii="仿宋" w:hAnsi="仿宋" w:eastAsia="仿宋"/>
          <w:sz w:val="24"/>
          <w:szCs w:val="24"/>
        </w:rPr>
      </w:pPr>
      <w:r>
        <w:rPr>
          <w:rFonts w:hint="eastAsia" w:ascii="仿宋" w:hAnsi="仿宋" w:eastAsia="仿宋" w:cs="仿宋"/>
          <w:b/>
          <w:sz w:val="24"/>
          <w:szCs w:val="24"/>
        </w:rPr>
        <w:t>一、项目说明</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baseline"/>
        <w:outlineLvl w:val="9"/>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1、供应商应保证货物是全新、未使用过的合格产品。并完全符合合同规定的质量、规格和性能的要求。供应商应保证所提供的货物经正确安装、正常运转和保养后，在其使用寿命期内应具有满意的性能。在货物质量保证期内供应商应对由于设计、工艺或者材料的缺陷而发生的任何不足或者故障负责。所投产品应提供详细的技术资料，应有检测报告等详细资料。</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baseline"/>
        <w:outlineLvl w:val="9"/>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2、货物必须为合格产品，质量达到国家有关标准，供应商供货时应当提供有关货物的合格证明材料等。</w:t>
      </w:r>
    </w:p>
    <w:p>
      <w:pPr>
        <w:spacing w:line="300" w:lineRule="exact"/>
        <w:ind w:left="440" w:leftChars="200" w:firstLine="110" w:firstLineChars="50"/>
        <w:rPr>
          <w:rFonts w:hint="eastAsia"/>
        </w:rPr>
      </w:pPr>
    </w:p>
    <w:p>
      <w:pPr>
        <w:numPr>
          <w:ilvl w:val="0"/>
          <w:numId w:val="0"/>
        </w:numPr>
        <w:spacing w:line="300" w:lineRule="exact"/>
        <w:rPr>
          <w:rFonts w:hint="eastAsia" w:ascii="仿宋" w:hAnsi="仿宋" w:eastAsia="仿宋" w:cs="仿宋"/>
          <w:b/>
          <w:sz w:val="24"/>
          <w:szCs w:val="24"/>
        </w:rPr>
      </w:pPr>
      <w:r>
        <w:rPr>
          <w:rFonts w:hint="eastAsia" w:ascii="仿宋" w:hAnsi="仿宋" w:eastAsia="仿宋" w:cs="仿宋"/>
          <w:b/>
          <w:sz w:val="24"/>
          <w:szCs w:val="24"/>
          <w:lang w:eastAsia="zh-CN"/>
        </w:rPr>
        <w:t>二、</w:t>
      </w:r>
      <w:r>
        <w:rPr>
          <w:rFonts w:hint="eastAsia" w:ascii="仿宋" w:hAnsi="仿宋" w:eastAsia="仿宋" w:cs="仿宋"/>
          <w:b/>
          <w:sz w:val="24"/>
          <w:szCs w:val="24"/>
        </w:rPr>
        <w:t>产品技术规格、要求和数量：</w:t>
      </w:r>
    </w:p>
    <w:p>
      <w:pPr>
        <w:spacing w:line="560" w:lineRule="exact"/>
        <w:jc w:val="center"/>
        <w:rPr>
          <w:rFonts w:hint="eastAsia" w:ascii="方正公文小标宋" w:hAnsi="方正公文小标宋" w:eastAsia="方正公文小标宋" w:cs="方正公文小标宋"/>
          <w:b/>
          <w:bCs/>
          <w:sz w:val="36"/>
          <w:szCs w:val="36"/>
        </w:rPr>
      </w:pPr>
      <w:r>
        <w:rPr>
          <w:rFonts w:hint="eastAsia" w:ascii="方正公文小标宋" w:hAnsi="方正公文小标宋" w:eastAsia="方正公文小标宋" w:cs="方正公文小标宋"/>
          <w:b/>
          <w:bCs/>
          <w:sz w:val="36"/>
          <w:szCs w:val="36"/>
        </w:rPr>
        <w:t>司法鉴定所仪器设备购买清单</w:t>
      </w:r>
    </w:p>
    <w:p>
      <w:pPr>
        <w:spacing w:line="360" w:lineRule="exact"/>
        <w:rPr>
          <w:rFonts w:cs="Calibri"/>
          <w:b/>
          <w:bCs/>
          <w:sz w:val="24"/>
          <w:szCs w:val="24"/>
        </w:rPr>
      </w:pPr>
      <w:r>
        <w:rPr>
          <w:rFonts w:hint="eastAsia" w:cs="Calibri"/>
          <w:b/>
          <w:bCs/>
          <w:sz w:val="24"/>
          <w:szCs w:val="24"/>
        </w:rPr>
        <w:t>一、</w:t>
      </w:r>
      <w:r>
        <w:rPr>
          <w:rFonts w:cs="Calibri"/>
          <w:b/>
          <w:bCs/>
          <w:sz w:val="24"/>
          <w:szCs w:val="24"/>
        </w:rPr>
        <w:t>法医病理鉴定</w:t>
      </w:r>
    </w:p>
    <w:tbl>
      <w:tblPr>
        <w:tblStyle w:val="20"/>
        <w:tblW w:w="10477" w:type="dxa"/>
        <w:jc w:val="center"/>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991"/>
        <w:gridCol w:w="720"/>
        <w:gridCol w:w="1083"/>
        <w:gridCol w:w="619"/>
        <w:gridCol w:w="5517"/>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blHeader/>
          <w:jc w:val="center"/>
        </w:trPr>
        <w:tc>
          <w:tcPr>
            <w:tcW w:w="568" w:type="dxa"/>
            <w:shd w:val="clear" w:color="auto" w:fill="B3B3B3"/>
            <w:vAlign w:val="center"/>
          </w:tcPr>
          <w:p>
            <w:pPr>
              <w:jc w:val="center"/>
              <w:rPr>
                <w:rFonts w:cs="Calibri"/>
                <w:bCs/>
                <w:sz w:val="24"/>
              </w:rPr>
            </w:pPr>
            <w:r>
              <w:rPr>
                <w:rFonts w:cs="Calibri"/>
                <w:bCs/>
                <w:sz w:val="24"/>
              </w:rPr>
              <w:t>序号</w:t>
            </w:r>
          </w:p>
        </w:tc>
        <w:tc>
          <w:tcPr>
            <w:tcW w:w="991" w:type="dxa"/>
            <w:shd w:val="clear" w:color="auto" w:fill="B3B3B3"/>
            <w:vAlign w:val="center"/>
          </w:tcPr>
          <w:p>
            <w:pPr>
              <w:jc w:val="center"/>
              <w:rPr>
                <w:rFonts w:cs="Calibri"/>
                <w:bCs/>
                <w:sz w:val="24"/>
              </w:rPr>
            </w:pPr>
            <w:r>
              <w:rPr>
                <w:rFonts w:cs="Calibri"/>
                <w:bCs/>
                <w:sz w:val="24"/>
              </w:rPr>
              <w:t>事项</w:t>
            </w:r>
          </w:p>
        </w:tc>
        <w:tc>
          <w:tcPr>
            <w:tcW w:w="720" w:type="dxa"/>
            <w:shd w:val="clear" w:color="auto" w:fill="B3B3B3"/>
            <w:vAlign w:val="center"/>
          </w:tcPr>
          <w:p>
            <w:pPr>
              <w:jc w:val="center"/>
              <w:rPr>
                <w:rFonts w:cs="Calibri"/>
                <w:bCs/>
                <w:sz w:val="24"/>
              </w:rPr>
            </w:pPr>
            <w:r>
              <w:rPr>
                <w:rFonts w:cs="Calibri"/>
                <w:bCs/>
                <w:sz w:val="24"/>
              </w:rPr>
              <w:t>场所</w:t>
            </w:r>
          </w:p>
        </w:tc>
        <w:tc>
          <w:tcPr>
            <w:tcW w:w="1083" w:type="dxa"/>
            <w:shd w:val="clear" w:color="auto" w:fill="B3B3B3"/>
            <w:vAlign w:val="center"/>
          </w:tcPr>
          <w:p>
            <w:pPr>
              <w:jc w:val="center"/>
              <w:rPr>
                <w:rFonts w:cs="Calibri"/>
                <w:bCs/>
                <w:sz w:val="24"/>
              </w:rPr>
            </w:pPr>
            <w:r>
              <w:rPr>
                <w:rFonts w:cs="Calibri"/>
                <w:bCs/>
                <w:sz w:val="24"/>
              </w:rPr>
              <w:t>仪器配置</w:t>
            </w:r>
          </w:p>
        </w:tc>
        <w:tc>
          <w:tcPr>
            <w:tcW w:w="619" w:type="dxa"/>
            <w:shd w:val="clear" w:color="auto" w:fill="B3B3B3"/>
            <w:vAlign w:val="center"/>
          </w:tcPr>
          <w:p>
            <w:pPr>
              <w:jc w:val="center"/>
              <w:rPr>
                <w:rFonts w:cs="Calibri"/>
                <w:bCs/>
                <w:sz w:val="24"/>
              </w:rPr>
            </w:pPr>
            <w:r>
              <w:rPr>
                <w:rFonts w:cs="Calibri"/>
                <w:bCs/>
                <w:sz w:val="24"/>
              </w:rPr>
              <w:t>单位</w:t>
            </w:r>
          </w:p>
        </w:tc>
        <w:tc>
          <w:tcPr>
            <w:tcW w:w="5517" w:type="dxa"/>
            <w:shd w:val="clear" w:color="auto" w:fill="B3B3B3"/>
            <w:vAlign w:val="center"/>
          </w:tcPr>
          <w:p>
            <w:pPr>
              <w:jc w:val="center"/>
              <w:rPr>
                <w:rFonts w:cs="Calibri"/>
                <w:bCs/>
                <w:sz w:val="24"/>
              </w:rPr>
            </w:pPr>
            <w:r>
              <w:rPr>
                <w:rFonts w:cs="Calibri"/>
                <w:bCs/>
                <w:sz w:val="24"/>
              </w:rPr>
              <w:t>配置类型</w:t>
            </w:r>
          </w:p>
        </w:tc>
        <w:tc>
          <w:tcPr>
            <w:tcW w:w="979" w:type="dxa"/>
            <w:shd w:val="clear" w:color="auto" w:fill="B3B3B3"/>
            <w:vAlign w:val="center"/>
          </w:tcPr>
          <w:p>
            <w:pPr>
              <w:jc w:val="center"/>
              <w:rPr>
                <w:rFonts w:cs="Calibri"/>
                <w:bCs/>
                <w:sz w:val="24"/>
              </w:rPr>
            </w:pPr>
            <w:r>
              <w:rPr>
                <w:rFonts w:cs="Calibri"/>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7" w:hRule="atLeast"/>
          <w:jc w:val="center"/>
        </w:trPr>
        <w:tc>
          <w:tcPr>
            <w:tcW w:w="568" w:type="dxa"/>
            <w:vMerge w:val="restart"/>
            <w:vAlign w:val="center"/>
          </w:tcPr>
          <w:p>
            <w:pPr>
              <w:jc w:val="center"/>
              <w:rPr>
                <w:rFonts w:cs="Calibri"/>
                <w:b/>
                <w:bCs/>
                <w:color w:val="000000"/>
                <w:szCs w:val="21"/>
              </w:rPr>
            </w:pPr>
            <w:r>
              <w:rPr>
                <w:rFonts w:cs="Calibri"/>
                <w:b/>
                <w:bCs/>
                <w:color w:val="000000"/>
                <w:szCs w:val="21"/>
              </w:rPr>
              <w:t>01</w:t>
            </w:r>
          </w:p>
        </w:tc>
        <w:tc>
          <w:tcPr>
            <w:tcW w:w="991" w:type="dxa"/>
            <w:vMerge w:val="restart"/>
            <w:vAlign w:val="center"/>
          </w:tcPr>
          <w:p>
            <w:pPr>
              <w:spacing w:line="360" w:lineRule="exact"/>
              <w:jc w:val="center"/>
              <w:rPr>
                <w:rFonts w:hint="eastAsia" w:cs="Calibri"/>
                <w:b/>
                <w:color w:val="000000"/>
                <w:szCs w:val="21"/>
              </w:rPr>
            </w:pPr>
            <w:r>
              <w:rPr>
                <w:rFonts w:cs="Calibri"/>
                <w:b/>
                <w:color w:val="000000"/>
                <w:szCs w:val="21"/>
              </w:rPr>
              <w:t>尸体检验</w:t>
            </w:r>
          </w:p>
          <w:p>
            <w:pPr>
              <w:spacing w:line="360" w:lineRule="exact"/>
              <w:ind w:left="210" w:hanging="220" w:hangingChars="100"/>
              <w:rPr>
                <w:rFonts w:hint="eastAsia" w:cs="Calibri"/>
                <w:color w:val="000000"/>
              </w:rPr>
            </w:pPr>
            <w:r>
              <w:rPr>
                <w:rFonts w:hint="eastAsia" w:cs="Calibri"/>
                <w:color w:val="000000"/>
                <w:szCs w:val="21"/>
              </w:rPr>
              <w:t>（</w:t>
            </w:r>
            <w:r>
              <w:rPr>
                <w:rFonts w:cs="Calibri"/>
                <w:color w:val="000000"/>
              </w:rPr>
              <w:t>死亡原因鉴定</w:t>
            </w:r>
            <w:r>
              <w:rPr>
                <w:rFonts w:hint="eastAsia" w:cs="Calibri"/>
                <w:color w:val="000000"/>
              </w:rPr>
              <w:t>、</w:t>
            </w:r>
            <w:r>
              <w:rPr>
                <w:rFonts w:cs="Calibri"/>
                <w:color w:val="000000"/>
              </w:rPr>
              <w:t>死亡方式鉴定</w:t>
            </w:r>
            <w:r>
              <w:rPr>
                <w:rFonts w:hint="eastAsia" w:cs="Calibri"/>
                <w:color w:val="000000"/>
              </w:rPr>
              <w:t>、</w:t>
            </w:r>
          </w:p>
          <w:p>
            <w:pPr>
              <w:spacing w:line="360" w:lineRule="exact"/>
              <w:ind w:firstLine="220" w:firstLineChars="100"/>
              <w:rPr>
                <w:rFonts w:hint="eastAsia" w:cs="Calibri"/>
                <w:color w:val="000000"/>
              </w:rPr>
            </w:pPr>
            <w:r>
              <w:rPr>
                <w:rFonts w:cs="Calibri"/>
                <w:color w:val="000000"/>
              </w:rPr>
              <w:t>死亡时间推断</w:t>
            </w:r>
            <w:r>
              <w:rPr>
                <w:rFonts w:hint="eastAsia" w:cs="Calibri"/>
                <w:color w:val="000000"/>
              </w:rPr>
              <w:t>、</w:t>
            </w:r>
          </w:p>
          <w:p>
            <w:pPr>
              <w:spacing w:line="360" w:lineRule="exact"/>
              <w:ind w:firstLine="220" w:firstLineChars="100"/>
              <w:rPr>
                <w:rFonts w:hint="eastAsia" w:cs="Calibri"/>
                <w:color w:val="000000"/>
              </w:rPr>
            </w:pPr>
            <w:r>
              <w:rPr>
                <w:rFonts w:cs="Calibri"/>
                <w:color w:val="000000"/>
              </w:rPr>
              <w:t>损伤时间鉴定</w:t>
            </w:r>
            <w:r>
              <w:rPr>
                <w:rFonts w:hint="eastAsia" w:cs="Calibri"/>
                <w:color w:val="000000"/>
              </w:rPr>
              <w:t>、</w:t>
            </w:r>
          </w:p>
          <w:p>
            <w:pPr>
              <w:spacing w:line="360" w:lineRule="exact"/>
              <w:ind w:firstLine="220" w:firstLineChars="100"/>
              <w:rPr>
                <w:rFonts w:cs="Calibri"/>
                <w:color w:val="000000"/>
              </w:rPr>
            </w:pPr>
            <w:r>
              <w:rPr>
                <w:rFonts w:cs="Calibri"/>
                <w:color w:val="000000"/>
              </w:rPr>
              <w:t>致伤物认定</w:t>
            </w:r>
            <w:r>
              <w:rPr>
                <w:rFonts w:hint="eastAsia" w:cs="Calibri"/>
                <w:color w:val="000000"/>
              </w:rPr>
              <w:t>）</w:t>
            </w:r>
          </w:p>
        </w:tc>
        <w:tc>
          <w:tcPr>
            <w:tcW w:w="720" w:type="dxa"/>
            <w:vAlign w:val="center"/>
          </w:tcPr>
          <w:p>
            <w:pPr>
              <w:rPr>
                <w:rFonts w:cs="Calibri"/>
                <w:bCs/>
                <w:color w:val="000000"/>
                <w:szCs w:val="21"/>
              </w:rPr>
            </w:pPr>
            <w:r>
              <w:rPr>
                <w:rFonts w:cs="Calibri"/>
                <w:color w:val="000000"/>
              </w:rPr>
              <w:t>尸体解剖室</w:t>
            </w:r>
          </w:p>
        </w:tc>
        <w:tc>
          <w:tcPr>
            <w:tcW w:w="1083" w:type="dxa"/>
            <w:vAlign w:val="center"/>
          </w:tcPr>
          <w:p>
            <w:pPr>
              <w:rPr>
                <w:rFonts w:cs="Calibri"/>
                <w:color w:val="000000"/>
              </w:rPr>
            </w:pPr>
            <w:r>
              <w:rPr>
                <w:rFonts w:cs="Calibri"/>
                <w:color w:val="000000"/>
              </w:rPr>
              <w:t>照明及消毒系统</w:t>
            </w:r>
            <w:r>
              <w:rPr>
                <w:rFonts w:hint="eastAsia" w:cs="Calibri"/>
                <w:color w:val="000000"/>
              </w:rPr>
              <w:t>(定制)</w:t>
            </w:r>
          </w:p>
        </w:tc>
        <w:tc>
          <w:tcPr>
            <w:tcW w:w="619" w:type="dxa"/>
            <w:vAlign w:val="center"/>
          </w:tcPr>
          <w:p>
            <w:pPr>
              <w:jc w:val="center"/>
              <w:rPr>
                <w:rFonts w:cs="Calibri"/>
                <w:color w:val="000000"/>
              </w:rPr>
            </w:pPr>
            <w:r>
              <w:rPr>
                <w:rFonts w:cs="Calibri"/>
                <w:color w:val="000000"/>
              </w:rPr>
              <w:t>1套</w:t>
            </w:r>
          </w:p>
        </w:tc>
        <w:tc>
          <w:tcPr>
            <w:tcW w:w="5517" w:type="dxa"/>
            <w:vAlign w:val="center"/>
          </w:tcPr>
          <w:p>
            <w:pPr>
              <w:numPr>
                <w:ilvl w:val="0"/>
                <w:numId w:val="14"/>
              </w:numPr>
              <w:jc w:val="left"/>
            </w:pPr>
            <w:r>
              <w:t>立式五孔无影灯照明系统</w:t>
            </w:r>
            <w:r>
              <w:rPr>
                <w:rFonts w:hint="eastAsia"/>
                <w:lang w:eastAsia="zh-CN"/>
              </w:rPr>
              <w:t>。</w:t>
            </w:r>
            <w:r>
              <w:t>该无影灯</w:t>
            </w:r>
            <w:r>
              <w:rPr>
                <w:rFonts w:hint="eastAsia"/>
                <w:lang w:eastAsia="zh-CN"/>
              </w:rPr>
              <w:t>能</w:t>
            </w:r>
            <w:r>
              <w:t>消除头、手等部位形成的阴影。</w:t>
            </w:r>
          </w:p>
          <w:p>
            <w:pPr>
              <w:numPr>
                <w:ilvl w:val="0"/>
                <w:numId w:val="14"/>
              </w:numPr>
              <w:ind w:left="0" w:leftChars="0" w:firstLine="0" w:firstLineChars="0"/>
              <w:jc w:val="both"/>
            </w:pPr>
            <w:r>
              <w:t>带刹车的可移动立式装置不受场地限制，移动方便；</w:t>
            </w:r>
          </w:p>
          <w:p>
            <w:pPr>
              <w:numPr>
                <w:ilvl w:val="0"/>
                <w:numId w:val="14"/>
              </w:numPr>
              <w:ind w:left="0" w:leftChars="0" w:firstLine="0" w:firstLineChars="0"/>
              <w:jc w:val="both"/>
            </w:pPr>
            <w:r>
              <w:t>技术指标： 照度：≥50000 lx； 色温：4500K； 电源：AC220V 50Hz； 灯泡额定电压：AC 24V； 灯泡额定功率：125 W</w:t>
            </w:r>
            <w:r>
              <w:rPr>
                <w:rFonts w:hint="eastAsia"/>
                <w:lang w:eastAsia="zh-CN"/>
              </w:rPr>
              <w:t>。</w:t>
            </w:r>
            <w:r>
              <w:t xml:space="preserve"> </w:t>
            </w:r>
          </w:p>
          <w:p>
            <w:pPr>
              <w:numPr>
                <w:ilvl w:val="0"/>
                <w:numId w:val="14"/>
              </w:numPr>
              <w:ind w:left="0" w:leftChars="0" w:firstLine="0" w:firstLineChars="0"/>
              <w:jc w:val="both"/>
              <w:rPr>
                <w:rFonts w:cs="Calibri"/>
                <w:color w:val="000000"/>
              </w:rPr>
            </w:pPr>
            <w:r>
              <w:rPr>
                <w:rFonts w:hint="eastAsia"/>
                <w:sz w:val="24"/>
              </w:rPr>
              <w:t>*</w:t>
            </w:r>
            <w:r>
              <w:t xml:space="preserve">紫外线杀菌灯车消毒系统 波长：253.7nm,辐照强度：≥90μw／cm²,紫外线灯管：30W×2 支 材质：钢制，喷塑型； 电源：220V 50Hz； 波长：253.7nm； 辐照强度：100μw／cm²； 紫外线灯管：30W*2 支； </w:t>
            </w:r>
          </w:p>
          <w:p>
            <w:pPr>
              <w:numPr>
                <w:ilvl w:val="0"/>
                <w:numId w:val="14"/>
              </w:numPr>
              <w:ind w:left="0" w:leftChars="0" w:firstLine="0" w:firstLineChars="0"/>
              <w:jc w:val="both"/>
              <w:rPr>
                <w:rFonts w:cs="Calibri"/>
                <w:color w:val="000000"/>
              </w:rPr>
            </w:pPr>
            <w:r>
              <w:t>定时范围：0～60min（机械定时）、0～99min（电子定时）； 灯臂调节角度：0～135°。</w:t>
            </w:r>
          </w:p>
        </w:tc>
        <w:tc>
          <w:tcPr>
            <w:tcW w:w="979" w:type="dxa"/>
            <w:vAlign w:val="center"/>
          </w:tcPr>
          <w:p>
            <w:pPr>
              <w:rPr>
                <w:rFonts w:cs="Calibri"/>
                <w:color w:val="000000"/>
                <w:szCs w:val="21"/>
              </w:rPr>
            </w:pPr>
            <w:r>
              <w:rPr>
                <w:rFonts w:cs="Calibri"/>
                <w:color w:val="000000"/>
                <w:szCs w:val="21"/>
              </w:rPr>
              <w:t>法医病理鉴定尸体检验事项应有可使用的尸体解剖室</w:t>
            </w:r>
            <w:r>
              <w:rPr>
                <w:rFonts w:hint="eastAsia" w:cs="Calibri"/>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2" w:hRule="atLeast"/>
          <w:jc w:val="center"/>
        </w:trPr>
        <w:tc>
          <w:tcPr>
            <w:tcW w:w="568" w:type="dxa"/>
            <w:vMerge w:val="continue"/>
            <w:vAlign w:val="center"/>
          </w:tcPr>
          <w:p>
            <w:pPr>
              <w:jc w:val="center"/>
              <w:rPr>
                <w:rFonts w:cs="Calibri"/>
                <w:bCs/>
                <w:color w:val="000000"/>
                <w:szCs w:val="21"/>
              </w:rPr>
            </w:pPr>
          </w:p>
        </w:tc>
        <w:tc>
          <w:tcPr>
            <w:tcW w:w="991" w:type="dxa"/>
            <w:vMerge w:val="continue"/>
            <w:vAlign w:val="top"/>
          </w:tcPr>
          <w:p>
            <w:pPr>
              <w:jc w:val="center"/>
              <w:rPr>
                <w:rFonts w:cs="Calibri"/>
                <w:bCs/>
                <w:color w:val="000000"/>
                <w:szCs w:val="21"/>
              </w:rPr>
            </w:pPr>
          </w:p>
        </w:tc>
        <w:tc>
          <w:tcPr>
            <w:tcW w:w="720" w:type="dxa"/>
            <w:vMerge w:val="restart"/>
            <w:vAlign w:val="center"/>
          </w:tcPr>
          <w:p>
            <w:pPr>
              <w:rPr>
                <w:rFonts w:cs="Calibri"/>
                <w:bCs/>
                <w:color w:val="000000"/>
                <w:szCs w:val="21"/>
              </w:rPr>
            </w:pPr>
            <w:r>
              <w:rPr>
                <w:rFonts w:cs="Calibri"/>
                <w:bCs/>
                <w:color w:val="000000"/>
                <w:szCs w:val="21"/>
              </w:rPr>
              <w:t>组织器官取材、储存室</w:t>
            </w:r>
          </w:p>
        </w:tc>
        <w:tc>
          <w:tcPr>
            <w:tcW w:w="1083" w:type="dxa"/>
            <w:vAlign w:val="center"/>
          </w:tcPr>
          <w:p>
            <w:pPr>
              <w:rPr>
                <w:rFonts w:hint="eastAsia" w:cs="Calibri"/>
                <w:bCs/>
                <w:color w:val="000000"/>
                <w:szCs w:val="21"/>
              </w:rPr>
            </w:pPr>
            <w:r>
              <w:rPr>
                <w:rFonts w:cs="Calibri"/>
                <w:bCs/>
                <w:color w:val="000000"/>
                <w:szCs w:val="21"/>
              </w:rPr>
              <w:t>取材台（含取材器械）</w:t>
            </w:r>
          </w:p>
          <w:p>
            <w:pPr>
              <w:rPr>
                <w:rFonts w:cs="Calibri"/>
                <w:color w:val="000000"/>
                <w:szCs w:val="21"/>
              </w:rPr>
            </w:pPr>
          </w:p>
        </w:tc>
        <w:tc>
          <w:tcPr>
            <w:tcW w:w="619" w:type="dxa"/>
            <w:vAlign w:val="center"/>
          </w:tcPr>
          <w:p>
            <w:pPr>
              <w:jc w:val="center"/>
              <w:rPr>
                <w:rFonts w:cs="Calibri"/>
                <w:color w:val="000000"/>
                <w:szCs w:val="21"/>
              </w:rPr>
            </w:pPr>
            <w:r>
              <w:rPr>
                <w:rFonts w:cs="Calibri"/>
                <w:color w:val="000000"/>
                <w:szCs w:val="21"/>
              </w:rPr>
              <w:t>1台</w:t>
            </w:r>
          </w:p>
        </w:tc>
        <w:tc>
          <w:tcPr>
            <w:tcW w:w="5517" w:type="dxa"/>
            <w:vAlign w:val="center"/>
          </w:tcPr>
          <w:p>
            <w:pPr>
              <w:numPr>
                <w:ilvl w:val="0"/>
                <w:numId w:val="15"/>
              </w:numPr>
              <w:jc w:val="left"/>
            </w:pPr>
            <w:r>
              <w:t>用于排出实验过程中的有害气体，风机静音强力后排气系统</w:t>
            </w:r>
          </w:p>
          <w:p>
            <w:pPr>
              <w:numPr>
                <w:ilvl w:val="0"/>
                <w:numId w:val="15"/>
              </w:numPr>
              <w:jc w:val="left"/>
              <w:rPr>
                <w:rFonts w:cs="Calibri"/>
                <w:color w:val="000000"/>
              </w:rPr>
            </w:pPr>
            <w:r>
              <w:rPr>
                <w:rFonts w:hint="eastAsia"/>
                <w:sz w:val="24"/>
              </w:rPr>
              <w:t>*</w:t>
            </w:r>
            <w:r>
              <w:t>柜体材质：全 304 不锈钢</w:t>
            </w:r>
            <w:r>
              <w:rPr>
                <w:rFonts w:hint="eastAsia"/>
                <w:lang w:eastAsia="zh-CN"/>
              </w:rPr>
              <w:t>。</w:t>
            </w:r>
          </w:p>
          <w:p>
            <w:pPr>
              <w:numPr>
                <w:ilvl w:val="0"/>
                <w:numId w:val="15"/>
              </w:numPr>
              <w:jc w:val="center"/>
              <w:rPr>
                <w:rFonts w:cs="Calibri"/>
                <w:color w:val="000000"/>
              </w:rPr>
            </w:pPr>
            <w:r>
              <w:t>操作窗口：透明窗口可升降并能在任何位置停止</w:t>
            </w:r>
            <w:r>
              <w:rPr>
                <w:rFonts w:hint="eastAsia"/>
                <w:lang w:eastAsia="zh-CN"/>
              </w:rPr>
              <w:t>，</w:t>
            </w:r>
            <w:r>
              <w:t>照明灯、紫外线消毒灯</w:t>
            </w:r>
            <w:r>
              <w:rPr>
                <w:rFonts w:hint="eastAsia"/>
                <w:lang w:eastAsia="zh-CN"/>
              </w:rPr>
              <w:t>。</w:t>
            </w:r>
            <w:r>
              <w:t>外形尺寸：1500</w:t>
            </w:r>
            <w:r>
              <w:rPr>
                <w:rFonts w:hint="eastAsia"/>
              </w:rPr>
              <w:t>*</w:t>
            </w:r>
            <w:r>
              <w:t>800</w:t>
            </w:r>
            <w:r>
              <w:rPr>
                <w:rFonts w:hint="eastAsia"/>
              </w:rPr>
              <w:t>*</w:t>
            </w:r>
            <w:r>
              <w:t>2300mm（长宽高）</w:t>
            </w:r>
          </w:p>
        </w:tc>
        <w:tc>
          <w:tcPr>
            <w:tcW w:w="979" w:type="dxa"/>
            <w:vMerge w:val="restart"/>
            <w:vAlign w:val="center"/>
          </w:tcPr>
          <w:p>
            <w:pPr>
              <w:rPr>
                <w:rFonts w:cs="Calibri"/>
                <w:color w:val="000000"/>
                <w:szCs w:val="21"/>
              </w:rPr>
            </w:pPr>
            <w:r>
              <w:rPr>
                <w:rFonts w:cs="Calibri"/>
                <w:color w:val="000000"/>
                <w:szCs w:val="21"/>
              </w:rPr>
              <w:t>法医病理鉴定尸体检验事项均须配置</w:t>
            </w:r>
            <w:r>
              <w:rPr>
                <w:rFonts w:cs="Calibri"/>
                <w:bCs/>
                <w:color w:val="000000"/>
                <w:szCs w:val="21"/>
              </w:rPr>
              <w:t>组织器官取材、储存室</w:t>
            </w:r>
            <w:r>
              <w:rPr>
                <w:rFonts w:hint="eastAsia" w:cs="Calibri"/>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jc w:val="center"/>
        </w:trPr>
        <w:tc>
          <w:tcPr>
            <w:tcW w:w="568" w:type="dxa"/>
            <w:vMerge w:val="continue"/>
            <w:vAlign w:val="center"/>
          </w:tcPr>
          <w:p>
            <w:pPr>
              <w:jc w:val="center"/>
              <w:rPr>
                <w:rFonts w:cs="Calibri"/>
                <w:bCs/>
                <w:color w:val="000000"/>
                <w:szCs w:val="21"/>
              </w:rPr>
            </w:pPr>
          </w:p>
        </w:tc>
        <w:tc>
          <w:tcPr>
            <w:tcW w:w="991" w:type="dxa"/>
            <w:vMerge w:val="continue"/>
            <w:vAlign w:val="top"/>
          </w:tcPr>
          <w:p>
            <w:pPr>
              <w:jc w:val="center"/>
              <w:rPr>
                <w:rFonts w:cs="Calibri"/>
                <w:bCs/>
                <w:color w:val="000000"/>
                <w:szCs w:val="21"/>
              </w:rPr>
            </w:pPr>
          </w:p>
        </w:tc>
        <w:tc>
          <w:tcPr>
            <w:tcW w:w="720" w:type="dxa"/>
            <w:vMerge w:val="continue"/>
            <w:vAlign w:val="center"/>
          </w:tcPr>
          <w:p>
            <w:pPr>
              <w:rPr>
                <w:rFonts w:cs="Calibri"/>
                <w:bCs/>
                <w:color w:val="000000"/>
                <w:szCs w:val="21"/>
              </w:rPr>
            </w:pPr>
          </w:p>
        </w:tc>
        <w:tc>
          <w:tcPr>
            <w:tcW w:w="1083" w:type="dxa"/>
            <w:vAlign w:val="center"/>
          </w:tcPr>
          <w:p>
            <w:pPr>
              <w:rPr>
                <w:rFonts w:cs="Calibri"/>
                <w:color w:val="000000"/>
              </w:rPr>
            </w:pPr>
            <w:r>
              <w:rPr>
                <w:rFonts w:cs="Calibri"/>
                <w:color w:val="000000"/>
              </w:rPr>
              <w:t>进排水系统、照明及消毒系统</w:t>
            </w:r>
          </w:p>
        </w:tc>
        <w:tc>
          <w:tcPr>
            <w:tcW w:w="619" w:type="dxa"/>
            <w:vAlign w:val="center"/>
          </w:tcPr>
          <w:p>
            <w:pPr>
              <w:jc w:val="center"/>
              <w:rPr>
                <w:rFonts w:cs="Calibri"/>
                <w:color w:val="000000"/>
              </w:rPr>
            </w:pPr>
            <w:r>
              <w:rPr>
                <w:rFonts w:cs="Calibri"/>
                <w:color w:val="000000"/>
              </w:rPr>
              <w:t>1套</w:t>
            </w:r>
          </w:p>
        </w:tc>
        <w:tc>
          <w:tcPr>
            <w:tcW w:w="5517" w:type="dxa"/>
            <w:vAlign w:val="center"/>
          </w:tcPr>
          <w:p>
            <w:pPr>
              <w:jc w:val="center"/>
              <w:rPr>
                <w:rFonts w:cs="Calibri"/>
                <w:color w:val="000000"/>
                <w:szCs w:val="21"/>
              </w:rPr>
            </w:pPr>
            <w:r>
              <w:rPr>
                <w:rFonts w:cs="Calibri"/>
                <w:color w:val="000000"/>
              </w:rPr>
              <w:t>必配</w:t>
            </w:r>
          </w:p>
        </w:tc>
        <w:tc>
          <w:tcPr>
            <w:tcW w:w="979" w:type="dxa"/>
            <w:vMerge w:val="continue"/>
            <w:vAlign w:val="center"/>
          </w:tcPr>
          <w:p>
            <w:pPr>
              <w:rPr>
                <w:rFonts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44" w:hRule="atLeast"/>
          <w:jc w:val="center"/>
        </w:trPr>
        <w:tc>
          <w:tcPr>
            <w:tcW w:w="568" w:type="dxa"/>
            <w:vMerge w:val="continue"/>
            <w:vAlign w:val="center"/>
          </w:tcPr>
          <w:p>
            <w:pPr>
              <w:jc w:val="center"/>
              <w:rPr>
                <w:rFonts w:cs="Calibri"/>
                <w:bCs/>
                <w:color w:val="000000"/>
                <w:szCs w:val="21"/>
              </w:rPr>
            </w:pPr>
          </w:p>
        </w:tc>
        <w:tc>
          <w:tcPr>
            <w:tcW w:w="991" w:type="dxa"/>
            <w:vMerge w:val="continue"/>
            <w:vAlign w:val="top"/>
          </w:tcPr>
          <w:p>
            <w:pPr>
              <w:jc w:val="center"/>
              <w:rPr>
                <w:rFonts w:cs="Calibri"/>
                <w:bCs/>
                <w:color w:val="000000"/>
                <w:szCs w:val="21"/>
              </w:rPr>
            </w:pPr>
          </w:p>
        </w:tc>
        <w:tc>
          <w:tcPr>
            <w:tcW w:w="720" w:type="dxa"/>
            <w:vAlign w:val="center"/>
          </w:tcPr>
          <w:p>
            <w:pPr>
              <w:rPr>
                <w:rFonts w:hint="eastAsia" w:cs="Calibri"/>
                <w:bCs/>
                <w:color w:val="000000"/>
                <w:szCs w:val="21"/>
              </w:rPr>
            </w:pPr>
            <w:r>
              <w:rPr>
                <w:rFonts w:hint="eastAsia" w:cs="Calibri"/>
                <w:bCs/>
                <w:color w:val="000000"/>
                <w:szCs w:val="21"/>
              </w:rPr>
              <w:t>照相机</w:t>
            </w:r>
          </w:p>
        </w:tc>
        <w:tc>
          <w:tcPr>
            <w:tcW w:w="1083" w:type="dxa"/>
            <w:vAlign w:val="center"/>
          </w:tcPr>
          <w:p>
            <w:pPr>
              <w:rPr>
                <w:rFonts w:cs="Calibri"/>
                <w:color w:val="000000"/>
              </w:rPr>
            </w:pPr>
          </w:p>
          <w:p>
            <w:pPr>
              <w:rPr>
                <w:rFonts w:hint="eastAsia" w:cs="Calibri"/>
                <w:color w:val="000000"/>
              </w:rPr>
            </w:pPr>
            <w:r>
              <w:rPr>
                <w:rFonts w:hint="eastAsia" w:cs="Calibri"/>
                <w:color w:val="000000"/>
              </w:rPr>
              <w:t>尸检拍照</w:t>
            </w:r>
          </w:p>
        </w:tc>
        <w:tc>
          <w:tcPr>
            <w:tcW w:w="619" w:type="dxa"/>
            <w:vAlign w:val="center"/>
          </w:tcPr>
          <w:p>
            <w:pPr>
              <w:jc w:val="center"/>
              <w:rPr>
                <w:rFonts w:cs="Calibri"/>
                <w:color w:val="000000"/>
              </w:rPr>
            </w:pPr>
            <w:r>
              <w:rPr>
                <w:rFonts w:cs="Calibri"/>
                <w:color w:val="000000"/>
              </w:rPr>
              <w:t>1台</w:t>
            </w:r>
          </w:p>
        </w:tc>
        <w:tc>
          <w:tcPr>
            <w:tcW w:w="5517" w:type="dxa"/>
            <w:vAlign w:val="center"/>
          </w:tcPr>
          <w:p>
            <w:pPr>
              <w:jc w:val="left"/>
              <w:rPr>
                <w:rFonts w:hint="eastAsia" w:eastAsia="宋体" w:cs="Calibri"/>
                <w:color w:val="000000"/>
                <w:lang w:eastAsia="zh-CN"/>
              </w:rPr>
            </w:pPr>
            <w:r>
              <w:rPr>
                <w:rFonts w:hint="eastAsia" w:cs="Calibri"/>
                <w:color w:val="000000"/>
              </w:rPr>
              <w:t>*1.对焦方式</w:t>
            </w:r>
            <w:r>
              <w:rPr>
                <w:rFonts w:hint="eastAsia" w:cs="Calibri"/>
                <w:color w:val="000000"/>
              </w:rPr>
              <w:tab/>
            </w:r>
            <w:r>
              <w:rPr>
                <w:rFonts w:hint="eastAsia" w:cs="Calibri"/>
                <w:color w:val="000000"/>
              </w:rPr>
              <w:t>单次自动对焦，人工智能伺服自动对焦，人工智能自动对焦，手动对焦</w:t>
            </w:r>
            <w:r>
              <w:rPr>
                <w:rFonts w:hint="eastAsia" w:cs="Calibri"/>
                <w:color w:val="000000"/>
                <w:lang w:eastAsia="zh-CN"/>
              </w:rPr>
              <w:t>。</w:t>
            </w:r>
          </w:p>
          <w:p>
            <w:pPr>
              <w:jc w:val="left"/>
              <w:rPr>
                <w:rFonts w:hint="eastAsia" w:cs="Calibri"/>
                <w:color w:val="000000"/>
              </w:rPr>
            </w:pPr>
            <w:r>
              <w:rPr>
                <w:rFonts w:hint="eastAsia" w:cs="Calibri"/>
                <w:color w:val="000000"/>
              </w:rPr>
              <w:t>2.对焦区域</w:t>
            </w:r>
            <w:r>
              <w:rPr>
                <w:rFonts w:hint="eastAsia" w:cs="Calibri"/>
                <w:color w:val="000000"/>
              </w:rPr>
              <w:tab/>
            </w:r>
            <w:r>
              <w:rPr>
                <w:rFonts w:hint="eastAsia" w:cs="Calibri"/>
                <w:color w:val="000000"/>
              </w:rPr>
              <w:t>手动选择：定点自动对焦，单点自动对焦，区域自动对焦，大区域自动对焦</w:t>
            </w:r>
          </w:p>
          <w:p>
            <w:pPr>
              <w:jc w:val="left"/>
              <w:rPr>
                <w:rFonts w:hint="eastAsia" w:cs="Calibri"/>
                <w:color w:val="000000"/>
              </w:rPr>
            </w:pPr>
            <w:r>
              <w:rPr>
                <w:rFonts w:hint="eastAsia" w:cs="Calibri"/>
                <w:color w:val="000000"/>
              </w:rPr>
              <w:t>自动选择：45点自动对焦</w:t>
            </w:r>
          </w:p>
          <w:p>
            <w:pPr>
              <w:jc w:val="left"/>
              <w:rPr>
                <w:rFonts w:hint="eastAsia" w:cs="Calibri"/>
                <w:color w:val="000000"/>
              </w:rPr>
            </w:pPr>
            <w:r>
              <w:rPr>
                <w:rFonts w:hint="eastAsia" w:cs="Calibri"/>
                <w:color w:val="000000"/>
              </w:rPr>
              <w:t>3.对焦辅助方式</w:t>
            </w:r>
            <w:r>
              <w:rPr>
                <w:rFonts w:hint="eastAsia" w:cs="Calibri"/>
                <w:color w:val="000000"/>
              </w:rPr>
              <w:tab/>
            </w:r>
            <w:r>
              <w:rPr>
                <w:rFonts w:hint="eastAsia" w:cs="Calibri"/>
                <w:color w:val="000000"/>
              </w:rPr>
              <w:t>内置闪光灯发出短促连续闪光，有效距离约4米以内</w:t>
            </w:r>
          </w:p>
          <w:p>
            <w:pPr>
              <w:jc w:val="left"/>
              <w:rPr>
                <w:rFonts w:hint="eastAsia" w:cs="Calibri"/>
                <w:color w:val="000000"/>
              </w:rPr>
            </w:pPr>
            <w:r>
              <w:rPr>
                <w:rFonts w:hint="eastAsia" w:cs="Calibri"/>
                <w:color w:val="000000"/>
              </w:rPr>
              <w:t>*4.手动：在±5级间以1/2或1/3级为单位调节（取景器拍摄），在±3级间以1/2或1/3级为单位调节（实时显示拍摄/短片拍摄）</w:t>
            </w:r>
          </w:p>
          <w:p>
            <w:pPr>
              <w:jc w:val="left"/>
              <w:rPr>
                <w:rFonts w:hint="eastAsia" w:cs="Calibri"/>
                <w:color w:val="000000"/>
              </w:rPr>
            </w:pPr>
            <w:r>
              <w:rPr>
                <w:rFonts w:hint="eastAsia" w:cs="Calibri"/>
                <w:color w:val="000000"/>
              </w:rPr>
              <w:t>5.自动包围曝光：在±3级间以1/2或1/3级为单位调节（可与手动曝光补偿组合使用）</w:t>
            </w:r>
          </w:p>
          <w:p>
            <w:pPr>
              <w:jc w:val="left"/>
              <w:rPr>
                <w:rFonts w:hint="eastAsia" w:cs="Calibri"/>
                <w:color w:val="000000"/>
              </w:rPr>
            </w:pPr>
            <w:r>
              <w:rPr>
                <w:rFonts w:hint="eastAsia" w:cs="Calibri"/>
                <w:color w:val="000000"/>
              </w:rPr>
              <w:t>6.测光方式</w:t>
            </w:r>
            <w:r>
              <w:rPr>
                <w:rFonts w:hint="eastAsia" w:cs="Calibri"/>
                <w:color w:val="000000"/>
              </w:rPr>
              <w:tab/>
            </w:r>
            <w:r>
              <w:rPr>
                <w:rFonts w:hint="eastAsia" w:cs="Calibri"/>
                <w:color w:val="000000"/>
              </w:rPr>
              <w:t>取景器拍摄：使用约22万像素RGB+红外测光感应器，216分区（18×12）TTL全开光圈测光</w:t>
            </w:r>
          </w:p>
          <w:p>
            <w:pPr>
              <w:jc w:val="left"/>
              <w:rPr>
                <w:rFonts w:hint="eastAsia" w:eastAsia="宋体" w:cs="Calibri"/>
                <w:color w:val="000000"/>
                <w:lang w:eastAsia="zh-CN"/>
              </w:rPr>
            </w:pPr>
            <w:r>
              <w:rPr>
                <w:rFonts w:hint="eastAsia" w:cs="Calibri"/>
                <w:color w:val="000000"/>
              </w:rPr>
              <w:t>实时显示拍摄/短片拍摄：使用图像感应器进行实时测光，384分区（24×16）测光</w:t>
            </w:r>
            <w:r>
              <w:rPr>
                <w:rFonts w:hint="eastAsia" w:cs="Calibri"/>
                <w:color w:val="000000"/>
                <w:lang w:eastAsia="zh-CN"/>
              </w:rPr>
              <w:t>。</w:t>
            </w:r>
          </w:p>
        </w:tc>
        <w:tc>
          <w:tcPr>
            <w:tcW w:w="979" w:type="dxa"/>
            <w:vAlign w:val="center"/>
          </w:tcPr>
          <w:p>
            <w:pPr>
              <w:rPr>
                <w:rFonts w:hint="eastAsia" w:cs="Calibri"/>
                <w:color w:val="000000"/>
                <w:szCs w:val="21"/>
              </w:rPr>
            </w:pPr>
            <w:r>
              <w:rPr>
                <w:rFonts w:cs="Calibri"/>
                <w:color w:val="000000"/>
                <w:szCs w:val="21"/>
              </w:rPr>
              <w:t>法医病理鉴定尸体检验</w:t>
            </w:r>
            <w:r>
              <w:rPr>
                <w:rFonts w:hint="eastAsia" w:cs="Calibri"/>
                <w:color w:val="000000"/>
                <w:szCs w:val="21"/>
              </w:rPr>
              <w:t>拍照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0" w:hRule="atLeast"/>
          <w:jc w:val="center"/>
        </w:trPr>
        <w:tc>
          <w:tcPr>
            <w:tcW w:w="568" w:type="dxa"/>
            <w:vMerge w:val="continue"/>
            <w:vAlign w:val="center"/>
          </w:tcPr>
          <w:p>
            <w:pPr>
              <w:jc w:val="center"/>
              <w:rPr>
                <w:rFonts w:cs="Calibri"/>
                <w:bCs/>
                <w:color w:val="000000"/>
                <w:szCs w:val="21"/>
              </w:rPr>
            </w:pPr>
          </w:p>
        </w:tc>
        <w:tc>
          <w:tcPr>
            <w:tcW w:w="991" w:type="dxa"/>
            <w:vMerge w:val="continue"/>
            <w:vAlign w:val="top"/>
          </w:tcPr>
          <w:p>
            <w:pPr>
              <w:jc w:val="center"/>
              <w:rPr>
                <w:rFonts w:cs="Calibri"/>
                <w:bCs/>
                <w:color w:val="000000"/>
                <w:szCs w:val="21"/>
              </w:rPr>
            </w:pPr>
          </w:p>
        </w:tc>
        <w:tc>
          <w:tcPr>
            <w:tcW w:w="720" w:type="dxa"/>
            <w:vMerge w:val="restart"/>
            <w:vAlign w:val="center"/>
          </w:tcPr>
          <w:p>
            <w:pPr>
              <w:rPr>
                <w:rFonts w:cs="Calibri"/>
                <w:bCs/>
                <w:color w:val="000000"/>
                <w:szCs w:val="21"/>
              </w:rPr>
            </w:pPr>
            <w:r>
              <w:rPr>
                <w:rFonts w:cs="Calibri"/>
                <w:bCs/>
                <w:color w:val="000000"/>
                <w:szCs w:val="21"/>
              </w:rPr>
              <w:t>切片、蜡块存放室</w:t>
            </w:r>
          </w:p>
        </w:tc>
        <w:tc>
          <w:tcPr>
            <w:tcW w:w="1083" w:type="dxa"/>
            <w:vAlign w:val="center"/>
          </w:tcPr>
          <w:p>
            <w:pPr>
              <w:jc w:val="left"/>
              <w:rPr>
                <w:rFonts w:cs="Calibri"/>
                <w:color w:val="000000"/>
              </w:rPr>
            </w:pPr>
            <w:r>
              <w:rPr>
                <w:rFonts w:cs="Calibri"/>
                <w:bCs/>
                <w:color w:val="000000"/>
                <w:szCs w:val="21"/>
              </w:rPr>
              <w:t>切片存放柜</w:t>
            </w:r>
            <w:r>
              <w:rPr>
                <w:rFonts w:hint="eastAsia" w:cs="Calibri"/>
                <w:bCs/>
                <w:color w:val="000000"/>
                <w:szCs w:val="21"/>
              </w:rPr>
              <w:t xml:space="preserve"> </w:t>
            </w:r>
          </w:p>
        </w:tc>
        <w:tc>
          <w:tcPr>
            <w:tcW w:w="619" w:type="dxa"/>
            <w:vAlign w:val="center"/>
          </w:tcPr>
          <w:p>
            <w:pPr>
              <w:jc w:val="center"/>
              <w:rPr>
                <w:rFonts w:cs="Calibri"/>
                <w:color w:val="000000"/>
              </w:rPr>
            </w:pPr>
            <w:r>
              <w:rPr>
                <w:rFonts w:cs="Calibri"/>
                <w:color w:val="000000"/>
              </w:rPr>
              <w:t>8套</w:t>
            </w:r>
          </w:p>
        </w:tc>
        <w:tc>
          <w:tcPr>
            <w:tcW w:w="5517" w:type="dxa"/>
            <w:vAlign w:val="center"/>
          </w:tcPr>
          <w:p>
            <w:pPr>
              <w:numPr>
                <w:ilvl w:val="0"/>
                <w:numId w:val="16"/>
              </w:numPr>
              <w:jc w:val="left"/>
            </w:pPr>
            <w:r>
              <w:t>底座采用宝ＳＰＣＣ，底座１．２冷轧钢板，箱休０．８冷轧钢板，抽 屉０．８冷轧钢板，七十二抽（十二节，每节六抽，加一底座，每只抽 屉可存放标准玻璃切片９００张，每组存放切片６０００张以上）</w:t>
            </w:r>
          </w:p>
          <w:p>
            <w:pPr>
              <w:numPr>
                <w:ilvl w:val="0"/>
                <w:numId w:val="16"/>
              </w:numPr>
              <w:ind w:left="0" w:leftChars="0" w:firstLine="0" w:firstLineChars="0"/>
              <w:jc w:val="left"/>
            </w:pPr>
            <w:r>
              <w:rPr>
                <w:rFonts w:hint="eastAsia"/>
                <w:sz w:val="24"/>
              </w:rPr>
              <w:t>*</w:t>
            </w:r>
            <w:r>
              <w:t>玻片专用抽采用进口ＡＢＳ板式滑道，抽屉内置暗锁，防滑功能。拉手采 用ＡＢＳ镀铬，抽屉内分六个空间，便于存档。</w:t>
            </w:r>
          </w:p>
          <w:p>
            <w:pPr>
              <w:numPr>
                <w:ilvl w:val="0"/>
                <w:numId w:val="16"/>
              </w:numPr>
              <w:ind w:left="0" w:leftChars="0" w:firstLine="0" w:firstLineChars="0"/>
              <w:jc w:val="left"/>
              <w:rPr>
                <w:rFonts w:cs="Calibri"/>
                <w:color w:val="000000"/>
              </w:rPr>
            </w:pPr>
            <w:r>
              <w:t xml:space="preserve">柜体表面处理脱脂除 油、表调、锌系磷化、钝化、粉末喷涂。 插糟：金属开模专用插糟。标准糟：一体化冲压成型。 </w:t>
            </w:r>
          </w:p>
        </w:tc>
        <w:tc>
          <w:tcPr>
            <w:tcW w:w="979" w:type="dxa"/>
            <w:vMerge w:val="restart"/>
            <w:vAlign w:val="center"/>
          </w:tcPr>
          <w:p>
            <w:pPr>
              <w:rPr>
                <w:rFonts w:cs="Calibri"/>
                <w:szCs w:val="21"/>
              </w:rPr>
            </w:pPr>
            <w:r>
              <w:rPr>
                <w:rFonts w:cs="Calibri"/>
                <w:szCs w:val="21"/>
              </w:rPr>
              <w:t>法医病理鉴定尸体检验事项均须配置</w:t>
            </w:r>
            <w:r>
              <w:rPr>
                <w:rFonts w:cs="Calibri"/>
                <w:bCs/>
                <w:szCs w:val="21"/>
              </w:rPr>
              <w:t>切片、蜡块存放室</w:t>
            </w:r>
            <w:r>
              <w:rPr>
                <w:rFonts w:hint="eastAsia" w:cs="Calibri"/>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0" w:hRule="atLeast"/>
          <w:jc w:val="center"/>
        </w:trPr>
        <w:tc>
          <w:tcPr>
            <w:tcW w:w="568" w:type="dxa"/>
            <w:vMerge w:val="continue"/>
            <w:vAlign w:val="center"/>
          </w:tcPr>
          <w:p>
            <w:pPr>
              <w:jc w:val="center"/>
              <w:rPr>
                <w:rFonts w:cs="Calibri"/>
                <w:bCs/>
                <w:color w:val="000000"/>
                <w:szCs w:val="21"/>
              </w:rPr>
            </w:pPr>
          </w:p>
        </w:tc>
        <w:tc>
          <w:tcPr>
            <w:tcW w:w="991" w:type="dxa"/>
            <w:vMerge w:val="continue"/>
            <w:vAlign w:val="top"/>
          </w:tcPr>
          <w:p>
            <w:pPr>
              <w:jc w:val="center"/>
              <w:rPr>
                <w:rFonts w:cs="Calibri"/>
                <w:b/>
                <w:bCs/>
                <w:color w:val="000000"/>
                <w:szCs w:val="21"/>
              </w:rPr>
            </w:pPr>
          </w:p>
        </w:tc>
        <w:tc>
          <w:tcPr>
            <w:tcW w:w="720" w:type="dxa"/>
            <w:vMerge w:val="continue"/>
            <w:vAlign w:val="center"/>
          </w:tcPr>
          <w:p>
            <w:pPr>
              <w:jc w:val="center"/>
              <w:rPr>
                <w:rFonts w:cs="Calibri"/>
                <w:b/>
                <w:bCs/>
                <w:color w:val="000000"/>
                <w:szCs w:val="21"/>
              </w:rPr>
            </w:pPr>
          </w:p>
        </w:tc>
        <w:tc>
          <w:tcPr>
            <w:tcW w:w="1083" w:type="dxa"/>
            <w:vAlign w:val="center"/>
          </w:tcPr>
          <w:p>
            <w:pPr>
              <w:jc w:val="left"/>
              <w:rPr>
                <w:rFonts w:cs="Calibri"/>
                <w:color w:val="000000"/>
              </w:rPr>
            </w:pPr>
            <w:r>
              <w:rPr>
                <w:rFonts w:cs="Calibri"/>
                <w:color w:val="000000"/>
              </w:rPr>
              <w:t>蜡块存放柜</w:t>
            </w:r>
            <w:r>
              <w:rPr>
                <w:rFonts w:hint="eastAsia" w:cs="Calibri"/>
                <w:color w:val="000000"/>
              </w:rPr>
              <w:t xml:space="preserve">  </w:t>
            </w:r>
          </w:p>
        </w:tc>
        <w:tc>
          <w:tcPr>
            <w:tcW w:w="619" w:type="dxa"/>
            <w:vAlign w:val="center"/>
          </w:tcPr>
          <w:p>
            <w:pPr>
              <w:jc w:val="center"/>
              <w:rPr>
                <w:rFonts w:cs="Calibri"/>
                <w:color w:val="000000"/>
              </w:rPr>
            </w:pPr>
            <w:r>
              <w:rPr>
                <w:rFonts w:cs="Calibri"/>
                <w:color w:val="000000"/>
              </w:rPr>
              <w:t>8套</w:t>
            </w:r>
          </w:p>
        </w:tc>
        <w:tc>
          <w:tcPr>
            <w:tcW w:w="5517" w:type="dxa"/>
            <w:vAlign w:val="center"/>
          </w:tcPr>
          <w:p>
            <w:pPr>
              <w:numPr>
                <w:ilvl w:val="0"/>
                <w:numId w:val="17"/>
              </w:numPr>
              <w:jc w:val="left"/>
            </w:pPr>
            <w:r>
              <w:t xml:space="preserve">底座采用宝ＳＰＣＣ，底座１．２冷轧钢板，箱体０．８冷轧钢板，抽 屉０．８冷轧钢板，每组３节，加底座一只，每节六个大抽，中间有活 动分隔条可灵活归类，可存放包埋盒蜡块１１０００块左右． </w:t>
            </w:r>
          </w:p>
          <w:p>
            <w:pPr>
              <w:numPr>
                <w:ilvl w:val="0"/>
                <w:numId w:val="17"/>
              </w:numPr>
              <w:jc w:val="left"/>
              <w:rPr>
                <w:rFonts w:cs="Calibri"/>
                <w:color w:val="000000"/>
              </w:rPr>
            </w:pPr>
            <w:r>
              <w:t xml:space="preserve">拉手：ＡＢＳ暗拉手．表面处理：脱脂除油、表调、锌系磷化、钝化、 粉末喷涂。专用插糟、标鉴糟一体化冲压成型。 </w:t>
            </w:r>
          </w:p>
        </w:tc>
        <w:tc>
          <w:tcPr>
            <w:tcW w:w="979" w:type="dxa"/>
            <w:vMerge w:val="continue"/>
            <w:vAlign w:val="center"/>
          </w:tcPr>
          <w:p>
            <w:pPr>
              <w:rPr>
                <w:rFonts w:cs="Calibri"/>
                <w:szCs w:val="21"/>
              </w:rPr>
            </w:pPr>
          </w:p>
        </w:tc>
      </w:tr>
    </w:tbl>
    <w:p>
      <w:pPr>
        <w:spacing w:line="360" w:lineRule="exact"/>
        <w:rPr>
          <w:rFonts w:cs="Calibri"/>
          <w:b/>
          <w:bCs/>
          <w:szCs w:val="21"/>
        </w:rPr>
      </w:pPr>
    </w:p>
    <w:p>
      <w:pPr>
        <w:spacing w:line="360" w:lineRule="exact"/>
        <w:rPr>
          <w:rFonts w:cs="Calibri"/>
          <w:b/>
          <w:bCs/>
          <w:sz w:val="24"/>
          <w:szCs w:val="24"/>
        </w:rPr>
      </w:pPr>
    </w:p>
    <w:p>
      <w:pPr>
        <w:pStyle w:val="5"/>
        <w:rPr>
          <w:rFonts w:cs="Calibri"/>
          <w:b/>
          <w:bCs/>
          <w:sz w:val="24"/>
          <w:szCs w:val="24"/>
        </w:rPr>
      </w:pPr>
    </w:p>
    <w:p>
      <w:pPr>
        <w:rPr>
          <w:rFonts w:cs="Calibri"/>
          <w:b/>
          <w:bCs/>
          <w:sz w:val="24"/>
          <w:szCs w:val="24"/>
        </w:rPr>
      </w:pPr>
    </w:p>
    <w:p>
      <w:pPr>
        <w:pStyle w:val="5"/>
        <w:rPr>
          <w:rFonts w:cs="Calibri"/>
          <w:b/>
          <w:bCs/>
          <w:sz w:val="24"/>
          <w:szCs w:val="24"/>
        </w:rPr>
      </w:pPr>
    </w:p>
    <w:p>
      <w:pPr>
        <w:rPr>
          <w:rFonts w:cs="Calibri"/>
          <w:b/>
          <w:bCs/>
          <w:sz w:val="24"/>
          <w:szCs w:val="24"/>
        </w:rPr>
      </w:pPr>
    </w:p>
    <w:p>
      <w:pPr>
        <w:pStyle w:val="5"/>
        <w:rPr>
          <w:rFonts w:cs="Calibri"/>
          <w:b/>
          <w:bCs/>
          <w:sz w:val="24"/>
          <w:szCs w:val="24"/>
        </w:rPr>
      </w:pPr>
    </w:p>
    <w:p>
      <w:pPr>
        <w:rPr>
          <w:rFonts w:cs="Calibri"/>
          <w:b/>
          <w:bCs/>
          <w:sz w:val="24"/>
          <w:szCs w:val="24"/>
        </w:rPr>
      </w:pPr>
    </w:p>
    <w:p>
      <w:pPr>
        <w:pStyle w:val="5"/>
        <w:rPr>
          <w:rFonts w:cs="Calibri"/>
          <w:b/>
          <w:bCs/>
          <w:sz w:val="24"/>
          <w:szCs w:val="24"/>
        </w:rPr>
      </w:pPr>
    </w:p>
    <w:p>
      <w:pPr>
        <w:rPr>
          <w:rFonts w:cs="Calibri"/>
          <w:b/>
          <w:bCs/>
          <w:sz w:val="24"/>
          <w:szCs w:val="24"/>
        </w:rPr>
      </w:pPr>
    </w:p>
    <w:p>
      <w:pPr>
        <w:pStyle w:val="5"/>
        <w:rPr>
          <w:rFonts w:cs="Calibri"/>
          <w:b/>
          <w:bCs/>
          <w:sz w:val="24"/>
          <w:szCs w:val="24"/>
        </w:rPr>
      </w:pPr>
    </w:p>
    <w:p>
      <w:pPr>
        <w:rPr>
          <w:rFonts w:cs="Calibri"/>
          <w:b/>
          <w:bCs/>
          <w:sz w:val="24"/>
          <w:szCs w:val="24"/>
        </w:rPr>
      </w:pPr>
    </w:p>
    <w:p>
      <w:pPr>
        <w:pStyle w:val="5"/>
      </w:pPr>
    </w:p>
    <w:p>
      <w:pPr>
        <w:spacing w:line="360" w:lineRule="exact"/>
        <w:rPr>
          <w:rFonts w:cs="Calibri"/>
          <w:b/>
          <w:bCs/>
          <w:sz w:val="24"/>
          <w:szCs w:val="24"/>
        </w:rPr>
      </w:pPr>
      <w:r>
        <w:rPr>
          <w:rFonts w:cs="Calibri"/>
          <w:b/>
          <w:bCs/>
          <w:sz w:val="24"/>
          <w:szCs w:val="24"/>
        </w:rPr>
        <w:t>二</w:t>
      </w:r>
      <w:r>
        <w:rPr>
          <w:rFonts w:hint="eastAsia" w:cs="Calibri"/>
          <w:b/>
          <w:bCs/>
          <w:sz w:val="24"/>
          <w:szCs w:val="24"/>
        </w:rPr>
        <w:t>、</w:t>
      </w:r>
      <w:r>
        <w:rPr>
          <w:rFonts w:cs="Calibri"/>
          <w:b/>
          <w:bCs/>
          <w:sz w:val="24"/>
          <w:szCs w:val="24"/>
        </w:rPr>
        <w:t>法医临床鉴定</w:t>
      </w:r>
    </w:p>
    <w:tbl>
      <w:tblPr>
        <w:tblStyle w:val="20"/>
        <w:tblW w:w="9620"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17"/>
        <w:gridCol w:w="1557"/>
        <w:gridCol w:w="611"/>
        <w:gridCol w:w="5341"/>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tblHeader/>
        </w:trPr>
        <w:tc>
          <w:tcPr>
            <w:tcW w:w="615" w:type="dxa"/>
            <w:shd w:val="clear" w:color="auto" w:fill="B3B3B3"/>
            <w:vAlign w:val="center"/>
          </w:tcPr>
          <w:p>
            <w:pPr>
              <w:jc w:val="center"/>
              <w:rPr>
                <w:rFonts w:cs="Calibri"/>
                <w:bCs/>
                <w:sz w:val="24"/>
              </w:rPr>
            </w:pPr>
            <w:r>
              <w:rPr>
                <w:rFonts w:cs="Calibri"/>
                <w:bCs/>
                <w:sz w:val="24"/>
              </w:rPr>
              <w:t>序号</w:t>
            </w:r>
          </w:p>
        </w:tc>
        <w:tc>
          <w:tcPr>
            <w:tcW w:w="517" w:type="dxa"/>
            <w:shd w:val="clear" w:color="auto" w:fill="B3B3B3"/>
            <w:vAlign w:val="center"/>
          </w:tcPr>
          <w:p>
            <w:pPr>
              <w:jc w:val="center"/>
              <w:rPr>
                <w:rFonts w:cs="Calibri"/>
                <w:bCs/>
                <w:sz w:val="24"/>
              </w:rPr>
            </w:pPr>
            <w:r>
              <w:rPr>
                <w:rFonts w:cs="Calibri"/>
                <w:bCs/>
                <w:sz w:val="24"/>
              </w:rPr>
              <w:t>事项</w:t>
            </w:r>
          </w:p>
        </w:tc>
        <w:tc>
          <w:tcPr>
            <w:tcW w:w="1557" w:type="dxa"/>
            <w:shd w:val="clear" w:color="auto" w:fill="B3B3B3"/>
            <w:vAlign w:val="center"/>
          </w:tcPr>
          <w:p>
            <w:pPr>
              <w:jc w:val="center"/>
              <w:rPr>
                <w:rFonts w:cs="Calibri"/>
                <w:bCs/>
                <w:sz w:val="24"/>
              </w:rPr>
            </w:pPr>
            <w:r>
              <w:rPr>
                <w:rFonts w:cs="Calibri"/>
                <w:bCs/>
                <w:sz w:val="24"/>
              </w:rPr>
              <w:t>仪器配置</w:t>
            </w:r>
          </w:p>
        </w:tc>
        <w:tc>
          <w:tcPr>
            <w:tcW w:w="611" w:type="dxa"/>
            <w:shd w:val="clear" w:color="auto" w:fill="B3B3B3"/>
            <w:vAlign w:val="center"/>
          </w:tcPr>
          <w:p>
            <w:pPr>
              <w:jc w:val="center"/>
              <w:rPr>
                <w:rFonts w:cs="Calibri"/>
                <w:bCs/>
                <w:sz w:val="24"/>
              </w:rPr>
            </w:pPr>
            <w:r>
              <w:rPr>
                <w:rFonts w:cs="Calibri"/>
                <w:bCs/>
                <w:sz w:val="24"/>
              </w:rPr>
              <w:t>单位</w:t>
            </w:r>
          </w:p>
        </w:tc>
        <w:tc>
          <w:tcPr>
            <w:tcW w:w="5341" w:type="dxa"/>
            <w:shd w:val="clear" w:color="auto" w:fill="B3B3B3"/>
            <w:vAlign w:val="center"/>
          </w:tcPr>
          <w:p>
            <w:pPr>
              <w:jc w:val="center"/>
              <w:rPr>
                <w:rFonts w:cs="Calibri"/>
                <w:bCs/>
                <w:sz w:val="24"/>
              </w:rPr>
            </w:pPr>
            <w:r>
              <w:rPr>
                <w:rFonts w:cs="Calibri"/>
                <w:bCs/>
                <w:sz w:val="24"/>
              </w:rPr>
              <w:t>配置要求</w:t>
            </w:r>
          </w:p>
        </w:tc>
        <w:tc>
          <w:tcPr>
            <w:tcW w:w="979" w:type="dxa"/>
            <w:shd w:val="clear" w:color="auto" w:fill="B3B3B3"/>
            <w:vAlign w:val="center"/>
          </w:tcPr>
          <w:p>
            <w:pPr>
              <w:jc w:val="center"/>
              <w:rPr>
                <w:rFonts w:cs="Calibri"/>
                <w:bCs/>
                <w:sz w:val="24"/>
              </w:rPr>
            </w:pPr>
            <w:r>
              <w:rPr>
                <w:rFonts w:cs="Calibri"/>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3" w:hRule="atLeast"/>
        </w:trPr>
        <w:tc>
          <w:tcPr>
            <w:tcW w:w="615" w:type="dxa"/>
            <w:vMerge w:val="restart"/>
            <w:vAlign w:val="center"/>
          </w:tcPr>
          <w:p>
            <w:pPr>
              <w:ind w:leftChars="-3" w:hanging="7" w:hangingChars="3"/>
              <w:jc w:val="center"/>
              <w:rPr>
                <w:rFonts w:cs="Calibri"/>
                <w:b/>
                <w:bCs/>
                <w:szCs w:val="21"/>
              </w:rPr>
            </w:pPr>
            <w:r>
              <w:rPr>
                <w:rFonts w:cs="Calibri"/>
                <w:b/>
                <w:bCs/>
                <w:szCs w:val="21"/>
              </w:rPr>
              <w:t>01</w:t>
            </w:r>
          </w:p>
          <w:p>
            <w:pPr>
              <w:ind w:leftChars="-3" w:hanging="6" w:hangingChars="3"/>
              <w:jc w:val="center"/>
              <w:rPr>
                <w:rFonts w:cs="Calibri"/>
                <w:bCs/>
                <w:szCs w:val="21"/>
              </w:rPr>
            </w:pPr>
          </w:p>
          <w:p>
            <w:pPr>
              <w:ind w:leftChars="-3" w:hanging="7" w:hangingChars="3"/>
              <w:jc w:val="center"/>
              <w:rPr>
                <w:rFonts w:cs="Calibri"/>
                <w:b/>
                <w:bCs/>
                <w:szCs w:val="21"/>
              </w:rPr>
            </w:pPr>
            <w:r>
              <w:rPr>
                <w:rFonts w:cs="Calibri"/>
                <w:b/>
                <w:bCs/>
                <w:szCs w:val="21"/>
              </w:rPr>
              <w:t>02</w:t>
            </w:r>
          </w:p>
        </w:tc>
        <w:tc>
          <w:tcPr>
            <w:tcW w:w="517" w:type="dxa"/>
            <w:vMerge w:val="restart"/>
            <w:vAlign w:val="center"/>
          </w:tcPr>
          <w:p>
            <w:pPr>
              <w:jc w:val="center"/>
              <w:rPr>
                <w:rFonts w:cs="Calibri"/>
                <w:b/>
                <w:szCs w:val="21"/>
              </w:rPr>
            </w:pPr>
            <w:r>
              <w:rPr>
                <w:rFonts w:cs="Calibri"/>
                <w:b/>
                <w:szCs w:val="21"/>
              </w:rPr>
              <w:t>损伤程度鉴定</w:t>
            </w:r>
          </w:p>
          <w:p>
            <w:pPr>
              <w:jc w:val="center"/>
              <w:rPr>
                <w:rFonts w:cs="Calibri"/>
                <w:szCs w:val="21"/>
              </w:rPr>
            </w:pPr>
          </w:p>
          <w:p>
            <w:pPr>
              <w:jc w:val="center"/>
              <w:rPr>
                <w:rFonts w:cs="Calibri"/>
                <w:b/>
                <w:bCs/>
                <w:szCs w:val="21"/>
              </w:rPr>
            </w:pPr>
            <w:r>
              <w:rPr>
                <w:rFonts w:cs="Calibri"/>
                <w:b/>
                <w:szCs w:val="21"/>
              </w:rPr>
              <w:t>伤残程度评定</w:t>
            </w:r>
          </w:p>
        </w:tc>
        <w:tc>
          <w:tcPr>
            <w:tcW w:w="1557" w:type="dxa"/>
            <w:vAlign w:val="center"/>
          </w:tcPr>
          <w:p>
            <w:pPr>
              <w:jc w:val="center"/>
              <w:rPr>
                <w:rFonts w:cs="Calibri"/>
                <w:szCs w:val="21"/>
              </w:rPr>
            </w:pPr>
            <w:r>
              <w:rPr>
                <w:rFonts w:cs="Calibri"/>
                <w:szCs w:val="21"/>
              </w:rPr>
              <w:t>临床检查基本工具</w:t>
            </w:r>
          </w:p>
          <w:p>
            <w:pPr>
              <w:jc w:val="center"/>
              <w:rPr>
                <w:rFonts w:cs="Calibri"/>
              </w:rPr>
            </w:pPr>
            <w:r>
              <w:rPr>
                <w:rFonts w:cs="Calibri"/>
                <w:szCs w:val="21"/>
              </w:rPr>
              <w:t>（</w:t>
            </w:r>
            <w:r>
              <w:rPr>
                <w:rFonts w:cs="Calibri"/>
              </w:rPr>
              <w:t>血压计、听诊器、叩诊锤、关节量角器、直尺或卷尺</w:t>
            </w:r>
            <w:r>
              <w:rPr>
                <w:rFonts w:cs="Calibri"/>
                <w:szCs w:val="21"/>
              </w:rPr>
              <w:t>）</w:t>
            </w:r>
          </w:p>
        </w:tc>
        <w:tc>
          <w:tcPr>
            <w:tcW w:w="611" w:type="dxa"/>
            <w:vAlign w:val="center"/>
          </w:tcPr>
          <w:p>
            <w:pPr>
              <w:jc w:val="center"/>
              <w:rPr>
                <w:rFonts w:cs="Calibri"/>
              </w:rPr>
            </w:pPr>
            <w:r>
              <w:rPr>
                <w:rFonts w:cs="Calibri"/>
                <w:szCs w:val="21"/>
              </w:rPr>
              <w:t>1套</w:t>
            </w:r>
          </w:p>
        </w:tc>
        <w:tc>
          <w:tcPr>
            <w:tcW w:w="5341" w:type="dxa"/>
            <w:vAlign w:val="center"/>
          </w:tcPr>
          <w:p>
            <w:pPr>
              <w:jc w:val="left"/>
            </w:pPr>
            <w:r>
              <w:t>用于法医对伤残程度的鉴定使用。 配置清单：</w:t>
            </w:r>
          </w:p>
          <w:p>
            <w:pPr>
              <w:numPr>
                <w:ilvl w:val="0"/>
                <w:numId w:val="18"/>
              </w:numPr>
              <w:jc w:val="left"/>
            </w:pPr>
            <w:r>
              <w:t>鉴定文书自动生成系统，具有长度、角度、周长面积等测量功能（检测报告需体现），精确度达 0.01mm。</w:t>
            </w:r>
          </w:p>
          <w:p>
            <w:pPr>
              <w:numPr>
                <w:ilvl w:val="0"/>
                <w:numId w:val="18"/>
              </w:numPr>
              <w:jc w:val="left"/>
              <w:rPr>
                <w:rFonts w:hint="eastAsia"/>
              </w:rPr>
            </w:pPr>
            <w:r>
              <w:t>最终可自动生成鉴定报告（检测报告需体现），可变换三维图像（检测报告需体现），具备垂直、水平、交叠三种比对方式（检测报告需体现）。（中标后提供原件 核查）</w:t>
            </w:r>
          </w:p>
          <w:p>
            <w:pPr>
              <w:numPr>
                <w:ilvl w:val="0"/>
                <w:numId w:val="18"/>
              </w:numPr>
              <w:jc w:val="left"/>
              <w:rPr>
                <w:rFonts w:cs="Calibri"/>
              </w:rPr>
            </w:pPr>
            <w:r>
              <w:rPr>
                <w:rFonts w:hint="eastAsia"/>
                <w:sz w:val="24"/>
              </w:rPr>
              <w:t>*</w:t>
            </w:r>
            <w:r>
              <w:rPr>
                <w:rFonts w:hint="eastAsia" w:cs="Calibri"/>
              </w:rPr>
              <w:t>听诊器 1 付，视力表 1 张， 敷料镊子 1 把 ，钢直尺 1 把 ，中性笔 1 支， 额戴反光镜 1 只， 手术剪 1 把 ，眼科镊子 1 把， 2m 卷尺 1 个，不干胶比例尺 1 包，咽喉镜 1 支，止血钳 1 把，洗耳球 1 个，纱布 1 包，标签纸 1 张，不锈钢压舌板 2 支，绷带剪子 1 把，梅花针 1 支，绷带 4 卷，乳胶手套 1 付，检查鼻镜 1 把，直头眼科剪 1 把，一次性采血针20 支，弹性绷带 1 卷，PE 手套 100 只，叩诊锤 1 个，弯头眼科剪 1 把，医用消毒盒 1 个，脱脂棉 1 包，铝合金箱 1 只，体温计 1 支，手术刀柄 1 把，指纹捺印盒 1 个，医用胶布 1 卷，鉴定文书自动生成系统 1 个，音叉 1 支，手术刀片 20 片，手电筒 1 只，黑色记号笔 1 支，色盲检查图 1 本，组织镊子 1 把，放大镜 1 个，红色记号笔 1 支。</w:t>
            </w:r>
          </w:p>
        </w:tc>
        <w:tc>
          <w:tcPr>
            <w:tcW w:w="979" w:type="dxa"/>
            <w:vMerge w:val="restart"/>
            <w:vAlign w:val="center"/>
          </w:tcPr>
          <w:p>
            <w:pPr>
              <w:rPr>
                <w:rFonts w:cs="Calibri"/>
                <w:szCs w:val="21"/>
              </w:rPr>
            </w:pPr>
            <w:r>
              <w:rPr>
                <w:rFonts w:cs="Calibri"/>
                <w:szCs w:val="21"/>
              </w:rPr>
              <w:t>适用于所有法医临床鉴定机构</w:t>
            </w:r>
            <w:r>
              <w:rPr>
                <w:rFonts w:hint="eastAsia"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trPr>
        <w:tc>
          <w:tcPr>
            <w:tcW w:w="615" w:type="dxa"/>
            <w:vMerge w:val="continue"/>
            <w:vAlign w:val="center"/>
          </w:tcPr>
          <w:p>
            <w:pPr>
              <w:jc w:val="center"/>
              <w:rPr>
                <w:rFonts w:cs="Calibri"/>
                <w:bCs/>
                <w:szCs w:val="21"/>
              </w:rPr>
            </w:pPr>
          </w:p>
        </w:tc>
        <w:tc>
          <w:tcPr>
            <w:tcW w:w="517" w:type="dxa"/>
            <w:vMerge w:val="continue"/>
            <w:vAlign w:val="center"/>
          </w:tcPr>
          <w:p>
            <w:pPr>
              <w:jc w:val="center"/>
              <w:rPr>
                <w:rFonts w:cs="Calibri"/>
                <w:bCs/>
                <w:szCs w:val="21"/>
              </w:rPr>
            </w:pPr>
          </w:p>
        </w:tc>
        <w:tc>
          <w:tcPr>
            <w:tcW w:w="1557" w:type="dxa"/>
            <w:vAlign w:val="center"/>
          </w:tcPr>
          <w:p>
            <w:pPr>
              <w:jc w:val="center"/>
              <w:rPr>
                <w:rFonts w:hint="eastAsia" w:cs="Calibri"/>
              </w:rPr>
            </w:pPr>
            <w:r>
              <w:rPr>
                <w:rFonts w:cs="Calibri"/>
                <w:szCs w:val="21"/>
              </w:rPr>
              <w:t>检查床</w:t>
            </w:r>
          </w:p>
        </w:tc>
        <w:tc>
          <w:tcPr>
            <w:tcW w:w="611" w:type="dxa"/>
            <w:vAlign w:val="center"/>
          </w:tcPr>
          <w:p>
            <w:pPr>
              <w:jc w:val="center"/>
              <w:rPr>
                <w:rFonts w:cs="Calibri"/>
              </w:rPr>
            </w:pPr>
            <w:r>
              <w:rPr>
                <w:rFonts w:cs="Calibri"/>
              </w:rPr>
              <w:t>1</w:t>
            </w:r>
            <w:r>
              <w:rPr>
                <w:rFonts w:hint="eastAsia" w:cs="Calibri"/>
              </w:rPr>
              <w:t>张</w:t>
            </w:r>
          </w:p>
        </w:tc>
        <w:tc>
          <w:tcPr>
            <w:tcW w:w="5341" w:type="dxa"/>
            <w:vAlign w:val="center"/>
          </w:tcPr>
          <w:p>
            <w:pPr>
              <w:jc w:val="left"/>
            </w:pPr>
            <w:r>
              <w:rPr>
                <w:rFonts w:hint="eastAsia"/>
                <w:lang w:val="en-US" w:eastAsia="zh-CN"/>
              </w:rPr>
              <w:t>1.</w:t>
            </w:r>
            <w:r>
              <w:t>钢材烤漆框架，皮革面料。自带提手和脚轮，折叠后方便移动。</w:t>
            </w:r>
          </w:p>
          <w:p>
            <w:pPr>
              <w:jc w:val="left"/>
              <w:rPr>
                <w:rFonts w:cs="Calibri"/>
              </w:rPr>
            </w:pPr>
            <w:r>
              <w:rPr>
                <w:rFonts w:hint="eastAsia"/>
                <w:lang w:val="en-US" w:eastAsia="zh-CN"/>
              </w:rPr>
              <w:t>2.</w:t>
            </w:r>
            <w:r>
              <w:t>折叠尺寸：95×67×20cm 展开尺寸：193×61×74cm 重量：24kg</w:t>
            </w:r>
          </w:p>
        </w:tc>
        <w:tc>
          <w:tcPr>
            <w:tcW w:w="979" w:type="dxa"/>
            <w:vMerge w:val="continue"/>
            <w:vAlign w:val="top"/>
          </w:tcPr>
          <w:p>
            <w:pP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3" w:hRule="atLeast"/>
        </w:trPr>
        <w:tc>
          <w:tcPr>
            <w:tcW w:w="615" w:type="dxa"/>
            <w:vMerge w:val="continue"/>
            <w:vAlign w:val="center"/>
          </w:tcPr>
          <w:p>
            <w:pPr>
              <w:jc w:val="center"/>
              <w:rPr>
                <w:rFonts w:cs="Calibri"/>
                <w:bCs/>
                <w:szCs w:val="21"/>
              </w:rPr>
            </w:pPr>
          </w:p>
        </w:tc>
        <w:tc>
          <w:tcPr>
            <w:tcW w:w="517" w:type="dxa"/>
            <w:vMerge w:val="continue"/>
            <w:vAlign w:val="center"/>
          </w:tcPr>
          <w:p>
            <w:pPr>
              <w:jc w:val="center"/>
              <w:rPr>
                <w:rFonts w:cs="Calibri"/>
                <w:bCs/>
                <w:szCs w:val="21"/>
              </w:rPr>
            </w:pPr>
          </w:p>
        </w:tc>
        <w:tc>
          <w:tcPr>
            <w:tcW w:w="1557" w:type="dxa"/>
            <w:vAlign w:val="center"/>
          </w:tcPr>
          <w:p>
            <w:pPr>
              <w:jc w:val="center"/>
            </w:pPr>
            <w:r>
              <w:rPr>
                <w:rFonts w:cs="Calibri"/>
                <w:szCs w:val="21"/>
              </w:rPr>
              <w:t>身高体重仪</w:t>
            </w:r>
          </w:p>
        </w:tc>
        <w:tc>
          <w:tcPr>
            <w:tcW w:w="611" w:type="dxa"/>
            <w:vAlign w:val="center"/>
          </w:tcPr>
          <w:p>
            <w:pPr>
              <w:jc w:val="center"/>
              <w:rPr>
                <w:rFonts w:cs="Calibri"/>
              </w:rPr>
            </w:pPr>
            <w:r>
              <w:rPr>
                <w:rFonts w:cs="Calibri"/>
              </w:rPr>
              <w:t>1台</w:t>
            </w:r>
          </w:p>
        </w:tc>
        <w:tc>
          <w:tcPr>
            <w:tcW w:w="5341" w:type="dxa"/>
            <w:vAlign w:val="center"/>
          </w:tcPr>
          <w:p>
            <w:pPr>
              <w:jc w:val="left"/>
              <w:rPr>
                <w:rFonts w:cs="Calibri"/>
              </w:rPr>
            </w:pPr>
            <w:r>
              <w:rPr>
                <w:rFonts w:hint="eastAsia"/>
                <w:lang w:val="en-US" w:eastAsia="zh-CN"/>
              </w:rPr>
              <w:t>1.</w:t>
            </w:r>
            <w:r>
              <w:t>最大称量：120kg 最小分度值：0.5kg 身高测量范围：70～190cm 最小分度值：0.5cm 承重板面积：375×270mm 外形尺寸：695×286×935mm 重量：18kg ,</w:t>
            </w:r>
          </w:p>
        </w:tc>
        <w:tc>
          <w:tcPr>
            <w:tcW w:w="979" w:type="dxa"/>
            <w:vMerge w:val="continue"/>
            <w:vAlign w:val="top"/>
          </w:tcPr>
          <w:p>
            <w:pP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trPr>
        <w:tc>
          <w:tcPr>
            <w:tcW w:w="615" w:type="dxa"/>
            <w:vMerge w:val="continue"/>
            <w:vAlign w:val="center"/>
          </w:tcPr>
          <w:p>
            <w:pPr>
              <w:jc w:val="center"/>
              <w:rPr>
                <w:rFonts w:cs="Calibri"/>
                <w:bCs/>
                <w:szCs w:val="21"/>
              </w:rPr>
            </w:pPr>
          </w:p>
        </w:tc>
        <w:tc>
          <w:tcPr>
            <w:tcW w:w="517" w:type="dxa"/>
            <w:vMerge w:val="continue"/>
            <w:vAlign w:val="center"/>
          </w:tcPr>
          <w:p>
            <w:pPr>
              <w:jc w:val="center"/>
              <w:rPr>
                <w:rFonts w:cs="Calibri"/>
                <w:bCs/>
                <w:szCs w:val="21"/>
              </w:rPr>
            </w:pPr>
          </w:p>
        </w:tc>
        <w:tc>
          <w:tcPr>
            <w:tcW w:w="1557" w:type="dxa"/>
            <w:vAlign w:val="center"/>
          </w:tcPr>
          <w:p>
            <w:pPr>
              <w:jc w:val="center"/>
            </w:pPr>
            <w:r>
              <w:rPr>
                <w:rFonts w:cs="Calibri"/>
                <w:szCs w:val="21"/>
              </w:rPr>
              <w:t>阅片灯</w:t>
            </w:r>
          </w:p>
        </w:tc>
        <w:tc>
          <w:tcPr>
            <w:tcW w:w="611" w:type="dxa"/>
            <w:vAlign w:val="center"/>
          </w:tcPr>
          <w:p>
            <w:pPr>
              <w:jc w:val="center"/>
              <w:rPr>
                <w:rFonts w:cs="Calibri"/>
              </w:rPr>
            </w:pPr>
            <w:r>
              <w:rPr>
                <w:rFonts w:cs="Calibri"/>
                <w:szCs w:val="21"/>
              </w:rPr>
              <w:t>1个</w:t>
            </w:r>
          </w:p>
        </w:tc>
        <w:tc>
          <w:tcPr>
            <w:tcW w:w="5341" w:type="dxa"/>
            <w:vAlign w:val="center"/>
          </w:tcPr>
          <w:p>
            <w:pPr>
              <w:jc w:val="center"/>
              <w:rPr>
                <w:rFonts w:cs="Calibri"/>
              </w:rPr>
            </w:pPr>
            <w:r>
              <w:rPr>
                <w:rFonts w:cs="Calibri"/>
              </w:rPr>
              <w:t>必备</w:t>
            </w:r>
          </w:p>
        </w:tc>
        <w:tc>
          <w:tcPr>
            <w:tcW w:w="979" w:type="dxa"/>
            <w:vMerge w:val="continue"/>
            <w:vAlign w:val="top"/>
          </w:tcPr>
          <w:p>
            <w:pP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trPr>
        <w:tc>
          <w:tcPr>
            <w:tcW w:w="615" w:type="dxa"/>
            <w:vMerge w:val="continue"/>
            <w:vAlign w:val="center"/>
          </w:tcPr>
          <w:p>
            <w:pPr>
              <w:jc w:val="center"/>
              <w:rPr>
                <w:rFonts w:cs="Calibri"/>
                <w:bCs/>
                <w:szCs w:val="21"/>
              </w:rPr>
            </w:pPr>
          </w:p>
        </w:tc>
        <w:tc>
          <w:tcPr>
            <w:tcW w:w="517" w:type="dxa"/>
            <w:vMerge w:val="continue"/>
            <w:vAlign w:val="center"/>
          </w:tcPr>
          <w:p>
            <w:pPr>
              <w:jc w:val="center"/>
              <w:rPr>
                <w:rFonts w:cs="Calibri"/>
                <w:bCs/>
                <w:szCs w:val="21"/>
              </w:rPr>
            </w:pPr>
          </w:p>
        </w:tc>
        <w:tc>
          <w:tcPr>
            <w:tcW w:w="1557" w:type="dxa"/>
            <w:vAlign w:val="center"/>
          </w:tcPr>
          <w:p>
            <w:pPr>
              <w:jc w:val="center"/>
              <w:rPr>
                <w:rFonts w:cs="Calibri"/>
              </w:rPr>
            </w:pPr>
            <w:r>
              <w:rPr>
                <w:rFonts w:cs="Calibri"/>
                <w:szCs w:val="21"/>
              </w:rPr>
              <w:t>耳镜</w:t>
            </w:r>
          </w:p>
        </w:tc>
        <w:tc>
          <w:tcPr>
            <w:tcW w:w="611" w:type="dxa"/>
            <w:vAlign w:val="center"/>
          </w:tcPr>
          <w:p>
            <w:pPr>
              <w:jc w:val="center"/>
              <w:rPr>
                <w:rFonts w:cs="Calibri"/>
              </w:rPr>
            </w:pPr>
            <w:r>
              <w:rPr>
                <w:rFonts w:cs="Calibri"/>
                <w:szCs w:val="21"/>
              </w:rPr>
              <w:t>1个</w:t>
            </w:r>
          </w:p>
        </w:tc>
        <w:tc>
          <w:tcPr>
            <w:tcW w:w="5341" w:type="dxa"/>
            <w:vAlign w:val="center"/>
          </w:tcPr>
          <w:p>
            <w:pPr>
              <w:jc w:val="center"/>
              <w:rPr>
                <w:rFonts w:cs="Calibri"/>
              </w:rPr>
            </w:pPr>
            <w:r>
              <w:rPr>
                <w:rFonts w:cs="Calibri"/>
              </w:rPr>
              <w:t>必备</w:t>
            </w:r>
          </w:p>
        </w:tc>
        <w:tc>
          <w:tcPr>
            <w:tcW w:w="979" w:type="dxa"/>
            <w:vMerge w:val="continue"/>
            <w:vAlign w:val="top"/>
          </w:tcPr>
          <w:p>
            <w:pP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trPr>
        <w:tc>
          <w:tcPr>
            <w:tcW w:w="615" w:type="dxa"/>
            <w:vMerge w:val="continue"/>
            <w:vAlign w:val="center"/>
          </w:tcPr>
          <w:p>
            <w:pPr>
              <w:jc w:val="center"/>
              <w:rPr>
                <w:rFonts w:cs="Calibri"/>
                <w:bCs/>
                <w:szCs w:val="21"/>
              </w:rPr>
            </w:pPr>
          </w:p>
        </w:tc>
        <w:tc>
          <w:tcPr>
            <w:tcW w:w="517" w:type="dxa"/>
            <w:vMerge w:val="continue"/>
            <w:vAlign w:val="center"/>
          </w:tcPr>
          <w:p>
            <w:pPr>
              <w:jc w:val="center"/>
              <w:rPr>
                <w:rFonts w:cs="Calibri"/>
                <w:bCs/>
                <w:szCs w:val="21"/>
              </w:rPr>
            </w:pPr>
          </w:p>
        </w:tc>
        <w:tc>
          <w:tcPr>
            <w:tcW w:w="1557" w:type="dxa"/>
            <w:vAlign w:val="center"/>
          </w:tcPr>
          <w:p>
            <w:pPr>
              <w:jc w:val="center"/>
              <w:rPr>
                <w:rFonts w:cs="Calibri"/>
              </w:rPr>
            </w:pPr>
            <w:r>
              <w:rPr>
                <w:rFonts w:cs="Calibri"/>
                <w:szCs w:val="21"/>
              </w:rPr>
              <w:t>眼底镜</w:t>
            </w:r>
          </w:p>
        </w:tc>
        <w:tc>
          <w:tcPr>
            <w:tcW w:w="611" w:type="dxa"/>
            <w:vAlign w:val="center"/>
          </w:tcPr>
          <w:p>
            <w:pPr>
              <w:jc w:val="center"/>
              <w:rPr>
                <w:rFonts w:cs="Calibri"/>
              </w:rPr>
            </w:pPr>
            <w:r>
              <w:rPr>
                <w:rFonts w:cs="Calibri"/>
                <w:szCs w:val="21"/>
              </w:rPr>
              <w:t>1个</w:t>
            </w:r>
          </w:p>
        </w:tc>
        <w:tc>
          <w:tcPr>
            <w:tcW w:w="5341" w:type="dxa"/>
            <w:vAlign w:val="center"/>
          </w:tcPr>
          <w:p>
            <w:pPr>
              <w:jc w:val="center"/>
              <w:rPr>
                <w:rFonts w:cs="Calibri"/>
              </w:rPr>
            </w:pPr>
            <w:r>
              <w:rPr>
                <w:rFonts w:cs="Calibri"/>
              </w:rPr>
              <w:t>必备</w:t>
            </w:r>
          </w:p>
        </w:tc>
        <w:tc>
          <w:tcPr>
            <w:tcW w:w="979" w:type="dxa"/>
            <w:vMerge w:val="continue"/>
            <w:vAlign w:val="top"/>
          </w:tcPr>
          <w:p>
            <w:pP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7" w:hRule="atLeast"/>
        </w:trPr>
        <w:tc>
          <w:tcPr>
            <w:tcW w:w="615" w:type="dxa"/>
            <w:vMerge w:val="continue"/>
            <w:vAlign w:val="center"/>
          </w:tcPr>
          <w:p>
            <w:pPr>
              <w:jc w:val="center"/>
              <w:rPr>
                <w:rFonts w:cs="Calibri"/>
                <w:bCs/>
                <w:szCs w:val="21"/>
              </w:rPr>
            </w:pPr>
          </w:p>
        </w:tc>
        <w:tc>
          <w:tcPr>
            <w:tcW w:w="517" w:type="dxa"/>
            <w:vMerge w:val="continue"/>
            <w:vAlign w:val="center"/>
          </w:tcPr>
          <w:p>
            <w:pPr>
              <w:jc w:val="center"/>
              <w:rPr>
                <w:rFonts w:cs="Calibri"/>
                <w:bCs/>
                <w:szCs w:val="21"/>
              </w:rPr>
            </w:pPr>
          </w:p>
        </w:tc>
        <w:tc>
          <w:tcPr>
            <w:tcW w:w="1557" w:type="dxa"/>
            <w:vAlign w:val="center"/>
          </w:tcPr>
          <w:p>
            <w:pPr>
              <w:jc w:val="center"/>
              <w:rPr>
                <w:rFonts w:cs="Calibri"/>
                <w:szCs w:val="21"/>
              </w:rPr>
            </w:pPr>
          </w:p>
          <w:p>
            <w:pPr>
              <w:jc w:val="center"/>
              <w:rPr>
                <w:rFonts w:cs="Calibri"/>
              </w:rPr>
            </w:pPr>
            <w:r>
              <w:rPr>
                <w:rFonts w:cs="Calibri"/>
                <w:szCs w:val="21"/>
              </w:rPr>
              <w:t>照相机（或摄像机）</w:t>
            </w:r>
          </w:p>
        </w:tc>
        <w:tc>
          <w:tcPr>
            <w:tcW w:w="611" w:type="dxa"/>
            <w:vAlign w:val="center"/>
          </w:tcPr>
          <w:p>
            <w:pPr>
              <w:jc w:val="center"/>
              <w:rPr>
                <w:rFonts w:cs="Calibri"/>
              </w:rPr>
            </w:pPr>
            <w:r>
              <w:rPr>
                <w:rFonts w:cs="Calibri"/>
              </w:rPr>
              <w:t>1台</w:t>
            </w:r>
          </w:p>
        </w:tc>
        <w:tc>
          <w:tcPr>
            <w:tcW w:w="5341" w:type="dxa"/>
            <w:vAlign w:val="center"/>
          </w:tcPr>
          <w:p>
            <w:pPr>
              <w:jc w:val="left"/>
              <w:rPr>
                <w:rFonts w:hint="eastAsia" w:cs="Calibri"/>
              </w:rPr>
            </w:pPr>
            <w:r>
              <w:rPr>
                <w:rFonts w:hint="eastAsia" w:cs="Calibri"/>
              </w:rPr>
              <w:t>1.对焦方式：全像素双核对焦系统</w:t>
            </w:r>
          </w:p>
          <w:p>
            <w:pPr>
              <w:jc w:val="left"/>
              <w:rPr>
                <w:rFonts w:hint="eastAsia" w:cs="Calibri"/>
              </w:rPr>
            </w:pPr>
            <w:r>
              <w:rPr>
                <w:rFonts w:hint="eastAsia" w:cs="Calibri"/>
              </w:rPr>
              <w:t>2.对焦区域</w:t>
            </w:r>
            <w:r>
              <w:rPr>
                <w:rFonts w:hint="eastAsia" w:cs="Calibri"/>
              </w:rPr>
              <w:tab/>
            </w:r>
            <w:r>
              <w:rPr>
                <w:rFonts w:hint="eastAsia" w:cs="Calibri"/>
              </w:rPr>
              <w:t>约88%*100%</w:t>
            </w:r>
          </w:p>
          <w:p>
            <w:pPr>
              <w:jc w:val="left"/>
              <w:rPr>
                <w:rFonts w:hint="eastAsia" w:cs="Calibri"/>
              </w:rPr>
            </w:pPr>
            <w:r>
              <w:rPr>
                <w:rFonts w:hint="eastAsia" w:cs="Calibri"/>
              </w:rPr>
              <w:t>3.对焦点数</w:t>
            </w:r>
            <w:r>
              <w:rPr>
                <w:rFonts w:hint="eastAsia" w:cs="Calibri"/>
              </w:rPr>
              <w:tab/>
            </w:r>
            <w:r>
              <w:rPr>
                <w:rFonts w:hint="eastAsia" w:cs="Calibri"/>
              </w:rPr>
              <w:t>143点</w:t>
            </w:r>
          </w:p>
          <w:p>
            <w:pPr>
              <w:jc w:val="left"/>
              <w:rPr>
                <w:rFonts w:hint="eastAsia" w:cs="Calibri"/>
                <w:b/>
                <w:bCs/>
              </w:rPr>
            </w:pPr>
            <w:r>
              <w:rPr>
                <w:rFonts w:hint="eastAsia" w:cs="Calibri"/>
                <w:b/>
                <w:bCs/>
              </w:rPr>
              <w:t>对焦辅助方式：对焦辅助灯</w:t>
            </w:r>
          </w:p>
          <w:p>
            <w:pPr>
              <w:jc w:val="left"/>
              <w:rPr>
                <w:rFonts w:hint="eastAsia" w:cs="Calibri"/>
              </w:rPr>
            </w:pPr>
            <w:r>
              <w:rPr>
                <w:rFonts w:hint="eastAsia" w:cs="Calibri"/>
              </w:rPr>
              <w:t>快门类型</w:t>
            </w:r>
            <w:r>
              <w:rPr>
                <w:rFonts w:hint="eastAsia" w:cs="Calibri"/>
              </w:rPr>
              <w:tab/>
            </w:r>
            <w:r>
              <w:rPr>
                <w:rFonts w:hint="eastAsia" w:cs="Calibri"/>
              </w:rPr>
              <w:t>电子控制焦平面快门</w:t>
            </w:r>
          </w:p>
          <w:p>
            <w:pPr>
              <w:jc w:val="left"/>
              <w:rPr>
                <w:rFonts w:hint="eastAsia" w:cs="Calibri"/>
              </w:rPr>
            </w:pPr>
            <w:r>
              <w:rPr>
                <w:rFonts w:hint="eastAsia" w:cs="Calibri"/>
              </w:rPr>
              <w:t>快门速度</w:t>
            </w:r>
            <w:r>
              <w:rPr>
                <w:rFonts w:hint="eastAsia" w:cs="Calibri"/>
              </w:rPr>
              <w:tab/>
            </w:r>
            <w:r>
              <w:rPr>
                <w:rFonts w:hint="eastAsia" w:cs="Calibri"/>
              </w:rPr>
              <w:t>1/4000至30秒（总快门速度范围，可用范围随拍摄模式各异），B门（仅手动曝光模式），闪光同步速度1/200秒</w:t>
            </w:r>
          </w:p>
          <w:p>
            <w:pPr>
              <w:jc w:val="left"/>
              <w:rPr>
                <w:rFonts w:hint="eastAsia" w:cs="Calibri"/>
                <w:b/>
                <w:bCs/>
              </w:rPr>
            </w:pPr>
            <w:r>
              <w:rPr>
                <w:rFonts w:hint="eastAsia" w:cs="Calibri"/>
                <w:b/>
                <w:bCs/>
              </w:rPr>
              <w:t>闪光灯</w:t>
            </w:r>
          </w:p>
          <w:p>
            <w:pPr>
              <w:jc w:val="left"/>
              <w:rPr>
                <w:rFonts w:hint="eastAsia" w:cs="Calibri"/>
              </w:rPr>
            </w:pPr>
            <w:r>
              <w:rPr>
                <w:rFonts w:hint="eastAsia" w:cs="Calibri"/>
              </w:rPr>
              <w:t>闪光灯类型</w:t>
            </w:r>
            <w:r>
              <w:rPr>
                <w:rFonts w:hint="eastAsia" w:cs="Calibri"/>
              </w:rPr>
              <w:tab/>
            </w:r>
            <w:r>
              <w:rPr>
                <w:rFonts w:hint="eastAsia" w:cs="Calibri"/>
              </w:rPr>
              <w:t>可收回，手动弹起式闪光灯</w:t>
            </w:r>
          </w:p>
          <w:p>
            <w:pPr>
              <w:jc w:val="left"/>
              <w:rPr>
                <w:rFonts w:hint="eastAsia" w:cs="Calibri"/>
              </w:rPr>
            </w:pPr>
            <w:r>
              <w:rPr>
                <w:rFonts w:hint="eastAsia" w:cs="Calibri"/>
              </w:rPr>
              <w:t>外接闪光灯(热靴)</w:t>
            </w:r>
            <w:r>
              <w:rPr>
                <w:rFonts w:hint="eastAsia" w:cs="Calibri"/>
              </w:rPr>
              <w:tab/>
            </w:r>
            <w:r>
              <w:rPr>
                <w:rFonts w:hint="eastAsia" w:cs="Calibri"/>
              </w:rPr>
              <w:t>兼容EX系列闪光灯</w:t>
            </w:r>
          </w:p>
          <w:p>
            <w:pPr>
              <w:jc w:val="left"/>
              <w:rPr>
                <w:rFonts w:hint="eastAsia" w:cs="Calibri"/>
              </w:rPr>
            </w:pPr>
            <w:r>
              <w:rPr>
                <w:rFonts w:hint="eastAsia" w:cs="Calibri"/>
              </w:rPr>
              <w:t>闪光模式</w:t>
            </w:r>
            <w:r>
              <w:rPr>
                <w:rFonts w:hint="eastAsia" w:cs="Calibri"/>
              </w:rPr>
              <w:tab/>
            </w:r>
            <w:r>
              <w:rPr>
                <w:rFonts w:hint="eastAsia" w:cs="Calibri"/>
              </w:rPr>
              <w:t>E-TTL II自动闪光，防红眼</w:t>
            </w:r>
          </w:p>
          <w:p>
            <w:pPr>
              <w:jc w:val="left"/>
              <w:rPr>
                <w:rFonts w:hint="eastAsia" w:cs="Calibri"/>
              </w:rPr>
            </w:pPr>
            <w:r>
              <w:rPr>
                <w:rFonts w:hint="eastAsia" w:cs="Calibri"/>
              </w:rPr>
              <w:t>闪光指数</w:t>
            </w:r>
            <w:r>
              <w:rPr>
                <w:rFonts w:hint="eastAsia" w:cs="Calibri"/>
              </w:rPr>
              <w:tab/>
            </w:r>
            <w:r>
              <w:rPr>
                <w:rFonts w:hint="eastAsia" w:cs="Calibri"/>
              </w:rPr>
              <w:t>约5（ISO 100，以米为单位）</w:t>
            </w:r>
          </w:p>
          <w:p>
            <w:pPr>
              <w:jc w:val="left"/>
              <w:rPr>
                <w:rFonts w:hint="eastAsia" w:cs="Calibri"/>
              </w:rPr>
            </w:pPr>
            <w:r>
              <w:rPr>
                <w:rFonts w:hint="eastAsia" w:cs="Calibri"/>
              </w:rPr>
              <w:t>闪光灯回电时间</w:t>
            </w:r>
            <w:r>
              <w:rPr>
                <w:rFonts w:hint="eastAsia" w:cs="Calibri"/>
              </w:rPr>
              <w:tab/>
            </w:r>
            <w:r>
              <w:rPr>
                <w:rFonts w:hint="eastAsia" w:cs="Calibri"/>
              </w:rPr>
              <w:t>约3秒</w:t>
            </w:r>
          </w:p>
          <w:p>
            <w:pPr>
              <w:jc w:val="left"/>
              <w:rPr>
                <w:rFonts w:hint="eastAsia" w:cs="Calibri"/>
              </w:rPr>
            </w:pPr>
            <w:r>
              <w:rPr>
                <w:rFonts w:hint="eastAsia" w:cs="Calibri"/>
              </w:rPr>
              <w:t>其它闪光灯性能</w:t>
            </w:r>
            <w:r>
              <w:rPr>
                <w:rFonts w:hint="eastAsia" w:cs="Calibri"/>
              </w:rPr>
              <w:tab/>
            </w:r>
            <w:r>
              <w:rPr>
                <w:rFonts w:hint="eastAsia" w:cs="Calibri"/>
              </w:rPr>
              <w:t>闪光曝光补偿：±2EV（1/3EV步长）</w:t>
            </w:r>
          </w:p>
          <w:p>
            <w:pPr>
              <w:jc w:val="left"/>
              <w:rPr>
                <w:rFonts w:cs="Calibri"/>
              </w:rPr>
            </w:pPr>
            <w:r>
              <w:rPr>
                <w:rFonts w:hint="eastAsia" w:cs="Calibri"/>
              </w:rPr>
              <w:t>支持闪光曝光锁，慢速同步，安全闪光曝光</w:t>
            </w:r>
          </w:p>
        </w:tc>
        <w:tc>
          <w:tcPr>
            <w:tcW w:w="979" w:type="dxa"/>
            <w:vMerge w:val="continue"/>
            <w:vAlign w:val="top"/>
          </w:tcPr>
          <w:p>
            <w:pPr>
              <w:rPr>
                <w:rFonts w:cs="Calibri"/>
                <w:szCs w:val="21"/>
              </w:rPr>
            </w:pPr>
          </w:p>
        </w:tc>
      </w:tr>
    </w:tbl>
    <w:p>
      <w:pPr>
        <w:spacing w:line="360" w:lineRule="exact"/>
        <w:rPr>
          <w:rFonts w:cs="Calibri"/>
          <w:b/>
          <w:bCs/>
          <w:sz w:val="24"/>
          <w:szCs w:val="24"/>
        </w:rPr>
      </w:pPr>
      <w:r>
        <w:rPr>
          <w:rFonts w:hint="eastAsia" w:cs="Calibri"/>
          <w:b/>
          <w:bCs/>
          <w:sz w:val="24"/>
          <w:szCs w:val="24"/>
        </w:rPr>
        <w:t>三、</w:t>
      </w:r>
      <w:r>
        <w:rPr>
          <w:rFonts w:cs="Calibri"/>
          <w:b/>
          <w:bCs/>
          <w:sz w:val="24"/>
          <w:szCs w:val="24"/>
        </w:rPr>
        <w:t>法医毒物</w:t>
      </w:r>
      <w:r>
        <w:rPr>
          <w:rFonts w:hint="eastAsia" w:cs="Calibri"/>
          <w:b/>
          <w:bCs/>
          <w:sz w:val="24"/>
          <w:szCs w:val="24"/>
        </w:rPr>
        <w:t>鉴定</w:t>
      </w:r>
    </w:p>
    <w:tbl>
      <w:tblPr>
        <w:tblStyle w:val="20"/>
        <w:tblW w:w="9540"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794"/>
        <w:gridCol w:w="177"/>
        <w:gridCol w:w="1293"/>
        <w:gridCol w:w="732"/>
        <w:gridCol w:w="4607"/>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tblHeader/>
        </w:trPr>
        <w:tc>
          <w:tcPr>
            <w:tcW w:w="609" w:type="dxa"/>
            <w:shd w:val="clear" w:color="auto" w:fill="B3B3B3"/>
            <w:vAlign w:val="center"/>
          </w:tcPr>
          <w:p>
            <w:pPr>
              <w:jc w:val="center"/>
              <w:rPr>
                <w:rFonts w:cs="Calibri"/>
                <w:bCs/>
                <w:sz w:val="24"/>
              </w:rPr>
            </w:pPr>
            <w:r>
              <w:rPr>
                <w:rFonts w:cs="Calibri"/>
                <w:bCs/>
                <w:sz w:val="24"/>
              </w:rPr>
              <w:t>序号</w:t>
            </w:r>
          </w:p>
        </w:tc>
        <w:tc>
          <w:tcPr>
            <w:tcW w:w="794" w:type="dxa"/>
            <w:shd w:val="clear" w:color="auto" w:fill="B3B3B3"/>
            <w:vAlign w:val="center"/>
          </w:tcPr>
          <w:p>
            <w:pPr>
              <w:jc w:val="center"/>
              <w:rPr>
                <w:rFonts w:cs="Calibri"/>
                <w:bCs/>
                <w:sz w:val="24"/>
              </w:rPr>
            </w:pPr>
            <w:r>
              <w:rPr>
                <w:rFonts w:cs="Calibri"/>
                <w:bCs/>
                <w:sz w:val="24"/>
              </w:rPr>
              <w:t>事项</w:t>
            </w:r>
          </w:p>
        </w:tc>
        <w:tc>
          <w:tcPr>
            <w:tcW w:w="1470" w:type="dxa"/>
            <w:gridSpan w:val="2"/>
            <w:shd w:val="clear" w:color="auto" w:fill="B3B3B3"/>
            <w:vAlign w:val="center"/>
          </w:tcPr>
          <w:p>
            <w:pPr>
              <w:jc w:val="center"/>
              <w:rPr>
                <w:rFonts w:cs="Calibri"/>
                <w:bCs/>
                <w:sz w:val="24"/>
              </w:rPr>
            </w:pPr>
            <w:r>
              <w:rPr>
                <w:rFonts w:cs="Calibri"/>
                <w:bCs/>
                <w:sz w:val="24"/>
              </w:rPr>
              <w:t>仪器配置</w:t>
            </w:r>
          </w:p>
        </w:tc>
        <w:tc>
          <w:tcPr>
            <w:tcW w:w="732" w:type="dxa"/>
            <w:shd w:val="clear" w:color="auto" w:fill="B3B3B3"/>
            <w:vAlign w:val="center"/>
          </w:tcPr>
          <w:p>
            <w:pPr>
              <w:jc w:val="center"/>
              <w:rPr>
                <w:rFonts w:cs="Calibri"/>
                <w:bCs/>
                <w:sz w:val="24"/>
              </w:rPr>
            </w:pPr>
            <w:r>
              <w:rPr>
                <w:rFonts w:cs="Calibri"/>
                <w:bCs/>
                <w:sz w:val="24"/>
              </w:rPr>
              <w:t>单位</w:t>
            </w:r>
          </w:p>
        </w:tc>
        <w:tc>
          <w:tcPr>
            <w:tcW w:w="4607" w:type="dxa"/>
            <w:shd w:val="clear" w:color="auto" w:fill="B3B3B3"/>
            <w:vAlign w:val="center"/>
          </w:tcPr>
          <w:p>
            <w:pPr>
              <w:jc w:val="center"/>
              <w:rPr>
                <w:rFonts w:cs="Calibri"/>
                <w:bCs/>
                <w:sz w:val="24"/>
              </w:rPr>
            </w:pPr>
            <w:r>
              <w:rPr>
                <w:rFonts w:cs="Calibri"/>
                <w:bCs/>
                <w:sz w:val="24"/>
              </w:rPr>
              <w:t>配置要求</w:t>
            </w:r>
          </w:p>
        </w:tc>
        <w:tc>
          <w:tcPr>
            <w:tcW w:w="1328" w:type="dxa"/>
            <w:shd w:val="clear" w:color="auto" w:fill="B3B3B3"/>
            <w:vAlign w:val="center"/>
          </w:tcPr>
          <w:p>
            <w:pPr>
              <w:jc w:val="center"/>
              <w:rPr>
                <w:rFonts w:cs="Calibri"/>
                <w:bCs/>
                <w:sz w:val="24"/>
              </w:rPr>
            </w:pPr>
            <w:r>
              <w:rPr>
                <w:rFonts w:cs="Calibri"/>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9" w:hRule="atLeast"/>
        </w:trPr>
        <w:tc>
          <w:tcPr>
            <w:tcW w:w="609" w:type="dxa"/>
            <w:vMerge w:val="restart"/>
            <w:vAlign w:val="center"/>
          </w:tcPr>
          <w:p>
            <w:pPr>
              <w:ind w:firstLine="221" w:firstLineChars="100"/>
              <w:jc w:val="center"/>
              <w:rPr>
                <w:rFonts w:hint="eastAsia" w:eastAsia="宋体" w:cs="Calibri"/>
                <w:b/>
                <w:bCs/>
                <w:szCs w:val="21"/>
                <w:lang w:eastAsia="zh-CN"/>
              </w:rPr>
            </w:pPr>
            <w:r>
              <w:rPr>
                <w:rFonts w:hint="eastAsia" w:cs="Calibri"/>
                <w:b/>
                <w:bCs/>
                <w:szCs w:val="21"/>
                <w:lang w:val="en-US" w:eastAsia="zh-CN"/>
              </w:rPr>
              <w:t>1</w:t>
            </w:r>
          </w:p>
        </w:tc>
        <w:tc>
          <w:tcPr>
            <w:tcW w:w="794" w:type="dxa"/>
            <w:vMerge w:val="restart"/>
            <w:vAlign w:val="center"/>
          </w:tcPr>
          <w:p>
            <w:pPr>
              <w:jc w:val="center"/>
              <w:rPr>
                <w:rFonts w:cs="Calibri"/>
                <w:b/>
                <w:bCs/>
                <w:szCs w:val="21"/>
              </w:rPr>
            </w:pPr>
            <w:r>
              <w:rPr>
                <w:rFonts w:cs="Calibri"/>
                <w:b/>
              </w:rPr>
              <w:t>化学实验室</w:t>
            </w:r>
          </w:p>
        </w:tc>
        <w:tc>
          <w:tcPr>
            <w:tcW w:w="1470" w:type="dxa"/>
            <w:gridSpan w:val="2"/>
            <w:vAlign w:val="center"/>
          </w:tcPr>
          <w:p>
            <w:pPr>
              <w:jc w:val="center"/>
              <w:rPr>
                <w:rFonts w:cs="Calibri"/>
              </w:rPr>
            </w:pPr>
            <w:r>
              <w:rPr>
                <w:rFonts w:cs="Calibri"/>
              </w:rPr>
              <w:t>分析天平（0.1mg）</w:t>
            </w:r>
          </w:p>
        </w:tc>
        <w:tc>
          <w:tcPr>
            <w:tcW w:w="732" w:type="dxa"/>
            <w:vAlign w:val="center"/>
          </w:tcPr>
          <w:p>
            <w:pPr>
              <w:jc w:val="center"/>
              <w:rPr>
                <w:rFonts w:cs="Calibri"/>
              </w:rPr>
            </w:pPr>
            <w:r>
              <w:rPr>
                <w:rFonts w:cs="Calibri"/>
              </w:rPr>
              <w:t>1台</w:t>
            </w:r>
          </w:p>
        </w:tc>
        <w:tc>
          <w:tcPr>
            <w:tcW w:w="4607" w:type="dxa"/>
            <w:vAlign w:val="center"/>
          </w:tcPr>
          <w:p>
            <w:pPr>
              <w:jc w:val="center"/>
              <w:rPr>
                <w:rFonts w:cs="Calibri"/>
              </w:rPr>
            </w:pPr>
            <w:r>
              <w:rPr>
                <w:rFonts w:hint="eastAsia"/>
                <w:lang w:val="en-US" w:eastAsia="zh-CN"/>
              </w:rPr>
              <w:t>1.</w:t>
            </w:r>
            <w:r>
              <w:t>最大称量：220g 可读性：0.001g 重复性：0.001g 线性误差：0.002g 稳定时间：1.5s 灵敏度温度漂移：3.0ppm／</w:t>
            </w:r>
            <w:r>
              <w:rPr>
                <w:rFonts w:hint="eastAsia" w:ascii="宋体" w:hAnsi="宋体" w:cs="宋体"/>
              </w:rPr>
              <w:t>℃</w:t>
            </w:r>
            <w:r>
              <w:rPr>
                <w:rFonts w:cs="Calibri"/>
              </w:rPr>
              <w:t xml:space="preserve"> </w:t>
            </w:r>
            <w:r>
              <w:t>称盘尺寸：Φ120mm</w:t>
            </w:r>
          </w:p>
        </w:tc>
        <w:tc>
          <w:tcPr>
            <w:tcW w:w="1328" w:type="dxa"/>
            <w:vMerge w:val="restart"/>
            <w:vAlign w:val="center"/>
          </w:tcPr>
          <w:p>
            <w:pPr>
              <w:rPr>
                <w:rFonts w:cs="Calibri"/>
                <w:szCs w:val="21"/>
              </w:rPr>
            </w:pPr>
            <w:r>
              <w:rPr>
                <w:rFonts w:cs="Calibri"/>
                <w:szCs w:val="21"/>
              </w:rPr>
              <w:t>法医毒物鉴定所有事项均须配置化学实验室</w:t>
            </w:r>
            <w:r>
              <w:rPr>
                <w:rFonts w:hint="eastAsia"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6" w:hRule="atLeast"/>
        </w:trPr>
        <w:tc>
          <w:tcPr>
            <w:tcW w:w="609" w:type="dxa"/>
            <w:vMerge w:val="continue"/>
            <w:vAlign w:val="center"/>
          </w:tcPr>
          <w:p>
            <w:pPr>
              <w:jc w:val="center"/>
              <w:rPr>
                <w:rFonts w:cs="Calibri"/>
                <w:bCs/>
                <w:szCs w:val="21"/>
              </w:rPr>
            </w:pPr>
          </w:p>
        </w:tc>
        <w:tc>
          <w:tcPr>
            <w:tcW w:w="794" w:type="dxa"/>
            <w:vMerge w:val="continue"/>
            <w:vAlign w:val="center"/>
          </w:tcPr>
          <w:p>
            <w:pPr>
              <w:jc w:val="center"/>
              <w:rPr>
                <w:rFonts w:cs="Calibri"/>
                <w:bCs/>
                <w:szCs w:val="21"/>
              </w:rPr>
            </w:pPr>
          </w:p>
        </w:tc>
        <w:tc>
          <w:tcPr>
            <w:tcW w:w="1470" w:type="dxa"/>
            <w:gridSpan w:val="2"/>
            <w:vAlign w:val="center"/>
          </w:tcPr>
          <w:p>
            <w:pPr>
              <w:jc w:val="center"/>
              <w:rPr>
                <w:rFonts w:cs="Calibri"/>
              </w:rPr>
            </w:pPr>
            <w:r>
              <w:rPr>
                <w:rFonts w:cs="Calibri"/>
              </w:rPr>
              <w:t>旋涡混合器</w:t>
            </w:r>
          </w:p>
        </w:tc>
        <w:tc>
          <w:tcPr>
            <w:tcW w:w="732" w:type="dxa"/>
            <w:vAlign w:val="center"/>
          </w:tcPr>
          <w:p>
            <w:pPr>
              <w:jc w:val="center"/>
              <w:rPr>
                <w:rFonts w:cs="Calibri"/>
              </w:rPr>
            </w:pPr>
            <w:r>
              <w:rPr>
                <w:rFonts w:cs="Calibri"/>
              </w:rPr>
              <w:t>1台</w:t>
            </w:r>
          </w:p>
        </w:tc>
        <w:tc>
          <w:tcPr>
            <w:tcW w:w="4607" w:type="dxa"/>
            <w:vAlign w:val="center"/>
          </w:tcPr>
          <w:p>
            <w:pPr>
              <w:numPr>
                <w:ilvl w:val="0"/>
                <w:numId w:val="19"/>
              </w:numPr>
              <w:jc w:val="left"/>
            </w:pPr>
            <w:r>
              <w:t>振动与旋涡混合方式：可调速控制，能从低速振动到高速漩涡混合。</w:t>
            </w:r>
          </w:p>
          <w:p>
            <w:pPr>
              <w:numPr>
                <w:ilvl w:val="0"/>
                <w:numId w:val="19"/>
              </w:numPr>
              <w:jc w:val="left"/>
              <w:rPr>
                <w:rFonts w:cs="Calibri"/>
              </w:rPr>
            </w:pPr>
            <w:r>
              <w:rPr>
                <w:rFonts w:hint="eastAsia"/>
                <w:sz w:val="24"/>
              </w:rPr>
              <w:t>*</w:t>
            </w:r>
            <w:r>
              <w:t xml:space="preserve">可根据需要选择合适的混合方式 </w:t>
            </w:r>
            <w:r>
              <w:rPr>
                <w:rFonts w:hint="eastAsia"/>
                <w:lang w:eastAsia="zh-CN"/>
              </w:rPr>
              <w:t>。</w:t>
            </w:r>
            <w:r>
              <w:t xml:space="preserve">自动与点振混合方式：三点开关可选择自动或点振混合方式 </w:t>
            </w:r>
          </w:p>
          <w:p>
            <w:pPr>
              <w:numPr>
                <w:ilvl w:val="0"/>
                <w:numId w:val="19"/>
              </w:numPr>
              <w:jc w:val="left"/>
              <w:rPr>
                <w:rFonts w:cs="Calibri"/>
              </w:rPr>
            </w:pPr>
            <w:r>
              <w:t>电源：220V 功率：50W 转速：2800 转／分 工作方式：连续、点触、调速 工作台：碗形、平板形可调换 外形尺寸：170×120×170mm ,</w:t>
            </w:r>
          </w:p>
        </w:tc>
        <w:tc>
          <w:tcPr>
            <w:tcW w:w="1328" w:type="dxa"/>
            <w:vMerge w:val="continue"/>
            <w:vAlign w:val="center"/>
          </w:tcPr>
          <w:p>
            <w:pP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9" w:hRule="atLeast"/>
        </w:trPr>
        <w:tc>
          <w:tcPr>
            <w:tcW w:w="609" w:type="dxa"/>
            <w:vMerge w:val="continue"/>
            <w:vAlign w:val="center"/>
          </w:tcPr>
          <w:p>
            <w:pPr>
              <w:jc w:val="center"/>
              <w:rPr>
                <w:rFonts w:cs="Calibri"/>
                <w:bCs/>
                <w:szCs w:val="21"/>
              </w:rPr>
            </w:pPr>
          </w:p>
        </w:tc>
        <w:tc>
          <w:tcPr>
            <w:tcW w:w="794" w:type="dxa"/>
            <w:vMerge w:val="continue"/>
            <w:vAlign w:val="center"/>
          </w:tcPr>
          <w:p>
            <w:pPr>
              <w:jc w:val="center"/>
              <w:rPr>
                <w:rFonts w:cs="Calibri"/>
                <w:bCs/>
                <w:szCs w:val="21"/>
              </w:rPr>
            </w:pPr>
          </w:p>
        </w:tc>
        <w:tc>
          <w:tcPr>
            <w:tcW w:w="1470" w:type="dxa"/>
            <w:gridSpan w:val="2"/>
            <w:vAlign w:val="center"/>
          </w:tcPr>
          <w:p>
            <w:pPr>
              <w:rPr>
                <w:rFonts w:cs="Calibri"/>
              </w:rPr>
            </w:pPr>
            <w:r>
              <w:rPr>
                <w:rFonts w:cs="Calibri"/>
              </w:rPr>
              <w:t>离心机 （4000r）</w:t>
            </w:r>
          </w:p>
        </w:tc>
        <w:tc>
          <w:tcPr>
            <w:tcW w:w="732" w:type="dxa"/>
            <w:vAlign w:val="center"/>
          </w:tcPr>
          <w:p>
            <w:pPr>
              <w:jc w:val="center"/>
              <w:rPr>
                <w:rFonts w:cs="Calibri"/>
              </w:rPr>
            </w:pPr>
            <w:r>
              <w:rPr>
                <w:rFonts w:cs="Calibri"/>
              </w:rPr>
              <w:t>1台</w:t>
            </w:r>
          </w:p>
        </w:tc>
        <w:tc>
          <w:tcPr>
            <w:tcW w:w="4607" w:type="dxa"/>
            <w:vAlign w:val="center"/>
          </w:tcPr>
          <w:p>
            <w:pPr>
              <w:jc w:val="left"/>
              <w:rPr>
                <w:rFonts w:cs="Calibri"/>
              </w:rPr>
            </w:pPr>
            <w:r>
              <w:rPr>
                <w:rFonts w:hint="eastAsia"/>
                <w:lang w:val="en-US" w:eastAsia="zh-CN"/>
              </w:rPr>
              <w:t>1.</w:t>
            </w:r>
            <w:r>
              <w:t>最高转速：4000r／min； 最大相对离心力：1780xg； 定时范围：0～60min； 最大允许不平衡量：10g； 电源：AC220V 50Hz 6A；</w:t>
            </w:r>
            <w:r>
              <w:rPr>
                <w:rFonts w:hint="eastAsia"/>
                <w:lang w:val="en-US" w:eastAsia="zh-CN"/>
              </w:rPr>
              <w:t>2.</w:t>
            </w:r>
            <w:r>
              <w:t xml:space="preserve"> 容量：10ml 或 15ml*8 支 ； 外形尺寸：280*250*260mm； 重量：12kg；</w:t>
            </w:r>
          </w:p>
        </w:tc>
        <w:tc>
          <w:tcPr>
            <w:tcW w:w="1328" w:type="dxa"/>
            <w:vMerge w:val="continue"/>
            <w:vAlign w:val="center"/>
          </w:tcPr>
          <w:p>
            <w:pP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2" w:hRule="atLeast"/>
        </w:trPr>
        <w:tc>
          <w:tcPr>
            <w:tcW w:w="609" w:type="dxa"/>
            <w:vMerge w:val="continue"/>
            <w:vAlign w:val="center"/>
          </w:tcPr>
          <w:p>
            <w:pPr>
              <w:jc w:val="center"/>
              <w:rPr>
                <w:rFonts w:cs="Calibri"/>
                <w:bCs/>
                <w:szCs w:val="21"/>
              </w:rPr>
            </w:pPr>
          </w:p>
        </w:tc>
        <w:tc>
          <w:tcPr>
            <w:tcW w:w="794" w:type="dxa"/>
            <w:vMerge w:val="continue"/>
            <w:vAlign w:val="center"/>
          </w:tcPr>
          <w:p>
            <w:pPr>
              <w:jc w:val="center"/>
              <w:rPr>
                <w:rFonts w:cs="Calibri"/>
                <w:bCs/>
                <w:szCs w:val="21"/>
              </w:rPr>
            </w:pPr>
          </w:p>
        </w:tc>
        <w:tc>
          <w:tcPr>
            <w:tcW w:w="1470" w:type="dxa"/>
            <w:gridSpan w:val="2"/>
            <w:vAlign w:val="center"/>
          </w:tcPr>
          <w:p>
            <w:pPr>
              <w:rPr>
                <w:rFonts w:cs="Calibri"/>
              </w:rPr>
            </w:pPr>
            <w:r>
              <w:rPr>
                <w:rFonts w:cs="Calibri"/>
              </w:rPr>
              <w:t>微量移液器</w:t>
            </w:r>
            <w:r>
              <w:t xml:space="preserve"> 0.5μl～10 μl</w:t>
            </w:r>
          </w:p>
        </w:tc>
        <w:tc>
          <w:tcPr>
            <w:tcW w:w="732" w:type="dxa"/>
            <w:vAlign w:val="center"/>
          </w:tcPr>
          <w:p>
            <w:pPr>
              <w:jc w:val="center"/>
              <w:rPr>
                <w:rFonts w:cs="Calibri"/>
              </w:rPr>
            </w:pPr>
            <w:r>
              <w:rPr>
                <w:rFonts w:cs="Calibri"/>
              </w:rPr>
              <w:t>1套</w:t>
            </w:r>
          </w:p>
        </w:tc>
        <w:tc>
          <w:tcPr>
            <w:tcW w:w="4607" w:type="dxa"/>
            <w:vAlign w:val="center"/>
          </w:tcPr>
          <w:p>
            <w:pPr>
              <w:numPr>
                <w:ilvl w:val="0"/>
                <w:numId w:val="20"/>
              </w:numPr>
              <w:jc w:val="left"/>
            </w:pPr>
            <w:r>
              <w:t>整支高温高压（121</w:t>
            </w:r>
            <w:r>
              <w:rPr>
                <w:rFonts w:hint="eastAsia" w:ascii="宋体" w:hAnsi="宋体" w:cs="宋体"/>
              </w:rPr>
              <w:t>℃</w:t>
            </w:r>
            <w:r>
              <w:t>）消毒及紫外消毒；</w:t>
            </w:r>
          </w:p>
          <w:p>
            <w:pPr>
              <w:numPr>
                <w:ilvl w:val="0"/>
                <w:numId w:val="20"/>
              </w:numPr>
              <w:jc w:val="left"/>
            </w:pPr>
            <w:r>
              <w:rPr>
                <w:rFonts w:hint="eastAsia"/>
                <w:sz w:val="24"/>
              </w:rPr>
              <w:t>*</w:t>
            </w:r>
            <w:r>
              <w:t>带自锁功能，防止误操作；</w:t>
            </w:r>
          </w:p>
          <w:p>
            <w:pPr>
              <w:numPr>
                <w:ilvl w:val="0"/>
                <w:numId w:val="20"/>
              </w:numPr>
              <w:jc w:val="left"/>
              <w:rPr>
                <w:rFonts w:cs="Calibri"/>
              </w:rPr>
            </w:pPr>
            <w:r>
              <w:t xml:space="preserve"> 耐强酸强碱腐蚀； 每支配备 1 个独特挂件，可将移液器悬挂任意处；</w:t>
            </w:r>
          </w:p>
          <w:p>
            <w:pPr>
              <w:numPr>
                <w:ilvl w:val="0"/>
                <w:numId w:val="20"/>
              </w:numPr>
              <w:jc w:val="left"/>
              <w:rPr>
                <w:rFonts w:cs="Calibri"/>
              </w:rPr>
            </w:pPr>
            <w:r>
              <w:t xml:space="preserve">按钮顶部有不同色彩的量程标志，易于辩认； </w:t>
            </w:r>
          </w:p>
          <w:p>
            <w:pPr>
              <w:numPr>
                <w:ilvl w:val="0"/>
                <w:numId w:val="20"/>
              </w:numPr>
              <w:jc w:val="left"/>
              <w:rPr>
                <w:rFonts w:cs="Calibri"/>
              </w:rPr>
            </w:pPr>
            <w:r>
              <w:t>侧窗口读数设计，便于观察设定； 配密封环和工具，方便用户随时校准和维修；</w:t>
            </w:r>
          </w:p>
        </w:tc>
        <w:tc>
          <w:tcPr>
            <w:tcW w:w="1328" w:type="dxa"/>
            <w:vMerge w:val="continue"/>
            <w:vAlign w:val="center"/>
          </w:tcPr>
          <w:p>
            <w:pP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29" w:hRule="atLeast"/>
        </w:trPr>
        <w:tc>
          <w:tcPr>
            <w:tcW w:w="609" w:type="dxa"/>
            <w:vMerge w:val="continue"/>
            <w:vAlign w:val="center"/>
          </w:tcPr>
          <w:p>
            <w:pPr>
              <w:jc w:val="center"/>
              <w:rPr>
                <w:rFonts w:cs="Calibri"/>
                <w:bCs/>
                <w:szCs w:val="21"/>
              </w:rPr>
            </w:pPr>
          </w:p>
        </w:tc>
        <w:tc>
          <w:tcPr>
            <w:tcW w:w="794" w:type="dxa"/>
            <w:vMerge w:val="continue"/>
            <w:vAlign w:val="center"/>
          </w:tcPr>
          <w:p>
            <w:pPr>
              <w:jc w:val="center"/>
              <w:rPr>
                <w:rFonts w:cs="Calibri"/>
                <w:bCs/>
                <w:szCs w:val="21"/>
              </w:rPr>
            </w:pPr>
          </w:p>
        </w:tc>
        <w:tc>
          <w:tcPr>
            <w:tcW w:w="1470" w:type="dxa"/>
            <w:gridSpan w:val="2"/>
            <w:vAlign w:val="center"/>
          </w:tcPr>
          <w:p>
            <w:pPr>
              <w:jc w:val="center"/>
              <w:rPr>
                <w:rFonts w:cs="Calibri"/>
              </w:rPr>
            </w:pPr>
            <w:r>
              <w:rPr>
                <w:rFonts w:cs="Calibri"/>
              </w:rPr>
              <w:t>烘箱</w:t>
            </w:r>
            <w:r>
              <w:rPr>
                <w:rFonts w:hint="eastAsia" w:cs="Calibri"/>
              </w:rPr>
              <w:t>（定制）</w:t>
            </w:r>
          </w:p>
        </w:tc>
        <w:tc>
          <w:tcPr>
            <w:tcW w:w="732" w:type="dxa"/>
            <w:vAlign w:val="center"/>
          </w:tcPr>
          <w:p>
            <w:pPr>
              <w:jc w:val="center"/>
              <w:rPr>
                <w:rFonts w:cs="Calibri"/>
              </w:rPr>
            </w:pPr>
            <w:r>
              <w:rPr>
                <w:rFonts w:cs="Calibri"/>
              </w:rPr>
              <w:t>1台</w:t>
            </w:r>
          </w:p>
        </w:tc>
        <w:tc>
          <w:tcPr>
            <w:tcW w:w="4607" w:type="dxa"/>
            <w:vAlign w:val="center"/>
          </w:tcPr>
          <w:p>
            <w:pPr>
              <w:numPr>
                <w:ilvl w:val="0"/>
                <w:numId w:val="21"/>
              </w:numPr>
              <w:jc w:val="left"/>
            </w:pPr>
            <w:r>
              <w:t>干燥箱工作温度可由室温上升 10</w:t>
            </w:r>
            <w:r>
              <w:rPr>
                <w:rFonts w:hint="eastAsia" w:ascii="宋体" w:hAnsi="宋体" w:cs="宋体"/>
              </w:rPr>
              <w:t>℃</w:t>
            </w:r>
            <w:r>
              <w:t>～300</w:t>
            </w:r>
            <w:r>
              <w:rPr>
                <w:rFonts w:hint="eastAsia" w:ascii="宋体" w:hAnsi="宋体" w:cs="宋体"/>
              </w:rPr>
              <w:t>℃</w:t>
            </w:r>
            <w:r>
              <w:t>，在此范围内，可任意选 定工作温度，</w:t>
            </w:r>
          </w:p>
          <w:p>
            <w:pPr>
              <w:numPr>
                <w:ilvl w:val="0"/>
                <w:numId w:val="21"/>
              </w:numPr>
              <w:jc w:val="left"/>
              <w:rPr>
                <w:rFonts w:cs="Calibri"/>
              </w:rPr>
            </w:pPr>
            <w:r>
              <w:t xml:space="preserve">箱内自动控制系统可保持恒温。箱内鼓风机促使空气对流， 保持温度均匀； </w:t>
            </w:r>
          </w:p>
          <w:p>
            <w:pPr>
              <w:numPr>
                <w:ilvl w:val="0"/>
                <w:numId w:val="21"/>
              </w:numPr>
              <w:jc w:val="left"/>
              <w:rPr>
                <w:rFonts w:cs="Calibri"/>
              </w:rPr>
            </w:pPr>
            <w:r>
              <w:t>技术指标： 干燥工作温度：室温＋10</w:t>
            </w:r>
            <w:r>
              <w:rPr>
                <w:rFonts w:hint="eastAsia" w:ascii="宋体" w:hAnsi="宋体" w:cs="宋体"/>
              </w:rPr>
              <w:t>℃</w:t>
            </w:r>
            <w:r>
              <w:t>～300</w:t>
            </w:r>
            <w:r>
              <w:rPr>
                <w:rFonts w:hint="eastAsia" w:ascii="宋体" w:hAnsi="宋体" w:cs="宋体"/>
              </w:rPr>
              <w:t>℃</w:t>
            </w:r>
            <w:r>
              <w:t>； 恒温波动度：±1</w:t>
            </w:r>
            <w:r>
              <w:rPr>
                <w:rFonts w:hint="eastAsia" w:ascii="宋体" w:hAnsi="宋体" w:cs="宋体"/>
              </w:rPr>
              <w:t>℃</w:t>
            </w:r>
            <w:r>
              <w:t xml:space="preserve">； 工作室尺寸：350*350*350mm； </w:t>
            </w:r>
          </w:p>
          <w:p>
            <w:pPr>
              <w:numPr>
                <w:ilvl w:val="0"/>
                <w:numId w:val="21"/>
              </w:numPr>
              <w:jc w:val="left"/>
              <w:rPr>
                <w:rFonts w:cs="Calibri"/>
              </w:rPr>
            </w:pPr>
            <w:r>
              <w:t>电源：AC220V 50Hz； 功率：2600W； 外形尺寸：557*717*685mm； 毛重：70kg；</w:t>
            </w:r>
          </w:p>
        </w:tc>
        <w:tc>
          <w:tcPr>
            <w:tcW w:w="1328" w:type="dxa"/>
            <w:vMerge w:val="continue"/>
            <w:vAlign w:val="center"/>
          </w:tcPr>
          <w:p>
            <w:pP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 w:hRule="atLeast"/>
        </w:trPr>
        <w:tc>
          <w:tcPr>
            <w:tcW w:w="609" w:type="dxa"/>
            <w:vMerge w:val="continue"/>
            <w:vAlign w:val="center"/>
          </w:tcPr>
          <w:p>
            <w:pPr>
              <w:jc w:val="center"/>
              <w:rPr>
                <w:rFonts w:cs="Calibri"/>
                <w:bCs/>
                <w:szCs w:val="21"/>
              </w:rPr>
            </w:pPr>
          </w:p>
        </w:tc>
        <w:tc>
          <w:tcPr>
            <w:tcW w:w="794" w:type="dxa"/>
            <w:vMerge w:val="continue"/>
            <w:vAlign w:val="center"/>
          </w:tcPr>
          <w:p>
            <w:pPr>
              <w:jc w:val="center"/>
              <w:rPr>
                <w:rFonts w:cs="Calibri"/>
                <w:bCs/>
                <w:szCs w:val="21"/>
              </w:rPr>
            </w:pPr>
          </w:p>
        </w:tc>
        <w:tc>
          <w:tcPr>
            <w:tcW w:w="1470" w:type="dxa"/>
            <w:gridSpan w:val="2"/>
            <w:vAlign w:val="center"/>
          </w:tcPr>
          <w:p>
            <w:pPr>
              <w:jc w:val="center"/>
              <w:rPr>
                <w:rFonts w:cs="Calibri"/>
                <w:szCs w:val="21"/>
              </w:rPr>
            </w:pPr>
            <w:r>
              <w:rPr>
                <w:rFonts w:cs="Calibri"/>
                <w:szCs w:val="21"/>
              </w:rPr>
              <w:t>冰箱</w:t>
            </w:r>
            <w:r>
              <w:rPr>
                <w:rFonts w:hint="eastAsia" w:cs="Calibri"/>
                <w:szCs w:val="21"/>
              </w:rPr>
              <w:t>（超低温）</w:t>
            </w:r>
          </w:p>
        </w:tc>
        <w:tc>
          <w:tcPr>
            <w:tcW w:w="732" w:type="dxa"/>
            <w:vAlign w:val="center"/>
          </w:tcPr>
          <w:p>
            <w:pPr>
              <w:jc w:val="center"/>
              <w:rPr>
                <w:rFonts w:cs="Calibri"/>
                <w:szCs w:val="21"/>
              </w:rPr>
            </w:pPr>
            <w:r>
              <w:rPr>
                <w:rFonts w:cs="Calibri"/>
                <w:szCs w:val="21"/>
              </w:rPr>
              <w:t>1台</w:t>
            </w:r>
          </w:p>
        </w:tc>
        <w:tc>
          <w:tcPr>
            <w:tcW w:w="4607" w:type="dxa"/>
            <w:vAlign w:val="center"/>
          </w:tcPr>
          <w:p>
            <w:pPr>
              <w:jc w:val="left"/>
              <w:rPr>
                <w:rFonts w:cs="Calibri"/>
              </w:rPr>
            </w:pPr>
            <w:r>
              <w:t>能效等级：无能效等级 压缩机：定频 类型：超低温冷柜</w:t>
            </w:r>
          </w:p>
        </w:tc>
        <w:tc>
          <w:tcPr>
            <w:tcW w:w="1328" w:type="dxa"/>
            <w:vMerge w:val="continue"/>
            <w:vAlign w:val="center"/>
          </w:tcPr>
          <w:p>
            <w:pP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8" w:hRule="atLeast"/>
        </w:trPr>
        <w:tc>
          <w:tcPr>
            <w:tcW w:w="609" w:type="dxa"/>
            <w:vAlign w:val="center"/>
          </w:tcPr>
          <w:p>
            <w:pPr>
              <w:jc w:val="center"/>
              <w:rPr>
                <w:rFonts w:cs="Calibri"/>
                <w:b/>
                <w:bCs/>
                <w:szCs w:val="21"/>
              </w:rPr>
            </w:pPr>
            <w:r>
              <w:rPr>
                <w:rFonts w:cs="Calibri"/>
                <w:b/>
                <w:bCs/>
                <w:szCs w:val="21"/>
              </w:rPr>
              <w:t>02</w:t>
            </w:r>
          </w:p>
        </w:tc>
        <w:tc>
          <w:tcPr>
            <w:tcW w:w="794" w:type="dxa"/>
            <w:vAlign w:val="center"/>
          </w:tcPr>
          <w:p>
            <w:pPr>
              <w:jc w:val="center"/>
              <w:rPr>
                <w:rFonts w:cs="Calibri"/>
                <w:b/>
                <w:bCs/>
                <w:szCs w:val="21"/>
              </w:rPr>
            </w:pPr>
            <w:r>
              <w:rPr>
                <w:rFonts w:cs="Calibri"/>
                <w:b/>
                <w:bCs/>
                <w:szCs w:val="21"/>
              </w:rPr>
              <w:t>乙醇检测</w:t>
            </w:r>
          </w:p>
        </w:tc>
        <w:tc>
          <w:tcPr>
            <w:tcW w:w="1470" w:type="dxa"/>
            <w:gridSpan w:val="2"/>
            <w:vAlign w:val="center"/>
          </w:tcPr>
          <w:p>
            <w:pPr>
              <w:rPr>
                <w:rFonts w:cs="Calibri"/>
                <w:bCs/>
                <w:szCs w:val="21"/>
              </w:rPr>
            </w:pPr>
            <w:r>
              <w:rPr>
                <w:rFonts w:cs="Calibri"/>
                <w:szCs w:val="21"/>
              </w:rPr>
              <w:t>顶空</w:t>
            </w:r>
            <w:r>
              <w:rPr>
                <w:rFonts w:cs="Calibri"/>
              </w:rPr>
              <w:t>气相色谱仪</w:t>
            </w:r>
          </w:p>
        </w:tc>
        <w:tc>
          <w:tcPr>
            <w:tcW w:w="732" w:type="dxa"/>
            <w:vAlign w:val="center"/>
          </w:tcPr>
          <w:p>
            <w:pPr>
              <w:jc w:val="center"/>
              <w:rPr>
                <w:rFonts w:cs="Calibri"/>
                <w:szCs w:val="21"/>
              </w:rPr>
            </w:pPr>
            <w:r>
              <w:rPr>
                <w:rFonts w:cs="Calibri"/>
                <w:szCs w:val="21"/>
              </w:rPr>
              <w:t>1台</w:t>
            </w:r>
          </w:p>
        </w:tc>
        <w:tc>
          <w:tcPr>
            <w:tcW w:w="4607" w:type="dxa"/>
            <w:vAlign w:val="center"/>
          </w:tcPr>
          <w:p>
            <w:pPr>
              <w:numPr>
                <w:ilvl w:val="0"/>
                <w:numId w:val="22"/>
              </w:numPr>
              <w:jc w:val="left"/>
              <w:rPr>
                <w:rFonts w:hint="eastAsia"/>
                <w:lang w:eastAsia="zh-CN"/>
              </w:rPr>
            </w:pPr>
            <w:r>
              <w:rPr>
                <w:rFonts w:hint="eastAsia"/>
                <w:sz w:val="24"/>
              </w:rPr>
              <w:t>*</w:t>
            </w:r>
            <w:r>
              <w:t>压力控制分辨率 0.001psi 耐高压进样口</w:t>
            </w:r>
            <w:r>
              <w:rPr>
                <w:rFonts w:hint="eastAsia"/>
                <w:lang w:eastAsia="zh-CN"/>
              </w:rPr>
              <w:t>，</w:t>
            </w:r>
            <w:r>
              <w:t>可移动平板控制，便捷操作，辅助进样和维护</w:t>
            </w:r>
            <w:r>
              <w:rPr>
                <w:rFonts w:hint="eastAsia"/>
                <w:lang w:eastAsia="zh-CN"/>
              </w:rPr>
              <w:t>，</w:t>
            </w:r>
            <w:r>
              <w:t>全反控中文版 Compass CDS 软件支持网络版，功能方便齐全 600Hz 数据采集频率</w:t>
            </w:r>
            <w:r>
              <w:rPr>
                <w:rFonts w:hint="eastAsia"/>
                <w:lang w:eastAsia="zh-CN"/>
              </w:rPr>
              <w:t>，</w:t>
            </w:r>
            <w:r>
              <w:t>原装高性能色谱柱、保证分析效果 进样口及管路惰性化处理可选项 超大精确控温柱温箱、柱箱门可拆卸</w:t>
            </w:r>
            <w:r>
              <w:rPr>
                <w:rFonts w:hint="eastAsia"/>
                <w:lang w:eastAsia="zh-CN"/>
              </w:rPr>
              <w:t>。</w:t>
            </w:r>
          </w:p>
          <w:p>
            <w:pPr>
              <w:numPr>
                <w:ilvl w:val="0"/>
                <w:numId w:val="22"/>
              </w:numPr>
              <w:jc w:val="left"/>
              <w:rPr>
                <w:rFonts w:cs="Calibri"/>
              </w:rPr>
            </w:pPr>
            <w:r>
              <w:t>高精度 EFC 模块 压力控制精度达到 0.001psi 压力控制范围 0-150psi 保留时间重复性电子捕获检测器（ECD） 热导检测器（TCD） 脉冲火焰光度检测器（PFPD）</w:t>
            </w:r>
          </w:p>
          <w:p>
            <w:pPr>
              <w:numPr>
                <w:ilvl w:val="0"/>
                <w:numId w:val="22"/>
              </w:numPr>
              <w:ind w:left="0" w:leftChars="0" w:firstLine="0" w:firstLineChars="0"/>
              <w:jc w:val="left"/>
            </w:pPr>
            <w:r>
              <w:rPr>
                <w:rFonts w:hint="eastAsia"/>
                <w:sz w:val="24"/>
              </w:rPr>
              <w:t>*</w:t>
            </w:r>
            <w:r>
              <w:t xml:space="preserve">（1）液体自动进样器 </w:t>
            </w:r>
            <w:r>
              <w:rPr>
                <w:rFonts w:hint="eastAsia"/>
                <w:lang w:eastAsia="zh-CN"/>
              </w:rPr>
              <w:t>，</w:t>
            </w:r>
            <w:r>
              <w:t>只需一个进样塔即可对邻近的两个进样口进样</w:t>
            </w:r>
            <w:r>
              <w:rPr>
                <w:rFonts w:hint="eastAsia"/>
                <w:lang w:eastAsia="zh-CN"/>
              </w:rPr>
              <w:t>，</w:t>
            </w:r>
            <w:r>
              <w:t>操作面板及工作站都可完全控制</w:t>
            </w:r>
            <w:r>
              <w:rPr>
                <w:rFonts w:hint="eastAsia"/>
                <w:lang w:eastAsia="zh-CN"/>
              </w:rPr>
              <w:t>，</w:t>
            </w:r>
            <w:r>
              <w:t>维护进样口无需拆卸自动进样器</w:t>
            </w:r>
            <w:r>
              <w:rPr>
                <w:rFonts w:hint="eastAsia"/>
                <w:lang w:eastAsia="zh-CN"/>
              </w:rPr>
              <w:t>，</w:t>
            </w:r>
            <w:r>
              <w:t>进样针远离加热区域</w:t>
            </w:r>
            <w:r>
              <w:rPr>
                <w:rFonts w:hint="eastAsia"/>
                <w:lang w:eastAsia="zh-CN"/>
              </w:rPr>
              <w:t>，</w:t>
            </w:r>
            <w:r>
              <w:t>兼顾液体、SPME 进样模式</w:t>
            </w:r>
            <w:r>
              <w:rPr>
                <w:rFonts w:hint="eastAsia"/>
                <w:lang w:eastAsia="zh-CN"/>
              </w:rPr>
              <w:t>。</w:t>
            </w:r>
            <w:r>
              <w:t>2）多种前处理设备供选择</w:t>
            </w:r>
            <w:r>
              <w:rPr>
                <w:rFonts w:hint="eastAsia"/>
                <w:lang w:eastAsia="zh-CN"/>
              </w:rPr>
              <w:t>，</w:t>
            </w:r>
            <w:r>
              <w:t xml:space="preserve">静态顶空和动态顶空任意切换 Sitek 涂层进样环，多种规格可选样品流路温度可加热至 300 摄氏度 </w:t>
            </w:r>
            <w:r>
              <w:rPr>
                <w:rFonts w:hint="eastAsia"/>
                <w:lang w:eastAsia="zh-CN"/>
              </w:rPr>
              <w:t>，</w:t>
            </w:r>
            <w:r>
              <w:t>同一进样序列内可选用不同方法</w:t>
            </w:r>
          </w:p>
          <w:p>
            <w:pPr>
              <w:numPr>
                <w:ilvl w:val="0"/>
                <w:numId w:val="22"/>
              </w:numPr>
              <w:ind w:left="0" w:leftChars="0" w:firstLine="0" w:firstLineChars="0"/>
              <w:jc w:val="left"/>
              <w:rPr>
                <w:rFonts w:cs="Calibri"/>
              </w:rPr>
            </w:pPr>
            <w:r>
              <w:rPr>
                <w:rFonts w:hint="eastAsia"/>
                <w:sz w:val="24"/>
              </w:rPr>
              <w:t>*</w:t>
            </w:r>
            <w:r>
              <w:t>定制化气相色谱选择</w:t>
            </w:r>
          </w:p>
        </w:tc>
        <w:tc>
          <w:tcPr>
            <w:tcW w:w="1328" w:type="dxa"/>
            <w:vAlign w:val="center"/>
          </w:tcPr>
          <w:p>
            <w:pPr>
              <w:rPr>
                <w:rFonts w:cs="Calibri"/>
                <w:szCs w:val="21"/>
              </w:rPr>
            </w:pPr>
            <w:r>
              <w:rPr>
                <w:rFonts w:cs="Calibri"/>
                <w:szCs w:val="21"/>
              </w:rPr>
              <w:t>适用于单一乙醇检测</w:t>
            </w:r>
            <w:r>
              <w:rPr>
                <w:rFonts w:hint="eastAsia"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1580" w:type="dxa"/>
            <w:gridSpan w:val="3"/>
            <w:vAlign w:val="top"/>
          </w:tcPr>
          <w:p>
            <w:pPr>
              <w:rPr>
                <w:color w:val="FF0000"/>
              </w:rPr>
            </w:pPr>
            <w:r>
              <w:rPr>
                <w:rFonts w:hint="eastAsia"/>
                <w:color w:val="auto"/>
              </w:rPr>
              <w:t>所有标准品：自备</w:t>
            </w:r>
          </w:p>
        </w:tc>
        <w:tc>
          <w:tcPr>
            <w:tcW w:w="7960" w:type="dxa"/>
            <w:gridSpan w:val="4"/>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color w:val="FF0000"/>
              </w:rPr>
            </w:pPr>
          </w:p>
        </w:tc>
      </w:tr>
    </w:tbl>
    <w:p>
      <w:pPr>
        <w:pStyle w:val="2"/>
        <w:rPr>
          <w:rFonts w:hint="eastAsia"/>
          <w:lang w:val="en-US" w:eastAsia="zh-CN"/>
        </w:rPr>
      </w:pPr>
    </w:p>
    <w:p>
      <w:pPr>
        <w:jc w:val="center"/>
        <w:rPr>
          <w:rFonts w:hint="eastAsia" w:ascii="宋体" w:hAnsi="宋体" w:eastAsia="宋体" w:cs="宋体"/>
          <w:b/>
          <w:bCs/>
          <w:sz w:val="28"/>
          <w:szCs w:val="36"/>
          <w:lang w:val="zh-CN" w:eastAsia="zh-CN" w:bidi="zh-CN"/>
        </w:rPr>
      </w:pPr>
    </w:p>
    <w:p>
      <w:pPr>
        <w:pStyle w:val="2"/>
        <w:jc w:val="center"/>
        <w:rPr>
          <w:rFonts w:hint="eastAsia" w:ascii="宋体" w:hAnsi="宋体" w:eastAsia="宋体" w:cs="宋体"/>
          <w:b/>
          <w:bCs/>
          <w:sz w:val="28"/>
          <w:szCs w:val="36"/>
          <w:lang w:val="en-US" w:eastAsia="zh-CN" w:bidi="zh-CN"/>
        </w:rPr>
      </w:pPr>
    </w:p>
    <w:p>
      <w:pPr>
        <w:rPr>
          <w:rFonts w:hint="eastAsia" w:ascii="宋体" w:hAnsi="宋体" w:eastAsia="宋体" w:cs="宋体"/>
          <w:b/>
          <w:bCs/>
          <w:sz w:val="28"/>
          <w:szCs w:val="36"/>
          <w:lang w:val="en-US" w:eastAsia="zh-CN" w:bidi="zh-CN"/>
        </w:rPr>
      </w:pPr>
    </w:p>
    <w:p>
      <w:pPr>
        <w:pStyle w:val="2"/>
        <w:rPr>
          <w:rFonts w:hint="eastAsia" w:ascii="宋体" w:hAnsi="宋体" w:eastAsia="宋体" w:cs="宋体"/>
          <w:b/>
          <w:bCs/>
          <w:sz w:val="28"/>
          <w:szCs w:val="36"/>
          <w:lang w:val="en-US" w:eastAsia="zh-CN" w:bidi="zh-CN"/>
        </w:rPr>
      </w:pPr>
    </w:p>
    <w:p>
      <w:pPr>
        <w:rPr>
          <w:rFonts w:hint="eastAsia" w:ascii="宋体" w:hAnsi="宋体" w:eastAsia="宋体" w:cs="宋体"/>
          <w:b/>
          <w:bCs/>
          <w:sz w:val="28"/>
          <w:szCs w:val="36"/>
          <w:lang w:val="en-US" w:eastAsia="zh-CN" w:bidi="zh-CN"/>
        </w:rPr>
      </w:pPr>
    </w:p>
    <w:p>
      <w:pPr>
        <w:pStyle w:val="2"/>
        <w:rPr>
          <w:rFonts w:hint="eastAsia" w:ascii="宋体" w:hAnsi="宋体" w:eastAsia="宋体" w:cs="宋体"/>
          <w:b/>
          <w:bCs/>
          <w:sz w:val="28"/>
          <w:szCs w:val="36"/>
          <w:lang w:val="en-US" w:eastAsia="zh-CN" w:bidi="zh-CN"/>
        </w:rPr>
      </w:pPr>
    </w:p>
    <w:p>
      <w:pPr>
        <w:rPr>
          <w:rFonts w:hint="eastAsia" w:ascii="宋体" w:hAnsi="宋体" w:eastAsia="宋体" w:cs="宋体"/>
          <w:b/>
          <w:bCs/>
          <w:sz w:val="28"/>
          <w:szCs w:val="36"/>
          <w:lang w:val="en-US" w:eastAsia="zh-CN" w:bidi="zh-CN"/>
        </w:rPr>
      </w:pPr>
    </w:p>
    <w:p>
      <w:pPr>
        <w:pStyle w:val="2"/>
        <w:rPr>
          <w:rFonts w:hint="eastAsia" w:ascii="宋体" w:hAnsi="宋体" w:eastAsia="宋体" w:cs="宋体"/>
          <w:b/>
          <w:bCs/>
          <w:sz w:val="28"/>
          <w:szCs w:val="36"/>
          <w:lang w:val="en-US" w:eastAsia="zh-CN" w:bidi="zh-CN"/>
        </w:rPr>
      </w:pPr>
    </w:p>
    <w:p>
      <w:pPr>
        <w:rPr>
          <w:rFonts w:hint="eastAsia" w:ascii="宋体" w:hAnsi="宋体" w:eastAsia="宋体" w:cs="宋体"/>
          <w:b/>
          <w:bCs/>
          <w:sz w:val="28"/>
          <w:szCs w:val="36"/>
          <w:lang w:val="en-US" w:eastAsia="zh-CN" w:bidi="zh-CN"/>
        </w:rPr>
      </w:pPr>
    </w:p>
    <w:p>
      <w:pPr>
        <w:pStyle w:val="2"/>
        <w:rPr>
          <w:rFonts w:hint="eastAsia" w:ascii="宋体" w:hAnsi="宋体" w:eastAsia="宋体" w:cs="宋体"/>
          <w:b/>
          <w:bCs/>
          <w:sz w:val="28"/>
          <w:szCs w:val="36"/>
          <w:lang w:val="en-US" w:eastAsia="zh-CN" w:bidi="zh-CN"/>
        </w:rPr>
      </w:pPr>
    </w:p>
    <w:p>
      <w:pPr>
        <w:rPr>
          <w:rFonts w:hint="eastAsia" w:ascii="宋体" w:hAnsi="宋体" w:eastAsia="宋体" w:cs="宋体"/>
          <w:b/>
          <w:bCs/>
          <w:sz w:val="28"/>
          <w:szCs w:val="36"/>
          <w:lang w:val="en-US" w:eastAsia="zh-CN" w:bidi="zh-CN"/>
        </w:rPr>
      </w:pPr>
    </w:p>
    <w:p>
      <w:pPr>
        <w:pStyle w:val="2"/>
        <w:rPr>
          <w:rFonts w:hint="eastAsia" w:ascii="宋体" w:hAnsi="宋体" w:eastAsia="宋体" w:cs="宋体"/>
          <w:b/>
          <w:bCs/>
          <w:sz w:val="28"/>
          <w:szCs w:val="36"/>
          <w:lang w:val="en-US" w:eastAsia="zh-CN" w:bidi="zh-CN"/>
        </w:rPr>
      </w:pPr>
    </w:p>
    <w:p>
      <w:pPr>
        <w:rPr>
          <w:rFonts w:hint="eastAsia" w:ascii="宋体" w:hAnsi="宋体" w:eastAsia="宋体" w:cs="宋体"/>
          <w:b/>
          <w:bCs/>
          <w:sz w:val="28"/>
          <w:szCs w:val="36"/>
          <w:lang w:val="en-US" w:eastAsia="zh-CN" w:bidi="zh-CN"/>
        </w:rPr>
      </w:pPr>
    </w:p>
    <w:p>
      <w:pPr>
        <w:pStyle w:val="2"/>
        <w:rPr>
          <w:rFonts w:hint="eastAsia" w:ascii="宋体" w:hAnsi="宋体" w:eastAsia="宋体" w:cs="宋体"/>
          <w:b/>
          <w:bCs/>
          <w:sz w:val="28"/>
          <w:szCs w:val="36"/>
          <w:lang w:val="en-US" w:eastAsia="zh-CN" w:bidi="zh-CN"/>
        </w:rPr>
      </w:pPr>
    </w:p>
    <w:p>
      <w:pPr>
        <w:rPr>
          <w:rFonts w:hint="eastAsia" w:ascii="宋体" w:hAnsi="宋体" w:eastAsia="宋体" w:cs="宋体"/>
          <w:b/>
          <w:bCs/>
          <w:sz w:val="28"/>
          <w:szCs w:val="36"/>
          <w:lang w:val="en-US" w:eastAsia="zh-CN" w:bidi="zh-CN"/>
        </w:rPr>
      </w:pPr>
    </w:p>
    <w:p>
      <w:pPr>
        <w:pStyle w:val="2"/>
        <w:rPr>
          <w:rFonts w:hint="eastAsia" w:ascii="宋体" w:hAnsi="宋体" w:eastAsia="宋体" w:cs="宋体"/>
          <w:b/>
          <w:bCs/>
          <w:sz w:val="28"/>
          <w:szCs w:val="36"/>
          <w:lang w:val="en-US" w:eastAsia="zh-CN" w:bidi="zh-CN"/>
        </w:rPr>
      </w:pPr>
    </w:p>
    <w:p>
      <w:pPr>
        <w:rPr>
          <w:rFonts w:hint="eastAsia" w:ascii="宋体" w:hAnsi="宋体" w:eastAsia="宋体" w:cs="宋体"/>
          <w:b/>
          <w:bCs/>
          <w:sz w:val="28"/>
          <w:szCs w:val="36"/>
          <w:lang w:val="en-US" w:eastAsia="zh-CN" w:bidi="zh-CN"/>
        </w:rPr>
      </w:pPr>
    </w:p>
    <w:p>
      <w:pPr>
        <w:pStyle w:val="2"/>
        <w:ind w:left="0" w:leftChars="0" w:firstLine="0" w:firstLineChars="0"/>
        <w:jc w:val="both"/>
        <w:rPr>
          <w:rFonts w:hint="eastAsia" w:ascii="宋体" w:hAnsi="宋体" w:eastAsia="宋体" w:cs="宋体"/>
          <w:b/>
          <w:bCs/>
          <w:sz w:val="28"/>
          <w:szCs w:val="36"/>
          <w:lang w:val="en-US" w:eastAsia="zh-CN" w:bidi="zh-CN"/>
        </w:rPr>
      </w:pPr>
    </w:p>
    <w:p>
      <w:pPr>
        <w:rPr>
          <w:rFonts w:hint="eastAsia"/>
          <w:lang w:val="en-US" w:eastAsia="zh-CN"/>
        </w:rPr>
      </w:pPr>
    </w:p>
    <w:p>
      <w:pPr>
        <w:pStyle w:val="5"/>
        <w:rPr>
          <w:rFonts w:hint="eastAsia"/>
          <w:lang w:val="en-US" w:eastAsia="zh-CN"/>
        </w:rPr>
      </w:pPr>
    </w:p>
    <w:p>
      <w:pPr>
        <w:pStyle w:val="3"/>
        <w:tabs>
          <w:tab w:val="left" w:pos="1607"/>
        </w:tabs>
        <w:ind w:right="19"/>
        <w:jc w:val="center"/>
      </w:pPr>
      <w:r>
        <w:t>第四部分</w:t>
      </w:r>
      <w:r>
        <w:tab/>
      </w:r>
      <w:r>
        <w:t>合同一般条款</w:t>
      </w:r>
    </w:p>
    <w:p>
      <w:pPr>
        <w:pStyle w:val="22"/>
        <w:numPr>
          <w:ilvl w:val="0"/>
          <w:numId w:val="23"/>
        </w:numPr>
        <w:tabs>
          <w:tab w:val="left" w:pos="636"/>
        </w:tabs>
        <w:spacing w:before="255"/>
        <w:ind w:hanging="375"/>
        <w:rPr>
          <w:sz w:val="24"/>
        </w:rPr>
      </w:pPr>
      <w:r>
        <w:rPr>
          <w:sz w:val="24"/>
        </w:rPr>
        <w:t>定义</w:t>
      </w:r>
    </w:p>
    <w:p>
      <w:pPr>
        <w:pStyle w:val="22"/>
        <w:numPr>
          <w:ilvl w:val="1"/>
          <w:numId w:val="23"/>
        </w:numPr>
        <w:tabs>
          <w:tab w:val="left" w:pos="716"/>
        </w:tabs>
        <w:spacing w:line="319" w:lineRule="auto"/>
        <w:ind w:right="274" w:firstLine="120"/>
        <w:jc w:val="both"/>
        <w:rPr>
          <w:sz w:val="24"/>
        </w:rPr>
      </w:pPr>
      <w:r>
        <w:rPr>
          <w:rFonts w:ascii="Arial" w:hAnsi="Arial" w:eastAsia="Arial"/>
          <w:sz w:val="24"/>
        </w:rPr>
        <w:t>“</w:t>
      </w:r>
      <w:r>
        <w:rPr>
          <w:sz w:val="24"/>
        </w:rPr>
        <w:t>合同</w:t>
      </w:r>
      <w:r>
        <w:rPr>
          <w:rFonts w:ascii="Arial" w:hAnsi="Arial" w:eastAsia="Arial"/>
          <w:sz w:val="24"/>
        </w:rPr>
        <w:t>”</w:t>
      </w:r>
      <w:r>
        <w:rPr>
          <w:sz w:val="24"/>
        </w:rPr>
        <w:t>系指买方和卖方</w:t>
      </w:r>
      <w:r>
        <w:rPr>
          <w:rFonts w:ascii="Arial" w:hAnsi="Arial" w:eastAsia="Arial"/>
          <w:sz w:val="24"/>
        </w:rPr>
        <w:t>(</w:t>
      </w:r>
      <w:r>
        <w:rPr>
          <w:sz w:val="24"/>
        </w:rPr>
        <w:t>以下简称合同双方</w:t>
      </w:r>
      <w:r>
        <w:rPr>
          <w:rFonts w:ascii="Arial" w:hAnsi="Arial" w:eastAsia="Arial"/>
          <w:sz w:val="24"/>
        </w:rPr>
        <w:t>)</w:t>
      </w:r>
      <w:r>
        <w:rPr>
          <w:sz w:val="24"/>
        </w:rPr>
        <w:t>已达成的协议，即由双方签订的合同格式中的文件，包括所有的附件、附录和组成合同部分的所有其他文件。</w:t>
      </w:r>
    </w:p>
    <w:p>
      <w:pPr>
        <w:pStyle w:val="22"/>
        <w:numPr>
          <w:ilvl w:val="1"/>
          <w:numId w:val="23"/>
        </w:numPr>
        <w:tabs>
          <w:tab w:val="left" w:pos="716"/>
        </w:tabs>
        <w:spacing w:before="0"/>
        <w:ind w:left="715" w:hanging="335"/>
        <w:rPr>
          <w:sz w:val="24"/>
        </w:rPr>
      </w:pPr>
      <w:r>
        <w:rPr>
          <w:rFonts w:ascii="Arial" w:hAnsi="Arial" w:eastAsia="Arial"/>
          <w:sz w:val="24"/>
        </w:rPr>
        <w:t>“</w:t>
      </w:r>
      <w:r>
        <w:rPr>
          <w:sz w:val="24"/>
        </w:rPr>
        <w:t>合同价格</w:t>
      </w:r>
      <w:r>
        <w:rPr>
          <w:rFonts w:ascii="Arial" w:hAnsi="Arial" w:eastAsia="Arial"/>
          <w:sz w:val="24"/>
        </w:rPr>
        <w:t>”</w:t>
      </w:r>
      <w:r>
        <w:rPr>
          <w:sz w:val="24"/>
        </w:rPr>
        <w:t>系指根据合同规定，在卖方全面正确地履行合同义务时应支付给卖方的款项。</w:t>
      </w:r>
    </w:p>
    <w:p>
      <w:pPr>
        <w:pStyle w:val="22"/>
        <w:numPr>
          <w:ilvl w:val="1"/>
          <w:numId w:val="23"/>
        </w:numPr>
        <w:tabs>
          <w:tab w:val="left" w:pos="716"/>
        </w:tabs>
        <w:spacing w:line="319" w:lineRule="auto"/>
        <w:ind w:right="276" w:firstLine="120"/>
        <w:jc w:val="both"/>
        <w:rPr>
          <w:sz w:val="24"/>
        </w:rPr>
      </w:pPr>
      <w:r>
        <w:rPr>
          <w:rFonts w:ascii="Arial" w:hAnsi="Arial" w:eastAsia="Arial"/>
          <w:sz w:val="24"/>
        </w:rPr>
        <w:t>“</w:t>
      </w:r>
      <w:r>
        <w:rPr>
          <w:sz w:val="24"/>
        </w:rPr>
        <w:t>货物</w:t>
      </w:r>
      <w:r>
        <w:rPr>
          <w:rFonts w:ascii="Arial" w:hAnsi="Arial" w:eastAsia="Arial"/>
          <w:sz w:val="24"/>
        </w:rPr>
        <w:t>”</w:t>
      </w:r>
      <w:r>
        <w:rPr>
          <w:spacing w:val="-1"/>
          <w:sz w:val="24"/>
        </w:rPr>
        <w:t>系指卖方按合同要求，须向买方提供的一切设备、机械、仪器仪表、备品备件、软</w:t>
      </w:r>
      <w:r>
        <w:rPr>
          <w:sz w:val="24"/>
        </w:rPr>
        <w:t>件、工具、手册及其它技术资料和其它材料。</w:t>
      </w:r>
    </w:p>
    <w:p>
      <w:pPr>
        <w:pStyle w:val="22"/>
        <w:numPr>
          <w:ilvl w:val="1"/>
          <w:numId w:val="23"/>
        </w:numPr>
        <w:tabs>
          <w:tab w:val="left" w:pos="716"/>
        </w:tabs>
        <w:spacing w:before="0" w:line="319" w:lineRule="auto"/>
        <w:ind w:right="276" w:firstLine="120"/>
        <w:jc w:val="both"/>
        <w:rPr>
          <w:sz w:val="24"/>
        </w:rPr>
      </w:pPr>
      <w:r>
        <w:rPr>
          <w:rFonts w:ascii="Arial" w:hAnsi="Arial" w:eastAsia="Arial"/>
          <w:sz w:val="24"/>
        </w:rPr>
        <w:t>“</w:t>
      </w:r>
      <w:r>
        <w:rPr>
          <w:sz w:val="24"/>
        </w:rPr>
        <w:t>服务</w:t>
      </w:r>
      <w:r>
        <w:rPr>
          <w:rFonts w:ascii="Arial" w:hAnsi="Arial" w:eastAsia="Arial"/>
          <w:sz w:val="24"/>
        </w:rPr>
        <w:t>”</w:t>
      </w:r>
      <w:r>
        <w:rPr>
          <w:spacing w:val="-1"/>
          <w:sz w:val="24"/>
        </w:rPr>
        <w:t>系指合同规定卖方须承担的安装、调试、技术协助、校准、培训以及其他类似的义</w:t>
      </w:r>
      <w:r>
        <w:rPr>
          <w:sz w:val="24"/>
        </w:rPr>
        <w:t>务。</w:t>
      </w:r>
    </w:p>
    <w:p>
      <w:pPr>
        <w:pStyle w:val="22"/>
        <w:numPr>
          <w:ilvl w:val="1"/>
          <w:numId w:val="23"/>
        </w:numPr>
        <w:tabs>
          <w:tab w:val="left" w:pos="716"/>
        </w:tabs>
        <w:spacing w:before="1"/>
        <w:ind w:left="715" w:hanging="335"/>
        <w:rPr>
          <w:sz w:val="24"/>
        </w:rPr>
      </w:pPr>
      <w:r>
        <w:rPr>
          <w:rFonts w:ascii="Arial" w:hAnsi="Arial" w:eastAsia="Arial"/>
          <w:sz w:val="24"/>
        </w:rPr>
        <w:t>“</w:t>
      </w:r>
      <w:r>
        <w:rPr>
          <w:sz w:val="24"/>
        </w:rPr>
        <w:t>买方</w:t>
      </w:r>
      <w:r>
        <w:rPr>
          <w:rFonts w:ascii="Arial" w:hAnsi="Arial" w:eastAsia="Arial"/>
          <w:sz w:val="24"/>
        </w:rPr>
        <w:t>”</w:t>
      </w:r>
      <w:r>
        <w:rPr>
          <w:sz w:val="24"/>
        </w:rPr>
        <w:t>系指通过</w:t>
      </w:r>
      <w:r>
        <w:rPr>
          <w:rFonts w:hint="eastAsia"/>
          <w:sz w:val="24"/>
          <w:lang w:eastAsia="zh-CN"/>
        </w:rPr>
        <w:t>采购</w:t>
      </w:r>
      <w:r>
        <w:rPr>
          <w:sz w:val="24"/>
        </w:rPr>
        <w:t>采购，接受合同货物及服务的企业或单位。</w:t>
      </w:r>
    </w:p>
    <w:p>
      <w:pPr>
        <w:pStyle w:val="22"/>
        <w:numPr>
          <w:ilvl w:val="1"/>
          <w:numId w:val="23"/>
        </w:numPr>
        <w:tabs>
          <w:tab w:val="left" w:pos="716"/>
        </w:tabs>
        <w:spacing w:before="103"/>
        <w:ind w:left="715" w:hanging="335"/>
        <w:rPr>
          <w:sz w:val="24"/>
        </w:rPr>
      </w:pPr>
      <w:r>
        <w:rPr>
          <w:rFonts w:ascii="Arial" w:hAnsi="Arial" w:eastAsia="Arial"/>
          <w:sz w:val="24"/>
        </w:rPr>
        <w:t>“</w:t>
      </w:r>
      <w:r>
        <w:rPr>
          <w:sz w:val="24"/>
        </w:rPr>
        <w:t>卖方</w:t>
      </w:r>
      <w:r>
        <w:rPr>
          <w:rFonts w:ascii="Arial" w:hAnsi="Arial" w:eastAsia="Arial"/>
          <w:sz w:val="24"/>
        </w:rPr>
        <w:t>”</w:t>
      </w:r>
      <w:r>
        <w:rPr>
          <w:sz w:val="24"/>
        </w:rPr>
        <w:t>系指中标后提供合同货物和服务的经济实体。</w:t>
      </w:r>
    </w:p>
    <w:p>
      <w:pPr>
        <w:pStyle w:val="22"/>
        <w:numPr>
          <w:ilvl w:val="1"/>
          <w:numId w:val="23"/>
        </w:numPr>
        <w:tabs>
          <w:tab w:val="left" w:pos="716"/>
        </w:tabs>
        <w:spacing w:before="100"/>
        <w:ind w:left="715" w:hanging="335"/>
        <w:rPr>
          <w:sz w:val="24"/>
        </w:rPr>
      </w:pPr>
      <w:r>
        <w:rPr>
          <w:rFonts w:ascii="Arial" w:hAnsi="Arial" w:eastAsia="Arial"/>
          <w:sz w:val="24"/>
        </w:rPr>
        <w:t>“</w:t>
      </w:r>
      <w:r>
        <w:rPr>
          <w:sz w:val="24"/>
        </w:rPr>
        <w:t>现场</w:t>
      </w:r>
      <w:r>
        <w:rPr>
          <w:rFonts w:ascii="Arial" w:hAnsi="Arial" w:eastAsia="Arial"/>
          <w:sz w:val="24"/>
        </w:rPr>
        <w:t>”</w:t>
      </w:r>
      <w:r>
        <w:rPr>
          <w:sz w:val="24"/>
        </w:rPr>
        <w:t>系指将要进行货物安装和运转的地点。</w:t>
      </w:r>
    </w:p>
    <w:p>
      <w:pPr>
        <w:pStyle w:val="22"/>
        <w:numPr>
          <w:ilvl w:val="1"/>
          <w:numId w:val="23"/>
        </w:numPr>
        <w:tabs>
          <w:tab w:val="left" w:pos="716"/>
        </w:tabs>
        <w:ind w:left="715" w:hanging="335"/>
        <w:rPr>
          <w:sz w:val="24"/>
        </w:rPr>
      </w:pPr>
      <w:r>
        <w:rPr>
          <w:rFonts w:ascii="Arial" w:hAnsi="Arial" w:eastAsia="Arial"/>
          <w:sz w:val="24"/>
        </w:rPr>
        <w:t>“</w:t>
      </w:r>
      <w:r>
        <w:rPr>
          <w:sz w:val="24"/>
        </w:rPr>
        <w:t>验收</w:t>
      </w:r>
      <w:r>
        <w:rPr>
          <w:rFonts w:ascii="Arial" w:hAnsi="Arial" w:eastAsia="Arial"/>
          <w:sz w:val="24"/>
        </w:rPr>
        <w:t>”</w:t>
      </w:r>
      <w:r>
        <w:rPr>
          <w:sz w:val="24"/>
        </w:rPr>
        <w:t>系指买方依据技术规格规定接受合同货物所依据的程序和条件。</w:t>
      </w:r>
    </w:p>
    <w:p>
      <w:pPr>
        <w:pStyle w:val="22"/>
        <w:numPr>
          <w:ilvl w:val="0"/>
          <w:numId w:val="23"/>
        </w:numPr>
        <w:tabs>
          <w:tab w:val="left" w:pos="636"/>
        </w:tabs>
        <w:spacing w:before="103"/>
        <w:ind w:hanging="375"/>
        <w:rPr>
          <w:sz w:val="24"/>
        </w:rPr>
      </w:pPr>
      <w:r>
        <w:rPr>
          <w:sz w:val="24"/>
        </w:rPr>
        <w:t>适用范围</w:t>
      </w:r>
    </w:p>
    <w:p>
      <w:pPr>
        <w:pStyle w:val="22"/>
        <w:numPr>
          <w:ilvl w:val="1"/>
          <w:numId w:val="23"/>
        </w:numPr>
        <w:tabs>
          <w:tab w:val="left" w:pos="777"/>
        </w:tabs>
        <w:spacing w:before="100"/>
        <w:ind w:left="776" w:hanging="396"/>
        <w:rPr>
          <w:sz w:val="24"/>
        </w:rPr>
      </w:pPr>
      <w:r>
        <w:rPr>
          <w:spacing w:val="-1"/>
          <w:sz w:val="24"/>
        </w:rPr>
        <w:t>本合同条款适用于本次</w:t>
      </w:r>
      <w:r>
        <w:rPr>
          <w:rFonts w:hint="eastAsia"/>
          <w:spacing w:val="-1"/>
          <w:sz w:val="24"/>
          <w:lang w:eastAsia="zh-CN"/>
        </w:rPr>
        <w:t>采购</w:t>
      </w:r>
      <w:r>
        <w:rPr>
          <w:spacing w:val="-1"/>
          <w:sz w:val="24"/>
        </w:rPr>
        <w:t>活动。</w:t>
      </w:r>
    </w:p>
    <w:p>
      <w:pPr>
        <w:pStyle w:val="22"/>
        <w:numPr>
          <w:ilvl w:val="0"/>
          <w:numId w:val="23"/>
        </w:numPr>
        <w:tabs>
          <w:tab w:val="left" w:pos="636"/>
        </w:tabs>
        <w:spacing w:before="103"/>
        <w:ind w:hanging="375"/>
        <w:rPr>
          <w:sz w:val="24"/>
        </w:rPr>
      </w:pPr>
      <w:r>
        <w:rPr>
          <w:sz w:val="24"/>
        </w:rPr>
        <w:t>原产地</w:t>
      </w:r>
    </w:p>
    <w:p>
      <w:pPr>
        <w:pStyle w:val="22"/>
        <w:numPr>
          <w:ilvl w:val="1"/>
          <w:numId w:val="23"/>
        </w:numPr>
        <w:tabs>
          <w:tab w:val="left" w:pos="777"/>
        </w:tabs>
        <w:ind w:left="776" w:hanging="396"/>
        <w:rPr>
          <w:sz w:val="24"/>
        </w:rPr>
      </w:pPr>
      <w:r>
        <w:rPr>
          <w:spacing w:val="-1"/>
          <w:sz w:val="24"/>
        </w:rPr>
        <w:t>原产地系指货物的生产地，或提供辅助服务的来源地。</w:t>
      </w:r>
    </w:p>
    <w:p>
      <w:pPr>
        <w:pStyle w:val="22"/>
        <w:numPr>
          <w:ilvl w:val="0"/>
          <w:numId w:val="23"/>
        </w:numPr>
        <w:tabs>
          <w:tab w:val="left" w:pos="636"/>
        </w:tabs>
        <w:spacing w:before="100"/>
        <w:ind w:hanging="375"/>
        <w:rPr>
          <w:sz w:val="24"/>
        </w:rPr>
      </w:pPr>
      <w:r>
        <w:rPr>
          <w:sz w:val="24"/>
        </w:rPr>
        <w:t>技术规格和标准</w:t>
      </w:r>
    </w:p>
    <w:p>
      <w:pPr>
        <w:pStyle w:val="22"/>
        <w:numPr>
          <w:ilvl w:val="1"/>
          <w:numId w:val="23"/>
        </w:numPr>
        <w:tabs>
          <w:tab w:val="left" w:pos="837"/>
        </w:tabs>
        <w:spacing w:before="104" w:line="319" w:lineRule="auto"/>
        <w:ind w:right="280" w:firstLine="120"/>
        <w:jc w:val="both"/>
        <w:rPr>
          <w:sz w:val="24"/>
        </w:rPr>
      </w:pPr>
      <w:r>
        <w:rPr>
          <w:spacing w:val="-1"/>
          <w:sz w:val="24"/>
        </w:rPr>
        <w:t>本合同项下所供货物的技术规格应与本采购文件技术规格规定的标准相一致。若技术规</w:t>
      </w:r>
      <w:r>
        <w:rPr>
          <w:spacing w:val="8"/>
          <w:sz w:val="24"/>
        </w:rPr>
        <w:t>格中无相应规定，货物则应符合相应的国家标准或有关权威部门最新颁布的相应的正式标准。</w:t>
      </w:r>
    </w:p>
    <w:p>
      <w:pPr>
        <w:pStyle w:val="22"/>
        <w:numPr>
          <w:ilvl w:val="0"/>
          <w:numId w:val="23"/>
        </w:numPr>
        <w:tabs>
          <w:tab w:val="left" w:pos="636"/>
        </w:tabs>
        <w:spacing w:before="0" w:line="307" w:lineRule="exact"/>
        <w:ind w:hanging="375"/>
        <w:rPr>
          <w:sz w:val="24"/>
        </w:rPr>
      </w:pPr>
      <w:r>
        <w:rPr>
          <w:sz w:val="24"/>
        </w:rPr>
        <w:t>专利权</w:t>
      </w:r>
    </w:p>
    <w:p>
      <w:pPr>
        <w:pStyle w:val="22"/>
        <w:numPr>
          <w:ilvl w:val="1"/>
          <w:numId w:val="23"/>
        </w:numPr>
        <w:tabs>
          <w:tab w:val="left" w:pos="837"/>
        </w:tabs>
        <w:spacing w:before="102" w:line="319" w:lineRule="auto"/>
        <w:ind w:right="280" w:firstLine="120"/>
        <w:jc w:val="both"/>
        <w:rPr>
          <w:sz w:val="24"/>
        </w:rPr>
      </w:pPr>
      <w:r>
        <w:rPr>
          <w:spacing w:val="-1"/>
          <w:sz w:val="24"/>
        </w:rPr>
        <w:t>卖方须保障买方在使用其货物、服务及其任何部分不受到第三方关于侵犯专利权、商标</w:t>
      </w:r>
      <w:r>
        <w:rPr>
          <w:sz w:val="24"/>
        </w:rPr>
        <w:t>权或工业设计权的指控。任何第三方如果提出侵权指控，卖方须与第三方交涉并承担由此而引起的一切法律责任和费用。</w:t>
      </w:r>
    </w:p>
    <w:p>
      <w:pPr>
        <w:pStyle w:val="22"/>
        <w:numPr>
          <w:ilvl w:val="0"/>
          <w:numId w:val="23"/>
        </w:numPr>
        <w:tabs>
          <w:tab w:val="left" w:pos="636"/>
        </w:tabs>
        <w:spacing w:before="0" w:line="307" w:lineRule="exact"/>
        <w:ind w:hanging="375"/>
        <w:rPr>
          <w:sz w:val="24"/>
        </w:rPr>
      </w:pPr>
      <w:r>
        <w:rPr>
          <w:sz w:val="24"/>
        </w:rPr>
        <w:t>包装</w:t>
      </w:r>
    </w:p>
    <w:p>
      <w:pPr>
        <w:pStyle w:val="22"/>
        <w:numPr>
          <w:ilvl w:val="1"/>
          <w:numId w:val="23"/>
        </w:numPr>
        <w:tabs>
          <w:tab w:val="left" w:pos="837"/>
        </w:tabs>
        <w:spacing w:line="319" w:lineRule="auto"/>
        <w:ind w:right="274" w:firstLine="120"/>
        <w:jc w:val="both"/>
        <w:rPr>
          <w:sz w:val="24"/>
        </w:rPr>
      </w:pPr>
      <w:r>
        <w:rPr>
          <w:sz w:val="24"/>
        </w:rPr>
        <w:t>除非本合同另有规定，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的任何损失的责任或费用。</w:t>
      </w:r>
    </w:p>
    <w:p>
      <w:pPr>
        <w:pStyle w:val="22"/>
        <w:numPr>
          <w:ilvl w:val="1"/>
          <w:numId w:val="23"/>
        </w:numPr>
        <w:tabs>
          <w:tab w:val="left" w:pos="777"/>
        </w:tabs>
        <w:spacing w:before="1"/>
        <w:ind w:left="776" w:hanging="396"/>
        <w:rPr>
          <w:sz w:val="24"/>
        </w:rPr>
      </w:pPr>
      <w:r>
        <w:rPr>
          <w:spacing w:val="-1"/>
          <w:sz w:val="24"/>
        </w:rPr>
        <w:t>每件包装应附有详细装箱单和质量证书各两套，一套在包装箱里，一套在包装箱外。</w:t>
      </w:r>
    </w:p>
    <w:p>
      <w:pPr>
        <w:pStyle w:val="22"/>
        <w:numPr>
          <w:ilvl w:val="0"/>
          <w:numId w:val="23"/>
        </w:numPr>
        <w:tabs>
          <w:tab w:val="left" w:pos="636"/>
        </w:tabs>
        <w:ind w:hanging="375"/>
        <w:rPr>
          <w:sz w:val="24"/>
        </w:rPr>
      </w:pPr>
      <w:r>
        <w:rPr>
          <w:sz w:val="24"/>
        </w:rPr>
        <w:t>运输标记</w:t>
      </w:r>
    </w:p>
    <w:p>
      <w:pPr>
        <w:pStyle w:val="22"/>
        <w:numPr>
          <w:ilvl w:val="1"/>
          <w:numId w:val="23"/>
        </w:numPr>
        <w:tabs>
          <w:tab w:val="left" w:pos="837"/>
        </w:tabs>
        <w:spacing w:before="103"/>
        <w:ind w:left="836" w:hanging="456"/>
        <w:rPr>
          <w:sz w:val="24"/>
        </w:rPr>
      </w:pPr>
      <w:r>
        <w:rPr>
          <w:sz w:val="24"/>
        </w:rPr>
        <w:t>卖方应在每一包装箱邻接的四个侧面用不易褪色的油漆以醒目的中文印刷字体标明以下</w:t>
      </w:r>
    </w:p>
    <w:p>
      <w:pPr>
        <w:pStyle w:val="2"/>
        <w:spacing w:before="49"/>
      </w:pPr>
      <w:r>
        <w:t>各项：</w:t>
      </w:r>
    </w:p>
    <w:p>
      <w:pPr>
        <w:pStyle w:val="22"/>
        <w:numPr>
          <w:ilvl w:val="0"/>
          <w:numId w:val="24"/>
        </w:numPr>
        <w:tabs>
          <w:tab w:val="left" w:pos="795"/>
        </w:tabs>
        <w:ind w:hanging="294"/>
        <w:rPr>
          <w:sz w:val="24"/>
        </w:rPr>
      </w:pPr>
      <w:r>
        <w:rPr>
          <w:sz w:val="24"/>
        </w:rPr>
        <w:t>收货人</w:t>
      </w:r>
    </w:p>
    <w:p>
      <w:pPr>
        <w:pStyle w:val="22"/>
        <w:numPr>
          <w:ilvl w:val="0"/>
          <w:numId w:val="24"/>
        </w:numPr>
        <w:tabs>
          <w:tab w:val="left" w:pos="795"/>
        </w:tabs>
        <w:spacing w:before="103"/>
        <w:ind w:hanging="294"/>
        <w:rPr>
          <w:sz w:val="24"/>
        </w:rPr>
      </w:pPr>
      <w:r>
        <w:rPr>
          <w:sz w:val="24"/>
        </w:rPr>
        <w:t>合同号</w:t>
      </w:r>
    </w:p>
    <w:p>
      <w:pPr>
        <w:pStyle w:val="22"/>
        <w:numPr>
          <w:ilvl w:val="0"/>
          <w:numId w:val="24"/>
        </w:numPr>
        <w:tabs>
          <w:tab w:val="left" w:pos="795"/>
        </w:tabs>
        <w:ind w:hanging="294"/>
        <w:rPr>
          <w:sz w:val="24"/>
        </w:rPr>
      </w:pPr>
      <w:r>
        <w:rPr>
          <w:sz w:val="24"/>
        </w:rPr>
        <w:t>收货人代号</w:t>
      </w:r>
    </w:p>
    <w:p>
      <w:pPr>
        <w:pStyle w:val="22"/>
        <w:numPr>
          <w:ilvl w:val="0"/>
          <w:numId w:val="24"/>
        </w:numPr>
        <w:tabs>
          <w:tab w:val="left" w:pos="795"/>
        </w:tabs>
        <w:spacing w:before="103"/>
        <w:ind w:hanging="294"/>
        <w:rPr>
          <w:sz w:val="24"/>
        </w:rPr>
      </w:pPr>
      <w:r>
        <w:rPr>
          <w:sz w:val="24"/>
        </w:rPr>
        <w:t>发货单位</w:t>
      </w:r>
    </w:p>
    <w:p>
      <w:pPr>
        <w:pStyle w:val="22"/>
        <w:numPr>
          <w:ilvl w:val="0"/>
          <w:numId w:val="24"/>
        </w:numPr>
        <w:tabs>
          <w:tab w:val="left" w:pos="795"/>
        </w:tabs>
        <w:spacing w:before="100"/>
        <w:ind w:hanging="294"/>
        <w:rPr>
          <w:sz w:val="24"/>
        </w:rPr>
      </w:pPr>
      <w:r>
        <w:rPr>
          <w:sz w:val="24"/>
        </w:rPr>
        <w:t>目的地</w:t>
      </w:r>
    </w:p>
    <w:p>
      <w:pPr>
        <w:pStyle w:val="22"/>
        <w:numPr>
          <w:ilvl w:val="0"/>
          <w:numId w:val="24"/>
        </w:numPr>
        <w:tabs>
          <w:tab w:val="left" w:pos="795"/>
        </w:tabs>
        <w:ind w:hanging="294"/>
        <w:rPr>
          <w:sz w:val="24"/>
        </w:rPr>
      </w:pPr>
      <w:r>
        <w:rPr>
          <w:sz w:val="24"/>
        </w:rPr>
        <w:t>货物的名称、品目号、箱号</w:t>
      </w:r>
    </w:p>
    <w:p>
      <w:pPr>
        <w:pStyle w:val="22"/>
        <w:numPr>
          <w:ilvl w:val="0"/>
          <w:numId w:val="24"/>
        </w:numPr>
        <w:tabs>
          <w:tab w:val="left" w:pos="795"/>
        </w:tabs>
        <w:spacing w:before="102"/>
        <w:ind w:hanging="294"/>
        <w:rPr>
          <w:sz w:val="24"/>
        </w:rPr>
      </w:pPr>
      <w:r>
        <w:rPr>
          <w:sz w:val="24"/>
        </w:rPr>
        <w:t>出厂或装箱日期</w:t>
      </w:r>
    </w:p>
    <w:p>
      <w:pPr>
        <w:pStyle w:val="22"/>
        <w:numPr>
          <w:ilvl w:val="0"/>
          <w:numId w:val="24"/>
        </w:numPr>
        <w:tabs>
          <w:tab w:val="left" w:pos="795"/>
        </w:tabs>
        <w:ind w:hanging="294"/>
        <w:rPr>
          <w:rFonts w:ascii="Arial" w:eastAsia="Arial"/>
          <w:sz w:val="24"/>
        </w:rPr>
      </w:pPr>
      <w:r>
        <w:rPr>
          <w:sz w:val="24"/>
        </w:rPr>
        <w:t>毛重／净重</w:t>
      </w:r>
      <w:r>
        <w:rPr>
          <w:rFonts w:ascii="Arial" w:eastAsia="Arial"/>
          <w:sz w:val="24"/>
        </w:rPr>
        <w:t>(</w:t>
      </w:r>
      <w:r>
        <w:rPr>
          <w:sz w:val="24"/>
        </w:rPr>
        <w:t>公斤</w:t>
      </w:r>
      <w:r>
        <w:rPr>
          <w:rFonts w:ascii="Arial" w:eastAsia="Arial"/>
          <w:sz w:val="24"/>
        </w:rPr>
        <w:t>)</w:t>
      </w:r>
    </w:p>
    <w:p>
      <w:pPr>
        <w:pStyle w:val="22"/>
        <w:numPr>
          <w:ilvl w:val="0"/>
          <w:numId w:val="24"/>
        </w:numPr>
        <w:tabs>
          <w:tab w:val="left" w:pos="795"/>
        </w:tabs>
        <w:spacing w:before="103"/>
        <w:ind w:hanging="294"/>
        <w:rPr>
          <w:rFonts w:ascii="Arial" w:eastAsia="Arial"/>
          <w:sz w:val="24"/>
        </w:rPr>
      </w:pPr>
      <w:r>
        <w:rPr>
          <w:sz w:val="24"/>
        </w:rPr>
        <w:t>尺寸</w:t>
      </w:r>
      <w:r>
        <w:rPr>
          <w:rFonts w:ascii="Arial" w:eastAsia="Arial"/>
          <w:sz w:val="24"/>
        </w:rPr>
        <w:t>(</w:t>
      </w:r>
      <w:r>
        <w:rPr>
          <w:spacing w:val="-29"/>
          <w:sz w:val="24"/>
        </w:rPr>
        <w:t xml:space="preserve">长 </w:t>
      </w:r>
      <w:r>
        <w:rPr>
          <w:rFonts w:ascii="Arial" w:eastAsia="Arial"/>
          <w:sz w:val="24"/>
        </w:rPr>
        <w:t>x</w:t>
      </w:r>
      <w:r>
        <w:rPr>
          <w:spacing w:val="-29"/>
          <w:sz w:val="24"/>
        </w:rPr>
        <w:t xml:space="preserve">宽 </w:t>
      </w:r>
      <w:r>
        <w:rPr>
          <w:rFonts w:ascii="Arial" w:eastAsia="Arial"/>
          <w:sz w:val="24"/>
        </w:rPr>
        <w:t>x</w:t>
      </w:r>
      <w:r>
        <w:rPr>
          <w:sz w:val="24"/>
        </w:rPr>
        <w:t>高，以厘米计</w:t>
      </w:r>
      <w:r>
        <w:rPr>
          <w:rFonts w:ascii="Arial" w:eastAsia="Arial"/>
          <w:sz w:val="24"/>
        </w:rPr>
        <w:t>)</w:t>
      </w:r>
    </w:p>
    <w:p>
      <w:pPr>
        <w:pStyle w:val="22"/>
        <w:numPr>
          <w:ilvl w:val="1"/>
          <w:numId w:val="23"/>
        </w:numPr>
        <w:tabs>
          <w:tab w:val="left" w:pos="851"/>
        </w:tabs>
        <w:spacing w:line="319" w:lineRule="auto"/>
        <w:ind w:right="262" w:firstLine="120"/>
        <w:jc w:val="both"/>
        <w:rPr>
          <w:sz w:val="24"/>
        </w:rPr>
      </w:pPr>
      <w:r>
        <w:rPr>
          <w:spacing w:val="14"/>
          <w:sz w:val="24"/>
        </w:rPr>
        <w:t>凡重达两吨以上的包装，卖方应在每件包装箱的两侧用标志标明“重心”和“吊装</w:t>
      </w:r>
      <w:r>
        <w:rPr>
          <w:sz w:val="24"/>
        </w:rPr>
        <w:t>点”，并根据货物的特点和运输的不同要求，以清晰字样在包装上注明“小心轻放”、“勿倒置”、“防潮”等适当的标志，以便装卸和搬运。</w:t>
      </w:r>
    </w:p>
    <w:p>
      <w:pPr>
        <w:pStyle w:val="22"/>
        <w:numPr>
          <w:ilvl w:val="0"/>
          <w:numId w:val="23"/>
        </w:numPr>
        <w:tabs>
          <w:tab w:val="left" w:pos="463"/>
        </w:tabs>
        <w:spacing w:before="0" w:line="307" w:lineRule="exact"/>
        <w:ind w:left="462" w:hanging="202"/>
        <w:rPr>
          <w:sz w:val="24"/>
        </w:rPr>
      </w:pPr>
      <w:r>
        <w:rPr>
          <w:sz w:val="24"/>
        </w:rPr>
        <w:t>卖方的交货价合同</w:t>
      </w:r>
    </w:p>
    <w:p>
      <w:pPr>
        <w:pStyle w:val="22"/>
        <w:numPr>
          <w:ilvl w:val="1"/>
          <w:numId w:val="23"/>
        </w:numPr>
        <w:tabs>
          <w:tab w:val="left" w:pos="811"/>
        </w:tabs>
        <w:spacing w:before="103" w:line="319" w:lineRule="auto"/>
        <w:ind w:right="278" w:firstLine="120"/>
        <w:jc w:val="both"/>
        <w:rPr>
          <w:sz w:val="24"/>
        </w:rPr>
      </w:pPr>
      <w:r>
        <w:rPr>
          <w:spacing w:val="-3"/>
          <w:sz w:val="24"/>
        </w:rPr>
        <w:t xml:space="preserve">卖方应在合同规定的交货期前 </w:t>
      </w:r>
      <w:r>
        <w:rPr>
          <w:rFonts w:ascii="Arial" w:eastAsia="Arial"/>
          <w:sz w:val="24"/>
        </w:rPr>
        <w:t>6</w:t>
      </w:r>
      <w:r>
        <w:rPr>
          <w:spacing w:val="-3"/>
          <w:sz w:val="24"/>
        </w:rPr>
        <w:t>天以电报、传真或电传通知买方合同号、货物名称、数</w:t>
      </w:r>
      <w:r>
        <w:rPr>
          <w:spacing w:val="4"/>
          <w:sz w:val="24"/>
        </w:rPr>
        <w:t>量、包装件数、总毛重、总体积</w:t>
      </w:r>
      <w:r>
        <w:rPr>
          <w:rFonts w:ascii="Arial" w:eastAsia="Arial"/>
          <w:spacing w:val="4"/>
          <w:sz w:val="24"/>
        </w:rPr>
        <w:t>(</w:t>
      </w:r>
      <w:r>
        <w:rPr>
          <w:spacing w:val="5"/>
          <w:sz w:val="24"/>
        </w:rPr>
        <w:t>立方米</w:t>
      </w:r>
      <w:r>
        <w:rPr>
          <w:rFonts w:ascii="Arial" w:eastAsia="Arial"/>
          <w:spacing w:val="6"/>
          <w:sz w:val="24"/>
        </w:rPr>
        <w:t>)</w:t>
      </w:r>
      <w:r>
        <w:rPr>
          <w:spacing w:val="3"/>
          <w:sz w:val="24"/>
        </w:rPr>
        <w:t>和备妥待运日期。同时，卖方应以挂号信寄给买方</w:t>
      </w:r>
      <w:r>
        <w:rPr>
          <w:spacing w:val="4"/>
          <w:sz w:val="24"/>
        </w:rPr>
        <w:t>详细交货清单一式五份，包括合同号、货物名称、规格、数量、总毛重、总体积</w:t>
      </w:r>
      <w:r>
        <w:rPr>
          <w:rFonts w:ascii="Arial" w:eastAsia="Arial"/>
          <w:spacing w:val="4"/>
          <w:sz w:val="24"/>
        </w:rPr>
        <w:t>(</w:t>
      </w:r>
      <w:r>
        <w:rPr>
          <w:spacing w:val="5"/>
          <w:sz w:val="24"/>
        </w:rPr>
        <w:t>立方米</w:t>
      </w:r>
      <w:r>
        <w:rPr>
          <w:rFonts w:ascii="Arial" w:eastAsia="Arial"/>
          <w:spacing w:val="4"/>
          <w:sz w:val="24"/>
        </w:rPr>
        <w:t>)</w:t>
      </w:r>
      <w:r>
        <w:rPr>
          <w:sz w:val="24"/>
        </w:rPr>
        <w:t>和每一包装箱的尺寸</w:t>
      </w:r>
      <w:r>
        <w:rPr>
          <w:rFonts w:ascii="Arial" w:eastAsia="Arial"/>
          <w:sz w:val="24"/>
        </w:rPr>
        <w:t>(</w:t>
      </w:r>
      <w:r>
        <w:rPr>
          <w:spacing w:val="57"/>
          <w:sz w:val="24"/>
        </w:rPr>
        <w:t>长</w:t>
      </w:r>
      <w:r>
        <w:rPr>
          <w:rFonts w:ascii="Arial" w:eastAsia="Arial"/>
          <w:sz w:val="24"/>
        </w:rPr>
        <w:t>x</w:t>
      </w:r>
      <w:r>
        <w:rPr>
          <w:spacing w:val="58"/>
          <w:sz w:val="24"/>
        </w:rPr>
        <w:t>宽</w:t>
      </w:r>
      <w:r>
        <w:rPr>
          <w:rFonts w:ascii="Arial" w:eastAsia="Arial"/>
          <w:sz w:val="24"/>
        </w:rPr>
        <w:t>x</w:t>
      </w:r>
      <w:r>
        <w:rPr>
          <w:sz w:val="24"/>
        </w:rPr>
        <w:t>高</w:t>
      </w:r>
      <w:r>
        <w:rPr>
          <w:rFonts w:ascii="Arial" w:eastAsia="Arial"/>
          <w:sz w:val="24"/>
        </w:rPr>
        <w:t>)</w:t>
      </w:r>
      <w:r>
        <w:rPr>
          <w:spacing w:val="-1"/>
          <w:sz w:val="24"/>
        </w:rPr>
        <w:t>、单价和总价、备妥待运日期，以及货物在运输和仓储中的特</w:t>
      </w:r>
      <w:r>
        <w:rPr>
          <w:sz w:val="24"/>
        </w:rPr>
        <w:t>殊要求和注意事项。</w:t>
      </w:r>
    </w:p>
    <w:p>
      <w:pPr>
        <w:pStyle w:val="22"/>
        <w:numPr>
          <w:ilvl w:val="1"/>
          <w:numId w:val="23"/>
        </w:numPr>
        <w:tabs>
          <w:tab w:val="left" w:pos="837"/>
        </w:tabs>
        <w:spacing w:before="0" w:line="319" w:lineRule="auto"/>
        <w:ind w:right="280" w:firstLine="120"/>
        <w:jc w:val="both"/>
        <w:rPr>
          <w:sz w:val="24"/>
        </w:rPr>
      </w:pPr>
      <w:r>
        <w:rPr>
          <w:spacing w:val="-1"/>
          <w:sz w:val="24"/>
        </w:rPr>
        <w:t>在目的地交货价合同条件下，由于卖方延误了以电报、传真或电传通知买方，由此而有</w:t>
      </w:r>
      <w:r>
        <w:rPr>
          <w:sz w:val="24"/>
        </w:rPr>
        <w:t>可能造成的一切损失由卖方承担。</w:t>
      </w:r>
    </w:p>
    <w:p>
      <w:pPr>
        <w:pStyle w:val="22"/>
        <w:numPr>
          <w:ilvl w:val="1"/>
          <w:numId w:val="23"/>
        </w:numPr>
        <w:tabs>
          <w:tab w:val="left" w:pos="837"/>
        </w:tabs>
        <w:spacing w:before="1" w:line="319" w:lineRule="auto"/>
        <w:ind w:right="280" w:firstLine="120"/>
        <w:jc w:val="both"/>
        <w:rPr>
          <w:sz w:val="24"/>
        </w:rPr>
      </w:pPr>
      <w:r>
        <w:rPr>
          <w:spacing w:val="-1"/>
          <w:sz w:val="24"/>
        </w:rPr>
        <w:t>卖方负责安排自发运地至买方现场的运输和安装、调试及技术监督部门第一次强制性检</w:t>
      </w:r>
      <w:r>
        <w:rPr>
          <w:sz w:val="24"/>
        </w:rPr>
        <w:t>验费用，均包含在合同总价中。</w:t>
      </w:r>
    </w:p>
    <w:p>
      <w:pPr>
        <w:pStyle w:val="22"/>
        <w:numPr>
          <w:ilvl w:val="1"/>
          <w:numId w:val="23"/>
        </w:numPr>
        <w:tabs>
          <w:tab w:val="left" w:pos="777"/>
        </w:tabs>
        <w:spacing w:before="0"/>
        <w:ind w:left="776" w:hanging="396"/>
        <w:rPr>
          <w:sz w:val="24"/>
        </w:rPr>
      </w:pPr>
      <w:r>
        <w:rPr>
          <w:spacing w:val="-1"/>
          <w:sz w:val="24"/>
        </w:rPr>
        <w:t>交货日期以货物到达买方现场为准。</w:t>
      </w:r>
    </w:p>
    <w:p>
      <w:pPr>
        <w:pStyle w:val="22"/>
        <w:numPr>
          <w:ilvl w:val="1"/>
          <w:numId w:val="23"/>
        </w:numPr>
        <w:tabs>
          <w:tab w:val="left" w:pos="837"/>
        </w:tabs>
        <w:spacing w:line="319" w:lineRule="auto"/>
        <w:ind w:right="280" w:firstLine="120"/>
        <w:jc w:val="both"/>
        <w:rPr>
          <w:sz w:val="24"/>
        </w:rPr>
      </w:pPr>
      <w:r>
        <w:rPr>
          <w:spacing w:val="-1"/>
          <w:sz w:val="24"/>
        </w:rPr>
        <w:t>卖方装运的货物必须符合合同规定的货物名称、型号规格、数量或重量，否则，一切后</w:t>
      </w:r>
      <w:r>
        <w:rPr>
          <w:sz w:val="24"/>
        </w:rPr>
        <w:t>果均由卖方承担。</w:t>
      </w:r>
    </w:p>
    <w:p>
      <w:pPr>
        <w:pStyle w:val="22"/>
        <w:numPr>
          <w:ilvl w:val="0"/>
          <w:numId w:val="23"/>
        </w:numPr>
        <w:tabs>
          <w:tab w:val="left" w:pos="636"/>
        </w:tabs>
        <w:spacing w:before="0"/>
        <w:ind w:hanging="375"/>
        <w:rPr>
          <w:sz w:val="24"/>
        </w:rPr>
      </w:pPr>
      <w:r>
        <w:rPr>
          <w:sz w:val="24"/>
        </w:rPr>
        <w:t>装运通知</w:t>
      </w:r>
    </w:p>
    <w:p>
      <w:pPr>
        <w:pStyle w:val="22"/>
        <w:numPr>
          <w:ilvl w:val="1"/>
          <w:numId w:val="23"/>
        </w:numPr>
        <w:tabs>
          <w:tab w:val="left" w:pos="765"/>
        </w:tabs>
        <w:spacing w:before="100" w:line="319" w:lineRule="auto"/>
        <w:ind w:right="276" w:firstLine="120"/>
        <w:jc w:val="both"/>
        <w:rPr>
          <w:sz w:val="24"/>
        </w:rPr>
      </w:pPr>
      <w:r>
        <w:rPr>
          <w:spacing w:val="-8"/>
          <w:sz w:val="24"/>
        </w:rPr>
        <w:t xml:space="preserve">卖方应在货物装运完成 </w:t>
      </w:r>
      <w:r>
        <w:rPr>
          <w:rFonts w:ascii="Arial" w:eastAsia="Arial"/>
          <w:sz w:val="24"/>
        </w:rPr>
        <w:t>24</w:t>
      </w:r>
      <w:r>
        <w:rPr>
          <w:spacing w:val="-1"/>
          <w:sz w:val="24"/>
        </w:rPr>
        <w:t>小时内以电报、传真或电传通知买方合同号、 货物名称、数</w:t>
      </w:r>
      <w:r>
        <w:rPr>
          <w:sz w:val="24"/>
        </w:rPr>
        <w:t>量、毛重、体积</w:t>
      </w:r>
      <w:r>
        <w:rPr>
          <w:rFonts w:ascii="Arial" w:eastAsia="Arial"/>
          <w:sz w:val="24"/>
        </w:rPr>
        <w:t>(</w:t>
      </w:r>
      <w:r>
        <w:rPr>
          <w:sz w:val="24"/>
        </w:rPr>
        <w:t>立方米</w:t>
      </w:r>
      <w:r>
        <w:rPr>
          <w:rFonts w:ascii="Arial" w:eastAsia="Arial"/>
          <w:sz w:val="24"/>
        </w:rPr>
        <w:t>)</w:t>
      </w:r>
      <w:r>
        <w:rPr>
          <w:spacing w:val="-1"/>
          <w:sz w:val="24"/>
        </w:rPr>
        <w:t xml:space="preserve">、发票金额、载运车次名称和启运日期。如果包装件重量超过 </w:t>
      </w:r>
      <w:r>
        <w:rPr>
          <w:rFonts w:ascii="Arial" w:eastAsia="Arial"/>
          <w:sz w:val="24"/>
        </w:rPr>
        <w:t>20</w:t>
      </w:r>
      <w:r>
        <w:rPr>
          <w:spacing w:val="-15"/>
          <w:sz w:val="24"/>
        </w:rPr>
        <w:t>吨</w:t>
      </w:r>
      <w:r>
        <w:rPr>
          <w:spacing w:val="-6"/>
          <w:sz w:val="24"/>
        </w:rPr>
        <w:t xml:space="preserve">或尺寸达到或超过 </w:t>
      </w:r>
      <w:r>
        <w:rPr>
          <w:rFonts w:ascii="Arial" w:eastAsia="Arial"/>
          <w:sz w:val="24"/>
        </w:rPr>
        <w:t>12</w:t>
      </w:r>
      <w:r>
        <w:rPr>
          <w:sz w:val="24"/>
        </w:rPr>
        <w:t>米长、</w:t>
      </w:r>
      <w:r>
        <w:rPr>
          <w:rFonts w:ascii="Arial" w:eastAsia="Arial"/>
          <w:sz w:val="24"/>
        </w:rPr>
        <w:t>2.7</w:t>
      </w:r>
      <w:r>
        <w:rPr>
          <w:spacing w:val="-12"/>
          <w:sz w:val="24"/>
        </w:rPr>
        <w:t xml:space="preserve">米宽和 </w:t>
      </w:r>
      <w:r>
        <w:rPr>
          <w:rFonts w:ascii="Arial" w:eastAsia="Arial"/>
          <w:sz w:val="24"/>
        </w:rPr>
        <w:t>3</w:t>
      </w:r>
      <w:r>
        <w:rPr>
          <w:spacing w:val="-3"/>
          <w:sz w:val="24"/>
        </w:rPr>
        <w:t>米高，卖方应将其重量或尺寸通知买方。若货物中</w:t>
      </w:r>
      <w:r>
        <w:rPr>
          <w:sz w:val="24"/>
        </w:rPr>
        <w:t>有易燃品或危险品，卖方也须将详细情况通知买方。</w:t>
      </w:r>
    </w:p>
    <w:p>
      <w:pPr>
        <w:pStyle w:val="22"/>
        <w:numPr>
          <w:ilvl w:val="0"/>
          <w:numId w:val="23"/>
        </w:numPr>
        <w:tabs>
          <w:tab w:val="left" w:pos="771"/>
        </w:tabs>
        <w:spacing w:before="2"/>
        <w:ind w:left="770" w:hanging="510"/>
        <w:rPr>
          <w:sz w:val="24"/>
        </w:rPr>
      </w:pPr>
      <w:r>
        <w:rPr>
          <w:sz w:val="24"/>
        </w:rPr>
        <w:t>保险</w:t>
      </w:r>
    </w:p>
    <w:p>
      <w:pPr>
        <w:pStyle w:val="22"/>
        <w:numPr>
          <w:ilvl w:val="1"/>
          <w:numId w:val="23"/>
        </w:numPr>
        <w:tabs>
          <w:tab w:val="left" w:pos="892"/>
        </w:tabs>
        <w:spacing w:before="100" w:line="319" w:lineRule="auto"/>
        <w:ind w:right="275" w:firstLine="100"/>
        <w:jc w:val="both"/>
        <w:rPr>
          <w:sz w:val="24"/>
        </w:rPr>
      </w:pPr>
      <w:r>
        <w:rPr>
          <w:spacing w:val="-2"/>
          <w:sz w:val="24"/>
        </w:rPr>
        <w:t>在国内交货价合同条件下，由买方在货物装运前或接到装运通知后办理保险。或由买卖</w:t>
      </w:r>
      <w:r>
        <w:rPr>
          <w:sz w:val="24"/>
        </w:rPr>
        <w:t>双方具体商定。</w:t>
      </w:r>
    </w:p>
    <w:p>
      <w:pPr>
        <w:pStyle w:val="22"/>
        <w:numPr>
          <w:ilvl w:val="0"/>
          <w:numId w:val="23"/>
        </w:numPr>
        <w:tabs>
          <w:tab w:val="left" w:pos="597"/>
        </w:tabs>
        <w:spacing w:before="49"/>
        <w:ind w:left="596" w:hanging="336"/>
        <w:rPr>
          <w:sz w:val="24"/>
        </w:rPr>
      </w:pPr>
      <w:r>
        <w:rPr>
          <w:sz w:val="24"/>
        </w:rPr>
        <w:t>支付</w:t>
      </w:r>
    </w:p>
    <w:p>
      <w:pPr>
        <w:pStyle w:val="22"/>
        <w:numPr>
          <w:ilvl w:val="1"/>
          <w:numId w:val="23"/>
        </w:numPr>
        <w:tabs>
          <w:tab w:val="left" w:pos="911"/>
        </w:tabs>
        <w:ind w:left="910" w:hanging="530"/>
        <w:rPr>
          <w:sz w:val="24"/>
        </w:rPr>
      </w:pPr>
      <w:r>
        <w:rPr>
          <w:spacing w:val="-1"/>
          <w:sz w:val="24"/>
        </w:rPr>
        <w:t>除另有规定外，可采用下列付款之方式一种付款：</w:t>
      </w:r>
    </w:p>
    <w:p>
      <w:pPr>
        <w:pStyle w:val="22"/>
        <w:numPr>
          <w:ilvl w:val="2"/>
          <w:numId w:val="23"/>
        </w:numPr>
        <w:tabs>
          <w:tab w:val="left" w:pos="1155"/>
        </w:tabs>
        <w:spacing w:before="103"/>
        <w:ind w:hanging="294"/>
        <w:rPr>
          <w:sz w:val="24"/>
        </w:rPr>
      </w:pPr>
      <w:r>
        <w:rPr>
          <w:sz w:val="24"/>
        </w:rPr>
        <w:t>转帐支票；</w:t>
      </w:r>
    </w:p>
    <w:p>
      <w:pPr>
        <w:pStyle w:val="22"/>
        <w:numPr>
          <w:ilvl w:val="2"/>
          <w:numId w:val="23"/>
        </w:numPr>
        <w:tabs>
          <w:tab w:val="left" w:pos="1155"/>
        </w:tabs>
        <w:ind w:hanging="294"/>
        <w:rPr>
          <w:sz w:val="24"/>
        </w:rPr>
      </w:pPr>
      <w:r>
        <w:rPr>
          <w:sz w:val="24"/>
        </w:rPr>
        <w:t>电汇付款。</w:t>
      </w:r>
    </w:p>
    <w:p>
      <w:pPr>
        <w:pStyle w:val="22"/>
        <w:numPr>
          <w:ilvl w:val="1"/>
          <w:numId w:val="23"/>
        </w:numPr>
        <w:tabs>
          <w:tab w:val="left" w:pos="1091"/>
        </w:tabs>
        <w:spacing w:before="103"/>
        <w:ind w:left="1090" w:hanging="590"/>
        <w:rPr>
          <w:sz w:val="24"/>
        </w:rPr>
      </w:pPr>
      <w:r>
        <w:rPr>
          <w:spacing w:val="-1"/>
          <w:sz w:val="24"/>
        </w:rPr>
        <w:t>付款方式见合同特殊条款。</w:t>
      </w:r>
    </w:p>
    <w:p>
      <w:pPr>
        <w:pStyle w:val="22"/>
        <w:numPr>
          <w:ilvl w:val="0"/>
          <w:numId w:val="23"/>
        </w:numPr>
        <w:tabs>
          <w:tab w:val="left" w:pos="1011"/>
        </w:tabs>
        <w:spacing w:before="100"/>
        <w:ind w:left="1010" w:hanging="510"/>
        <w:rPr>
          <w:sz w:val="24"/>
        </w:rPr>
      </w:pPr>
      <w:r>
        <w:rPr>
          <w:sz w:val="24"/>
        </w:rPr>
        <w:t>技术资料</w:t>
      </w:r>
    </w:p>
    <w:p>
      <w:pPr>
        <w:pStyle w:val="22"/>
        <w:numPr>
          <w:ilvl w:val="1"/>
          <w:numId w:val="23"/>
        </w:numPr>
        <w:tabs>
          <w:tab w:val="left" w:pos="1130"/>
        </w:tabs>
        <w:spacing w:line="319" w:lineRule="auto"/>
        <w:ind w:right="278" w:firstLine="360"/>
        <w:jc w:val="both"/>
        <w:rPr>
          <w:sz w:val="24"/>
        </w:rPr>
      </w:pPr>
      <w:r>
        <w:rPr>
          <w:spacing w:val="-2"/>
          <w:sz w:val="24"/>
        </w:rPr>
        <w:t>除采购文件的技术规范书中另有规定的外，卖方应准备与合同设备或仪器相符中文技</w:t>
      </w:r>
      <w:r>
        <w:rPr>
          <w:spacing w:val="-5"/>
          <w:sz w:val="24"/>
        </w:rPr>
        <w:t xml:space="preserve">术资料，并于合同生效后 </w:t>
      </w:r>
      <w:r>
        <w:rPr>
          <w:rFonts w:ascii="Arial" w:eastAsia="Arial"/>
          <w:sz w:val="24"/>
        </w:rPr>
        <w:t>15</w:t>
      </w:r>
      <w:r>
        <w:rPr>
          <w:spacing w:val="-2"/>
          <w:sz w:val="24"/>
        </w:rPr>
        <w:t>天内寄送到买方，例如：样本、图纸、操作手册、使用说明、维</w:t>
      </w:r>
      <w:r>
        <w:rPr>
          <w:sz w:val="24"/>
        </w:rPr>
        <w:t>修指南或服务手册等。如本条款所述资料寄送不完整或丢失，卖方应在收到买方通知后立即免费另寄。</w:t>
      </w:r>
    </w:p>
    <w:p>
      <w:pPr>
        <w:pStyle w:val="22"/>
        <w:numPr>
          <w:ilvl w:val="1"/>
          <w:numId w:val="23"/>
        </w:numPr>
        <w:tabs>
          <w:tab w:val="left" w:pos="911"/>
        </w:tabs>
        <w:spacing w:before="1"/>
        <w:ind w:left="910" w:hanging="530"/>
        <w:rPr>
          <w:sz w:val="24"/>
        </w:rPr>
      </w:pPr>
      <w:r>
        <w:rPr>
          <w:spacing w:val="-1"/>
          <w:sz w:val="24"/>
        </w:rPr>
        <w:t>上述一套完整的资料应包装好随每批货物一起发运。</w:t>
      </w:r>
    </w:p>
    <w:p>
      <w:pPr>
        <w:pStyle w:val="22"/>
        <w:numPr>
          <w:ilvl w:val="0"/>
          <w:numId w:val="23"/>
        </w:numPr>
        <w:tabs>
          <w:tab w:val="left" w:pos="771"/>
        </w:tabs>
        <w:spacing w:before="103"/>
        <w:ind w:left="770" w:hanging="510"/>
        <w:rPr>
          <w:sz w:val="24"/>
        </w:rPr>
      </w:pPr>
      <w:r>
        <w:rPr>
          <w:sz w:val="24"/>
        </w:rPr>
        <w:t>价格</w:t>
      </w:r>
    </w:p>
    <w:p>
      <w:pPr>
        <w:pStyle w:val="22"/>
        <w:numPr>
          <w:ilvl w:val="1"/>
          <w:numId w:val="23"/>
        </w:numPr>
        <w:tabs>
          <w:tab w:val="left" w:pos="890"/>
        </w:tabs>
        <w:spacing w:before="100" w:line="319" w:lineRule="auto"/>
        <w:ind w:right="277" w:firstLine="120"/>
        <w:jc w:val="both"/>
        <w:rPr>
          <w:sz w:val="24"/>
        </w:rPr>
      </w:pPr>
      <w:r>
        <w:rPr>
          <w:spacing w:val="-2"/>
          <w:sz w:val="24"/>
        </w:rPr>
        <w:t>除非合同中另有规定，卖方为其所供货物和服务而要求买方支付的金额应与其投标报价</w:t>
      </w:r>
      <w:r>
        <w:rPr>
          <w:sz w:val="24"/>
        </w:rPr>
        <w:t>一致。</w:t>
      </w:r>
    </w:p>
    <w:p>
      <w:pPr>
        <w:pStyle w:val="22"/>
        <w:numPr>
          <w:ilvl w:val="0"/>
          <w:numId w:val="23"/>
        </w:numPr>
        <w:tabs>
          <w:tab w:val="left" w:pos="771"/>
        </w:tabs>
        <w:spacing w:before="1"/>
        <w:ind w:left="770" w:hanging="510"/>
        <w:rPr>
          <w:sz w:val="24"/>
        </w:rPr>
      </w:pPr>
      <w:r>
        <w:rPr>
          <w:sz w:val="24"/>
        </w:rPr>
        <w:t>质量保证</w:t>
      </w:r>
    </w:p>
    <w:p>
      <w:pPr>
        <w:pStyle w:val="22"/>
        <w:numPr>
          <w:ilvl w:val="1"/>
          <w:numId w:val="23"/>
        </w:numPr>
        <w:tabs>
          <w:tab w:val="left" w:pos="890"/>
        </w:tabs>
        <w:spacing w:before="100" w:line="319" w:lineRule="auto"/>
        <w:ind w:right="278" w:firstLine="120"/>
        <w:jc w:val="both"/>
        <w:rPr>
          <w:sz w:val="24"/>
        </w:rPr>
      </w:pPr>
      <w:r>
        <w:rPr>
          <w:spacing w:val="-2"/>
          <w:sz w:val="24"/>
        </w:rPr>
        <w:t xml:space="preserve">卖方应保证其提供的货物是全新的、未使用过的，采用的是最佳材料和第一流的工艺， </w:t>
      </w:r>
      <w:r>
        <w:rPr>
          <w:sz w:val="24"/>
        </w:rPr>
        <w:t>并在各个方面符合合同规定的质量、规格和性能要求。卖方应保证其货物经过正确安装、合</w:t>
      </w:r>
      <w:r>
        <w:rPr>
          <w:spacing w:val="8"/>
          <w:sz w:val="24"/>
        </w:rPr>
        <w:t>理操作和维护保养，在货物寿命期内运转良好。在规定的质量保证期内，卖方应对由于设计、工艺或材料的缺陷而造成的任何缺陷或故障负责。除合同中另有规定外，出现上述情</w:t>
      </w:r>
      <w:r>
        <w:rPr>
          <w:spacing w:val="3"/>
          <w:sz w:val="24"/>
        </w:rPr>
        <w:t xml:space="preserve">况，卖方应在收到买方通知后 </w:t>
      </w:r>
      <w:r>
        <w:rPr>
          <w:rFonts w:ascii="Arial" w:eastAsia="Arial"/>
          <w:sz w:val="24"/>
        </w:rPr>
        <w:t>10</w:t>
      </w:r>
      <w:r>
        <w:rPr>
          <w:spacing w:val="-2"/>
          <w:sz w:val="24"/>
        </w:rPr>
        <w:t>天内，免费负责修理或更换有缺陷的零部件或整机。对造成</w:t>
      </w:r>
      <w:r>
        <w:rPr>
          <w:sz w:val="24"/>
        </w:rPr>
        <w:t>的损失买方保留索赔的权利。</w:t>
      </w:r>
    </w:p>
    <w:p>
      <w:pPr>
        <w:pStyle w:val="22"/>
        <w:numPr>
          <w:ilvl w:val="1"/>
          <w:numId w:val="23"/>
        </w:numPr>
        <w:tabs>
          <w:tab w:val="left" w:pos="911"/>
        </w:tabs>
        <w:spacing w:before="2"/>
        <w:ind w:left="910" w:hanging="530"/>
        <w:rPr>
          <w:sz w:val="24"/>
        </w:rPr>
      </w:pPr>
      <w:r>
        <w:rPr>
          <w:spacing w:val="-3"/>
          <w:sz w:val="24"/>
        </w:rPr>
        <w:t xml:space="preserve">除非合同中另有规定，合同项下货物的质量保证期为货物正式验收后 </w:t>
      </w:r>
      <w:r>
        <w:rPr>
          <w:rFonts w:ascii="Arial" w:eastAsia="Arial"/>
          <w:sz w:val="24"/>
        </w:rPr>
        <w:t>24</w:t>
      </w:r>
      <w:r>
        <w:rPr>
          <w:sz w:val="24"/>
        </w:rPr>
        <w:t>个月。</w:t>
      </w:r>
    </w:p>
    <w:p>
      <w:pPr>
        <w:pStyle w:val="22"/>
        <w:numPr>
          <w:ilvl w:val="0"/>
          <w:numId w:val="23"/>
        </w:numPr>
        <w:tabs>
          <w:tab w:val="left" w:pos="771"/>
        </w:tabs>
        <w:ind w:left="770" w:hanging="510"/>
        <w:rPr>
          <w:sz w:val="24"/>
        </w:rPr>
      </w:pPr>
      <w:r>
        <w:rPr>
          <w:sz w:val="24"/>
        </w:rPr>
        <w:t>检验</w:t>
      </w:r>
    </w:p>
    <w:p>
      <w:pPr>
        <w:pStyle w:val="22"/>
        <w:numPr>
          <w:ilvl w:val="1"/>
          <w:numId w:val="23"/>
        </w:numPr>
        <w:tabs>
          <w:tab w:val="left" w:pos="890"/>
        </w:tabs>
        <w:spacing w:before="103" w:line="319" w:lineRule="auto"/>
        <w:ind w:right="277" w:firstLine="120"/>
        <w:jc w:val="both"/>
        <w:rPr>
          <w:sz w:val="24"/>
        </w:rPr>
      </w:pPr>
      <w:r>
        <w:rPr>
          <w:spacing w:val="-2"/>
          <w:sz w:val="24"/>
        </w:rPr>
        <w:t>卖方应让制造商在发货之前，对货物的有关内在和外观质量、规格、性能、数量和重量</w:t>
      </w:r>
      <w:r>
        <w:rPr>
          <w:sz w:val="24"/>
        </w:rPr>
        <w:t>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22"/>
        <w:numPr>
          <w:ilvl w:val="1"/>
          <w:numId w:val="23"/>
        </w:numPr>
        <w:tabs>
          <w:tab w:val="left" w:pos="890"/>
        </w:tabs>
        <w:spacing w:before="0" w:line="319" w:lineRule="auto"/>
        <w:ind w:right="277" w:firstLine="120"/>
        <w:jc w:val="both"/>
        <w:rPr>
          <w:sz w:val="24"/>
        </w:rPr>
      </w:pPr>
      <w:r>
        <w:rPr>
          <w:spacing w:val="-2"/>
          <w:sz w:val="24"/>
        </w:rPr>
        <w:t>在合同规定的质量保证期内，如果发现货物的质量或规格与合同规定不符，或证明货物</w:t>
      </w:r>
      <w:r>
        <w:rPr>
          <w:sz w:val="24"/>
        </w:rPr>
        <w:t>有缺陷，包括潜在的缺陷或使用不合适的原材料等，买方应申请商检局检验，并有权根据商检证书及质量保证条款立即向卖方提出索赔。</w:t>
      </w:r>
    </w:p>
    <w:p>
      <w:pPr>
        <w:pStyle w:val="22"/>
        <w:numPr>
          <w:ilvl w:val="0"/>
          <w:numId w:val="23"/>
        </w:numPr>
        <w:tabs>
          <w:tab w:val="left" w:pos="771"/>
        </w:tabs>
        <w:spacing w:before="0"/>
        <w:ind w:left="770" w:hanging="510"/>
        <w:rPr>
          <w:sz w:val="24"/>
        </w:rPr>
      </w:pPr>
      <w:r>
        <w:rPr>
          <w:sz w:val="24"/>
        </w:rPr>
        <w:t>索赔</w:t>
      </w:r>
    </w:p>
    <w:p>
      <w:pPr>
        <w:pStyle w:val="22"/>
        <w:numPr>
          <w:ilvl w:val="2"/>
          <w:numId w:val="23"/>
        </w:numPr>
        <w:tabs>
          <w:tab w:val="left" w:pos="1036"/>
        </w:tabs>
        <w:spacing w:before="49" w:line="319" w:lineRule="auto"/>
        <w:ind w:left="260" w:right="282" w:firstLine="480"/>
        <w:jc w:val="both"/>
        <w:rPr>
          <w:sz w:val="24"/>
        </w:rPr>
      </w:pPr>
      <w:r>
        <w:rPr>
          <w:spacing w:val="-2"/>
          <w:sz w:val="24"/>
        </w:rPr>
        <w:t>卖方对货物与合同要求不符负有责任，并且买方已于规定的检验、安装、调试和验收测</w:t>
      </w:r>
      <w:r>
        <w:rPr>
          <w:spacing w:val="8"/>
          <w:sz w:val="24"/>
        </w:rPr>
        <w:t>试期限内和质量保证期内提出索赔，卖方应按买方同意的下述一种或多种方法解决索赔事宜。</w:t>
      </w:r>
      <w:r>
        <w:rPr>
          <w:sz w:val="24"/>
        </w:rPr>
        <w:t>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22"/>
        <w:numPr>
          <w:ilvl w:val="2"/>
          <w:numId w:val="23"/>
        </w:numPr>
        <w:tabs>
          <w:tab w:val="left" w:pos="915"/>
        </w:tabs>
        <w:spacing w:before="0"/>
        <w:ind w:left="914" w:hanging="294"/>
        <w:rPr>
          <w:sz w:val="24"/>
        </w:rPr>
      </w:pPr>
      <w:r>
        <w:rPr>
          <w:sz w:val="24"/>
        </w:rPr>
        <w:t>根据货物的疵劣和受损程度以及买方遭受损失的金额，经双方同意降低货物价格。</w:t>
      </w:r>
    </w:p>
    <w:p>
      <w:pPr>
        <w:pStyle w:val="22"/>
        <w:numPr>
          <w:ilvl w:val="2"/>
          <w:numId w:val="23"/>
        </w:numPr>
        <w:tabs>
          <w:tab w:val="left" w:pos="919"/>
        </w:tabs>
        <w:spacing w:before="103" w:line="319" w:lineRule="auto"/>
        <w:ind w:left="260" w:right="281" w:firstLine="360"/>
        <w:jc w:val="both"/>
        <w:rPr>
          <w:sz w:val="24"/>
        </w:rPr>
      </w:pPr>
      <w:r>
        <w:rPr>
          <w:spacing w:val="2"/>
          <w:sz w:val="24"/>
        </w:rPr>
        <w:t>更换有缺陷的零件、部件和设备，或修理缺陷部分，以达到合同规定的规格、质量和</w:t>
      </w:r>
      <w:r>
        <w:rPr>
          <w:sz w:val="24"/>
        </w:rPr>
        <w:t>性能，卖方承担一切费用和风险并负担买方遭受的一切直接费用。同时卖方应相应延长被更换货物的质量保证期。</w:t>
      </w:r>
    </w:p>
    <w:p>
      <w:pPr>
        <w:pStyle w:val="22"/>
        <w:numPr>
          <w:ilvl w:val="1"/>
          <w:numId w:val="23"/>
        </w:numPr>
        <w:tabs>
          <w:tab w:val="left" w:pos="935"/>
        </w:tabs>
        <w:spacing w:before="0" w:line="319" w:lineRule="auto"/>
        <w:ind w:right="274" w:firstLine="120"/>
        <w:jc w:val="both"/>
        <w:rPr>
          <w:sz w:val="24"/>
        </w:rPr>
      </w:pPr>
      <w:r>
        <w:rPr>
          <w:spacing w:val="-4"/>
          <w:sz w:val="24"/>
        </w:rPr>
        <w:t xml:space="preserve">如果买方提出索赔通知后 </w:t>
      </w:r>
      <w:r>
        <w:rPr>
          <w:rFonts w:ascii="Arial" w:eastAsia="Arial"/>
          <w:sz w:val="24"/>
        </w:rPr>
        <w:t>10</w:t>
      </w:r>
      <w:r>
        <w:rPr>
          <w:spacing w:val="-1"/>
          <w:sz w:val="24"/>
        </w:rPr>
        <w:t>天内卖方未能予以答复，该索赔应视为已被卖方接受。若</w:t>
      </w:r>
      <w:r>
        <w:rPr>
          <w:spacing w:val="-4"/>
          <w:sz w:val="24"/>
        </w:rPr>
        <w:t xml:space="preserve">卖方未能在买方提出索赔通知的 </w:t>
      </w:r>
      <w:r>
        <w:rPr>
          <w:rFonts w:ascii="Arial" w:eastAsia="Arial"/>
          <w:sz w:val="24"/>
        </w:rPr>
        <w:t>10</w:t>
      </w:r>
      <w:r>
        <w:rPr>
          <w:spacing w:val="-2"/>
          <w:sz w:val="24"/>
        </w:rPr>
        <w:t>天内或买方同意的更长一些的时间内，按买方同意的上述</w:t>
      </w:r>
      <w:r>
        <w:rPr>
          <w:sz w:val="24"/>
        </w:rPr>
        <w:t>任何一种方式处理索赔事宜，买方将从未付款或卖方提供的履约保证金中扣回索赔金额，同时保留进一步要求赔偿的权利。</w:t>
      </w:r>
    </w:p>
    <w:p>
      <w:pPr>
        <w:pStyle w:val="22"/>
        <w:numPr>
          <w:ilvl w:val="0"/>
          <w:numId w:val="23"/>
        </w:numPr>
        <w:tabs>
          <w:tab w:val="left" w:pos="771"/>
        </w:tabs>
        <w:spacing w:before="1"/>
        <w:ind w:left="770" w:hanging="510"/>
        <w:rPr>
          <w:sz w:val="24"/>
        </w:rPr>
      </w:pPr>
      <w:r>
        <w:rPr>
          <w:spacing w:val="-1"/>
          <w:sz w:val="24"/>
        </w:rPr>
        <w:t>延期交货与核定损失额</w:t>
      </w:r>
    </w:p>
    <w:p>
      <w:pPr>
        <w:pStyle w:val="22"/>
        <w:numPr>
          <w:ilvl w:val="1"/>
          <w:numId w:val="23"/>
        </w:numPr>
        <w:tabs>
          <w:tab w:val="left" w:pos="883"/>
        </w:tabs>
        <w:spacing w:line="319" w:lineRule="auto"/>
        <w:ind w:right="273" w:firstLine="120"/>
        <w:jc w:val="both"/>
        <w:rPr>
          <w:sz w:val="24"/>
        </w:rPr>
      </w:pPr>
      <w:r>
        <w:rPr>
          <w:spacing w:val="-1"/>
          <w:sz w:val="24"/>
        </w:rPr>
        <w:t>如果卖方未能按合同规定的时间按期交货</w:t>
      </w:r>
      <w:r>
        <w:rPr>
          <w:rFonts w:ascii="Arial" w:eastAsia="Arial"/>
          <w:sz w:val="24"/>
        </w:rPr>
        <w:t>(</w:t>
      </w:r>
      <w:r>
        <w:rPr>
          <w:spacing w:val="7"/>
          <w:sz w:val="24"/>
        </w:rPr>
        <w:t>本合同第</w:t>
      </w:r>
      <w:r>
        <w:rPr>
          <w:rFonts w:ascii="Arial" w:eastAsia="Arial"/>
          <w:sz w:val="24"/>
        </w:rPr>
        <w:t>18</w:t>
      </w:r>
      <w:r>
        <w:rPr>
          <w:spacing w:val="-1"/>
          <w:sz w:val="24"/>
        </w:rPr>
        <w:t>款规定的不可抗力除外</w:t>
      </w:r>
      <w:r>
        <w:rPr>
          <w:rFonts w:ascii="Arial" w:eastAsia="Arial"/>
          <w:sz w:val="24"/>
        </w:rPr>
        <w:t>)</w:t>
      </w:r>
      <w:r>
        <w:rPr>
          <w:sz w:val="24"/>
        </w:rPr>
        <w:t>，在卖方同意支付核定损失额的条件下，买方将同意延长交货期。核定损失额的支付将从未付款或从</w:t>
      </w:r>
      <w:r>
        <w:rPr>
          <w:spacing w:val="-3"/>
          <w:sz w:val="24"/>
        </w:rPr>
        <w:t xml:space="preserve">履约保证金中扣除。核定损失额比率为每迟交 </w:t>
      </w:r>
      <w:r>
        <w:rPr>
          <w:rFonts w:ascii="Arial" w:eastAsia="Arial"/>
          <w:sz w:val="24"/>
        </w:rPr>
        <w:t>7</w:t>
      </w:r>
      <w:r>
        <w:rPr>
          <w:spacing w:val="-6"/>
          <w:sz w:val="24"/>
        </w:rPr>
        <w:t xml:space="preserve">天，按迟交货物金额的 </w:t>
      </w:r>
      <w:r>
        <w:rPr>
          <w:rFonts w:ascii="Arial" w:eastAsia="Arial"/>
          <w:sz w:val="24"/>
        </w:rPr>
        <w:t>0.5%</w:t>
      </w:r>
      <w:r>
        <w:rPr>
          <w:spacing w:val="-15"/>
          <w:sz w:val="24"/>
        </w:rPr>
        <w:t xml:space="preserve">，不满 </w:t>
      </w:r>
      <w:r>
        <w:rPr>
          <w:rFonts w:ascii="Arial" w:eastAsia="Arial"/>
          <w:sz w:val="24"/>
        </w:rPr>
        <w:t>7</w:t>
      </w:r>
      <w:r>
        <w:rPr>
          <w:spacing w:val="-19"/>
          <w:sz w:val="24"/>
        </w:rPr>
        <w:t xml:space="preserve">天按 </w:t>
      </w:r>
      <w:r>
        <w:rPr>
          <w:rFonts w:ascii="Arial" w:eastAsia="Arial"/>
          <w:spacing w:val="-11"/>
          <w:sz w:val="24"/>
        </w:rPr>
        <w:t xml:space="preserve">7 </w:t>
      </w:r>
      <w:r>
        <w:rPr>
          <w:spacing w:val="1"/>
          <w:sz w:val="24"/>
        </w:rPr>
        <w:t>天计算，但是，核定损失额的支付不得超过迟交货物部分合同金额的</w:t>
      </w:r>
      <w:r>
        <w:rPr>
          <w:rFonts w:ascii="Arial" w:eastAsia="Arial"/>
          <w:sz w:val="24"/>
        </w:rPr>
        <w:t>5%</w:t>
      </w:r>
      <w:r>
        <w:rPr>
          <w:spacing w:val="-2"/>
          <w:sz w:val="24"/>
        </w:rPr>
        <w:t>。如果卖方在达到核</w:t>
      </w:r>
      <w:r>
        <w:rPr>
          <w:sz w:val="24"/>
        </w:rPr>
        <w:t>定损失额的最高限额后仍不能交货，买方有权因卖方违约终止合同，而卖方仍有义务支付上述迟交核定损失金额。</w:t>
      </w:r>
    </w:p>
    <w:p>
      <w:pPr>
        <w:pStyle w:val="22"/>
        <w:numPr>
          <w:ilvl w:val="0"/>
          <w:numId w:val="23"/>
        </w:numPr>
        <w:tabs>
          <w:tab w:val="left" w:pos="771"/>
        </w:tabs>
        <w:spacing w:before="0" w:line="306" w:lineRule="exact"/>
        <w:ind w:left="770" w:hanging="510"/>
        <w:rPr>
          <w:sz w:val="24"/>
        </w:rPr>
      </w:pPr>
      <w:r>
        <w:rPr>
          <w:sz w:val="24"/>
        </w:rPr>
        <w:t>不可抗力</w:t>
      </w:r>
    </w:p>
    <w:p>
      <w:pPr>
        <w:pStyle w:val="22"/>
        <w:numPr>
          <w:ilvl w:val="1"/>
          <w:numId w:val="23"/>
        </w:numPr>
        <w:tabs>
          <w:tab w:val="left" w:pos="890"/>
        </w:tabs>
        <w:spacing w:before="103" w:line="319" w:lineRule="auto"/>
        <w:ind w:right="277" w:firstLine="120"/>
        <w:jc w:val="both"/>
        <w:rPr>
          <w:sz w:val="24"/>
        </w:rPr>
      </w:pPr>
      <w:r>
        <w:rPr>
          <w:spacing w:val="-2"/>
          <w:sz w:val="24"/>
        </w:rPr>
        <w:t>签约双方任一方由于受诸如战争、严重火灾、洪水、台风、地震等不可抗力事故的影响</w:t>
      </w:r>
      <w:r>
        <w:rPr>
          <w:spacing w:val="8"/>
          <w:sz w:val="24"/>
        </w:rPr>
        <w:t>而不能执行合同时，履行合同的期限应予以延长，则延长的期限应相当于事故所影响的时</w:t>
      </w:r>
      <w:r>
        <w:rPr>
          <w:sz w:val="24"/>
        </w:rPr>
        <w:t>间。不可抗力事故系指买卖双方在缔结合同时所不能预见的，并且它的发生及其后果是无法避免和无法克服的事故。</w:t>
      </w:r>
    </w:p>
    <w:p>
      <w:pPr>
        <w:pStyle w:val="22"/>
        <w:numPr>
          <w:ilvl w:val="1"/>
          <w:numId w:val="23"/>
        </w:numPr>
        <w:tabs>
          <w:tab w:val="left" w:pos="890"/>
        </w:tabs>
        <w:spacing w:before="1"/>
        <w:ind w:left="889" w:hanging="509"/>
        <w:rPr>
          <w:sz w:val="24"/>
        </w:rPr>
      </w:pPr>
      <w:r>
        <w:rPr>
          <w:spacing w:val="-1"/>
          <w:sz w:val="24"/>
        </w:rPr>
        <w:t>受阻一方应在不可抗力事故发生后尽快用电报、传真或电传通知对方，并于事故发生后</w:t>
      </w:r>
    </w:p>
    <w:p>
      <w:pPr>
        <w:pStyle w:val="2"/>
        <w:spacing w:before="100" w:line="319" w:lineRule="auto"/>
        <w:ind w:right="277"/>
        <w:jc w:val="both"/>
      </w:pPr>
      <w:r>
        <w:rPr>
          <w:rFonts w:ascii="Arial" w:eastAsia="Arial"/>
        </w:rPr>
        <w:t>10</w:t>
      </w:r>
      <w:r>
        <w:rPr>
          <w:spacing w:val="-2"/>
        </w:rPr>
        <w:t>天内将有关部门出具的证明文件用特快专递或挂号信寄给对方审阅确认。一旦不可抗力事</w:t>
      </w:r>
      <w:r>
        <w:rPr>
          <w:spacing w:val="-9"/>
        </w:rPr>
        <w:t xml:space="preserve">故的影响持续 </w:t>
      </w:r>
      <w:r>
        <w:rPr>
          <w:rFonts w:ascii="Arial" w:eastAsia="Arial"/>
        </w:rPr>
        <w:t xml:space="preserve">20 </w:t>
      </w:r>
      <w:r>
        <w:rPr>
          <w:spacing w:val="-3"/>
        </w:rPr>
        <w:t>天以上，双方应通过友好协商在合理的时间内达成进一步履行合同的协议。</w:t>
      </w:r>
      <w:r>
        <w:rPr>
          <w:rFonts w:ascii="Arial" w:eastAsia="Arial"/>
        </w:rPr>
        <w:t>19</w:t>
      </w:r>
      <w:r>
        <w:t>．仲裁</w:t>
      </w:r>
    </w:p>
    <w:p>
      <w:pPr>
        <w:pStyle w:val="22"/>
        <w:numPr>
          <w:ilvl w:val="1"/>
          <w:numId w:val="25"/>
        </w:numPr>
        <w:tabs>
          <w:tab w:val="left" w:pos="974"/>
        </w:tabs>
        <w:spacing w:before="0" w:line="307" w:lineRule="exact"/>
        <w:ind w:hanging="593"/>
        <w:rPr>
          <w:sz w:val="24"/>
        </w:rPr>
      </w:pPr>
      <w:r>
        <w:rPr>
          <w:sz w:val="24"/>
        </w:rPr>
        <w:t>在执行本合同中发生的或与本合同有关的争端，双方应通过友好协商解决，经协商在</w:t>
      </w:r>
    </w:p>
    <w:p>
      <w:pPr>
        <w:pStyle w:val="2"/>
        <w:spacing w:before="103"/>
        <w:jc w:val="both"/>
      </w:pPr>
      <w:r>
        <w:rPr>
          <w:rFonts w:ascii="Arial" w:eastAsia="Arial"/>
        </w:rPr>
        <w:t xml:space="preserve">30 </w:t>
      </w:r>
      <w:r>
        <w:t>天内不能达成协议时，应提交仲裁。</w:t>
      </w:r>
    </w:p>
    <w:p>
      <w:pPr>
        <w:pStyle w:val="22"/>
        <w:numPr>
          <w:ilvl w:val="1"/>
          <w:numId w:val="25"/>
        </w:numPr>
        <w:tabs>
          <w:tab w:val="left" w:pos="911"/>
        </w:tabs>
        <w:ind w:left="910" w:hanging="530"/>
        <w:rPr>
          <w:sz w:val="24"/>
        </w:rPr>
      </w:pPr>
      <w:r>
        <w:rPr>
          <w:spacing w:val="-1"/>
          <w:sz w:val="24"/>
        </w:rPr>
        <w:t>仲裁应由买方当地仲裁机构根据其仲裁程序和暂行规则进行。</w:t>
      </w:r>
    </w:p>
    <w:p>
      <w:pPr>
        <w:pStyle w:val="22"/>
        <w:numPr>
          <w:ilvl w:val="1"/>
          <w:numId w:val="25"/>
        </w:numPr>
        <w:tabs>
          <w:tab w:val="left" w:pos="911"/>
        </w:tabs>
        <w:ind w:left="910" w:hanging="530"/>
        <w:rPr>
          <w:sz w:val="24"/>
        </w:rPr>
      </w:pPr>
      <w:r>
        <w:rPr>
          <w:spacing w:val="-1"/>
          <w:sz w:val="24"/>
        </w:rPr>
        <w:t>仲裁裁决应为最终决定，并对双方具有约束力。</w:t>
      </w:r>
    </w:p>
    <w:p>
      <w:pPr>
        <w:pStyle w:val="22"/>
        <w:numPr>
          <w:ilvl w:val="1"/>
          <w:numId w:val="25"/>
        </w:numPr>
        <w:tabs>
          <w:tab w:val="left" w:pos="911"/>
        </w:tabs>
        <w:spacing w:before="103"/>
        <w:ind w:left="910" w:hanging="530"/>
        <w:rPr>
          <w:sz w:val="24"/>
        </w:rPr>
      </w:pPr>
      <w:r>
        <w:rPr>
          <w:spacing w:val="-1"/>
          <w:sz w:val="24"/>
        </w:rPr>
        <w:t>除另有裁决外，仲裁费应由败诉方负担。</w:t>
      </w:r>
    </w:p>
    <w:p>
      <w:pPr>
        <w:pStyle w:val="22"/>
        <w:numPr>
          <w:ilvl w:val="1"/>
          <w:numId w:val="25"/>
        </w:numPr>
        <w:tabs>
          <w:tab w:val="left" w:pos="911"/>
        </w:tabs>
        <w:spacing w:before="100"/>
        <w:ind w:left="910" w:hanging="530"/>
        <w:rPr>
          <w:sz w:val="24"/>
        </w:rPr>
      </w:pPr>
      <w:r>
        <w:rPr>
          <w:spacing w:val="-1"/>
          <w:sz w:val="24"/>
        </w:rPr>
        <w:t>在仲裁期间，除正在进行仲裁部分外，合同其它部分继续执行。</w:t>
      </w:r>
    </w:p>
    <w:p>
      <w:pPr>
        <w:pStyle w:val="22"/>
        <w:numPr>
          <w:ilvl w:val="0"/>
          <w:numId w:val="26"/>
        </w:numPr>
        <w:tabs>
          <w:tab w:val="left" w:pos="771"/>
        </w:tabs>
        <w:spacing w:before="103"/>
        <w:ind w:hanging="510"/>
        <w:jc w:val="both"/>
        <w:rPr>
          <w:sz w:val="24"/>
        </w:rPr>
      </w:pPr>
      <w:r>
        <w:rPr>
          <w:sz w:val="24"/>
        </w:rPr>
        <w:t>违约终止合同</w:t>
      </w:r>
    </w:p>
    <w:p>
      <w:pPr>
        <w:pStyle w:val="22"/>
        <w:numPr>
          <w:ilvl w:val="1"/>
          <w:numId w:val="26"/>
        </w:numPr>
        <w:tabs>
          <w:tab w:val="left" w:pos="1091"/>
        </w:tabs>
        <w:spacing w:before="49" w:line="319" w:lineRule="auto"/>
        <w:ind w:right="276" w:firstLine="240"/>
        <w:jc w:val="both"/>
        <w:rPr>
          <w:sz w:val="24"/>
        </w:rPr>
      </w:pPr>
      <w:r>
        <w:rPr>
          <w:sz w:val="24"/>
        </w:rPr>
        <w:t>在补救违约而采取的任何其他措施未能实现的情况下，即在卖方收到买方发出的违约</w:t>
      </w:r>
      <w:r>
        <w:rPr>
          <w:spacing w:val="-5"/>
          <w:sz w:val="24"/>
        </w:rPr>
        <w:t xml:space="preserve">通知后 </w:t>
      </w:r>
      <w:r>
        <w:rPr>
          <w:rFonts w:ascii="Arial" w:eastAsia="Arial"/>
          <w:sz w:val="24"/>
        </w:rPr>
        <w:t>10</w:t>
      </w:r>
      <w:r>
        <w:rPr>
          <w:sz w:val="24"/>
        </w:rPr>
        <w:t>天内</w:t>
      </w:r>
      <w:r>
        <w:rPr>
          <w:rFonts w:ascii="Arial" w:eastAsia="Arial"/>
          <w:sz w:val="24"/>
        </w:rPr>
        <w:t>(</w:t>
      </w:r>
      <w:r>
        <w:rPr>
          <w:spacing w:val="-2"/>
          <w:sz w:val="24"/>
        </w:rPr>
        <w:t>或经买方书面确认的更长时间内</w:t>
      </w:r>
      <w:r>
        <w:rPr>
          <w:rFonts w:ascii="Arial" w:eastAsia="Arial"/>
          <w:sz w:val="24"/>
        </w:rPr>
        <w:t>)</w:t>
      </w:r>
      <w:r>
        <w:rPr>
          <w:spacing w:val="-1"/>
          <w:sz w:val="24"/>
        </w:rPr>
        <w:t>仍未纠正其下述任何一种违约行为，买方可</w:t>
      </w:r>
      <w:r>
        <w:rPr>
          <w:sz w:val="24"/>
        </w:rPr>
        <w:t>向卖方发出书面违约通知，终止全部或部分合同：</w:t>
      </w:r>
    </w:p>
    <w:p>
      <w:pPr>
        <w:pStyle w:val="22"/>
        <w:numPr>
          <w:ilvl w:val="2"/>
          <w:numId w:val="26"/>
        </w:numPr>
        <w:tabs>
          <w:tab w:val="left" w:pos="1035"/>
        </w:tabs>
        <w:spacing w:before="0"/>
        <w:ind w:hanging="294"/>
        <w:rPr>
          <w:sz w:val="24"/>
        </w:rPr>
      </w:pPr>
      <w:r>
        <w:rPr>
          <w:sz w:val="24"/>
        </w:rPr>
        <w:t>如果卖方未能在合同规定的期限内或买方准许的任何延期内交付部分或全部货物。</w:t>
      </w:r>
    </w:p>
    <w:p>
      <w:pPr>
        <w:pStyle w:val="22"/>
        <w:numPr>
          <w:ilvl w:val="2"/>
          <w:numId w:val="26"/>
        </w:numPr>
        <w:tabs>
          <w:tab w:val="left" w:pos="1035"/>
        </w:tabs>
        <w:spacing w:before="103"/>
        <w:ind w:hanging="294"/>
        <w:rPr>
          <w:sz w:val="24"/>
        </w:rPr>
      </w:pPr>
      <w:r>
        <w:rPr>
          <w:sz w:val="24"/>
        </w:rPr>
        <w:t>卖方未能履行合同项下的任何其它义务。</w:t>
      </w:r>
    </w:p>
    <w:p>
      <w:pPr>
        <w:pStyle w:val="22"/>
        <w:numPr>
          <w:ilvl w:val="0"/>
          <w:numId w:val="26"/>
        </w:numPr>
        <w:tabs>
          <w:tab w:val="left" w:pos="717"/>
        </w:tabs>
        <w:spacing w:line="319" w:lineRule="auto"/>
        <w:ind w:left="260" w:right="274" w:firstLine="120"/>
        <w:jc w:val="both"/>
        <w:rPr>
          <w:sz w:val="24"/>
        </w:rPr>
      </w:pPr>
      <w:r>
        <w:rPr>
          <w:spacing w:val="-4"/>
          <w:sz w:val="24"/>
        </w:rPr>
        <w:t xml:space="preserve">一旦买方根据第 </w:t>
      </w:r>
      <w:r>
        <w:rPr>
          <w:rFonts w:ascii="Arial" w:eastAsia="Arial"/>
          <w:sz w:val="24"/>
        </w:rPr>
        <w:t>21.1</w:t>
      </w:r>
      <w:r>
        <w:rPr>
          <w:spacing w:val="-2"/>
          <w:sz w:val="24"/>
        </w:rPr>
        <w:t>款终止部分或全部合同，买方可以按其认为适当的条件和方式采购</w:t>
      </w:r>
      <w:r>
        <w:rPr>
          <w:sz w:val="24"/>
        </w:rPr>
        <w:t>类似未交付部分的货物。卖方应承担买方购买类似货物的额外费用。但是，卖方应继续履行合同中未终止的部分。</w:t>
      </w:r>
    </w:p>
    <w:p>
      <w:pPr>
        <w:pStyle w:val="22"/>
        <w:numPr>
          <w:ilvl w:val="0"/>
          <w:numId w:val="26"/>
        </w:numPr>
        <w:tabs>
          <w:tab w:val="left" w:pos="771"/>
        </w:tabs>
        <w:spacing w:before="0" w:line="307" w:lineRule="exact"/>
        <w:ind w:hanging="510"/>
        <w:rPr>
          <w:sz w:val="24"/>
        </w:rPr>
      </w:pPr>
      <w:r>
        <w:rPr>
          <w:sz w:val="24"/>
        </w:rPr>
        <w:t>变更指示</w:t>
      </w:r>
    </w:p>
    <w:p>
      <w:pPr>
        <w:pStyle w:val="22"/>
        <w:numPr>
          <w:ilvl w:val="1"/>
          <w:numId w:val="26"/>
        </w:numPr>
        <w:tabs>
          <w:tab w:val="left" w:pos="911"/>
        </w:tabs>
        <w:spacing w:before="102"/>
        <w:ind w:left="910" w:hanging="530"/>
        <w:rPr>
          <w:sz w:val="24"/>
        </w:rPr>
      </w:pPr>
      <w:r>
        <w:rPr>
          <w:spacing w:val="-1"/>
          <w:sz w:val="24"/>
        </w:rPr>
        <w:t>买方可以随时向卖方发出书面指示，在合同总体范围内对如下一点或几点提出变更：</w:t>
      </w:r>
    </w:p>
    <w:p>
      <w:pPr>
        <w:pStyle w:val="22"/>
        <w:numPr>
          <w:ilvl w:val="2"/>
          <w:numId w:val="26"/>
        </w:numPr>
        <w:tabs>
          <w:tab w:val="left" w:pos="1035"/>
        </w:tabs>
        <w:spacing w:before="102"/>
        <w:ind w:hanging="294"/>
        <w:rPr>
          <w:sz w:val="24"/>
        </w:rPr>
      </w:pPr>
      <w:r>
        <w:rPr>
          <w:sz w:val="24"/>
        </w:rPr>
        <w:t>合同项下需为买方特殊制造的货物的图纸、设计或规格；</w:t>
      </w:r>
    </w:p>
    <w:p>
      <w:pPr>
        <w:pStyle w:val="22"/>
        <w:numPr>
          <w:ilvl w:val="2"/>
          <w:numId w:val="26"/>
        </w:numPr>
        <w:tabs>
          <w:tab w:val="left" w:pos="1035"/>
        </w:tabs>
        <w:spacing w:before="102"/>
        <w:ind w:hanging="294"/>
        <w:rPr>
          <w:sz w:val="24"/>
        </w:rPr>
      </w:pPr>
      <w:r>
        <w:rPr>
          <w:sz w:val="24"/>
        </w:rPr>
        <w:t>装运方式和包装方式；</w:t>
      </w:r>
    </w:p>
    <w:p>
      <w:pPr>
        <w:pStyle w:val="22"/>
        <w:numPr>
          <w:ilvl w:val="2"/>
          <w:numId w:val="26"/>
        </w:numPr>
        <w:tabs>
          <w:tab w:val="left" w:pos="1035"/>
        </w:tabs>
        <w:ind w:hanging="294"/>
        <w:rPr>
          <w:sz w:val="24"/>
        </w:rPr>
      </w:pPr>
      <w:r>
        <w:rPr>
          <w:sz w:val="24"/>
        </w:rPr>
        <w:t>交货地点；</w:t>
      </w:r>
    </w:p>
    <w:p>
      <w:pPr>
        <w:pStyle w:val="22"/>
        <w:numPr>
          <w:ilvl w:val="2"/>
          <w:numId w:val="26"/>
        </w:numPr>
        <w:tabs>
          <w:tab w:val="left" w:pos="1035"/>
        </w:tabs>
        <w:spacing w:before="100"/>
        <w:ind w:hanging="294"/>
        <w:rPr>
          <w:sz w:val="24"/>
        </w:rPr>
      </w:pPr>
      <w:r>
        <w:rPr>
          <w:sz w:val="24"/>
        </w:rPr>
        <w:t>卖方须提供的服务。</w:t>
      </w:r>
    </w:p>
    <w:p>
      <w:pPr>
        <w:pStyle w:val="22"/>
        <w:numPr>
          <w:ilvl w:val="1"/>
          <w:numId w:val="26"/>
        </w:numPr>
        <w:tabs>
          <w:tab w:val="left" w:pos="890"/>
        </w:tabs>
        <w:spacing w:before="103" w:line="319" w:lineRule="auto"/>
        <w:ind w:right="277" w:firstLine="120"/>
        <w:jc w:val="both"/>
        <w:rPr>
          <w:sz w:val="24"/>
        </w:rPr>
      </w:pPr>
      <w:r>
        <w:rPr>
          <w:spacing w:val="-2"/>
          <w:sz w:val="24"/>
        </w:rPr>
        <w:t>若上述变更导致了卖方履行合同项下任何部分义务的费用或所需时间的增减，应对合同</w:t>
      </w:r>
      <w:r>
        <w:rPr>
          <w:sz w:val="24"/>
        </w:rPr>
        <w:t>价格或交货进度进行合理的调整，同时相应地修改合同。卖方必须在接到买方的变更指示后</w:t>
      </w:r>
    </w:p>
    <w:p>
      <w:pPr>
        <w:pStyle w:val="2"/>
        <w:spacing w:before="1"/>
      </w:pPr>
      <w:r>
        <w:rPr>
          <w:rFonts w:ascii="Arial" w:eastAsia="Arial"/>
        </w:rPr>
        <w:t xml:space="preserve">10 </w:t>
      </w:r>
      <w:r>
        <w:t>天内根据本款提出调整的实施意见。</w:t>
      </w:r>
    </w:p>
    <w:p>
      <w:pPr>
        <w:pStyle w:val="22"/>
        <w:numPr>
          <w:ilvl w:val="0"/>
          <w:numId w:val="26"/>
        </w:numPr>
        <w:tabs>
          <w:tab w:val="left" w:pos="771"/>
        </w:tabs>
        <w:spacing w:before="100"/>
        <w:ind w:hanging="510"/>
        <w:rPr>
          <w:sz w:val="24"/>
        </w:rPr>
      </w:pPr>
      <w:r>
        <w:rPr>
          <w:sz w:val="24"/>
        </w:rPr>
        <w:t>合同修改</w:t>
      </w:r>
    </w:p>
    <w:p>
      <w:pPr>
        <w:pStyle w:val="22"/>
        <w:numPr>
          <w:ilvl w:val="1"/>
          <w:numId w:val="26"/>
        </w:numPr>
        <w:tabs>
          <w:tab w:val="left" w:pos="911"/>
        </w:tabs>
        <w:ind w:left="910" w:hanging="530"/>
        <w:rPr>
          <w:sz w:val="24"/>
        </w:rPr>
      </w:pPr>
      <w:r>
        <w:rPr>
          <w:spacing w:val="-1"/>
          <w:sz w:val="24"/>
        </w:rPr>
        <w:t>欲对合同条款作出任何改动或偏离，均须由买卖双方签署书面的合同修改书。</w:t>
      </w:r>
    </w:p>
    <w:p>
      <w:pPr>
        <w:pStyle w:val="22"/>
        <w:numPr>
          <w:ilvl w:val="0"/>
          <w:numId w:val="26"/>
        </w:numPr>
        <w:tabs>
          <w:tab w:val="left" w:pos="771"/>
        </w:tabs>
        <w:spacing w:before="103"/>
        <w:ind w:hanging="510"/>
        <w:rPr>
          <w:sz w:val="24"/>
        </w:rPr>
      </w:pPr>
      <w:r>
        <w:rPr>
          <w:sz w:val="24"/>
        </w:rPr>
        <w:t>转让与分包</w:t>
      </w:r>
    </w:p>
    <w:p>
      <w:pPr>
        <w:pStyle w:val="22"/>
        <w:numPr>
          <w:ilvl w:val="1"/>
          <w:numId w:val="26"/>
        </w:numPr>
        <w:tabs>
          <w:tab w:val="left" w:pos="911"/>
        </w:tabs>
        <w:ind w:left="910" w:hanging="530"/>
        <w:rPr>
          <w:sz w:val="24"/>
        </w:rPr>
      </w:pPr>
      <w:r>
        <w:rPr>
          <w:spacing w:val="-1"/>
          <w:sz w:val="24"/>
        </w:rPr>
        <w:t>除买方事先同意外，卖方不得部分转让或全部转让其应履行的合同项下的义务。</w:t>
      </w:r>
    </w:p>
    <w:p>
      <w:pPr>
        <w:pStyle w:val="22"/>
        <w:numPr>
          <w:ilvl w:val="1"/>
          <w:numId w:val="26"/>
        </w:numPr>
        <w:tabs>
          <w:tab w:val="left" w:pos="890"/>
        </w:tabs>
        <w:spacing w:before="103" w:line="319" w:lineRule="auto"/>
        <w:ind w:right="276" w:firstLine="120"/>
        <w:jc w:val="both"/>
        <w:rPr>
          <w:sz w:val="24"/>
        </w:rPr>
      </w:pPr>
      <w:r>
        <w:rPr>
          <w:spacing w:val="-2"/>
          <w:sz w:val="24"/>
        </w:rPr>
        <w:t>卖方应书面通知买方本合同项下所授予的所有分包合同。但该通知不解除卖方承担的本</w:t>
      </w:r>
      <w:r>
        <w:rPr>
          <w:sz w:val="24"/>
        </w:rPr>
        <w:t>合同项下的任何责任或义务。</w:t>
      </w:r>
    </w:p>
    <w:p>
      <w:pPr>
        <w:pStyle w:val="22"/>
        <w:numPr>
          <w:ilvl w:val="0"/>
          <w:numId w:val="26"/>
        </w:numPr>
        <w:tabs>
          <w:tab w:val="left" w:pos="771"/>
        </w:tabs>
        <w:spacing w:before="0"/>
        <w:ind w:hanging="510"/>
        <w:rPr>
          <w:sz w:val="24"/>
        </w:rPr>
      </w:pPr>
      <w:r>
        <w:rPr>
          <w:sz w:val="24"/>
        </w:rPr>
        <w:t>适用法律</w:t>
      </w:r>
    </w:p>
    <w:p>
      <w:pPr>
        <w:pStyle w:val="22"/>
        <w:numPr>
          <w:ilvl w:val="1"/>
          <w:numId w:val="26"/>
        </w:numPr>
        <w:tabs>
          <w:tab w:val="left" w:pos="911"/>
        </w:tabs>
        <w:spacing w:before="100"/>
        <w:ind w:left="910" w:hanging="530"/>
        <w:rPr>
          <w:sz w:val="24"/>
        </w:rPr>
      </w:pPr>
      <w:r>
        <w:rPr>
          <w:spacing w:val="-1"/>
          <w:sz w:val="24"/>
        </w:rPr>
        <w:t>本合同应按中华人民共和国的相关法律解释。</w:t>
      </w:r>
    </w:p>
    <w:p>
      <w:pPr>
        <w:pStyle w:val="22"/>
        <w:numPr>
          <w:ilvl w:val="0"/>
          <w:numId w:val="26"/>
        </w:numPr>
        <w:tabs>
          <w:tab w:val="left" w:pos="771"/>
        </w:tabs>
        <w:ind w:hanging="510"/>
        <w:rPr>
          <w:sz w:val="24"/>
        </w:rPr>
      </w:pPr>
      <w:r>
        <w:rPr>
          <w:sz w:val="24"/>
        </w:rPr>
        <w:t>通知</w:t>
      </w:r>
    </w:p>
    <w:p>
      <w:pPr>
        <w:pStyle w:val="22"/>
        <w:numPr>
          <w:ilvl w:val="1"/>
          <w:numId w:val="26"/>
        </w:numPr>
        <w:tabs>
          <w:tab w:val="left" w:pos="890"/>
        </w:tabs>
        <w:spacing w:before="103" w:line="319" w:lineRule="auto"/>
        <w:ind w:right="277" w:firstLine="120"/>
        <w:jc w:val="both"/>
        <w:rPr>
          <w:sz w:val="24"/>
        </w:rPr>
      </w:pPr>
      <w:r>
        <w:rPr>
          <w:spacing w:val="-2"/>
          <w:sz w:val="24"/>
        </w:rPr>
        <w:t>本合同任何一方给另一方的通知都应以书面或电传、电报、传真的形式发送，而另一方</w:t>
      </w:r>
      <w:r>
        <w:rPr>
          <w:sz w:val="24"/>
        </w:rPr>
        <w:t>应以书面形式确并发送到对方明确的地址。</w:t>
      </w:r>
    </w:p>
    <w:p>
      <w:pPr>
        <w:pStyle w:val="22"/>
        <w:numPr>
          <w:ilvl w:val="0"/>
          <w:numId w:val="26"/>
        </w:numPr>
        <w:tabs>
          <w:tab w:val="left" w:pos="771"/>
        </w:tabs>
        <w:spacing w:before="0"/>
        <w:ind w:hanging="510"/>
        <w:rPr>
          <w:sz w:val="24"/>
        </w:rPr>
      </w:pPr>
      <w:r>
        <w:rPr>
          <w:spacing w:val="-1"/>
          <w:sz w:val="24"/>
        </w:rPr>
        <w:t>合同文件及资料的使用</w:t>
      </w:r>
    </w:p>
    <w:p>
      <w:pPr>
        <w:pStyle w:val="22"/>
        <w:numPr>
          <w:ilvl w:val="1"/>
          <w:numId w:val="26"/>
        </w:numPr>
        <w:tabs>
          <w:tab w:val="left" w:pos="890"/>
        </w:tabs>
        <w:spacing w:line="319" w:lineRule="auto"/>
        <w:ind w:right="274" w:firstLine="120"/>
        <w:jc w:val="both"/>
        <w:rPr>
          <w:sz w:val="24"/>
        </w:rPr>
      </w:pPr>
      <w:r>
        <w:rPr>
          <w:spacing w:val="-2"/>
          <w:sz w:val="24"/>
        </w:rPr>
        <w:t>除了卖方为执行合同所雇人员外，在未经买方同意的情况下，卖方不得将合同、合同中</w:t>
      </w:r>
      <w:r>
        <w:rPr>
          <w:sz w:val="24"/>
        </w:rPr>
        <w:t>的规定、有关规格、计划、图纸、式样、样本或买方为上述内容向卖方提供的资料透露给任何人。卖方须在对外保密的前提下，对其雇用人员提供有关情况，所提供的情况仅限于执行合同必不可少的范围内。</w:t>
      </w:r>
    </w:p>
    <w:p>
      <w:pPr>
        <w:pStyle w:val="22"/>
        <w:numPr>
          <w:ilvl w:val="1"/>
          <w:numId w:val="26"/>
        </w:numPr>
        <w:tabs>
          <w:tab w:val="left" w:pos="947"/>
        </w:tabs>
        <w:spacing w:before="1"/>
        <w:ind w:left="946" w:hanging="566"/>
        <w:rPr>
          <w:sz w:val="24"/>
        </w:rPr>
      </w:pPr>
      <w:r>
        <w:rPr>
          <w:spacing w:val="-2"/>
          <w:sz w:val="24"/>
        </w:rPr>
        <w:t xml:space="preserve">除非执行合同需要，在事先末得到买方同意的情况下，卖方不得使用第 </w:t>
      </w:r>
      <w:r>
        <w:rPr>
          <w:rFonts w:ascii="Arial" w:eastAsia="Arial"/>
          <w:sz w:val="24"/>
        </w:rPr>
        <w:t>27.1</w:t>
      </w:r>
      <w:r>
        <w:rPr>
          <w:spacing w:val="-1"/>
          <w:sz w:val="24"/>
        </w:rPr>
        <w:t>款中所列</w:t>
      </w:r>
    </w:p>
    <w:p>
      <w:pPr>
        <w:pStyle w:val="2"/>
        <w:spacing w:before="49"/>
      </w:pPr>
      <w:r>
        <w:t>的任何文件和资料。</w:t>
      </w:r>
    </w:p>
    <w:p>
      <w:pPr>
        <w:pStyle w:val="22"/>
        <w:numPr>
          <w:ilvl w:val="1"/>
          <w:numId w:val="26"/>
        </w:numPr>
        <w:tabs>
          <w:tab w:val="left" w:pos="971"/>
        </w:tabs>
        <w:spacing w:line="319" w:lineRule="auto"/>
        <w:ind w:right="278" w:firstLine="120"/>
        <w:rPr>
          <w:sz w:val="24"/>
        </w:rPr>
      </w:pPr>
      <w:r>
        <w:rPr>
          <w:sz w:val="24"/>
        </w:rPr>
        <w:t>除合同本身以外，</w:t>
      </w:r>
      <w:r>
        <w:rPr>
          <w:rFonts w:ascii="Arial" w:eastAsia="Arial"/>
          <w:sz w:val="24"/>
        </w:rPr>
        <w:t>27.1</w:t>
      </w:r>
      <w:r>
        <w:rPr>
          <w:sz w:val="24"/>
        </w:rPr>
        <w:t>款列明的所有资料始终为买方的财产，若买方要求，卖方应于其合同义务履行完毕以后将这些资料</w:t>
      </w:r>
      <w:r>
        <w:rPr>
          <w:rFonts w:ascii="Arial" w:eastAsia="Arial"/>
          <w:sz w:val="24"/>
        </w:rPr>
        <w:t>(</w:t>
      </w:r>
      <w:r>
        <w:rPr>
          <w:sz w:val="24"/>
        </w:rPr>
        <w:t>包括所有副本</w:t>
      </w:r>
      <w:r>
        <w:rPr>
          <w:rFonts w:ascii="Arial" w:eastAsia="Arial"/>
          <w:sz w:val="24"/>
        </w:rPr>
        <w:t>)</w:t>
      </w:r>
      <w:r>
        <w:rPr>
          <w:sz w:val="24"/>
        </w:rPr>
        <w:t>退还买方。</w:t>
      </w:r>
    </w:p>
    <w:p>
      <w:pPr>
        <w:pStyle w:val="22"/>
        <w:numPr>
          <w:ilvl w:val="0"/>
          <w:numId w:val="26"/>
        </w:numPr>
        <w:tabs>
          <w:tab w:val="left" w:pos="771"/>
        </w:tabs>
        <w:spacing w:before="1"/>
        <w:ind w:hanging="510"/>
        <w:rPr>
          <w:sz w:val="24"/>
        </w:rPr>
      </w:pPr>
      <w:r>
        <w:rPr>
          <w:sz w:val="24"/>
        </w:rPr>
        <w:t>合同生效及其他</w:t>
      </w:r>
    </w:p>
    <w:p>
      <w:pPr>
        <w:pStyle w:val="22"/>
        <w:numPr>
          <w:ilvl w:val="1"/>
          <w:numId w:val="26"/>
        </w:numPr>
        <w:tabs>
          <w:tab w:val="left" w:pos="911"/>
        </w:tabs>
        <w:spacing w:before="103"/>
        <w:ind w:left="910" w:hanging="530"/>
        <w:rPr>
          <w:sz w:val="24"/>
        </w:rPr>
      </w:pPr>
      <w:r>
        <w:rPr>
          <w:spacing w:val="-1"/>
          <w:sz w:val="24"/>
        </w:rPr>
        <w:t>本合同应在买方和卖方签字</w:t>
      </w:r>
      <w:r>
        <w:rPr>
          <w:sz w:val="24"/>
        </w:rPr>
        <w:t>（及买方收到卖方的履约保证金后），即开始生效。</w:t>
      </w:r>
    </w:p>
    <w:p>
      <w:pPr>
        <w:pStyle w:val="22"/>
        <w:numPr>
          <w:ilvl w:val="1"/>
          <w:numId w:val="26"/>
        </w:numPr>
        <w:tabs>
          <w:tab w:val="left" w:pos="890"/>
        </w:tabs>
        <w:spacing w:before="100" w:line="319" w:lineRule="auto"/>
        <w:ind w:right="277" w:firstLine="120"/>
        <w:rPr>
          <w:sz w:val="24"/>
        </w:rPr>
      </w:pPr>
      <w:r>
        <w:rPr>
          <w:spacing w:val="-2"/>
          <w:sz w:val="24"/>
        </w:rPr>
        <w:t>卖方须按技术规格中的规定，向买方提供与合同项下货物有关的现场安装调试、技术服</w:t>
      </w:r>
      <w:r>
        <w:rPr>
          <w:sz w:val="24"/>
        </w:rPr>
        <w:t>务、培训等其他相关服务。</w:t>
      </w:r>
    </w:p>
    <w:p>
      <w:pPr>
        <w:pStyle w:val="22"/>
        <w:numPr>
          <w:ilvl w:val="1"/>
          <w:numId w:val="26"/>
        </w:numPr>
        <w:tabs>
          <w:tab w:val="left" w:pos="971"/>
        </w:tabs>
        <w:spacing w:before="0"/>
        <w:ind w:left="970" w:hanging="590"/>
        <w:rPr>
          <w:sz w:val="24"/>
        </w:rPr>
      </w:pPr>
      <w:r>
        <w:rPr>
          <w:spacing w:val="-1"/>
          <w:sz w:val="24"/>
        </w:rPr>
        <w:t>商务合同应包括买方最后确认的价格条款和付款方式。</w:t>
      </w:r>
    </w:p>
    <w:p>
      <w:pPr>
        <w:pStyle w:val="22"/>
        <w:numPr>
          <w:ilvl w:val="1"/>
          <w:numId w:val="26"/>
        </w:numPr>
        <w:tabs>
          <w:tab w:val="left" w:pos="890"/>
        </w:tabs>
        <w:spacing w:line="319" w:lineRule="auto"/>
        <w:ind w:right="277" w:firstLine="120"/>
        <w:rPr>
          <w:sz w:val="24"/>
        </w:rPr>
      </w:pPr>
      <w:r>
        <w:rPr>
          <w:spacing w:val="-2"/>
          <w:sz w:val="24"/>
        </w:rPr>
        <w:t xml:space="preserve">本合同正本一式两份，用中文书写，买卖双方各执一份，副本一式肆份，用中文书写， </w:t>
      </w:r>
      <w:r>
        <w:rPr>
          <w:sz w:val="24"/>
        </w:rPr>
        <w:t>买卖双方各执贰份；</w:t>
      </w:r>
    </w:p>
    <w:p>
      <w:pPr>
        <w:pStyle w:val="22"/>
        <w:numPr>
          <w:ilvl w:val="1"/>
          <w:numId w:val="26"/>
        </w:numPr>
        <w:tabs>
          <w:tab w:val="left" w:pos="911"/>
        </w:tabs>
        <w:spacing w:before="1"/>
        <w:ind w:left="910" w:hanging="530"/>
        <w:rPr>
          <w:sz w:val="24"/>
        </w:rPr>
      </w:pPr>
      <w:r>
        <w:rPr>
          <w:spacing w:val="-1"/>
          <w:sz w:val="24"/>
        </w:rPr>
        <w:t>下述文件将作为合同附件为本合同不可分割的部分并与本合具有同等效力；</w:t>
      </w:r>
    </w:p>
    <w:p>
      <w:pPr>
        <w:pStyle w:val="22"/>
        <w:numPr>
          <w:ilvl w:val="0"/>
          <w:numId w:val="27"/>
        </w:numPr>
        <w:tabs>
          <w:tab w:val="left" w:pos="1100"/>
          <w:tab w:val="left" w:pos="1101"/>
        </w:tabs>
        <w:spacing w:before="103"/>
        <w:rPr>
          <w:sz w:val="24"/>
        </w:rPr>
      </w:pPr>
      <w:r>
        <w:rPr>
          <w:sz w:val="24"/>
        </w:rPr>
        <w:t>采购文件；</w:t>
      </w:r>
    </w:p>
    <w:p>
      <w:pPr>
        <w:pStyle w:val="22"/>
        <w:numPr>
          <w:ilvl w:val="0"/>
          <w:numId w:val="27"/>
        </w:numPr>
        <w:tabs>
          <w:tab w:val="left" w:pos="1100"/>
          <w:tab w:val="left" w:pos="1101"/>
        </w:tabs>
        <w:spacing w:before="100"/>
        <w:rPr>
          <w:sz w:val="24"/>
        </w:rPr>
      </w:pPr>
      <w:r>
        <w:rPr>
          <w:sz w:val="24"/>
        </w:rPr>
        <w:t>中标通知书；</w:t>
      </w:r>
    </w:p>
    <w:p>
      <w:pPr>
        <w:pStyle w:val="22"/>
        <w:numPr>
          <w:ilvl w:val="0"/>
          <w:numId w:val="27"/>
        </w:numPr>
        <w:tabs>
          <w:tab w:val="left" w:pos="1100"/>
          <w:tab w:val="left" w:pos="1101"/>
        </w:tabs>
        <w:rPr>
          <w:sz w:val="24"/>
        </w:rPr>
      </w:pPr>
      <w:r>
        <w:rPr>
          <w:sz w:val="24"/>
        </w:rPr>
        <w:t>中标方的投标文件及询标中的书面答疑；</w:t>
      </w:r>
    </w:p>
    <w:p>
      <w:pPr>
        <w:pStyle w:val="22"/>
        <w:numPr>
          <w:ilvl w:val="0"/>
          <w:numId w:val="27"/>
        </w:numPr>
        <w:tabs>
          <w:tab w:val="left" w:pos="1114"/>
          <w:tab w:val="left" w:pos="1115"/>
        </w:tabs>
        <w:spacing w:before="103"/>
        <w:ind w:left="1114" w:hanging="614"/>
        <w:rPr>
          <w:sz w:val="24"/>
        </w:rPr>
      </w:pPr>
      <w:r>
        <w:rPr>
          <w:sz w:val="24"/>
        </w:rPr>
        <w:t>合同条款及合同特殊条款；</w:t>
      </w:r>
    </w:p>
    <w:p>
      <w:pPr>
        <w:pStyle w:val="2"/>
        <w:ind w:left="0"/>
        <w:rPr>
          <w:sz w:val="26"/>
          <w:highlight w:val="yellow"/>
        </w:rPr>
      </w:pPr>
    </w:p>
    <w:p>
      <w:pPr>
        <w:pStyle w:val="2"/>
        <w:ind w:left="0"/>
        <w:rPr>
          <w:sz w:val="26"/>
          <w:highlight w:val="yellow"/>
        </w:rPr>
      </w:pPr>
    </w:p>
    <w:p>
      <w:pPr>
        <w:pStyle w:val="2"/>
        <w:spacing w:before="9"/>
        <w:ind w:left="0"/>
        <w:rPr>
          <w:sz w:val="19"/>
          <w:highlight w:val="yellow"/>
        </w:rPr>
      </w:pPr>
    </w:p>
    <w:p>
      <w:pPr>
        <w:pStyle w:val="2"/>
        <w:tabs>
          <w:tab w:val="left" w:pos="5901"/>
        </w:tabs>
        <w:ind w:left="740"/>
      </w:pPr>
      <w:r>
        <w:t>买方：</w:t>
      </w:r>
      <w:r>
        <w:tab/>
      </w:r>
      <w:r>
        <w:t>卖方：</w:t>
      </w:r>
    </w:p>
    <w:p>
      <w:pPr>
        <w:pStyle w:val="2"/>
        <w:tabs>
          <w:tab w:val="left" w:pos="5901"/>
        </w:tabs>
        <w:spacing w:before="101"/>
        <w:ind w:left="740"/>
      </w:pPr>
      <w:r>
        <w:t>代表：</w:t>
      </w:r>
      <w:r>
        <w:tab/>
      </w:r>
      <w:r>
        <w:t>代表：</w:t>
      </w:r>
    </w:p>
    <w:p>
      <w:pPr>
        <w:pStyle w:val="2"/>
        <w:ind w:left="0"/>
        <w:rPr>
          <w:sz w:val="20"/>
        </w:rPr>
      </w:pPr>
    </w:p>
    <w:p>
      <w:pPr>
        <w:pStyle w:val="2"/>
        <w:spacing w:before="6"/>
        <w:ind w:left="0"/>
        <w:rPr>
          <w:sz w:val="14"/>
          <w:highlight w:val="yellow"/>
        </w:rPr>
      </w:pPr>
      <w:r>
        <w:rPr>
          <w:highlight w:val="yellow"/>
        </w:rPr>
        <mc:AlternateContent>
          <mc:Choice Requires="wps">
            <w:drawing>
              <wp:anchor distT="0" distB="0" distL="114300" distR="114300" simplePos="0" relativeHeight="251659264" behindDoc="1" locked="0" layoutInCell="1" allowOverlap="1">
                <wp:simplePos x="0" y="0"/>
                <wp:positionH relativeFrom="page">
                  <wp:posOffset>667385</wp:posOffset>
                </wp:positionH>
                <wp:positionV relativeFrom="paragraph">
                  <wp:posOffset>147955</wp:posOffset>
                </wp:positionV>
                <wp:extent cx="6226810" cy="635"/>
                <wp:effectExtent l="0" t="0" r="0" b="0"/>
                <wp:wrapTopAndBottom/>
                <wp:docPr id="1" name="直接连接符 3"/>
                <wp:cNvGraphicFramePr/>
                <a:graphic xmlns:a="http://schemas.openxmlformats.org/drawingml/2006/main">
                  <a:graphicData uri="http://schemas.microsoft.com/office/word/2010/wordprocessingShape">
                    <wps:wsp>
                      <wps:cNvCnPr/>
                      <wps:spPr>
                        <a:xfrm>
                          <a:off x="0" y="0"/>
                          <a:ext cx="6226810" cy="635"/>
                        </a:xfrm>
                        <a:prstGeom prst="line">
                          <a:avLst/>
                        </a:prstGeom>
                        <a:ln w="9144" cap="flat" cmpd="sng">
                          <a:solidFill>
                            <a:srgbClr val="000000">
                              <a:alpha val="100000"/>
                            </a:srgbClr>
                          </a:solidFill>
                          <a:prstDash val="solid"/>
                          <a:headEnd type="none" w="med" len="med"/>
                          <a:tailEnd type="none" w="med" len="med"/>
                        </a:ln>
                        <a:effectLst/>
                      </wps:spPr>
                      <wps:bodyPr upright="1"/>
                    </wps:wsp>
                  </a:graphicData>
                </a:graphic>
              </wp:anchor>
            </w:drawing>
          </mc:Choice>
          <mc:Fallback>
            <w:pict>
              <v:line id="直接连接符 3" o:spid="_x0000_s1026" o:spt="20" style="position:absolute;left:0pt;margin-left:52.55pt;margin-top:11.65pt;height:0.05pt;width:490.3pt;mso-position-horizontal-relative:page;mso-wrap-distance-bottom:0pt;mso-wrap-distance-top:0pt;z-index:-251657216;mso-width-relative:page;mso-height-relative:page;" filled="f" stroked="t" coordsize="21600,21600" o:gfxdata="UEsDBAoAAAAAAIdO4kAAAAAAAAAAAAAAAAAEAAAAZHJzL1BLAwQUAAAACACHTuJAK99fjtYAAAAK&#10;AQAADwAAAGRycy9kb3ducmV2LnhtbE2Py07DMBBF90j8gzVI7Kidlj4U4nRRhQ1iAYEPmMZDHBGP&#10;o9htSr8eZwXLO3N050yxv7henGkMnWcN2UKBIG686bjV8Pnx/LADESKywd4zafihAPvy9qbA3PiJ&#10;3+lcx1akEg45arAxDrmUobHkMCz8QJx2X350GFMcW2lGnFK56+VSqY102HG6YHGgg6Xmuz45DfXb&#10;67R5uV6nalt3GGLsbFUdtL6/y9QTiEiX+AfDrJ/UoUxOR39iE0SfslpnCdWwXK1AzIDarbcgjvPk&#10;EWRZyP8vlL9QSwMEFAAAAAgAh07iQDgIJ8ftAQAAyAMAAA4AAABkcnMvZTJvRG9jLnhtbK1TS44T&#10;MRDdI3EHy3vS6cwQzbTSmcWEYYMgEswBKv50W/JPtiedXIILILGDFUv23IbhGJTdTRhggxC9qC7X&#10;57nqVXl1dTCa7EWIytmW1rM5JcIyx5XtWnr75ubJBSUxgeWgnRUtPYpIr9aPH60G34iF653mIhAE&#10;sbEZfEv7lHxTVZH1wkCcOS8sOqULBhIeQ1fxAAOiG10t5vNlNbjAfXBMxIjWzeik64IvpWDplZRR&#10;JKJbirWlIkORuyyr9QqaLoDvFZvKgH+owoCyeOkJagMJyF1Qf0AZxYKLTqYZc6ZyUiomSg/YTT3/&#10;rZvXPXhRekFyoj/RFP8fLHu53waiOM6OEgsGR3T/7vPXtx++fXmP8v7TR3KWSRp8bDD22m7DdIp+&#10;G3LHBxlM/mMv5FCIPZ6IFYdEGBqXi8Xyokb+GfqWZ08zYvUz1YeYngtnSFZaqpXNXUMD+xcxjaE/&#10;QrJZWzK09LI+P0dAwKWRGhKqxmMb0XYlNzqt+I3SOmfE0O2udSB7yGtQvvEC7XsYrfVoHW+b4kuR&#10;vwDlMjYQ+zGnuMYV6gXwZ5aTdPRIocVdp7lIIzglWuDTyBqCQ5NA6b+JRH60zQmirPHERJ7DyHzW&#10;do4fcXx3PqiuR+bqQmz24LqU6qfVzvv48Iz6wwe4/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r&#10;31+O1gAAAAoBAAAPAAAAAAAAAAEAIAAAACIAAABkcnMvZG93bnJldi54bWxQSwECFAAUAAAACACH&#10;TuJAOAgnx+0BAADIAwAADgAAAAAAAAABACAAAAAlAQAAZHJzL2Uyb0RvYy54bWxQSwUGAAAAAAYA&#10;BgBZAQAAhAUAAAAA&#10;">
                <v:fill on="f" focussize="0,0"/>
                <v:stroke weight="0.72pt" color="#000000" joinstyle="round"/>
                <v:imagedata o:title=""/>
                <o:lock v:ext="edit" aspectratio="f"/>
                <w10:wrap type="topAndBottom"/>
              </v:line>
            </w:pict>
          </mc:Fallback>
        </mc:AlternateContent>
      </w:r>
    </w:p>
    <w:p>
      <w:pPr>
        <w:pStyle w:val="2"/>
        <w:spacing w:before="3"/>
        <w:ind w:left="0"/>
        <w:rPr>
          <w:sz w:val="28"/>
          <w:highlight w:val="yellow"/>
        </w:rPr>
      </w:pPr>
    </w:p>
    <w:p>
      <w:pPr>
        <w:pStyle w:val="2"/>
        <w:spacing w:before="67"/>
      </w:pPr>
      <w:r>
        <w:t>附录：</w:t>
      </w:r>
    </w:p>
    <w:p>
      <w:pPr>
        <w:pStyle w:val="2"/>
        <w:tabs>
          <w:tab w:val="left" w:pos="1174"/>
        </w:tabs>
        <w:spacing w:before="102"/>
      </w:pPr>
      <w:r>
        <w:t>附录</w:t>
      </w:r>
      <w:r>
        <w:rPr>
          <w:rFonts w:ascii="Arial" w:eastAsia="Arial"/>
        </w:rPr>
        <w:t>1</w:t>
      </w:r>
      <w:r>
        <w:rPr>
          <w:rFonts w:ascii="Arial" w:eastAsia="Arial"/>
        </w:rPr>
        <w:tab/>
      </w:r>
      <w:r>
        <w:t>价目表</w:t>
      </w:r>
    </w:p>
    <w:p>
      <w:pPr>
        <w:pStyle w:val="2"/>
        <w:tabs>
          <w:tab w:val="left" w:pos="1174"/>
        </w:tabs>
        <w:spacing w:before="101"/>
      </w:pPr>
      <w:r>
        <w:t>附录</w:t>
      </w:r>
      <w:r>
        <w:rPr>
          <w:rFonts w:ascii="Arial" w:eastAsia="Arial"/>
        </w:rPr>
        <w:t>2</w:t>
      </w:r>
      <w:r>
        <w:rPr>
          <w:rFonts w:ascii="Arial" w:eastAsia="Arial"/>
        </w:rPr>
        <w:tab/>
      </w:r>
      <w:r>
        <w:t>供货范围及详细报价的技术资料</w:t>
      </w:r>
    </w:p>
    <w:p>
      <w:pPr>
        <w:pStyle w:val="2"/>
        <w:tabs>
          <w:tab w:val="left" w:pos="1174"/>
        </w:tabs>
        <w:spacing w:before="103"/>
      </w:pPr>
      <w:r>
        <w:t>附录</w:t>
      </w:r>
      <w:r>
        <w:rPr>
          <w:rFonts w:ascii="Arial" w:eastAsia="Arial"/>
        </w:rPr>
        <w:t>3</w:t>
      </w:r>
      <w:r>
        <w:rPr>
          <w:rFonts w:ascii="Arial" w:eastAsia="Arial"/>
        </w:rPr>
        <w:tab/>
      </w:r>
      <w:r>
        <w:t>技术服务</w:t>
      </w:r>
    </w:p>
    <w:p>
      <w:pPr>
        <w:pStyle w:val="2"/>
        <w:tabs>
          <w:tab w:val="left" w:pos="1174"/>
        </w:tabs>
        <w:spacing w:before="100"/>
      </w:pPr>
      <w:r>
        <w:t>附录</w:t>
      </w:r>
      <w:r>
        <w:rPr>
          <w:rFonts w:ascii="Arial" w:eastAsia="Arial"/>
        </w:rPr>
        <w:t>4</w:t>
      </w:r>
      <w:r>
        <w:rPr>
          <w:rFonts w:ascii="Arial" w:eastAsia="Arial"/>
        </w:rPr>
        <w:tab/>
      </w:r>
      <w:r>
        <w:t>技术参数</w:t>
      </w:r>
    </w:p>
    <w:p>
      <w:pPr>
        <w:pStyle w:val="2"/>
        <w:tabs>
          <w:tab w:val="left" w:pos="1174"/>
        </w:tabs>
        <w:spacing w:before="101"/>
      </w:pPr>
      <w:r>
        <w:t>附录</w:t>
      </w:r>
      <w:r>
        <w:rPr>
          <w:rFonts w:ascii="Arial" w:eastAsia="Arial"/>
        </w:rPr>
        <w:t>5</w:t>
      </w:r>
      <w:r>
        <w:rPr>
          <w:rFonts w:ascii="Arial" w:eastAsia="Arial"/>
        </w:rPr>
        <w:tab/>
      </w:r>
      <w:r>
        <w:t>验收及验收测试</w:t>
      </w:r>
    </w:p>
    <w:p>
      <w:pPr>
        <w:rPr>
          <w:highlight w:val="yellow"/>
        </w:rPr>
        <w:sectPr>
          <w:pgSz w:w="11910" w:h="16850"/>
          <w:pgMar w:top="1440" w:right="800" w:bottom="460" w:left="820" w:header="0" w:footer="191" w:gutter="0"/>
          <w:cols w:space="720" w:num="1"/>
        </w:sectPr>
      </w:pPr>
    </w:p>
    <w:p>
      <w:pPr>
        <w:pStyle w:val="3"/>
        <w:tabs>
          <w:tab w:val="left" w:pos="4974"/>
        </w:tabs>
        <w:ind w:left="3366"/>
      </w:pPr>
      <w:bookmarkStart w:id="10" w:name="_bookmark11"/>
      <w:bookmarkEnd w:id="10"/>
      <w:r>
        <w:t>第五部分</w:t>
      </w:r>
      <w:r>
        <w:tab/>
      </w:r>
      <w:r>
        <w:t>合同特殊条款</w:t>
      </w:r>
    </w:p>
    <w:p>
      <w:pPr>
        <w:pStyle w:val="2"/>
        <w:spacing w:before="8"/>
        <w:ind w:left="0"/>
        <w:rPr>
          <w:b/>
          <w:sz w:val="41"/>
        </w:rPr>
      </w:pPr>
    </w:p>
    <w:p>
      <w:pPr>
        <w:pStyle w:val="2"/>
        <w:ind w:left="620"/>
      </w:pPr>
      <w:r>
        <w:t>合同特殊条款是合同一般条款的补充和修改，如果两者之间有抵触，应以特殊条款为准。</w:t>
      </w:r>
    </w:p>
    <w:p>
      <w:pPr>
        <w:pStyle w:val="5"/>
        <w:numPr>
          <w:ilvl w:val="0"/>
          <w:numId w:val="28"/>
        </w:numPr>
        <w:tabs>
          <w:tab w:val="left" w:pos="621"/>
        </w:tabs>
        <w:ind w:hanging="360"/>
        <w:rPr>
          <w:rFonts w:ascii="Arial" w:eastAsia="Arial"/>
        </w:rPr>
      </w:pPr>
      <w:r>
        <w:t>检验</w:t>
      </w:r>
    </w:p>
    <w:p>
      <w:pPr>
        <w:pStyle w:val="22"/>
        <w:numPr>
          <w:ilvl w:val="1"/>
          <w:numId w:val="28"/>
        </w:numPr>
        <w:tabs>
          <w:tab w:val="left" w:pos="597"/>
        </w:tabs>
        <w:spacing w:line="319" w:lineRule="auto"/>
        <w:ind w:right="422" w:firstLine="0"/>
        <w:jc w:val="both"/>
        <w:rPr>
          <w:sz w:val="24"/>
        </w:rPr>
      </w:pPr>
      <w:r>
        <w:rPr>
          <w:spacing w:val="-1"/>
          <w:sz w:val="24"/>
        </w:rPr>
        <w:t>设备必须是合同生效后，由原厂生产的合同项下的设备，必须是全新的、未使用过的原</w:t>
      </w:r>
      <w:r>
        <w:rPr>
          <w:spacing w:val="-2"/>
          <w:sz w:val="24"/>
        </w:rPr>
        <w:t>装合格正品，所有设备应配套使用。并且货物质量必须符合国家相关标准，必须满足本次采</w:t>
      </w:r>
      <w:r>
        <w:rPr>
          <w:spacing w:val="-1"/>
          <w:sz w:val="24"/>
        </w:rPr>
        <w:t>购的要求，若所供货物经产品质量检测机构检测认定质量不合格，造成的损失和后果由该供</w:t>
      </w:r>
      <w:r>
        <w:rPr>
          <w:sz w:val="24"/>
        </w:rPr>
        <w:t xml:space="preserve">应商负全责； </w:t>
      </w:r>
    </w:p>
    <w:p>
      <w:pPr>
        <w:pStyle w:val="22"/>
        <w:numPr>
          <w:ilvl w:val="1"/>
          <w:numId w:val="28"/>
        </w:numPr>
        <w:tabs>
          <w:tab w:val="left" w:pos="717"/>
        </w:tabs>
        <w:spacing w:before="0"/>
        <w:ind w:left="716" w:hanging="456"/>
        <w:rPr>
          <w:sz w:val="24"/>
        </w:rPr>
      </w:pPr>
      <w:r>
        <w:rPr>
          <w:spacing w:val="-1"/>
          <w:sz w:val="24"/>
        </w:rPr>
        <w:t>设备到达目的地，买方、卖方及买方聘请专家一同开箱验货；</w:t>
      </w:r>
    </w:p>
    <w:p>
      <w:pPr>
        <w:pStyle w:val="22"/>
        <w:numPr>
          <w:ilvl w:val="1"/>
          <w:numId w:val="28"/>
        </w:numPr>
        <w:tabs>
          <w:tab w:val="left" w:pos="722"/>
        </w:tabs>
        <w:spacing w:before="102" w:line="319" w:lineRule="auto"/>
        <w:ind w:left="620" w:right="285" w:hanging="360"/>
        <w:rPr>
          <w:sz w:val="24"/>
        </w:rPr>
      </w:pPr>
      <w:r>
        <w:rPr>
          <w:sz w:val="24"/>
        </w:rPr>
        <w:t>卖方提供的所有货品应符合中国以及国际通行的标准，并应附有相应的测试报告、合格证书；</w:t>
      </w:r>
    </w:p>
    <w:p>
      <w:pPr>
        <w:pStyle w:val="22"/>
        <w:numPr>
          <w:ilvl w:val="1"/>
          <w:numId w:val="28"/>
        </w:numPr>
        <w:tabs>
          <w:tab w:val="left" w:pos="717"/>
        </w:tabs>
        <w:spacing w:before="0"/>
        <w:ind w:left="716" w:hanging="456"/>
        <w:rPr>
          <w:sz w:val="24"/>
        </w:rPr>
      </w:pPr>
      <w:r>
        <w:rPr>
          <w:spacing w:val="-1"/>
          <w:sz w:val="24"/>
        </w:rPr>
        <w:t>具体的标准应在投标文件中明确规定，并在合同中由双方确认；</w:t>
      </w:r>
    </w:p>
    <w:p>
      <w:pPr>
        <w:pStyle w:val="22"/>
        <w:numPr>
          <w:ilvl w:val="1"/>
          <w:numId w:val="28"/>
        </w:numPr>
        <w:tabs>
          <w:tab w:val="left" w:pos="717"/>
        </w:tabs>
        <w:spacing w:before="103"/>
        <w:ind w:left="716" w:hanging="456"/>
        <w:rPr>
          <w:sz w:val="24"/>
        </w:rPr>
      </w:pPr>
      <w:r>
        <w:rPr>
          <w:spacing w:val="-1"/>
          <w:sz w:val="24"/>
        </w:rPr>
        <w:t>提供所有设备的随机资料和技术文档：</w:t>
      </w:r>
    </w:p>
    <w:p>
      <w:pPr>
        <w:pStyle w:val="22"/>
        <w:numPr>
          <w:ilvl w:val="2"/>
          <w:numId w:val="28"/>
        </w:numPr>
        <w:tabs>
          <w:tab w:val="left" w:pos="916"/>
        </w:tabs>
        <w:spacing w:before="100"/>
        <w:ind w:hanging="655"/>
        <w:rPr>
          <w:sz w:val="24"/>
        </w:rPr>
      </w:pPr>
      <w:r>
        <w:rPr>
          <w:spacing w:val="-1"/>
          <w:sz w:val="24"/>
        </w:rPr>
        <w:t>设备配套的维修手册。</w:t>
      </w:r>
    </w:p>
    <w:p>
      <w:pPr>
        <w:pStyle w:val="22"/>
        <w:numPr>
          <w:ilvl w:val="2"/>
          <w:numId w:val="28"/>
        </w:numPr>
        <w:tabs>
          <w:tab w:val="left" w:pos="916"/>
        </w:tabs>
        <w:ind w:hanging="655"/>
        <w:rPr>
          <w:sz w:val="24"/>
        </w:rPr>
      </w:pPr>
      <w:r>
        <w:rPr>
          <w:spacing w:val="-1"/>
          <w:sz w:val="24"/>
        </w:rPr>
        <w:t>设备所包含的所有软件均须提供合法的使用证书。</w:t>
      </w:r>
    </w:p>
    <w:p>
      <w:pPr>
        <w:pStyle w:val="22"/>
        <w:numPr>
          <w:ilvl w:val="2"/>
          <w:numId w:val="28"/>
        </w:numPr>
        <w:tabs>
          <w:tab w:val="left" w:pos="916"/>
        </w:tabs>
        <w:spacing w:before="103"/>
        <w:ind w:hanging="655"/>
        <w:rPr>
          <w:sz w:val="24"/>
        </w:rPr>
      </w:pPr>
      <w:r>
        <w:rPr>
          <w:spacing w:val="-1"/>
          <w:sz w:val="24"/>
        </w:rPr>
        <w:t>设备完善的中文操作手册。</w:t>
      </w:r>
    </w:p>
    <w:p>
      <w:pPr>
        <w:pStyle w:val="22"/>
        <w:numPr>
          <w:ilvl w:val="2"/>
          <w:numId w:val="28"/>
        </w:numPr>
        <w:tabs>
          <w:tab w:val="left" w:pos="916"/>
        </w:tabs>
        <w:spacing w:before="100"/>
        <w:ind w:hanging="655"/>
        <w:rPr>
          <w:sz w:val="24"/>
        </w:rPr>
      </w:pPr>
      <w:r>
        <w:rPr>
          <w:spacing w:val="-1"/>
          <w:sz w:val="24"/>
        </w:rPr>
        <w:t>中、英文的使用和维修技术资料。</w:t>
      </w:r>
    </w:p>
    <w:p>
      <w:pPr>
        <w:pStyle w:val="22"/>
        <w:numPr>
          <w:ilvl w:val="2"/>
          <w:numId w:val="28"/>
        </w:numPr>
        <w:tabs>
          <w:tab w:val="left" w:pos="796"/>
        </w:tabs>
        <w:spacing w:before="103"/>
        <w:ind w:left="795" w:hanging="535"/>
        <w:rPr>
          <w:sz w:val="24"/>
        </w:rPr>
      </w:pPr>
      <w:r>
        <w:rPr>
          <w:spacing w:val="-1"/>
          <w:sz w:val="24"/>
        </w:rPr>
        <w:t xml:space="preserve">设备使用软件的备份。 </w:t>
      </w:r>
    </w:p>
    <w:p>
      <w:pPr>
        <w:pStyle w:val="22"/>
        <w:numPr>
          <w:ilvl w:val="2"/>
          <w:numId w:val="28"/>
        </w:numPr>
        <w:tabs>
          <w:tab w:val="left" w:pos="916"/>
        </w:tabs>
        <w:ind w:hanging="655"/>
        <w:rPr>
          <w:sz w:val="24"/>
        </w:rPr>
      </w:pPr>
      <w:r>
        <w:rPr>
          <w:spacing w:val="-1"/>
          <w:sz w:val="24"/>
        </w:rPr>
        <w:t xml:space="preserve">正规的备品备件价格表。 </w:t>
      </w:r>
    </w:p>
    <w:p>
      <w:pPr>
        <w:pStyle w:val="22"/>
        <w:numPr>
          <w:ilvl w:val="2"/>
          <w:numId w:val="28"/>
        </w:numPr>
        <w:tabs>
          <w:tab w:val="left" w:pos="856"/>
        </w:tabs>
        <w:spacing w:before="103"/>
        <w:ind w:left="855" w:hanging="595"/>
        <w:rPr>
          <w:sz w:val="24"/>
        </w:rPr>
      </w:pPr>
      <w:r>
        <w:rPr>
          <w:spacing w:val="-1"/>
          <w:sz w:val="24"/>
        </w:rPr>
        <w:t xml:space="preserve">供应商提供资料如下： </w:t>
      </w:r>
    </w:p>
    <w:p>
      <w:pPr>
        <w:pStyle w:val="2"/>
        <w:spacing w:before="101"/>
        <w:ind w:left="740"/>
      </w:pPr>
      <w:r>
        <w:t xml:space="preserve">1、所报产品的配置清单； </w:t>
      </w:r>
    </w:p>
    <w:p>
      <w:pPr>
        <w:pStyle w:val="2"/>
        <w:spacing w:before="100"/>
        <w:ind w:left="740"/>
      </w:pPr>
      <w:r>
        <w:t xml:space="preserve">2、所报产品的详细说明书、技术资料、彩图； </w:t>
      </w:r>
    </w:p>
    <w:p>
      <w:pPr>
        <w:pStyle w:val="2"/>
        <w:spacing w:before="103"/>
        <w:ind w:left="740"/>
      </w:pPr>
      <w:r>
        <w:t xml:space="preserve">3、产品的合法代理证明如生产企业授予的“授权委托书”等。 </w:t>
      </w:r>
    </w:p>
    <w:p>
      <w:pPr>
        <w:pStyle w:val="2"/>
        <w:spacing w:before="100"/>
        <w:ind w:left="740"/>
      </w:pPr>
      <w:r>
        <w:t xml:space="preserve">4、售中、售后服务承诺（包括免费质保期承诺等）。 </w:t>
      </w:r>
    </w:p>
    <w:p>
      <w:pPr>
        <w:pStyle w:val="2"/>
        <w:spacing w:before="103"/>
        <w:ind w:left="740"/>
      </w:pPr>
      <w:r>
        <w:t xml:space="preserve">5、注明交付使用日期。 </w:t>
      </w:r>
    </w:p>
    <w:p>
      <w:pPr>
        <w:pStyle w:val="2"/>
        <w:spacing w:before="101"/>
        <w:ind w:left="740"/>
      </w:pPr>
      <w:r>
        <w:t xml:space="preserve">6、国家规定的应提供的其他资质证明资料。 </w:t>
      </w:r>
    </w:p>
    <w:p>
      <w:pPr>
        <w:pStyle w:val="2"/>
        <w:spacing w:before="100" w:line="319" w:lineRule="auto"/>
        <w:ind w:right="303" w:firstLine="480"/>
      </w:pPr>
      <w:r>
        <w:t xml:space="preserve">7、报价表（列报产品的名称、规格、型号、配置、产地、单价、总价、交货时间及优惠条款等）以及报价单位（盖章）、被授权人、联系电话、报价日期。 </w:t>
      </w:r>
    </w:p>
    <w:p>
      <w:pPr>
        <w:pStyle w:val="2"/>
        <w:spacing w:before="1"/>
        <w:ind w:left="740"/>
      </w:pPr>
      <w:r>
        <w:t xml:space="preserve">8、卖方须向买方提供设备的运行、安装、使用环境要求。 </w:t>
      </w:r>
    </w:p>
    <w:p>
      <w:pPr>
        <w:pStyle w:val="5"/>
        <w:numPr>
          <w:ilvl w:val="0"/>
          <w:numId w:val="28"/>
        </w:numPr>
        <w:tabs>
          <w:tab w:val="left" w:pos="621"/>
        </w:tabs>
        <w:ind w:hanging="360"/>
        <w:rPr>
          <w:rFonts w:ascii="Arial" w:eastAsia="Arial"/>
        </w:rPr>
      </w:pPr>
      <w:r>
        <w:t>安装调试</w:t>
      </w:r>
    </w:p>
    <w:p>
      <w:pPr>
        <w:pStyle w:val="22"/>
        <w:numPr>
          <w:ilvl w:val="1"/>
          <w:numId w:val="28"/>
        </w:numPr>
        <w:tabs>
          <w:tab w:val="left" w:pos="717"/>
        </w:tabs>
        <w:spacing w:line="319" w:lineRule="auto"/>
        <w:ind w:right="275" w:firstLine="0"/>
        <w:rPr>
          <w:sz w:val="24"/>
        </w:rPr>
      </w:pPr>
      <w:r>
        <w:rPr>
          <w:spacing w:val="-8"/>
          <w:sz w:val="24"/>
        </w:rPr>
        <w:t>卖方负责免费安装、调试的所有工作，并免费提供设备安装调试的耗品。在不增减临床应</w:t>
      </w:r>
      <w:r>
        <w:rPr>
          <w:sz w:val="24"/>
        </w:rPr>
        <w:t>用功能的前提下，供方免费提供设备相关的软件升级。直至通过验收（同买方共同完成</w:t>
      </w:r>
      <w:r>
        <w:rPr>
          <w:spacing w:val="-120"/>
          <w:sz w:val="24"/>
        </w:rPr>
        <w:t>）</w:t>
      </w:r>
      <w:r>
        <w:rPr>
          <w:sz w:val="24"/>
        </w:rPr>
        <w:t>；</w:t>
      </w:r>
    </w:p>
    <w:p>
      <w:pPr>
        <w:pStyle w:val="22"/>
        <w:numPr>
          <w:ilvl w:val="1"/>
          <w:numId w:val="28"/>
        </w:numPr>
        <w:tabs>
          <w:tab w:val="left" w:pos="681"/>
        </w:tabs>
        <w:spacing w:before="0"/>
        <w:ind w:left="680" w:hanging="420"/>
        <w:rPr>
          <w:sz w:val="24"/>
        </w:rPr>
      </w:pPr>
      <w:r>
        <w:rPr>
          <w:spacing w:val="-7"/>
          <w:sz w:val="24"/>
        </w:rPr>
        <w:t xml:space="preserve">在货物到达使用单位后，卖方应在 </w:t>
      </w:r>
      <w:r>
        <w:rPr>
          <w:rFonts w:ascii="Arial" w:eastAsia="Arial"/>
          <w:sz w:val="24"/>
        </w:rPr>
        <w:t>7</w:t>
      </w:r>
      <w:r>
        <w:rPr>
          <w:spacing w:val="-2"/>
          <w:sz w:val="24"/>
        </w:rPr>
        <w:t>天内派工程技术人员到达现场，在买方技术人员在场</w:t>
      </w:r>
    </w:p>
    <w:p>
      <w:pPr>
        <w:rPr>
          <w:sz w:val="24"/>
        </w:rPr>
        <w:sectPr>
          <w:pgSz w:w="11910" w:h="16850"/>
          <w:pgMar w:top="1600" w:right="800" w:bottom="460" w:left="820" w:header="0" w:footer="191" w:gutter="0"/>
          <w:cols w:space="720" w:num="1"/>
        </w:sectPr>
      </w:pPr>
    </w:p>
    <w:p>
      <w:pPr>
        <w:pStyle w:val="2"/>
        <w:spacing w:before="49"/>
      </w:pPr>
      <w:r>
        <w:t>的情况下开箱清点货物，组织安装、调试，并承担因此发生的一切费用。</w:t>
      </w:r>
    </w:p>
    <w:p>
      <w:pPr>
        <w:pStyle w:val="22"/>
        <w:numPr>
          <w:ilvl w:val="1"/>
          <w:numId w:val="28"/>
        </w:numPr>
        <w:tabs>
          <w:tab w:val="left" w:pos="681"/>
        </w:tabs>
        <w:spacing w:line="319" w:lineRule="auto"/>
        <w:ind w:right="277" w:firstLine="0"/>
        <w:rPr>
          <w:sz w:val="24"/>
        </w:rPr>
      </w:pPr>
      <w:r>
        <w:rPr>
          <w:spacing w:val="-5"/>
          <w:sz w:val="24"/>
        </w:rPr>
        <w:t>设备安装后，医院按国际和国家标准及厂方标准进行质量验收。卖方应向买方提供详细的</w:t>
      </w:r>
      <w:r>
        <w:rPr>
          <w:sz w:val="24"/>
        </w:rPr>
        <w:t>验收标准、验收手册。买方有权委托中国有资格的单位对上述仪器进行精度校核。</w:t>
      </w:r>
    </w:p>
    <w:p>
      <w:pPr>
        <w:pStyle w:val="22"/>
        <w:numPr>
          <w:ilvl w:val="1"/>
          <w:numId w:val="28"/>
        </w:numPr>
        <w:tabs>
          <w:tab w:val="left" w:pos="657"/>
        </w:tabs>
        <w:spacing w:before="1"/>
        <w:ind w:left="656" w:hanging="396"/>
        <w:rPr>
          <w:sz w:val="24"/>
        </w:rPr>
      </w:pPr>
      <w:r>
        <w:rPr>
          <w:spacing w:val="-1"/>
          <w:sz w:val="24"/>
        </w:rPr>
        <w:t>在中国境内有相应的零配件保税库</w:t>
      </w:r>
      <w:r>
        <w:rPr>
          <w:rFonts w:ascii="Arial" w:eastAsia="Arial"/>
          <w:sz w:val="24"/>
        </w:rPr>
        <w:t>,</w:t>
      </w:r>
      <w:r>
        <w:rPr>
          <w:sz w:val="24"/>
        </w:rPr>
        <w:t>并出具证明文件。</w:t>
      </w:r>
    </w:p>
    <w:p>
      <w:pPr>
        <w:pStyle w:val="22"/>
        <w:numPr>
          <w:ilvl w:val="1"/>
          <w:numId w:val="28"/>
        </w:numPr>
        <w:tabs>
          <w:tab w:val="left" w:pos="657"/>
        </w:tabs>
        <w:spacing w:before="103"/>
        <w:ind w:left="656" w:hanging="396"/>
        <w:rPr>
          <w:sz w:val="24"/>
        </w:rPr>
      </w:pPr>
      <w:r>
        <w:rPr>
          <w:spacing w:val="-1"/>
          <w:sz w:val="24"/>
        </w:rPr>
        <w:t>中国境内有相应的维修机构，并出具证明文件。</w:t>
      </w:r>
    </w:p>
    <w:p>
      <w:pPr>
        <w:pStyle w:val="22"/>
        <w:numPr>
          <w:ilvl w:val="1"/>
          <w:numId w:val="28"/>
        </w:numPr>
        <w:tabs>
          <w:tab w:val="left" w:pos="650"/>
        </w:tabs>
        <w:spacing w:before="100" w:line="319" w:lineRule="auto"/>
        <w:ind w:left="740" w:right="277" w:hanging="480"/>
        <w:rPr>
          <w:sz w:val="24"/>
        </w:rPr>
      </w:pPr>
      <w:r>
        <w:rPr>
          <w:spacing w:val="-2"/>
          <w:sz w:val="24"/>
        </w:rPr>
        <w:t>在设备安装和调试结束后，由买卖双方和技术监督局按照国际和国家标准共同验收，检测</w:t>
      </w:r>
      <w:r>
        <w:rPr>
          <w:sz w:val="24"/>
        </w:rPr>
        <w:t>费用由卖方负责。</w:t>
      </w:r>
    </w:p>
    <w:p>
      <w:pPr>
        <w:pStyle w:val="22"/>
        <w:numPr>
          <w:ilvl w:val="1"/>
          <w:numId w:val="28"/>
        </w:numPr>
        <w:tabs>
          <w:tab w:val="left" w:pos="717"/>
        </w:tabs>
        <w:spacing w:before="0"/>
        <w:ind w:left="716" w:hanging="456"/>
        <w:rPr>
          <w:sz w:val="24"/>
        </w:rPr>
      </w:pPr>
      <w:r>
        <w:rPr>
          <w:spacing w:val="-1"/>
          <w:sz w:val="24"/>
        </w:rPr>
        <w:t>因卖方原因造成不能按时完成安装调试工作，卖方应根据合同规定向买方做出赔偿。</w:t>
      </w:r>
    </w:p>
    <w:p>
      <w:pPr>
        <w:pStyle w:val="22"/>
        <w:numPr>
          <w:ilvl w:val="1"/>
          <w:numId w:val="28"/>
        </w:numPr>
        <w:tabs>
          <w:tab w:val="left" w:pos="717"/>
        </w:tabs>
        <w:ind w:left="716" w:hanging="456"/>
        <w:rPr>
          <w:sz w:val="24"/>
        </w:rPr>
      </w:pPr>
      <w:r>
        <w:rPr>
          <w:spacing w:val="-1"/>
          <w:sz w:val="24"/>
        </w:rPr>
        <w:t>如调试后达不到合同规定的质量或技术指标要求用户有权提出退货，并予以退回货款。</w:t>
      </w:r>
    </w:p>
    <w:p>
      <w:pPr>
        <w:pStyle w:val="5"/>
        <w:numPr>
          <w:ilvl w:val="0"/>
          <w:numId w:val="28"/>
        </w:numPr>
        <w:tabs>
          <w:tab w:val="left" w:pos="621"/>
        </w:tabs>
        <w:ind w:hanging="360"/>
        <w:rPr>
          <w:rFonts w:ascii="Arial" w:eastAsia="Arial"/>
        </w:rPr>
      </w:pPr>
      <w:r>
        <w:t>培训</w:t>
      </w:r>
    </w:p>
    <w:p>
      <w:pPr>
        <w:pStyle w:val="22"/>
        <w:numPr>
          <w:ilvl w:val="1"/>
          <w:numId w:val="28"/>
        </w:numPr>
        <w:tabs>
          <w:tab w:val="left" w:pos="717"/>
        </w:tabs>
        <w:ind w:left="716" w:hanging="456"/>
        <w:rPr>
          <w:sz w:val="24"/>
        </w:rPr>
      </w:pPr>
      <w:r>
        <w:rPr>
          <w:spacing w:val="-1"/>
          <w:sz w:val="24"/>
        </w:rPr>
        <w:t>现场培训：卖方应提供现场技术培训，保证使用人员正常操作设备各种功能。</w:t>
      </w:r>
    </w:p>
    <w:p>
      <w:pPr>
        <w:pStyle w:val="22"/>
        <w:numPr>
          <w:ilvl w:val="1"/>
          <w:numId w:val="28"/>
        </w:numPr>
        <w:tabs>
          <w:tab w:val="left" w:pos="741"/>
        </w:tabs>
        <w:spacing w:before="103"/>
        <w:ind w:left="740" w:hanging="480"/>
        <w:rPr>
          <w:sz w:val="24"/>
        </w:rPr>
      </w:pPr>
      <w:r>
        <w:rPr>
          <w:sz w:val="24"/>
        </w:rPr>
        <w:t>集中培训：根据设备技术要求，可向买方提供使用和维修技术人员培训。</w:t>
      </w:r>
    </w:p>
    <w:p>
      <w:pPr>
        <w:pStyle w:val="5"/>
        <w:numPr>
          <w:ilvl w:val="0"/>
          <w:numId w:val="28"/>
        </w:numPr>
        <w:tabs>
          <w:tab w:val="left" w:pos="621"/>
        </w:tabs>
        <w:spacing w:before="100"/>
        <w:ind w:hanging="360"/>
        <w:rPr>
          <w:rFonts w:ascii="Arial" w:eastAsia="Arial"/>
        </w:rPr>
      </w:pPr>
      <w:r>
        <w:t>售后服务</w:t>
      </w:r>
    </w:p>
    <w:p>
      <w:pPr>
        <w:ind w:left="1" w:firstLine="482" w:firstLineChars="200"/>
        <w:rPr>
          <w:b/>
          <w:bCs/>
          <w:sz w:val="24"/>
        </w:rPr>
      </w:pPr>
      <w:r>
        <w:rPr>
          <w:rFonts w:hint="eastAsia"/>
          <w:b/>
          <w:bCs/>
          <w:sz w:val="24"/>
          <w:lang w:val="en-US" w:eastAsia="zh-CN"/>
        </w:rPr>
        <w:t>4.</w:t>
      </w:r>
      <w:r>
        <w:rPr>
          <w:rFonts w:hint="eastAsia"/>
          <w:b/>
          <w:bCs/>
          <w:sz w:val="24"/>
        </w:rPr>
        <w:t>1.质量保证期</w:t>
      </w:r>
    </w:p>
    <w:p>
      <w:pPr>
        <w:keepNext w:val="0"/>
        <w:keepLines w:val="0"/>
        <w:pageBreakBefore w:val="0"/>
        <w:widowControl w:val="0"/>
        <w:kinsoku/>
        <w:wordWrap/>
        <w:overflowPunct/>
        <w:topLinePunct w:val="0"/>
        <w:autoSpaceDE w:val="0"/>
        <w:autoSpaceDN w:val="0"/>
        <w:bidi w:val="0"/>
        <w:adjustRightInd/>
        <w:snapToGrid/>
        <w:spacing w:line="400" w:lineRule="exact"/>
        <w:ind w:left="1" w:firstLine="472" w:firstLineChars="200"/>
        <w:textAlignment w:val="auto"/>
        <w:outlineLvl w:val="9"/>
        <w:rPr>
          <w:rFonts w:hint="eastAsia" w:ascii="宋体" w:hAnsi="宋体" w:eastAsia="宋体" w:cs="宋体"/>
          <w:spacing w:val="-2"/>
          <w:sz w:val="24"/>
          <w:szCs w:val="22"/>
          <w:lang w:val="zh-CN" w:eastAsia="zh-CN" w:bidi="zh-CN"/>
        </w:rPr>
      </w:pPr>
      <w:r>
        <w:rPr>
          <w:rFonts w:hint="eastAsia" w:ascii="宋体" w:hAnsi="宋体" w:eastAsia="宋体" w:cs="宋体"/>
          <w:spacing w:val="-2"/>
          <w:sz w:val="24"/>
          <w:szCs w:val="22"/>
          <w:lang w:val="en-US" w:eastAsia="zh-CN" w:bidi="zh-CN"/>
        </w:rPr>
        <w:t>4.</w:t>
      </w:r>
      <w:r>
        <w:rPr>
          <w:rFonts w:hint="eastAsia" w:ascii="宋体" w:hAnsi="宋体" w:eastAsia="宋体" w:cs="宋体"/>
          <w:spacing w:val="-2"/>
          <w:sz w:val="24"/>
          <w:szCs w:val="22"/>
          <w:lang w:val="zh-CN" w:eastAsia="zh-CN" w:bidi="zh-CN"/>
        </w:rPr>
        <w:t>1.1质保期：设备类自验收合格之日起两年，软件类自验收合格之日起三年，国家主管部门或者行业标准对货物本身有更高要求的，从其规定并在合同中约定，供应商亦可提报更长的质保期。</w:t>
      </w:r>
    </w:p>
    <w:p>
      <w:pPr>
        <w:keepNext w:val="0"/>
        <w:keepLines w:val="0"/>
        <w:pageBreakBefore w:val="0"/>
        <w:widowControl w:val="0"/>
        <w:kinsoku/>
        <w:wordWrap/>
        <w:overflowPunct/>
        <w:topLinePunct w:val="0"/>
        <w:autoSpaceDE w:val="0"/>
        <w:autoSpaceDN w:val="0"/>
        <w:bidi w:val="0"/>
        <w:adjustRightInd/>
        <w:snapToGrid/>
        <w:spacing w:line="400" w:lineRule="exact"/>
        <w:ind w:left="1" w:firstLine="472" w:firstLineChars="200"/>
        <w:textAlignment w:val="auto"/>
        <w:outlineLvl w:val="9"/>
        <w:rPr>
          <w:rFonts w:hint="eastAsia" w:ascii="宋体" w:hAnsi="宋体" w:eastAsia="宋体" w:cs="宋体"/>
          <w:spacing w:val="-2"/>
          <w:sz w:val="24"/>
          <w:szCs w:val="22"/>
          <w:lang w:val="zh-CN" w:eastAsia="zh-CN" w:bidi="zh-CN"/>
        </w:rPr>
      </w:pPr>
      <w:r>
        <w:rPr>
          <w:rFonts w:hint="eastAsia" w:ascii="宋体" w:hAnsi="宋体" w:eastAsia="宋体" w:cs="宋体"/>
          <w:spacing w:val="-2"/>
          <w:sz w:val="24"/>
          <w:szCs w:val="22"/>
          <w:lang w:val="en-US" w:eastAsia="zh-CN" w:bidi="zh-CN"/>
        </w:rPr>
        <w:t>4.</w:t>
      </w:r>
      <w:r>
        <w:rPr>
          <w:rFonts w:hint="eastAsia" w:ascii="宋体" w:hAnsi="宋体" w:eastAsia="宋体" w:cs="宋体"/>
          <w:spacing w:val="-2"/>
          <w:sz w:val="24"/>
          <w:szCs w:val="22"/>
          <w:lang w:val="zh-CN" w:eastAsia="zh-CN" w:bidi="zh-CN"/>
        </w:rPr>
        <w:t>1.2质量保证期内，如果证实货物是有缺陷的，包括潜在的缺陷或者使用不符合要求的材料等，中标供应商应立即免费维修或者更换有缺陷的货物或者部件，保证达到合同规定的技术以及性能要求。如果中标供应商在收到通知后5天内没有弥补缺陷，采购人可自行采取必要的补救措施，但风险和费用由中标供应商承担，采购人同时保留通过法律途径进行索赔的权利。</w:t>
      </w:r>
    </w:p>
    <w:p>
      <w:pPr>
        <w:keepNext w:val="0"/>
        <w:keepLines w:val="0"/>
        <w:pageBreakBefore w:val="0"/>
        <w:widowControl w:val="0"/>
        <w:kinsoku/>
        <w:wordWrap/>
        <w:overflowPunct/>
        <w:topLinePunct w:val="0"/>
        <w:autoSpaceDE w:val="0"/>
        <w:autoSpaceDN w:val="0"/>
        <w:bidi w:val="0"/>
        <w:adjustRightInd/>
        <w:snapToGrid/>
        <w:spacing w:line="400" w:lineRule="exact"/>
        <w:ind w:left="1" w:firstLine="472" w:firstLineChars="200"/>
        <w:textAlignment w:val="auto"/>
        <w:outlineLvl w:val="9"/>
        <w:rPr>
          <w:rFonts w:hint="eastAsia" w:ascii="宋体" w:hAnsi="宋体" w:eastAsia="宋体" w:cs="宋体"/>
          <w:spacing w:val="-2"/>
          <w:sz w:val="24"/>
          <w:szCs w:val="22"/>
          <w:lang w:val="zh-CN" w:eastAsia="zh-CN" w:bidi="zh-CN"/>
        </w:rPr>
      </w:pPr>
      <w:r>
        <w:rPr>
          <w:rFonts w:hint="eastAsia" w:ascii="宋体" w:hAnsi="宋体" w:eastAsia="宋体" w:cs="宋体"/>
          <w:spacing w:val="-2"/>
          <w:sz w:val="24"/>
          <w:szCs w:val="22"/>
          <w:lang w:val="en-US" w:eastAsia="zh-CN" w:bidi="zh-CN"/>
        </w:rPr>
        <w:t>4.</w:t>
      </w:r>
      <w:r>
        <w:rPr>
          <w:rFonts w:hint="eastAsia" w:ascii="宋体" w:hAnsi="宋体" w:eastAsia="宋体" w:cs="宋体"/>
          <w:spacing w:val="-2"/>
          <w:sz w:val="24"/>
          <w:szCs w:val="22"/>
          <w:lang w:val="zh-CN" w:eastAsia="zh-CN" w:bidi="zh-CN"/>
        </w:rPr>
        <w:t>1.3产品验收合格，在质量保证（修）期前三个月内，凡属产品本身引起的故障，供应商需更换新的且与原产品型号规格都一样的产品；在质量保证（修）期的第四个月至质量保证（修）期结束期间，凡属产品本身引起的故障，供应商负责免费维修，所有费用由供应商承担；产品质量保证（修）期按生产厂家标准执行，产品质量保证（修）期按照全面验收合格之日起计算。</w:t>
      </w:r>
    </w:p>
    <w:p>
      <w:pPr>
        <w:keepNext w:val="0"/>
        <w:keepLines w:val="0"/>
        <w:pageBreakBefore w:val="0"/>
        <w:widowControl w:val="0"/>
        <w:kinsoku/>
        <w:wordWrap/>
        <w:overflowPunct/>
        <w:topLinePunct w:val="0"/>
        <w:autoSpaceDE w:val="0"/>
        <w:autoSpaceDN w:val="0"/>
        <w:bidi w:val="0"/>
        <w:adjustRightInd/>
        <w:snapToGrid/>
        <w:spacing w:line="400" w:lineRule="exact"/>
        <w:ind w:left="1" w:firstLine="482" w:firstLineChars="200"/>
        <w:textAlignment w:val="auto"/>
        <w:outlineLvl w:val="9"/>
        <w:rPr>
          <w:rFonts w:ascii="仿宋_GB2312" w:hAnsi="Arial" w:eastAsia="仿宋"/>
          <w:b/>
          <w:sz w:val="24"/>
          <w:highlight w:val="none"/>
        </w:rPr>
      </w:pPr>
      <w:r>
        <w:rPr>
          <w:rFonts w:hint="eastAsia"/>
          <w:b/>
          <w:bCs/>
          <w:sz w:val="24"/>
          <w:highlight w:val="none"/>
          <w:lang w:val="en-US" w:eastAsia="zh-CN"/>
        </w:rPr>
        <w:t>4.</w:t>
      </w:r>
      <w:r>
        <w:rPr>
          <w:rFonts w:hint="eastAsia"/>
          <w:b/>
          <w:bCs/>
          <w:sz w:val="24"/>
          <w:highlight w:val="none"/>
        </w:rPr>
        <w:t>2、售后服务要求</w:t>
      </w:r>
    </w:p>
    <w:p>
      <w:pPr>
        <w:keepNext w:val="0"/>
        <w:keepLines w:val="0"/>
        <w:pageBreakBefore w:val="0"/>
        <w:widowControl w:val="0"/>
        <w:kinsoku/>
        <w:wordWrap/>
        <w:overflowPunct/>
        <w:topLinePunct w:val="0"/>
        <w:autoSpaceDE w:val="0"/>
        <w:autoSpaceDN w:val="0"/>
        <w:bidi w:val="0"/>
        <w:adjustRightInd/>
        <w:snapToGrid/>
        <w:spacing w:line="400" w:lineRule="exact"/>
        <w:ind w:left="1" w:firstLine="476" w:firstLineChars="200"/>
        <w:textAlignment w:val="auto"/>
        <w:outlineLvl w:val="9"/>
        <w:rPr>
          <w:rFonts w:ascii="宋体" w:hAnsi="宋体" w:eastAsia="宋体" w:cs="宋体"/>
          <w:spacing w:val="-1"/>
          <w:sz w:val="24"/>
          <w:szCs w:val="22"/>
          <w:lang w:val="zh-CN" w:eastAsia="zh-CN" w:bidi="zh-CN"/>
        </w:rPr>
      </w:pPr>
      <w:r>
        <w:rPr>
          <w:rFonts w:hint="eastAsia" w:cs="宋体"/>
          <w:spacing w:val="-1"/>
          <w:sz w:val="24"/>
          <w:szCs w:val="22"/>
          <w:lang w:val="en-US" w:eastAsia="zh-CN" w:bidi="zh-CN"/>
        </w:rPr>
        <w:t>4.</w:t>
      </w:r>
      <w:r>
        <w:rPr>
          <w:rFonts w:hint="eastAsia" w:ascii="宋体" w:hAnsi="宋体" w:eastAsia="宋体" w:cs="宋体"/>
          <w:spacing w:val="-1"/>
          <w:sz w:val="24"/>
          <w:szCs w:val="22"/>
          <w:lang w:val="zh-CN" w:eastAsia="zh-CN" w:bidi="zh-CN"/>
        </w:rPr>
        <w:t>2.1 在交付使用后，卖方应对保修期及其以后的服务做出承诺，并具有切实可行的服务措施；</w:t>
      </w:r>
    </w:p>
    <w:p>
      <w:pPr>
        <w:keepNext w:val="0"/>
        <w:keepLines w:val="0"/>
        <w:pageBreakBefore w:val="0"/>
        <w:widowControl w:val="0"/>
        <w:kinsoku/>
        <w:wordWrap/>
        <w:overflowPunct/>
        <w:topLinePunct w:val="0"/>
        <w:autoSpaceDE w:val="0"/>
        <w:autoSpaceDN w:val="0"/>
        <w:bidi w:val="0"/>
        <w:adjustRightInd/>
        <w:snapToGrid/>
        <w:spacing w:line="400" w:lineRule="exact"/>
        <w:ind w:firstLine="476" w:firstLineChars="200"/>
        <w:textAlignment w:val="auto"/>
        <w:outlineLvl w:val="9"/>
        <w:rPr>
          <w:rFonts w:ascii="宋体" w:hAnsi="宋体" w:eastAsia="宋体" w:cs="宋体"/>
          <w:spacing w:val="-1"/>
          <w:sz w:val="24"/>
          <w:szCs w:val="22"/>
          <w:lang w:val="zh-CN" w:eastAsia="zh-CN" w:bidi="zh-CN"/>
        </w:rPr>
      </w:pPr>
      <w:r>
        <w:rPr>
          <w:rFonts w:hint="eastAsia" w:cs="宋体"/>
          <w:spacing w:val="-1"/>
          <w:sz w:val="24"/>
          <w:szCs w:val="22"/>
          <w:lang w:val="en-US" w:eastAsia="zh-CN" w:bidi="zh-CN"/>
        </w:rPr>
        <w:t>4.</w:t>
      </w:r>
      <w:r>
        <w:rPr>
          <w:rFonts w:hint="eastAsia" w:ascii="宋体" w:hAnsi="宋体" w:eastAsia="宋体" w:cs="宋体"/>
          <w:spacing w:val="-1"/>
          <w:sz w:val="24"/>
          <w:szCs w:val="22"/>
          <w:lang w:val="zh-CN" w:eastAsia="zh-CN" w:bidi="zh-CN"/>
        </w:rPr>
        <w:t>2.2不能及时兑现服务承诺内容而影响买方使用时，卖方应给予补偿的承诺，在投标文件中均应明确说明。</w:t>
      </w:r>
    </w:p>
    <w:p>
      <w:pPr>
        <w:keepNext w:val="0"/>
        <w:keepLines w:val="0"/>
        <w:pageBreakBefore w:val="0"/>
        <w:widowControl w:val="0"/>
        <w:kinsoku/>
        <w:wordWrap/>
        <w:overflowPunct/>
        <w:topLinePunct w:val="0"/>
        <w:autoSpaceDE w:val="0"/>
        <w:autoSpaceDN w:val="0"/>
        <w:bidi w:val="0"/>
        <w:adjustRightInd/>
        <w:snapToGrid/>
        <w:spacing w:line="400" w:lineRule="exact"/>
        <w:ind w:firstLine="476" w:firstLineChars="200"/>
        <w:textAlignment w:val="auto"/>
        <w:outlineLvl w:val="9"/>
        <w:rPr>
          <w:rFonts w:ascii="宋体" w:hAnsi="宋体" w:eastAsia="宋体" w:cs="宋体"/>
          <w:spacing w:val="-1"/>
          <w:sz w:val="24"/>
          <w:szCs w:val="22"/>
          <w:lang w:val="zh-CN" w:eastAsia="zh-CN" w:bidi="zh-CN"/>
        </w:rPr>
      </w:pPr>
      <w:r>
        <w:rPr>
          <w:rFonts w:hint="eastAsia" w:cs="宋体"/>
          <w:spacing w:val="-1"/>
          <w:sz w:val="24"/>
          <w:szCs w:val="22"/>
          <w:lang w:val="en-US" w:eastAsia="zh-CN" w:bidi="zh-CN"/>
        </w:rPr>
        <w:t>4.</w:t>
      </w:r>
      <w:r>
        <w:rPr>
          <w:rFonts w:hint="eastAsia" w:ascii="宋体" w:hAnsi="宋体" w:eastAsia="宋体" w:cs="宋体"/>
          <w:spacing w:val="-1"/>
          <w:sz w:val="24"/>
          <w:szCs w:val="22"/>
          <w:lang w:val="zh-CN" w:eastAsia="zh-CN" w:bidi="zh-CN"/>
        </w:rPr>
        <w:t>2.3</w:t>
      </w:r>
      <w:r>
        <w:rPr>
          <w:rFonts w:hint="eastAsia" w:cs="宋体"/>
          <w:spacing w:val="-1"/>
          <w:sz w:val="24"/>
          <w:szCs w:val="22"/>
          <w:lang w:val="zh-CN" w:eastAsia="zh-CN" w:bidi="zh-CN"/>
        </w:rPr>
        <w:t>供应商</w:t>
      </w:r>
      <w:r>
        <w:rPr>
          <w:rFonts w:hint="eastAsia" w:ascii="宋体" w:hAnsi="宋体" w:eastAsia="宋体" w:cs="宋体"/>
          <w:spacing w:val="-1"/>
          <w:sz w:val="24"/>
          <w:szCs w:val="22"/>
          <w:lang w:val="zh-CN" w:eastAsia="zh-CN" w:bidi="zh-CN"/>
        </w:rPr>
        <w:t>在本地（伊犁州）范围内应有常设或指派的法定售后服务机构，售后服务人员应是卖方派出的具有一定专业技术和服务水平的人员，并具有卖方的法人授权委托和有关主管部门的资质证书，本地售后服务机构要常备本次项目采购的设备备品备件，设备出现故障要在1小时内响应，2小时内到达现场，故障排除时间不超过6小时。</w:t>
      </w:r>
    </w:p>
    <w:p>
      <w:pPr>
        <w:keepNext w:val="0"/>
        <w:keepLines w:val="0"/>
        <w:pageBreakBefore w:val="0"/>
        <w:widowControl w:val="0"/>
        <w:kinsoku/>
        <w:wordWrap/>
        <w:overflowPunct/>
        <w:topLinePunct w:val="0"/>
        <w:autoSpaceDE w:val="0"/>
        <w:autoSpaceDN w:val="0"/>
        <w:bidi w:val="0"/>
        <w:adjustRightInd/>
        <w:snapToGrid/>
        <w:spacing w:line="400" w:lineRule="exact"/>
        <w:ind w:firstLine="476" w:firstLineChars="200"/>
        <w:textAlignment w:val="auto"/>
        <w:outlineLvl w:val="9"/>
        <w:rPr>
          <w:rFonts w:ascii="宋体" w:hAnsi="宋体" w:eastAsia="宋体" w:cs="宋体"/>
          <w:spacing w:val="-1"/>
          <w:sz w:val="24"/>
          <w:szCs w:val="22"/>
          <w:lang w:val="zh-CN" w:eastAsia="zh-CN" w:bidi="zh-CN"/>
        </w:rPr>
      </w:pPr>
      <w:r>
        <w:rPr>
          <w:rFonts w:hint="eastAsia" w:cs="宋体"/>
          <w:spacing w:val="-1"/>
          <w:sz w:val="24"/>
          <w:szCs w:val="22"/>
          <w:lang w:val="en-US" w:eastAsia="zh-CN" w:bidi="zh-CN"/>
        </w:rPr>
        <w:t>4.</w:t>
      </w:r>
      <w:r>
        <w:rPr>
          <w:rFonts w:hint="eastAsia" w:ascii="宋体" w:hAnsi="宋体" w:eastAsia="宋体" w:cs="宋体"/>
          <w:spacing w:val="-1"/>
          <w:sz w:val="24"/>
          <w:szCs w:val="22"/>
          <w:lang w:val="zh-CN" w:eastAsia="zh-CN" w:bidi="zh-CN"/>
        </w:rPr>
        <w:t>2.4卖方负责系统安装和调试以及操作人员培训，并制定详细的培训计划，使操作人员能独立进行管理、操作、维护和故障处理等工作，做好相关记录及技术文档收集整理，待验收合格后移交给采购方。</w:t>
      </w:r>
    </w:p>
    <w:p>
      <w:pPr>
        <w:pStyle w:val="5"/>
        <w:numPr>
          <w:ilvl w:val="0"/>
          <w:numId w:val="28"/>
        </w:numPr>
        <w:tabs>
          <w:tab w:val="left" w:pos="621"/>
        </w:tabs>
        <w:ind w:hanging="360"/>
        <w:rPr>
          <w:rFonts w:ascii="Arial" w:eastAsia="Arial"/>
        </w:rPr>
      </w:pPr>
      <w:r>
        <w:t>报价要求</w:t>
      </w:r>
    </w:p>
    <w:p>
      <w:pPr>
        <w:pStyle w:val="22"/>
        <w:numPr>
          <w:ilvl w:val="1"/>
          <w:numId w:val="28"/>
        </w:numPr>
        <w:tabs>
          <w:tab w:val="left" w:pos="657"/>
        </w:tabs>
        <w:ind w:left="656" w:hanging="396"/>
        <w:rPr>
          <w:sz w:val="24"/>
        </w:rPr>
      </w:pPr>
      <w:r>
        <w:rPr>
          <w:spacing w:val="-1"/>
          <w:sz w:val="24"/>
        </w:rPr>
        <w:t>人民币报价，货物需求及技术要求部分列明其他报价币种单位的除外；</w:t>
      </w:r>
    </w:p>
    <w:p>
      <w:pPr>
        <w:pStyle w:val="22"/>
        <w:numPr>
          <w:ilvl w:val="1"/>
          <w:numId w:val="28"/>
        </w:numPr>
        <w:tabs>
          <w:tab w:val="left" w:pos="717"/>
        </w:tabs>
        <w:spacing w:before="100"/>
        <w:ind w:left="716" w:hanging="456"/>
        <w:rPr>
          <w:sz w:val="24"/>
        </w:rPr>
      </w:pPr>
      <w:r>
        <w:rPr>
          <w:sz w:val="24"/>
        </w:rPr>
        <w:t>买方指定交货地</w:t>
      </w:r>
      <w:r>
        <w:rPr>
          <w:spacing w:val="-3"/>
          <w:sz w:val="24"/>
        </w:rPr>
        <w:t>（</w:t>
      </w:r>
      <w:r>
        <w:rPr>
          <w:sz w:val="24"/>
        </w:rPr>
        <w:t>设备使用地）交货价；</w:t>
      </w:r>
    </w:p>
    <w:p>
      <w:pPr>
        <w:pStyle w:val="22"/>
        <w:numPr>
          <w:ilvl w:val="1"/>
          <w:numId w:val="28"/>
        </w:numPr>
        <w:tabs>
          <w:tab w:val="left" w:pos="717"/>
        </w:tabs>
        <w:spacing w:before="103" w:line="319" w:lineRule="auto"/>
        <w:ind w:right="274" w:firstLine="0"/>
        <w:rPr>
          <w:sz w:val="24"/>
        </w:rPr>
      </w:pPr>
      <w:r>
        <w:rPr>
          <w:spacing w:val="-5"/>
          <w:sz w:val="24"/>
        </w:rPr>
        <w:t>提供主要零配件、易损件供应的清单以及所需提供的相关服务的费用，并分项报价</w:t>
      </w:r>
      <w:r>
        <w:rPr>
          <w:sz w:val="24"/>
        </w:rPr>
        <w:t>（</w:t>
      </w:r>
      <w:r>
        <w:rPr>
          <w:spacing w:val="-8"/>
          <w:sz w:val="24"/>
        </w:rPr>
        <w:t>应包</w:t>
      </w:r>
      <w:r>
        <w:rPr>
          <w:sz w:val="24"/>
        </w:rPr>
        <w:t>括在总价内</w:t>
      </w:r>
      <w:r>
        <w:rPr>
          <w:spacing w:val="-120"/>
          <w:sz w:val="24"/>
        </w:rPr>
        <w:t>）</w:t>
      </w:r>
      <w:r>
        <w:rPr>
          <w:sz w:val="24"/>
        </w:rPr>
        <w:t>。清单内容应包括：名称、数量、型号、产地、制造商、单价、总价。</w:t>
      </w:r>
    </w:p>
    <w:p>
      <w:pPr>
        <w:pStyle w:val="22"/>
        <w:keepNext w:val="0"/>
        <w:keepLines w:val="0"/>
        <w:pageBreakBefore w:val="0"/>
        <w:widowControl w:val="0"/>
        <w:numPr>
          <w:ilvl w:val="1"/>
          <w:numId w:val="28"/>
        </w:numPr>
        <w:tabs>
          <w:tab w:val="left" w:pos="657"/>
        </w:tabs>
        <w:kinsoku/>
        <w:wordWrap/>
        <w:overflowPunct/>
        <w:topLinePunct w:val="0"/>
        <w:autoSpaceDE w:val="0"/>
        <w:autoSpaceDN w:val="0"/>
        <w:bidi w:val="0"/>
        <w:adjustRightInd/>
        <w:snapToGrid/>
        <w:spacing w:before="1" w:line="400" w:lineRule="exact"/>
        <w:ind w:right="510" w:firstLine="0"/>
        <w:textAlignment w:val="auto"/>
        <w:rPr>
          <w:sz w:val="24"/>
        </w:rPr>
      </w:pPr>
      <w:r>
        <w:rPr>
          <w:spacing w:val="-2"/>
          <w:sz w:val="24"/>
        </w:rPr>
        <w:t>所有货物均应以人民币报价，报价人所报价格应包括运输、安装、调试、验收等所有费</w:t>
      </w:r>
      <w:r>
        <w:rPr>
          <w:sz w:val="24"/>
        </w:rPr>
        <w:t>用。且只能有一个报价，不接受有选择的报价。</w:t>
      </w:r>
    </w:p>
    <w:p>
      <w:pPr>
        <w:keepNext w:val="0"/>
        <w:keepLines w:val="0"/>
        <w:pageBreakBefore w:val="0"/>
        <w:widowControl w:val="0"/>
        <w:kinsoku/>
        <w:wordWrap/>
        <w:overflowPunct/>
        <w:topLinePunct w:val="0"/>
        <w:autoSpaceDE w:val="0"/>
        <w:autoSpaceDN w:val="0"/>
        <w:bidi w:val="0"/>
        <w:adjustRightInd/>
        <w:snapToGrid/>
        <w:spacing w:line="400" w:lineRule="exact"/>
        <w:ind w:left="240" w:leftChars="109" w:firstLine="0" w:firstLineChars="0"/>
        <w:textAlignment w:val="auto"/>
        <w:rPr>
          <w:rFonts w:hint="eastAsia" w:ascii="宋体" w:hAnsi="宋体" w:eastAsia="宋体" w:cs="宋体"/>
          <w:spacing w:val="-5"/>
          <w:sz w:val="24"/>
          <w:szCs w:val="22"/>
          <w:lang w:val="zh-CN" w:eastAsia="zh-CN" w:bidi="zh-CN"/>
        </w:rPr>
      </w:pPr>
      <w:r>
        <w:rPr>
          <w:rFonts w:hint="eastAsia" w:ascii="宋体" w:hAnsi="宋体" w:eastAsia="宋体" w:cs="宋体"/>
          <w:spacing w:val="-5"/>
          <w:sz w:val="24"/>
          <w:szCs w:val="22"/>
          <w:lang w:val="en-US" w:eastAsia="zh-CN" w:bidi="zh-CN"/>
        </w:rPr>
        <w:t>5.5</w:t>
      </w:r>
      <w:r>
        <w:rPr>
          <w:rFonts w:hint="eastAsia" w:cs="宋体"/>
          <w:spacing w:val="-5"/>
          <w:sz w:val="24"/>
          <w:szCs w:val="22"/>
          <w:lang w:val="en-US" w:eastAsia="zh-CN" w:bidi="zh-CN"/>
        </w:rPr>
        <w:t xml:space="preserve"> </w:t>
      </w:r>
      <w:r>
        <w:rPr>
          <w:rFonts w:ascii="宋体" w:hAnsi="宋体" w:eastAsia="宋体" w:cs="宋体"/>
          <w:spacing w:val="-5"/>
          <w:sz w:val="24"/>
          <w:szCs w:val="22"/>
          <w:lang w:val="zh-CN" w:eastAsia="zh-CN" w:bidi="zh-CN"/>
        </w:rPr>
        <w:t>采购人付款方式：</w:t>
      </w:r>
    </w:p>
    <w:p>
      <w:pPr>
        <w:keepNext w:val="0"/>
        <w:keepLines w:val="0"/>
        <w:pageBreakBefore w:val="0"/>
        <w:widowControl w:val="0"/>
        <w:kinsoku/>
        <w:wordWrap/>
        <w:overflowPunct/>
        <w:topLinePunct w:val="0"/>
        <w:autoSpaceDE w:val="0"/>
        <w:autoSpaceDN w:val="0"/>
        <w:bidi w:val="0"/>
        <w:adjustRightInd/>
        <w:snapToGrid/>
        <w:spacing w:line="400" w:lineRule="exact"/>
        <w:ind w:left="240" w:leftChars="109" w:firstLine="0" w:firstLineChars="0"/>
        <w:textAlignment w:val="auto"/>
        <w:rPr>
          <w:rFonts w:hint="eastAsia" w:ascii="宋体" w:hAnsi="宋体" w:eastAsia="宋体" w:cs="宋体"/>
          <w:spacing w:val="-5"/>
          <w:sz w:val="24"/>
          <w:szCs w:val="22"/>
          <w:lang w:val="zh-CN" w:eastAsia="zh-CN" w:bidi="zh-CN"/>
        </w:rPr>
      </w:pPr>
      <w:r>
        <w:rPr>
          <w:rFonts w:hint="eastAsia" w:ascii="宋体" w:hAnsi="宋体" w:eastAsia="宋体" w:cs="宋体"/>
          <w:spacing w:val="-5"/>
          <w:sz w:val="24"/>
          <w:szCs w:val="22"/>
          <w:lang w:val="zh-CN" w:eastAsia="zh-CN" w:bidi="zh-CN"/>
        </w:rPr>
        <w:t>1、付款币种</w:t>
      </w:r>
    </w:p>
    <w:p>
      <w:pPr>
        <w:keepNext w:val="0"/>
        <w:keepLines w:val="0"/>
        <w:pageBreakBefore w:val="0"/>
        <w:widowControl w:val="0"/>
        <w:kinsoku/>
        <w:wordWrap/>
        <w:overflowPunct/>
        <w:topLinePunct w:val="0"/>
        <w:autoSpaceDE w:val="0"/>
        <w:autoSpaceDN w:val="0"/>
        <w:bidi w:val="0"/>
        <w:adjustRightInd/>
        <w:snapToGrid/>
        <w:spacing w:line="400" w:lineRule="exact"/>
        <w:ind w:left="240" w:leftChars="109" w:firstLine="0" w:firstLineChars="0"/>
        <w:textAlignment w:val="auto"/>
        <w:rPr>
          <w:rFonts w:hint="eastAsia" w:ascii="宋体" w:hAnsi="宋体" w:eastAsia="宋体" w:cs="宋体"/>
          <w:spacing w:val="-5"/>
          <w:sz w:val="24"/>
          <w:szCs w:val="22"/>
          <w:lang w:val="zh-CN" w:eastAsia="zh-CN" w:bidi="zh-CN"/>
        </w:rPr>
      </w:pPr>
      <w:r>
        <w:rPr>
          <w:rFonts w:hint="eastAsia" w:ascii="宋体" w:hAnsi="宋体" w:eastAsia="宋体" w:cs="宋体"/>
          <w:spacing w:val="-5"/>
          <w:sz w:val="24"/>
          <w:szCs w:val="22"/>
          <w:lang w:val="zh-CN" w:eastAsia="zh-CN" w:bidi="zh-CN"/>
        </w:rPr>
        <w:t>本次采购所述的项目资金均以人民币支付。</w:t>
      </w:r>
    </w:p>
    <w:p>
      <w:pPr>
        <w:keepNext w:val="0"/>
        <w:keepLines w:val="0"/>
        <w:pageBreakBefore w:val="0"/>
        <w:widowControl w:val="0"/>
        <w:kinsoku/>
        <w:wordWrap/>
        <w:overflowPunct/>
        <w:topLinePunct w:val="0"/>
        <w:autoSpaceDE w:val="0"/>
        <w:autoSpaceDN w:val="0"/>
        <w:bidi w:val="0"/>
        <w:adjustRightInd/>
        <w:snapToGrid/>
        <w:spacing w:line="400" w:lineRule="exact"/>
        <w:ind w:left="240" w:leftChars="109" w:firstLine="0" w:firstLineChars="0"/>
        <w:textAlignment w:val="auto"/>
        <w:rPr>
          <w:rFonts w:hint="eastAsia" w:ascii="宋体" w:hAnsi="宋体" w:eastAsia="宋体" w:cs="宋体"/>
          <w:b/>
          <w:bCs/>
          <w:spacing w:val="-5"/>
          <w:sz w:val="24"/>
          <w:szCs w:val="22"/>
          <w:lang w:val="zh-CN" w:eastAsia="zh-CN" w:bidi="zh-CN"/>
        </w:rPr>
      </w:pPr>
      <w:r>
        <w:rPr>
          <w:rFonts w:hint="eastAsia" w:ascii="宋体" w:hAnsi="宋体" w:eastAsia="宋体" w:cs="宋体"/>
          <w:b/>
          <w:bCs/>
          <w:spacing w:val="-5"/>
          <w:sz w:val="24"/>
          <w:szCs w:val="22"/>
          <w:lang w:val="zh-CN" w:eastAsia="zh-CN" w:bidi="zh-CN"/>
        </w:rPr>
        <w:t>2、付款方式</w:t>
      </w:r>
    </w:p>
    <w:p>
      <w:pPr>
        <w:keepNext w:val="0"/>
        <w:keepLines w:val="0"/>
        <w:pageBreakBefore w:val="0"/>
        <w:widowControl w:val="0"/>
        <w:kinsoku/>
        <w:wordWrap/>
        <w:overflowPunct/>
        <w:topLinePunct w:val="0"/>
        <w:autoSpaceDE w:val="0"/>
        <w:autoSpaceDN w:val="0"/>
        <w:bidi w:val="0"/>
        <w:adjustRightInd/>
        <w:snapToGrid/>
        <w:spacing w:line="400" w:lineRule="exact"/>
        <w:ind w:left="240" w:leftChars="109" w:firstLine="0" w:firstLineChars="0"/>
        <w:textAlignment w:val="auto"/>
        <w:rPr>
          <w:rFonts w:hint="eastAsia" w:ascii="宋体" w:hAnsi="宋体" w:eastAsia="宋体" w:cs="宋体"/>
          <w:b/>
          <w:bCs/>
          <w:spacing w:val="-5"/>
          <w:sz w:val="24"/>
          <w:szCs w:val="22"/>
          <w:lang w:val="zh-CN" w:eastAsia="zh-CN" w:bidi="zh-CN"/>
        </w:rPr>
      </w:pPr>
      <w:r>
        <w:rPr>
          <w:rFonts w:hint="eastAsia" w:cs="宋体"/>
          <w:b/>
          <w:bCs/>
          <w:spacing w:val="-5"/>
          <w:sz w:val="24"/>
          <w:szCs w:val="22"/>
          <w:lang w:val="zh-CN" w:eastAsia="zh-CN" w:bidi="zh-CN"/>
        </w:rPr>
        <w:t>签订合同时约定</w:t>
      </w:r>
    </w:p>
    <w:p>
      <w:pPr>
        <w:keepNext w:val="0"/>
        <w:keepLines w:val="0"/>
        <w:pageBreakBefore w:val="0"/>
        <w:widowControl w:val="0"/>
        <w:kinsoku/>
        <w:wordWrap/>
        <w:overflowPunct/>
        <w:topLinePunct w:val="0"/>
        <w:autoSpaceDE w:val="0"/>
        <w:autoSpaceDN w:val="0"/>
        <w:bidi w:val="0"/>
        <w:adjustRightInd/>
        <w:snapToGrid/>
        <w:spacing w:line="400" w:lineRule="exact"/>
        <w:ind w:left="240" w:leftChars="109" w:firstLine="0" w:firstLineChars="0"/>
        <w:textAlignment w:val="auto"/>
        <w:rPr>
          <w:rFonts w:hint="eastAsia" w:ascii="宋体" w:hAnsi="宋体" w:eastAsia="宋体" w:cs="宋体"/>
          <w:spacing w:val="-5"/>
          <w:sz w:val="24"/>
          <w:szCs w:val="22"/>
          <w:lang w:val="zh-CN" w:eastAsia="zh-CN" w:bidi="zh-CN"/>
        </w:rPr>
      </w:pPr>
      <w:r>
        <w:rPr>
          <w:rFonts w:hint="eastAsia" w:ascii="宋体" w:hAnsi="宋体" w:eastAsia="宋体" w:cs="宋体"/>
          <w:spacing w:val="-5"/>
          <w:sz w:val="24"/>
          <w:szCs w:val="22"/>
          <w:lang w:val="zh-CN" w:eastAsia="zh-CN" w:bidi="zh-CN"/>
        </w:rPr>
        <w:t>3、付款程序</w:t>
      </w:r>
    </w:p>
    <w:p>
      <w:pPr>
        <w:keepNext w:val="0"/>
        <w:keepLines w:val="0"/>
        <w:pageBreakBefore w:val="0"/>
        <w:widowControl w:val="0"/>
        <w:kinsoku/>
        <w:wordWrap/>
        <w:overflowPunct/>
        <w:topLinePunct w:val="0"/>
        <w:autoSpaceDE w:val="0"/>
        <w:autoSpaceDN w:val="0"/>
        <w:bidi w:val="0"/>
        <w:adjustRightInd/>
        <w:snapToGrid/>
        <w:spacing w:line="400" w:lineRule="exact"/>
        <w:ind w:left="240" w:leftChars="109" w:firstLine="0" w:firstLineChars="0"/>
        <w:textAlignment w:val="auto"/>
        <w:rPr>
          <w:rFonts w:ascii="宋体" w:hAnsi="宋体" w:eastAsia="宋体" w:cs="宋体"/>
          <w:spacing w:val="-5"/>
          <w:sz w:val="24"/>
          <w:szCs w:val="22"/>
          <w:lang w:val="zh-CN" w:eastAsia="zh-CN" w:bidi="zh-CN"/>
        </w:rPr>
      </w:pPr>
      <w:r>
        <w:rPr>
          <w:rFonts w:hint="eastAsia" w:ascii="宋体" w:hAnsi="宋体" w:eastAsia="宋体" w:cs="宋体"/>
          <w:spacing w:val="-5"/>
          <w:sz w:val="24"/>
          <w:szCs w:val="22"/>
          <w:lang w:val="zh-CN" w:eastAsia="zh-CN" w:bidi="zh-CN"/>
        </w:rPr>
        <w:t>由采购人办理具体付款手续。</w:t>
      </w:r>
    </w:p>
    <w:p>
      <w:pPr>
        <w:pStyle w:val="5"/>
        <w:keepNext w:val="0"/>
        <w:keepLines w:val="0"/>
        <w:pageBreakBefore w:val="0"/>
        <w:widowControl w:val="0"/>
        <w:numPr>
          <w:ilvl w:val="0"/>
          <w:numId w:val="28"/>
        </w:numPr>
        <w:tabs>
          <w:tab w:val="left" w:pos="504"/>
        </w:tabs>
        <w:kinsoku/>
        <w:wordWrap/>
        <w:overflowPunct/>
        <w:topLinePunct w:val="0"/>
        <w:autoSpaceDE w:val="0"/>
        <w:autoSpaceDN w:val="0"/>
        <w:bidi w:val="0"/>
        <w:adjustRightInd/>
        <w:snapToGrid/>
        <w:spacing w:line="400" w:lineRule="exact"/>
        <w:ind w:left="503" w:hanging="243"/>
        <w:textAlignment w:val="auto"/>
        <w:rPr>
          <w:spacing w:val="-6"/>
        </w:rPr>
      </w:pPr>
      <w:r>
        <w:rPr>
          <w:spacing w:val="-6"/>
        </w:rPr>
        <w:t>交货日期：</w:t>
      </w:r>
      <w:r>
        <w:rPr>
          <w:rFonts w:hint="eastAsia"/>
          <w:spacing w:val="-6"/>
        </w:rPr>
        <w:t>合同签订后</w:t>
      </w:r>
      <w:r>
        <w:rPr>
          <w:rFonts w:hint="eastAsia"/>
          <w:spacing w:val="-6"/>
          <w:lang w:val="en-US"/>
        </w:rPr>
        <w:t>30天内</w:t>
      </w:r>
      <w:r>
        <w:rPr>
          <w:spacing w:val="-6"/>
        </w:rPr>
        <w:t>。</w:t>
      </w:r>
    </w:p>
    <w:p>
      <w:pPr>
        <w:pStyle w:val="5"/>
        <w:keepNext w:val="0"/>
        <w:keepLines w:val="0"/>
        <w:pageBreakBefore w:val="0"/>
        <w:widowControl w:val="0"/>
        <w:numPr>
          <w:ilvl w:val="0"/>
          <w:numId w:val="28"/>
        </w:numPr>
        <w:tabs>
          <w:tab w:val="left" w:pos="504"/>
        </w:tabs>
        <w:kinsoku/>
        <w:wordWrap/>
        <w:overflowPunct/>
        <w:topLinePunct w:val="0"/>
        <w:autoSpaceDE w:val="0"/>
        <w:autoSpaceDN w:val="0"/>
        <w:bidi w:val="0"/>
        <w:adjustRightInd/>
        <w:snapToGrid/>
        <w:spacing w:line="400" w:lineRule="exact"/>
        <w:ind w:left="503" w:hanging="243"/>
        <w:textAlignment w:val="auto"/>
        <w:rPr>
          <w:spacing w:val="-6"/>
        </w:rPr>
      </w:pPr>
      <w:r>
        <w:rPr>
          <w:spacing w:val="-6"/>
        </w:rPr>
        <w:t>交货地点：甲方</w:t>
      </w:r>
      <w:r>
        <w:rPr>
          <w:rFonts w:hint="eastAsia"/>
          <w:spacing w:val="-6"/>
          <w:lang w:eastAsia="zh-CN"/>
        </w:rPr>
        <w:t>指定</w:t>
      </w:r>
      <w:r>
        <w:rPr>
          <w:spacing w:val="-6"/>
        </w:rPr>
        <w:t>地点。</w:t>
      </w:r>
    </w:p>
    <w:p>
      <w:pPr>
        <w:spacing w:line="319" w:lineRule="auto"/>
        <w:rPr>
          <w:highlight w:val="yellow"/>
        </w:rPr>
        <w:sectPr>
          <w:pgSz w:w="11910" w:h="16850"/>
          <w:pgMar w:top="1440" w:right="800" w:bottom="460" w:left="820" w:header="0" w:footer="191" w:gutter="0"/>
          <w:cols w:space="720" w:num="1"/>
        </w:sectPr>
      </w:pPr>
    </w:p>
    <w:p>
      <w:pPr>
        <w:pStyle w:val="3"/>
        <w:ind w:right="18"/>
        <w:jc w:val="center"/>
      </w:pPr>
      <w:bookmarkStart w:id="11" w:name="_bookmark12"/>
      <w:bookmarkEnd w:id="11"/>
      <w:r>
        <w:t>第六部分 范本格式</w:t>
      </w:r>
    </w:p>
    <w:p>
      <w:pPr>
        <w:pStyle w:val="2"/>
        <w:ind w:left="0"/>
        <w:rPr>
          <w:b/>
          <w:sz w:val="20"/>
        </w:rPr>
      </w:pPr>
    </w:p>
    <w:p>
      <w:pPr>
        <w:pStyle w:val="2"/>
        <w:spacing w:before="8"/>
        <w:ind w:left="0"/>
        <w:rPr>
          <w:b/>
          <w:sz w:val="15"/>
        </w:rPr>
      </w:pPr>
    </w:p>
    <w:p>
      <w:pPr>
        <w:pStyle w:val="2"/>
        <w:spacing w:before="77"/>
        <w:ind w:left="0" w:right="18"/>
        <w:jc w:val="center"/>
      </w:pPr>
      <w:r>
        <w:rPr>
          <w:rFonts w:ascii="Arial" w:eastAsia="Arial"/>
        </w:rPr>
        <w:t xml:space="preserve">1 </w:t>
      </w:r>
      <w:r>
        <w:t>、 投 标 书</w:t>
      </w:r>
    </w:p>
    <w:p>
      <w:pPr>
        <w:pStyle w:val="2"/>
        <w:tabs>
          <w:tab w:val="left" w:pos="3620"/>
        </w:tabs>
        <w:spacing w:before="103"/>
      </w:pPr>
      <w:r>
        <w:t>致：</w:t>
      </w:r>
      <w:r>
        <w:rPr>
          <w:rFonts w:hint="eastAsia"/>
          <w:u w:val="single"/>
        </w:rPr>
        <w:t>法正项目管理集团有限公司</w:t>
      </w:r>
      <w:r>
        <w:rPr>
          <w:u w:val="single"/>
        </w:rPr>
        <w:tab/>
      </w:r>
    </w:p>
    <w:p>
      <w:pPr>
        <w:pStyle w:val="2"/>
        <w:tabs>
          <w:tab w:val="left" w:pos="4587"/>
        </w:tabs>
        <w:spacing w:before="100" w:line="319" w:lineRule="auto"/>
        <w:ind w:right="156" w:firstLine="554"/>
      </w:pPr>
      <w:r>
        <w:t>根据贵方为</w:t>
      </w:r>
      <w:r>
        <w:rPr>
          <w:u w:val="single"/>
        </w:rPr>
        <w:t>（项目名称）</w:t>
      </w:r>
      <w:r>
        <w:rPr>
          <w:u w:val="single"/>
        </w:rPr>
        <w:tab/>
      </w:r>
      <w:r>
        <w:t>项目</w:t>
      </w:r>
      <w:r>
        <w:rPr>
          <w:rFonts w:hint="eastAsia"/>
          <w:lang w:eastAsia="zh-CN"/>
        </w:rPr>
        <w:t>采购</w:t>
      </w:r>
      <w:r>
        <w:t>的</w:t>
      </w:r>
      <w:r>
        <w:rPr>
          <w:rFonts w:hint="eastAsia"/>
          <w:lang w:eastAsia="zh-CN"/>
        </w:rPr>
        <w:t>采购</w:t>
      </w:r>
      <w:r>
        <w:t>邀</w:t>
      </w:r>
      <w:r>
        <w:rPr>
          <w:spacing w:val="-34"/>
        </w:rPr>
        <w:t>请</w:t>
      </w:r>
      <w:r>
        <w:rPr>
          <w:u w:val="single"/>
        </w:rPr>
        <w:t>（项目编号</w:t>
      </w:r>
      <w:r>
        <w:rPr>
          <w:spacing w:val="-77"/>
          <w:u w:val="single"/>
        </w:rPr>
        <w:t>）</w:t>
      </w:r>
      <w:r>
        <w:rPr>
          <w:spacing w:val="-77"/>
        </w:rPr>
        <w:t>，</w:t>
      </w:r>
      <w:r>
        <w:t>签字代</w:t>
      </w:r>
      <w:r>
        <w:rPr>
          <w:spacing w:val="-34"/>
        </w:rPr>
        <w:t>表</w:t>
      </w:r>
      <w:r>
        <w:rPr>
          <w:u w:val="single"/>
        </w:rPr>
        <w:t>（姓名、职务）</w:t>
      </w:r>
      <w:r>
        <w:t>经正式授权并代表供应商</w:t>
      </w:r>
      <w:r>
        <w:rPr>
          <w:u w:val="single"/>
        </w:rPr>
        <w:t>（供应商名称、地址）</w:t>
      </w:r>
      <w:r>
        <w:t>提交下述文件正本一份和副本</w:t>
      </w:r>
      <w:r>
        <w:rPr>
          <w:rFonts w:hint="eastAsia"/>
          <w:lang w:eastAsia="zh-CN"/>
        </w:rPr>
        <w:t>二</w:t>
      </w:r>
      <w:r>
        <w:t>份。</w:t>
      </w:r>
    </w:p>
    <w:p>
      <w:pPr>
        <w:pStyle w:val="22"/>
        <w:numPr>
          <w:ilvl w:val="0"/>
          <w:numId w:val="29"/>
        </w:numPr>
        <w:tabs>
          <w:tab w:val="left" w:pos="1506"/>
        </w:tabs>
        <w:spacing w:before="1"/>
        <w:rPr>
          <w:sz w:val="24"/>
        </w:rPr>
      </w:pPr>
      <w:r>
        <w:rPr>
          <w:sz w:val="24"/>
        </w:rPr>
        <w:t>开标一览表</w:t>
      </w:r>
    </w:p>
    <w:p>
      <w:pPr>
        <w:pStyle w:val="22"/>
        <w:numPr>
          <w:ilvl w:val="0"/>
          <w:numId w:val="29"/>
        </w:numPr>
        <w:tabs>
          <w:tab w:val="left" w:pos="1506"/>
        </w:tabs>
        <w:spacing w:before="103"/>
        <w:rPr>
          <w:sz w:val="24"/>
        </w:rPr>
      </w:pPr>
      <w:r>
        <w:rPr>
          <w:sz w:val="24"/>
        </w:rPr>
        <w:t>投标分项报价表</w:t>
      </w:r>
    </w:p>
    <w:p>
      <w:pPr>
        <w:pStyle w:val="22"/>
        <w:numPr>
          <w:ilvl w:val="0"/>
          <w:numId w:val="29"/>
        </w:numPr>
        <w:tabs>
          <w:tab w:val="left" w:pos="1506"/>
        </w:tabs>
        <w:spacing w:before="100"/>
        <w:rPr>
          <w:sz w:val="24"/>
        </w:rPr>
      </w:pPr>
      <w:r>
        <w:rPr>
          <w:sz w:val="24"/>
        </w:rPr>
        <w:t>规格、技术参数、功能偏离表</w:t>
      </w:r>
    </w:p>
    <w:p>
      <w:pPr>
        <w:pStyle w:val="22"/>
        <w:numPr>
          <w:ilvl w:val="0"/>
          <w:numId w:val="29"/>
        </w:numPr>
        <w:tabs>
          <w:tab w:val="left" w:pos="1506"/>
        </w:tabs>
        <w:rPr>
          <w:sz w:val="24"/>
        </w:rPr>
      </w:pPr>
      <w:r>
        <w:rPr>
          <w:sz w:val="24"/>
        </w:rPr>
        <w:t>商务条款偏离表</w:t>
      </w:r>
    </w:p>
    <w:p>
      <w:pPr>
        <w:pStyle w:val="22"/>
        <w:numPr>
          <w:ilvl w:val="0"/>
          <w:numId w:val="29"/>
        </w:numPr>
        <w:tabs>
          <w:tab w:val="left" w:pos="1506"/>
        </w:tabs>
        <w:spacing w:before="103"/>
        <w:rPr>
          <w:sz w:val="24"/>
        </w:rPr>
      </w:pPr>
      <w:r>
        <w:rPr>
          <w:sz w:val="24"/>
        </w:rPr>
        <w:t>按采购文件供应商须知、技术规格要求及其他要求提供有关文件</w:t>
      </w:r>
    </w:p>
    <w:p>
      <w:pPr>
        <w:pStyle w:val="22"/>
        <w:numPr>
          <w:ilvl w:val="0"/>
          <w:numId w:val="29"/>
        </w:numPr>
        <w:tabs>
          <w:tab w:val="left" w:pos="1506"/>
        </w:tabs>
        <w:rPr>
          <w:sz w:val="24"/>
        </w:rPr>
      </w:pPr>
      <w:r>
        <w:rPr>
          <w:sz w:val="24"/>
        </w:rPr>
        <w:t>资格证明文件</w:t>
      </w:r>
    </w:p>
    <w:p>
      <w:pPr>
        <w:pStyle w:val="22"/>
        <w:numPr>
          <w:ilvl w:val="0"/>
          <w:numId w:val="29"/>
        </w:numPr>
        <w:tabs>
          <w:tab w:val="left" w:pos="1506"/>
        </w:tabs>
        <w:spacing w:before="103" w:line="319" w:lineRule="auto"/>
        <w:ind w:left="814" w:right="3497" w:firstLine="0"/>
        <w:rPr>
          <w:sz w:val="24"/>
        </w:rPr>
      </w:pPr>
      <w:r>
        <w:rPr>
          <w:sz w:val="24"/>
        </w:rPr>
        <w:t>投标保证金，形式</w:t>
      </w:r>
      <w:r>
        <w:rPr>
          <w:sz w:val="24"/>
          <w:u w:val="single"/>
        </w:rPr>
        <w:t>（电汇</w:t>
      </w:r>
      <w:r>
        <w:rPr>
          <w:spacing w:val="-120"/>
          <w:sz w:val="24"/>
          <w:u w:val="single"/>
        </w:rPr>
        <w:t>）</w:t>
      </w:r>
      <w:r>
        <w:rPr>
          <w:sz w:val="24"/>
        </w:rPr>
        <w:t>，金额为</w:t>
      </w:r>
      <w:r>
        <w:rPr>
          <w:sz w:val="24"/>
          <w:u w:val="single"/>
        </w:rPr>
        <w:t>（注明币种</w:t>
      </w:r>
      <w:r>
        <w:rPr>
          <w:spacing w:val="-120"/>
          <w:sz w:val="24"/>
          <w:u w:val="single"/>
        </w:rPr>
        <w:t>）</w:t>
      </w:r>
      <w:r>
        <w:rPr>
          <w:spacing w:val="-15"/>
          <w:sz w:val="24"/>
        </w:rPr>
        <w:t>。</w:t>
      </w:r>
      <w:r>
        <w:rPr>
          <w:sz w:val="24"/>
        </w:rPr>
        <w:t>据此函，签字代表宣布同意如下：</w:t>
      </w:r>
    </w:p>
    <w:p>
      <w:pPr>
        <w:pStyle w:val="22"/>
        <w:numPr>
          <w:ilvl w:val="0"/>
          <w:numId w:val="30"/>
        </w:numPr>
        <w:tabs>
          <w:tab w:val="left" w:pos="1188"/>
        </w:tabs>
        <w:spacing w:before="0" w:line="319" w:lineRule="auto"/>
        <w:ind w:right="273" w:hanging="559"/>
        <w:rPr>
          <w:spacing w:val="-6"/>
          <w:sz w:val="24"/>
          <w:u w:val="single"/>
        </w:rPr>
      </w:pPr>
      <w:r>
        <w:rPr>
          <w:spacing w:val="-1"/>
          <w:sz w:val="24"/>
        </w:rPr>
        <w:t>所附投标报价表中规定的应提交和交付的货物和服务投标总价为</w:t>
      </w:r>
      <w:r>
        <w:rPr>
          <w:sz w:val="24"/>
          <w:u w:val="single"/>
        </w:rPr>
        <w:t>（</w:t>
      </w:r>
      <w:r>
        <w:rPr>
          <w:spacing w:val="-6"/>
          <w:sz w:val="24"/>
          <w:u w:val="single"/>
        </w:rPr>
        <w:t>注明币种，并用文</w:t>
      </w:r>
      <w:r>
        <w:rPr>
          <w:spacing w:val="-22"/>
          <w:sz w:val="24"/>
          <w:u w:val="single"/>
        </w:rPr>
        <w:t>字</w:t>
      </w:r>
      <w:r>
        <w:rPr>
          <w:spacing w:val="-6"/>
          <w:sz w:val="24"/>
          <w:u w:val="single"/>
        </w:rPr>
        <w:t>和数字表示的投标总价）。</w:t>
      </w:r>
    </w:p>
    <w:p>
      <w:pPr>
        <w:pStyle w:val="22"/>
        <w:numPr>
          <w:ilvl w:val="0"/>
          <w:numId w:val="30"/>
        </w:numPr>
        <w:tabs>
          <w:tab w:val="left" w:pos="1191"/>
        </w:tabs>
        <w:spacing w:before="0"/>
        <w:ind w:left="1190"/>
        <w:rPr>
          <w:sz w:val="24"/>
        </w:rPr>
      </w:pPr>
      <w:r>
        <w:rPr>
          <w:sz w:val="24"/>
        </w:rPr>
        <w:t>供应商将按采购文件的规定履行合同责任和义务；</w:t>
      </w:r>
    </w:p>
    <w:p>
      <w:pPr>
        <w:pStyle w:val="22"/>
        <w:numPr>
          <w:ilvl w:val="0"/>
          <w:numId w:val="30"/>
        </w:numPr>
        <w:tabs>
          <w:tab w:val="left" w:pos="1192"/>
        </w:tabs>
        <w:spacing w:line="319" w:lineRule="auto"/>
        <w:ind w:right="280" w:hanging="559"/>
        <w:rPr>
          <w:sz w:val="24"/>
        </w:rPr>
      </w:pPr>
      <w:r>
        <w:rPr>
          <w:sz w:val="24"/>
        </w:rPr>
        <w:t>供应商已详细审查全部采购文件，包括修改文件（如有的话</w:t>
      </w:r>
      <w:r>
        <w:rPr>
          <w:spacing w:val="-118"/>
          <w:sz w:val="24"/>
        </w:rPr>
        <w:t>）</w:t>
      </w:r>
      <w:r>
        <w:rPr>
          <w:spacing w:val="-2"/>
          <w:sz w:val="24"/>
        </w:rPr>
        <w:t>。我们完全理解并同意</w:t>
      </w:r>
      <w:r>
        <w:rPr>
          <w:sz w:val="24"/>
        </w:rPr>
        <w:t>放弃对这方面有不明及误解的权利。</w:t>
      </w:r>
    </w:p>
    <w:p>
      <w:pPr>
        <w:pStyle w:val="22"/>
        <w:numPr>
          <w:ilvl w:val="0"/>
          <w:numId w:val="30"/>
        </w:numPr>
        <w:tabs>
          <w:tab w:val="left" w:pos="1191"/>
        </w:tabs>
        <w:spacing w:before="1"/>
        <w:ind w:left="1190"/>
        <w:rPr>
          <w:sz w:val="24"/>
        </w:rPr>
      </w:pPr>
      <w:r>
        <w:rPr>
          <w:sz w:val="24"/>
        </w:rPr>
        <w:t>本投标有效期自开标之日起 个日历日。</w:t>
      </w:r>
    </w:p>
    <w:p>
      <w:pPr>
        <w:pStyle w:val="22"/>
        <w:numPr>
          <w:ilvl w:val="0"/>
          <w:numId w:val="30"/>
        </w:numPr>
        <w:tabs>
          <w:tab w:val="left" w:pos="1188"/>
        </w:tabs>
        <w:spacing w:before="100" w:line="319" w:lineRule="auto"/>
        <w:ind w:left="1160" w:right="274" w:hanging="348"/>
        <w:rPr>
          <w:sz w:val="24"/>
        </w:rPr>
      </w:pPr>
      <w:r>
        <w:rPr>
          <w:spacing w:val="-4"/>
          <w:sz w:val="24"/>
        </w:rPr>
        <w:t>如果在规定的开标时间后，供应商在投标有效期内撤回投标，其投标保证金将被贵方</w:t>
      </w:r>
      <w:r>
        <w:rPr>
          <w:sz w:val="24"/>
        </w:rPr>
        <w:t>没收。</w:t>
      </w:r>
    </w:p>
    <w:p>
      <w:pPr>
        <w:pStyle w:val="22"/>
        <w:numPr>
          <w:ilvl w:val="0"/>
          <w:numId w:val="30"/>
        </w:numPr>
        <w:tabs>
          <w:tab w:val="left" w:pos="1200"/>
        </w:tabs>
        <w:spacing w:before="1" w:line="319" w:lineRule="auto"/>
        <w:ind w:left="1160" w:right="277" w:hanging="336"/>
        <w:rPr>
          <w:sz w:val="24"/>
        </w:rPr>
      </w:pPr>
      <w:r>
        <w:rPr>
          <w:spacing w:val="-2"/>
          <w:sz w:val="24"/>
        </w:rPr>
        <w:t>供应商同意提供按照贵方可能要求的与其投标有关的一切数据或资料，完全理解贵</w:t>
      </w:r>
      <w:r>
        <w:rPr>
          <w:spacing w:val="-4"/>
          <w:sz w:val="24"/>
        </w:rPr>
        <w:t>方不一定要接受最低价的投标或收到的任何投标。</w:t>
      </w:r>
    </w:p>
    <w:p>
      <w:pPr>
        <w:pStyle w:val="22"/>
        <w:numPr>
          <w:ilvl w:val="0"/>
          <w:numId w:val="30"/>
        </w:numPr>
        <w:tabs>
          <w:tab w:val="left" w:pos="1208"/>
        </w:tabs>
        <w:spacing w:before="0"/>
        <w:ind w:left="1207"/>
        <w:rPr>
          <w:sz w:val="24"/>
        </w:rPr>
      </w:pPr>
      <w:r>
        <w:rPr>
          <w:sz w:val="24"/>
        </w:rPr>
        <w:t>与本投标有关的一切正式往来信函请寄：</w:t>
      </w:r>
    </w:p>
    <w:p>
      <w:pPr>
        <w:pStyle w:val="2"/>
        <w:tabs>
          <w:tab w:val="left" w:pos="3620"/>
          <w:tab w:val="left" w:pos="6141"/>
        </w:tabs>
        <w:spacing w:before="101"/>
        <w:ind w:left="500"/>
      </w:pPr>
      <w:r>
        <w:t>地址：</w:t>
      </w:r>
      <w:r>
        <w:rPr>
          <w:u w:val="single"/>
        </w:rPr>
        <w:tab/>
      </w:r>
      <w:r>
        <w:t>邮编：</w:t>
      </w:r>
      <w:r>
        <w:rPr>
          <w:u w:val="single"/>
        </w:rPr>
        <w:tab/>
      </w:r>
    </w:p>
    <w:p>
      <w:pPr>
        <w:pStyle w:val="2"/>
        <w:tabs>
          <w:tab w:val="left" w:pos="4100"/>
          <w:tab w:val="left" w:pos="5421"/>
        </w:tabs>
        <w:spacing w:before="100"/>
      </w:pPr>
      <w:r>
        <w:t xml:space="preserve">  电话：传真：</w:t>
      </w:r>
      <w:r>
        <w:rPr>
          <w:u w:val="single"/>
        </w:rPr>
        <w:tab/>
      </w:r>
    </w:p>
    <w:p>
      <w:pPr>
        <w:pStyle w:val="2"/>
        <w:spacing w:before="103"/>
      </w:pPr>
    </w:p>
    <w:p>
      <w:pPr>
        <w:pStyle w:val="2"/>
        <w:spacing w:before="101"/>
      </w:pPr>
      <w:r>
        <w:t xml:space="preserve">  供应商代表签字：</w:t>
      </w:r>
    </w:p>
    <w:p>
      <w:pPr>
        <w:pStyle w:val="2"/>
        <w:tabs>
          <w:tab w:val="left" w:pos="2900"/>
        </w:tabs>
        <w:spacing w:before="103"/>
        <w:ind w:firstLine="238" w:firstLineChars="100"/>
      </w:pPr>
      <w:r>
        <w:rPr>
          <w:spacing w:val="-1"/>
        </w:rPr>
        <w:t>供</w:t>
      </w:r>
      <w:r>
        <w:t>应商名称：</w:t>
      </w:r>
      <w:r>
        <w:rPr>
          <w:u w:val="single"/>
        </w:rPr>
        <w:tab/>
      </w:r>
    </w:p>
    <w:p>
      <w:pPr>
        <w:pStyle w:val="2"/>
        <w:tabs>
          <w:tab w:val="left" w:pos="1460"/>
        </w:tabs>
        <w:spacing w:before="101"/>
      </w:pPr>
      <w:r>
        <w:t xml:space="preserve">  公</w:t>
      </w:r>
      <w:r>
        <w:tab/>
      </w:r>
      <w:r>
        <w:t>章：</w:t>
      </w:r>
    </w:p>
    <w:p>
      <w:pPr>
        <w:pStyle w:val="2"/>
        <w:tabs>
          <w:tab w:val="left" w:pos="2540"/>
          <w:tab w:val="left" w:pos="3500"/>
        </w:tabs>
        <w:spacing w:before="103"/>
      </w:pPr>
      <w:r>
        <w:t xml:space="preserve">  日    期：</w:t>
      </w:r>
      <w:r>
        <w:rPr>
          <w:u w:val="single"/>
        </w:rPr>
        <w:tab/>
      </w:r>
      <w:r>
        <w:t>年</w:t>
      </w:r>
      <w:r>
        <w:rPr>
          <w:u w:val="single"/>
        </w:rPr>
        <w:tab/>
      </w:r>
      <w:r>
        <w:t>月</w:t>
      </w:r>
      <w:r>
        <w:rPr>
          <w:rFonts w:hint="eastAsia"/>
          <w:lang w:val="en-US" w:eastAsia="zh-CN"/>
        </w:rPr>
        <w:t xml:space="preserve">      </w:t>
      </w:r>
      <w:r>
        <w:t>日</w:t>
      </w:r>
    </w:p>
    <w:p/>
    <w:p/>
    <w:p/>
    <w:p/>
    <w:p>
      <w:pPr>
        <w:tabs>
          <w:tab w:val="center" w:pos="5145"/>
        </w:tabs>
        <w:sectPr>
          <w:footerReference r:id="rId4" w:type="default"/>
          <w:pgSz w:w="11910" w:h="16850"/>
          <w:pgMar w:top="1600" w:right="800" w:bottom="460" w:left="820" w:header="0" w:footer="191" w:gutter="0"/>
          <w:pgNumType w:start="32"/>
          <w:cols w:space="720" w:num="1"/>
        </w:sectPr>
      </w:pPr>
      <w:r>
        <w:rPr>
          <w:rFonts w:hint="eastAsia"/>
        </w:rPr>
        <w:tab/>
      </w:r>
    </w:p>
    <w:p>
      <w:pPr>
        <w:pStyle w:val="2"/>
        <w:spacing w:before="62"/>
        <w:ind w:left="0" w:right="63"/>
        <w:jc w:val="center"/>
      </w:pPr>
      <w:r>
        <w:rPr>
          <w:rFonts w:ascii="Arial" w:eastAsia="Arial"/>
        </w:rPr>
        <w:t>2</w:t>
      </w:r>
      <w:r>
        <w:t>、开标一览表</w:t>
      </w:r>
    </w:p>
    <w:p>
      <w:pPr>
        <w:pStyle w:val="2"/>
        <w:spacing w:before="5"/>
        <w:ind w:left="0"/>
        <w:rPr>
          <w:sz w:val="38"/>
        </w:rPr>
      </w:pPr>
    </w:p>
    <w:p>
      <w:pPr>
        <w:pStyle w:val="2"/>
        <w:tabs>
          <w:tab w:val="left" w:pos="4101"/>
        </w:tabs>
        <w:spacing w:after="5"/>
        <w:ind w:left="220"/>
      </w:pPr>
      <w:r>
        <w:t>供应商名称</w:t>
      </w:r>
      <w:r>
        <w:rPr>
          <w:rFonts w:ascii="Arial" w:eastAsia="Arial"/>
        </w:rPr>
        <w:t>(</w:t>
      </w:r>
      <w:r>
        <w:t>公章</w:t>
      </w:r>
      <w:r>
        <w:rPr>
          <w:rFonts w:ascii="Arial" w:eastAsia="Arial"/>
        </w:rPr>
        <w:t>)</w:t>
      </w:r>
      <w:r>
        <w:t>：</w:t>
      </w:r>
      <w:r>
        <w:rPr>
          <w:u w:val="single"/>
        </w:rPr>
        <w:tab/>
      </w:r>
      <w:r>
        <w:t>项目编号：</w:t>
      </w:r>
    </w:p>
    <w:tbl>
      <w:tblPr>
        <w:tblStyle w:val="20"/>
        <w:tblW w:w="15609"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8"/>
        <w:gridCol w:w="1874"/>
        <w:gridCol w:w="1831"/>
        <w:gridCol w:w="1828"/>
        <w:gridCol w:w="1831"/>
        <w:gridCol w:w="1828"/>
        <w:gridCol w:w="1831"/>
        <w:gridCol w:w="1828"/>
        <w:gridCol w:w="1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938" w:type="dxa"/>
          </w:tcPr>
          <w:p>
            <w:pPr>
              <w:pStyle w:val="23"/>
              <w:spacing w:before="8"/>
            </w:pPr>
          </w:p>
          <w:p>
            <w:pPr>
              <w:pStyle w:val="23"/>
              <w:ind w:left="227"/>
              <w:rPr>
                <w:sz w:val="24"/>
              </w:rPr>
            </w:pPr>
            <w:r>
              <w:rPr>
                <w:sz w:val="24"/>
              </w:rPr>
              <w:t>包号</w:t>
            </w:r>
          </w:p>
        </w:tc>
        <w:tc>
          <w:tcPr>
            <w:tcW w:w="1874" w:type="dxa"/>
          </w:tcPr>
          <w:p>
            <w:pPr>
              <w:pStyle w:val="23"/>
              <w:spacing w:before="8"/>
            </w:pPr>
          </w:p>
          <w:p>
            <w:pPr>
              <w:pStyle w:val="23"/>
              <w:ind w:left="676" w:right="667"/>
              <w:jc w:val="center"/>
              <w:rPr>
                <w:sz w:val="24"/>
              </w:rPr>
            </w:pPr>
            <w:r>
              <w:rPr>
                <w:sz w:val="24"/>
              </w:rPr>
              <w:t>名称</w:t>
            </w:r>
          </w:p>
        </w:tc>
        <w:tc>
          <w:tcPr>
            <w:tcW w:w="1831" w:type="dxa"/>
          </w:tcPr>
          <w:p>
            <w:pPr>
              <w:pStyle w:val="23"/>
              <w:spacing w:before="8"/>
            </w:pPr>
          </w:p>
          <w:p>
            <w:pPr>
              <w:pStyle w:val="23"/>
              <w:ind w:left="655" w:right="646"/>
              <w:jc w:val="center"/>
              <w:rPr>
                <w:sz w:val="24"/>
              </w:rPr>
            </w:pPr>
            <w:r>
              <w:rPr>
                <w:sz w:val="24"/>
              </w:rPr>
              <w:t>数量</w:t>
            </w:r>
          </w:p>
        </w:tc>
        <w:tc>
          <w:tcPr>
            <w:tcW w:w="1828" w:type="dxa"/>
          </w:tcPr>
          <w:p>
            <w:pPr>
              <w:pStyle w:val="23"/>
              <w:spacing w:before="8"/>
            </w:pPr>
          </w:p>
          <w:p>
            <w:pPr>
              <w:pStyle w:val="23"/>
              <w:ind w:left="556"/>
              <w:rPr>
                <w:sz w:val="24"/>
              </w:rPr>
            </w:pPr>
            <w:r>
              <w:rPr>
                <w:sz w:val="24"/>
              </w:rPr>
              <w:t>制造商</w:t>
            </w:r>
          </w:p>
        </w:tc>
        <w:tc>
          <w:tcPr>
            <w:tcW w:w="1831" w:type="dxa"/>
          </w:tcPr>
          <w:p>
            <w:pPr>
              <w:pStyle w:val="23"/>
              <w:spacing w:before="8"/>
            </w:pPr>
          </w:p>
          <w:p>
            <w:pPr>
              <w:pStyle w:val="23"/>
              <w:ind w:left="437"/>
              <w:rPr>
                <w:sz w:val="24"/>
              </w:rPr>
            </w:pPr>
            <w:r>
              <w:rPr>
                <w:sz w:val="24"/>
              </w:rPr>
              <w:t>型号规格</w:t>
            </w:r>
          </w:p>
        </w:tc>
        <w:tc>
          <w:tcPr>
            <w:tcW w:w="1828" w:type="dxa"/>
          </w:tcPr>
          <w:p>
            <w:pPr>
              <w:pStyle w:val="23"/>
              <w:spacing w:before="88"/>
              <w:ind w:left="437"/>
              <w:rPr>
                <w:sz w:val="24"/>
              </w:rPr>
            </w:pPr>
            <w:r>
              <w:rPr>
                <w:sz w:val="24"/>
              </w:rPr>
              <w:t>投标总价</w:t>
            </w:r>
          </w:p>
          <w:p>
            <w:pPr>
              <w:pStyle w:val="23"/>
              <w:spacing w:before="94" w:line="292" w:lineRule="exact"/>
              <w:ind w:left="437"/>
              <w:rPr>
                <w:sz w:val="24"/>
              </w:rPr>
            </w:pPr>
            <w:r>
              <w:rPr>
                <w:sz w:val="24"/>
              </w:rPr>
              <w:t>（万元）</w:t>
            </w:r>
          </w:p>
        </w:tc>
        <w:tc>
          <w:tcPr>
            <w:tcW w:w="1831" w:type="dxa"/>
          </w:tcPr>
          <w:p>
            <w:pPr>
              <w:pStyle w:val="23"/>
              <w:spacing w:before="8" w:line="400" w:lineRule="exact"/>
              <w:ind w:left="558" w:right="541" w:firstLine="120"/>
              <w:rPr>
                <w:sz w:val="24"/>
              </w:rPr>
            </w:pPr>
            <w:r>
              <w:rPr>
                <w:sz w:val="24"/>
              </w:rPr>
              <w:t>投标保证金</w:t>
            </w:r>
          </w:p>
        </w:tc>
        <w:tc>
          <w:tcPr>
            <w:tcW w:w="1828" w:type="dxa"/>
          </w:tcPr>
          <w:p>
            <w:pPr>
              <w:pStyle w:val="23"/>
              <w:spacing w:before="8"/>
            </w:pPr>
          </w:p>
          <w:p>
            <w:pPr>
              <w:pStyle w:val="23"/>
              <w:ind w:left="559"/>
              <w:rPr>
                <w:sz w:val="24"/>
              </w:rPr>
            </w:pPr>
            <w:r>
              <w:rPr>
                <w:sz w:val="24"/>
              </w:rPr>
              <w:t>交货期</w:t>
            </w:r>
          </w:p>
        </w:tc>
        <w:tc>
          <w:tcPr>
            <w:tcW w:w="1820" w:type="dxa"/>
          </w:tcPr>
          <w:p>
            <w:pPr>
              <w:pStyle w:val="23"/>
              <w:spacing w:before="8"/>
            </w:pPr>
          </w:p>
          <w:p>
            <w:pPr>
              <w:pStyle w:val="23"/>
              <w:ind w:left="655" w:right="634"/>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6" w:hRule="atLeast"/>
        </w:trPr>
        <w:tc>
          <w:tcPr>
            <w:tcW w:w="938" w:type="dxa"/>
            <w:vMerge w:val="restart"/>
          </w:tcPr>
          <w:p>
            <w:pPr>
              <w:pStyle w:val="23"/>
              <w:rPr>
                <w:rFonts w:ascii="Times New Roman"/>
              </w:rPr>
            </w:pPr>
          </w:p>
        </w:tc>
        <w:tc>
          <w:tcPr>
            <w:tcW w:w="1874" w:type="dxa"/>
          </w:tcPr>
          <w:p>
            <w:pPr>
              <w:pStyle w:val="23"/>
              <w:rPr>
                <w:rFonts w:ascii="Times New Roman"/>
              </w:rPr>
            </w:pPr>
          </w:p>
        </w:tc>
        <w:tc>
          <w:tcPr>
            <w:tcW w:w="1831" w:type="dxa"/>
          </w:tcPr>
          <w:p>
            <w:pPr>
              <w:pStyle w:val="23"/>
              <w:rPr>
                <w:rFonts w:ascii="Times New Roman"/>
              </w:rPr>
            </w:pPr>
          </w:p>
        </w:tc>
        <w:tc>
          <w:tcPr>
            <w:tcW w:w="1828" w:type="dxa"/>
          </w:tcPr>
          <w:p>
            <w:pPr>
              <w:pStyle w:val="23"/>
              <w:rPr>
                <w:rFonts w:ascii="Times New Roman"/>
              </w:rPr>
            </w:pPr>
          </w:p>
        </w:tc>
        <w:tc>
          <w:tcPr>
            <w:tcW w:w="1831" w:type="dxa"/>
          </w:tcPr>
          <w:p>
            <w:pPr>
              <w:pStyle w:val="23"/>
              <w:rPr>
                <w:rFonts w:ascii="Times New Roman"/>
              </w:rPr>
            </w:pPr>
          </w:p>
        </w:tc>
        <w:tc>
          <w:tcPr>
            <w:tcW w:w="1828" w:type="dxa"/>
          </w:tcPr>
          <w:p>
            <w:pPr>
              <w:pStyle w:val="23"/>
              <w:rPr>
                <w:rFonts w:ascii="Times New Roman"/>
              </w:rPr>
            </w:pPr>
          </w:p>
        </w:tc>
        <w:tc>
          <w:tcPr>
            <w:tcW w:w="1831" w:type="dxa"/>
          </w:tcPr>
          <w:p>
            <w:pPr>
              <w:pStyle w:val="23"/>
              <w:rPr>
                <w:rFonts w:ascii="Times New Roman"/>
              </w:rPr>
            </w:pPr>
          </w:p>
        </w:tc>
        <w:tc>
          <w:tcPr>
            <w:tcW w:w="1828" w:type="dxa"/>
          </w:tcPr>
          <w:p>
            <w:pPr>
              <w:pStyle w:val="23"/>
              <w:rPr>
                <w:rFonts w:ascii="Times New Roman"/>
              </w:rPr>
            </w:pPr>
          </w:p>
        </w:tc>
        <w:tc>
          <w:tcPr>
            <w:tcW w:w="182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5" w:hRule="atLeast"/>
        </w:trPr>
        <w:tc>
          <w:tcPr>
            <w:tcW w:w="938" w:type="dxa"/>
            <w:vMerge w:val="continue"/>
            <w:tcBorders>
              <w:top w:val="nil"/>
            </w:tcBorders>
          </w:tcPr>
          <w:p>
            <w:pPr>
              <w:rPr>
                <w:sz w:val="2"/>
                <w:szCs w:val="2"/>
                <w:highlight w:val="yellow"/>
              </w:rPr>
            </w:pPr>
          </w:p>
        </w:tc>
        <w:tc>
          <w:tcPr>
            <w:tcW w:w="1874" w:type="dxa"/>
          </w:tcPr>
          <w:p>
            <w:pPr>
              <w:pStyle w:val="23"/>
              <w:rPr>
                <w:rFonts w:ascii="Times New Roman"/>
                <w:highlight w:val="yellow"/>
              </w:rPr>
            </w:pPr>
          </w:p>
        </w:tc>
        <w:tc>
          <w:tcPr>
            <w:tcW w:w="1831" w:type="dxa"/>
          </w:tcPr>
          <w:p>
            <w:pPr>
              <w:pStyle w:val="23"/>
              <w:rPr>
                <w:rFonts w:ascii="Times New Roman"/>
                <w:highlight w:val="yellow"/>
              </w:rPr>
            </w:pPr>
          </w:p>
        </w:tc>
        <w:tc>
          <w:tcPr>
            <w:tcW w:w="1828" w:type="dxa"/>
          </w:tcPr>
          <w:p>
            <w:pPr>
              <w:pStyle w:val="23"/>
              <w:rPr>
                <w:rFonts w:ascii="Times New Roman"/>
                <w:highlight w:val="yellow"/>
              </w:rPr>
            </w:pPr>
          </w:p>
        </w:tc>
        <w:tc>
          <w:tcPr>
            <w:tcW w:w="1831" w:type="dxa"/>
          </w:tcPr>
          <w:p>
            <w:pPr>
              <w:pStyle w:val="23"/>
              <w:rPr>
                <w:rFonts w:ascii="Times New Roman"/>
                <w:highlight w:val="yellow"/>
              </w:rPr>
            </w:pPr>
          </w:p>
        </w:tc>
        <w:tc>
          <w:tcPr>
            <w:tcW w:w="1828" w:type="dxa"/>
          </w:tcPr>
          <w:p>
            <w:pPr>
              <w:pStyle w:val="23"/>
              <w:rPr>
                <w:rFonts w:ascii="Times New Roman"/>
                <w:highlight w:val="yellow"/>
              </w:rPr>
            </w:pPr>
          </w:p>
        </w:tc>
        <w:tc>
          <w:tcPr>
            <w:tcW w:w="1831" w:type="dxa"/>
          </w:tcPr>
          <w:p>
            <w:pPr>
              <w:pStyle w:val="23"/>
              <w:rPr>
                <w:rFonts w:ascii="Times New Roman"/>
                <w:highlight w:val="yellow"/>
              </w:rPr>
            </w:pPr>
          </w:p>
        </w:tc>
        <w:tc>
          <w:tcPr>
            <w:tcW w:w="1828" w:type="dxa"/>
          </w:tcPr>
          <w:p>
            <w:pPr>
              <w:pStyle w:val="23"/>
              <w:rPr>
                <w:rFonts w:ascii="Times New Roman"/>
                <w:highlight w:val="yellow"/>
              </w:rPr>
            </w:pPr>
          </w:p>
        </w:tc>
        <w:tc>
          <w:tcPr>
            <w:tcW w:w="182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84" w:hRule="atLeast"/>
        </w:trPr>
        <w:tc>
          <w:tcPr>
            <w:tcW w:w="938" w:type="dxa"/>
            <w:vMerge w:val="continue"/>
            <w:tcBorders>
              <w:top w:val="nil"/>
            </w:tcBorders>
          </w:tcPr>
          <w:p>
            <w:pPr>
              <w:rPr>
                <w:sz w:val="2"/>
                <w:szCs w:val="2"/>
                <w:highlight w:val="yellow"/>
              </w:rPr>
            </w:pPr>
          </w:p>
        </w:tc>
        <w:tc>
          <w:tcPr>
            <w:tcW w:w="1874" w:type="dxa"/>
          </w:tcPr>
          <w:p>
            <w:pPr>
              <w:pStyle w:val="23"/>
              <w:rPr>
                <w:rFonts w:ascii="Times New Roman"/>
                <w:highlight w:val="yellow"/>
              </w:rPr>
            </w:pPr>
          </w:p>
        </w:tc>
        <w:tc>
          <w:tcPr>
            <w:tcW w:w="1831" w:type="dxa"/>
          </w:tcPr>
          <w:p>
            <w:pPr>
              <w:pStyle w:val="23"/>
              <w:rPr>
                <w:rFonts w:ascii="Times New Roman"/>
                <w:highlight w:val="yellow"/>
              </w:rPr>
            </w:pPr>
          </w:p>
        </w:tc>
        <w:tc>
          <w:tcPr>
            <w:tcW w:w="1828" w:type="dxa"/>
          </w:tcPr>
          <w:p>
            <w:pPr>
              <w:pStyle w:val="23"/>
              <w:rPr>
                <w:rFonts w:ascii="Times New Roman"/>
                <w:highlight w:val="yellow"/>
              </w:rPr>
            </w:pPr>
          </w:p>
        </w:tc>
        <w:tc>
          <w:tcPr>
            <w:tcW w:w="1831" w:type="dxa"/>
          </w:tcPr>
          <w:p>
            <w:pPr>
              <w:pStyle w:val="23"/>
              <w:rPr>
                <w:rFonts w:ascii="Times New Roman"/>
                <w:highlight w:val="yellow"/>
              </w:rPr>
            </w:pPr>
          </w:p>
        </w:tc>
        <w:tc>
          <w:tcPr>
            <w:tcW w:w="1828" w:type="dxa"/>
          </w:tcPr>
          <w:p>
            <w:pPr>
              <w:pStyle w:val="23"/>
              <w:rPr>
                <w:rFonts w:ascii="Times New Roman"/>
                <w:highlight w:val="yellow"/>
              </w:rPr>
            </w:pPr>
          </w:p>
        </w:tc>
        <w:tc>
          <w:tcPr>
            <w:tcW w:w="1831" w:type="dxa"/>
          </w:tcPr>
          <w:p>
            <w:pPr>
              <w:pStyle w:val="23"/>
              <w:rPr>
                <w:rFonts w:ascii="Times New Roman"/>
                <w:highlight w:val="yellow"/>
              </w:rPr>
            </w:pPr>
          </w:p>
        </w:tc>
        <w:tc>
          <w:tcPr>
            <w:tcW w:w="1828" w:type="dxa"/>
          </w:tcPr>
          <w:p>
            <w:pPr>
              <w:pStyle w:val="23"/>
              <w:rPr>
                <w:rFonts w:ascii="Times New Roman"/>
                <w:highlight w:val="yellow"/>
              </w:rPr>
            </w:pPr>
          </w:p>
        </w:tc>
        <w:tc>
          <w:tcPr>
            <w:tcW w:w="182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8" w:hRule="atLeast"/>
        </w:trPr>
        <w:tc>
          <w:tcPr>
            <w:tcW w:w="15609" w:type="dxa"/>
            <w:gridSpan w:val="9"/>
          </w:tcPr>
          <w:p>
            <w:pPr>
              <w:pStyle w:val="23"/>
              <w:spacing w:before="9"/>
              <w:rPr>
                <w:sz w:val="30"/>
                <w:highlight w:val="yellow"/>
              </w:rPr>
            </w:pPr>
          </w:p>
          <w:p>
            <w:pPr>
              <w:pStyle w:val="23"/>
              <w:ind w:left="107"/>
              <w:rPr>
                <w:sz w:val="24"/>
                <w:highlight w:val="yellow"/>
              </w:rPr>
            </w:pPr>
            <w:r>
              <w:rPr>
                <w:sz w:val="24"/>
              </w:rPr>
              <w:t>合计（万元</w:t>
            </w:r>
            <w:r>
              <w:rPr>
                <w:spacing w:val="-120"/>
                <w:sz w:val="24"/>
              </w:rPr>
              <w:t>）</w:t>
            </w:r>
            <w:r>
              <w:rPr>
                <w:sz w:val="24"/>
              </w:rPr>
              <w:t>：</w:t>
            </w:r>
          </w:p>
        </w:tc>
      </w:tr>
    </w:tbl>
    <w:p>
      <w:pPr>
        <w:pStyle w:val="2"/>
        <w:spacing w:before="2"/>
        <w:ind w:left="0"/>
        <w:rPr>
          <w:sz w:val="38"/>
          <w:highlight w:val="yellow"/>
        </w:rPr>
      </w:pPr>
    </w:p>
    <w:p>
      <w:pPr>
        <w:pStyle w:val="2"/>
        <w:ind w:left="220"/>
      </w:pPr>
      <w:r>
        <w:t>供应商代表签字：</w:t>
      </w:r>
    </w:p>
    <w:p>
      <w:pPr>
        <w:pStyle w:val="2"/>
        <w:spacing w:before="94"/>
        <w:ind w:left="220"/>
      </w:pPr>
      <w:r>
        <w:t>注：</w:t>
      </w:r>
      <w:r>
        <w:rPr>
          <w:rFonts w:ascii="Arial" w:eastAsia="Arial"/>
        </w:rPr>
        <w:t>1</w:t>
      </w:r>
      <w:r>
        <w:t>、折扣条件与折扣声明应在表下注明。</w:t>
      </w:r>
    </w:p>
    <w:p>
      <w:pPr>
        <w:pStyle w:val="2"/>
        <w:spacing w:before="91"/>
        <w:ind w:left="700"/>
        <w:rPr>
          <w:highlight w:val="yellow"/>
        </w:rPr>
      </w:pPr>
    </w:p>
    <w:p>
      <w:pPr>
        <w:pStyle w:val="2"/>
        <w:spacing w:before="1"/>
        <w:ind w:left="0"/>
        <w:rPr>
          <w:sz w:val="21"/>
          <w:highlight w:val="yellow"/>
        </w:rPr>
      </w:pPr>
    </w:p>
    <w:p>
      <w:pPr>
        <w:jc w:val="both"/>
        <w:rPr>
          <w:rFonts w:ascii="Calibri"/>
          <w:sz w:val="18"/>
          <w:highlight w:val="yellow"/>
        </w:rPr>
        <w:sectPr>
          <w:footerReference r:id="rId5" w:type="default"/>
          <w:pgSz w:w="16840" w:h="11910" w:orient="landscape"/>
          <w:pgMar w:top="740" w:right="500" w:bottom="280" w:left="500" w:header="0" w:footer="0" w:gutter="0"/>
          <w:cols w:space="720" w:num="1"/>
        </w:sectPr>
      </w:pPr>
    </w:p>
    <w:p>
      <w:pPr>
        <w:pStyle w:val="2"/>
        <w:spacing w:before="50"/>
        <w:ind w:left="588" w:right="1246"/>
        <w:jc w:val="center"/>
      </w:pPr>
      <w:r>
        <w:rPr>
          <w:rFonts w:ascii="Arial" w:eastAsia="Arial"/>
        </w:rPr>
        <w:t>3</w:t>
      </w:r>
      <w:r>
        <w:t>、分项报价表</w:t>
      </w:r>
    </w:p>
    <w:p>
      <w:pPr>
        <w:pStyle w:val="2"/>
        <w:spacing w:before="5"/>
        <w:ind w:left="0"/>
        <w:rPr>
          <w:sz w:val="38"/>
        </w:rPr>
      </w:pPr>
    </w:p>
    <w:p>
      <w:pPr>
        <w:pStyle w:val="2"/>
        <w:tabs>
          <w:tab w:val="left" w:pos="3580"/>
          <w:tab w:val="left" w:pos="7608"/>
        </w:tabs>
        <w:spacing w:after="5"/>
        <w:ind w:left="220"/>
      </w:pPr>
      <w:r>
        <w:t>供应商名称（公章</w:t>
      </w:r>
      <w:r>
        <w:rPr>
          <w:spacing w:val="-120"/>
        </w:rPr>
        <w:t>）</w:t>
      </w:r>
      <w:r>
        <w:t>：</w:t>
      </w:r>
      <w:r>
        <w:rPr>
          <w:u w:val="single"/>
        </w:rPr>
        <w:tab/>
      </w:r>
      <w:r>
        <w:t>项目编号</w:t>
      </w:r>
      <w:r>
        <w:rPr>
          <w:rFonts w:ascii="Arial" w:eastAsia="Arial"/>
        </w:rPr>
        <w:t>/</w:t>
      </w:r>
      <w:r>
        <w:t>包号：</w:t>
      </w:r>
      <w:r>
        <w:rPr>
          <w:u w:val="single"/>
        </w:rPr>
        <w:tab/>
      </w:r>
    </w:p>
    <w:tbl>
      <w:tblPr>
        <w:tblStyle w:val="20"/>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2156"/>
        <w:gridCol w:w="1049"/>
        <w:gridCol w:w="1304"/>
        <w:gridCol w:w="744"/>
        <w:gridCol w:w="1114"/>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598" w:type="dxa"/>
          </w:tcPr>
          <w:p>
            <w:pPr>
              <w:pStyle w:val="23"/>
              <w:spacing w:before="8" w:line="400" w:lineRule="exact"/>
              <w:ind w:left="177" w:right="168"/>
              <w:rPr>
                <w:sz w:val="24"/>
              </w:rPr>
            </w:pPr>
            <w:r>
              <w:rPr>
                <w:sz w:val="24"/>
              </w:rPr>
              <w:t>序号</w:t>
            </w:r>
          </w:p>
        </w:tc>
        <w:tc>
          <w:tcPr>
            <w:tcW w:w="2156" w:type="dxa"/>
          </w:tcPr>
          <w:p>
            <w:pPr>
              <w:pStyle w:val="23"/>
              <w:spacing w:before="8"/>
            </w:pPr>
          </w:p>
          <w:p>
            <w:pPr>
              <w:pStyle w:val="23"/>
              <w:ind w:left="814" w:right="811"/>
              <w:jc w:val="center"/>
              <w:rPr>
                <w:sz w:val="24"/>
              </w:rPr>
            </w:pPr>
            <w:r>
              <w:rPr>
                <w:sz w:val="24"/>
              </w:rPr>
              <w:t>名称</w:t>
            </w:r>
          </w:p>
        </w:tc>
        <w:tc>
          <w:tcPr>
            <w:tcW w:w="1049" w:type="dxa"/>
          </w:tcPr>
          <w:p>
            <w:pPr>
              <w:pStyle w:val="23"/>
              <w:spacing w:before="8" w:line="400" w:lineRule="exact"/>
              <w:ind w:left="402" w:right="154" w:hanging="240"/>
              <w:rPr>
                <w:sz w:val="24"/>
              </w:rPr>
            </w:pPr>
            <w:r>
              <w:rPr>
                <w:sz w:val="24"/>
              </w:rPr>
              <w:t>规格型号</w:t>
            </w:r>
          </w:p>
        </w:tc>
        <w:tc>
          <w:tcPr>
            <w:tcW w:w="1304" w:type="dxa"/>
          </w:tcPr>
          <w:p>
            <w:pPr>
              <w:pStyle w:val="23"/>
              <w:spacing w:before="8"/>
            </w:pPr>
          </w:p>
          <w:p>
            <w:pPr>
              <w:pStyle w:val="23"/>
              <w:ind w:left="289"/>
              <w:rPr>
                <w:sz w:val="24"/>
              </w:rPr>
            </w:pPr>
            <w:r>
              <w:rPr>
                <w:sz w:val="24"/>
              </w:rPr>
              <w:t>制造商</w:t>
            </w:r>
          </w:p>
        </w:tc>
        <w:tc>
          <w:tcPr>
            <w:tcW w:w="744" w:type="dxa"/>
          </w:tcPr>
          <w:p>
            <w:pPr>
              <w:pStyle w:val="23"/>
              <w:spacing w:before="8"/>
            </w:pPr>
          </w:p>
          <w:p>
            <w:pPr>
              <w:pStyle w:val="23"/>
              <w:ind w:left="130"/>
              <w:rPr>
                <w:sz w:val="24"/>
              </w:rPr>
            </w:pPr>
            <w:r>
              <w:rPr>
                <w:sz w:val="24"/>
              </w:rPr>
              <w:t>数量</w:t>
            </w:r>
          </w:p>
        </w:tc>
        <w:tc>
          <w:tcPr>
            <w:tcW w:w="1114" w:type="dxa"/>
          </w:tcPr>
          <w:p>
            <w:pPr>
              <w:pStyle w:val="23"/>
              <w:spacing w:before="8"/>
            </w:pPr>
          </w:p>
          <w:p>
            <w:pPr>
              <w:pStyle w:val="23"/>
              <w:ind w:left="315"/>
              <w:rPr>
                <w:sz w:val="24"/>
              </w:rPr>
            </w:pPr>
            <w:r>
              <w:rPr>
                <w:sz w:val="24"/>
              </w:rPr>
              <w:t>单价</w:t>
            </w:r>
          </w:p>
        </w:tc>
        <w:tc>
          <w:tcPr>
            <w:tcW w:w="1560" w:type="dxa"/>
          </w:tcPr>
          <w:p>
            <w:pPr>
              <w:pStyle w:val="23"/>
              <w:spacing w:before="8"/>
            </w:pPr>
          </w:p>
          <w:p>
            <w:pPr>
              <w:pStyle w:val="23"/>
              <w:ind w:left="518" w:right="511"/>
              <w:jc w:val="center"/>
              <w:rPr>
                <w:sz w:val="24"/>
              </w:rPr>
            </w:pPr>
            <w:r>
              <w:rPr>
                <w:sz w:val="24"/>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598" w:type="dxa"/>
          </w:tcPr>
          <w:p>
            <w:pPr>
              <w:pStyle w:val="23"/>
              <w:spacing w:before="149"/>
              <w:ind w:left="107"/>
              <w:rPr>
                <w:rFonts w:ascii="Arial"/>
                <w:sz w:val="24"/>
              </w:rPr>
            </w:pPr>
            <w:r>
              <w:rPr>
                <w:rFonts w:ascii="Arial"/>
                <w:w w:val="99"/>
                <w:sz w:val="24"/>
              </w:rPr>
              <w:t>1</w:t>
            </w:r>
          </w:p>
        </w:tc>
        <w:tc>
          <w:tcPr>
            <w:tcW w:w="2156" w:type="dxa"/>
          </w:tcPr>
          <w:p>
            <w:pPr>
              <w:pStyle w:val="23"/>
              <w:rPr>
                <w:rFonts w:ascii="Times New Roman"/>
              </w:rPr>
            </w:pPr>
          </w:p>
        </w:tc>
        <w:tc>
          <w:tcPr>
            <w:tcW w:w="1049" w:type="dxa"/>
          </w:tcPr>
          <w:p>
            <w:pPr>
              <w:pStyle w:val="23"/>
              <w:rPr>
                <w:rFonts w:ascii="Times New Roman"/>
              </w:rPr>
            </w:pPr>
          </w:p>
        </w:tc>
        <w:tc>
          <w:tcPr>
            <w:tcW w:w="1304" w:type="dxa"/>
          </w:tcPr>
          <w:p>
            <w:pPr>
              <w:pStyle w:val="23"/>
              <w:rPr>
                <w:rFonts w:ascii="Times New Roman"/>
              </w:rPr>
            </w:pPr>
          </w:p>
        </w:tc>
        <w:tc>
          <w:tcPr>
            <w:tcW w:w="744" w:type="dxa"/>
          </w:tcPr>
          <w:p>
            <w:pPr>
              <w:pStyle w:val="23"/>
              <w:rPr>
                <w:rFonts w:ascii="Times New Roman"/>
              </w:rPr>
            </w:pPr>
          </w:p>
        </w:tc>
        <w:tc>
          <w:tcPr>
            <w:tcW w:w="1114" w:type="dxa"/>
          </w:tcPr>
          <w:p>
            <w:pPr>
              <w:pStyle w:val="23"/>
              <w:rPr>
                <w:rFonts w:ascii="Times New Roman"/>
              </w:rPr>
            </w:pPr>
          </w:p>
        </w:tc>
        <w:tc>
          <w:tcPr>
            <w:tcW w:w="15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598" w:type="dxa"/>
          </w:tcPr>
          <w:p>
            <w:pPr>
              <w:pStyle w:val="23"/>
              <w:spacing w:before="137"/>
              <w:ind w:left="107"/>
              <w:rPr>
                <w:rFonts w:ascii="Arial"/>
                <w:sz w:val="24"/>
              </w:rPr>
            </w:pPr>
            <w:r>
              <w:rPr>
                <w:rFonts w:ascii="Arial"/>
                <w:w w:val="99"/>
                <w:sz w:val="24"/>
              </w:rPr>
              <w:t>2</w:t>
            </w:r>
          </w:p>
        </w:tc>
        <w:tc>
          <w:tcPr>
            <w:tcW w:w="2156" w:type="dxa"/>
          </w:tcPr>
          <w:p>
            <w:pPr>
              <w:pStyle w:val="23"/>
              <w:rPr>
                <w:rFonts w:ascii="Times New Roman"/>
                <w:highlight w:val="yellow"/>
              </w:rPr>
            </w:pPr>
          </w:p>
        </w:tc>
        <w:tc>
          <w:tcPr>
            <w:tcW w:w="1049" w:type="dxa"/>
          </w:tcPr>
          <w:p>
            <w:pPr>
              <w:pStyle w:val="23"/>
              <w:rPr>
                <w:rFonts w:ascii="Times New Roman"/>
                <w:highlight w:val="yellow"/>
              </w:rPr>
            </w:pPr>
          </w:p>
        </w:tc>
        <w:tc>
          <w:tcPr>
            <w:tcW w:w="1304" w:type="dxa"/>
          </w:tcPr>
          <w:p>
            <w:pPr>
              <w:pStyle w:val="23"/>
              <w:rPr>
                <w:rFonts w:ascii="Times New Roman"/>
                <w:highlight w:val="yellow"/>
              </w:rPr>
            </w:pPr>
          </w:p>
        </w:tc>
        <w:tc>
          <w:tcPr>
            <w:tcW w:w="744" w:type="dxa"/>
          </w:tcPr>
          <w:p>
            <w:pPr>
              <w:pStyle w:val="23"/>
              <w:rPr>
                <w:rFonts w:ascii="Times New Roman"/>
                <w:highlight w:val="yellow"/>
              </w:rPr>
            </w:pPr>
          </w:p>
        </w:tc>
        <w:tc>
          <w:tcPr>
            <w:tcW w:w="1114" w:type="dxa"/>
          </w:tcPr>
          <w:p>
            <w:pPr>
              <w:pStyle w:val="23"/>
              <w:rPr>
                <w:rFonts w:ascii="Times New Roman"/>
                <w:highlight w:val="yellow"/>
              </w:rPr>
            </w:pPr>
          </w:p>
        </w:tc>
        <w:tc>
          <w:tcPr>
            <w:tcW w:w="156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598" w:type="dxa"/>
          </w:tcPr>
          <w:p>
            <w:pPr>
              <w:pStyle w:val="23"/>
              <w:spacing w:before="140"/>
              <w:ind w:left="107"/>
              <w:rPr>
                <w:rFonts w:ascii="Arial"/>
                <w:sz w:val="24"/>
              </w:rPr>
            </w:pPr>
            <w:r>
              <w:rPr>
                <w:rFonts w:ascii="Arial"/>
                <w:w w:val="99"/>
                <w:sz w:val="24"/>
              </w:rPr>
              <w:t>3</w:t>
            </w:r>
          </w:p>
        </w:tc>
        <w:tc>
          <w:tcPr>
            <w:tcW w:w="2156" w:type="dxa"/>
          </w:tcPr>
          <w:p>
            <w:pPr>
              <w:pStyle w:val="23"/>
              <w:rPr>
                <w:rFonts w:ascii="Times New Roman"/>
                <w:highlight w:val="yellow"/>
              </w:rPr>
            </w:pPr>
          </w:p>
        </w:tc>
        <w:tc>
          <w:tcPr>
            <w:tcW w:w="1049" w:type="dxa"/>
          </w:tcPr>
          <w:p>
            <w:pPr>
              <w:pStyle w:val="23"/>
              <w:rPr>
                <w:rFonts w:ascii="Times New Roman"/>
                <w:highlight w:val="yellow"/>
              </w:rPr>
            </w:pPr>
          </w:p>
        </w:tc>
        <w:tc>
          <w:tcPr>
            <w:tcW w:w="1304" w:type="dxa"/>
          </w:tcPr>
          <w:p>
            <w:pPr>
              <w:pStyle w:val="23"/>
              <w:rPr>
                <w:rFonts w:ascii="Times New Roman"/>
                <w:highlight w:val="yellow"/>
              </w:rPr>
            </w:pPr>
          </w:p>
        </w:tc>
        <w:tc>
          <w:tcPr>
            <w:tcW w:w="744" w:type="dxa"/>
          </w:tcPr>
          <w:p>
            <w:pPr>
              <w:pStyle w:val="23"/>
              <w:rPr>
                <w:rFonts w:ascii="Times New Roman"/>
                <w:highlight w:val="yellow"/>
              </w:rPr>
            </w:pPr>
          </w:p>
        </w:tc>
        <w:tc>
          <w:tcPr>
            <w:tcW w:w="1114" w:type="dxa"/>
          </w:tcPr>
          <w:p>
            <w:pPr>
              <w:pStyle w:val="23"/>
              <w:rPr>
                <w:rFonts w:ascii="Times New Roman"/>
                <w:highlight w:val="yellow"/>
              </w:rPr>
            </w:pPr>
          </w:p>
        </w:tc>
        <w:tc>
          <w:tcPr>
            <w:tcW w:w="156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598" w:type="dxa"/>
          </w:tcPr>
          <w:p>
            <w:pPr>
              <w:pStyle w:val="23"/>
              <w:rPr>
                <w:rFonts w:ascii="Times New Roman"/>
                <w:highlight w:val="yellow"/>
              </w:rPr>
            </w:pPr>
          </w:p>
        </w:tc>
        <w:tc>
          <w:tcPr>
            <w:tcW w:w="2156" w:type="dxa"/>
          </w:tcPr>
          <w:p>
            <w:pPr>
              <w:pStyle w:val="23"/>
              <w:rPr>
                <w:rFonts w:ascii="Times New Roman"/>
                <w:highlight w:val="yellow"/>
              </w:rPr>
            </w:pPr>
          </w:p>
        </w:tc>
        <w:tc>
          <w:tcPr>
            <w:tcW w:w="1049" w:type="dxa"/>
          </w:tcPr>
          <w:p>
            <w:pPr>
              <w:pStyle w:val="23"/>
              <w:rPr>
                <w:rFonts w:ascii="Times New Roman"/>
                <w:highlight w:val="yellow"/>
              </w:rPr>
            </w:pPr>
          </w:p>
        </w:tc>
        <w:tc>
          <w:tcPr>
            <w:tcW w:w="1304" w:type="dxa"/>
          </w:tcPr>
          <w:p>
            <w:pPr>
              <w:pStyle w:val="23"/>
              <w:rPr>
                <w:rFonts w:ascii="Times New Roman"/>
                <w:highlight w:val="yellow"/>
              </w:rPr>
            </w:pPr>
          </w:p>
        </w:tc>
        <w:tc>
          <w:tcPr>
            <w:tcW w:w="744" w:type="dxa"/>
          </w:tcPr>
          <w:p>
            <w:pPr>
              <w:pStyle w:val="23"/>
              <w:rPr>
                <w:rFonts w:ascii="Times New Roman"/>
                <w:highlight w:val="yellow"/>
              </w:rPr>
            </w:pPr>
          </w:p>
        </w:tc>
        <w:tc>
          <w:tcPr>
            <w:tcW w:w="1114" w:type="dxa"/>
          </w:tcPr>
          <w:p>
            <w:pPr>
              <w:pStyle w:val="23"/>
              <w:rPr>
                <w:rFonts w:ascii="Times New Roman"/>
                <w:highlight w:val="yellow"/>
              </w:rPr>
            </w:pPr>
          </w:p>
        </w:tc>
        <w:tc>
          <w:tcPr>
            <w:tcW w:w="156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598" w:type="dxa"/>
          </w:tcPr>
          <w:p>
            <w:pPr>
              <w:pStyle w:val="23"/>
              <w:rPr>
                <w:rFonts w:ascii="Times New Roman"/>
                <w:highlight w:val="yellow"/>
              </w:rPr>
            </w:pPr>
          </w:p>
        </w:tc>
        <w:tc>
          <w:tcPr>
            <w:tcW w:w="2156" w:type="dxa"/>
          </w:tcPr>
          <w:p>
            <w:pPr>
              <w:pStyle w:val="23"/>
              <w:rPr>
                <w:rFonts w:ascii="Times New Roman"/>
                <w:highlight w:val="yellow"/>
              </w:rPr>
            </w:pPr>
          </w:p>
        </w:tc>
        <w:tc>
          <w:tcPr>
            <w:tcW w:w="1049" w:type="dxa"/>
          </w:tcPr>
          <w:p>
            <w:pPr>
              <w:pStyle w:val="23"/>
              <w:rPr>
                <w:rFonts w:ascii="Times New Roman"/>
                <w:highlight w:val="yellow"/>
              </w:rPr>
            </w:pPr>
          </w:p>
        </w:tc>
        <w:tc>
          <w:tcPr>
            <w:tcW w:w="1304" w:type="dxa"/>
          </w:tcPr>
          <w:p>
            <w:pPr>
              <w:pStyle w:val="23"/>
              <w:rPr>
                <w:rFonts w:ascii="Times New Roman"/>
                <w:highlight w:val="yellow"/>
              </w:rPr>
            </w:pPr>
          </w:p>
        </w:tc>
        <w:tc>
          <w:tcPr>
            <w:tcW w:w="744" w:type="dxa"/>
          </w:tcPr>
          <w:p>
            <w:pPr>
              <w:pStyle w:val="23"/>
              <w:rPr>
                <w:rFonts w:ascii="Times New Roman"/>
                <w:highlight w:val="yellow"/>
              </w:rPr>
            </w:pPr>
          </w:p>
        </w:tc>
        <w:tc>
          <w:tcPr>
            <w:tcW w:w="1114" w:type="dxa"/>
          </w:tcPr>
          <w:p>
            <w:pPr>
              <w:pStyle w:val="23"/>
              <w:rPr>
                <w:rFonts w:ascii="Times New Roman"/>
                <w:highlight w:val="yellow"/>
              </w:rPr>
            </w:pPr>
          </w:p>
        </w:tc>
        <w:tc>
          <w:tcPr>
            <w:tcW w:w="156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98" w:type="dxa"/>
          </w:tcPr>
          <w:p>
            <w:pPr>
              <w:pStyle w:val="23"/>
              <w:rPr>
                <w:rFonts w:ascii="Times New Roman"/>
                <w:highlight w:val="yellow"/>
              </w:rPr>
            </w:pPr>
          </w:p>
        </w:tc>
        <w:tc>
          <w:tcPr>
            <w:tcW w:w="2156" w:type="dxa"/>
          </w:tcPr>
          <w:p>
            <w:pPr>
              <w:pStyle w:val="23"/>
              <w:rPr>
                <w:rFonts w:ascii="Times New Roman"/>
                <w:highlight w:val="yellow"/>
              </w:rPr>
            </w:pPr>
          </w:p>
        </w:tc>
        <w:tc>
          <w:tcPr>
            <w:tcW w:w="1049" w:type="dxa"/>
          </w:tcPr>
          <w:p>
            <w:pPr>
              <w:pStyle w:val="23"/>
              <w:rPr>
                <w:rFonts w:ascii="Times New Roman"/>
                <w:highlight w:val="yellow"/>
              </w:rPr>
            </w:pPr>
          </w:p>
        </w:tc>
        <w:tc>
          <w:tcPr>
            <w:tcW w:w="1304" w:type="dxa"/>
          </w:tcPr>
          <w:p>
            <w:pPr>
              <w:pStyle w:val="23"/>
              <w:rPr>
                <w:rFonts w:ascii="Times New Roman"/>
                <w:highlight w:val="yellow"/>
              </w:rPr>
            </w:pPr>
          </w:p>
        </w:tc>
        <w:tc>
          <w:tcPr>
            <w:tcW w:w="744" w:type="dxa"/>
          </w:tcPr>
          <w:p>
            <w:pPr>
              <w:pStyle w:val="23"/>
              <w:rPr>
                <w:rFonts w:ascii="Times New Roman"/>
                <w:highlight w:val="yellow"/>
              </w:rPr>
            </w:pPr>
          </w:p>
        </w:tc>
        <w:tc>
          <w:tcPr>
            <w:tcW w:w="1114" w:type="dxa"/>
          </w:tcPr>
          <w:p>
            <w:pPr>
              <w:pStyle w:val="23"/>
              <w:rPr>
                <w:rFonts w:ascii="Times New Roman"/>
                <w:highlight w:val="yellow"/>
              </w:rPr>
            </w:pPr>
          </w:p>
        </w:tc>
        <w:tc>
          <w:tcPr>
            <w:tcW w:w="156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98" w:type="dxa"/>
          </w:tcPr>
          <w:p>
            <w:pPr>
              <w:pStyle w:val="23"/>
              <w:rPr>
                <w:rFonts w:ascii="Times New Roman"/>
                <w:highlight w:val="yellow"/>
              </w:rPr>
            </w:pPr>
          </w:p>
        </w:tc>
        <w:tc>
          <w:tcPr>
            <w:tcW w:w="2156" w:type="dxa"/>
          </w:tcPr>
          <w:p>
            <w:pPr>
              <w:pStyle w:val="23"/>
              <w:spacing w:before="88" w:line="292" w:lineRule="exact"/>
              <w:ind w:left="107"/>
              <w:rPr>
                <w:sz w:val="24"/>
                <w:highlight w:val="yellow"/>
              </w:rPr>
            </w:pPr>
            <w:r>
              <w:rPr>
                <w:sz w:val="24"/>
              </w:rPr>
              <w:t>总价</w:t>
            </w:r>
          </w:p>
        </w:tc>
        <w:tc>
          <w:tcPr>
            <w:tcW w:w="1049" w:type="dxa"/>
          </w:tcPr>
          <w:p>
            <w:pPr>
              <w:pStyle w:val="23"/>
              <w:rPr>
                <w:rFonts w:ascii="Times New Roman"/>
                <w:highlight w:val="yellow"/>
              </w:rPr>
            </w:pPr>
          </w:p>
        </w:tc>
        <w:tc>
          <w:tcPr>
            <w:tcW w:w="1304" w:type="dxa"/>
          </w:tcPr>
          <w:p>
            <w:pPr>
              <w:pStyle w:val="23"/>
              <w:rPr>
                <w:rFonts w:ascii="Times New Roman"/>
                <w:highlight w:val="yellow"/>
              </w:rPr>
            </w:pPr>
          </w:p>
        </w:tc>
        <w:tc>
          <w:tcPr>
            <w:tcW w:w="744" w:type="dxa"/>
          </w:tcPr>
          <w:p>
            <w:pPr>
              <w:pStyle w:val="23"/>
              <w:rPr>
                <w:rFonts w:ascii="Times New Roman"/>
                <w:highlight w:val="yellow"/>
              </w:rPr>
            </w:pPr>
          </w:p>
        </w:tc>
        <w:tc>
          <w:tcPr>
            <w:tcW w:w="1114" w:type="dxa"/>
          </w:tcPr>
          <w:p>
            <w:pPr>
              <w:pStyle w:val="23"/>
              <w:rPr>
                <w:rFonts w:ascii="Times New Roman"/>
                <w:highlight w:val="yellow"/>
              </w:rPr>
            </w:pPr>
          </w:p>
        </w:tc>
        <w:tc>
          <w:tcPr>
            <w:tcW w:w="1560" w:type="dxa"/>
          </w:tcPr>
          <w:p>
            <w:pPr>
              <w:pStyle w:val="23"/>
              <w:rPr>
                <w:rFonts w:ascii="Times New Roman"/>
                <w:highlight w:val="yellow"/>
              </w:rPr>
            </w:pPr>
          </w:p>
        </w:tc>
      </w:tr>
    </w:tbl>
    <w:p>
      <w:pPr>
        <w:pStyle w:val="2"/>
        <w:ind w:left="0"/>
        <w:rPr>
          <w:sz w:val="26"/>
          <w:highlight w:val="yellow"/>
        </w:rPr>
      </w:pPr>
    </w:p>
    <w:p>
      <w:pPr>
        <w:pStyle w:val="2"/>
        <w:ind w:left="0"/>
        <w:rPr>
          <w:sz w:val="26"/>
          <w:highlight w:val="yellow"/>
        </w:rPr>
      </w:pPr>
    </w:p>
    <w:p>
      <w:pPr>
        <w:pStyle w:val="2"/>
        <w:spacing w:before="221"/>
        <w:ind w:left="220"/>
      </w:pPr>
      <w:r>
        <w:t>注：此表需详列投标的每种设备。</w:t>
      </w:r>
    </w:p>
    <w:p>
      <w:pPr>
        <w:pStyle w:val="2"/>
        <w:ind w:left="0"/>
      </w:pPr>
    </w:p>
    <w:p>
      <w:pPr>
        <w:pStyle w:val="2"/>
        <w:ind w:left="0"/>
      </w:pPr>
    </w:p>
    <w:p>
      <w:pPr>
        <w:pStyle w:val="2"/>
        <w:spacing w:before="9"/>
        <w:ind w:left="0"/>
        <w:rPr>
          <w:sz w:val="21"/>
        </w:rPr>
      </w:pPr>
    </w:p>
    <w:p>
      <w:pPr>
        <w:pStyle w:val="2"/>
        <w:ind w:left="220"/>
      </w:pPr>
      <w:r>
        <w:t>供应商代表签字：</w:t>
      </w:r>
    </w:p>
    <w:p>
      <w:pPr>
        <w:rPr>
          <w:highlight w:val="yellow"/>
        </w:rPr>
        <w:sectPr>
          <w:footerReference r:id="rId6" w:type="default"/>
          <w:pgSz w:w="11910" w:h="16840"/>
          <w:pgMar w:top="1460" w:right="920" w:bottom="1380" w:left="1580" w:header="0" w:footer="1195" w:gutter="0"/>
          <w:cols w:space="720" w:num="1"/>
        </w:sectPr>
      </w:pPr>
    </w:p>
    <w:p>
      <w:pPr>
        <w:pStyle w:val="2"/>
        <w:spacing w:before="50"/>
        <w:ind w:left="2985"/>
      </w:pPr>
      <w:r>
        <w:rPr>
          <w:rFonts w:ascii="Arial" w:eastAsia="Arial"/>
        </w:rPr>
        <w:t>4</w:t>
      </w:r>
      <w:r>
        <w:t>、技术参数、功能偏离表</w:t>
      </w:r>
    </w:p>
    <w:p>
      <w:pPr>
        <w:pStyle w:val="2"/>
        <w:spacing w:before="5"/>
        <w:ind w:left="0"/>
        <w:rPr>
          <w:sz w:val="38"/>
          <w:highlight w:val="yellow"/>
        </w:rPr>
      </w:pPr>
    </w:p>
    <w:p>
      <w:pPr>
        <w:pStyle w:val="2"/>
        <w:tabs>
          <w:tab w:val="left" w:pos="3580"/>
          <w:tab w:val="left" w:pos="5021"/>
        </w:tabs>
        <w:spacing w:after="5"/>
        <w:ind w:left="220"/>
      </w:pPr>
      <w:r>
        <w:t>供应</w:t>
      </w:r>
      <w:r>
        <w:rPr>
          <w:spacing w:val="-1"/>
        </w:rPr>
        <w:t>商</w:t>
      </w:r>
      <w:r>
        <w:t>名称（公章</w:t>
      </w:r>
      <w:r>
        <w:rPr>
          <w:spacing w:val="-120"/>
        </w:rPr>
        <w:t>）</w:t>
      </w:r>
      <w:r>
        <w:t>：</w:t>
      </w:r>
      <w:r>
        <w:rPr>
          <w:u w:val="single"/>
        </w:rPr>
        <w:tab/>
      </w:r>
      <w:r>
        <w:rPr>
          <w:u w:val="single"/>
        </w:rPr>
        <w:tab/>
      </w:r>
      <w:r>
        <w:t>项目编号</w:t>
      </w:r>
      <w:r>
        <w:rPr>
          <w:rFonts w:ascii="Arial" w:eastAsia="Arial"/>
        </w:rPr>
        <w:t>/</w:t>
      </w:r>
      <w:r>
        <w:t>包号：</w:t>
      </w:r>
    </w:p>
    <w:tbl>
      <w:tblPr>
        <w:tblStyle w:val="20"/>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428"/>
        <w:gridCol w:w="2177"/>
        <w:gridCol w:w="2011"/>
        <w:gridCol w:w="1440"/>
        <w:gridCol w:w="1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456" w:type="dxa"/>
          </w:tcPr>
          <w:p>
            <w:pPr>
              <w:pStyle w:val="23"/>
              <w:spacing w:before="8" w:line="400" w:lineRule="exact"/>
              <w:ind w:left="107" w:right="96"/>
              <w:rPr>
                <w:sz w:val="24"/>
              </w:rPr>
            </w:pPr>
            <w:r>
              <w:rPr>
                <w:sz w:val="24"/>
              </w:rPr>
              <w:t>序号</w:t>
            </w:r>
          </w:p>
        </w:tc>
        <w:tc>
          <w:tcPr>
            <w:tcW w:w="1428" w:type="dxa"/>
          </w:tcPr>
          <w:p>
            <w:pPr>
              <w:pStyle w:val="23"/>
              <w:spacing w:before="8" w:line="400" w:lineRule="exact"/>
              <w:ind w:left="232" w:right="103" w:hanging="120"/>
              <w:rPr>
                <w:sz w:val="24"/>
              </w:rPr>
            </w:pPr>
            <w:r>
              <w:rPr>
                <w:sz w:val="24"/>
              </w:rPr>
              <w:t>采购文件规格条目号</w:t>
            </w:r>
          </w:p>
        </w:tc>
        <w:tc>
          <w:tcPr>
            <w:tcW w:w="2177" w:type="dxa"/>
          </w:tcPr>
          <w:p>
            <w:pPr>
              <w:pStyle w:val="23"/>
              <w:spacing w:before="8"/>
            </w:pPr>
          </w:p>
          <w:p>
            <w:pPr>
              <w:pStyle w:val="23"/>
              <w:ind w:left="129"/>
              <w:rPr>
                <w:sz w:val="24"/>
              </w:rPr>
            </w:pPr>
            <w:r>
              <w:rPr>
                <w:sz w:val="24"/>
              </w:rPr>
              <w:t>采购文件要求规格</w:t>
            </w:r>
          </w:p>
        </w:tc>
        <w:tc>
          <w:tcPr>
            <w:tcW w:w="2011" w:type="dxa"/>
          </w:tcPr>
          <w:p>
            <w:pPr>
              <w:pStyle w:val="23"/>
              <w:spacing w:before="8"/>
            </w:pPr>
          </w:p>
          <w:p>
            <w:pPr>
              <w:pStyle w:val="23"/>
              <w:ind w:left="526"/>
              <w:rPr>
                <w:sz w:val="24"/>
              </w:rPr>
            </w:pPr>
            <w:r>
              <w:rPr>
                <w:sz w:val="24"/>
              </w:rPr>
              <w:t>投标规格</w:t>
            </w:r>
          </w:p>
        </w:tc>
        <w:tc>
          <w:tcPr>
            <w:tcW w:w="1440" w:type="dxa"/>
          </w:tcPr>
          <w:p>
            <w:pPr>
              <w:pStyle w:val="23"/>
              <w:spacing w:before="8"/>
            </w:pPr>
          </w:p>
          <w:p>
            <w:pPr>
              <w:pStyle w:val="23"/>
              <w:ind w:left="480"/>
              <w:rPr>
                <w:sz w:val="24"/>
              </w:rPr>
            </w:pPr>
            <w:r>
              <w:rPr>
                <w:sz w:val="24"/>
              </w:rPr>
              <w:t>偏离</w:t>
            </w:r>
          </w:p>
        </w:tc>
        <w:tc>
          <w:tcPr>
            <w:tcW w:w="1010" w:type="dxa"/>
          </w:tcPr>
          <w:p>
            <w:pPr>
              <w:pStyle w:val="23"/>
              <w:spacing w:before="8"/>
            </w:pPr>
          </w:p>
          <w:p>
            <w:pPr>
              <w:pStyle w:val="23"/>
              <w:ind w:left="265"/>
              <w:rPr>
                <w:sz w:val="24"/>
              </w:rPr>
            </w:pPr>
            <w:r>
              <w:rPr>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1" w:hRule="atLeast"/>
        </w:trPr>
        <w:tc>
          <w:tcPr>
            <w:tcW w:w="456" w:type="dxa"/>
          </w:tcPr>
          <w:p>
            <w:pPr>
              <w:pStyle w:val="23"/>
              <w:rPr>
                <w:rFonts w:ascii="Times New Roman"/>
                <w:highlight w:val="yellow"/>
              </w:rPr>
            </w:pPr>
          </w:p>
        </w:tc>
        <w:tc>
          <w:tcPr>
            <w:tcW w:w="1428" w:type="dxa"/>
          </w:tcPr>
          <w:p>
            <w:pPr>
              <w:pStyle w:val="23"/>
              <w:rPr>
                <w:rFonts w:ascii="Times New Roman"/>
                <w:highlight w:val="yellow"/>
              </w:rPr>
            </w:pPr>
          </w:p>
        </w:tc>
        <w:tc>
          <w:tcPr>
            <w:tcW w:w="2177" w:type="dxa"/>
          </w:tcPr>
          <w:p>
            <w:pPr>
              <w:pStyle w:val="23"/>
              <w:rPr>
                <w:rFonts w:ascii="Times New Roman"/>
                <w:highlight w:val="yellow"/>
              </w:rPr>
            </w:pPr>
          </w:p>
        </w:tc>
        <w:tc>
          <w:tcPr>
            <w:tcW w:w="2011" w:type="dxa"/>
          </w:tcPr>
          <w:p>
            <w:pPr>
              <w:pStyle w:val="23"/>
              <w:rPr>
                <w:rFonts w:ascii="Times New Roman"/>
                <w:highlight w:val="yellow"/>
              </w:rPr>
            </w:pPr>
          </w:p>
        </w:tc>
        <w:tc>
          <w:tcPr>
            <w:tcW w:w="1440" w:type="dxa"/>
          </w:tcPr>
          <w:p>
            <w:pPr>
              <w:pStyle w:val="23"/>
              <w:rPr>
                <w:rFonts w:ascii="Times New Roman"/>
                <w:highlight w:val="yellow"/>
              </w:rPr>
            </w:pPr>
          </w:p>
        </w:tc>
        <w:tc>
          <w:tcPr>
            <w:tcW w:w="101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456" w:type="dxa"/>
          </w:tcPr>
          <w:p>
            <w:pPr>
              <w:pStyle w:val="23"/>
              <w:rPr>
                <w:rFonts w:ascii="Times New Roman"/>
                <w:highlight w:val="yellow"/>
              </w:rPr>
            </w:pPr>
          </w:p>
        </w:tc>
        <w:tc>
          <w:tcPr>
            <w:tcW w:w="1428" w:type="dxa"/>
          </w:tcPr>
          <w:p>
            <w:pPr>
              <w:pStyle w:val="23"/>
              <w:rPr>
                <w:rFonts w:ascii="Times New Roman"/>
                <w:highlight w:val="yellow"/>
              </w:rPr>
            </w:pPr>
          </w:p>
        </w:tc>
        <w:tc>
          <w:tcPr>
            <w:tcW w:w="2177" w:type="dxa"/>
          </w:tcPr>
          <w:p>
            <w:pPr>
              <w:pStyle w:val="23"/>
              <w:rPr>
                <w:rFonts w:ascii="Times New Roman"/>
                <w:highlight w:val="yellow"/>
              </w:rPr>
            </w:pPr>
          </w:p>
        </w:tc>
        <w:tc>
          <w:tcPr>
            <w:tcW w:w="2011" w:type="dxa"/>
          </w:tcPr>
          <w:p>
            <w:pPr>
              <w:pStyle w:val="23"/>
              <w:rPr>
                <w:rFonts w:ascii="Times New Roman"/>
                <w:highlight w:val="yellow"/>
              </w:rPr>
            </w:pPr>
          </w:p>
        </w:tc>
        <w:tc>
          <w:tcPr>
            <w:tcW w:w="1440" w:type="dxa"/>
          </w:tcPr>
          <w:p>
            <w:pPr>
              <w:pStyle w:val="23"/>
              <w:rPr>
                <w:rFonts w:ascii="Times New Roman"/>
                <w:highlight w:val="yellow"/>
              </w:rPr>
            </w:pPr>
          </w:p>
        </w:tc>
        <w:tc>
          <w:tcPr>
            <w:tcW w:w="101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8" w:hRule="atLeast"/>
        </w:trPr>
        <w:tc>
          <w:tcPr>
            <w:tcW w:w="456" w:type="dxa"/>
          </w:tcPr>
          <w:p>
            <w:pPr>
              <w:pStyle w:val="23"/>
              <w:rPr>
                <w:rFonts w:ascii="Times New Roman"/>
                <w:highlight w:val="yellow"/>
              </w:rPr>
            </w:pPr>
          </w:p>
        </w:tc>
        <w:tc>
          <w:tcPr>
            <w:tcW w:w="1428" w:type="dxa"/>
          </w:tcPr>
          <w:p>
            <w:pPr>
              <w:pStyle w:val="23"/>
              <w:rPr>
                <w:rFonts w:ascii="Times New Roman"/>
                <w:highlight w:val="yellow"/>
              </w:rPr>
            </w:pPr>
          </w:p>
        </w:tc>
        <w:tc>
          <w:tcPr>
            <w:tcW w:w="2177" w:type="dxa"/>
          </w:tcPr>
          <w:p>
            <w:pPr>
              <w:pStyle w:val="23"/>
              <w:rPr>
                <w:rFonts w:ascii="Times New Roman"/>
                <w:highlight w:val="yellow"/>
              </w:rPr>
            </w:pPr>
          </w:p>
        </w:tc>
        <w:tc>
          <w:tcPr>
            <w:tcW w:w="2011" w:type="dxa"/>
          </w:tcPr>
          <w:p>
            <w:pPr>
              <w:pStyle w:val="23"/>
              <w:rPr>
                <w:rFonts w:ascii="Times New Roman"/>
                <w:highlight w:val="yellow"/>
              </w:rPr>
            </w:pPr>
          </w:p>
        </w:tc>
        <w:tc>
          <w:tcPr>
            <w:tcW w:w="1440" w:type="dxa"/>
          </w:tcPr>
          <w:p>
            <w:pPr>
              <w:pStyle w:val="23"/>
              <w:rPr>
                <w:rFonts w:ascii="Times New Roman"/>
                <w:highlight w:val="yellow"/>
              </w:rPr>
            </w:pPr>
          </w:p>
        </w:tc>
        <w:tc>
          <w:tcPr>
            <w:tcW w:w="101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456" w:type="dxa"/>
          </w:tcPr>
          <w:p>
            <w:pPr>
              <w:pStyle w:val="23"/>
              <w:rPr>
                <w:rFonts w:ascii="Times New Roman"/>
                <w:highlight w:val="yellow"/>
              </w:rPr>
            </w:pPr>
          </w:p>
        </w:tc>
        <w:tc>
          <w:tcPr>
            <w:tcW w:w="1428" w:type="dxa"/>
          </w:tcPr>
          <w:p>
            <w:pPr>
              <w:pStyle w:val="23"/>
              <w:rPr>
                <w:rFonts w:ascii="Times New Roman"/>
                <w:highlight w:val="yellow"/>
              </w:rPr>
            </w:pPr>
          </w:p>
        </w:tc>
        <w:tc>
          <w:tcPr>
            <w:tcW w:w="2177" w:type="dxa"/>
          </w:tcPr>
          <w:p>
            <w:pPr>
              <w:pStyle w:val="23"/>
              <w:rPr>
                <w:rFonts w:ascii="Times New Roman"/>
                <w:highlight w:val="yellow"/>
              </w:rPr>
            </w:pPr>
          </w:p>
        </w:tc>
        <w:tc>
          <w:tcPr>
            <w:tcW w:w="2011" w:type="dxa"/>
          </w:tcPr>
          <w:p>
            <w:pPr>
              <w:pStyle w:val="23"/>
              <w:rPr>
                <w:rFonts w:ascii="Times New Roman"/>
                <w:highlight w:val="yellow"/>
              </w:rPr>
            </w:pPr>
          </w:p>
        </w:tc>
        <w:tc>
          <w:tcPr>
            <w:tcW w:w="1440" w:type="dxa"/>
          </w:tcPr>
          <w:p>
            <w:pPr>
              <w:pStyle w:val="23"/>
              <w:rPr>
                <w:rFonts w:ascii="Times New Roman"/>
                <w:highlight w:val="yellow"/>
              </w:rPr>
            </w:pPr>
          </w:p>
        </w:tc>
        <w:tc>
          <w:tcPr>
            <w:tcW w:w="101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8" w:hRule="atLeast"/>
        </w:trPr>
        <w:tc>
          <w:tcPr>
            <w:tcW w:w="456" w:type="dxa"/>
          </w:tcPr>
          <w:p>
            <w:pPr>
              <w:pStyle w:val="23"/>
              <w:rPr>
                <w:rFonts w:ascii="Times New Roman"/>
                <w:highlight w:val="yellow"/>
              </w:rPr>
            </w:pPr>
          </w:p>
        </w:tc>
        <w:tc>
          <w:tcPr>
            <w:tcW w:w="1428" w:type="dxa"/>
          </w:tcPr>
          <w:p>
            <w:pPr>
              <w:pStyle w:val="23"/>
              <w:rPr>
                <w:rFonts w:ascii="Times New Roman"/>
                <w:highlight w:val="yellow"/>
              </w:rPr>
            </w:pPr>
          </w:p>
        </w:tc>
        <w:tc>
          <w:tcPr>
            <w:tcW w:w="2177" w:type="dxa"/>
          </w:tcPr>
          <w:p>
            <w:pPr>
              <w:pStyle w:val="23"/>
              <w:rPr>
                <w:rFonts w:ascii="Times New Roman"/>
                <w:highlight w:val="yellow"/>
              </w:rPr>
            </w:pPr>
          </w:p>
        </w:tc>
        <w:tc>
          <w:tcPr>
            <w:tcW w:w="2011" w:type="dxa"/>
          </w:tcPr>
          <w:p>
            <w:pPr>
              <w:pStyle w:val="23"/>
              <w:rPr>
                <w:rFonts w:ascii="Times New Roman"/>
                <w:highlight w:val="yellow"/>
              </w:rPr>
            </w:pPr>
          </w:p>
        </w:tc>
        <w:tc>
          <w:tcPr>
            <w:tcW w:w="1440" w:type="dxa"/>
          </w:tcPr>
          <w:p>
            <w:pPr>
              <w:pStyle w:val="23"/>
              <w:rPr>
                <w:rFonts w:ascii="Times New Roman"/>
                <w:highlight w:val="yellow"/>
              </w:rPr>
            </w:pPr>
          </w:p>
        </w:tc>
        <w:tc>
          <w:tcPr>
            <w:tcW w:w="101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456" w:type="dxa"/>
          </w:tcPr>
          <w:p>
            <w:pPr>
              <w:pStyle w:val="23"/>
              <w:rPr>
                <w:rFonts w:ascii="Times New Roman"/>
                <w:highlight w:val="yellow"/>
              </w:rPr>
            </w:pPr>
          </w:p>
        </w:tc>
        <w:tc>
          <w:tcPr>
            <w:tcW w:w="1428" w:type="dxa"/>
          </w:tcPr>
          <w:p>
            <w:pPr>
              <w:pStyle w:val="23"/>
              <w:rPr>
                <w:rFonts w:ascii="Times New Roman"/>
                <w:highlight w:val="yellow"/>
              </w:rPr>
            </w:pPr>
          </w:p>
        </w:tc>
        <w:tc>
          <w:tcPr>
            <w:tcW w:w="2177" w:type="dxa"/>
          </w:tcPr>
          <w:p>
            <w:pPr>
              <w:pStyle w:val="23"/>
              <w:rPr>
                <w:rFonts w:ascii="Times New Roman"/>
                <w:highlight w:val="yellow"/>
              </w:rPr>
            </w:pPr>
          </w:p>
        </w:tc>
        <w:tc>
          <w:tcPr>
            <w:tcW w:w="2011" w:type="dxa"/>
          </w:tcPr>
          <w:p>
            <w:pPr>
              <w:pStyle w:val="23"/>
              <w:rPr>
                <w:rFonts w:ascii="Times New Roman"/>
                <w:highlight w:val="yellow"/>
              </w:rPr>
            </w:pPr>
          </w:p>
        </w:tc>
        <w:tc>
          <w:tcPr>
            <w:tcW w:w="1440" w:type="dxa"/>
          </w:tcPr>
          <w:p>
            <w:pPr>
              <w:pStyle w:val="23"/>
              <w:rPr>
                <w:rFonts w:ascii="Times New Roman"/>
                <w:highlight w:val="yellow"/>
              </w:rPr>
            </w:pPr>
          </w:p>
        </w:tc>
        <w:tc>
          <w:tcPr>
            <w:tcW w:w="101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8" w:hRule="atLeast"/>
        </w:trPr>
        <w:tc>
          <w:tcPr>
            <w:tcW w:w="456" w:type="dxa"/>
          </w:tcPr>
          <w:p>
            <w:pPr>
              <w:pStyle w:val="23"/>
              <w:rPr>
                <w:rFonts w:ascii="Times New Roman"/>
                <w:highlight w:val="yellow"/>
              </w:rPr>
            </w:pPr>
          </w:p>
        </w:tc>
        <w:tc>
          <w:tcPr>
            <w:tcW w:w="1428" w:type="dxa"/>
          </w:tcPr>
          <w:p>
            <w:pPr>
              <w:pStyle w:val="23"/>
              <w:rPr>
                <w:rFonts w:ascii="Times New Roman"/>
                <w:highlight w:val="yellow"/>
              </w:rPr>
            </w:pPr>
          </w:p>
        </w:tc>
        <w:tc>
          <w:tcPr>
            <w:tcW w:w="2177" w:type="dxa"/>
          </w:tcPr>
          <w:p>
            <w:pPr>
              <w:pStyle w:val="23"/>
              <w:rPr>
                <w:rFonts w:ascii="Times New Roman"/>
                <w:highlight w:val="yellow"/>
              </w:rPr>
            </w:pPr>
          </w:p>
        </w:tc>
        <w:tc>
          <w:tcPr>
            <w:tcW w:w="2011" w:type="dxa"/>
          </w:tcPr>
          <w:p>
            <w:pPr>
              <w:pStyle w:val="23"/>
              <w:rPr>
                <w:rFonts w:ascii="Times New Roman"/>
                <w:highlight w:val="yellow"/>
              </w:rPr>
            </w:pPr>
          </w:p>
        </w:tc>
        <w:tc>
          <w:tcPr>
            <w:tcW w:w="1440" w:type="dxa"/>
          </w:tcPr>
          <w:p>
            <w:pPr>
              <w:pStyle w:val="23"/>
              <w:rPr>
                <w:rFonts w:ascii="Times New Roman"/>
                <w:highlight w:val="yellow"/>
              </w:rPr>
            </w:pPr>
          </w:p>
        </w:tc>
        <w:tc>
          <w:tcPr>
            <w:tcW w:w="101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456" w:type="dxa"/>
          </w:tcPr>
          <w:p>
            <w:pPr>
              <w:pStyle w:val="23"/>
              <w:rPr>
                <w:rFonts w:ascii="Times New Roman"/>
                <w:highlight w:val="yellow"/>
              </w:rPr>
            </w:pPr>
          </w:p>
        </w:tc>
        <w:tc>
          <w:tcPr>
            <w:tcW w:w="1428" w:type="dxa"/>
          </w:tcPr>
          <w:p>
            <w:pPr>
              <w:pStyle w:val="23"/>
              <w:rPr>
                <w:rFonts w:ascii="Times New Roman"/>
                <w:highlight w:val="yellow"/>
              </w:rPr>
            </w:pPr>
          </w:p>
        </w:tc>
        <w:tc>
          <w:tcPr>
            <w:tcW w:w="2177" w:type="dxa"/>
          </w:tcPr>
          <w:p>
            <w:pPr>
              <w:pStyle w:val="23"/>
              <w:rPr>
                <w:rFonts w:ascii="Times New Roman"/>
                <w:highlight w:val="yellow"/>
              </w:rPr>
            </w:pPr>
          </w:p>
        </w:tc>
        <w:tc>
          <w:tcPr>
            <w:tcW w:w="2011" w:type="dxa"/>
          </w:tcPr>
          <w:p>
            <w:pPr>
              <w:pStyle w:val="23"/>
              <w:rPr>
                <w:rFonts w:ascii="Times New Roman"/>
                <w:highlight w:val="yellow"/>
              </w:rPr>
            </w:pPr>
          </w:p>
        </w:tc>
        <w:tc>
          <w:tcPr>
            <w:tcW w:w="1440" w:type="dxa"/>
          </w:tcPr>
          <w:p>
            <w:pPr>
              <w:pStyle w:val="23"/>
              <w:rPr>
                <w:rFonts w:ascii="Times New Roman"/>
                <w:highlight w:val="yellow"/>
              </w:rPr>
            </w:pPr>
          </w:p>
        </w:tc>
        <w:tc>
          <w:tcPr>
            <w:tcW w:w="101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8" w:hRule="atLeast"/>
        </w:trPr>
        <w:tc>
          <w:tcPr>
            <w:tcW w:w="456" w:type="dxa"/>
          </w:tcPr>
          <w:p>
            <w:pPr>
              <w:pStyle w:val="23"/>
              <w:rPr>
                <w:rFonts w:ascii="Times New Roman"/>
                <w:highlight w:val="yellow"/>
              </w:rPr>
            </w:pPr>
          </w:p>
        </w:tc>
        <w:tc>
          <w:tcPr>
            <w:tcW w:w="1428" w:type="dxa"/>
          </w:tcPr>
          <w:p>
            <w:pPr>
              <w:pStyle w:val="23"/>
              <w:rPr>
                <w:rFonts w:ascii="Times New Roman"/>
                <w:highlight w:val="yellow"/>
              </w:rPr>
            </w:pPr>
          </w:p>
        </w:tc>
        <w:tc>
          <w:tcPr>
            <w:tcW w:w="2177" w:type="dxa"/>
          </w:tcPr>
          <w:p>
            <w:pPr>
              <w:pStyle w:val="23"/>
              <w:rPr>
                <w:rFonts w:ascii="Times New Roman"/>
                <w:highlight w:val="yellow"/>
              </w:rPr>
            </w:pPr>
          </w:p>
        </w:tc>
        <w:tc>
          <w:tcPr>
            <w:tcW w:w="2011" w:type="dxa"/>
          </w:tcPr>
          <w:p>
            <w:pPr>
              <w:pStyle w:val="23"/>
              <w:rPr>
                <w:rFonts w:ascii="Times New Roman"/>
                <w:highlight w:val="yellow"/>
              </w:rPr>
            </w:pPr>
          </w:p>
        </w:tc>
        <w:tc>
          <w:tcPr>
            <w:tcW w:w="1440" w:type="dxa"/>
          </w:tcPr>
          <w:p>
            <w:pPr>
              <w:pStyle w:val="23"/>
              <w:rPr>
                <w:rFonts w:ascii="Times New Roman"/>
                <w:highlight w:val="yellow"/>
              </w:rPr>
            </w:pPr>
          </w:p>
        </w:tc>
        <w:tc>
          <w:tcPr>
            <w:tcW w:w="101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456" w:type="dxa"/>
          </w:tcPr>
          <w:p>
            <w:pPr>
              <w:pStyle w:val="23"/>
              <w:rPr>
                <w:rFonts w:ascii="Times New Roman"/>
                <w:highlight w:val="yellow"/>
              </w:rPr>
            </w:pPr>
          </w:p>
        </w:tc>
        <w:tc>
          <w:tcPr>
            <w:tcW w:w="1428" w:type="dxa"/>
          </w:tcPr>
          <w:p>
            <w:pPr>
              <w:pStyle w:val="23"/>
              <w:rPr>
                <w:rFonts w:ascii="Times New Roman"/>
                <w:highlight w:val="yellow"/>
              </w:rPr>
            </w:pPr>
          </w:p>
        </w:tc>
        <w:tc>
          <w:tcPr>
            <w:tcW w:w="2177" w:type="dxa"/>
          </w:tcPr>
          <w:p>
            <w:pPr>
              <w:pStyle w:val="23"/>
              <w:rPr>
                <w:rFonts w:ascii="Times New Roman"/>
                <w:highlight w:val="yellow"/>
              </w:rPr>
            </w:pPr>
          </w:p>
        </w:tc>
        <w:tc>
          <w:tcPr>
            <w:tcW w:w="2011" w:type="dxa"/>
          </w:tcPr>
          <w:p>
            <w:pPr>
              <w:pStyle w:val="23"/>
              <w:rPr>
                <w:rFonts w:ascii="Times New Roman"/>
                <w:highlight w:val="yellow"/>
              </w:rPr>
            </w:pPr>
          </w:p>
        </w:tc>
        <w:tc>
          <w:tcPr>
            <w:tcW w:w="1440" w:type="dxa"/>
          </w:tcPr>
          <w:p>
            <w:pPr>
              <w:pStyle w:val="23"/>
              <w:rPr>
                <w:rFonts w:ascii="Times New Roman"/>
                <w:highlight w:val="yellow"/>
              </w:rPr>
            </w:pPr>
          </w:p>
        </w:tc>
        <w:tc>
          <w:tcPr>
            <w:tcW w:w="101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8" w:hRule="atLeast"/>
        </w:trPr>
        <w:tc>
          <w:tcPr>
            <w:tcW w:w="456" w:type="dxa"/>
          </w:tcPr>
          <w:p>
            <w:pPr>
              <w:pStyle w:val="23"/>
              <w:rPr>
                <w:rFonts w:ascii="Times New Roman"/>
                <w:highlight w:val="yellow"/>
              </w:rPr>
            </w:pPr>
          </w:p>
        </w:tc>
        <w:tc>
          <w:tcPr>
            <w:tcW w:w="1428" w:type="dxa"/>
          </w:tcPr>
          <w:p>
            <w:pPr>
              <w:pStyle w:val="23"/>
              <w:rPr>
                <w:rFonts w:ascii="Times New Roman"/>
                <w:highlight w:val="yellow"/>
              </w:rPr>
            </w:pPr>
          </w:p>
        </w:tc>
        <w:tc>
          <w:tcPr>
            <w:tcW w:w="2177" w:type="dxa"/>
          </w:tcPr>
          <w:p>
            <w:pPr>
              <w:pStyle w:val="23"/>
              <w:rPr>
                <w:rFonts w:ascii="Times New Roman"/>
                <w:highlight w:val="yellow"/>
              </w:rPr>
            </w:pPr>
          </w:p>
        </w:tc>
        <w:tc>
          <w:tcPr>
            <w:tcW w:w="2011" w:type="dxa"/>
          </w:tcPr>
          <w:p>
            <w:pPr>
              <w:pStyle w:val="23"/>
              <w:rPr>
                <w:rFonts w:ascii="Times New Roman"/>
                <w:highlight w:val="yellow"/>
              </w:rPr>
            </w:pPr>
          </w:p>
        </w:tc>
        <w:tc>
          <w:tcPr>
            <w:tcW w:w="1440" w:type="dxa"/>
          </w:tcPr>
          <w:p>
            <w:pPr>
              <w:pStyle w:val="23"/>
              <w:rPr>
                <w:rFonts w:ascii="Times New Roman"/>
                <w:highlight w:val="yellow"/>
              </w:rPr>
            </w:pPr>
          </w:p>
        </w:tc>
        <w:tc>
          <w:tcPr>
            <w:tcW w:w="101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456" w:type="dxa"/>
          </w:tcPr>
          <w:p>
            <w:pPr>
              <w:pStyle w:val="23"/>
              <w:rPr>
                <w:rFonts w:ascii="Times New Roman"/>
                <w:highlight w:val="yellow"/>
              </w:rPr>
            </w:pPr>
          </w:p>
        </w:tc>
        <w:tc>
          <w:tcPr>
            <w:tcW w:w="1428" w:type="dxa"/>
          </w:tcPr>
          <w:p>
            <w:pPr>
              <w:pStyle w:val="23"/>
              <w:rPr>
                <w:rFonts w:ascii="Times New Roman"/>
                <w:highlight w:val="yellow"/>
              </w:rPr>
            </w:pPr>
          </w:p>
        </w:tc>
        <w:tc>
          <w:tcPr>
            <w:tcW w:w="2177" w:type="dxa"/>
          </w:tcPr>
          <w:p>
            <w:pPr>
              <w:pStyle w:val="23"/>
              <w:rPr>
                <w:rFonts w:ascii="Times New Roman"/>
                <w:highlight w:val="yellow"/>
              </w:rPr>
            </w:pPr>
          </w:p>
        </w:tc>
        <w:tc>
          <w:tcPr>
            <w:tcW w:w="2011" w:type="dxa"/>
          </w:tcPr>
          <w:p>
            <w:pPr>
              <w:pStyle w:val="23"/>
              <w:rPr>
                <w:rFonts w:ascii="Times New Roman"/>
                <w:highlight w:val="yellow"/>
              </w:rPr>
            </w:pPr>
          </w:p>
        </w:tc>
        <w:tc>
          <w:tcPr>
            <w:tcW w:w="1440" w:type="dxa"/>
          </w:tcPr>
          <w:p>
            <w:pPr>
              <w:pStyle w:val="23"/>
              <w:rPr>
                <w:rFonts w:ascii="Times New Roman"/>
                <w:highlight w:val="yellow"/>
              </w:rPr>
            </w:pPr>
          </w:p>
        </w:tc>
        <w:tc>
          <w:tcPr>
            <w:tcW w:w="101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456" w:type="dxa"/>
          </w:tcPr>
          <w:p>
            <w:pPr>
              <w:pStyle w:val="23"/>
              <w:rPr>
                <w:rFonts w:ascii="Times New Roman"/>
                <w:highlight w:val="yellow"/>
              </w:rPr>
            </w:pPr>
          </w:p>
        </w:tc>
        <w:tc>
          <w:tcPr>
            <w:tcW w:w="1428" w:type="dxa"/>
          </w:tcPr>
          <w:p>
            <w:pPr>
              <w:pStyle w:val="23"/>
              <w:rPr>
                <w:rFonts w:ascii="Times New Roman"/>
                <w:highlight w:val="yellow"/>
              </w:rPr>
            </w:pPr>
          </w:p>
        </w:tc>
        <w:tc>
          <w:tcPr>
            <w:tcW w:w="2177" w:type="dxa"/>
          </w:tcPr>
          <w:p>
            <w:pPr>
              <w:pStyle w:val="23"/>
              <w:rPr>
                <w:rFonts w:ascii="Times New Roman"/>
                <w:highlight w:val="yellow"/>
              </w:rPr>
            </w:pPr>
          </w:p>
        </w:tc>
        <w:tc>
          <w:tcPr>
            <w:tcW w:w="2011" w:type="dxa"/>
          </w:tcPr>
          <w:p>
            <w:pPr>
              <w:pStyle w:val="23"/>
              <w:rPr>
                <w:rFonts w:ascii="Times New Roman"/>
                <w:highlight w:val="yellow"/>
              </w:rPr>
            </w:pPr>
          </w:p>
        </w:tc>
        <w:tc>
          <w:tcPr>
            <w:tcW w:w="1440" w:type="dxa"/>
          </w:tcPr>
          <w:p>
            <w:pPr>
              <w:pStyle w:val="23"/>
              <w:rPr>
                <w:rFonts w:ascii="Times New Roman"/>
                <w:highlight w:val="yellow"/>
              </w:rPr>
            </w:pPr>
          </w:p>
        </w:tc>
        <w:tc>
          <w:tcPr>
            <w:tcW w:w="1010"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456" w:type="dxa"/>
          </w:tcPr>
          <w:p>
            <w:pPr>
              <w:pStyle w:val="23"/>
              <w:rPr>
                <w:rFonts w:ascii="Times New Roman"/>
                <w:highlight w:val="yellow"/>
              </w:rPr>
            </w:pPr>
          </w:p>
        </w:tc>
        <w:tc>
          <w:tcPr>
            <w:tcW w:w="1428" w:type="dxa"/>
          </w:tcPr>
          <w:p>
            <w:pPr>
              <w:pStyle w:val="23"/>
              <w:rPr>
                <w:rFonts w:ascii="Times New Roman"/>
                <w:highlight w:val="yellow"/>
              </w:rPr>
            </w:pPr>
          </w:p>
        </w:tc>
        <w:tc>
          <w:tcPr>
            <w:tcW w:w="2177" w:type="dxa"/>
          </w:tcPr>
          <w:p>
            <w:pPr>
              <w:pStyle w:val="23"/>
              <w:rPr>
                <w:rFonts w:ascii="Times New Roman"/>
                <w:highlight w:val="yellow"/>
              </w:rPr>
            </w:pPr>
          </w:p>
        </w:tc>
        <w:tc>
          <w:tcPr>
            <w:tcW w:w="2011" w:type="dxa"/>
          </w:tcPr>
          <w:p>
            <w:pPr>
              <w:pStyle w:val="23"/>
              <w:rPr>
                <w:rFonts w:ascii="Times New Roman"/>
                <w:highlight w:val="yellow"/>
              </w:rPr>
            </w:pPr>
          </w:p>
        </w:tc>
        <w:tc>
          <w:tcPr>
            <w:tcW w:w="1440" w:type="dxa"/>
          </w:tcPr>
          <w:p>
            <w:pPr>
              <w:pStyle w:val="23"/>
              <w:rPr>
                <w:rFonts w:ascii="Times New Roman"/>
                <w:highlight w:val="yellow"/>
              </w:rPr>
            </w:pPr>
          </w:p>
        </w:tc>
        <w:tc>
          <w:tcPr>
            <w:tcW w:w="1010" w:type="dxa"/>
          </w:tcPr>
          <w:p>
            <w:pPr>
              <w:pStyle w:val="23"/>
              <w:rPr>
                <w:rFonts w:ascii="Times New Roman"/>
                <w:highlight w:val="yellow"/>
              </w:rPr>
            </w:pPr>
          </w:p>
        </w:tc>
      </w:tr>
    </w:tbl>
    <w:p>
      <w:pPr>
        <w:pStyle w:val="2"/>
        <w:spacing w:before="89" w:line="312" w:lineRule="auto"/>
        <w:ind w:left="220" w:right="1863"/>
      </w:pPr>
      <w:r>
        <w:t>注：与采购文件中“第三部分 货物需求及技术要求”逐条对应填写。供应商代表签字：</w:t>
      </w:r>
    </w:p>
    <w:p>
      <w:pPr>
        <w:spacing w:line="312" w:lineRule="auto"/>
        <w:rPr>
          <w:highlight w:val="yellow"/>
        </w:rPr>
        <w:sectPr>
          <w:pgSz w:w="11910" w:h="16840"/>
          <w:pgMar w:top="1460" w:right="920" w:bottom="1380" w:left="1580" w:header="0" w:footer="1195" w:gutter="0"/>
          <w:cols w:space="720" w:num="1"/>
        </w:sectPr>
      </w:pPr>
    </w:p>
    <w:p>
      <w:pPr>
        <w:pStyle w:val="2"/>
        <w:spacing w:before="50"/>
        <w:ind w:left="3345"/>
      </w:pPr>
      <w:r>
        <w:rPr>
          <w:rFonts w:ascii="Arial" w:eastAsia="Arial"/>
        </w:rPr>
        <w:t>5</w:t>
      </w:r>
      <w:r>
        <w:t>、商务条款偏离表</w:t>
      </w:r>
    </w:p>
    <w:p>
      <w:pPr>
        <w:pStyle w:val="2"/>
        <w:spacing w:before="5"/>
        <w:ind w:left="0"/>
        <w:rPr>
          <w:sz w:val="38"/>
        </w:rPr>
      </w:pPr>
    </w:p>
    <w:p>
      <w:pPr>
        <w:pStyle w:val="2"/>
        <w:tabs>
          <w:tab w:val="left" w:pos="3580"/>
          <w:tab w:val="left" w:pos="5021"/>
        </w:tabs>
        <w:spacing w:after="5"/>
        <w:ind w:left="220"/>
      </w:pPr>
      <w:r>
        <w:t>供应</w:t>
      </w:r>
      <w:r>
        <w:rPr>
          <w:spacing w:val="-1"/>
        </w:rPr>
        <w:t>商</w:t>
      </w:r>
      <w:r>
        <w:t>名称（公章</w:t>
      </w:r>
      <w:r>
        <w:rPr>
          <w:spacing w:val="-120"/>
        </w:rPr>
        <w:t>）</w:t>
      </w:r>
      <w:r>
        <w:t>：</w:t>
      </w:r>
      <w:r>
        <w:rPr>
          <w:u w:val="single"/>
        </w:rPr>
        <w:tab/>
      </w:r>
      <w:r>
        <w:rPr>
          <w:u w:val="single"/>
        </w:rPr>
        <w:tab/>
      </w:r>
      <w:r>
        <w:t>项目编号</w:t>
      </w:r>
      <w:r>
        <w:rPr>
          <w:rFonts w:ascii="Arial" w:eastAsia="Arial"/>
        </w:rPr>
        <w:t>/</w:t>
      </w:r>
      <w:r>
        <w:t>包号：</w:t>
      </w:r>
    </w:p>
    <w:tbl>
      <w:tblPr>
        <w:tblStyle w:val="20"/>
        <w:tblW w:w="852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306"/>
        <w:gridCol w:w="2343"/>
        <w:gridCol w:w="2604"/>
        <w:gridCol w:w="1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456" w:type="dxa"/>
          </w:tcPr>
          <w:p>
            <w:pPr>
              <w:pStyle w:val="23"/>
              <w:spacing w:before="8" w:line="400" w:lineRule="exact"/>
              <w:ind w:left="107" w:right="96"/>
              <w:rPr>
                <w:sz w:val="24"/>
              </w:rPr>
            </w:pPr>
            <w:r>
              <w:rPr>
                <w:sz w:val="24"/>
              </w:rPr>
              <w:t>序号</w:t>
            </w:r>
          </w:p>
        </w:tc>
        <w:tc>
          <w:tcPr>
            <w:tcW w:w="1306" w:type="dxa"/>
          </w:tcPr>
          <w:p>
            <w:pPr>
              <w:pStyle w:val="23"/>
              <w:spacing w:before="8" w:line="400" w:lineRule="exact"/>
              <w:ind w:left="292" w:right="161" w:hanging="120"/>
              <w:rPr>
                <w:sz w:val="24"/>
              </w:rPr>
            </w:pPr>
            <w:r>
              <w:rPr>
                <w:sz w:val="24"/>
              </w:rPr>
              <w:t>采购文件条目号</w:t>
            </w:r>
          </w:p>
        </w:tc>
        <w:tc>
          <w:tcPr>
            <w:tcW w:w="2343" w:type="dxa"/>
          </w:tcPr>
          <w:p>
            <w:pPr>
              <w:pStyle w:val="23"/>
              <w:spacing w:before="8" w:line="400" w:lineRule="exact"/>
              <w:ind w:left="1051" w:right="199" w:hanging="840"/>
              <w:rPr>
                <w:sz w:val="24"/>
              </w:rPr>
            </w:pPr>
            <w:r>
              <w:rPr>
                <w:sz w:val="24"/>
              </w:rPr>
              <w:t>采购文件的商务条款</w:t>
            </w:r>
          </w:p>
        </w:tc>
        <w:tc>
          <w:tcPr>
            <w:tcW w:w="2604" w:type="dxa"/>
          </w:tcPr>
          <w:p>
            <w:pPr>
              <w:pStyle w:val="23"/>
              <w:spacing w:before="8"/>
            </w:pPr>
          </w:p>
          <w:p>
            <w:pPr>
              <w:pStyle w:val="23"/>
              <w:ind w:left="220"/>
              <w:rPr>
                <w:sz w:val="24"/>
              </w:rPr>
            </w:pPr>
            <w:r>
              <w:rPr>
                <w:sz w:val="24"/>
              </w:rPr>
              <w:t>投标文件的商务条款</w:t>
            </w:r>
          </w:p>
        </w:tc>
        <w:tc>
          <w:tcPr>
            <w:tcW w:w="1815" w:type="dxa"/>
          </w:tcPr>
          <w:p>
            <w:pPr>
              <w:pStyle w:val="23"/>
              <w:spacing w:before="8"/>
            </w:pPr>
          </w:p>
          <w:p>
            <w:pPr>
              <w:pStyle w:val="23"/>
              <w:ind w:left="647" w:right="637"/>
              <w:jc w:val="center"/>
              <w:rPr>
                <w:sz w:val="24"/>
              </w:rPr>
            </w:pPr>
            <w:r>
              <w:rPr>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1" w:hRule="atLeast"/>
        </w:trPr>
        <w:tc>
          <w:tcPr>
            <w:tcW w:w="456" w:type="dxa"/>
          </w:tcPr>
          <w:p>
            <w:pPr>
              <w:pStyle w:val="23"/>
              <w:rPr>
                <w:rFonts w:ascii="Times New Roman"/>
                <w:highlight w:val="yellow"/>
              </w:rPr>
            </w:pPr>
          </w:p>
        </w:tc>
        <w:tc>
          <w:tcPr>
            <w:tcW w:w="1306" w:type="dxa"/>
          </w:tcPr>
          <w:p>
            <w:pPr>
              <w:pStyle w:val="23"/>
              <w:rPr>
                <w:rFonts w:ascii="Times New Roman"/>
                <w:highlight w:val="yellow"/>
              </w:rPr>
            </w:pPr>
          </w:p>
        </w:tc>
        <w:tc>
          <w:tcPr>
            <w:tcW w:w="2343" w:type="dxa"/>
          </w:tcPr>
          <w:p>
            <w:pPr>
              <w:pStyle w:val="23"/>
              <w:rPr>
                <w:rFonts w:ascii="Times New Roman"/>
                <w:highlight w:val="yellow"/>
              </w:rPr>
            </w:pPr>
          </w:p>
        </w:tc>
        <w:tc>
          <w:tcPr>
            <w:tcW w:w="2604" w:type="dxa"/>
          </w:tcPr>
          <w:p>
            <w:pPr>
              <w:pStyle w:val="23"/>
              <w:rPr>
                <w:rFonts w:ascii="Times New Roman"/>
                <w:highlight w:val="yellow"/>
              </w:rPr>
            </w:pPr>
          </w:p>
        </w:tc>
        <w:tc>
          <w:tcPr>
            <w:tcW w:w="1815"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456" w:type="dxa"/>
          </w:tcPr>
          <w:p>
            <w:pPr>
              <w:pStyle w:val="23"/>
              <w:rPr>
                <w:rFonts w:ascii="Times New Roman"/>
                <w:highlight w:val="yellow"/>
              </w:rPr>
            </w:pPr>
          </w:p>
        </w:tc>
        <w:tc>
          <w:tcPr>
            <w:tcW w:w="1306" w:type="dxa"/>
          </w:tcPr>
          <w:p>
            <w:pPr>
              <w:pStyle w:val="23"/>
              <w:rPr>
                <w:rFonts w:ascii="Times New Roman"/>
                <w:highlight w:val="yellow"/>
              </w:rPr>
            </w:pPr>
          </w:p>
        </w:tc>
        <w:tc>
          <w:tcPr>
            <w:tcW w:w="2343" w:type="dxa"/>
          </w:tcPr>
          <w:p>
            <w:pPr>
              <w:pStyle w:val="23"/>
              <w:rPr>
                <w:rFonts w:ascii="Times New Roman"/>
                <w:highlight w:val="yellow"/>
              </w:rPr>
            </w:pPr>
          </w:p>
        </w:tc>
        <w:tc>
          <w:tcPr>
            <w:tcW w:w="2604" w:type="dxa"/>
          </w:tcPr>
          <w:p>
            <w:pPr>
              <w:pStyle w:val="23"/>
              <w:rPr>
                <w:rFonts w:ascii="Times New Roman"/>
                <w:highlight w:val="yellow"/>
              </w:rPr>
            </w:pPr>
          </w:p>
        </w:tc>
        <w:tc>
          <w:tcPr>
            <w:tcW w:w="1815"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8" w:hRule="atLeast"/>
        </w:trPr>
        <w:tc>
          <w:tcPr>
            <w:tcW w:w="456" w:type="dxa"/>
          </w:tcPr>
          <w:p>
            <w:pPr>
              <w:pStyle w:val="23"/>
              <w:rPr>
                <w:rFonts w:ascii="Times New Roman"/>
                <w:highlight w:val="yellow"/>
              </w:rPr>
            </w:pPr>
          </w:p>
        </w:tc>
        <w:tc>
          <w:tcPr>
            <w:tcW w:w="1306" w:type="dxa"/>
          </w:tcPr>
          <w:p>
            <w:pPr>
              <w:pStyle w:val="23"/>
              <w:rPr>
                <w:rFonts w:ascii="Times New Roman"/>
                <w:highlight w:val="yellow"/>
              </w:rPr>
            </w:pPr>
          </w:p>
        </w:tc>
        <w:tc>
          <w:tcPr>
            <w:tcW w:w="2343" w:type="dxa"/>
          </w:tcPr>
          <w:p>
            <w:pPr>
              <w:pStyle w:val="23"/>
              <w:rPr>
                <w:rFonts w:ascii="Times New Roman"/>
                <w:highlight w:val="yellow"/>
              </w:rPr>
            </w:pPr>
          </w:p>
        </w:tc>
        <w:tc>
          <w:tcPr>
            <w:tcW w:w="2604" w:type="dxa"/>
          </w:tcPr>
          <w:p>
            <w:pPr>
              <w:pStyle w:val="23"/>
              <w:rPr>
                <w:rFonts w:ascii="Times New Roman"/>
                <w:highlight w:val="yellow"/>
              </w:rPr>
            </w:pPr>
          </w:p>
        </w:tc>
        <w:tc>
          <w:tcPr>
            <w:tcW w:w="1815"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456" w:type="dxa"/>
          </w:tcPr>
          <w:p>
            <w:pPr>
              <w:pStyle w:val="23"/>
              <w:rPr>
                <w:rFonts w:ascii="Times New Roman"/>
                <w:highlight w:val="yellow"/>
              </w:rPr>
            </w:pPr>
          </w:p>
        </w:tc>
        <w:tc>
          <w:tcPr>
            <w:tcW w:w="1306" w:type="dxa"/>
          </w:tcPr>
          <w:p>
            <w:pPr>
              <w:pStyle w:val="23"/>
              <w:rPr>
                <w:rFonts w:ascii="Times New Roman"/>
                <w:highlight w:val="yellow"/>
              </w:rPr>
            </w:pPr>
          </w:p>
        </w:tc>
        <w:tc>
          <w:tcPr>
            <w:tcW w:w="2343" w:type="dxa"/>
          </w:tcPr>
          <w:p>
            <w:pPr>
              <w:pStyle w:val="23"/>
              <w:rPr>
                <w:rFonts w:ascii="Times New Roman"/>
                <w:highlight w:val="yellow"/>
              </w:rPr>
            </w:pPr>
          </w:p>
        </w:tc>
        <w:tc>
          <w:tcPr>
            <w:tcW w:w="2604" w:type="dxa"/>
          </w:tcPr>
          <w:p>
            <w:pPr>
              <w:pStyle w:val="23"/>
              <w:rPr>
                <w:rFonts w:ascii="Times New Roman"/>
                <w:highlight w:val="yellow"/>
              </w:rPr>
            </w:pPr>
          </w:p>
        </w:tc>
        <w:tc>
          <w:tcPr>
            <w:tcW w:w="1815"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8" w:hRule="atLeast"/>
        </w:trPr>
        <w:tc>
          <w:tcPr>
            <w:tcW w:w="456" w:type="dxa"/>
          </w:tcPr>
          <w:p>
            <w:pPr>
              <w:pStyle w:val="23"/>
              <w:rPr>
                <w:rFonts w:ascii="Times New Roman"/>
                <w:highlight w:val="yellow"/>
              </w:rPr>
            </w:pPr>
          </w:p>
        </w:tc>
        <w:tc>
          <w:tcPr>
            <w:tcW w:w="1306" w:type="dxa"/>
          </w:tcPr>
          <w:p>
            <w:pPr>
              <w:pStyle w:val="23"/>
              <w:rPr>
                <w:rFonts w:ascii="Times New Roman"/>
                <w:highlight w:val="yellow"/>
              </w:rPr>
            </w:pPr>
          </w:p>
        </w:tc>
        <w:tc>
          <w:tcPr>
            <w:tcW w:w="2343" w:type="dxa"/>
          </w:tcPr>
          <w:p>
            <w:pPr>
              <w:pStyle w:val="23"/>
              <w:rPr>
                <w:rFonts w:ascii="Times New Roman"/>
                <w:highlight w:val="yellow"/>
              </w:rPr>
            </w:pPr>
          </w:p>
        </w:tc>
        <w:tc>
          <w:tcPr>
            <w:tcW w:w="2604" w:type="dxa"/>
          </w:tcPr>
          <w:p>
            <w:pPr>
              <w:pStyle w:val="23"/>
              <w:rPr>
                <w:rFonts w:ascii="Times New Roman"/>
                <w:highlight w:val="yellow"/>
              </w:rPr>
            </w:pPr>
          </w:p>
        </w:tc>
        <w:tc>
          <w:tcPr>
            <w:tcW w:w="1815"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456" w:type="dxa"/>
          </w:tcPr>
          <w:p>
            <w:pPr>
              <w:pStyle w:val="23"/>
              <w:rPr>
                <w:rFonts w:ascii="Times New Roman"/>
                <w:highlight w:val="yellow"/>
              </w:rPr>
            </w:pPr>
          </w:p>
        </w:tc>
        <w:tc>
          <w:tcPr>
            <w:tcW w:w="1306" w:type="dxa"/>
          </w:tcPr>
          <w:p>
            <w:pPr>
              <w:pStyle w:val="23"/>
              <w:rPr>
                <w:rFonts w:ascii="Times New Roman"/>
                <w:highlight w:val="yellow"/>
              </w:rPr>
            </w:pPr>
          </w:p>
        </w:tc>
        <w:tc>
          <w:tcPr>
            <w:tcW w:w="2343" w:type="dxa"/>
          </w:tcPr>
          <w:p>
            <w:pPr>
              <w:pStyle w:val="23"/>
              <w:rPr>
                <w:rFonts w:ascii="Times New Roman"/>
                <w:highlight w:val="yellow"/>
              </w:rPr>
            </w:pPr>
          </w:p>
        </w:tc>
        <w:tc>
          <w:tcPr>
            <w:tcW w:w="2604" w:type="dxa"/>
          </w:tcPr>
          <w:p>
            <w:pPr>
              <w:pStyle w:val="23"/>
              <w:rPr>
                <w:rFonts w:ascii="Times New Roman"/>
                <w:highlight w:val="yellow"/>
              </w:rPr>
            </w:pPr>
          </w:p>
        </w:tc>
        <w:tc>
          <w:tcPr>
            <w:tcW w:w="1815"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8" w:hRule="atLeast"/>
        </w:trPr>
        <w:tc>
          <w:tcPr>
            <w:tcW w:w="456" w:type="dxa"/>
          </w:tcPr>
          <w:p>
            <w:pPr>
              <w:pStyle w:val="23"/>
              <w:rPr>
                <w:rFonts w:ascii="Times New Roman"/>
                <w:highlight w:val="yellow"/>
              </w:rPr>
            </w:pPr>
          </w:p>
        </w:tc>
        <w:tc>
          <w:tcPr>
            <w:tcW w:w="1306" w:type="dxa"/>
          </w:tcPr>
          <w:p>
            <w:pPr>
              <w:pStyle w:val="23"/>
              <w:rPr>
                <w:rFonts w:ascii="Times New Roman"/>
                <w:highlight w:val="yellow"/>
              </w:rPr>
            </w:pPr>
          </w:p>
        </w:tc>
        <w:tc>
          <w:tcPr>
            <w:tcW w:w="2343" w:type="dxa"/>
          </w:tcPr>
          <w:p>
            <w:pPr>
              <w:pStyle w:val="23"/>
              <w:rPr>
                <w:rFonts w:ascii="Times New Roman"/>
                <w:highlight w:val="yellow"/>
              </w:rPr>
            </w:pPr>
          </w:p>
        </w:tc>
        <w:tc>
          <w:tcPr>
            <w:tcW w:w="2604" w:type="dxa"/>
          </w:tcPr>
          <w:p>
            <w:pPr>
              <w:pStyle w:val="23"/>
              <w:rPr>
                <w:rFonts w:ascii="Times New Roman"/>
                <w:highlight w:val="yellow"/>
              </w:rPr>
            </w:pPr>
          </w:p>
        </w:tc>
        <w:tc>
          <w:tcPr>
            <w:tcW w:w="1815"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456" w:type="dxa"/>
          </w:tcPr>
          <w:p>
            <w:pPr>
              <w:pStyle w:val="23"/>
              <w:rPr>
                <w:rFonts w:ascii="Times New Roman"/>
                <w:highlight w:val="yellow"/>
              </w:rPr>
            </w:pPr>
          </w:p>
        </w:tc>
        <w:tc>
          <w:tcPr>
            <w:tcW w:w="1306" w:type="dxa"/>
          </w:tcPr>
          <w:p>
            <w:pPr>
              <w:pStyle w:val="23"/>
              <w:rPr>
                <w:rFonts w:ascii="Times New Roman"/>
                <w:highlight w:val="yellow"/>
              </w:rPr>
            </w:pPr>
          </w:p>
        </w:tc>
        <w:tc>
          <w:tcPr>
            <w:tcW w:w="2343" w:type="dxa"/>
          </w:tcPr>
          <w:p>
            <w:pPr>
              <w:pStyle w:val="23"/>
              <w:rPr>
                <w:rFonts w:ascii="Times New Roman"/>
                <w:highlight w:val="yellow"/>
              </w:rPr>
            </w:pPr>
          </w:p>
        </w:tc>
        <w:tc>
          <w:tcPr>
            <w:tcW w:w="2604" w:type="dxa"/>
          </w:tcPr>
          <w:p>
            <w:pPr>
              <w:pStyle w:val="23"/>
              <w:rPr>
                <w:rFonts w:ascii="Times New Roman"/>
                <w:highlight w:val="yellow"/>
              </w:rPr>
            </w:pPr>
          </w:p>
        </w:tc>
        <w:tc>
          <w:tcPr>
            <w:tcW w:w="1815"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8" w:hRule="atLeast"/>
        </w:trPr>
        <w:tc>
          <w:tcPr>
            <w:tcW w:w="456" w:type="dxa"/>
          </w:tcPr>
          <w:p>
            <w:pPr>
              <w:pStyle w:val="23"/>
              <w:rPr>
                <w:rFonts w:ascii="Times New Roman"/>
                <w:highlight w:val="yellow"/>
              </w:rPr>
            </w:pPr>
          </w:p>
        </w:tc>
        <w:tc>
          <w:tcPr>
            <w:tcW w:w="1306" w:type="dxa"/>
          </w:tcPr>
          <w:p>
            <w:pPr>
              <w:pStyle w:val="23"/>
              <w:rPr>
                <w:rFonts w:ascii="Times New Roman"/>
                <w:highlight w:val="yellow"/>
              </w:rPr>
            </w:pPr>
          </w:p>
        </w:tc>
        <w:tc>
          <w:tcPr>
            <w:tcW w:w="2343" w:type="dxa"/>
          </w:tcPr>
          <w:p>
            <w:pPr>
              <w:pStyle w:val="23"/>
              <w:rPr>
                <w:rFonts w:ascii="Times New Roman"/>
                <w:highlight w:val="yellow"/>
              </w:rPr>
            </w:pPr>
          </w:p>
        </w:tc>
        <w:tc>
          <w:tcPr>
            <w:tcW w:w="2604" w:type="dxa"/>
          </w:tcPr>
          <w:p>
            <w:pPr>
              <w:pStyle w:val="23"/>
              <w:rPr>
                <w:rFonts w:ascii="Times New Roman"/>
                <w:highlight w:val="yellow"/>
              </w:rPr>
            </w:pPr>
          </w:p>
        </w:tc>
        <w:tc>
          <w:tcPr>
            <w:tcW w:w="1815"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456" w:type="dxa"/>
          </w:tcPr>
          <w:p>
            <w:pPr>
              <w:pStyle w:val="23"/>
              <w:rPr>
                <w:rFonts w:ascii="Times New Roman"/>
                <w:highlight w:val="yellow"/>
              </w:rPr>
            </w:pPr>
          </w:p>
        </w:tc>
        <w:tc>
          <w:tcPr>
            <w:tcW w:w="1306" w:type="dxa"/>
          </w:tcPr>
          <w:p>
            <w:pPr>
              <w:pStyle w:val="23"/>
              <w:rPr>
                <w:rFonts w:ascii="Times New Roman"/>
                <w:highlight w:val="yellow"/>
              </w:rPr>
            </w:pPr>
          </w:p>
        </w:tc>
        <w:tc>
          <w:tcPr>
            <w:tcW w:w="2343" w:type="dxa"/>
          </w:tcPr>
          <w:p>
            <w:pPr>
              <w:pStyle w:val="23"/>
              <w:rPr>
                <w:rFonts w:ascii="Times New Roman"/>
                <w:highlight w:val="yellow"/>
              </w:rPr>
            </w:pPr>
          </w:p>
        </w:tc>
        <w:tc>
          <w:tcPr>
            <w:tcW w:w="2604" w:type="dxa"/>
          </w:tcPr>
          <w:p>
            <w:pPr>
              <w:pStyle w:val="23"/>
              <w:rPr>
                <w:rFonts w:ascii="Times New Roman"/>
                <w:highlight w:val="yellow"/>
              </w:rPr>
            </w:pPr>
          </w:p>
        </w:tc>
        <w:tc>
          <w:tcPr>
            <w:tcW w:w="1815"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8" w:hRule="atLeast"/>
        </w:trPr>
        <w:tc>
          <w:tcPr>
            <w:tcW w:w="456" w:type="dxa"/>
          </w:tcPr>
          <w:p>
            <w:pPr>
              <w:pStyle w:val="23"/>
              <w:rPr>
                <w:rFonts w:ascii="Times New Roman"/>
                <w:highlight w:val="yellow"/>
              </w:rPr>
            </w:pPr>
          </w:p>
        </w:tc>
        <w:tc>
          <w:tcPr>
            <w:tcW w:w="1306" w:type="dxa"/>
          </w:tcPr>
          <w:p>
            <w:pPr>
              <w:pStyle w:val="23"/>
              <w:rPr>
                <w:rFonts w:ascii="Times New Roman"/>
                <w:highlight w:val="yellow"/>
              </w:rPr>
            </w:pPr>
          </w:p>
        </w:tc>
        <w:tc>
          <w:tcPr>
            <w:tcW w:w="2343" w:type="dxa"/>
          </w:tcPr>
          <w:p>
            <w:pPr>
              <w:pStyle w:val="23"/>
              <w:rPr>
                <w:rFonts w:ascii="Times New Roman"/>
                <w:highlight w:val="yellow"/>
              </w:rPr>
            </w:pPr>
          </w:p>
        </w:tc>
        <w:tc>
          <w:tcPr>
            <w:tcW w:w="2604" w:type="dxa"/>
          </w:tcPr>
          <w:p>
            <w:pPr>
              <w:pStyle w:val="23"/>
              <w:rPr>
                <w:rFonts w:ascii="Times New Roman"/>
                <w:highlight w:val="yellow"/>
              </w:rPr>
            </w:pPr>
          </w:p>
        </w:tc>
        <w:tc>
          <w:tcPr>
            <w:tcW w:w="1815"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456" w:type="dxa"/>
          </w:tcPr>
          <w:p>
            <w:pPr>
              <w:pStyle w:val="23"/>
              <w:rPr>
                <w:rFonts w:ascii="Times New Roman"/>
                <w:highlight w:val="yellow"/>
              </w:rPr>
            </w:pPr>
          </w:p>
        </w:tc>
        <w:tc>
          <w:tcPr>
            <w:tcW w:w="1306" w:type="dxa"/>
          </w:tcPr>
          <w:p>
            <w:pPr>
              <w:pStyle w:val="23"/>
              <w:rPr>
                <w:rFonts w:ascii="Times New Roman"/>
                <w:highlight w:val="yellow"/>
              </w:rPr>
            </w:pPr>
          </w:p>
        </w:tc>
        <w:tc>
          <w:tcPr>
            <w:tcW w:w="2343" w:type="dxa"/>
          </w:tcPr>
          <w:p>
            <w:pPr>
              <w:pStyle w:val="23"/>
              <w:rPr>
                <w:rFonts w:ascii="Times New Roman"/>
                <w:highlight w:val="yellow"/>
              </w:rPr>
            </w:pPr>
          </w:p>
        </w:tc>
        <w:tc>
          <w:tcPr>
            <w:tcW w:w="2604" w:type="dxa"/>
          </w:tcPr>
          <w:p>
            <w:pPr>
              <w:pStyle w:val="23"/>
              <w:rPr>
                <w:rFonts w:ascii="Times New Roman"/>
                <w:highlight w:val="yellow"/>
              </w:rPr>
            </w:pPr>
          </w:p>
        </w:tc>
        <w:tc>
          <w:tcPr>
            <w:tcW w:w="1815" w:type="dxa"/>
          </w:tcPr>
          <w:p>
            <w:pPr>
              <w:pStyle w:val="23"/>
              <w:rPr>
                <w:rFonts w:ascii="Times New Roman"/>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8" w:hRule="atLeast"/>
        </w:trPr>
        <w:tc>
          <w:tcPr>
            <w:tcW w:w="456" w:type="dxa"/>
          </w:tcPr>
          <w:p>
            <w:pPr>
              <w:pStyle w:val="23"/>
              <w:rPr>
                <w:rFonts w:ascii="Times New Roman"/>
                <w:highlight w:val="yellow"/>
              </w:rPr>
            </w:pPr>
          </w:p>
        </w:tc>
        <w:tc>
          <w:tcPr>
            <w:tcW w:w="1306" w:type="dxa"/>
          </w:tcPr>
          <w:p>
            <w:pPr>
              <w:pStyle w:val="23"/>
              <w:rPr>
                <w:rFonts w:ascii="Times New Roman"/>
                <w:highlight w:val="yellow"/>
              </w:rPr>
            </w:pPr>
          </w:p>
        </w:tc>
        <w:tc>
          <w:tcPr>
            <w:tcW w:w="2343" w:type="dxa"/>
          </w:tcPr>
          <w:p>
            <w:pPr>
              <w:pStyle w:val="23"/>
              <w:rPr>
                <w:rFonts w:ascii="Times New Roman"/>
                <w:highlight w:val="yellow"/>
              </w:rPr>
            </w:pPr>
          </w:p>
        </w:tc>
        <w:tc>
          <w:tcPr>
            <w:tcW w:w="2604" w:type="dxa"/>
          </w:tcPr>
          <w:p>
            <w:pPr>
              <w:pStyle w:val="23"/>
              <w:rPr>
                <w:rFonts w:ascii="Times New Roman"/>
                <w:highlight w:val="yellow"/>
              </w:rPr>
            </w:pPr>
          </w:p>
        </w:tc>
        <w:tc>
          <w:tcPr>
            <w:tcW w:w="1815" w:type="dxa"/>
          </w:tcPr>
          <w:p>
            <w:pPr>
              <w:pStyle w:val="23"/>
              <w:rPr>
                <w:rFonts w:ascii="Times New Roman"/>
                <w:highlight w:val="yellow"/>
              </w:rPr>
            </w:pPr>
          </w:p>
        </w:tc>
      </w:tr>
    </w:tbl>
    <w:p>
      <w:pPr>
        <w:pStyle w:val="2"/>
        <w:tabs>
          <w:tab w:val="left" w:pos="3580"/>
        </w:tabs>
        <w:spacing w:before="89" w:line="312" w:lineRule="auto"/>
        <w:ind w:left="220" w:right="2342"/>
      </w:pPr>
      <w:r>
        <w:t>注：与采购文件中“第五部分</w:t>
      </w:r>
      <w:r>
        <w:tab/>
      </w:r>
      <w:r>
        <w:t>合同特殊条款”逐条对应填写。供应商代表签字：</w:t>
      </w:r>
    </w:p>
    <w:p>
      <w:pPr>
        <w:spacing w:line="312" w:lineRule="auto"/>
        <w:rPr>
          <w:highlight w:val="yellow"/>
        </w:rPr>
        <w:sectPr>
          <w:pgSz w:w="11910" w:h="16840"/>
          <w:pgMar w:top="1460" w:right="920" w:bottom="1380" w:left="1580" w:header="0" w:footer="1195" w:gutter="0"/>
          <w:cols w:space="720" w:num="1"/>
        </w:sectPr>
      </w:pPr>
    </w:p>
    <w:p>
      <w:pPr>
        <w:pStyle w:val="2"/>
        <w:spacing w:before="10"/>
        <w:ind w:left="0"/>
        <w:rPr>
          <w:sz w:val="19"/>
          <w:highlight w:val="yellow"/>
        </w:rPr>
      </w:pPr>
    </w:p>
    <w:p>
      <w:pPr>
        <w:widowControl/>
        <w:jc w:val="center"/>
        <w:rPr>
          <w:rFonts w:ascii="仿宋" w:hAnsi="仿宋" w:eastAsia="仿宋"/>
          <w:b/>
          <w:sz w:val="32"/>
          <w:szCs w:val="32"/>
        </w:rPr>
      </w:pPr>
      <w:r>
        <w:rPr>
          <w:rFonts w:ascii="Arial" w:eastAsia="Arial"/>
        </w:rPr>
        <w:t>6</w:t>
      </w:r>
      <w:r>
        <w:t>、</w:t>
      </w:r>
      <w:r>
        <w:rPr>
          <w:rFonts w:hint="eastAsia" w:ascii="仿宋" w:hAnsi="仿宋" w:eastAsia="仿宋"/>
          <w:b/>
          <w:sz w:val="32"/>
          <w:szCs w:val="32"/>
        </w:rPr>
        <w:t>法人代表授权委托书（单独提交）</w:t>
      </w:r>
    </w:p>
    <w:p>
      <w:pPr>
        <w:spacing w:line="440" w:lineRule="exact"/>
        <w:jc w:val="center"/>
        <w:rPr>
          <w:rFonts w:ascii="仿宋" w:hAnsi="仿宋" w:eastAsia="仿宋"/>
          <w:b/>
          <w:sz w:val="32"/>
          <w:szCs w:val="32"/>
        </w:rPr>
      </w:pPr>
    </w:p>
    <w:p>
      <w:pPr>
        <w:adjustRightInd w:val="0"/>
        <w:spacing w:line="440" w:lineRule="exact"/>
        <w:ind w:firstLine="422"/>
        <w:rPr>
          <w:rFonts w:ascii="仿宋" w:hAnsi="仿宋" w:eastAsia="仿宋"/>
          <w:sz w:val="24"/>
        </w:rPr>
      </w:pPr>
      <w:r>
        <w:rPr>
          <w:rFonts w:hint="eastAsia" w:ascii="仿宋" w:hAnsi="仿宋" w:eastAsia="仿宋"/>
          <w:sz w:val="24"/>
        </w:rPr>
        <w:t>本授权声明：注册于中华人民共和国的</w:t>
      </w:r>
      <w:r>
        <w:rPr>
          <w:rFonts w:hint="eastAsia" w:ascii="仿宋" w:hAnsi="仿宋" w:eastAsia="仿宋"/>
          <w:sz w:val="24"/>
          <w:u w:val="single"/>
        </w:rPr>
        <w:t>（投标人名称、住址）</w:t>
      </w:r>
      <w:r>
        <w:rPr>
          <w:rFonts w:hint="eastAsia" w:ascii="仿宋" w:hAnsi="仿宋" w:eastAsia="仿宋"/>
          <w:sz w:val="24"/>
        </w:rPr>
        <w:t>的法人代表</w:t>
      </w:r>
      <w:r>
        <w:rPr>
          <w:rFonts w:hint="eastAsia" w:ascii="仿宋" w:hAnsi="仿宋" w:eastAsia="仿宋"/>
          <w:sz w:val="24"/>
          <w:u w:val="single"/>
        </w:rPr>
        <w:t>（法定代表人姓名、职务）</w:t>
      </w:r>
      <w:r>
        <w:rPr>
          <w:rFonts w:hint="eastAsia" w:ascii="仿宋" w:hAnsi="仿宋" w:eastAsia="仿宋"/>
          <w:sz w:val="24"/>
        </w:rPr>
        <w:t>代表本公司授权在下面签字的</w:t>
      </w:r>
      <w:r>
        <w:rPr>
          <w:rFonts w:hint="eastAsia" w:ascii="仿宋" w:hAnsi="仿宋" w:eastAsia="仿宋"/>
          <w:sz w:val="24"/>
          <w:u w:val="single"/>
        </w:rPr>
        <w:t>（被授权人的姓名、职务）</w:t>
      </w:r>
      <w:r>
        <w:rPr>
          <w:rFonts w:hint="eastAsia" w:ascii="仿宋" w:hAnsi="仿宋" w:eastAsia="仿宋"/>
          <w:sz w:val="24"/>
        </w:rPr>
        <w:t>为本公司的合法代理人，就此次</w:t>
      </w:r>
      <w:r>
        <w:rPr>
          <w:rFonts w:hint="eastAsia" w:ascii="仿宋" w:hAnsi="仿宋" w:eastAsia="仿宋"/>
          <w:sz w:val="24"/>
          <w:u w:val="single"/>
        </w:rPr>
        <w:t>项目名称</w:t>
      </w:r>
      <w:r>
        <w:rPr>
          <w:rFonts w:hint="eastAsia" w:ascii="仿宋" w:hAnsi="仿宋" w:eastAsia="仿宋"/>
          <w:sz w:val="24"/>
        </w:rPr>
        <w:t>项目，</w:t>
      </w:r>
      <w:r>
        <w:rPr>
          <w:rFonts w:hint="eastAsia" w:ascii="仿宋" w:hAnsi="仿宋" w:eastAsia="仿宋"/>
          <w:sz w:val="24"/>
          <w:lang w:eastAsia="zh-CN"/>
        </w:rPr>
        <w:t>采购</w:t>
      </w:r>
      <w:r>
        <w:rPr>
          <w:rFonts w:hint="eastAsia" w:ascii="仿宋" w:hAnsi="仿宋" w:eastAsia="仿宋"/>
          <w:sz w:val="24"/>
        </w:rPr>
        <w:t>编号为</w:t>
      </w:r>
      <w:r>
        <w:rPr>
          <w:rFonts w:hint="eastAsia" w:ascii="仿宋" w:hAnsi="仿宋" w:eastAsia="仿宋"/>
          <w:sz w:val="24"/>
          <w:u w:val="single"/>
        </w:rPr>
        <w:t>项目编号</w:t>
      </w:r>
      <w:r>
        <w:rPr>
          <w:rFonts w:hint="eastAsia" w:ascii="仿宋" w:hAnsi="仿宋" w:eastAsia="仿宋"/>
          <w:sz w:val="24"/>
        </w:rPr>
        <w:t>的</w:t>
      </w:r>
      <w:r>
        <w:rPr>
          <w:rFonts w:hint="eastAsia" w:ascii="仿宋" w:hAnsi="仿宋" w:eastAsia="仿宋"/>
          <w:sz w:val="24"/>
          <w:u w:val="single"/>
        </w:rPr>
        <w:t>（所投内容）</w:t>
      </w:r>
      <w:r>
        <w:rPr>
          <w:rFonts w:hint="eastAsia" w:ascii="仿宋" w:hAnsi="仿宋" w:eastAsia="仿宋"/>
          <w:sz w:val="24"/>
        </w:rPr>
        <w:t>投标及合同的执行、完成和保修，以本公司名义处理一切与之有关的事务。</w:t>
      </w:r>
    </w:p>
    <w:p>
      <w:pPr>
        <w:adjustRightInd w:val="0"/>
        <w:spacing w:line="440" w:lineRule="exact"/>
        <w:ind w:firstLine="420" w:firstLineChars="175"/>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年  月  日</w:t>
      </w:r>
      <w:r>
        <w:rPr>
          <w:rFonts w:hint="eastAsia" w:ascii="仿宋" w:hAnsi="仿宋" w:eastAsia="仿宋"/>
          <w:sz w:val="24"/>
        </w:rPr>
        <w:t>签字生效，特此声明。</w:t>
      </w:r>
    </w:p>
    <w:p>
      <w:pPr>
        <w:adjustRightInd w:val="0"/>
        <w:spacing w:line="440" w:lineRule="exact"/>
        <w:ind w:firstLine="480" w:firstLineChars="200"/>
        <w:rPr>
          <w:rFonts w:ascii="仿宋" w:hAnsi="仿宋" w:eastAsia="仿宋"/>
          <w:sz w:val="24"/>
        </w:rPr>
      </w:pPr>
      <w:r>
        <w:rPr>
          <w:rFonts w:hint="eastAsia" w:ascii="仿宋" w:hAnsi="仿宋" w:eastAsia="仿宋"/>
          <w:sz w:val="24"/>
        </w:rPr>
        <w:t>法人签字或盖章：</w:t>
      </w:r>
    </w:p>
    <w:p>
      <w:pPr>
        <w:adjustRightInd w:val="0"/>
        <w:spacing w:line="440" w:lineRule="exact"/>
        <w:ind w:firstLine="480" w:firstLineChars="200"/>
        <w:rPr>
          <w:rFonts w:ascii="仿宋" w:hAnsi="仿宋" w:eastAsia="仿宋"/>
          <w:sz w:val="24"/>
          <w:u w:val="single"/>
        </w:rPr>
      </w:pPr>
      <w:r>
        <w:rPr>
          <w:rFonts w:hint="eastAsia" w:ascii="仿宋" w:hAnsi="仿宋" w:eastAsia="仿宋"/>
          <w:sz w:val="24"/>
        </w:rPr>
        <w:t>代理（被授权人）签字或盖章：</w:t>
      </w:r>
    </w:p>
    <w:p>
      <w:pPr>
        <w:adjustRightInd w:val="0"/>
        <w:spacing w:line="440" w:lineRule="exact"/>
        <w:ind w:firstLine="480" w:firstLineChars="200"/>
        <w:rPr>
          <w:rFonts w:hint="eastAsia" w:ascii="仿宋" w:hAnsi="仿宋" w:eastAsia="仿宋"/>
          <w:sz w:val="24"/>
        </w:rPr>
      </w:pPr>
    </w:p>
    <w:p>
      <w:pPr>
        <w:adjustRightInd w:val="0"/>
        <w:spacing w:line="440" w:lineRule="exact"/>
        <w:ind w:firstLine="480" w:firstLineChars="200"/>
        <w:rPr>
          <w:rFonts w:ascii="仿宋" w:hAnsi="仿宋" w:eastAsia="仿宋"/>
          <w:sz w:val="24"/>
          <w:u w:val="single"/>
        </w:rPr>
      </w:pPr>
      <w:r>
        <w:rPr>
          <w:rFonts w:hint="eastAsia" w:ascii="仿宋" w:hAnsi="仿宋" w:eastAsia="仿宋"/>
          <w:sz w:val="24"/>
        </w:rPr>
        <w:t>职务：</w:t>
      </w:r>
    </w:p>
    <w:p>
      <w:pPr>
        <w:adjustRightInd w:val="0"/>
        <w:spacing w:line="440" w:lineRule="exact"/>
        <w:ind w:firstLine="480" w:firstLineChars="200"/>
        <w:rPr>
          <w:rFonts w:ascii="仿宋" w:hAnsi="仿宋" w:eastAsia="仿宋"/>
          <w:sz w:val="24"/>
          <w:u w:val="single"/>
        </w:rPr>
      </w:pPr>
      <w:r>
        <w:rPr>
          <w:rFonts w:hint="eastAsia" w:ascii="仿宋" w:hAnsi="仿宋" w:eastAsia="仿宋"/>
          <w:sz w:val="24"/>
        </w:rPr>
        <w:t>单位名称：</w:t>
      </w:r>
    </w:p>
    <w:p>
      <w:pPr>
        <w:spacing w:line="440" w:lineRule="exact"/>
        <w:ind w:firstLine="480"/>
        <w:rPr>
          <w:rFonts w:ascii="仿宋" w:hAnsi="仿宋" w:eastAsia="仿宋"/>
          <w:sz w:val="24"/>
        </w:rPr>
      </w:pPr>
      <w:r>
        <w:rPr>
          <w:rFonts w:hint="eastAsia" w:ascii="仿宋" w:hAnsi="仿宋" w:eastAsia="仿宋"/>
          <w:sz w:val="24"/>
        </w:rPr>
        <w:t>授权日期：</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40" w:lineRule="exact"/>
        <w:ind w:firstLine="480"/>
        <w:rPr>
          <w:rFonts w:ascii="仿宋" w:hAnsi="仿宋" w:eastAsia="仿宋"/>
          <w:sz w:val="24"/>
        </w:rPr>
      </w:pP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ascii="仿宋" w:hAnsi="仿宋" w:eastAsia="仿宋"/>
          <w:sz w:val="24"/>
        </w:rPr>
        <w:t>20</w:t>
      </w:r>
      <w:r>
        <w:rPr>
          <w:rFonts w:hint="eastAsia" w:ascii="仿宋" w:hAnsi="仿宋" w:eastAsia="仿宋"/>
          <w:sz w:val="24"/>
        </w:rPr>
        <w:t xml:space="preserve">   年   月  日</w:t>
      </w:r>
    </w:p>
    <w:p>
      <w:pPr>
        <w:spacing w:line="440" w:lineRule="exact"/>
        <w:ind w:firstLine="482" w:firstLineChars="200"/>
        <w:rPr>
          <w:rFonts w:ascii="仿宋" w:hAnsi="仿宋" w:eastAsia="仿宋"/>
          <w:b/>
          <w:sz w:val="24"/>
          <w:em w:val="dot"/>
        </w:rPr>
      </w:pPr>
      <w:r>
        <w:rPr>
          <w:rFonts w:hint="eastAsia" w:ascii="仿宋" w:hAnsi="仿宋" w:eastAsia="仿宋"/>
          <w:b/>
          <w:sz w:val="24"/>
          <w:em w:val="dot"/>
        </w:rPr>
        <w:t>注：参加开标会议的投标人的法定代表人或其委托代理人应携带本人身份证（原件并附复印件），委托代理人还应携带《法人代表授权委托书》，以证明其身份。</w:t>
      </w:r>
    </w:p>
    <w:p>
      <w:pPr>
        <w:spacing w:line="440" w:lineRule="exact"/>
        <w:rPr>
          <w:rFonts w:ascii="仿宋" w:hAnsi="仿宋" w:eastAsia="仿宋"/>
          <w:b/>
          <w:sz w:val="24"/>
          <w:em w:val="dot"/>
        </w:rPr>
      </w:pPr>
      <w:r>
        <w:rPr>
          <w:rFonts w:ascii="仿宋" w:hAnsi="仿宋" w:eastAsia="仿宋"/>
        </w:rPr>
        <mc:AlternateContent>
          <mc:Choice Requires="wps">
            <w:drawing>
              <wp:anchor distT="0" distB="0" distL="114300" distR="114300" simplePos="0" relativeHeight="251661312" behindDoc="0" locked="0" layoutInCell="1" allowOverlap="1">
                <wp:simplePos x="0" y="0"/>
                <wp:positionH relativeFrom="column">
                  <wp:posOffset>1187450</wp:posOffset>
                </wp:positionH>
                <wp:positionV relativeFrom="paragraph">
                  <wp:posOffset>201295</wp:posOffset>
                </wp:positionV>
                <wp:extent cx="2921000" cy="1575435"/>
                <wp:effectExtent l="4445" t="5080" r="8255" b="19685"/>
                <wp:wrapNone/>
                <wp:docPr id="3" name="文本框 3"/>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此处附法人身份证复印件正反面</w:t>
                            </w:r>
                          </w:p>
                        </w:txbxContent>
                      </wps:txbx>
                      <wps:bodyPr upright="1"/>
                    </wps:wsp>
                  </a:graphicData>
                </a:graphic>
              </wp:anchor>
            </w:drawing>
          </mc:Choice>
          <mc:Fallback>
            <w:pict>
              <v:shape id="_x0000_s1026" o:spid="_x0000_s1026" o:spt="202" type="#_x0000_t202" style="position:absolute;left:0pt;margin-left:93.5pt;margin-top:15.85pt;height:124.05pt;width:230pt;z-index:251661312;mso-width-relative:page;mso-height-relative:page;" fillcolor="#FFFFFF" filled="t" stroked="t" coordsize="21600,21600" o:gfxdata="UEsDBAoAAAAAAIdO4kAAAAAAAAAAAAAAAAAEAAAAZHJzL1BLAwQUAAAACACHTuJAc1bMjtgAAAAK&#10;AQAADwAAAGRycy9kb3ducmV2LnhtbE2PS0/DMBCE70j8B2uRuFTUSUF1CHF6AHFDQqSoZzfePJR4&#10;HcXuA3492xM9zuxo9ptic3ajOOIcek8a0mUCAqn2tqdWw/f2/SEDEaIha0ZPqOEHA2zK25vC5Naf&#10;6AuPVWwFl1DIjYYuximXMtQdOhOWfkLiW+NnZyLLuZV2Nicud6NcJclaOtMTf+jMhK8d1kN1cBrQ&#10;LbD5/Zh2w2dj1PC2qNRu22t9f5cmLyAinuN/GC74jA4lM+39gWwQI+tM8Zao4TFVIDiwfroYew0r&#10;9ZyBLAt5PaH8A1BLAwQUAAAACACHTuJAiuYbY/0BAAD4AwAADgAAAGRycy9lMm9Eb2MueG1srVPN&#10;jtMwEL4j8Q6W7zRplyzdqOlKUMoFAdLCA7i2k1jynzzeJn0BeANOXLjzXH2OHbvd0t3lgBA5OOOZ&#10;8TfffGMvrkejyVYGUM42dDopKZGWO6Fs19Avn9cv5pRAZFYw7axs6E4CvV4+f7YYfC1nrndayEAQ&#10;xEI9+Ib2Mfq6KID30jCYOC8tBlsXDIu4DV0hAhsQ3ehiVpaXxeCC8MFxCYDe1SFIlxm/bSWPH9sW&#10;ZCS6ocgt5jXkdZPWYrlgdReY7xU/0mD/wMIwZbHoCWrFIiO3QT2BMooHB66NE+5M4dpWcZl7wG6m&#10;5aNubnrmZe4FxQF/kgn+Hyz/sP0UiBINvaDEMoMj2n//tv/xa//zK7lI8gweasy68ZgXx9duxDHf&#10;+wGdqeuxDSb9sR+CcRR6dxJXjpFwdM7m1auqxBDH2LSav7y6zPIXv4/7APGddIYko6EBp5dFZdv3&#10;EJEKpt6npGrgtBJrpXXehG7zRgeyZTjpdf4SSzzyIE1bMjT0qppVSIThhWs1i2gajxKA7XK9Byfg&#10;HLjM35+AE7EVg/5AAHawcjHlsdqoKEO2esnEWytI3HnU2eKDoImNkYISLfH9JCtnRqb032Rie9qm&#10;IjLf9aNMaWSH0SQrjpsRQZO5cWKHY7z1QXU9KpwHWaQIXq8s1vEppPt7vkf7/MEu7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zVsyO2AAAAAoBAAAPAAAAAAAAAAEAIAAAACIAAABkcnMvZG93bnJl&#10;di54bWxQSwECFAAUAAAACACHTuJAiuYbY/0BAAD4AwAADgAAAAAAAAABACAAAAAnAQAAZHJzL2Uy&#10;b0RvYy54bWxQSwUGAAAAAAYABgBZAQAAlgUAAAAA&#10;">
                <v:fill on="t" focussize="0,0"/>
                <v:stroke color="#000000" joinstyle="miter" dashstyle="1 1"/>
                <v:imagedata o:title=""/>
                <o:lock v:ext="edit" aspectratio="f"/>
                <v:textbo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此处附法人身份证复印件正反面</w:t>
                      </w:r>
                    </w:p>
                  </w:txbxContent>
                </v:textbox>
              </v:shape>
            </w:pict>
          </mc:Fallback>
        </mc:AlternateContent>
      </w:r>
    </w:p>
    <w:p>
      <w:pPr>
        <w:spacing w:line="440" w:lineRule="exact"/>
        <w:rPr>
          <w:rFonts w:ascii="仿宋" w:hAnsi="仿宋" w:eastAsia="仿宋"/>
          <w:b/>
          <w:sz w:val="24"/>
          <w:em w:val="dot"/>
        </w:rPr>
      </w:pPr>
    </w:p>
    <w:p>
      <w:pPr>
        <w:spacing w:line="440" w:lineRule="exact"/>
        <w:rPr>
          <w:rFonts w:ascii="仿宋" w:hAnsi="仿宋" w:eastAsia="仿宋"/>
          <w:b/>
          <w:sz w:val="24"/>
        </w:rPr>
      </w:pPr>
    </w:p>
    <w:p>
      <w:pPr>
        <w:spacing w:line="440" w:lineRule="exact"/>
        <w:rPr>
          <w:rFonts w:ascii="仿宋" w:hAnsi="仿宋" w:eastAsia="仿宋"/>
          <w:b/>
          <w:sz w:val="24"/>
        </w:rPr>
      </w:pPr>
    </w:p>
    <w:p>
      <w:pPr>
        <w:spacing w:line="440" w:lineRule="exact"/>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r>
        <w:rPr>
          <w:rFonts w:ascii="仿宋" w:hAnsi="仿宋" w:eastAsia="仿宋"/>
        </w:rPr>
        <mc:AlternateContent>
          <mc:Choice Requires="wps">
            <w:drawing>
              <wp:anchor distT="0" distB="0" distL="114300" distR="114300" simplePos="0" relativeHeight="251662336" behindDoc="0" locked="0" layoutInCell="1" allowOverlap="1">
                <wp:simplePos x="0" y="0"/>
                <wp:positionH relativeFrom="column">
                  <wp:posOffset>1195705</wp:posOffset>
                </wp:positionH>
                <wp:positionV relativeFrom="paragraph">
                  <wp:posOffset>221615</wp:posOffset>
                </wp:positionV>
                <wp:extent cx="2929890" cy="1602740"/>
                <wp:effectExtent l="4445" t="4445" r="18415" b="12065"/>
                <wp:wrapNone/>
                <wp:docPr id="2" name="文本框 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此处附委托人身份证复印件正反面</w:t>
                            </w:r>
                          </w:p>
                          <w:p/>
                        </w:txbxContent>
                      </wps:txbx>
                      <wps:bodyPr upright="1"/>
                    </wps:wsp>
                  </a:graphicData>
                </a:graphic>
              </wp:anchor>
            </w:drawing>
          </mc:Choice>
          <mc:Fallback>
            <w:pict>
              <v:shape id="_x0000_s1026" o:spid="_x0000_s1026" o:spt="202" type="#_x0000_t202" style="position:absolute;left:0pt;margin-left:94.15pt;margin-top:17.45pt;height:126.2pt;width:230.7pt;z-index:251662336;mso-width-relative:page;mso-height-relative:page;" fillcolor="#FFFFFF" filled="t" stroked="t" coordsize="21600,21600" o:gfxdata="UEsDBAoAAAAAAIdO4kAAAAAAAAAAAAAAAAAEAAAAZHJzL1BLAwQUAAAACACHTuJAXlZWJ9kAAAAK&#10;AQAADwAAAGRycy9kb3ducmV2LnhtbE2Py07DMBBF90j8gzVIbCrqtKmaNMTpAsQOqSJFXU/jyUOJ&#10;x1HsPuDra1Z0eTVH957Jt1cziDNNrrOsYDGPQBBXVnfcKPjef7ykIJxH1jhYJgU/5GBbPD7kmGl7&#10;4S86l74RoYRdhgpa78dMSle1ZNDN7UgcbrWdDPoQp0bqCS+h3AxyGUVrabDjsNDiSG8tVX15MgrI&#10;zKj+/RwP/a7GpH+flclh3yn1/LSIXkF4uvp/GP70gzoUweloT6ydGEJO0zigCuLVBkQA1qtNAuKo&#10;YJkmMcgil/cvFDdQSwMEFAAAAAgAh07iQBJdMvz7AQAA+AMAAA4AAABkcnMvZTJvRG9jLnhtbK1T&#10;zY7TMBC+I/EOlu80aUSXbtR0JSjlggBp4QFc20ks+U8eb5O8ALwBJy7cea4+x47dbukCB4TIwRnP&#10;jL/55ht7dTMaTfYygHK2ofNZSYm03Allu4Z++rh9tqQEIrOCaWdlQycJ9Gb99Mlq8LWsXO+0kIEg&#10;iIV68A3tY/R1UQDvpWEwc15aDLYuGBZxG7pCBDYgutFFVZZXxeCC8MFxCYDezTFI1xm/bSWP79sW&#10;ZCS6ocgt5jXkdZfWYr1idReY7xU/0WD/wMIwZbHoGWrDIiN3Qf0GZRQPDlwbZ9yZwrWt4jL3gN3M&#10;y1+6ue2Zl7kXFAf8WSb4f7D83f5DIEo0tKLEMoMjOnz9cvj24/D9M6mSPIOHGrNuPebF8aUbccwP&#10;fkBn6npsg0l/7IdgHIWezuLKMRKOzmq5eLEoMcQxNl8sn19fZfmLn8d9gPhGOkOS0dCA08uisv1b&#10;iEgFUx9SUjVwWomt0jpvQrd7pQPZM5z0Nn+JJR55lKYtGRp6vagWSIThhWs1i2gajxKA7XK9Ryfg&#10;ErjM35+AE7ENg/5IACbYuJjyWG1UlCFbvWTitRUkTh51tvggaGJjpKBES3w/ycqZkSn9N5nYnrap&#10;iMx3/SRTGtlxNMmK425E0GTunJhwjHc+qK5HhfMgixTB65XFOj2FdH8v92hfPtj1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5WVifZAAAACgEAAA8AAAAAAAAAAQAgAAAAIgAAAGRycy9kb3ducmV2&#10;LnhtbFBLAQIUABQAAAAIAIdO4kASXTL8+wEAAPgDAAAOAAAAAAAAAAEAIAAAACgBAABkcnMvZTJv&#10;RG9jLnhtbFBLBQYAAAAABgAGAFkBAACVBQAAAAA=&#10;">
                <v:fill on="t" focussize="0,0"/>
                <v:stroke color="#000000" joinstyle="miter" dashstyle="1 1"/>
                <v:imagedata o:title=""/>
                <o:lock v:ext="edit" aspectratio="f"/>
                <v:textbo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此处附委托人身份证复印件正反面</w:t>
                      </w:r>
                    </w:p>
                    <w:p/>
                  </w:txbxContent>
                </v:textbox>
              </v:shape>
            </w:pict>
          </mc:Fallback>
        </mc:AlternateContent>
      </w:r>
    </w:p>
    <w:p>
      <w:pPr>
        <w:spacing w:line="440" w:lineRule="exact"/>
        <w:jc w:val="center"/>
        <w:rPr>
          <w:rFonts w:ascii="仿宋" w:hAnsi="仿宋" w:eastAsia="仿宋"/>
          <w:b/>
          <w:sz w:val="30"/>
          <w:szCs w:val="30"/>
        </w:rPr>
      </w:pPr>
      <w:bookmarkStart w:id="12" w:name="_Toc495917337"/>
      <w:bookmarkStart w:id="13" w:name="_Toc501379480"/>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highlight w:val="yellow"/>
        </w:rPr>
      </w:pPr>
    </w:p>
    <w:p>
      <w:pPr>
        <w:pStyle w:val="6"/>
        <w:ind w:firstLine="440"/>
        <w:rPr>
          <w:highlight w:val="yellow"/>
        </w:rPr>
      </w:pPr>
    </w:p>
    <w:p>
      <w:pPr>
        <w:pStyle w:val="15"/>
        <w:ind w:left="1320"/>
        <w:rPr>
          <w:highlight w:val="yellow"/>
        </w:rPr>
      </w:pPr>
    </w:p>
    <w:p>
      <w:pPr>
        <w:spacing w:line="440" w:lineRule="exact"/>
        <w:jc w:val="center"/>
        <w:rPr>
          <w:rFonts w:ascii="仿宋" w:hAnsi="仿宋" w:eastAsia="仿宋"/>
          <w:b/>
          <w:sz w:val="30"/>
          <w:szCs w:val="30"/>
          <w:highlight w:val="yellow"/>
        </w:rPr>
      </w:pPr>
    </w:p>
    <w:p>
      <w:pPr>
        <w:spacing w:line="440" w:lineRule="exact"/>
        <w:jc w:val="center"/>
        <w:rPr>
          <w:rFonts w:ascii="仿宋" w:hAnsi="仿宋" w:eastAsia="仿宋"/>
          <w:b/>
          <w:sz w:val="30"/>
          <w:szCs w:val="30"/>
        </w:rPr>
      </w:pPr>
      <w:r>
        <w:rPr>
          <w:rFonts w:ascii="仿宋" w:hAnsi="仿宋" w:eastAsia="仿宋"/>
          <w:b/>
          <w:sz w:val="30"/>
          <w:szCs w:val="30"/>
        </w:rPr>
        <w:t>法定代表人资格证明书</w:t>
      </w:r>
      <w:bookmarkEnd w:id="12"/>
      <w:bookmarkEnd w:id="13"/>
    </w:p>
    <w:p>
      <w:pPr>
        <w:spacing w:beforeLines="50" w:afterLines="50" w:line="360" w:lineRule="auto"/>
        <w:ind w:left="572" w:leftChars="260"/>
        <w:rPr>
          <w:rFonts w:ascii="仿宋" w:hAnsi="仿宋" w:eastAsia="仿宋"/>
          <w:sz w:val="24"/>
          <w:szCs w:val="24"/>
          <w:u w:val="single"/>
        </w:rPr>
      </w:pPr>
      <w:r>
        <w:rPr>
          <w:rFonts w:ascii="仿宋" w:hAnsi="仿宋" w:eastAsia="仿宋"/>
          <w:sz w:val="24"/>
          <w:szCs w:val="24"/>
        </w:rPr>
        <w:t>单位名称：</w:t>
      </w:r>
    </w:p>
    <w:p>
      <w:pPr>
        <w:spacing w:beforeLines="50" w:afterLines="50" w:line="360" w:lineRule="auto"/>
        <w:ind w:left="572" w:leftChars="260"/>
        <w:rPr>
          <w:rFonts w:ascii="仿宋" w:hAnsi="仿宋" w:eastAsia="仿宋"/>
          <w:sz w:val="24"/>
          <w:szCs w:val="24"/>
          <w:u w:val="single"/>
        </w:rPr>
      </w:pPr>
      <w:r>
        <w:rPr>
          <w:rFonts w:ascii="仿宋" w:hAnsi="仿宋" w:eastAsia="仿宋"/>
          <w:sz w:val="24"/>
          <w:szCs w:val="24"/>
        </w:rPr>
        <w:t>单位性质：</w:t>
      </w:r>
    </w:p>
    <w:p>
      <w:pPr>
        <w:spacing w:beforeLines="50" w:afterLines="50" w:line="360" w:lineRule="auto"/>
        <w:ind w:left="572" w:leftChars="260"/>
        <w:rPr>
          <w:rFonts w:ascii="仿宋" w:hAnsi="仿宋" w:eastAsia="仿宋"/>
          <w:sz w:val="24"/>
          <w:szCs w:val="24"/>
        </w:rPr>
      </w:pPr>
      <w:r>
        <w:rPr>
          <w:rFonts w:hint="eastAsia" w:ascii="仿宋" w:hAnsi="仿宋" w:eastAsia="仿宋"/>
          <w:sz w:val="24"/>
          <w:szCs w:val="24"/>
        </w:rPr>
        <w:t>地址</w:t>
      </w:r>
      <w:r>
        <w:rPr>
          <w:rFonts w:ascii="仿宋" w:hAnsi="仿宋" w:eastAsia="仿宋"/>
          <w:sz w:val="24"/>
          <w:szCs w:val="24"/>
        </w:rPr>
        <w:t>：</w:t>
      </w:r>
    </w:p>
    <w:p>
      <w:pPr>
        <w:spacing w:beforeLines="50" w:afterLines="50" w:line="360" w:lineRule="auto"/>
        <w:ind w:left="572" w:leftChars="260"/>
        <w:rPr>
          <w:rFonts w:ascii="仿宋" w:hAnsi="仿宋" w:eastAsia="仿宋"/>
          <w:sz w:val="24"/>
          <w:szCs w:val="24"/>
          <w:u w:val="single"/>
        </w:rPr>
      </w:pPr>
      <w:r>
        <w:rPr>
          <w:rFonts w:ascii="仿宋" w:hAnsi="仿宋" w:eastAsia="仿宋"/>
          <w:sz w:val="24"/>
          <w:szCs w:val="24"/>
        </w:rPr>
        <w:t>成立时间：</w:t>
      </w:r>
    </w:p>
    <w:p>
      <w:pPr>
        <w:spacing w:beforeLines="50" w:afterLines="50" w:line="360" w:lineRule="auto"/>
        <w:ind w:left="572" w:leftChars="260"/>
        <w:rPr>
          <w:rFonts w:ascii="仿宋" w:hAnsi="仿宋" w:eastAsia="仿宋"/>
          <w:sz w:val="24"/>
          <w:szCs w:val="24"/>
        </w:rPr>
      </w:pPr>
      <w:r>
        <w:rPr>
          <w:rFonts w:hint="eastAsia" w:ascii="仿宋" w:hAnsi="仿宋" w:eastAsia="仿宋"/>
          <w:sz w:val="24"/>
          <w:szCs w:val="24"/>
        </w:rPr>
        <w:t>经营期限</w:t>
      </w:r>
      <w:r>
        <w:rPr>
          <w:rFonts w:ascii="仿宋" w:hAnsi="仿宋" w:eastAsia="仿宋"/>
          <w:sz w:val="24"/>
          <w:szCs w:val="24"/>
        </w:rPr>
        <w:t>：</w:t>
      </w:r>
    </w:p>
    <w:p>
      <w:pPr>
        <w:spacing w:beforeLines="50" w:afterLines="50" w:line="360" w:lineRule="auto"/>
        <w:ind w:left="572" w:leftChars="260"/>
        <w:rPr>
          <w:rFonts w:ascii="仿宋" w:hAnsi="仿宋" w:eastAsia="仿宋"/>
          <w:sz w:val="24"/>
          <w:szCs w:val="24"/>
        </w:rPr>
      </w:pPr>
      <w:r>
        <w:rPr>
          <w:rFonts w:ascii="仿宋" w:hAnsi="仿宋" w:eastAsia="仿宋"/>
          <w:sz w:val="24"/>
          <w:szCs w:val="24"/>
        </w:rPr>
        <w:t>姓名：性别：年龄：职务：</w:t>
      </w:r>
    </w:p>
    <w:p>
      <w:pPr>
        <w:spacing w:beforeLines="50" w:afterLines="50" w:line="360" w:lineRule="auto"/>
        <w:ind w:firstLine="480" w:firstLineChars="200"/>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w:t>
      </w:r>
      <w:r>
        <w:rPr>
          <w:rFonts w:hint="eastAsia" w:ascii="仿宋" w:hAnsi="仿宋" w:eastAsia="仿宋"/>
          <w:sz w:val="24"/>
          <w:szCs w:val="24"/>
          <w:u w:val="single"/>
        </w:rPr>
        <w:t>投标人</w:t>
      </w:r>
      <w:r>
        <w:rPr>
          <w:rFonts w:ascii="仿宋" w:hAnsi="仿宋" w:eastAsia="仿宋"/>
          <w:sz w:val="24"/>
          <w:szCs w:val="24"/>
          <w:u w:val="single"/>
        </w:rPr>
        <w:t>）</w:t>
      </w:r>
      <w:r>
        <w:rPr>
          <w:rFonts w:ascii="仿宋" w:hAnsi="仿宋" w:eastAsia="仿宋"/>
          <w:sz w:val="24"/>
          <w:szCs w:val="24"/>
        </w:rPr>
        <w:t>的法定代表人。</w:t>
      </w:r>
      <w:r>
        <w:rPr>
          <w:rFonts w:ascii="仿宋" w:hAnsi="仿宋" w:eastAsia="仿宋"/>
          <w:sz w:val="24"/>
          <w:szCs w:val="24"/>
        </w:rPr>
        <w:cr/>
      </w:r>
    </w:p>
    <w:p>
      <w:pPr>
        <w:spacing w:beforeLines="50" w:afterLines="50" w:line="360" w:lineRule="auto"/>
        <w:ind w:firstLine="480" w:firstLineChars="200"/>
        <w:rPr>
          <w:rFonts w:ascii="仿宋" w:hAnsi="仿宋" w:eastAsia="仿宋"/>
          <w:sz w:val="24"/>
          <w:szCs w:val="24"/>
        </w:rPr>
      </w:pPr>
      <w:r>
        <w:rPr>
          <w:rFonts w:ascii="仿宋" w:hAnsi="仿宋" w:eastAsia="仿宋"/>
          <w:sz w:val="24"/>
          <w:szCs w:val="24"/>
        </w:rPr>
        <w:t>特此证明。</w:t>
      </w:r>
    </w:p>
    <w:p>
      <w:pPr>
        <w:spacing w:beforeLines="50" w:afterLines="50" w:line="360" w:lineRule="auto"/>
        <w:ind w:firstLine="480" w:firstLineChars="200"/>
        <w:rPr>
          <w:rFonts w:ascii="仿宋" w:hAnsi="仿宋" w:eastAsia="仿宋"/>
          <w:sz w:val="24"/>
          <w:szCs w:val="24"/>
        </w:rPr>
      </w:pPr>
      <w:r>
        <w:rPr>
          <w:rFonts w:hint="eastAsia" w:ascii="仿宋" w:hAnsi="仿宋" w:eastAsia="仿宋"/>
          <w:sz w:val="24"/>
          <w:szCs w:val="24"/>
        </w:rPr>
        <w:t>（附法人身份证复印件）</w:t>
      </w:r>
    </w:p>
    <w:p>
      <w:pPr>
        <w:spacing w:beforeLines="50" w:afterLines="50" w:line="360" w:lineRule="auto"/>
        <w:ind w:firstLine="480" w:firstLineChars="200"/>
        <w:rPr>
          <w:rFonts w:ascii="仿宋" w:hAnsi="仿宋" w:eastAsia="仿宋"/>
          <w:sz w:val="24"/>
          <w:szCs w:val="24"/>
        </w:rPr>
      </w:pPr>
    </w:p>
    <w:p>
      <w:pPr>
        <w:spacing w:beforeLines="50" w:afterLines="50" w:line="360" w:lineRule="auto"/>
        <w:ind w:firstLine="480" w:firstLineChars="200"/>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公章：[</w:t>
      </w:r>
      <w:r>
        <w:rPr>
          <w:rFonts w:hint="eastAsia" w:ascii="仿宋" w:hAnsi="仿宋" w:eastAsia="仿宋"/>
          <w:sz w:val="24"/>
          <w:szCs w:val="24"/>
        </w:rPr>
        <w:t>投标人</w:t>
      </w:r>
      <w:r>
        <w:rPr>
          <w:rFonts w:ascii="仿宋" w:hAnsi="仿宋" w:eastAsia="仿宋"/>
          <w:sz w:val="24"/>
          <w:szCs w:val="24"/>
        </w:rPr>
        <w:t>盖章]</w:t>
      </w:r>
    </w:p>
    <w:p>
      <w:pPr>
        <w:spacing w:beforeLines="50" w:afterLines="50" w:line="360" w:lineRule="auto"/>
        <w:ind w:firstLine="496" w:firstLineChars="200"/>
        <w:rPr>
          <w:rFonts w:ascii="仿宋" w:hAnsi="仿宋" w:eastAsia="仿宋"/>
          <w:sz w:val="24"/>
          <w:szCs w:val="24"/>
        </w:rPr>
      </w:pPr>
      <w:r>
        <w:rPr>
          <w:rFonts w:ascii="仿宋" w:hAnsi="仿宋" w:eastAsia="仿宋"/>
          <w:spacing w:val="4"/>
          <w:sz w:val="24"/>
          <w:szCs w:val="24"/>
        </w:rPr>
        <w:t>日期：</w:t>
      </w:r>
      <w:r>
        <w:rPr>
          <w:rFonts w:hint="eastAsia" w:ascii="仿宋" w:hAnsi="仿宋" w:eastAsia="仿宋"/>
          <w:sz w:val="24"/>
          <w:szCs w:val="24"/>
        </w:rPr>
        <w:t>年  月  日</w:t>
      </w:r>
    </w:p>
    <w:p>
      <w:pPr>
        <w:spacing w:line="440" w:lineRule="exact"/>
        <w:rPr>
          <w:rFonts w:ascii="仿宋" w:hAnsi="仿宋" w:eastAsia="仿宋"/>
          <w:b/>
          <w:sz w:val="24"/>
          <w:em w:val="dot"/>
        </w:rPr>
      </w:pPr>
      <w:r>
        <w:rPr>
          <w:rFonts w:hint="eastAsia" w:ascii="仿宋" w:hAnsi="仿宋" w:eastAsia="仿宋"/>
          <w:b/>
          <w:sz w:val="24"/>
          <w:em w:val="dot"/>
        </w:rPr>
        <w:t>注：参加开标会议的投标人的法定代表人应携带本人身份证（原件并附复印件），以证明其身   份。</w:t>
      </w:r>
    </w:p>
    <w:p>
      <w:pPr>
        <w:pStyle w:val="2"/>
        <w:ind w:left="0"/>
        <w:rPr>
          <w:sz w:val="20"/>
        </w:rPr>
      </w:pPr>
    </w:p>
    <w:p>
      <w:pPr>
        <w:pStyle w:val="2"/>
        <w:ind w:left="0"/>
        <w:rPr>
          <w:sz w:val="20"/>
        </w:rPr>
      </w:pPr>
    </w:p>
    <w:p>
      <w:pPr>
        <w:pStyle w:val="2"/>
        <w:ind w:left="0"/>
        <w:rPr>
          <w:sz w:val="20"/>
        </w:rPr>
      </w:pPr>
    </w:p>
    <w:p>
      <w:pPr>
        <w:pStyle w:val="2"/>
        <w:spacing w:before="2"/>
        <w:ind w:left="0"/>
        <w:rPr>
          <w:sz w:val="22"/>
        </w:rPr>
      </w:pPr>
    </w:p>
    <w:p>
      <w:pPr>
        <w:pStyle w:val="2"/>
        <w:spacing w:before="78"/>
        <w:ind w:left="3225"/>
        <w:rPr>
          <w:rFonts w:ascii="Arial" w:eastAsia="Arial"/>
        </w:rPr>
      </w:pPr>
    </w:p>
    <w:p>
      <w:pPr>
        <w:pStyle w:val="2"/>
        <w:spacing w:before="78"/>
        <w:ind w:left="3225"/>
        <w:rPr>
          <w:rFonts w:ascii="Arial" w:eastAsia="Arial"/>
        </w:rPr>
      </w:pPr>
    </w:p>
    <w:p>
      <w:pPr>
        <w:pStyle w:val="2"/>
        <w:spacing w:before="78"/>
        <w:ind w:left="3225"/>
        <w:rPr>
          <w:rFonts w:ascii="Arial" w:eastAsia="Arial"/>
        </w:rPr>
      </w:pPr>
    </w:p>
    <w:p>
      <w:pPr>
        <w:pStyle w:val="2"/>
        <w:spacing w:before="78"/>
        <w:ind w:left="3225"/>
        <w:rPr>
          <w:rFonts w:ascii="Arial" w:eastAsia="Arial"/>
        </w:rPr>
      </w:pPr>
    </w:p>
    <w:p>
      <w:pPr>
        <w:pStyle w:val="2"/>
        <w:spacing w:before="78"/>
        <w:ind w:left="3225"/>
        <w:rPr>
          <w:rFonts w:ascii="Arial" w:eastAsia="Arial"/>
        </w:rPr>
      </w:pPr>
    </w:p>
    <w:p>
      <w:pPr>
        <w:pStyle w:val="2"/>
        <w:spacing w:before="78"/>
        <w:ind w:left="3225"/>
        <w:rPr>
          <w:rFonts w:ascii="Arial" w:eastAsia="Arial"/>
        </w:rPr>
      </w:pPr>
    </w:p>
    <w:p>
      <w:pPr>
        <w:pStyle w:val="2"/>
        <w:spacing w:before="78"/>
        <w:ind w:left="3225"/>
        <w:rPr>
          <w:rFonts w:ascii="Arial" w:eastAsia="Arial"/>
        </w:rPr>
      </w:pPr>
    </w:p>
    <w:p>
      <w:pPr>
        <w:pStyle w:val="2"/>
        <w:spacing w:before="78"/>
        <w:ind w:left="3225"/>
        <w:rPr>
          <w:rFonts w:ascii="Arial" w:eastAsia="Arial"/>
          <w:highlight w:val="yellow"/>
        </w:rPr>
      </w:pPr>
    </w:p>
    <w:p>
      <w:pPr>
        <w:pStyle w:val="2"/>
        <w:spacing w:before="78"/>
        <w:ind w:left="3225"/>
        <w:rPr>
          <w:rFonts w:ascii="Arial" w:eastAsia="Arial"/>
          <w:highlight w:val="yellow"/>
        </w:rPr>
      </w:pPr>
    </w:p>
    <w:p>
      <w:pPr>
        <w:pStyle w:val="2"/>
        <w:spacing w:before="78"/>
        <w:ind w:left="3225"/>
        <w:rPr>
          <w:rFonts w:ascii="Arial" w:eastAsia="Arial"/>
          <w:highlight w:val="yellow"/>
        </w:rPr>
      </w:pPr>
    </w:p>
    <w:p>
      <w:pPr>
        <w:pStyle w:val="2"/>
        <w:spacing w:before="78"/>
        <w:ind w:left="3225"/>
      </w:pPr>
      <w:r>
        <w:rPr>
          <w:rFonts w:ascii="Arial" w:eastAsia="Arial"/>
        </w:rPr>
        <w:t>7</w:t>
      </w:r>
      <w:r>
        <w:t>、关于资格的声明函</w:t>
      </w:r>
    </w:p>
    <w:p>
      <w:pPr>
        <w:pStyle w:val="2"/>
        <w:spacing w:before="5"/>
        <w:ind w:left="0"/>
        <w:rPr>
          <w:sz w:val="38"/>
        </w:rPr>
      </w:pPr>
    </w:p>
    <w:p>
      <w:pPr>
        <w:pStyle w:val="2"/>
        <w:ind w:left="220"/>
      </w:pPr>
      <w:r>
        <w:t>致：</w:t>
      </w:r>
      <w:r>
        <w:rPr>
          <w:rFonts w:hint="eastAsia"/>
          <w:u w:val="single"/>
        </w:rPr>
        <w:t>法正项目管理集团有限公司</w:t>
      </w:r>
      <w:r>
        <w:t>：</w:t>
      </w:r>
    </w:p>
    <w:p>
      <w:pPr>
        <w:pStyle w:val="2"/>
        <w:spacing w:before="83" w:line="302" w:lineRule="auto"/>
        <w:ind w:left="220" w:right="516" w:firstLine="571"/>
      </w:pPr>
      <w:r>
        <w:t>关于贵方年月日第</w:t>
      </w:r>
      <w:r>
        <w:rPr>
          <w:u w:val="single"/>
        </w:rPr>
        <w:t>（</w:t>
      </w:r>
      <w:r>
        <w:rPr>
          <w:i/>
          <w:sz w:val="25"/>
          <w:u w:val="single"/>
        </w:rPr>
        <w:t>项目编号</w:t>
      </w:r>
      <w:r>
        <w:rPr>
          <w:u w:val="single"/>
        </w:rPr>
        <w:t>）</w:t>
      </w:r>
      <w:r>
        <w:rPr>
          <w:rFonts w:hint="eastAsia"/>
          <w:lang w:eastAsia="zh-CN"/>
        </w:rPr>
        <w:t>采购</w:t>
      </w:r>
      <w:r>
        <w:t>通告，本签字人愿意参加投标，并有能力提供</w:t>
      </w:r>
      <w:r>
        <w:rPr>
          <w:u w:val="single"/>
        </w:rPr>
        <w:t>（</w:t>
      </w:r>
      <w:r>
        <w:rPr>
          <w:i/>
          <w:sz w:val="25"/>
          <w:u w:val="single"/>
        </w:rPr>
        <w:t>项目名称</w:t>
      </w:r>
      <w:r>
        <w:rPr>
          <w:u w:val="single"/>
        </w:rPr>
        <w:t xml:space="preserve">）      </w:t>
      </w:r>
      <w:r>
        <w:t>项目中的</w:t>
      </w:r>
      <w:r>
        <w:rPr>
          <w:u w:val="single"/>
        </w:rPr>
        <w:t>（</w:t>
      </w:r>
      <w:r>
        <w:rPr>
          <w:i/>
          <w:sz w:val="25"/>
          <w:u w:val="single"/>
        </w:rPr>
        <w:t>货物名称</w:t>
      </w:r>
      <w:r>
        <w:rPr>
          <w:spacing w:val="-94"/>
          <w:u w:val="single"/>
        </w:rPr>
        <w:t>）</w:t>
      </w:r>
      <w:r>
        <w:rPr>
          <w:rFonts w:hint="eastAsia"/>
          <w:lang w:eastAsia="zh-CN"/>
        </w:rPr>
        <w:t>采购</w:t>
      </w:r>
      <w:r>
        <w:rPr>
          <w:rFonts w:hint="eastAsia"/>
        </w:rPr>
        <w:t>货物及相关服务，并证明所提交的所有文件和说明是准确和真实的。</w:t>
      </w:r>
    </w:p>
    <w:p>
      <w:pPr>
        <w:pStyle w:val="2"/>
        <w:spacing w:before="200"/>
        <w:ind w:left="220"/>
      </w:pPr>
      <w:r>
        <w:t xml:space="preserve">  受权签署本资格文件人：</w:t>
      </w:r>
    </w:p>
    <w:p>
      <w:pPr>
        <w:pStyle w:val="2"/>
        <w:spacing w:before="93"/>
        <w:ind w:left="220"/>
      </w:pPr>
      <w:r>
        <w:t xml:space="preserve">  名 称 </w:t>
      </w:r>
      <w:r>
        <w:rPr>
          <w:u w:val="single"/>
        </w:rPr>
        <w:t>：</w:t>
      </w:r>
      <w:r>
        <w:t>签 字 ：</w:t>
      </w:r>
    </w:p>
    <w:p>
      <w:pPr>
        <w:pStyle w:val="2"/>
        <w:spacing w:before="94"/>
        <w:ind w:left="220"/>
      </w:pPr>
      <w:r>
        <w:t xml:space="preserve">  地 址 </w:t>
      </w:r>
      <w:r>
        <w:rPr>
          <w:u w:val="single"/>
        </w:rPr>
        <w:t>：</w:t>
      </w:r>
      <w:r>
        <w:t>签 字 人 姓 名 、 职 务 （ 印 刷 体 ）</w:t>
      </w:r>
    </w:p>
    <w:p>
      <w:pPr>
        <w:pStyle w:val="2"/>
        <w:tabs>
          <w:tab w:val="left" w:pos="4060"/>
        </w:tabs>
        <w:spacing w:before="91"/>
        <w:ind w:left="220"/>
      </w:pPr>
      <w:r>
        <w:t>传真</w:t>
      </w:r>
      <w:r>
        <w:rPr>
          <w:u w:val="single"/>
        </w:rPr>
        <w:t xml:space="preserve">：         </w:t>
      </w:r>
    </w:p>
    <w:p>
      <w:pPr>
        <w:pStyle w:val="2"/>
        <w:spacing w:before="93"/>
        <w:ind w:left="220"/>
      </w:pPr>
      <w:r>
        <w:t xml:space="preserve">  邮 编 </w:t>
      </w:r>
      <w:r>
        <w:rPr>
          <w:u w:val="single"/>
        </w:rPr>
        <w:t>：</w:t>
      </w:r>
      <w:r>
        <w:t xml:space="preserve">电 话 </w:t>
      </w:r>
      <w:r>
        <w:rPr>
          <w:u w:val="single"/>
        </w:rPr>
        <w:t xml:space="preserve">：          </w:t>
      </w:r>
    </w:p>
    <w:p>
      <w:pPr>
        <w:pStyle w:val="2"/>
        <w:spacing w:before="94"/>
        <w:ind w:left="220"/>
      </w:pPr>
      <w:r>
        <w:t xml:space="preserve">  盖章：</w:t>
      </w:r>
    </w:p>
    <w:p>
      <w:pPr>
        <w:rPr>
          <w:highlight w:val="yellow"/>
        </w:rPr>
        <w:sectPr>
          <w:pgSz w:w="11910" w:h="16840"/>
          <w:pgMar w:top="1580" w:right="920" w:bottom="1380" w:left="1580" w:header="0" w:footer="1195" w:gutter="0"/>
          <w:cols w:space="720" w:num="1"/>
        </w:sectPr>
      </w:pPr>
    </w:p>
    <w:p>
      <w:pPr>
        <w:pStyle w:val="2"/>
        <w:spacing w:before="50"/>
        <w:ind w:left="3105"/>
      </w:pPr>
      <w:r>
        <w:rPr>
          <w:rFonts w:ascii="Arial" w:eastAsia="Arial"/>
        </w:rPr>
        <w:t>8</w:t>
      </w:r>
      <w:r>
        <w:t>、制造商出具的授权函</w:t>
      </w:r>
    </w:p>
    <w:p>
      <w:pPr>
        <w:pStyle w:val="2"/>
        <w:spacing w:before="8"/>
        <w:ind w:left="0"/>
        <w:rPr>
          <w:sz w:val="37"/>
        </w:rPr>
      </w:pPr>
    </w:p>
    <w:p>
      <w:pPr>
        <w:tabs>
          <w:tab w:val="left" w:pos="2181"/>
        </w:tabs>
        <w:ind w:left="220"/>
        <w:rPr>
          <w:rFonts w:ascii="Arial" w:eastAsia="Arial"/>
          <w:i/>
          <w:sz w:val="24"/>
        </w:rPr>
      </w:pPr>
      <w:r>
        <w:rPr>
          <w:i/>
          <w:spacing w:val="-1"/>
          <w:w w:val="95"/>
          <w:sz w:val="25"/>
        </w:rPr>
        <w:t>致：</w:t>
      </w:r>
      <w:r>
        <w:rPr>
          <w:rFonts w:ascii="Arial" w:eastAsia="Arial"/>
          <w:i/>
          <w:spacing w:val="-1"/>
          <w:w w:val="95"/>
          <w:sz w:val="24"/>
          <w:u w:val="single"/>
        </w:rPr>
        <w:t>(</w:t>
      </w:r>
      <w:r>
        <w:rPr>
          <w:rFonts w:hint="eastAsia"/>
          <w:i/>
          <w:spacing w:val="-1"/>
          <w:w w:val="95"/>
          <w:sz w:val="25"/>
          <w:u w:val="single"/>
          <w:lang w:eastAsia="zh-CN"/>
        </w:rPr>
        <w:t>采购</w:t>
      </w:r>
      <w:r>
        <w:rPr>
          <w:i/>
          <w:spacing w:val="-1"/>
          <w:w w:val="95"/>
          <w:sz w:val="25"/>
          <w:u w:val="single"/>
        </w:rPr>
        <w:t>机</w:t>
      </w:r>
      <w:r>
        <w:rPr>
          <w:i/>
          <w:w w:val="95"/>
          <w:sz w:val="25"/>
          <w:u w:val="single"/>
        </w:rPr>
        <w:t>构</w:t>
      </w:r>
      <w:r>
        <w:rPr>
          <w:rFonts w:ascii="Arial" w:eastAsia="Arial"/>
          <w:i/>
          <w:w w:val="95"/>
          <w:sz w:val="24"/>
          <w:u w:val="single"/>
        </w:rPr>
        <w:t>)</w:t>
      </w:r>
      <w:r>
        <w:rPr>
          <w:rFonts w:ascii="Arial" w:eastAsia="Arial"/>
          <w:i/>
          <w:w w:val="95"/>
          <w:sz w:val="24"/>
          <w:u w:val="single"/>
        </w:rPr>
        <w:tab/>
      </w:r>
    </w:p>
    <w:p>
      <w:pPr>
        <w:spacing w:before="81" w:line="300" w:lineRule="auto"/>
        <w:ind w:left="220" w:right="877" w:firstLine="479"/>
        <w:jc w:val="both"/>
        <w:rPr>
          <w:sz w:val="24"/>
        </w:rPr>
      </w:pPr>
      <w:r>
        <w:rPr>
          <w:spacing w:val="-24"/>
          <w:w w:val="95"/>
          <w:sz w:val="24"/>
        </w:rPr>
        <w:t>我们</w:t>
      </w:r>
      <w:r>
        <w:rPr>
          <w:i/>
          <w:w w:val="95"/>
          <w:sz w:val="25"/>
        </w:rPr>
        <w:t>（</w:t>
      </w:r>
      <w:r>
        <w:rPr>
          <w:i/>
          <w:w w:val="95"/>
          <w:sz w:val="25"/>
          <w:u w:val="single"/>
        </w:rPr>
        <w:t>制造商名称</w:t>
      </w:r>
      <w:r>
        <w:rPr>
          <w:rFonts w:ascii="Arial" w:eastAsia="Arial"/>
          <w:i/>
          <w:w w:val="95"/>
          <w:sz w:val="24"/>
          <w:u w:val="single"/>
        </w:rPr>
        <w:t>)</w:t>
      </w:r>
      <w:r>
        <w:rPr>
          <w:w w:val="95"/>
          <w:sz w:val="24"/>
        </w:rPr>
        <w:t>兹指派主要营业地点设在</w:t>
      </w:r>
      <w:r>
        <w:rPr>
          <w:rFonts w:ascii="Arial" w:eastAsia="Arial"/>
          <w:i/>
          <w:w w:val="95"/>
          <w:sz w:val="24"/>
          <w:u w:val="single"/>
        </w:rPr>
        <w:t>(</w:t>
      </w:r>
      <w:r>
        <w:rPr>
          <w:i/>
          <w:w w:val="95"/>
          <w:sz w:val="25"/>
          <w:u w:val="single"/>
        </w:rPr>
        <w:t>贸易公司地址</w:t>
      </w:r>
      <w:r>
        <w:rPr>
          <w:rFonts w:ascii="Arial" w:eastAsia="Arial"/>
          <w:i/>
          <w:spacing w:val="12"/>
          <w:w w:val="95"/>
          <w:sz w:val="24"/>
          <w:u w:val="single"/>
        </w:rPr>
        <w:t xml:space="preserve">)  </w:t>
      </w:r>
      <w:r>
        <w:rPr>
          <w:spacing w:val="-46"/>
          <w:w w:val="95"/>
          <w:sz w:val="24"/>
        </w:rPr>
        <w:t>的</w:t>
      </w:r>
      <w:r>
        <w:rPr>
          <w:i/>
          <w:w w:val="95"/>
          <w:sz w:val="25"/>
        </w:rPr>
        <w:t>（</w:t>
      </w:r>
      <w:r>
        <w:rPr>
          <w:rFonts w:ascii="宋体" w:hAnsi="宋体" w:eastAsia="宋体" w:cs="宋体"/>
          <w:i/>
          <w:w w:val="95"/>
          <w:sz w:val="25"/>
          <w:u w:val="single"/>
        </w:rPr>
        <w:t xml:space="preserve">贸易公司名称) </w:t>
      </w:r>
      <w:r>
        <w:rPr>
          <w:sz w:val="24"/>
        </w:rPr>
        <w:t>作为我方真正的和合法的代理人进行下列有效的活动：</w:t>
      </w:r>
    </w:p>
    <w:p>
      <w:pPr>
        <w:spacing w:line="300" w:lineRule="auto"/>
        <w:ind w:left="220" w:right="877" w:firstLine="479"/>
        <w:jc w:val="both"/>
        <w:rPr>
          <w:sz w:val="24"/>
        </w:rPr>
      </w:pPr>
      <w:r>
        <w:rPr>
          <w:sz w:val="24"/>
        </w:rPr>
        <w:t>代表我方办理贵方第</w:t>
      </w:r>
      <w:r>
        <w:rPr>
          <w:i/>
          <w:sz w:val="25"/>
          <w:u w:val="single"/>
        </w:rPr>
        <w:t>（项目编号）</w:t>
      </w:r>
      <w:r>
        <w:rPr>
          <w:spacing w:val="-9"/>
          <w:sz w:val="24"/>
        </w:rPr>
        <w:t>号项目中要求提供的由我方制造</w:t>
      </w:r>
      <w:r>
        <w:rPr>
          <w:sz w:val="24"/>
        </w:rPr>
        <w:t>货物的有关事宜，并对我方具有约束力；</w:t>
      </w:r>
    </w:p>
    <w:p>
      <w:pPr>
        <w:pStyle w:val="22"/>
        <w:numPr>
          <w:ilvl w:val="0"/>
          <w:numId w:val="31"/>
        </w:numPr>
        <w:tabs>
          <w:tab w:val="left" w:pos="996"/>
        </w:tabs>
        <w:spacing w:before="9" w:line="312" w:lineRule="auto"/>
        <w:ind w:right="884" w:firstLine="480"/>
        <w:jc w:val="both"/>
        <w:rPr>
          <w:sz w:val="24"/>
        </w:rPr>
      </w:pPr>
      <w:r>
        <w:rPr>
          <w:sz w:val="24"/>
        </w:rPr>
        <w:t>作为制造商，我方保证以投标合作者来约束自己，并对该投标共同和分别承担采购文件中所规定的义务；</w:t>
      </w:r>
    </w:p>
    <w:p>
      <w:pPr>
        <w:pStyle w:val="22"/>
        <w:numPr>
          <w:ilvl w:val="0"/>
          <w:numId w:val="31"/>
        </w:numPr>
        <w:tabs>
          <w:tab w:val="left" w:pos="995"/>
        </w:tabs>
        <w:spacing w:before="0" w:line="302" w:lineRule="auto"/>
        <w:ind w:right="876" w:firstLine="480"/>
        <w:jc w:val="both"/>
        <w:rPr>
          <w:sz w:val="24"/>
        </w:rPr>
      </w:pPr>
      <w:r>
        <w:rPr>
          <w:w w:val="95"/>
          <w:sz w:val="24"/>
        </w:rPr>
        <w:t>我方兹授予</w:t>
      </w:r>
      <w:r>
        <w:rPr>
          <w:i/>
          <w:w w:val="95"/>
          <w:sz w:val="25"/>
          <w:u w:val="single"/>
        </w:rPr>
        <w:t>（贸易公司名称</w:t>
      </w:r>
      <w:r>
        <w:rPr>
          <w:rFonts w:ascii="Arial" w:eastAsia="Arial"/>
          <w:i/>
          <w:w w:val="95"/>
          <w:sz w:val="24"/>
          <w:u w:val="single"/>
        </w:rPr>
        <w:t>)</w:t>
      </w:r>
      <w:r>
        <w:rPr>
          <w:spacing w:val="-1"/>
          <w:w w:val="95"/>
          <w:sz w:val="24"/>
        </w:rPr>
        <w:t xml:space="preserve">全权办理和履行上述我方为完成上述各点所 </w:t>
      </w:r>
      <w:r>
        <w:rPr>
          <w:spacing w:val="-3"/>
          <w:sz w:val="24"/>
        </w:rPr>
        <w:t>必须的事宜，具有替换或撤消的全权。兹确认</w:t>
      </w:r>
      <w:r>
        <w:rPr>
          <w:i/>
          <w:sz w:val="25"/>
        </w:rPr>
        <w:t>（</w:t>
      </w:r>
      <w:r>
        <w:rPr>
          <w:i/>
          <w:sz w:val="25"/>
          <w:u w:val="single"/>
        </w:rPr>
        <w:t>贸易公司名称</w:t>
      </w:r>
      <w:r>
        <w:rPr>
          <w:rFonts w:ascii="Arial" w:eastAsia="Arial"/>
          <w:i/>
          <w:sz w:val="24"/>
          <w:u w:val="single"/>
        </w:rPr>
        <w:t>)</w:t>
      </w:r>
      <w:r>
        <w:rPr>
          <w:spacing w:val="-3"/>
          <w:sz w:val="24"/>
        </w:rPr>
        <w:t>或其正式授权代</w:t>
      </w:r>
      <w:r>
        <w:rPr>
          <w:sz w:val="24"/>
        </w:rPr>
        <w:t>表依此合法地办理一切事宜。</w:t>
      </w:r>
    </w:p>
    <w:p>
      <w:pPr>
        <w:tabs>
          <w:tab w:val="left" w:pos="2728"/>
          <w:tab w:val="left" w:pos="3638"/>
          <w:tab w:val="left" w:pos="4550"/>
        </w:tabs>
        <w:ind w:left="1180"/>
        <w:rPr>
          <w:sz w:val="24"/>
        </w:rPr>
      </w:pPr>
      <w:r>
        <w:rPr>
          <w:spacing w:val="12"/>
          <w:sz w:val="24"/>
        </w:rPr>
        <w:t>我方于</w:t>
      </w:r>
      <w:r>
        <w:rPr>
          <w:spacing w:val="12"/>
          <w:sz w:val="24"/>
          <w:u w:val="single"/>
        </w:rPr>
        <w:tab/>
      </w:r>
      <w:r>
        <w:rPr>
          <w:spacing w:val="12"/>
          <w:sz w:val="24"/>
        </w:rPr>
        <w:t>年</w:t>
      </w:r>
      <w:r>
        <w:rPr>
          <w:spacing w:val="12"/>
          <w:sz w:val="24"/>
          <w:u w:val="single"/>
        </w:rPr>
        <w:tab/>
      </w:r>
      <w:r>
        <w:rPr>
          <w:spacing w:val="12"/>
          <w:sz w:val="24"/>
        </w:rPr>
        <w:t>月</w:t>
      </w:r>
      <w:r>
        <w:rPr>
          <w:spacing w:val="12"/>
          <w:sz w:val="24"/>
          <w:u w:val="single"/>
        </w:rPr>
        <w:tab/>
      </w:r>
      <w:r>
        <w:rPr>
          <w:spacing w:val="11"/>
          <w:sz w:val="24"/>
        </w:rPr>
        <w:t>日签署</w:t>
      </w:r>
      <w:r>
        <w:rPr>
          <w:spacing w:val="9"/>
          <w:sz w:val="24"/>
        </w:rPr>
        <w:t>本</w:t>
      </w:r>
      <w:r>
        <w:rPr>
          <w:spacing w:val="11"/>
          <w:sz w:val="24"/>
        </w:rPr>
        <w:t>文件</w:t>
      </w:r>
      <w:r>
        <w:rPr>
          <w:spacing w:val="12"/>
          <w:sz w:val="24"/>
        </w:rPr>
        <w:t>，</w:t>
      </w:r>
      <w:r>
        <w:rPr>
          <w:i/>
          <w:spacing w:val="12"/>
          <w:sz w:val="25"/>
          <w:u w:val="single"/>
        </w:rPr>
        <w:t>（</w:t>
      </w:r>
      <w:r>
        <w:rPr>
          <w:i/>
          <w:spacing w:val="11"/>
          <w:sz w:val="25"/>
          <w:u w:val="single"/>
        </w:rPr>
        <w:t>贸易公司</w:t>
      </w:r>
      <w:r>
        <w:rPr>
          <w:i/>
          <w:spacing w:val="9"/>
          <w:sz w:val="25"/>
          <w:u w:val="single"/>
        </w:rPr>
        <w:t>名</w:t>
      </w:r>
      <w:r>
        <w:rPr>
          <w:i/>
          <w:spacing w:val="14"/>
          <w:sz w:val="25"/>
          <w:u w:val="single"/>
        </w:rPr>
        <w:t>称</w:t>
      </w:r>
      <w:r>
        <w:rPr>
          <w:rFonts w:ascii="Arial" w:eastAsia="Arial"/>
          <w:i/>
          <w:sz w:val="24"/>
          <w:u w:val="single"/>
        </w:rPr>
        <w:t>)</w:t>
      </w:r>
      <w:r>
        <w:rPr>
          <w:sz w:val="24"/>
        </w:rPr>
        <w:t>于</w:t>
      </w:r>
    </w:p>
    <w:p>
      <w:pPr>
        <w:pStyle w:val="2"/>
        <w:spacing w:before="86"/>
        <w:ind w:left="220"/>
      </w:pPr>
      <w:r>
        <w:t>年</w:t>
      </w:r>
    </w:p>
    <w:p>
      <w:pPr>
        <w:pStyle w:val="2"/>
        <w:tabs>
          <w:tab w:val="left" w:pos="820"/>
          <w:tab w:val="left" w:pos="1660"/>
        </w:tabs>
        <w:spacing w:before="91"/>
        <w:ind w:left="220"/>
      </w:pPr>
      <w:r>
        <w:rPr>
          <w:rFonts w:ascii="Times New Roman" w:eastAsia="Times New Roman"/>
          <w:u w:val="single"/>
        </w:rPr>
        <w:tab/>
      </w:r>
      <w:r>
        <w:t>月</w:t>
      </w:r>
      <w:r>
        <w:rPr>
          <w:u w:val="single"/>
        </w:rPr>
        <w:tab/>
      </w:r>
      <w:r>
        <w:t>日接受此件，以此为证。</w:t>
      </w:r>
    </w:p>
    <w:p>
      <w:pPr>
        <w:pStyle w:val="2"/>
        <w:ind w:left="0"/>
        <w:rPr>
          <w:sz w:val="26"/>
          <w:highlight w:val="yellow"/>
        </w:rPr>
      </w:pPr>
    </w:p>
    <w:p>
      <w:pPr>
        <w:pStyle w:val="2"/>
        <w:ind w:left="0"/>
        <w:rPr>
          <w:sz w:val="26"/>
          <w:highlight w:val="yellow"/>
        </w:rPr>
      </w:pPr>
    </w:p>
    <w:p>
      <w:pPr>
        <w:pStyle w:val="2"/>
        <w:tabs>
          <w:tab w:val="left" w:pos="4355"/>
          <w:tab w:val="left" w:pos="8583"/>
        </w:tabs>
        <w:spacing w:before="227" w:line="312" w:lineRule="auto"/>
        <w:ind w:left="700" w:right="821"/>
        <w:jc w:val="both"/>
        <w:rPr>
          <w:rFonts w:ascii="Times New Roman" w:eastAsia="Times New Roman"/>
        </w:rPr>
      </w:pPr>
      <w:r>
        <w:t>贸易公司名称</w:t>
      </w:r>
      <w:r>
        <w:rPr>
          <w:u w:val="single"/>
        </w:rPr>
        <w:tab/>
      </w:r>
      <w:r>
        <w:t>制造商名称</w:t>
      </w:r>
      <w:r>
        <w:rPr>
          <w:rFonts w:ascii="Times New Roman" w:eastAsia="Times New Roman"/>
          <w:u w:val="single"/>
        </w:rPr>
        <w:tab/>
      </w:r>
      <w:r>
        <w:t>签字人职务和部门</w:t>
      </w:r>
      <w:r>
        <w:rPr>
          <w:u w:val="single"/>
        </w:rPr>
        <w:tab/>
      </w:r>
      <w:r>
        <w:t>签字人职务和部门</w:t>
      </w:r>
      <w:r>
        <w:rPr>
          <w:rFonts w:ascii="Times New Roman" w:eastAsia="Times New Roman"/>
          <w:u w:val="single"/>
        </w:rPr>
        <w:tab/>
      </w:r>
      <w:r>
        <w:t>签字人姓名</w:t>
      </w:r>
      <w:r>
        <w:rPr>
          <w:u w:val="single"/>
        </w:rPr>
        <w:tab/>
      </w:r>
      <w:r>
        <w:t>签字人姓名</w:t>
      </w:r>
      <w:r>
        <w:rPr>
          <w:rFonts w:ascii="Times New Roman" w:eastAsia="Times New Roman"/>
          <w:u w:val="single"/>
        </w:rPr>
        <w:tab/>
      </w:r>
    </w:p>
    <w:p>
      <w:pPr>
        <w:pStyle w:val="2"/>
        <w:spacing w:before="1"/>
        <w:ind w:left="0"/>
        <w:rPr>
          <w:rFonts w:ascii="Times New Roman"/>
          <w:sz w:val="29"/>
          <w:highlight w:val="yellow"/>
        </w:rPr>
      </w:pPr>
    </w:p>
    <w:p>
      <w:pPr>
        <w:pStyle w:val="2"/>
        <w:spacing w:before="67"/>
        <w:ind w:left="683" w:right="1246"/>
        <w:jc w:val="center"/>
      </w:pPr>
      <w:r>
        <w:t>注：若制造商作为投标主体直接参与投标，可以不提供此项证明文件。</w:t>
      </w:r>
    </w:p>
    <w:p>
      <w:pPr>
        <w:pStyle w:val="2"/>
        <w:ind w:left="0"/>
      </w:pPr>
    </w:p>
    <w:p>
      <w:pPr>
        <w:pStyle w:val="2"/>
        <w:ind w:left="0"/>
      </w:pPr>
    </w:p>
    <w:p>
      <w:pPr>
        <w:pStyle w:val="2"/>
        <w:spacing w:before="8"/>
        <w:ind w:left="0"/>
        <w:rPr>
          <w:sz w:val="21"/>
        </w:rPr>
      </w:pPr>
    </w:p>
    <w:p>
      <w:pPr>
        <w:pStyle w:val="2"/>
        <w:spacing w:before="1"/>
        <w:ind w:left="588" w:right="1246"/>
        <w:jc w:val="center"/>
      </w:pPr>
      <w:r>
        <w:rPr>
          <w:rFonts w:ascii="Arial" w:eastAsia="Arial"/>
        </w:rPr>
        <w:t>9</w:t>
      </w:r>
      <w:r>
        <w:t>、近三年类似销售业绩表（附采购合同</w:t>
      </w:r>
      <w:r>
        <w:rPr>
          <w:rFonts w:hint="eastAsia"/>
        </w:rPr>
        <w:t>或中标通知书</w:t>
      </w:r>
      <w:r>
        <w:t>）</w:t>
      </w:r>
    </w:p>
    <w:p>
      <w:pPr>
        <w:pStyle w:val="2"/>
        <w:ind w:left="0"/>
        <w:rPr>
          <w:sz w:val="26"/>
        </w:rPr>
      </w:pPr>
    </w:p>
    <w:p>
      <w:pPr>
        <w:pStyle w:val="2"/>
        <w:ind w:left="0"/>
        <w:rPr>
          <w:sz w:val="26"/>
        </w:rPr>
      </w:pPr>
    </w:p>
    <w:p>
      <w:pPr>
        <w:pStyle w:val="2"/>
        <w:spacing w:before="226"/>
        <w:ind w:left="593" w:right="1246"/>
        <w:jc w:val="center"/>
      </w:pPr>
      <w:r>
        <w:rPr>
          <w:rFonts w:ascii="Arial" w:eastAsia="Arial"/>
        </w:rPr>
        <w:t>10</w:t>
      </w:r>
      <w:r>
        <w:t>、资质证明文件</w:t>
      </w:r>
    </w:p>
    <w:p>
      <w:pPr>
        <w:pStyle w:val="2"/>
        <w:spacing w:before="93"/>
        <w:ind w:left="220"/>
      </w:pPr>
      <w:r>
        <w:rPr>
          <w:rFonts w:ascii="Arial" w:hAnsi="Arial" w:eastAsia="Arial"/>
        </w:rPr>
        <w:t>1</w:t>
      </w:r>
      <w:r>
        <w:t>、内容见</w:t>
      </w:r>
      <w:r>
        <w:rPr>
          <w:rFonts w:ascii="Arial" w:hAnsi="Arial" w:eastAsia="Arial"/>
        </w:rPr>
        <w:t>“</w:t>
      </w:r>
      <w:r>
        <w:t>供应商须知</w:t>
      </w:r>
      <w:r>
        <w:rPr>
          <w:rFonts w:ascii="Arial" w:hAnsi="Arial" w:eastAsia="Arial"/>
        </w:rPr>
        <w:t>”</w:t>
      </w:r>
      <w:r>
        <w:t xml:space="preserve">第 </w:t>
      </w:r>
      <w:r>
        <w:rPr>
          <w:rFonts w:ascii="Arial" w:hAnsi="Arial" w:eastAsia="Arial"/>
        </w:rPr>
        <w:t xml:space="preserve">15 </w:t>
      </w:r>
      <w:r>
        <w:t>条。</w:t>
      </w:r>
    </w:p>
    <w:p>
      <w:pPr>
        <w:pStyle w:val="2"/>
        <w:spacing w:before="91"/>
        <w:ind w:left="220"/>
      </w:pPr>
      <w:r>
        <w:rPr>
          <w:rFonts w:ascii="Arial" w:eastAsia="Arial"/>
        </w:rPr>
        <w:t>2</w:t>
      </w:r>
      <w:r>
        <w:t>、其它一切有利于产品和供应商的证明材料。</w:t>
      </w:r>
    </w:p>
    <w:p>
      <w:pPr>
        <w:pStyle w:val="2"/>
        <w:spacing w:before="7"/>
        <w:ind w:left="0"/>
        <w:rPr>
          <w:sz w:val="38"/>
        </w:rPr>
      </w:pPr>
    </w:p>
    <w:p>
      <w:pPr>
        <w:pStyle w:val="2"/>
        <w:numPr>
          <w:ilvl w:val="0"/>
          <w:numId w:val="32"/>
        </w:numPr>
        <w:ind w:left="590" w:right="1246"/>
        <w:jc w:val="center"/>
      </w:pPr>
      <w:r>
        <w:t>产品彩页</w:t>
      </w:r>
    </w:p>
    <w:p>
      <w:pPr>
        <w:pStyle w:val="5"/>
        <w:spacing w:line="456" w:lineRule="exact"/>
        <w:ind w:left="276"/>
        <w:jc w:val="center"/>
        <w:rPr>
          <w:sz w:val="32"/>
          <w:szCs w:val="32"/>
          <w:highlight w:val="yellow"/>
        </w:rPr>
      </w:pPr>
    </w:p>
    <w:p>
      <w:pPr>
        <w:pStyle w:val="5"/>
        <w:spacing w:line="456" w:lineRule="exact"/>
        <w:ind w:left="276"/>
        <w:jc w:val="both"/>
        <w:rPr>
          <w:sz w:val="32"/>
          <w:szCs w:val="32"/>
        </w:rPr>
      </w:pPr>
      <w:r>
        <w:rPr>
          <w:rFonts w:hint="eastAsia"/>
          <w:sz w:val="32"/>
          <w:szCs w:val="32"/>
        </w:rPr>
        <w:t>附件</w:t>
      </w:r>
    </w:p>
    <w:p>
      <w:pPr>
        <w:pStyle w:val="5"/>
        <w:spacing w:line="456" w:lineRule="exact"/>
        <w:ind w:left="276"/>
        <w:jc w:val="center"/>
        <w:rPr>
          <w:b w:val="0"/>
          <w:bCs w:val="0"/>
        </w:rPr>
      </w:pPr>
      <w:r>
        <w:rPr>
          <w:rFonts w:hint="eastAsia"/>
          <w:sz w:val="32"/>
          <w:szCs w:val="32"/>
        </w:rPr>
        <w:t>投标人企业类型声明函（如是，需填报）</w:t>
      </w:r>
    </w:p>
    <w:p>
      <w:pPr>
        <w:spacing w:line="360" w:lineRule="auto"/>
        <w:ind w:firstLine="2570" w:firstLineChars="800"/>
        <w:jc w:val="both"/>
        <w:rPr>
          <w:rFonts w:hint="eastAsia" w:ascii="宋体" w:hAnsi="宋体" w:eastAsia="宋体" w:cs="宋体"/>
          <w:b/>
          <w:bCs/>
          <w:i w:val="0"/>
          <w:caps w:val="0"/>
          <w:spacing w:val="0"/>
          <w:w w:val="100"/>
          <w:sz w:val="32"/>
          <w:szCs w:val="32"/>
          <w:lang w:eastAsia="zh-CN"/>
        </w:rPr>
      </w:pPr>
      <w:r>
        <w:rPr>
          <w:rFonts w:hint="eastAsia"/>
          <w:b/>
          <w:sz w:val="32"/>
          <w:szCs w:val="32"/>
          <w:lang w:val="en-US"/>
        </w:rPr>
        <w:t>1 、</w:t>
      </w:r>
      <w:r>
        <w:rPr>
          <w:rFonts w:hint="eastAsia" w:ascii="宋体" w:hAnsi="宋体" w:eastAsia="宋体" w:cs="宋体"/>
          <w:b/>
          <w:bCs/>
          <w:i w:val="0"/>
          <w:caps w:val="0"/>
          <w:spacing w:val="0"/>
          <w:w w:val="100"/>
          <w:sz w:val="32"/>
          <w:szCs w:val="32"/>
          <w:lang w:eastAsia="zh-CN"/>
        </w:rPr>
        <w:t>中小企业声明函(货物)</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eastAsia="zh-CN"/>
        </w:rPr>
        <w:t xml:space="preserve">本公司(联合体)郑重声明，根据《政府采购促进中小企业发展管理办法》(财库( 2020 )46号)的规定，本公司(联合体)参加 </w:t>
      </w:r>
      <w:r>
        <w:rPr>
          <w:rFonts w:hint="eastAsia" w:ascii="宋体" w:hAnsi="宋体" w:eastAsia="宋体" w:cs="宋体"/>
          <w:b w:val="0"/>
          <w:bCs w:val="0"/>
          <w:i w:val="0"/>
          <w:caps w:val="0"/>
          <w:spacing w:val="0"/>
          <w:w w:val="100"/>
          <w:sz w:val="24"/>
          <w:szCs w:val="24"/>
          <w:u w:val="single" w:color="000000"/>
          <w:lang w:eastAsia="zh-CN"/>
        </w:rPr>
        <w:t>(单位名称)</w:t>
      </w:r>
      <w:r>
        <w:rPr>
          <w:rFonts w:hint="eastAsia" w:ascii="宋体" w:hAnsi="宋体" w:eastAsia="宋体" w:cs="宋体"/>
          <w:b w:val="0"/>
          <w:bCs w:val="0"/>
          <w:i w:val="0"/>
          <w:caps w:val="0"/>
          <w:spacing w:val="0"/>
          <w:w w:val="100"/>
          <w:sz w:val="24"/>
          <w:szCs w:val="24"/>
          <w:lang w:eastAsia="zh-CN"/>
        </w:rPr>
        <w:t>的</w:t>
      </w:r>
      <w:r>
        <w:rPr>
          <w:rFonts w:hint="eastAsia" w:ascii="宋体" w:hAnsi="宋体" w:eastAsia="宋体" w:cs="宋体"/>
          <w:b w:val="0"/>
          <w:bCs w:val="0"/>
          <w:i w:val="0"/>
          <w:caps w:val="0"/>
          <w:spacing w:val="0"/>
          <w:w w:val="100"/>
          <w:sz w:val="24"/>
          <w:szCs w:val="24"/>
          <w:u w:val="single" w:color="000000"/>
          <w:lang w:eastAsia="zh-CN"/>
        </w:rPr>
        <w:t>(项目名称)</w:t>
      </w:r>
      <w:r>
        <w:rPr>
          <w:rFonts w:hint="eastAsia" w:ascii="宋体" w:hAnsi="宋体" w:eastAsia="宋体" w:cs="宋体"/>
          <w:b w:val="0"/>
          <w:bCs w:val="0"/>
          <w:i w:val="0"/>
          <w:caps w:val="0"/>
          <w:spacing w:val="0"/>
          <w:w w:val="100"/>
          <w:sz w:val="24"/>
          <w:szCs w:val="24"/>
          <w:lang w:eastAsia="zh-CN"/>
        </w:rPr>
        <w:t>采购活动，提供的货物全部由符合政策要求的中小企业制造。相关企业(含联合体中的中小企业、签订分包意向协议的中小企业)的具体情况如下:</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val="en-US" w:eastAsia="zh-CN"/>
        </w:rPr>
        <w:t>1.</w:t>
      </w:r>
      <w:r>
        <w:rPr>
          <w:rFonts w:hint="eastAsia" w:ascii="宋体" w:hAnsi="宋体" w:eastAsia="宋体" w:cs="宋体"/>
          <w:b w:val="0"/>
          <w:bCs w:val="0"/>
          <w:i w:val="0"/>
          <w:caps w:val="0"/>
          <w:spacing w:val="0"/>
          <w:w w:val="100"/>
          <w:sz w:val="24"/>
          <w:szCs w:val="24"/>
          <w:u w:val="single" w:color="000000"/>
          <w:lang w:eastAsia="zh-CN"/>
        </w:rPr>
        <w:t>(标的名称)</w:t>
      </w:r>
      <w:r>
        <w:rPr>
          <w:rFonts w:hint="eastAsia" w:ascii="宋体" w:hAnsi="宋体" w:eastAsia="宋体" w:cs="宋体"/>
          <w:b w:val="0"/>
          <w:bCs w:val="0"/>
          <w:i w:val="0"/>
          <w:caps w:val="0"/>
          <w:spacing w:val="0"/>
          <w:w w:val="100"/>
          <w:sz w:val="24"/>
          <w:szCs w:val="24"/>
          <w:lang w:eastAsia="zh-CN"/>
        </w:rPr>
        <w:t>， 属于</w:t>
      </w:r>
      <w:r>
        <w:rPr>
          <w:rFonts w:hint="eastAsia" w:ascii="宋体" w:hAnsi="宋体" w:eastAsia="宋体" w:cs="宋体"/>
          <w:b w:val="0"/>
          <w:bCs w:val="0"/>
          <w:i w:val="0"/>
          <w:caps w:val="0"/>
          <w:spacing w:val="0"/>
          <w:w w:val="100"/>
          <w:sz w:val="24"/>
          <w:szCs w:val="24"/>
          <w:u w:val="single" w:color="000000"/>
          <w:lang w:eastAsia="zh-CN"/>
        </w:rPr>
        <w:t>(采购文件中明确的所属行业)</w:t>
      </w:r>
      <w:r>
        <w:rPr>
          <w:rFonts w:hint="eastAsia" w:ascii="宋体" w:hAnsi="宋体" w:eastAsia="宋体" w:cs="宋体"/>
          <w:b w:val="0"/>
          <w:bCs w:val="0"/>
          <w:i w:val="0"/>
          <w:caps w:val="0"/>
          <w:spacing w:val="0"/>
          <w:w w:val="100"/>
          <w:sz w:val="24"/>
          <w:szCs w:val="24"/>
          <w:lang w:eastAsia="zh-CN"/>
        </w:rPr>
        <w:t>行业；制造商为</w:t>
      </w:r>
      <w:r>
        <w:rPr>
          <w:rFonts w:hint="eastAsia" w:ascii="宋体" w:hAnsi="宋体" w:eastAsia="宋体" w:cs="宋体"/>
          <w:b w:val="0"/>
          <w:bCs w:val="0"/>
          <w:i w:val="0"/>
          <w:caps w:val="0"/>
          <w:spacing w:val="0"/>
          <w:w w:val="100"/>
          <w:sz w:val="24"/>
          <w:szCs w:val="24"/>
          <w:u w:val="single" w:color="000000"/>
          <w:lang w:eastAsia="zh-CN"/>
        </w:rPr>
        <w:t>(企业名称)</w:t>
      </w:r>
      <w:r>
        <w:rPr>
          <w:rFonts w:hint="eastAsia" w:ascii="宋体" w:hAnsi="宋体" w:eastAsia="宋体" w:cs="宋体"/>
          <w:b w:val="0"/>
          <w:bCs w:val="0"/>
          <w:i w:val="0"/>
          <w:caps w:val="0"/>
          <w:spacing w:val="0"/>
          <w:w w:val="100"/>
          <w:sz w:val="24"/>
          <w:szCs w:val="24"/>
          <w:lang w:eastAsia="zh-CN"/>
        </w:rPr>
        <w:t>，从业人员</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人， 营业收入为</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万元，资产总额为</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万元，属于</w:t>
      </w:r>
      <w:r>
        <w:rPr>
          <w:rFonts w:hint="eastAsia" w:ascii="宋体" w:hAnsi="宋体" w:eastAsia="宋体" w:cs="宋体"/>
          <w:b w:val="0"/>
          <w:bCs w:val="0"/>
          <w:i w:val="0"/>
          <w:caps w:val="0"/>
          <w:spacing w:val="0"/>
          <w:w w:val="100"/>
          <w:sz w:val="24"/>
          <w:szCs w:val="24"/>
          <w:u w:val="single" w:color="000000"/>
          <w:lang w:eastAsia="zh-CN"/>
        </w:rPr>
        <w:t>(中型企业、尘型企业、微型企业）</w:t>
      </w:r>
      <w:r>
        <w:rPr>
          <w:rFonts w:hint="eastAsia" w:ascii="宋体" w:hAnsi="宋体" w:eastAsia="宋体" w:cs="宋体"/>
          <w:b w:val="0"/>
          <w:bCs w:val="0"/>
          <w:i w:val="0"/>
          <w:caps w:val="0"/>
          <w:spacing w:val="0"/>
          <w:w w:val="100"/>
          <w:sz w:val="24"/>
          <w:szCs w:val="24"/>
          <w:lang w:eastAsia="zh-CN"/>
        </w:rPr>
        <w:t>；</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val="en-US" w:eastAsia="zh-CN"/>
        </w:rPr>
        <w:t>2.</w:t>
      </w:r>
      <w:r>
        <w:rPr>
          <w:rFonts w:hint="eastAsia" w:ascii="宋体" w:hAnsi="宋体" w:eastAsia="宋体" w:cs="宋体"/>
          <w:b w:val="0"/>
          <w:bCs w:val="0"/>
          <w:i w:val="0"/>
          <w:caps w:val="0"/>
          <w:spacing w:val="0"/>
          <w:w w:val="100"/>
          <w:sz w:val="24"/>
          <w:szCs w:val="24"/>
          <w:lang w:eastAsia="zh-CN"/>
        </w:rPr>
        <w:t>(标的名称)，属于</w:t>
      </w:r>
      <w:r>
        <w:rPr>
          <w:rFonts w:hint="eastAsia" w:ascii="宋体" w:hAnsi="宋体" w:eastAsia="宋体" w:cs="宋体"/>
          <w:b w:val="0"/>
          <w:bCs w:val="0"/>
          <w:i w:val="0"/>
          <w:caps w:val="0"/>
          <w:spacing w:val="0"/>
          <w:w w:val="100"/>
          <w:sz w:val="24"/>
          <w:szCs w:val="24"/>
          <w:u w:val="single" w:color="000000"/>
          <w:lang w:eastAsia="zh-CN"/>
        </w:rPr>
        <w:t>(采购文件中明确的所属行业)</w:t>
      </w:r>
      <w:r>
        <w:rPr>
          <w:rFonts w:hint="eastAsia" w:ascii="宋体" w:hAnsi="宋体" w:eastAsia="宋体" w:cs="宋体"/>
          <w:b w:val="0"/>
          <w:bCs w:val="0"/>
          <w:i w:val="0"/>
          <w:caps w:val="0"/>
          <w:spacing w:val="0"/>
          <w:w w:val="100"/>
          <w:sz w:val="24"/>
          <w:szCs w:val="24"/>
          <w:lang w:eastAsia="zh-CN"/>
        </w:rPr>
        <w:t>行业;制造商为</w:t>
      </w:r>
      <w:r>
        <w:rPr>
          <w:rFonts w:hint="eastAsia" w:ascii="宋体" w:hAnsi="宋体" w:eastAsia="宋体" w:cs="宋体"/>
          <w:b w:val="0"/>
          <w:bCs w:val="0"/>
          <w:i w:val="0"/>
          <w:caps w:val="0"/>
          <w:spacing w:val="0"/>
          <w:w w:val="100"/>
          <w:sz w:val="24"/>
          <w:szCs w:val="24"/>
          <w:u w:val="single" w:color="000000"/>
          <w:lang w:eastAsia="zh-CN"/>
        </w:rPr>
        <w:t>(企业名称)</w:t>
      </w:r>
      <w:r>
        <w:rPr>
          <w:rFonts w:hint="eastAsia" w:ascii="宋体" w:hAnsi="宋体" w:eastAsia="宋体" w:cs="宋体"/>
          <w:b w:val="0"/>
          <w:bCs w:val="0"/>
          <w:i w:val="0"/>
          <w:caps w:val="0"/>
          <w:spacing w:val="0"/>
          <w:w w:val="100"/>
          <w:sz w:val="24"/>
          <w:szCs w:val="24"/>
          <w:lang w:eastAsia="zh-CN"/>
        </w:rPr>
        <w:t>,从业人员</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人， 营业收入为</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万元，资产总额为</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万元，属于</w:t>
      </w:r>
      <w:r>
        <w:rPr>
          <w:rFonts w:hint="eastAsia" w:ascii="宋体" w:hAnsi="宋体" w:eastAsia="宋体" w:cs="宋体"/>
          <w:b w:val="0"/>
          <w:bCs w:val="0"/>
          <w:i w:val="0"/>
          <w:caps w:val="0"/>
          <w:spacing w:val="0"/>
          <w:w w:val="100"/>
          <w:sz w:val="24"/>
          <w:szCs w:val="24"/>
          <w:u w:val="single" w:color="000000"/>
          <w:lang w:eastAsia="zh-CN"/>
        </w:rPr>
        <w:t>(中型企业、尘型企业、微型企业）</w:t>
      </w:r>
      <w:r>
        <w:rPr>
          <w:rFonts w:hint="eastAsia" w:ascii="宋体" w:hAnsi="宋体" w:eastAsia="宋体" w:cs="宋体"/>
          <w:b w:val="0"/>
          <w:bCs w:val="0"/>
          <w:i w:val="0"/>
          <w:caps w:val="0"/>
          <w:spacing w:val="0"/>
          <w:w w:val="100"/>
          <w:sz w:val="24"/>
          <w:szCs w:val="24"/>
          <w:lang w:eastAsia="zh-CN"/>
        </w:rPr>
        <w:t>；</w:t>
      </w:r>
    </w:p>
    <w:p>
      <w:pPr>
        <w:snapToGrid/>
        <w:spacing w:before="0" w:beforeAutospacing="0" w:after="0" w:afterAutospacing="0" w:line="360" w:lineRule="auto"/>
        <w:ind w:firstLine="480" w:firstLineChars="200"/>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i w:val="0"/>
          <w:caps w:val="0"/>
          <w:spacing w:val="0"/>
          <w:w w:val="100"/>
          <w:sz w:val="24"/>
          <w:szCs w:val="24"/>
          <w:lang w:val="en-US" w:eastAsia="zh-CN"/>
        </w:rPr>
        <w:t>......</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eastAsia="zh-CN"/>
        </w:rPr>
        <w:t>以上企业，不属于大企业的分支机构，不存在控股股东为大企业的情形，也不存在与大企业的负责人为同一人的情形</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eastAsia="zh-CN"/>
        </w:rPr>
        <w:t>本企业对上述声明内容的真实性负责。如有虛假，将依法承担相应责任。</w:t>
      </w:r>
    </w:p>
    <w:p>
      <w:pPr>
        <w:snapToGrid/>
        <w:spacing w:before="0" w:beforeAutospacing="0" w:after="0" w:afterAutospacing="0" w:line="360" w:lineRule="auto"/>
        <w:jc w:val="both"/>
        <w:textAlignment w:val="baseline"/>
        <w:rPr>
          <w:rFonts w:hint="eastAsia" w:ascii="宋体" w:hAnsi="宋体" w:eastAsia="宋体" w:cs="宋体"/>
          <w:b w:val="0"/>
          <w:bCs w:val="0"/>
          <w:i w:val="0"/>
          <w:caps w:val="0"/>
          <w:spacing w:val="0"/>
          <w:w w:val="100"/>
          <w:sz w:val="24"/>
          <w:szCs w:val="24"/>
          <w:lang w:eastAsia="zh-CN"/>
        </w:rPr>
      </w:pPr>
    </w:p>
    <w:p>
      <w:pPr>
        <w:snapToGrid/>
        <w:spacing w:before="0" w:beforeAutospacing="0" w:after="0" w:afterAutospacing="0" w:line="360" w:lineRule="auto"/>
        <w:jc w:val="both"/>
        <w:textAlignment w:val="baseline"/>
        <w:rPr>
          <w:rFonts w:hint="eastAsia" w:ascii="宋体" w:hAnsi="宋体" w:eastAsia="宋体" w:cs="宋体"/>
          <w:b w:val="0"/>
          <w:bCs w:val="0"/>
          <w:i w:val="0"/>
          <w:caps w:val="0"/>
          <w:spacing w:val="0"/>
          <w:w w:val="100"/>
          <w:sz w:val="24"/>
          <w:szCs w:val="24"/>
          <w:lang w:eastAsia="zh-CN"/>
        </w:rPr>
      </w:pPr>
    </w:p>
    <w:p>
      <w:pPr>
        <w:snapToGrid/>
        <w:spacing w:before="0" w:beforeAutospacing="0" w:after="0" w:afterAutospacing="0" w:line="360" w:lineRule="auto"/>
        <w:jc w:val="both"/>
        <w:textAlignment w:val="baseline"/>
        <w:rPr>
          <w:rFonts w:hint="eastAsia" w:ascii="宋体" w:hAnsi="宋体" w:eastAsia="宋体" w:cs="宋体"/>
          <w:b w:val="0"/>
          <w:bCs w:val="0"/>
          <w:i w:val="0"/>
          <w:caps w:val="0"/>
          <w:spacing w:val="0"/>
          <w:w w:val="100"/>
          <w:sz w:val="24"/>
          <w:szCs w:val="24"/>
          <w:lang w:eastAsia="zh-CN"/>
        </w:rPr>
      </w:pPr>
    </w:p>
    <w:p>
      <w:pPr>
        <w:snapToGrid/>
        <w:spacing w:before="0" w:beforeAutospacing="0" w:after="0" w:afterAutospacing="0" w:line="360" w:lineRule="auto"/>
        <w:ind w:firstLine="4320" w:firstLineChars="1800"/>
        <w:textAlignment w:val="baseline"/>
        <w:rPr>
          <w:rFonts w:hint="default" w:ascii="宋体" w:hAnsi="宋体" w:eastAsia="宋体" w:cs="宋体"/>
          <w:b/>
          <w:bCs/>
          <w:i w:val="0"/>
          <w:caps w:val="0"/>
          <w:spacing w:val="0"/>
          <w:w w:val="100"/>
          <w:sz w:val="24"/>
          <w:szCs w:val="24"/>
          <w:lang w:val="en-US" w:eastAsia="zh-CN"/>
        </w:rPr>
      </w:pPr>
      <w:r>
        <w:rPr>
          <w:rFonts w:hint="default" w:ascii="宋体" w:hAnsi="宋体" w:eastAsia="宋体" w:cs="宋体"/>
          <w:b w:val="0"/>
          <w:i w:val="0"/>
          <w:caps w:val="0"/>
          <w:spacing w:val="0"/>
          <w:w w:val="100"/>
          <w:sz w:val="24"/>
          <w:szCs w:val="24"/>
          <w:lang w:val="en-US" w:eastAsia="zh-CN"/>
        </w:rPr>
        <w:t>企业名称(盖章):</w:t>
      </w:r>
    </w:p>
    <w:p>
      <w:pPr>
        <w:snapToGrid/>
        <w:spacing w:before="0" w:beforeAutospacing="0" w:after="0" w:afterAutospacing="0" w:line="360" w:lineRule="auto"/>
        <w:ind w:firstLine="4320" w:firstLineChars="1800"/>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i w:val="0"/>
          <w:caps w:val="0"/>
          <w:spacing w:val="0"/>
          <w:w w:val="100"/>
          <w:sz w:val="24"/>
          <w:szCs w:val="24"/>
          <w:lang w:val="en-US" w:eastAsia="zh-CN"/>
        </w:rPr>
        <w:t>日  期：</w:t>
      </w:r>
    </w:p>
    <w:p>
      <w:pPr>
        <w:tabs>
          <w:tab w:val="left" w:pos="3600"/>
        </w:tabs>
        <w:snapToGrid w:val="0"/>
        <w:spacing w:before="0" w:beforeAutospacing="0" w:after="0" w:afterAutospacing="0" w:line="440" w:lineRule="exact"/>
        <w:jc w:val="both"/>
        <w:textAlignment w:val="baseline"/>
        <w:rPr>
          <w:b/>
          <w:bCs/>
          <w:i w:val="0"/>
          <w:caps w:val="0"/>
          <w:spacing w:val="6"/>
          <w:w w:val="100"/>
          <w:sz w:val="32"/>
          <w:szCs w:val="32"/>
        </w:rPr>
      </w:pPr>
    </w:p>
    <w:p>
      <w:pPr>
        <w:tabs>
          <w:tab w:val="left" w:pos="3600"/>
        </w:tabs>
        <w:snapToGrid w:val="0"/>
        <w:spacing w:before="0" w:beforeAutospacing="0" w:after="0" w:afterAutospacing="0" w:line="440" w:lineRule="exact"/>
        <w:jc w:val="center"/>
        <w:textAlignment w:val="baseline"/>
        <w:rPr>
          <w:b/>
          <w:bCs/>
          <w:i w:val="0"/>
          <w:caps w:val="0"/>
          <w:spacing w:val="6"/>
          <w:w w:val="100"/>
          <w:sz w:val="32"/>
          <w:szCs w:val="32"/>
        </w:rPr>
      </w:pPr>
    </w:p>
    <w:p>
      <w:pPr>
        <w:pStyle w:val="5"/>
        <w:snapToGrid/>
        <w:spacing w:before="624" w:beforeAutospacing="0" w:after="0" w:afterAutospacing="0" w:line="400" w:lineRule="exact"/>
        <w:jc w:val="center"/>
        <w:textAlignment w:val="baseline"/>
        <w:rPr>
          <w:rFonts w:ascii="宋体"/>
          <w:b/>
          <w:bCs/>
          <w:i w:val="0"/>
          <w:caps w:val="0"/>
          <w:spacing w:val="6"/>
          <w:w w:val="100"/>
          <w:sz w:val="32"/>
          <w:szCs w:val="32"/>
        </w:rPr>
      </w:pPr>
    </w:p>
    <w:p>
      <w:pPr>
        <w:rPr>
          <w:rFonts w:ascii="宋体"/>
          <w:b/>
          <w:bCs/>
          <w:i w:val="0"/>
          <w:caps w:val="0"/>
          <w:spacing w:val="6"/>
          <w:w w:val="100"/>
          <w:sz w:val="32"/>
          <w:szCs w:val="32"/>
        </w:rPr>
      </w:pPr>
    </w:p>
    <w:p>
      <w:pPr>
        <w:tabs>
          <w:tab w:val="left" w:pos="3777"/>
          <w:tab w:val="center" w:pos="4819"/>
        </w:tabs>
        <w:spacing w:line="360" w:lineRule="auto"/>
        <w:ind w:firstLine="2409" w:firstLineChars="750"/>
        <w:rPr>
          <w:b/>
          <w:sz w:val="32"/>
          <w:szCs w:val="32"/>
        </w:rPr>
      </w:pPr>
      <w:r>
        <w:rPr>
          <w:rFonts w:hint="eastAsia"/>
          <w:b/>
          <w:sz w:val="32"/>
          <w:szCs w:val="32"/>
          <w:lang w:val="en-US"/>
        </w:rPr>
        <w:t xml:space="preserve">2、  </w:t>
      </w:r>
      <w:r>
        <w:rPr>
          <w:rFonts w:hint="eastAsia"/>
          <w:b/>
          <w:sz w:val="32"/>
          <w:szCs w:val="32"/>
        </w:rPr>
        <w:t>监狱企业声明函</w:t>
      </w:r>
    </w:p>
    <w:p>
      <w:pPr>
        <w:spacing w:line="360" w:lineRule="auto"/>
        <w:jc w:val="center"/>
        <w:rPr>
          <w:sz w:val="24"/>
        </w:rPr>
      </w:pPr>
      <w:r>
        <w:rPr>
          <w:rFonts w:hint="eastAsia"/>
          <w:sz w:val="24"/>
        </w:rPr>
        <w:t>（监狱企业适用）</w:t>
      </w:r>
    </w:p>
    <w:p>
      <w:pPr>
        <w:spacing w:line="360" w:lineRule="auto"/>
        <w:ind w:firstLine="540" w:firstLineChars="225"/>
        <w:rPr>
          <w:sz w:val="24"/>
        </w:rPr>
      </w:pPr>
      <w:r>
        <w:rPr>
          <w:rFonts w:hint="eastAsia"/>
          <w:sz w:val="24"/>
        </w:rPr>
        <w:t>本公司郑重声明，根据《关于政府采购支持监狱企业发展有关问题的通知》（财库</w:t>
      </w:r>
      <w:r>
        <w:rPr>
          <w:sz w:val="24"/>
        </w:rPr>
        <w:t>[2014]68</w:t>
      </w:r>
      <w:r>
        <w:rPr>
          <w:rFonts w:hint="eastAsia"/>
          <w:sz w:val="24"/>
        </w:rPr>
        <w:t>号）的规定，本公司为监狱企业。</w:t>
      </w:r>
    </w:p>
    <w:p>
      <w:pPr>
        <w:spacing w:line="360" w:lineRule="auto"/>
        <w:ind w:firstLine="540" w:firstLineChars="225"/>
        <w:rPr>
          <w:sz w:val="24"/>
        </w:rPr>
      </w:pPr>
      <w:r>
        <w:rPr>
          <w:rFonts w:hint="eastAsia"/>
          <w:sz w:val="24"/>
        </w:rPr>
        <w:t>本公司参加</w:t>
      </w:r>
      <w:r>
        <w:rPr>
          <w:sz w:val="24"/>
        </w:rPr>
        <w:t>______</w:t>
      </w:r>
      <w:r>
        <w:rPr>
          <w:rFonts w:hint="eastAsia"/>
          <w:sz w:val="24"/>
        </w:rPr>
        <w:t>单位的</w:t>
      </w:r>
      <w:r>
        <w:rPr>
          <w:sz w:val="24"/>
        </w:rPr>
        <w:t>______</w:t>
      </w:r>
      <w:r>
        <w:rPr>
          <w:rFonts w:hint="eastAsia"/>
          <w:sz w:val="24"/>
        </w:rPr>
        <w:t>项目采购活动，采购活动提供本企业（填写制造的货物，由本企业承担工程、提供服务）。</w:t>
      </w:r>
    </w:p>
    <w:p>
      <w:pPr>
        <w:spacing w:line="360" w:lineRule="auto"/>
        <w:ind w:firstLine="540" w:firstLineChars="225"/>
        <w:rPr>
          <w:sz w:val="24"/>
        </w:rPr>
      </w:pPr>
      <w:r>
        <w:rPr>
          <w:rFonts w:hint="eastAsia"/>
          <w:sz w:val="24"/>
        </w:rPr>
        <w:t>本条所称货物不包括使用大型企业注册商标的货物和服务。</w:t>
      </w:r>
    </w:p>
    <w:p>
      <w:pPr>
        <w:spacing w:line="360" w:lineRule="auto"/>
        <w:ind w:firstLine="540" w:firstLineChars="225"/>
        <w:rPr>
          <w:sz w:val="24"/>
        </w:rPr>
      </w:pPr>
      <w:r>
        <w:rPr>
          <w:rFonts w:hint="eastAsia"/>
          <w:sz w:val="24"/>
        </w:rPr>
        <w:t>本公司对上述声明的真实性负责。如有虚假，将依法承担相应责任。</w:t>
      </w:r>
    </w:p>
    <w:p>
      <w:pPr>
        <w:spacing w:line="360" w:lineRule="auto"/>
        <w:ind w:firstLine="4860" w:firstLineChars="2025"/>
        <w:rPr>
          <w:sz w:val="24"/>
        </w:rPr>
      </w:pPr>
    </w:p>
    <w:p>
      <w:pPr>
        <w:spacing w:line="360" w:lineRule="auto"/>
        <w:ind w:firstLine="4860" w:firstLineChars="2025"/>
        <w:rPr>
          <w:sz w:val="24"/>
        </w:rPr>
      </w:pPr>
      <w:r>
        <w:rPr>
          <w:rFonts w:hint="eastAsia"/>
          <w:sz w:val="24"/>
        </w:rPr>
        <w:t>企业名称（盖公章）：</w:t>
      </w:r>
    </w:p>
    <w:p>
      <w:pPr>
        <w:spacing w:line="360" w:lineRule="auto"/>
        <w:ind w:firstLine="4860" w:firstLineChars="2025"/>
        <w:rPr>
          <w:sz w:val="24"/>
        </w:rPr>
      </w:pPr>
      <w:r>
        <w:rPr>
          <w:rFonts w:hint="eastAsia"/>
          <w:sz w:val="24"/>
        </w:rPr>
        <w:t>法定代表人（负责人）或其授权代表</w:t>
      </w:r>
      <w:r>
        <w:rPr>
          <w:sz w:val="24"/>
        </w:rPr>
        <w:t>(</w:t>
      </w:r>
      <w:r>
        <w:rPr>
          <w:rFonts w:hint="eastAsia"/>
          <w:sz w:val="24"/>
        </w:rPr>
        <w:t>签字</w:t>
      </w:r>
      <w:r>
        <w:rPr>
          <w:sz w:val="24"/>
        </w:rPr>
        <w:t>)</w:t>
      </w:r>
      <w:r>
        <w:rPr>
          <w:rFonts w:hint="eastAsia"/>
          <w:sz w:val="24"/>
        </w:rPr>
        <w:t>：</w:t>
      </w:r>
    </w:p>
    <w:p>
      <w:pPr>
        <w:tabs>
          <w:tab w:val="left" w:pos="2880"/>
        </w:tabs>
        <w:spacing w:line="460" w:lineRule="atLeast"/>
        <w:ind w:firstLine="4800" w:firstLineChars="2000"/>
        <w:rPr>
          <w:sz w:val="24"/>
          <w:szCs w:val="24"/>
        </w:rPr>
      </w:pPr>
      <w:r>
        <w:rPr>
          <w:rFonts w:hint="eastAsia"/>
          <w:sz w:val="24"/>
        </w:rPr>
        <w:t>日期：</w:t>
      </w:r>
    </w:p>
    <w:p>
      <w:pPr>
        <w:tabs>
          <w:tab w:val="left" w:pos="2880"/>
        </w:tabs>
        <w:spacing w:line="460" w:lineRule="atLeast"/>
        <w:rPr>
          <w:b/>
          <w:bCs/>
          <w:spacing w:val="6"/>
          <w:sz w:val="32"/>
          <w:szCs w:val="32"/>
        </w:rPr>
      </w:pPr>
    </w:p>
    <w:p>
      <w:pPr>
        <w:tabs>
          <w:tab w:val="left" w:pos="3600"/>
        </w:tabs>
        <w:adjustRightInd w:val="0"/>
        <w:snapToGrid w:val="0"/>
        <w:spacing w:line="440" w:lineRule="exact"/>
        <w:jc w:val="both"/>
        <w:rPr>
          <w:b/>
          <w:bCs/>
          <w:spacing w:val="6"/>
          <w:sz w:val="32"/>
          <w:szCs w:val="32"/>
        </w:rPr>
      </w:pPr>
    </w:p>
    <w:p>
      <w:pPr>
        <w:tabs>
          <w:tab w:val="left" w:pos="3600"/>
        </w:tabs>
        <w:adjustRightInd w:val="0"/>
        <w:snapToGrid w:val="0"/>
        <w:spacing w:line="440" w:lineRule="exact"/>
        <w:jc w:val="center"/>
        <w:rPr>
          <w:b/>
          <w:bCs/>
          <w:spacing w:val="6"/>
          <w:sz w:val="32"/>
          <w:szCs w:val="32"/>
        </w:rPr>
      </w:pPr>
    </w:p>
    <w:p>
      <w:pPr>
        <w:tabs>
          <w:tab w:val="left" w:pos="3600"/>
        </w:tabs>
        <w:adjustRightInd w:val="0"/>
        <w:snapToGrid w:val="0"/>
        <w:spacing w:line="440" w:lineRule="exact"/>
        <w:jc w:val="center"/>
        <w:rPr>
          <w:rFonts w:cs="??_GB2312"/>
          <w:b/>
          <w:bCs/>
          <w:spacing w:val="6"/>
          <w:sz w:val="32"/>
          <w:szCs w:val="32"/>
        </w:rPr>
      </w:pPr>
      <w:r>
        <w:rPr>
          <w:rFonts w:hint="eastAsia"/>
          <w:b/>
          <w:bCs/>
          <w:spacing w:val="6"/>
          <w:sz w:val="32"/>
          <w:szCs w:val="32"/>
          <w:lang w:val="en-US"/>
        </w:rPr>
        <w:t>3、</w:t>
      </w:r>
      <w:r>
        <w:rPr>
          <w:rFonts w:hint="eastAsia"/>
          <w:b/>
          <w:bCs/>
          <w:spacing w:val="6"/>
          <w:sz w:val="32"/>
          <w:szCs w:val="32"/>
        </w:rPr>
        <w:t>残疾人福利性单位声明函</w:t>
      </w:r>
    </w:p>
    <w:p>
      <w:pPr>
        <w:adjustRightInd w:val="0"/>
        <w:spacing w:line="440" w:lineRule="exact"/>
        <w:rPr>
          <w:rFonts w:cs="??_GB2312"/>
          <w:b/>
          <w:bCs/>
          <w:spacing w:val="6"/>
          <w:sz w:val="24"/>
          <w:szCs w:val="24"/>
        </w:rPr>
      </w:pPr>
    </w:p>
    <w:p>
      <w:pPr>
        <w:widowControl/>
        <w:adjustRightInd w:val="0"/>
        <w:snapToGrid w:val="0"/>
        <w:spacing w:line="440" w:lineRule="exact"/>
        <w:ind w:firstLine="504" w:firstLineChars="200"/>
        <w:rPr>
          <w:spacing w:val="6"/>
          <w:sz w:val="24"/>
          <w:szCs w:val="24"/>
        </w:rPr>
      </w:pPr>
      <w:r>
        <w:rPr>
          <w:rFonts w:hint="eastAsia"/>
          <w:spacing w:val="6"/>
          <w:sz w:val="24"/>
          <w:szCs w:val="24"/>
        </w:rPr>
        <w:t>本单位郑重声明，根据《财政部民政部中国残疾人联合会关于促进残疾人就业政府采购政策的通知》（财库〔</w:t>
      </w:r>
      <w:r>
        <w:rPr>
          <w:spacing w:val="6"/>
          <w:sz w:val="24"/>
          <w:szCs w:val="24"/>
        </w:rPr>
        <w:t>2017</w:t>
      </w:r>
      <w:r>
        <w:rPr>
          <w:rFonts w:hint="eastAsia"/>
          <w:spacing w:val="6"/>
          <w:sz w:val="24"/>
          <w:szCs w:val="24"/>
        </w:rPr>
        <w:t>〕</w:t>
      </w:r>
      <w:r>
        <w:rPr>
          <w:spacing w:val="6"/>
          <w:sz w:val="24"/>
          <w:szCs w:val="24"/>
        </w:rPr>
        <w:t xml:space="preserve"> 141</w:t>
      </w:r>
      <w:r>
        <w:rPr>
          <w:rFonts w:hint="eastAsia"/>
          <w:spacing w:val="6"/>
          <w:sz w:val="24"/>
          <w:szCs w:val="24"/>
        </w:rPr>
        <w:t>号）的规定，本单位为符合条件的残疾人福利性单位，且本单位参加</w:t>
      </w:r>
      <w:r>
        <w:rPr>
          <w:spacing w:val="6"/>
          <w:sz w:val="24"/>
          <w:szCs w:val="24"/>
        </w:rPr>
        <w:t>______</w:t>
      </w:r>
      <w:r>
        <w:rPr>
          <w:rFonts w:hint="eastAsia"/>
          <w:spacing w:val="6"/>
          <w:sz w:val="24"/>
          <w:szCs w:val="24"/>
        </w:rPr>
        <w:t>单位的</w:t>
      </w:r>
      <w:r>
        <w:rPr>
          <w:spacing w:val="6"/>
          <w:sz w:val="24"/>
          <w:szCs w:val="24"/>
        </w:rPr>
        <w:t>______</w:t>
      </w:r>
      <w:r>
        <w:rPr>
          <w:rFonts w:hint="eastAsia"/>
          <w:spacing w:val="6"/>
          <w:sz w:val="24"/>
          <w:szCs w:val="24"/>
        </w:rPr>
        <w:t>项目采购活动提供本单位制造的货物（由本单位承担工程</w:t>
      </w:r>
      <w:r>
        <w:rPr>
          <w:spacing w:val="6"/>
          <w:sz w:val="24"/>
          <w:szCs w:val="24"/>
        </w:rPr>
        <w:t>/</w:t>
      </w:r>
      <w:r>
        <w:rPr>
          <w:rFonts w:hint="eastAsia"/>
          <w:spacing w:val="6"/>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rPr>
          <w:spacing w:val="6"/>
          <w:sz w:val="24"/>
          <w:szCs w:val="24"/>
        </w:rPr>
      </w:pPr>
      <w:r>
        <w:rPr>
          <w:rFonts w:hint="eastAsia"/>
          <w:spacing w:val="6"/>
          <w:sz w:val="24"/>
          <w:szCs w:val="24"/>
        </w:rPr>
        <w:t>本单位对上述声明的真实性负责。如有虚假，将依法承担相应责任。</w:t>
      </w:r>
    </w:p>
    <w:p>
      <w:pPr>
        <w:widowControl/>
        <w:adjustRightInd w:val="0"/>
        <w:snapToGrid w:val="0"/>
        <w:spacing w:line="440" w:lineRule="exact"/>
        <w:ind w:firstLine="504" w:firstLineChars="200"/>
        <w:rPr>
          <w:spacing w:val="6"/>
          <w:sz w:val="24"/>
          <w:szCs w:val="24"/>
        </w:rPr>
      </w:pPr>
    </w:p>
    <w:p>
      <w:pPr>
        <w:widowControl/>
        <w:adjustRightInd w:val="0"/>
        <w:snapToGrid w:val="0"/>
        <w:spacing w:line="440" w:lineRule="exact"/>
        <w:ind w:firstLine="504" w:firstLineChars="200"/>
        <w:rPr>
          <w:spacing w:val="6"/>
          <w:sz w:val="24"/>
          <w:szCs w:val="24"/>
        </w:rPr>
      </w:pPr>
    </w:p>
    <w:p>
      <w:pPr>
        <w:widowControl/>
        <w:adjustRightInd w:val="0"/>
        <w:snapToGrid w:val="0"/>
        <w:spacing w:line="440" w:lineRule="exact"/>
        <w:ind w:firstLine="504" w:firstLineChars="200"/>
        <w:rPr>
          <w:spacing w:val="6"/>
          <w:sz w:val="24"/>
          <w:szCs w:val="24"/>
        </w:rPr>
      </w:pPr>
    </w:p>
    <w:p>
      <w:pPr>
        <w:widowControl/>
        <w:adjustRightInd w:val="0"/>
        <w:snapToGrid w:val="0"/>
        <w:spacing w:line="440" w:lineRule="exact"/>
        <w:ind w:firstLine="5544" w:firstLineChars="2200"/>
        <w:rPr>
          <w:spacing w:val="6"/>
          <w:sz w:val="24"/>
          <w:szCs w:val="24"/>
        </w:rPr>
      </w:pPr>
      <w:r>
        <w:rPr>
          <w:rFonts w:hint="eastAsia"/>
          <w:spacing w:val="6"/>
          <w:sz w:val="24"/>
          <w:szCs w:val="24"/>
        </w:rPr>
        <w:t>单位名称（盖章）：</w:t>
      </w:r>
    </w:p>
    <w:p>
      <w:pPr>
        <w:widowControl/>
        <w:adjustRightInd w:val="0"/>
        <w:snapToGrid w:val="0"/>
        <w:spacing w:line="440" w:lineRule="exact"/>
        <w:ind w:firstLine="504" w:firstLineChars="200"/>
        <w:rPr>
          <w:spacing w:val="6"/>
          <w:sz w:val="24"/>
          <w:szCs w:val="24"/>
        </w:rPr>
      </w:pPr>
      <w:r>
        <w:rPr>
          <w:rFonts w:hint="eastAsia"/>
          <w:spacing w:val="6"/>
          <w:sz w:val="24"/>
          <w:szCs w:val="24"/>
        </w:rPr>
        <w:t>日期：</w:t>
      </w:r>
    </w:p>
    <w:p>
      <w:pPr>
        <w:pStyle w:val="5"/>
      </w:pPr>
    </w:p>
    <w:p/>
    <w:p/>
    <w:sectPr>
      <w:pgSz w:w="11910" w:h="16840"/>
      <w:pgMar w:top="1460" w:right="920" w:bottom="1380" w:left="1580" w:header="0" w:footer="11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公文小标宋">
    <w:altName w:val="宋体"/>
    <w:panose1 w:val="02000500000000000000"/>
    <w:charset w:val="00"/>
    <w:family w:val="auto"/>
    <w:pitch w:val="default"/>
    <w:sig w:usb0="00000000" w:usb1="00000000"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10381615</wp:posOffset>
              </wp:positionV>
              <wp:extent cx="167005" cy="139700"/>
              <wp:effectExtent l="0" t="0" r="0" b="0"/>
              <wp:wrapNone/>
              <wp:docPr id="4" name="文本框 4"/>
              <wp:cNvGraphicFramePr/>
              <a:graphic xmlns:a="http://schemas.openxmlformats.org/drawingml/2006/main">
                <a:graphicData uri="http://schemas.microsoft.com/office/word/2010/wordprocessingShape">
                  <wps:wsp>
                    <wps:cNvSpPr/>
                    <wps:spPr>
                      <a:xfrm>
                        <a:off x="0" y="0"/>
                        <a:ext cx="167005" cy="139700"/>
                      </a:xfrm>
                      <a:prstGeom prst="rect">
                        <a:avLst/>
                      </a:prstGeom>
                      <a:noFill/>
                      <a:ln>
                        <a:noFill/>
                      </a:ln>
                      <a:effectLst/>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39</w:t>
                          </w:r>
                          <w:r>
                            <w:fldChar w:fldCharType="end"/>
                          </w:r>
                        </w:p>
                      </w:txbxContent>
                    </wps:txbx>
                    <wps:bodyPr lIns="0" tIns="0" rIns="0" bIns="0" upright="1"/>
                  </wps:wsp>
                </a:graphicData>
              </a:graphic>
            </wp:anchor>
          </w:drawing>
        </mc:Choice>
        <mc:Fallback>
          <w:pict>
            <v:rect id="文本框 4" o:spid="_x0000_s1026" o:spt="1" style="position:absolute;left:0pt;margin-top:817.45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CnTQQ9kAAAAJ&#10;AQAADwAAAGRycy9kb3ducmV2LnhtbE2PzU7DMBCE70i8g7VI3KjTlkZNiFMhftQeaYtUuLnxkkTY&#10;6yh2m8LTsz3R486MZr8pFidnxRH70HpSMB4lIJAqb1qqFbxvX+/mIELUZLT1hAp+MMCivL4qdG78&#10;QGs8bmItuIRCrhU0MXa5lKFq0Okw8h0Se1++dzry2dfS9HrgcmflJElS6XRL/KHRHT41WH1vDk7B&#10;ct49fqz871Dbl8/l7m2XPW+zqNTtzTh5ABHxFP/DcMZndCiZae8PZIKwCnhIZDWd3mcg2J+kUxD7&#10;szJLM5BlIS8XlH9QSwMEFAAAAAgAh07iQKwIPbiaAQAAJwMAAA4AAABkcnMvZTJvRG9jLnhtbK1S&#10;S07kMBTcj8QdLO/pJPwGok6zQaCRRjNIwAHcjt2x5J+eTSd9AeYGrNjMnnP1OXh2p5vfDrFx6j3b&#10;lap6np4PRpOlgKCcbWg1KSkRlrtW2UVD724v908pCZHZlmlnRUNXItDz2d6Pae9rceA6p1sBBEls&#10;qHvf0C5GXxdF4J0wLEycFxY3pQPDIpawKFpgPbIbXRyU5UnRO2g9OC5CwO7FZpPOMr+Ugse/UgYR&#10;iW4oaot5hbzO01rMpqxeAPOd4qMM9gUVhimLP91RXbDIyD2oT1RGcXDByTjhzhROSsVF9oBuqvKD&#10;m5uOeZG9YDjB72IK30fL/yyvgai2oUeUWGZwROvHf+un5/X/B3KU4ul9qPHUjb+GsQoIk9dBgklf&#10;dEGGHOlqF6kYIuHYrE5+luUxJRy3qsMzLBJn8XrZQ4hXwhmSQEMBJ5aDZMvfIW6Obo+kf1l3qbTG&#10;Pqu1fddAzk1H5LGPt5P6jd6E4jAfRhNz167Quf5lMc30MrYAtmC+Bfce1KJDcVXWnohwGtnF+HLS&#10;uN/WiN++79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nTQQ9kAAAAJAQAADwAAAAAAAAABACAA&#10;AAAiAAAAZHJzL2Rvd25yZXYueG1sUEsBAhQAFAAAAAgAh07iQKwIPbiaAQAAJwMAAA4AAAAAAAAA&#10;AQAgAAAAKAEAAGRycy9lMm9Eb2MueG1sUEsFBgAAAAAGAAYAWQEAADQFA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39</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sdXEy4AQAAVQMAAA4AAABkcnMvZTJvRG9jLnhtbK1TS27bMBDd&#10;F8gdCO5jyQacCILlIEGQIECQFkh7AJoiLQL8gUNb8gXSG3TVTfc9l8/RIW05RbILsqFmOMM3782M&#10;FleD0WQrAihnGzqdlJQIy12r7LqhP77fnVeUQGS2ZdpZ0dCdAHq1PPuy6H0tZq5zuhWBIIiFuvcN&#10;7WL0dVEA74RhMHFeWAxKFwyL6IZ10QbWI7rRxawsL4rehdYHxwUA3t4egnSZ8aUUPH6VEkQkuqHI&#10;LeYz5HOVzmK5YPU6MN8pfqTBPsDCMGWx6AnqlkVGNkG9gzKKBwdOxgl3pnBSKi6yBlQzLd+oee6Y&#10;F1kLNgf8qU3webD8afstENU2dE6JZQZHtP/1c//77/7PC7lI7ek91Jj17DEvDjduwDGP94CXSfUg&#10;g0lf1EMwjo3enZorhkh4elTNqqrEEMfY6CB+8frcB4j3whmSjIYGnF5uKts+QjykjimpmnV3Sus8&#10;QW1Jj6jz6nKeX5xCiK4tFkkqDmyTFYfVcJS2cu0OlfW4Ag21uKOU6AeLHU7bMhphNFajsfFBrTsk&#10;Oc31wF9vItLJLFOFA+yxMM4u6zzuWVqO//2c9fo3L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HsdXEy4AQAAVQMAAA4AAAAAAAAAAQAgAAAAIgEAAGRycy9lMm9Eb2MueG1sUEsFBgAAAAAG&#10;AAYAWQEAAEwFA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pudFS4AQAAVQMAAA4AAABkcnMvZTJvRG9jLnhtbK1TS27bMBDd&#10;F8gdCO5jyQaSCILlIEGQIEDQFkhzAJoiLQL8gUNb8gXaG3TVTfc9l8/RIW3ZQbILsqFmOMM3782M&#10;5teD0WQjAihnGzqdlJQIy12r7KqhLz/uzytKIDLbMu2saOhWAL1enH2Z974WM9c53YpAEMRC3fuG&#10;djH6uiiAd8IwmDgvLAalC4ZFdMOqaAPrEd3oYlaWl0XvQuuD4wIAb+/2QbrI+FIKHr9JCSIS3VDk&#10;FvMZ8rlMZ7GYs3oVmO8UP9BgH2BhmLJY9Ah1xyIj66DeQRnFgwMn44Q7UzgpFRdZA6qZlm/UPHfM&#10;i6wFmwP+2Cb4PFj+dfM9ENU29JISywyOaPf71+7Pv93fn+Qqtaf3UGPWs8e8ONy6Acc83gNeJtWD&#10;DCZ9UQ/BODZ6e2yuGCLh6VE1q6oSQxxjo4P4xem5DxAfhDMkGQ0NOL3cVLZ5grhPHVNSNevuldZ5&#10;gtqSHlEvqquL/OIYQnRtsUhSsWebrDgsh4O0pWu3qKzHFWioxR2lRD9a7HDaltEIo7EcjbUPatUh&#10;yWmuB/5mHZFOZpkq7GEPhXF2Wedhz9JyvPZz1ulvWPw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MpudFS4AQAAVQMAAA4AAAAAAAAAAQAgAAAAIgEAAGRycy9lMm9Eb2MueG1sUEsFBgAAAAAG&#10;AAYAWQEAAEwFA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43</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nmrG3AQAAVQMAAA4AAABkcnMvZTJvRG9jLnhtbK1TwY7TMBC9&#10;I/EPlu80aaVlo6jpCrRahIQAaeEDXMduLNkea+w26Q/AH3Diwp3v6ncwdpsughvi4sx4xm/em5ms&#10;7yZn2UFhNOA7vlzUnCkvoTd+1/HPnx5eNJzFJHwvLHjV8aOK/G7z/Nl6DK1awQC2V8gIxMd2DB0f&#10;UgptVUU5KCfiAoLyFNSATiRycVf1KEZCd7Za1fXLagTsA4JUMdLt/TnINwVfayXTB62jSsx2nLil&#10;cmI5t/msNmvR7lCEwcgLDfEPLJwwnopeoe5FEmyP5i8oZyRCBJ0WElwFWhupigZSs6z/UPM4iKCK&#10;FmpODNc2xf8HK98fPiIzfcdvOfPC0YhO376evv88/fjCmtyeMcSWsh4D5aXpNUw05vk+0mVWPWl0&#10;+Ut6GMWp0cdrc9WUmMyPmlXT1BSSFJsdwq+engeM6Y0Cx7LRcaTplaaKw7uYzqlzSq7m4cFYWyZo&#10;PRsJ9aa5vSkvriFCt56KZBVnttlK03a6SNtCfyRlI61Axz3tKGf2racO522ZDZyN7WzsA5rdQCSX&#10;pV4Mr/aJ6BSWucIZ9lKYZld0XvYsL8fvfsl6+hs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6easbcBAABVAwAADgAAAAAAAAABACAAAAAiAQAAZHJzL2Uyb0RvYy54bWxQSwUGAAAAAAYA&#10;BgBZAQAASwU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13"/>
      <w:numFmt w:val="decimal"/>
      <w:lvlText w:val="%1"/>
      <w:lvlJc w:val="left"/>
      <w:pPr>
        <w:ind w:left="1050" w:hanging="791"/>
      </w:pPr>
      <w:rPr>
        <w:rFonts w:hint="default"/>
        <w:lang w:val="zh-CN" w:eastAsia="zh-CN" w:bidi="zh-CN"/>
      </w:rPr>
    </w:lvl>
    <w:lvl w:ilvl="1" w:tentative="0">
      <w:start w:val="2"/>
      <w:numFmt w:val="decimal"/>
      <w:lvlText w:val="%1.%2"/>
      <w:lvlJc w:val="left"/>
      <w:pPr>
        <w:ind w:left="1050" w:hanging="791"/>
      </w:pPr>
      <w:rPr>
        <w:rFonts w:hint="default"/>
        <w:lang w:val="zh-CN" w:eastAsia="zh-CN" w:bidi="zh-CN"/>
      </w:rPr>
    </w:lvl>
    <w:lvl w:ilvl="2" w:tentative="0">
      <w:start w:val="1"/>
      <w:numFmt w:val="decimal"/>
      <w:lvlText w:val="%1.%2.%3"/>
      <w:lvlJc w:val="left"/>
      <w:pPr>
        <w:ind w:left="1050" w:hanging="791"/>
      </w:pPr>
      <w:rPr>
        <w:rFonts w:hint="default" w:ascii="Arial" w:hAnsi="Arial" w:eastAsia="Arial" w:cs="Arial"/>
        <w:spacing w:val="-11"/>
        <w:w w:val="99"/>
        <w:sz w:val="24"/>
        <w:szCs w:val="24"/>
        <w:lang w:val="zh-CN" w:eastAsia="zh-CN" w:bidi="zh-CN"/>
      </w:rPr>
    </w:lvl>
    <w:lvl w:ilvl="3" w:tentative="0">
      <w:start w:val="0"/>
      <w:numFmt w:val="bullet"/>
      <w:lvlText w:val="•"/>
      <w:lvlJc w:val="left"/>
      <w:pPr>
        <w:ind w:left="3827" w:hanging="791"/>
      </w:pPr>
      <w:rPr>
        <w:rFonts w:hint="default"/>
        <w:lang w:val="zh-CN" w:eastAsia="zh-CN" w:bidi="zh-CN"/>
      </w:rPr>
    </w:lvl>
    <w:lvl w:ilvl="4" w:tentative="0">
      <w:start w:val="0"/>
      <w:numFmt w:val="bullet"/>
      <w:lvlText w:val="•"/>
      <w:lvlJc w:val="left"/>
      <w:pPr>
        <w:ind w:left="4750" w:hanging="791"/>
      </w:pPr>
      <w:rPr>
        <w:rFonts w:hint="default"/>
        <w:lang w:val="zh-CN" w:eastAsia="zh-CN" w:bidi="zh-CN"/>
      </w:rPr>
    </w:lvl>
    <w:lvl w:ilvl="5" w:tentative="0">
      <w:start w:val="0"/>
      <w:numFmt w:val="bullet"/>
      <w:lvlText w:val="•"/>
      <w:lvlJc w:val="left"/>
      <w:pPr>
        <w:ind w:left="5673" w:hanging="791"/>
      </w:pPr>
      <w:rPr>
        <w:rFonts w:hint="default"/>
        <w:lang w:val="zh-CN" w:eastAsia="zh-CN" w:bidi="zh-CN"/>
      </w:rPr>
    </w:lvl>
    <w:lvl w:ilvl="6" w:tentative="0">
      <w:start w:val="0"/>
      <w:numFmt w:val="bullet"/>
      <w:lvlText w:val="•"/>
      <w:lvlJc w:val="left"/>
      <w:pPr>
        <w:ind w:left="6595" w:hanging="791"/>
      </w:pPr>
      <w:rPr>
        <w:rFonts w:hint="default"/>
        <w:lang w:val="zh-CN" w:eastAsia="zh-CN" w:bidi="zh-CN"/>
      </w:rPr>
    </w:lvl>
    <w:lvl w:ilvl="7" w:tentative="0">
      <w:start w:val="0"/>
      <w:numFmt w:val="bullet"/>
      <w:lvlText w:val="•"/>
      <w:lvlJc w:val="left"/>
      <w:pPr>
        <w:ind w:left="7518" w:hanging="791"/>
      </w:pPr>
      <w:rPr>
        <w:rFonts w:hint="default"/>
        <w:lang w:val="zh-CN" w:eastAsia="zh-CN" w:bidi="zh-CN"/>
      </w:rPr>
    </w:lvl>
    <w:lvl w:ilvl="8" w:tentative="0">
      <w:start w:val="0"/>
      <w:numFmt w:val="bullet"/>
      <w:lvlText w:val="•"/>
      <w:lvlJc w:val="left"/>
      <w:pPr>
        <w:ind w:left="8441" w:hanging="791"/>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462" w:hanging="203"/>
      </w:pPr>
      <w:rPr>
        <w:rFonts w:hint="default" w:ascii="Arial" w:hAnsi="Arial" w:eastAsia="Arial" w:cs="Arial"/>
        <w:w w:val="100"/>
        <w:sz w:val="22"/>
        <w:szCs w:val="22"/>
        <w:lang w:val="zh-CN" w:eastAsia="zh-CN" w:bidi="zh-CN"/>
      </w:rPr>
    </w:lvl>
    <w:lvl w:ilvl="1" w:tentative="0">
      <w:start w:val="0"/>
      <w:numFmt w:val="bullet"/>
      <w:lvlText w:val="•"/>
      <w:lvlJc w:val="left"/>
      <w:pPr>
        <w:ind w:left="1442" w:hanging="203"/>
      </w:pPr>
      <w:rPr>
        <w:rFonts w:hint="default"/>
        <w:lang w:val="zh-CN" w:eastAsia="zh-CN" w:bidi="zh-CN"/>
      </w:rPr>
    </w:lvl>
    <w:lvl w:ilvl="2" w:tentative="0">
      <w:start w:val="0"/>
      <w:numFmt w:val="bullet"/>
      <w:lvlText w:val="•"/>
      <w:lvlJc w:val="left"/>
      <w:pPr>
        <w:ind w:left="2425" w:hanging="203"/>
      </w:pPr>
      <w:rPr>
        <w:rFonts w:hint="default"/>
        <w:lang w:val="zh-CN" w:eastAsia="zh-CN" w:bidi="zh-CN"/>
      </w:rPr>
    </w:lvl>
    <w:lvl w:ilvl="3" w:tentative="0">
      <w:start w:val="0"/>
      <w:numFmt w:val="bullet"/>
      <w:lvlText w:val="•"/>
      <w:lvlJc w:val="left"/>
      <w:pPr>
        <w:ind w:left="3407" w:hanging="203"/>
      </w:pPr>
      <w:rPr>
        <w:rFonts w:hint="default"/>
        <w:lang w:val="zh-CN" w:eastAsia="zh-CN" w:bidi="zh-CN"/>
      </w:rPr>
    </w:lvl>
    <w:lvl w:ilvl="4" w:tentative="0">
      <w:start w:val="0"/>
      <w:numFmt w:val="bullet"/>
      <w:lvlText w:val="•"/>
      <w:lvlJc w:val="left"/>
      <w:pPr>
        <w:ind w:left="4390" w:hanging="203"/>
      </w:pPr>
      <w:rPr>
        <w:rFonts w:hint="default"/>
        <w:lang w:val="zh-CN" w:eastAsia="zh-CN" w:bidi="zh-CN"/>
      </w:rPr>
    </w:lvl>
    <w:lvl w:ilvl="5" w:tentative="0">
      <w:start w:val="0"/>
      <w:numFmt w:val="bullet"/>
      <w:lvlText w:val="•"/>
      <w:lvlJc w:val="left"/>
      <w:pPr>
        <w:ind w:left="5373" w:hanging="203"/>
      </w:pPr>
      <w:rPr>
        <w:rFonts w:hint="default"/>
        <w:lang w:val="zh-CN" w:eastAsia="zh-CN" w:bidi="zh-CN"/>
      </w:rPr>
    </w:lvl>
    <w:lvl w:ilvl="6" w:tentative="0">
      <w:start w:val="0"/>
      <w:numFmt w:val="bullet"/>
      <w:lvlText w:val="•"/>
      <w:lvlJc w:val="left"/>
      <w:pPr>
        <w:ind w:left="6355" w:hanging="203"/>
      </w:pPr>
      <w:rPr>
        <w:rFonts w:hint="default"/>
        <w:lang w:val="zh-CN" w:eastAsia="zh-CN" w:bidi="zh-CN"/>
      </w:rPr>
    </w:lvl>
    <w:lvl w:ilvl="7" w:tentative="0">
      <w:start w:val="0"/>
      <w:numFmt w:val="bullet"/>
      <w:lvlText w:val="•"/>
      <w:lvlJc w:val="left"/>
      <w:pPr>
        <w:ind w:left="7338" w:hanging="203"/>
      </w:pPr>
      <w:rPr>
        <w:rFonts w:hint="default"/>
        <w:lang w:val="zh-CN" w:eastAsia="zh-CN" w:bidi="zh-CN"/>
      </w:rPr>
    </w:lvl>
    <w:lvl w:ilvl="8" w:tentative="0">
      <w:start w:val="0"/>
      <w:numFmt w:val="bullet"/>
      <w:lvlText w:val="•"/>
      <w:lvlJc w:val="left"/>
      <w:pPr>
        <w:ind w:left="8321" w:hanging="203"/>
      </w:pPr>
      <w:rPr>
        <w:rFonts w:hint="default"/>
        <w:lang w:val="zh-CN" w:eastAsia="zh-CN" w:bidi="zh-CN"/>
      </w:rPr>
    </w:lvl>
  </w:abstractNum>
  <w:abstractNum w:abstractNumId="2">
    <w:nsid w:val="8CAEB125"/>
    <w:multiLevelType w:val="multilevel"/>
    <w:tmpl w:val="8CAEB125"/>
    <w:lvl w:ilvl="0" w:tentative="0">
      <w:start w:val="1"/>
      <w:numFmt w:val="decimal"/>
      <w:lvlText w:val="(%1)"/>
      <w:lvlJc w:val="left"/>
      <w:pPr>
        <w:ind w:left="794" w:hanging="295"/>
      </w:pPr>
      <w:rPr>
        <w:rFonts w:hint="default" w:ascii="Arial" w:hAnsi="Arial" w:eastAsia="Arial" w:cs="Arial"/>
        <w:spacing w:val="-1"/>
        <w:w w:val="99"/>
        <w:sz w:val="22"/>
        <w:szCs w:val="22"/>
        <w:lang w:val="zh-CN" w:eastAsia="zh-CN" w:bidi="zh-CN"/>
      </w:rPr>
    </w:lvl>
    <w:lvl w:ilvl="1" w:tentative="0">
      <w:start w:val="0"/>
      <w:numFmt w:val="bullet"/>
      <w:lvlText w:val="•"/>
      <w:lvlJc w:val="left"/>
      <w:pPr>
        <w:ind w:left="1748" w:hanging="295"/>
      </w:pPr>
      <w:rPr>
        <w:rFonts w:hint="default"/>
        <w:lang w:val="zh-CN" w:eastAsia="zh-CN" w:bidi="zh-CN"/>
      </w:rPr>
    </w:lvl>
    <w:lvl w:ilvl="2" w:tentative="0">
      <w:start w:val="0"/>
      <w:numFmt w:val="bullet"/>
      <w:lvlText w:val="•"/>
      <w:lvlJc w:val="left"/>
      <w:pPr>
        <w:ind w:left="2697" w:hanging="295"/>
      </w:pPr>
      <w:rPr>
        <w:rFonts w:hint="default"/>
        <w:lang w:val="zh-CN" w:eastAsia="zh-CN" w:bidi="zh-CN"/>
      </w:rPr>
    </w:lvl>
    <w:lvl w:ilvl="3" w:tentative="0">
      <w:start w:val="0"/>
      <w:numFmt w:val="bullet"/>
      <w:lvlText w:val="•"/>
      <w:lvlJc w:val="left"/>
      <w:pPr>
        <w:ind w:left="3645" w:hanging="295"/>
      </w:pPr>
      <w:rPr>
        <w:rFonts w:hint="default"/>
        <w:lang w:val="zh-CN" w:eastAsia="zh-CN" w:bidi="zh-CN"/>
      </w:rPr>
    </w:lvl>
    <w:lvl w:ilvl="4" w:tentative="0">
      <w:start w:val="0"/>
      <w:numFmt w:val="bullet"/>
      <w:lvlText w:val="•"/>
      <w:lvlJc w:val="left"/>
      <w:pPr>
        <w:ind w:left="4594" w:hanging="295"/>
      </w:pPr>
      <w:rPr>
        <w:rFonts w:hint="default"/>
        <w:lang w:val="zh-CN" w:eastAsia="zh-CN" w:bidi="zh-CN"/>
      </w:rPr>
    </w:lvl>
    <w:lvl w:ilvl="5" w:tentative="0">
      <w:start w:val="0"/>
      <w:numFmt w:val="bullet"/>
      <w:lvlText w:val="•"/>
      <w:lvlJc w:val="left"/>
      <w:pPr>
        <w:ind w:left="5543" w:hanging="295"/>
      </w:pPr>
      <w:rPr>
        <w:rFonts w:hint="default"/>
        <w:lang w:val="zh-CN" w:eastAsia="zh-CN" w:bidi="zh-CN"/>
      </w:rPr>
    </w:lvl>
    <w:lvl w:ilvl="6" w:tentative="0">
      <w:start w:val="0"/>
      <w:numFmt w:val="bullet"/>
      <w:lvlText w:val="•"/>
      <w:lvlJc w:val="left"/>
      <w:pPr>
        <w:ind w:left="6491" w:hanging="295"/>
      </w:pPr>
      <w:rPr>
        <w:rFonts w:hint="default"/>
        <w:lang w:val="zh-CN" w:eastAsia="zh-CN" w:bidi="zh-CN"/>
      </w:rPr>
    </w:lvl>
    <w:lvl w:ilvl="7" w:tentative="0">
      <w:start w:val="0"/>
      <w:numFmt w:val="bullet"/>
      <w:lvlText w:val="•"/>
      <w:lvlJc w:val="left"/>
      <w:pPr>
        <w:ind w:left="7440" w:hanging="295"/>
      </w:pPr>
      <w:rPr>
        <w:rFonts w:hint="default"/>
        <w:lang w:val="zh-CN" w:eastAsia="zh-CN" w:bidi="zh-CN"/>
      </w:rPr>
    </w:lvl>
    <w:lvl w:ilvl="8" w:tentative="0">
      <w:start w:val="0"/>
      <w:numFmt w:val="bullet"/>
      <w:lvlText w:val="•"/>
      <w:lvlJc w:val="left"/>
      <w:pPr>
        <w:ind w:left="8389" w:hanging="295"/>
      </w:pPr>
      <w:rPr>
        <w:rFonts w:hint="default"/>
        <w:lang w:val="zh-CN" w:eastAsia="zh-CN" w:bidi="zh-CN"/>
      </w:rPr>
    </w:lvl>
  </w:abstractNum>
  <w:abstractNum w:abstractNumId="3">
    <w:nsid w:val="912DC1ED"/>
    <w:multiLevelType w:val="singleLevel"/>
    <w:tmpl w:val="912DC1ED"/>
    <w:lvl w:ilvl="0" w:tentative="0">
      <w:start w:val="1"/>
      <w:numFmt w:val="decimal"/>
      <w:lvlText w:val="%1."/>
      <w:lvlJc w:val="left"/>
      <w:pPr>
        <w:tabs>
          <w:tab w:val="left" w:pos="312"/>
        </w:tabs>
      </w:pPr>
    </w:lvl>
  </w:abstractNum>
  <w:abstractNum w:abstractNumId="4">
    <w:nsid w:val="ADA7C77D"/>
    <w:multiLevelType w:val="singleLevel"/>
    <w:tmpl w:val="ADA7C77D"/>
    <w:lvl w:ilvl="0" w:tentative="0">
      <w:start w:val="1"/>
      <w:numFmt w:val="decimal"/>
      <w:lvlText w:val="%1."/>
      <w:lvlJc w:val="left"/>
      <w:pPr>
        <w:tabs>
          <w:tab w:val="left" w:pos="312"/>
        </w:tabs>
      </w:pPr>
    </w:lvl>
  </w:abstractNum>
  <w:abstractNum w:abstractNumId="5">
    <w:nsid w:val="B3812F48"/>
    <w:multiLevelType w:val="singleLevel"/>
    <w:tmpl w:val="B3812F48"/>
    <w:lvl w:ilvl="0" w:tentative="0">
      <w:start w:val="1"/>
      <w:numFmt w:val="decimal"/>
      <w:lvlText w:val="%1."/>
      <w:lvlJc w:val="left"/>
      <w:pPr>
        <w:tabs>
          <w:tab w:val="left" w:pos="312"/>
        </w:tabs>
      </w:pPr>
    </w:lvl>
  </w:abstractNum>
  <w:abstractNum w:abstractNumId="6">
    <w:nsid w:val="BA658B81"/>
    <w:multiLevelType w:val="singleLevel"/>
    <w:tmpl w:val="BA658B81"/>
    <w:lvl w:ilvl="0" w:tentative="0">
      <w:start w:val="1"/>
      <w:numFmt w:val="decimal"/>
      <w:lvlText w:val="%1."/>
      <w:lvlJc w:val="left"/>
      <w:pPr>
        <w:tabs>
          <w:tab w:val="left" w:pos="312"/>
        </w:tabs>
      </w:pPr>
    </w:lvl>
  </w:abstractNum>
  <w:abstractNum w:abstractNumId="7">
    <w:nsid w:val="BB64CFA9"/>
    <w:multiLevelType w:val="multilevel"/>
    <w:tmpl w:val="BB64CFA9"/>
    <w:lvl w:ilvl="0" w:tentative="0">
      <w:start w:val="23"/>
      <w:numFmt w:val="decimal"/>
      <w:lvlText w:val="%1"/>
      <w:lvlJc w:val="left"/>
      <w:pPr>
        <w:ind w:left="260" w:hanging="731"/>
      </w:pPr>
      <w:rPr>
        <w:rFonts w:hint="default"/>
        <w:lang w:val="zh-CN" w:eastAsia="zh-CN" w:bidi="zh-CN"/>
      </w:rPr>
    </w:lvl>
    <w:lvl w:ilvl="1" w:tentative="0">
      <w:start w:val="8"/>
      <w:numFmt w:val="decimal"/>
      <w:lvlText w:val="%1.%2"/>
      <w:lvlJc w:val="left"/>
      <w:pPr>
        <w:ind w:left="260" w:hanging="731"/>
      </w:pPr>
      <w:rPr>
        <w:rFonts w:hint="default"/>
        <w:lang w:val="zh-CN" w:eastAsia="zh-CN" w:bidi="zh-CN"/>
      </w:rPr>
    </w:lvl>
    <w:lvl w:ilvl="2" w:tentative="0">
      <w:start w:val="1"/>
      <w:numFmt w:val="decimal"/>
      <w:lvlText w:val="%1.%2.%3"/>
      <w:lvlJc w:val="left"/>
      <w:pPr>
        <w:ind w:left="260" w:hanging="731"/>
      </w:pPr>
      <w:rPr>
        <w:rFonts w:hint="default" w:ascii="Arial" w:hAnsi="Arial" w:eastAsia="Arial" w:cs="Arial"/>
        <w:spacing w:val="-1"/>
        <w:w w:val="99"/>
        <w:sz w:val="24"/>
        <w:szCs w:val="24"/>
        <w:lang w:val="zh-CN" w:eastAsia="zh-CN" w:bidi="zh-CN"/>
      </w:rPr>
    </w:lvl>
    <w:lvl w:ilvl="3" w:tentative="0">
      <w:start w:val="0"/>
      <w:numFmt w:val="bullet"/>
      <w:lvlText w:val="•"/>
      <w:lvlJc w:val="left"/>
      <w:pPr>
        <w:ind w:left="3267" w:hanging="731"/>
      </w:pPr>
      <w:rPr>
        <w:rFonts w:hint="default"/>
        <w:lang w:val="zh-CN" w:eastAsia="zh-CN" w:bidi="zh-CN"/>
      </w:rPr>
    </w:lvl>
    <w:lvl w:ilvl="4" w:tentative="0">
      <w:start w:val="0"/>
      <w:numFmt w:val="bullet"/>
      <w:lvlText w:val="•"/>
      <w:lvlJc w:val="left"/>
      <w:pPr>
        <w:ind w:left="4270" w:hanging="731"/>
      </w:pPr>
      <w:rPr>
        <w:rFonts w:hint="default"/>
        <w:lang w:val="zh-CN" w:eastAsia="zh-CN" w:bidi="zh-CN"/>
      </w:rPr>
    </w:lvl>
    <w:lvl w:ilvl="5" w:tentative="0">
      <w:start w:val="0"/>
      <w:numFmt w:val="bullet"/>
      <w:lvlText w:val="•"/>
      <w:lvlJc w:val="left"/>
      <w:pPr>
        <w:ind w:left="5273" w:hanging="731"/>
      </w:pPr>
      <w:rPr>
        <w:rFonts w:hint="default"/>
        <w:lang w:val="zh-CN" w:eastAsia="zh-CN" w:bidi="zh-CN"/>
      </w:rPr>
    </w:lvl>
    <w:lvl w:ilvl="6" w:tentative="0">
      <w:start w:val="0"/>
      <w:numFmt w:val="bullet"/>
      <w:lvlText w:val="•"/>
      <w:lvlJc w:val="left"/>
      <w:pPr>
        <w:ind w:left="6275" w:hanging="731"/>
      </w:pPr>
      <w:rPr>
        <w:rFonts w:hint="default"/>
        <w:lang w:val="zh-CN" w:eastAsia="zh-CN" w:bidi="zh-CN"/>
      </w:rPr>
    </w:lvl>
    <w:lvl w:ilvl="7" w:tentative="0">
      <w:start w:val="0"/>
      <w:numFmt w:val="bullet"/>
      <w:lvlText w:val="•"/>
      <w:lvlJc w:val="left"/>
      <w:pPr>
        <w:ind w:left="7278" w:hanging="731"/>
      </w:pPr>
      <w:rPr>
        <w:rFonts w:hint="default"/>
        <w:lang w:val="zh-CN" w:eastAsia="zh-CN" w:bidi="zh-CN"/>
      </w:rPr>
    </w:lvl>
    <w:lvl w:ilvl="8" w:tentative="0">
      <w:start w:val="0"/>
      <w:numFmt w:val="bullet"/>
      <w:lvlText w:val="•"/>
      <w:lvlJc w:val="left"/>
      <w:pPr>
        <w:ind w:left="8281" w:hanging="731"/>
      </w:pPr>
      <w:rPr>
        <w:rFonts w:hint="default"/>
        <w:lang w:val="zh-CN" w:eastAsia="zh-CN" w:bidi="zh-CN"/>
      </w:rPr>
    </w:lvl>
  </w:abstractNum>
  <w:abstractNum w:abstractNumId="8">
    <w:nsid w:val="C18EC781"/>
    <w:multiLevelType w:val="singleLevel"/>
    <w:tmpl w:val="C18EC781"/>
    <w:lvl w:ilvl="0" w:tentative="0">
      <w:start w:val="1"/>
      <w:numFmt w:val="decimal"/>
      <w:lvlText w:val="%1."/>
      <w:lvlJc w:val="left"/>
      <w:pPr>
        <w:tabs>
          <w:tab w:val="left" w:pos="312"/>
        </w:tabs>
      </w:pPr>
    </w:lvl>
  </w:abstractNum>
  <w:abstractNum w:abstractNumId="9">
    <w:nsid w:val="E093A4B0"/>
    <w:multiLevelType w:val="multilevel"/>
    <w:tmpl w:val="E093A4B0"/>
    <w:lvl w:ilvl="0" w:tentative="0">
      <w:start w:val="17"/>
      <w:numFmt w:val="decimal"/>
      <w:lvlText w:val="%1."/>
      <w:lvlJc w:val="left"/>
      <w:pPr>
        <w:ind w:left="770" w:hanging="511"/>
      </w:pPr>
      <w:rPr>
        <w:rFonts w:hint="default" w:ascii="Arial" w:hAnsi="Arial" w:eastAsia="Arial" w:cs="Arial"/>
        <w:w w:val="99"/>
        <w:sz w:val="22"/>
        <w:szCs w:val="22"/>
        <w:lang w:val="zh-CN" w:eastAsia="zh-CN" w:bidi="zh-CN"/>
      </w:rPr>
    </w:lvl>
    <w:lvl w:ilvl="1" w:tentative="0">
      <w:start w:val="1"/>
      <w:numFmt w:val="decimal"/>
      <w:lvlText w:val="%1.%2"/>
      <w:lvlJc w:val="left"/>
      <w:pPr>
        <w:ind w:left="848" w:hanging="589"/>
      </w:pPr>
      <w:rPr>
        <w:rFonts w:hint="default" w:ascii="Arial" w:hAnsi="Arial" w:eastAsia="Arial" w:cs="Arial"/>
        <w:spacing w:val="-118"/>
        <w:w w:val="99"/>
        <w:sz w:val="24"/>
        <w:szCs w:val="24"/>
        <w:lang w:val="zh-CN" w:eastAsia="zh-CN" w:bidi="zh-CN"/>
      </w:rPr>
    </w:lvl>
    <w:lvl w:ilvl="2" w:tentative="0">
      <w:start w:val="1"/>
      <w:numFmt w:val="decimal"/>
      <w:lvlText w:val="（%3）"/>
      <w:lvlJc w:val="left"/>
      <w:pPr>
        <w:ind w:left="1340" w:hanging="720"/>
      </w:pPr>
      <w:rPr>
        <w:rFonts w:hint="default" w:ascii="宋体" w:hAnsi="宋体" w:eastAsia="宋体" w:cs="宋体"/>
        <w:w w:val="99"/>
        <w:sz w:val="24"/>
        <w:szCs w:val="24"/>
        <w:lang w:val="zh-CN" w:eastAsia="zh-CN" w:bidi="zh-CN"/>
      </w:rPr>
    </w:lvl>
    <w:lvl w:ilvl="3" w:tentative="0">
      <w:start w:val="0"/>
      <w:numFmt w:val="bullet"/>
      <w:lvlText w:val="•"/>
      <w:lvlJc w:val="left"/>
      <w:pPr>
        <w:ind w:left="840" w:hanging="720"/>
      </w:pPr>
      <w:rPr>
        <w:rFonts w:hint="default"/>
        <w:lang w:val="zh-CN" w:eastAsia="zh-CN" w:bidi="zh-CN"/>
      </w:rPr>
    </w:lvl>
    <w:lvl w:ilvl="4" w:tentative="0">
      <w:start w:val="0"/>
      <w:numFmt w:val="bullet"/>
      <w:lvlText w:val="•"/>
      <w:lvlJc w:val="left"/>
      <w:pPr>
        <w:ind w:left="860" w:hanging="720"/>
      </w:pPr>
      <w:rPr>
        <w:rFonts w:hint="default"/>
        <w:lang w:val="zh-CN" w:eastAsia="zh-CN" w:bidi="zh-CN"/>
      </w:rPr>
    </w:lvl>
    <w:lvl w:ilvl="5" w:tentative="0">
      <w:start w:val="0"/>
      <w:numFmt w:val="bullet"/>
      <w:lvlText w:val="•"/>
      <w:lvlJc w:val="left"/>
      <w:pPr>
        <w:ind w:left="1100" w:hanging="720"/>
      </w:pPr>
      <w:rPr>
        <w:rFonts w:hint="default"/>
        <w:lang w:val="zh-CN" w:eastAsia="zh-CN" w:bidi="zh-CN"/>
      </w:rPr>
    </w:lvl>
    <w:lvl w:ilvl="6" w:tentative="0">
      <w:start w:val="0"/>
      <w:numFmt w:val="bullet"/>
      <w:lvlText w:val="•"/>
      <w:lvlJc w:val="left"/>
      <w:pPr>
        <w:ind w:left="1340" w:hanging="720"/>
      </w:pPr>
      <w:rPr>
        <w:rFonts w:hint="default"/>
        <w:lang w:val="zh-CN" w:eastAsia="zh-CN" w:bidi="zh-CN"/>
      </w:rPr>
    </w:lvl>
    <w:lvl w:ilvl="7" w:tentative="0">
      <w:start w:val="0"/>
      <w:numFmt w:val="bullet"/>
      <w:lvlText w:val="•"/>
      <w:lvlJc w:val="left"/>
      <w:pPr>
        <w:ind w:left="3576" w:hanging="720"/>
      </w:pPr>
      <w:rPr>
        <w:rFonts w:hint="default"/>
        <w:lang w:val="zh-CN" w:eastAsia="zh-CN" w:bidi="zh-CN"/>
      </w:rPr>
    </w:lvl>
    <w:lvl w:ilvl="8" w:tentative="0">
      <w:start w:val="0"/>
      <w:numFmt w:val="bullet"/>
      <w:lvlText w:val="•"/>
      <w:lvlJc w:val="left"/>
      <w:pPr>
        <w:ind w:left="5813" w:hanging="720"/>
      </w:pPr>
      <w:rPr>
        <w:rFonts w:hint="default"/>
        <w:lang w:val="zh-CN" w:eastAsia="zh-CN" w:bidi="zh-CN"/>
      </w:rPr>
    </w:lvl>
  </w:abstractNum>
  <w:abstractNum w:abstractNumId="10">
    <w:nsid w:val="E6276128"/>
    <w:multiLevelType w:val="singleLevel"/>
    <w:tmpl w:val="E6276128"/>
    <w:lvl w:ilvl="0" w:tentative="0">
      <w:start w:val="2"/>
      <w:numFmt w:val="decimal"/>
      <w:suff w:val="nothing"/>
      <w:lvlText w:val="（%1）"/>
      <w:lvlJc w:val="left"/>
    </w:lvl>
  </w:abstractNum>
  <w:abstractNum w:abstractNumId="11">
    <w:nsid w:val="F2BF3EC8"/>
    <w:multiLevelType w:val="singleLevel"/>
    <w:tmpl w:val="F2BF3EC8"/>
    <w:lvl w:ilvl="0" w:tentative="0">
      <w:start w:val="1"/>
      <w:numFmt w:val="decimal"/>
      <w:lvlText w:val="%1."/>
      <w:lvlJc w:val="left"/>
      <w:pPr>
        <w:tabs>
          <w:tab w:val="left" w:pos="312"/>
        </w:tabs>
      </w:pPr>
    </w:lvl>
  </w:abstractNum>
  <w:abstractNum w:abstractNumId="12">
    <w:nsid w:val="F7735DC9"/>
    <w:multiLevelType w:val="multilevel"/>
    <w:tmpl w:val="F7735DC9"/>
    <w:lvl w:ilvl="0" w:tentative="0">
      <w:start w:val="16"/>
      <w:numFmt w:val="decimal"/>
      <w:lvlText w:val="%1"/>
      <w:lvlJc w:val="left"/>
      <w:pPr>
        <w:ind w:left="649" w:hanging="390"/>
      </w:pPr>
      <w:rPr>
        <w:rFonts w:hint="default" w:ascii="Arial" w:hAnsi="Arial" w:eastAsia="Arial" w:cs="Arial"/>
        <w:w w:val="99"/>
        <w:sz w:val="24"/>
        <w:szCs w:val="24"/>
        <w:lang w:val="zh-CN" w:eastAsia="zh-CN" w:bidi="zh-CN"/>
      </w:rPr>
    </w:lvl>
    <w:lvl w:ilvl="1" w:tentative="0">
      <w:start w:val="1"/>
      <w:numFmt w:val="decimal"/>
      <w:lvlText w:val="%1.%2"/>
      <w:lvlJc w:val="left"/>
      <w:pPr>
        <w:ind w:left="860" w:hanging="591"/>
      </w:pPr>
      <w:rPr>
        <w:rFonts w:hint="default" w:ascii="Arial" w:hAnsi="Arial" w:eastAsia="Arial" w:cs="Arial"/>
        <w:spacing w:val="-13"/>
        <w:w w:val="99"/>
        <w:sz w:val="24"/>
        <w:szCs w:val="24"/>
        <w:lang w:val="zh-CN" w:eastAsia="zh-CN" w:bidi="zh-CN"/>
      </w:rPr>
    </w:lvl>
    <w:lvl w:ilvl="2" w:tentative="0">
      <w:start w:val="1"/>
      <w:numFmt w:val="decimal"/>
      <w:lvlText w:val="（%3）"/>
      <w:lvlJc w:val="left"/>
      <w:pPr>
        <w:ind w:left="1042" w:hanging="616"/>
      </w:pPr>
      <w:rPr>
        <w:rFonts w:hint="default" w:ascii="宋体" w:hAnsi="宋体" w:eastAsia="宋体" w:cs="宋体"/>
        <w:w w:val="99"/>
        <w:sz w:val="22"/>
        <w:szCs w:val="22"/>
        <w:lang w:val="zh-CN" w:eastAsia="zh-CN" w:bidi="zh-CN"/>
      </w:rPr>
    </w:lvl>
    <w:lvl w:ilvl="3" w:tentative="0">
      <w:start w:val="0"/>
      <w:numFmt w:val="bullet"/>
      <w:lvlText w:val="•"/>
      <w:lvlJc w:val="left"/>
      <w:pPr>
        <w:ind w:left="2475" w:hanging="616"/>
      </w:pPr>
      <w:rPr>
        <w:rFonts w:hint="default"/>
        <w:lang w:val="zh-CN" w:eastAsia="zh-CN" w:bidi="zh-CN"/>
      </w:rPr>
    </w:lvl>
    <w:lvl w:ilvl="4" w:tentative="0">
      <w:start w:val="0"/>
      <w:numFmt w:val="bullet"/>
      <w:lvlText w:val="•"/>
      <w:lvlJc w:val="left"/>
      <w:pPr>
        <w:ind w:left="3591" w:hanging="616"/>
      </w:pPr>
      <w:rPr>
        <w:rFonts w:hint="default"/>
        <w:lang w:val="zh-CN" w:eastAsia="zh-CN" w:bidi="zh-CN"/>
      </w:rPr>
    </w:lvl>
    <w:lvl w:ilvl="5" w:tentative="0">
      <w:start w:val="0"/>
      <w:numFmt w:val="bullet"/>
      <w:lvlText w:val="•"/>
      <w:lvlJc w:val="left"/>
      <w:pPr>
        <w:ind w:left="4707" w:hanging="616"/>
      </w:pPr>
      <w:rPr>
        <w:rFonts w:hint="default"/>
        <w:lang w:val="zh-CN" w:eastAsia="zh-CN" w:bidi="zh-CN"/>
      </w:rPr>
    </w:lvl>
    <w:lvl w:ilvl="6" w:tentative="0">
      <w:start w:val="0"/>
      <w:numFmt w:val="bullet"/>
      <w:lvlText w:val="•"/>
      <w:lvlJc w:val="left"/>
      <w:pPr>
        <w:ind w:left="5823" w:hanging="616"/>
      </w:pPr>
      <w:rPr>
        <w:rFonts w:hint="default"/>
        <w:lang w:val="zh-CN" w:eastAsia="zh-CN" w:bidi="zh-CN"/>
      </w:rPr>
    </w:lvl>
    <w:lvl w:ilvl="7" w:tentative="0">
      <w:start w:val="0"/>
      <w:numFmt w:val="bullet"/>
      <w:lvlText w:val="•"/>
      <w:lvlJc w:val="left"/>
      <w:pPr>
        <w:ind w:left="6939" w:hanging="616"/>
      </w:pPr>
      <w:rPr>
        <w:rFonts w:hint="default"/>
        <w:lang w:val="zh-CN" w:eastAsia="zh-CN" w:bidi="zh-CN"/>
      </w:rPr>
    </w:lvl>
    <w:lvl w:ilvl="8" w:tentative="0">
      <w:start w:val="0"/>
      <w:numFmt w:val="bullet"/>
      <w:lvlText w:val="•"/>
      <w:lvlJc w:val="left"/>
      <w:pPr>
        <w:ind w:left="8054" w:hanging="616"/>
      </w:pPr>
      <w:rPr>
        <w:rFonts w:hint="default"/>
        <w:lang w:val="zh-CN" w:eastAsia="zh-CN" w:bidi="zh-CN"/>
      </w:rPr>
    </w:lvl>
  </w:abstractNum>
  <w:abstractNum w:abstractNumId="13">
    <w:nsid w:val="0709FD3E"/>
    <w:multiLevelType w:val="multilevel"/>
    <w:tmpl w:val="0709FD3E"/>
    <w:lvl w:ilvl="0" w:tentative="0">
      <w:start w:val="1"/>
      <w:numFmt w:val="decimal"/>
      <w:lvlText w:val="%1."/>
      <w:lvlJc w:val="left"/>
      <w:pPr>
        <w:ind w:left="1371" w:hanging="376"/>
      </w:pPr>
      <w:rPr>
        <w:rFonts w:hint="default" w:ascii="Arial" w:hAnsi="Arial" w:eastAsia="Arial" w:cs="Arial"/>
        <w:spacing w:val="-20"/>
        <w:w w:val="99"/>
        <w:sz w:val="22"/>
        <w:szCs w:val="22"/>
        <w:lang w:val="zh-CN" w:eastAsia="zh-CN" w:bidi="zh-CN"/>
      </w:rPr>
    </w:lvl>
    <w:lvl w:ilvl="1" w:tentative="0">
      <w:start w:val="0"/>
      <w:numFmt w:val="bullet"/>
      <w:lvlText w:val="•"/>
      <w:lvlJc w:val="left"/>
      <w:pPr>
        <w:ind w:left="2270" w:hanging="376"/>
      </w:pPr>
      <w:rPr>
        <w:rFonts w:hint="default"/>
        <w:lang w:val="zh-CN" w:eastAsia="zh-CN" w:bidi="zh-CN"/>
      </w:rPr>
    </w:lvl>
    <w:lvl w:ilvl="2" w:tentative="0">
      <w:start w:val="0"/>
      <w:numFmt w:val="bullet"/>
      <w:lvlText w:val="•"/>
      <w:lvlJc w:val="left"/>
      <w:pPr>
        <w:ind w:left="3161" w:hanging="376"/>
      </w:pPr>
      <w:rPr>
        <w:rFonts w:hint="default"/>
        <w:lang w:val="zh-CN" w:eastAsia="zh-CN" w:bidi="zh-CN"/>
      </w:rPr>
    </w:lvl>
    <w:lvl w:ilvl="3" w:tentative="0">
      <w:start w:val="0"/>
      <w:numFmt w:val="bullet"/>
      <w:lvlText w:val="•"/>
      <w:lvlJc w:val="left"/>
      <w:pPr>
        <w:ind w:left="4051" w:hanging="376"/>
      </w:pPr>
      <w:rPr>
        <w:rFonts w:hint="default"/>
        <w:lang w:val="zh-CN" w:eastAsia="zh-CN" w:bidi="zh-CN"/>
      </w:rPr>
    </w:lvl>
    <w:lvl w:ilvl="4" w:tentative="0">
      <w:start w:val="0"/>
      <w:numFmt w:val="bullet"/>
      <w:lvlText w:val="•"/>
      <w:lvlJc w:val="left"/>
      <w:pPr>
        <w:ind w:left="4942" w:hanging="376"/>
      </w:pPr>
      <w:rPr>
        <w:rFonts w:hint="default"/>
        <w:lang w:val="zh-CN" w:eastAsia="zh-CN" w:bidi="zh-CN"/>
      </w:rPr>
    </w:lvl>
    <w:lvl w:ilvl="5" w:tentative="0">
      <w:start w:val="0"/>
      <w:numFmt w:val="bullet"/>
      <w:lvlText w:val="•"/>
      <w:lvlJc w:val="left"/>
      <w:pPr>
        <w:ind w:left="5833" w:hanging="376"/>
      </w:pPr>
      <w:rPr>
        <w:rFonts w:hint="default"/>
        <w:lang w:val="zh-CN" w:eastAsia="zh-CN" w:bidi="zh-CN"/>
      </w:rPr>
    </w:lvl>
    <w:lvl w:ilvl="6" w:tentative="0">
      <w:start w:val="0"/>
      <w:numFmt w:val="bullet"/>
      <w:lvlText w:val="•"/>
      <w:lvlJc w:val="left"/>
      <w:pPr>
        <w:ind w:left="6723" w:hanging="376"/>
      </w:pPr>
      <w:rPr>
        <w:rFonts w:hint="default"/>
        <w:lang w:val="zh-CN" w:eastAsia="zh-CN" w:bidi="zh-CN"/>
      </w:rPr>
    </w:lvl>
    <w:lvl w:ilvl="7" w:tentative="0">
      <w:start w:val="0"/>
      <w:numFmt w:val="bullet"/>
      <w:lvlText w:val="•"/>
      <w:lvlJc w:val="left"/>
      <w:pPr>
        <w:ind w:left="7614" w:hanging="376"/>
      </w:pPr>
      <w:rPr>
        <w:rFonts w:hint="default"/>
        <w:lang w:val="zh-CN" w:eastAsia="zh-CN" w:bidi="zh-CN"/>
      </w:rPr>
    </w:lvl>
    <w:lvl w:ilvl="8" w:tentative="0">
      <w:start w:val="0"/>
      <w:numFmt w:val="bullet"/>
      <w:lvlText w:val="•"/>
      <w:lvlJc w:val="left"/>
      <w:pPr>
        <w:ind w:left="8505" w:hanging="376"/>
      </w:pPr>
      <w:rPr>
        <w:rFonts w:hint="default"/>
        <w:lang w:val="zh-CN" w:eastAsia="zh-CN" w:bidi="zh-CN"/>
      </w:rPr>
    </w:lvl>
  </w:abstractNum>
  <w:abstractNum w:abstractNumId="14">
    <w:nsid w:val="0CEF100B"/>
    <w:multiLevelType w:val="multilevel"/>
    <w:tmpl w:val="0CEF100B"/>
    <w:lvl w:ilvl="0" w:tentative="0">
      <w:start w:val="2"/>
      <w:numFmt w:val="decimal"/>
      <w:lvlText w:val="(%1)"/>
      <w:lvlJc w:val="left"/>
      <w:pPr>
        <w:ind w:left="220" w:hanging="296"/>
      </w:pPr>
      <w:rPr>
        <w:rFonts w:hint="default" w:ascii="Arial" w:hAnsi="Arial" w:eastAsia="Arial" w:cs="Arial"/>
        <w:w w:val="99"/>
        <w:sz w:val="22"/>
        <w:szCs w:val="22"/>
        <w:lang w:val="zh-CN" w:eastAsia="zh-CN" w:bidi="zh-CN"/>
      </w:rPr>
    </w:lvl>
    <w:lvl w:ilvl="1" w:tentative="0">
      <w:start w:val="0"/>
      <w:numFmt w:val="bullet"/>
      <w:lvlText w:val="•"/>
      <w:lvlJc w:val="left"/>
      <w:pPr>
        <w:ind w:left="1138" w:hanging="296"/>
      </w:pPr>
      <w:rPr>
        <w:rFonts w:hint="default"/>
        <w:lang w:val="zh-CN" w:eastAsia="zh-CN" w:bidi="zh-CN"/>
      </w:rPr>
    </w:lvl>
    <w:lvl w:ilvl="2" w:tentative="0">
      <w:start w:val="0"/>
      <w:numFmt w:val="bullet"/>
      <w:lvlText w:val="•"/>
      <w:lvlJc w:val="left"/>
      <w:pPr>
        <w:ind w:left="2057" w:hanging="296"/>
      </w:pPr>
      <w:rPr>
        <w:rFonts w:hint="default"/>
        <w:lang w:val="zh-CN" w:eastAsia="zh-CN" w:bidi="zh-CN"/>
      </w:rPr>
    </w:lvl>
    <w:lvl w:ilvl="3" w:tentative="0">
      <w:start w:val="0"/>
      <w:numFmt w:val="bullet"/>
      <w:lvlText w:val="•"/>
      <w:lvlJc w:val="left"/>
      <w:pPr>
        <w:ind w:left="2975" w:hanging="296"/>
      </w:pPr>
      <w:rPr>
        <w:rFonts w:hint="default"/>
        <w:lang w:val="zh-CN" w:eastAsia="zh-CN" w:bidi="zh-CN"/>
      </w:rPr>
    </w:lvl>
    <w:lvl w:ilvl="4" w:tentative="0">
      <w:start w:val="0"/>
      <w:numFmt w:val="bullet"/>
      <w:lvlText w:val="•"/>
      <w:lvlJc w:val="left"/>
      <w:pPr>
        <w:ind w:left="3894" w:hanging="296"/>
      </w:pPr>
      <w:rPr>
        <w:rFonts w:hint="default"/>
        <w:lang w:val="zh-CN" w:eastAsia="zh-CN" w:bidi="zh-CN"/>
      </w:rPr>
    </w:lvl>
    <w:lvl w:ilvl="5" w:tentative="0">
      <w:start w:val="0"/>
      <w:numFmt w:val="bullet"/>
      <w:lvlText w:val="•"/>
      <w:lvlJc w:val="left"/>
      <w:pPr>
        <w:ind w:left="4813" w:hanging="296"/>
      </w:pPr>
      <w:rPr>
        <w:rFonts w:hint="default"/>
        <w:lang w:val="zh-CN" w:eastAsia="zh-CN" w:bidi="zh-CN"/>
      </w:rPr>
    </w:lvl>
    <w:lvl w:ilvl="6" w:tentative="0">
      <w:start w:val="0"/>
      <w:numFmt w:val="bullet"/>
      <w:lvlText w:val="•"/>
      <w:lvlJc w:val="left"/>
      <w:pPr>
        <w:ind w:left="5731" w:hanging="296"/>
      </w:pPr>
      <w:rPr>
        <w:rFonts w:hint="default"/>
        <w:lang w:val="zh-CN" w:eastAsia="zh-CN" w:bidi="zh-CN"/>
      </w:rPr>
    </w:lvl>
    <w:lvl w:ilvl="7" w:tentative="0">
      <w:start w:val="0"/>
      <w:numFmt w:val="bullet"/>
      <w:lvlText w:val="•"/>
      <w:lvlJc w:val="left"/>
      <w:pPr>
        <w:ind w:left="6650" w:hanging="296"/>
      </w:pPr>
      <w:rPr>
        <w:rFonts w:hint="default"/>
        <w:lang w:val="zh-CN" w:eastAsia="zh-CN" w:bidi="zh-CN"/>
      </w:rPr>
    </w:lvl>
    <w:lvl w:ilvl="8" w:tentative="0">
      <w:start w:val="0"/>
      <w:numFmt w:val="bullet"/>
      <w:lvlText w:val="•"/>
      <w:lvlJc w:val="left"/>
      <w:pPr>
        <w:ind w:left="7569" w:hanging="296"/>
      </w:pPr>
      <w:rPr>
        <w:rFonts w:hint="default"/>
        <w:lang w:val="zh-CN" w:eastAsia="zh-CN" w:bidi="zh-CN"/>
      </w:rPr>
    </w:lvl>
  </w:abstractNum>
  <w:abstractNum w:abstractNumId="15">
    <w:nsid w:val="0D858730"/>
    <w:multiLevelType w:val="singleLevel"/>
    <w:tmpl w:val="0D858730"/>
    <w:lvl w:ilvl="0" w:tentative="0">
      <w:start w:val="1"/>
      <w:numFmt w:val="decimal"/>
      <w:lvlText w:val="%1."/>
      <w:lvlJc w:val="left"/>
      <w:pPr>
        <w:tabs>
          <w:tab w:val="left" w:pos="312"/>
        </w:tabs>
      </w:pPr>
    </w:lvl>
  </w:abstractNum>
  <w:abstractNum w:abstractNumId="16">
    <w:nsid w:val="1ACDE60F"/>
    <w:multiLevelType w:val="multilevel"/>
    <w:tmpl w:val="1ACDE60F"/>
    <w:lvl w:ilvl="0" w:tentative="0">
      <w:start w:val="1"/>
      <w:numFmt w:val="decimal"/>
      <w:lvlText w:val="%1."/>
      <w:lvlJc w:val="left"/>
      <w:pPr>
        <w:ind w:left="635" w:hanging="376"/>
      </w:pPr>
      <w:rPr>
        <w:rFonts w:hint="default" w:ascii="Arial" w:hAnsi="Arial" w:eastAsia="Arial" w:cs="Arial"/>
        <w:spacing w:val="0"/>
        <w:w w:val="99"/>
        <w:sz w:val="22"/>
        <w:szCs w:val="22"/>
        <w:lang w:val="zh-CN" w:eastAsia="zh-CN" w:bidi="zh-CN"/>
      </w:rPr>
    </w:lvl>
    <w:lvl w:ilvl="1" w:tentative="0">
      <w:start w:val="1"/>
      <w:numFmt w:val="decimal"/>
      <w:lvlText w:val="%1.%2"/>
      <w:lvlJc w:val="left"/>
      <w:pPr>
        <w:ind w:left="260" w:hanging="336"/>
      </w:pPr>
      <w:rPr>
        <w:rFonts w:hint="default" w:ascii="Arial" w:hAnsi="Arial" w:eastAsia="Arial" w:cs="Arial"/>
        <w:w w:val="100"/>
        <w:sz w:val="22"/>
        <w:szCs w:val="22"/>
        <w:lang w:val="zh-CN" w:eastAsia="zh-CN" w:bidi="zh-CN"/>
      </w:rPr>
    </w:lvl>
    <w:lvl w:ilvl="2" w:tentative="0">
      <w:start w:val="1"/>
      <w:numFmt w:val="decimal"/>
      <w:lvlText w:val="(%3)"/>
      <w:lvlJc w:val="left"/>
      <w:pPr>
        <w:ind w:left="1154" w:hanging="295"/>
      </w:pPr>
      <w:rPr>
        <w:rFonts w:hint="default" w:ascii="Arial" w:hAnsi="Arial" w:eastAsia="Arial" w:cs="Arial"/>
        <w:spacing w:val="-1"/>
        <w:w w:val="99"/>
        <w:sz w:val="22"/>
        <w:szCs w:val="22"/>
        <w:lang w:val="zh-CN" w:eastAsia="zh-CN" w:bidi="zh-CN"/>
      </w:rPr>
    </w:lvl>
    <w:lvl w:ilvl="3" w:tentative="0">
      <w:start w:val="0"/>
      <w:numFmt w:val="bullet"/>
      <w:lvlText w:val="•"/>
      <w:lvlJc w:val="left"/>
      <w:pPr>
        <w:ind w:left="840" w:hanging="295"/>
      </w:pPr>
      <w:rPr>
        <w:rFonts w:hint="default"/>
        <w:lang w:val="zh-CN" w:eastAsia="zh-CN" w:bidi="zh-CN"/>
      </w:rPr>
    </w:lvl>
    <w:lvl w:ilvl="4" w:tentative="0">
      <w:start w:val="0"/>
      <w:numFmt w:val="bullet"/>
      <w:lvlText w:val="•"/>
      <w:lvlJc w:val="left"/>
      <w:pPr>
        <w:ind w:left="920" w:hanging="295"/>
      </w:pPr>
      <w:rPr>
        <w:rFonts w:hint="default"/>
        <w:lang w:val="zh-CN" w:eastAsia="zh-CN" w:bidi="zh-CN"/>
      </w:rPr>
    </w:lvl>
    <w:lvl w:ilvl="5" w:tentative="0">
      <w:start w:val="0"/>
      <w:numFmt w:val="bullet"/>
      <w:lvlText w:val="•"/>
      <w:lvlJc w:val="left"/>
      <w:pPr>
        <w:ind w:left="1160" w:hanging="295"/>
      </w:pPr>
      <w:rPr>
        <w:rFonts w:hint="default"/>
        <w:lang w:val="zh-CN" w:eastAsia="zh-CN" w:bidi="zh-CN"/>
      </w:rPr>
    </w:lvl>
    <w:lvl w:ilvl="6" w:tentative="0">
      <w:start w:val="0"/>
      <w:numFmt w:val="bullet"/>
      <w:lvlText w:val="•"/>
      <w:lvlJc w:val="left"/>
      <w:pPr>
        <w:ind w:left="2985" w:hanging="295"/>
      </w:pPr>
      <w:rPr>
        <w:rFonts w:hint="default"/>
        <w:lang w:val="zh-CN" w:eastAsia="zh-CN" w:bidi="zh-CN"/>
      </w:rPr>
    </w:lvl>
    <w:lvl w:ilvl="7" w:tentative="0">
      <w:start w:val="0"/>
      <w:numFmt w:val="bullet"/>
      <w:lvlText w:val="•"/>
      <w:lvlJc w:val="left"/>
      <w:pPr>
        <w:ind w:left="4810" w:hanging="295"/>
      </w:pPr>
      <w:rPr>
        <w:rFonts w:hint="default"/>
        <w:lang w:val="zh-CN" w:eastAsia="zh-CN" w:bidi="zh-CN"/>
      </w:rPr>
    </w:lvl>
    <w:lvl w:ilvl="8" w:tentative="0">
      <w:start w:val="0"/>
      <w:numFmt w:val="bullet"/>
      <w:lvlText w:val="•"/>
      <w:lvlJc w:val="left"/>
      <w:pPr>
        <w:ind w:left="6635" w:hanging="295"/>
      </w:pPr>
      <w:rPr>
        <w:rFonts w:hint="default"/>
        <w:lang w:val="zh-CN" w:eastAsia="zh-CN" w:bidi="zh-CN"/>
      </w:rPr>
    </w:lvl>
  </w:abstractNum>
  <w:abstractNum w:abstractNumId="17">
    <w:nsid w:val="243FCF68"/>
    <w:multiLevelType w:val="multilevel"/>
    <w:tmpl w:val="243FCF68"/>
    <w:lvl w:ilvl="0" w:tentative="0">
      <w:start w:val="13"/>
      <w:numFmt w:val="decimal"/>
      <w:lvlText w:val="%1"/>
      <w:lvlJc w:val="left"/>
      <w:pPr>
        <w:ind w:left="889" w:hanging="591"/>
      </w:pPr>
      <w:rPr>
        <w:rFonts w:hint="default"/>
        <w:lang w:val="zh-CN" w:eastAsia="zh-CN" w:bidi="zh-CN"/>
      </w:rPr>
    </w:lvl>
    <w:lvl w:ilvl="1" w:tentative="0">
      <w:start w:val="3"/>
      <w:numFmt w:val="decimal"/>
      <w:lvlText w:val="%1.%2"/>
      <w:lvlJc w:val="left"/>
      <w:pPr>
        <w:ind w:left="889" w:hanging="591"/>
      </w:pPr>
      <w:rPr>
        <w:rFonts w:hint="default" w:ascii="Arial" w:hAnsi="Arial" w:eastAsia="Arial" w:cs="Arial"/>
        <w:spacing w:val="-14"/>
        <w:w w:val="99"/>
        <w:sz w:val="24"/>
        <w:szCs w:val="24"/>
        <w:lang w:val="zh-CN" w:eastAsia="zh-CN" w:bidi="zh-CN"/>
      </w:rPr>
    </w:lvl>
    <w:lvl w:ilvl="2" w:tentative="0">
      <w:start w:val="1"/>
      <w:numFmt w:val="decimal"/>
      <w:lvlText w:val="%1.%2.%3"/>
      <w:lvlJc w:val="left"/>
      <w:pPr>
        <w:ind w:left="1050" w:hanging="791"/>
      </w:pPr>
      <w:rPr>
        <w:rFonts w:hint="default" w:ascii="Arial" w:hAnsi="Arial" w:eastAsia="Arial" w:cs="Arial"/>
        <w:spacing w:val="-11"/>
        <w:w w:val="99"/>
        <w:sz w:val="24"/>
        <w:szCs w:val="24"/>
        <w:lang w:val="zh-CN" w:eastAsia="zh-CN" w:bidi="zh-CN"/>
      </w:rPr>
    </w:lvl>
    <w:lvl w:ilvl="3" w:tentative="0">
      <w:start w:val="0"/>
      <w:numFmt w:val="bullet"/>
      <w:lvlText w:val="•"/>
      <w:lvlJc w:val="left"/>
      <w:pPr>
        <w:ind w:left="3110" w:hanging="791"/>
      </w:pPr>
      <w:rPr>
        <w:rFonts w:hint="default"/>
        <w:lang w:val="zh-CN" w:eastAsia="zh-CN" w:bidi="zh-CN"/>
      </w:rPr>
    </w:lvl>
    <w:lvl w:ilvl="4" w:tentative="0">
      <w:start w:val="0"/>
      <w:numFmt w:val="bullet"/>
      <w:lvlText w:val="•"/>
      <w:lvlJc w:val="left"/>
      <w:pPr>
        <w:ind w:left="4135" w:hanging="791"/>
      </w:pPr>
      <w:rPr>
        <w:rFonts w:hint="default"/>
        <w:lang w:val="zh-CN" w:eastAsia="zh-CN" w:bidi="zh-CN"/>
      </w:rPr>
    </w:lvl>
    <w:lvl w:ilvl="5" w:tentative="0">
      <w:start w:val="0"/>
      <w:numFmt w:val="bullet"/>
      <w:lvlText w:val="•"/>
      <w:lvlJc w:val="left"/>
      <w:pPr>
        <w:ind w:left="5160" w:hanging="791"/>
      </w:pPr>
      <w:rPr>
        <w:rFonts w:hint="default"/>
        <w:lang w:val="zh-CN" w:eastAsia="zh-CN" w:bidi="zh-CN"/>
      </w:rPr>
    </w:lvl>
    <w:lvl w:ilvl="6" w:tentative="0">
      <w:start w:val="0"/>
      <w:numFmt w:val="bullet"/>
      <w:lvlText w:val="•"/>
      <w:lvlJc w:val="left"/>
      <w:pPr>
        <w:ind w:left="6185" w:hanging="791"/>
      </w:pPr>
      <w:rPr>
        <w:rFonts w:hint="default"/>
        <w:lang w:val="zh-CN" w:eastAsia="zh-CN" w:bidi="zh-CN"/>
      </w:rPr>
    </w:lvl>
    <w:lvl w:ilvl="7" w:tentative="0">
      <w:start w:val="0"/>
      <w:numFmt w:val="bullet"/>
      <w:lvlText w:val="•"/>
      <w:lvlJc w:val="left"/>
      <w:pPr>
        <w:ind w:left="7210" w:hanging="791"/>
      </w:pPr>
      <w:rPr>
        <w:rFonts w:hint="default"/>
        <w:lang w:val="zh-CN" w:eastAsia="zh-CN" w:bidi="zh-CN"/>
      </w:rPr>
    </w:lvl>
    <w:lvl w:ilvl="8" w:tentative="0">
      <w:start w:val="0"/>
      <w:numFmt w:val="bullet"/>
      <w:lvlText w:val="•"/>
      <w:lvlJc w:val="left"/>
      <w:pPr>
        <w:ind w:left="8236" w:hanging="791"/>
      </w:pPr>
      <w:rPr>
        <w:rFonts w:hint="default"/>
        <w:lang w:val="zh-CN" w:eastAsia="zh-CN" w:bidi="zh-CN"/>
      </w:rPr>
    </w:lvl>
  </w:abstractNum>
  <w:abstractNum w:abstractNumId="18">
    <w:nsid w:val="30FC5B15"/>
    <w:multiLevelType w:val="multilevel"/>
    <w:tmpl w:val="30FC5B15"/>
    <w:lvl w:ilvl="0" w:tentative="0">
      <w:start w:val="19"/>
      <w:numFmt w:val="decimal"/>
      <w:lvlText w:val="%1"/>
      <w:lvlJc w:val="left"/>
      <w:pPr>
        <w:ind w:left="788" w:hanging="529"/>
      </w:pPr>
      <w:rPr>
        <w:rFonts w:hint="default"/>
        <w:lang w:val="zh-CN" w:eastAsia="zh-CN" w:bidi="zh-CN"/>
      </w:rPr>
    </w:lvl>
    <w:lvl w:ilvl="1" w:tentative="0">
      <w:start w:val="4"/>
      <w:numFmt w:val="decimal"/>
      <w:lvlText w:val="%1.%2"/>
      <w:lvlJc w:val="left"/>
      <w:pPr>
        <w:ind w:left="788" w:hanging="529"/>
      </w:pPr>
      <w:rPr>
        <w:rFonts w:hint="default" w:ascii="Arial" w:hAnsi="Arial" w:eastAsia="Arial" w:cs="Arial"/>
        <w:w w:val="99"/>
        <w:sz w:val="24"/>
        <w:szCs w:val="24"/>
        <w:lang w:val="zh-CN" w:eastAsia="zh-CN" w:bidi="zh-CN"/>
      </w:rPr>
    </w:lvl>
    <w:lvl w:ilvl="2" w:tentative="0">
      <w:start w:val="1"/>
      <w:numFmt w:val="decimal"/>
      <w:lvlText w:val="%1.%2.%3"/>
      <w:lvlJc w:val="left"/>
      <w:pPr>
        <w:ind w:left="990" w:hanging="731"/>
      </w:pPr>
      <w:rPr>
        <w:rFonts w:hint="default" w:ascii="Arial" w:hAnsi="Arial" w:eastAsia="Arial" w:cs="Arial"/>
        <w:spacing w:val="-1"/>
        <w:w w:val="99"/>
        <w:sz w:val="24"/>
        <w:szCs w:val="24"/>
        <w:lang w:val="zh-CN" w:eastAsia="zh-CN" w:bidi="zh-CN"/>
      </w:rPr>
    </w:lvl>
    <w:lvl w:ilvl="3" w:tentative="0">
      <w:start w:val="1"/>
      <w:numFmt w:val="decimal"/>
      <w:lvlText w:val="%1.%2.%3.%4"/>
      <w:lvlJc w:val="left"/>
      <w:pPr>
        <w:ind w:left="1189" w:hanging="930"/>
      </w:pPr>
      <w:rPr>
        <w:rFonts w:hint="default" w:ascii="Arial" w:hAnsi="Arial" w:eastAsia="Arial" w:cs="Arial"/>
        <w:spacing w:val="-2"/>
        <w:w w:val="99"/>
        <w:sz w:val="24"/>
        <w:szCs w:val="24"/>
        <w:lang w:val="zh-CN" w:eastAsia="zh-CN" w:bidi="zh-CN"/>
      </w:rPr>
    </w:lvl>
    <w:lvl w:ilvl="4" w:tentative="0">
      <w:start w:val="0"/>
      <w:numFmt w:val="bullet"/>
      <w:lvlText w:val="•"/>
      <w:lvlJc w:val="left"/>
      <w:pPr>
        <w:ind w:left="3456" w:hanging="930"/>
      </w:pPr>
      <w:rPr>
        <w:rFonts w:hint="default"/>
        <w:lang w:val="zh-CN" w:eastAsia="zh-CN" w:bidi="zh-CN"/>
      </w:rPr>
    </w:lvl>
    <w:lvl w:ilvl="5" w:tentative="0">
      <w:start w:val="0"/>
      <w:numFmt w:val="bullet"/>
      <w:lvlText w:val="•"/>
      <w:lvlJc w:val="left"/>
      <w:pPr>
        <w:ind w:left="4594" w:hanging="930"/>
      </w:pPr>
      <w:rPr>
        <w:rFonts w:hint="default"/>
        <w:lang w:val="zh-CN" w:eastAsia="zh-CN" w:bidi="zh-CN"/>
      </w:rPr>
    </w:lvl>
    <w:lvl w:ilvl="6" w:tentative="0">
      <w:start w:val="0"/>
      <w:numFmt w:val="bullet"/>
      <w:lvlText w:val="•"/>
      <w:lvlJc w:val="left"/>
      <w:pPr>
        <w:ind w:left="5733" w:hanging="930"/>
      </w:pPr>
      <w:rPr>
        <w:rFonts w:hint="default"/>
        <w:lang w:val="zh-CN" w:eastAsia="zh-CN" w:bidi="zh-CN"/>
      </w:rPr>
    </w:lvl>
    <w:lvl w:ilvl="7" w:tentative="0">
      <w:start w:val="0"/>
      <w:numFmt w:val="bullet"/>
      <w:lvlText w:val="•"/>
      <w:lvlJc w:val="left"/>
      <w:pPr>
        <w:ind w:left="6871" w:hanging="930"/>
      </w:pPr>
      <w:rPr>
        <w:rFonts w:hint="default"/>
        <w:lang w:val="zh-CN" w:eastAsia="zh-CN" w:bidi="zh-CN"/>
      </w:rPr>
    </w:lvl>
    <w:lvl w:ilvl="8" w:tentative="0">
      <w:start w:val="0"/>
      <w:numFmt w:val="bullet"/>
      <w:lvlText w:val="•"/>
      <w:lvlJc w:val="left"/>
      <w:pPr>
        <w:ind w:left="8009" w:hanging="930"/>
      </w:pPr>
      <w:rPr>
        <w:rFonts w:hint="default"/>
        <w:lang w:val="zh-CN" w:eastAsia="zh-CN" w:bidi="zh-CN"/>
      </w:rPr>
    </w:lvl>
  </w:abstractNum>
  <w:abstractNum w:abstractNumId="19">
    <w:nsid w:val="322D85CA"/>
    <w:multiLevelType w:val="multilevel"/>
    <w:tmpl w:val="322D85CA"/>
    <w:lvl w:ilvl="0" w:tentative="0">
      <w:start w:val="1"/>
      <w:numFmt w:val="decimal"/>
      <w:lvlText w:val="%1."/>
      <w:lvlJc w:val="left"/>
      <w:pPr>
        <w:ind w:left="620" w:hanging="361"/>
      </w:pPr>
      <w:rPr>
        <w:rFonts w:hint="default"/>
        <w:b/>
        <w:bCs/>
        <w:w w:val="99"/>
        <w:lang w:val="zh-CN" w:eastAsia="zh-CN" w:bidi="zh-CN"/>
      </w:rPr>
    </w:lvl>
    <w:lvl w:ilvl="1" w:tentative="0">
      <w:start w:val="1"/>
      <w:numFmt w:val="decimal"/>
      <w:lvlText w:val="%1.%2"/>
      <w:lvlJc w:val="left"/>
      <w:pPr>
        <w:ind w:left="260" w:hanging="337"/>
      </w:pPr>
      <w:rPr>
        <w:rFonts w:hint="default" w:ascii="Arial" w:hAnsi="Arial" w:eastAsia="Arial" w:cs="Arial"/>
        <w:w w:val="99"/>
        <w:sz w:val="22"/>
        <w:szCs w:val="22"/>
        <w:lang w:val="zh-CN" w:eastAsia="zh-CN" w:bidi="zh-CN"/>
      </w:rPr>
    </w:lvl>
    <w:lvl w:ilvl="2" w:tentative="0">
      <w:start w:val="1"/>
      <w:numFmt w:val="decimal"/>
      <w:lvlText w:val="%1.%2.%3"/>
      <w:lvlJc w:val="left"/>
      <w:pPr>
        <w:ind w:left="915" w:hanging="656"/>
      </w:pPr>
      <w:rPr>
        <w:rFonts w:hint="default" w:ascii="Arial" w:hAnsi="Arial" w:eastAsia="Arial" w:cs="Arial"/>
        <w:spacing w:val="-2"/>
        <w:w w:val="99"/>
        <w:sz w:val="24"/>
        <w:szCs w:val="24"/>
        <w:lang w:val="zh-CN" w:eastAsia="zh-CN" w:bidi="zh-CN"/>
      </w:rPr>
    </w:lvl>
    <w:lvl w:ilvl="3" w:tentative="0">
      <w:start w:val="0"/>
      <w:numFmt w:val="bullet"/>
      <w:lvlText w:val="•"/>
      <w:lvlJc w:val="left"/>
      <w:pPr>
        <w:ind w:left="680" w:hanging="656"/>
      </w:pPr>
      <w:rPr>
        <w:rFonts w:hint="default"/>
        <w:lang w:val="zh-CN" w:eastAsia="zh-CN" w:bidi="zh-CN"/>
      </w:rPr>
    </w:lvl>
    <w:lvl w:ilvl="4" w:tentative="0">
      <w:start w:val="0"/>
      <w:numFmt w:val="bullet"/>
      <w:lvlText w:val="•"/>
      <w:lvlJc w:val="left"/>
      <w:pPr>
        <w:ind w:left="720" w:hanging="656"/>
      </w:pPr>
      <w:rPr>
        <w:rFonts w:hint="default"/>
        <w:lang w:val="zh-CN" w:eastAsia="zh-CN" w:bidi="zh-CN"/>
      </w:rPr>
    </w:lvl>
    <w:lvl w:ilvl="5" w:tentative="0">
      <w:start w:val="0"/>
      <w:numFmt w:val="bullet"/>
      <w:lvlText w:val="•"/>
      <w:lvlJc w:val="left"/>
      <w:pPr>
        <w:ind w:left="920" w:hanging="656"/>
      </w:pPr>
      <w:rPr>
        <w:rFonts w:hint="default"/>
        <w:lang w:val="zh-CN" w:eastAsia="zh-CN" w:bidi="zh-CN"/>
      </w:rPr>
    </w:lvl>
    <w:lvl w:ilvl="6" w:tentative="0">
      <w:start w:val="0"/>
      <w:numFmt w:val="bullet"/>
      <w:lvlText w:val="•"/>
      <w:lvlJc w:val="left"/>
      <w:pPr>
        <w:ind w:left="2793" w:hanging="656"/>
      </w:pPr>
      <w:rPr>
        <w:rFonts w:hint="default"/>
        <w:lang w:val="zh-CN" w:eastAsia="zh-CN" w:bidi="zh-CN"/>
      </w:rPr>
    </w:lvl>
    <w:lvl w:ilvl="7" w:tentative="0">
      <w:start w:val="0"/>
      <w:numFmt w:val="bullet"/>
      <w:lvlText w:val="•"/>
      <w:lvlJc w:val="left"/>
      <w:pPr>
        <w:ind w:left="4666" w:hanging="656"/>
      </w:pPr>
      <w:rPr>
        <w:rFonts w:hint="default"/>
        <w:lang w:val="zh-CN" w:eastAsia="zh-CN" w:bidi="zh-CN"/>
      </w:rPr>
    </w:lvl>
    <w:lvl w:ilvl="8" w:tentative="0">
      <w:start w:val="0"/>
      <w:numFmt w:val="bullet"/>
      <w:lvlText w:val="•"/>
      <w:lvlJc w:val="left"/>
      <w:pPr>
        <w:ind w:left="6539" w:hanging="656"/>
      </w:pPr>
      <w:rPr>
        <w:rFonts w:hint="default"/>
        <w:lang w:val="zh-CN" w:eastAsia="zh-CN" w:bidi="zh-CN"/>
      </w:rPr>
    </w:lvl>
  </w:abstractNum>
  <w:abstractNum w:abstractNumId="20">
    <w:nsid w:val="39A0D9AC"/>
    <w:multiLevelType w:val="multilevel"/>
    <w:tmpl w:val="39A0D9AC"/>
    <w:lvl w:ilvl="0" w:tentative="0">
      <w:start w:val="1"/>
      <w:numFmt w:val="upperLetter"/>
      <w:lvlText w:val="%1."/>
      <w:lvlJc w:val="left"/>
      <w:pPr>
        <w:ind w:left="620" w:hanging="361"/>
      </w:pPr>
      <w:rPr>
        <w:rFonts w:hint="default" w:ascii="Arial" w:hAnsi="Arial" w:eastAsia="Arial" w:cs="Arial"/>
        <w:w w:val="100"/>
        <w:sz w:val="24"/>
        <w:szCs w:val="24"/>
        <w:lang w:val="zh-CN" w:eastAsia="zh-CN" w:bidi="zh-CN"/>
      </w:rPr>
    </w:lvl>
    <w:lvl w:ilvl="1" w:tentative="0">
      <w:start w:val="1"/>
      <w:numFmt w:val="decimal"/>
      <w:lvlText w:val="%2."/>
      <w:lvlJc w:val="left"/>
      <w:pPr>
        <w:ind w:left="582" w:hanging="323"/>
      </w:pPr>
      <w:rPr>
        <w:rFonts w:hint="default" w:ascii="Arial" w:hAnsi="Arial" w:eastAsia="Arial" w:cs="Arial"/>
        <w:w w:val="99"/>
        <w:sz w:val="24"/>
        <w:szCs w:val="24"/>
        <w:lang w:val="zh-CN" w:eastAsia="zh-CN" w:bidi="zh-CN"/>
      </w:rPr>
    </w:lvl>
    <w:lvl w:ilvl="2" w:tentative="0">
      <w:start w:val="1"/>
      <w:numFmt w:val="decimal"/>
      <w:lvlText w:val="%2.%3"/>
      <w:lvlJc w:val="left"/>
      <w:pPr>
        <w:ind w:left="740" w:hanging="481"/>
      </w:pPr>
      <w:rPr>
        <w:rFonts w:hint="default" w:ascii="Arial" w:hAnsi="Arial" w:eastAsia="Arial" w:cs="Arial"/>
        <w:w w:val="99"/>
        <w:sz w:val="24"/>
        <w:szCs w:val="24"/>
        <w:lang w:val="zh-CN" w:eastAsia="zh-CN" w:bidi="zh-CN"/>
      </w:rPr>
    </w:lvl>
    <w:lvl w:ilvl="3" w:tentative="0">
      <w:start w:val="1"/>
      <w:numFmt w:val="decimal"/>
      <w:lvlText w:val="（%4）"/>
      <w:lvlJc w:val="left"/>
      <w:pPr>
        <w:ind w:left="1340" w:hanging="720"/>
      </w:pPr>
      <w:rPr>
        <w:rFonts w:hint="default"/>
        <w:w w:val="99"/>
        <w:lang w:val="zh-CN" w:eastAsia="zh-CN" w:bidi="zh-CN"/>
      </w:rPr>
    </w:lvl>
    <w:lvl w:ilvl="4" w:tentative="0">
      <w:start w:val="0"/>
      <w:numFmt w:val="bullet"/>
      <w:lvlText w:val="•"/>
      <w:lvlJc w:val="left"/>
      <w:pPr>
        <w:ind w:left="740" w:hanging="720"/>
      </w:pPr>
      <w:rPr>
        <w:rFonts w:hint="default"/>
        <w:lang w:val="zh-CN" w:eastAsia="zh-CN" w:bidi="zh-CN"/>
      </w:rPr>
    </w:lvl>
    <w:lvl w:ilvl="5" w:tentative="0">
      <w:start w:val="0"/>
      <w:numFmt w:val="bullet"/>
      <w:lvlText w:val="•"/>
      <w:lvlJc w:val="left"/>
      <w:pPr>
        <w:ind w:left="800" w:hanging="720"/>
      </w:pPr>
      <w:rPr>
        <w:rFonts w:hint="default"/>
        <w:lang w:val="zh-CN" w:eastAsia="zh-CN" w:bidi="zh-CN"/>
      </w:rPr>
    </w:lvl>
    <w:lvl w:ilvl="6" w:tentative="0">
      <w:start w:val="0"/>
      <w:numFmt w:val="bullet"/>
      <w:lvlText w:val="•"/>
      <w:lvlJc w:val="left"/>
      <w:pPr>
        <w:ind w:left="840" w:hanging="720"/>
      </w:pPr>
      <w:rPr>
        <w:rFonts w:hint="default"/>
        <w:lang w:val="zh-CN" w:eastAsia="zh-CN" w:bidi="zh-CN"/>
      </w:rPr>
    </w:lvl>
    <w:lvl w:ilvl="7" w:tentative="0">
      <w:start w:val="0"/>
      <w:numFmt w:val="bullet"/>
      <w:lvlText w:val="•"/>
      <w:lvlJc w:val="left"/>
      <w:pPr>
        <w:ind w:left="860" w:hanging="720"/>
      </w:pPr>
      <w:rPr>
        <w:rFonts w:hint="default"/>
        <w:lang w:val="zh-CN" w:eastAsia="zh-CN" w:bidi="zh-CN"/>
      </w:rPr>
    </w:lvl>
    <w:lvl w:ilvl="8" w:tentative="0">
      <w:start w:val="0"/>
      <w:numFmt w:val="bullet"/>
      <w:lvlText w:val="•"/>
      <w:lvlJc w:val="left"/>
      <w:pPr>
        <w:ind w:left="1340" w:hanging="720"/>
      </w:pPr>
      <w:rPr>
        <w:rFonts w:hint="default"/>
        <w:lang w:val="zh-CN" w:eastAsia="zh-CN" w:bidi="zh-CN"/>
      </w:rPr>
    </w:lvl>
  </w:abstractNum>
  <w:abstractNum w:abstractNumId="21">
    <w:nsid w:val="49AFC1A7"/>
    <w:multiLevelType w:val="singleLevel"/>
    <w:tmpl w:val="49AFC1A7"/>
    <w:lvl w:ilvl="0" w:tentative="0">
      <w:start w:val="1"/>
      <w:numFmt w:val="decimal"/>
      <w:lvlText w:val="%1."/>
      <w:lvlJc w:val="left"/>
      <w:pPr>
        <w:tabs>
          <w:tab w:val="left" w:pos="312"/>
        </w:tabs>
      </w:pPr>
    </w:lvl>
  </w:abstractNum>
  <w:abstractNum w:abstractNumId="22">
    <w:nsid w:val="4C3D7A74"/>
    <w:multiLevelType w:val="multilevel"/>
    <w:tmpl w:val="4C3D7A74"/>
    <w:lvl w:ilvl="0" w:tentative="0">
      <w:start w:val="1"/>
      <w:numFmt w:val="decimal"/>
      <w:lvlText w:val="%1）"/>
      <w:lvlJc w:val="left"/>
      <w:pPr>
        <w:ind w:left="1100" w:hanging="600"/>
      </w:pPr>
      <w:rPr>
        <w:rFonts w:hint="default" w:ascii="Arial" w:hAnsi="Arial" w:eastAsia="Arial" w:cs="Arial"/>
        <w:w w:val="99"/>
        <w:sz w:val="24"/>
        <w:szCs w:val="24"/>
        <w:lang w:val="zh-CN" w:eastAsia="zh-CN" w:bidi="zh-CN"/>
      </w:rPr>
    </w:lvl>
    <w:lvl w:ilvl="1" w:tentative="0">
      <w:start w:val="0"/>
      <w:numFmt w:val="bullet"/>
      <w:lvlText w:val="•"/>
      <w:lvlJc w:val="left"/>
      <w:pPr>
        <w:ind w:left="2018" w:hanging="600"/>
      </w:pPr>
      <w:rPr>
        <w:rFonts w:hint="default"/>
        <w:lang w:val="zh-CN" w:eastAsia="zh-CN" w:bidi="zh-CN"/>
      </w:rPr>
    </w:lvl>
    <w:lvl w:ilvl="2" w:tentative="0">
      <w:start w:val="0"/>
      <w:numFmt w:val="bullet"/>
      <w:lvlText w:val="•"/>
      <w:lvlJc w:val="left"/>
      <w:pPr>
        <w:ind w:left="2937" w:hanging="600"/>
      </w:pPr>
      <w:rPr>
        <w:rFonts w:hint="default"/>
        <w:lang w:val="zh-CN" w:eastAsia="zh-CN" w:bidi="zh-CN"/>
      </w:rPr>
    </w:lvl>
    <w:lvl w:ilvl="3" w:tentative="0">
      <w:start w:val="0"/>
      <w:numFmt w:val="bullet"/>
      <w:lvlText w:val="•"/>
      <w:lvlJc w:val="left"/>
      <w:pPr>
        <w:ind w:left="3855" w:hanging="600"/>
      </w:pPr>
      <w:rPr>
        <w:rFonts w:hint="default"/>
        <w:lang w:val="zh-CN" w:eastAsia="zh-CN" w:bidi="zh-CN"/>
      </w:rPr>
    </w:lvl>
    <w:lvl w:ilvl="4" w:tentative="0">
      <w:start w:val="0"/>
      <w:numFmt w:val="bullet"/>
      <w:lvlText w:val="•"/>
      <w:lvlJc w:val="left"/>
      <w:pPr>
        <w:ind w:left="4774" w:hanging="600"/>
      </w:pPr>
      <w:rPr>
        <w:rFonts w:hint="default"/>
        <w:lang w:val="zh-CN" w:eastAsia="zh-CN" w:bidi="zh-CN"/>
      </w:rPr>
    </w:lvl>
    <w:lvl w:ilvl="5" w:tentative="0">
      <w:start w:val="0"/>
      <w:numFmt w:val="bullet"/>
      <w:lvlText w:val="•"/>
      <w:lvlJc w:val="left"/>
      <w:pPr>
        <w:ind w:left="5693" w:hanging="600"/>
      </w:pPr>
      <w:rPr>
        <w:rFonts w:hint="default"/>
        <w:lang w:val="zh-CN" w:eastAsia="zh-CN" w:bidi="zh-CN"/>
      </w:rPr>
    </w:lvl>
    <w:lvl w:ilvl="6" w:tentative="0">
      <w:start w:val="0"/>
      <w:numFmt w:val="bullet"/>
      <w:lvlText w:val="•"/>
      <w:lvlJc w:val="left"/>
      <w:pPr>
        <w:ind w:left="6611" w:hanging="600"/>
      </w:pPr>
      <w:rPr>
        <w:rFonts w:hint="default"/>
        <w:lang w:val="zh-CN" w:eastAsia="zh-CN" w:bidi="zh-CN"/>
      </w:rPr>
    </w:lvl>
    <w:lvl w:ilvl="7" w:tentative="0">
      <w:start w:val="0"/>
      <w:numFmt w:val="bullet"/>
      <w:lvlText w:val="•"/>
      <w:lvlJc w:val="left"/>
      <w:pPr>
        <w:ind w:left="7530" w:hanging="600"/>
      </w:pPr>
      <w:rPr>
        <w:rFonts w:hint="default"/>
        <w:lang w:val="zh-CN" w:eastAsia="zh-CN" w:bidi="zh-CN"/>
      </w:rPr>
    </w:lvl>
    <w:lvl w:ilvl="8" w:tentative="0">
      <w:start w:val="0"/>
      <w:numFmt w:val="bullet"/>
      <w:lvlText w:val="•"/>
      <w:lvlJc w:val="left"/>
      <w:pPr>
        <w:ind w:left="8449" w:hanging="600"/>
      </w:pPr>
      <w:rPr>
        <w:rFonts w:hint="default"/>
        <w:lang w:val="zh-CN" w:eastAsia="zh-CN" w:bidi="zh-CN"/>
      </w:rPr>
    </w:lvl>
  </w:abstractNum>
  <w:abstractNum w:abstractNumId="23">
    <w:nsid w:val="4D94DA66"/>
    <w:multiLevelType w:val="multilevel"/>
    <w:tmpl w:val="4D94DA66"/>
    <w:lvl w:ilvl="0" w:tentative="0">
      <w:start w:val="2"/>
      <w:numFmt w:val="decimal"/>
      <w:lvlText w:val="（%1）"/>
      <w:lvlJc w:val="left"/>
      <w:pPr>
        <w:ind w:left="1359" w:hanging="619"/>
      </w:pPr>
      <w:rPr>
        <w:rFonts w:hint="default" w:ascii="宋体" w:hAnsi="宋体" w:eastAsia="宋体" w:cs="宋体"/>
        <w:b/>
        <w:bCs/>
        <w:spacing w:val="0"/>
        <w:w w:val="99"/>
        <w:sz w:val="22"/>
        <w:szCs w:val="22"/>
        <w:lang w:val="zh-CN" w:eastAsia="zh-CN" w:bidi="zh-CN"/>
      </w:rPr>
    </w:lvl>
    <w:lvl w:ilvl="1" w:tentative="0">
      <w:start w:val="0"/>
      <w:numFmt w:val="bullet"/>
      <w:lvlText w:val="•"/>
      <w:lvlJc w:val="left"/>
      <w:pPr>
        <w:ind w:left="2252" w:hanging="619"/>
      </w:pPr>
      <w:rPr>
        <w:rFonts w:hint="default"/>
        <w:lang w:val="zh-CN" w:eastAsia="zh-CN" w:bidi="zh-CN"/>
      </w:rPr>
    </w:lvl>
    <w:lvl w:ilvl="2" w:tentative="0">
      <w:start w:val="0"/>
      <w:numFmt w:val="bullet"/>
      <w:lvlText w:val="•"/>
      <w:lvlJc w:val="left"/>
      <w:pPr>
        <w:ind w:left="3145" w:hanging="619"/>
      </w:pPr>
      <w:rPr>
        <w:rFonts w:hint="default"/>
        <w:lang w:val="zh-CN" w:eastAsia="zh-CN" w:bidi="zh-CN"/>
      </w:rPr>
    </w:lvl>
    <w:lvl w:ilvl="3" w:tentative="0">
      <w:start w:val="0"/>
      <w:numFmt w:val="bullet"/>
      <w:lvlText w:val="•"/>
      <w:lvlJc w:val="left"/>
      <w:pPr>
        <w:ind w:left="4037" w:hanging="619"/>
      </w:pPr>
      <w:rPr>
        <w:rFonts w:hint="default"/>
        <w:lang w:val="zh-CN" w:eastAsia="zh-CN" w:bidi="zh-CN"/>
      </w:rPr>
    </w:lvl>
    <w:lvl w:ilvl="4" w:tentative="0">
      <w:start w:val="0"/>
      <w:numFmt w:val="bullet"/>
      <w:lvlText w:val="•"/>
      <w:lvlJc w:val="left"/>
      <w:pPr>
        <w:ind w:left="4930" w:hanging="619"/>
      </w:pPr>
      <w:rPr>
        <w:rFonts w:hint="default"/>
        <w:lang w:val="zh-CN" w:eastAsia="zh-CN" w:bidi="zh-CN"/>
      </w:rPr>
    </w:lvl>
    <w:lvl w:ilvl="5" w:tentative="0">
      <w:start w:val="0"/>
      <w:numFmt w:val="bullet"/>
      <w:lvlText w:val="•"/>
      <w:lvlJc w:val="left"/>
      <w:pPr>
        <w:ind w:left="5823" w:hanging="619"/>
      </w:pPr>
      <w:rPr>
        <w:rFonts w:hint="default"/>
        <w:lang w:val="zh-CN" w:eastAsia="zh-CN" w:bidi="zh-CN"/>
      </w:rPr>
    </w:lvl>
    <w:lvl w:ilvl="6" w:tentative="0">
      <w:start w:val="0"/>
      <w:numFmt w:val="bullet"/>
      <w:lvlText w:val="•"/>
      <w:lvlJc w:val="left"/>
      <w:pPr>
        <w:ind w:left="6715" w:hanging="619"/>
      </w:pPr>
      <w:rPr>
        <w:rFonts w:hint="default"/>
        <w:lang w:val="zh-CN" w:eastAsia="zh-CN" w:bidi="zh-CN"/>
      </w:rPr>
    </w:lvl>
    <w:lvl w:ilvl="7" w:tentative="0">
      <w:start w:val="0"/>
      <w:numFmt w:val="bullet"/>
      <w:lvlText w:val="•"/>
      <w:lvlJc w:val="left"/>
      <w:pPr>
        <w:ind w:left="7608" w:hanging="619"/>
      </w:pPr>
      <w:rPr>
        <w:rFonts w:hint="default"/>
        <w:lang w:val="zh-CN" w:eastAsia="zh-CN" w:bidi="zh-CN"/>
      </w:rPr>
    </w:lvl>
    <w:lvl w:ilvl="8" w:tentative="0">
      <w:start w:val="0"/>
      <w:numFmt w:val="bullet"/>
      <w:lvlText w:val="•"/>
      <w:lvlJc w:val="left"/>
      <w:pPr>
        <w:ind w:left="8501" w:hanging="619"/>
      </w:pPr>
      <w:rPr>
        <w:rFonts w:hint="default"/>
        <w:lang w:val="zh-CN" w:eastAsia="zh-CN" w:bidi="zh-CN"/>
      </w:rPr>
    </w:lvl>
  </w:abstractNum>
  <w:abstractNum w:abstractNumId="24">
    <w:nsid w:val="58181FDE"/>
    <w:multiLevelType w:val="singleLevel"/>
    <w:tmpl w:val="58181FDE"/>
    <w:lvl w:ilvl="0" w:tentative="0">
      <w:start w:val="2"/>
      <w:numFmt w:val="chineseCounting"/>
      <w:suff w:val="nothing"/>
      <w:lvlText w:val="%1、"/>
      <w:lvlJc w:val="left"/>
      <w:rPr>
        <w:rFonts w:hint="eastAsia"/>
      </w:rPr>
    </w:lvl>
  </w:abstractNum>
  <w:abstractNum w:abstractNumId="25">
    <w:nsid w:val="5B5F8766"/>
    <w:multiLevelType w:val="singleLevel"/>
    <w:tmpl w:val="5B5F8766"/>
    <w:lvl w:ilvl="0" w:tentative="0">
      <w:start w:val="1"/>
      <w:numFmt w:val="decimal"/>
      <w:suff w:val="nothing"/>
      <w:lvlText w:val="%1、"/>
      <w:lvlJc w:val="left"/>
    </w:lvl>
  </w:abstractNum>
  <w:abstractNum w:abstractNumId="26">
    <w:nsid w:val="5FFFB1A7"/>
    <w:multiLevelType w:val="multilevel"/>
    <w:tmpl w:val="5FFFB1A7"/>
    <w:lvl w:ilvl="0" w:tentative="0">
      <w:start w:val="19"/>
      <w:numFmt w:val="decimal"/>
      <w:lvlText w:val="%1"/>
      <w:lvlJc w:val="left"/>
      <w:pPr>
        <w:ind w:left="973" w:hanging="594"/>
      </w:pPr>
      <w:rPr>
        <w:rFonts w:hint="default"/>
        <w:lang w:val="zh-CN" w:eastAsia="zh-CN" w:bidi="zh-CN"/>
      </w:rPr>
    </w:lvl>
    <w:lvl w:ilvl="1" w:tentative="0">
      <w:start w:val="1"/>
      <w:numFmt w:val="decimal"/>
      <w:lvlText w:val="%1.%2"/>
      <w:lvlJc w:val="left"/>
      <w:pPr>
        <w:ind w:left="973" w:hanging="594"/>
      </w:pPr>
      <w:rPr>
        <w:rFonts w:hint="default" w:ascii="Arial" w:hAnsi="Arial" w:eastAsia="Arial" w:cs="Arial"/>
        <w:spacing w:val="-2"/>
        <w:w w:val="99"/>
        <w:sz w:val="24"/>
        <w:szCs w:val="24"/>
        <w:lang w:val="zh-CN" w:eastAsia="zh-CN" w:bidi="zh-CN"/>
      </w:rPr>
    </w:lvl>
    <w:lvl w:ilvl="2" w:tentative="0">
      <w:start w:val="0"/>
      <w:numFmt w:val="bullet"/>
      <w:lvlText w:val="•"/>
      <w:lvlJc w:val="left"/>
      <w:pPr>
        <w:ind w:left="2841" w:hanging="594"/>
      </w:pPr>
      <w:rPr>
        <w:rFonts w:hint="default"/>
        <w:lang w:val="zh-CN" w:eastAsia="zh-CN" w:bidi="zh-CN"/>
      </w:rPr>
    </w:lvl>
    <w:lvl w:ilvl="3" w:tentative="0">
      <w:start w:val="0"/>
      <w:numFmt w:val="bullet"/>
      <w:lvlText w:val="•"/>
      <w:lvlJc w:val="left"/>
      <w:pPr>
        <w:ind w:left="3771" w:hanging="594"/>
      </w:pPr>
      <w:rPr>
        <w:rFonts w:hint="default"/>
        <w:lang w:val="zh-CN" w:eastAsia="zh-CN" w:bidi="zh-CN"/>
      </w:rPr>
    </w:lvl>
    <w:lvl w:ilvl="4" w:tentative="0">
      <w:start w:val="0"/>
      <w:numFmt w:val="bullet"/>
      <w:lvlText w:val="•"/>
      <w:lvlJc w:val="left"/>
      <w:pPr>
        <w:ind w:left="4702" w:hanging="594"/>
      </w:pPr>
      <w:rPr>
        <w:rFonts w:hint="default"/>
        <w:lang w:val="zh-CN" w:eastAsia="zh-CN" w:bidi="zh-CN"/>
      </w:rPr>
    </w:lvl>
    <w:lvl w:ilvl="5" w:tentative="0">
      <w:start w:val="0"/>
      <w:numFmt w:val="bullet"/>
      <w:lvlText w:val="•"/>
      <w:lvlJc w:val="left"/>
      <w:pPr>
        <w:ind w:left="5633" w:hanging="594"/>
      </w:pPr>
      <w:rPr>
        <w:rFonts w:hint="default"/>
        <w:lang w:val="zh-CN" w:eastAsia="zh-CN" w:bidi="zh-CN"/>
      </w:rPr>
    </w:lvl>
    <w:lvl w:ilvl="6" w:tentative="0">
      <w:start w:val="0"/>
      <w:numFmt w:val="bullet"/>
      <w:lvlText w:val="•"/>
      <w:lvlJc w:val="left"/>
      <w:pPr>
        <w:ind w:left="6563" w:hanging="594"/>
      </w:pPr>
      <w:rPr>
        <w:rFonts w:hint="default"/>
        <w:lang w:val="zh-CN" w:eastAsia="zh-CN" w:bidi="zh-CN"/>
      </w:rPr>
    </w:lvl>
    <w:lvl w:ilvl="7" w:tentative="0">
      <w:start w:val="0"/>
      <w:numFmt w:val="bullet"/>
      <w:lvlText w:val="•"/>
      <w:lvlJc w:val="left"/>
      <w:pPr>
        <w:ind w:left="7494" w:hanging="594"/>
      </w:pPr>
      <w:rPr>
        <w:rFonts w:hint="default"/>
        <w:lang w:val="zh-CN" w:eastAsia="zh-CN" w:bidi="zh-CN"/>
      </w:rPr>
    </w:lvl>
    <w:lvl w:ilvl="8" w:tentative="0">
      <w:start w:val="0"/>
      <w:numFmt w:val="bullet"/>
      <w:lvlText w:val="•"/>
      <w:lvlJc w:val="left"/>
      <w:pPr>
        <w:ind w:left="8425" w:hanging="594"/>
      </w:pPr>
      <w:rPr>
        <w:rFonts w:hint="default"/>
        <w:lang w:val="zh-CN" w:eastAsia="zh-CN" w:bidi="zh-CN"/>
      </w:rPr>
    </w:lvl>
  </w:abstractNum>
  <w:abstractNum w:abstractNumId="27">
    <w:nsid w:val="629F7852"/>
    <w:multiLevelType w:val="multilevel"/>
    <w:tmpl w:val="629F7852"/>
    <w:lvl w:ilvl="0" w:tentative="0">
      <w:start w:val="1"/>
      <w:numFmt w:val="upperLetter"/>
      <w:lvlText w:val="%1"/>
      <w:lvlJc w:val="left"/>
      <w:pPr>
        <w:ind w:left="1030" w:hanging="351"/>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4400" w:hanging="351"/>
      </w:pPr>
      <w:rPr>
        <w:rFonts w:hint="default"/>
        <w:lang w:val="zh-CN" w:eastAsia="zh-CN" w:bidi="zh-CN"/>
      </w:rPr>
    </w:lvl>
    <w:lvl w:ilvl="2" w:tentative="0">
      <w:start w:val="0"/>
      <w:numFmt w:val="bullet"/>
      <w:lvlText w:val="•"/>
      <w:lvlJc w:val="left"/>
      <w:pPr>
        <w:ind w:left="4820" w:hanging="351"/>
      </w:pPr>
      <w:rPr>
        <w:rFonts w:hint="default"/>
        <w:lang w:val="zh-CN" w:eastAsia="zh-CN" w:bidi="zh-CN"/>
      </w:rPr>
    </w:lvl>
    <w:lvl w:ilvl="3" w:tentative="0">
      <w:start w:val="0"/>
      <w:numFmt w:val="bullet"/>
      <w:lvlText w:val="•"/>
      <w:lvlJc w:val="left"/>
      <w:pPr>
        <w:ind w:left="5503" w:hanging="351"/>
      </w:pPr>
      <w:rPr>
        <w:rFonts w:hint="default"/>
        <w:lang w:val="zh-CN" w:eastAsia="zh-CN" w:bidi="zh-CN"/>
      </w:rPr>
    </w:lvl>
    <w:lvl w:ilvl="4" w:tentative="0">
      <w:start w:val="0"/>
      <w:numFmt w:val="bullet"/>
      <w:lvlText w:val="•"/>
      <w:lvlJc w:val="left"/>
      <w:pPr>
        <w:ind w:left="6186" w:hanging="351"/>
      </w:pPr>
      <w:rPr>
        <w:rFonts w:hint="default"/>
        <w:lang w:val="zh-CN" w:eastAsia="zh-CN" w:bidi="zh-CN"/>
      </w:rPr>
    </w:lvl>
    <w:lvl w:ilvl="5" w:tentative="0">
      <w:start w:val="0"/>
      <w:numFmt w:val="bullet"/>
      <w:lvlText w:val="•"/>
      <w:lvlJc w:val="left"/>
      <w:pPr>
        <w:ind w:left="6869" w:hanging="351"/>
      </w:pPr>
      <w:rPr>
        <w:rFonts w:hint="default"/>
        <w:lang w:val="zh-CN" w:eastAsia="zh-CN" w:bidi="zh-CN"/>
      </w:rPr>
    </w:lvl>
    <w:lvl w:ilvl="6" w:tentative="0">
      <w:start w:val="0"/>
      <w:numFmt w:val="bullet"/>
      <w:lvlText w:val="•"/>
      <w:lvlJc w:val="left"/>
      <w:pPr>
        <w:ind w:left="7553" w:hanging="351"/>
      </w:pPr>
      <w:rPr>
        <w:rFonts w:hint="default"/>
        <w:lang w:val="zh-CN" w:eastAsia="zh-CN" w:bidi="zh-CN"/>
      </w:rPr>
    </w:lvl>
    <w:lvl w:ilvl="7" w:tentative="0">
      <w:start w:val="0"/>
      <w:numFmt w:val="bullet"/>
      <w:lvlText w:val="•"/>
      <w:lvlJc w:val="left"/>
      <w:pPr>
        <w:ind w:left="8236" w:hanging="351"/>
      </w:pPr>
      <w:rPr>
        <w:rFonts w:hint="default"/>
        <w:lang w:val="zh-CN" w:eastAsia="zh-CN" w:bidi="zh-CN"/>
      </w:rPr>
    </w:lvl>
    <w:lvl w:ilvl="8" w:tentative="0">
      <w:start w:val="0"/>
      <w:numFmt w:val="bullet"/>
      <w:lvlText w:val="•"/>
      <w:lvlJc w:val="left"/>
      <w:pPr>
        <w:ind w:left="8919" w:hanging="351"/>
      </w:pPr>
      <w:rPr>
        <w:rFonts w:hint="default"/>
        <w:lang w:val="zh-CN" w:eastAsia="zh-CN" w:bidi="zh-CN"/>
      </w:rPr>
    </w:lvl>
  </w:abstractNum>
  <w:abstractNum w:abstractNumId="28">
    <w:nsid w:val="632E3533"/>
    <w:multiLevelType w:val="singleLevel"/>
    <w:tmpl w:val="632E3533"/>
    <w:lvl w:ilvl="0" w:tentative="0">
      <w:start w:val="11"/>
      <w:numFmt w:val="decimal"/>
      <w:suff w:val="nothing"/>
      <w:lvlText w:val="%1、"/>
      <w:lvlJc w:val="left"/>
    </w:lvl>
  </w:abstractNum>
  <w:abstractNum w:abstractNumId="29">
    <w:nsid w:val="65CD0074"/>
    <w:multiLevelType w:val="multilevel"/>
    <w:tmpl w:val="65CD0074"/>
    <w:lvl w:ilvl="0" w:tentative="0">
      <w:start w:val="1"/>
      <w:numFmt w:val="decimal"/>
      <w:lvlText w:val="（%1）"/>
      <w:lvlJc w:val="left"/>
      <w:pPr>
        <w:ind w:left="1506" w:hanging="692"/>
      </w:pPr>
      <w:rPr>
        <w:rFonts w:hint="default" w:ascii="宋体" w:hAnsi="宋体" w:eastAsia="宋体" w:cs="宋体"/>
        <w:w w:val="99"/>
        <w:sz w:val="24"/>
        <w:szCs w:val="24"/>
        <w:lang w:val="zh-CN" w:eastAsia="zh-CN" w:bidi="zh-CN"/>
      </w:rPr>
    </w:lvl>
    <w:lvl w:ilvl="1" w:tentative="0">
      <w:start w:val="0"/>
      <w:numFmt w:val="bullet"/>
      <w:lvlText w:val="•"/>
      <w:lvlJc w:val="left"/>
      <w:pPr>
        <w:ind w:left="2378" w:hanging="692"/>
      </w:pPr>
      <w:rPr>
        <w:rFonts w:hint="default"/>
        <w:lang w:val="zh-CN" w:eastAsia="zh-CN" w:bidi="zh-CN"/>
      </w:rPr>
    </w:lvl>
    <w:lvl w:ilvl="2" w:tentative="0">
      <w:start w:val="0"/>
      <w:numFmt w:val="bullet"/>
      <w:lvlText w:val="•"/>
      <w:lvlJc w:val="left"/>
      <w:pPr>
        <w:ind w:left="3257" w:hanging="692"/>
      </w:pPr>
      <w:rPr>
        <w:rFonts w:hint="default"/>
        <w:lang w:val="zh-CN" w:eastAsia="zh-CN" w:bidi="zh-CN"/>
      </w:rPr>
    </w:lvl>
    <w:lvl w:ilvl="3" w:tentative="0">
      <w:start w:val="0"/>
      <w:numFmt w:val="bullet"/>
      <w:lvlText w:val="•"/>
      <w:lvlJc w:val="left"/>
      <w:pPr>
        <w:ind w:left="4135" w:hanging="692"/>
      </w:pPr>
      <w:rPr>
        <w:rFonts w:hint="default"/>
        <w:lang w:val="zh-CN" w:eastAsia="zh-CN" w:bidi="zh-CN"/>
      </w:rPr>
    </w:lvl>
    <w:lvl w:ilvl="4" w:tentative="0">
      <w:start w:val="0"/>
      <w:numFmt w:val="bullet"/>
      <w:lvlText w:val="•"/>
      <w:lvlJc w:val="left"/>
      <w:pPr>
        <w:ind w:left="5014" w:hanging="692"/>
      </w:pPr>
      <w:rPr>
        <w:rFonts w:hint="default"/>
        <w:lang w:val="zh-CN" w:eastAsia="zh-CN" w:bidi="zh-CN"/>
      </w:rPr>
    </w:lvl>
    <w:lvl w:ilvl="5" w:tentative="0">
      <w:start w:val="0"/>
      <w:numFmt w:val="bullet"/>
      <w:lvlText w:val="•"/>
      <w:lvlJc w:val="left"/>
      <w:pPr>
        <w:ind w:left="5893" w:hanging="692"/>
      </w:pPr>
      <w:rPr>
        <w:rFonts w:hint="default"/>
        <w:lang w:val="zh-CN" w:eastAsia="zh-CN" w:bidi="zh-CN"/>
      </w:rPr>
    </w:lvl>
    <w:lvl w:ilvl="6" w:tentative="0">
      <w:start w:val="0"/>
      <w:numFmt w:val="bullet"/>
      <w:lvlText w:val="•"/>
      <w:lvlJc w:val="left"/>
      <w:pPr>
        <w:ind w:left="6771" w:hanging="692"/>
      </w:pPr>
      <w:rPr>
        <w:rFonts w:hint="default"/>
        <w:lang w:val="zh-CN" w:eastAsia="zh-CN" w:bidi="zh-CN"/>
      </w:rPr>
    </w:lvl>
    <w:lvl w:ilvl="7" w:tentative="0">
      <w:start w:val="0"/>
      <w:numFmt w:val="bullet"/>
      <w:lvlText w:val="•"/>
      <w:lvlJc w:val="left"/>
      <w:pPr>
        <w:ind w:left="7650" w:hanging="692"/>
      </w:pPr>
      <w:rPr>
        <w:rFonts w:hint="default"/>
        <w:lang w:val="zh-CN" w:eastAsia="zh-CN" w:bidi="zh-CN"/>
      </w:rPr>
    </w:lvl>
    <w:lvl w:ilvl="8" w:tentative="0">
      <w:start w:val="0"/>
      <w:numFmt w:val="bullet"/>
      <w:lvlText w:val="•"/>
      <w:lvlJc w:val="left"/>
      <w:pPr>
        <w:ind w:left="8529" w:hanging="692"/>
      </w:pPr>
      <w:rPr>
        <w:rFonts w:hint="default"/>
        <w:lang w:val="zh-CN" w:eastAsia="zh-CN" w:bidi="zh-CN"/>
      </w:rPr>
    </w:lvl>
  </w:abstractNum>
  <w:abstractNum w:abstractNumId="30">
    <w:nsid w:val="74C28B35"/>
    <w:multiLevelType w:val="multilevel"/>
    <w:tmpl w:val="74C28B35"/>
    <w:lvl w:ilvl="0" w:tentative="0">
      <w:start w:val="20"/>
      <w:numFmt w:val="decimal"/>
      <w:lvlText w:val="%1."/>
      <w:lvlJc w:val="left"/>
      <w:pPr>
        <w:ind w:left="770" w:hanging="511"/>
      </w:pPr>
      <w:rPr>
        <w:rFonts w:hint="default" w:ascii="Arial" w:hAnsi="Arial" w:eastAsia="Arial" w:cs="Arial"/>
        <w:w w:val="99"/>
        <w:sz w:val="22"/>
        <w:szCs w:val="22"/>
        <w:lang w:val="zh-CN" w:eastAsia="zh-CN" w:bidi="zh-CN"/>
      </w:rPr>
    </w:lvl>
    <w:lvl w:ilvl="1" w:tentative="0">
      <w:start w:val="1"/>
      <w:numFmt w:val="decimal"/>
      <w:lvlText w:val="%1.%2"/>
      <w:lvlJc w:val="left"/>
      <w:pPr>
        <w:ind w:left="260" w:hanging="591"/>
      </w:pPr>
      <w:rPr>
        <w:rFonts w:hint="default" w:ascii="Arial" w:hAnsi="Arial" w:eastAsia="Arial" w:cs="Arial"/>
        <w:spacing w:val="-32"/>
        <w:w w:val="99"/>
        <w:sz w:val="24"/>
        <w:szCs w:val="24"/>
        <w:lang w:val="zh-CN" w:eastAsia="zh-CN" w:bidi="zh-CN"/>
      </w:rPr>
    </w:lvl>
    <w:lvl w:ilvl="2" w:tentative="0">
      <w:start w:val="1"/>
      <w:numFmt w:val="decimal"/>
      <w:lvlText w:val="(%3)"/>
      <w:lvlJc w:val="left"/>
      <w:pPr>
        <w:ind w:left="1034" w:hanging="295"/>
      </w:pPr>
      <w:rPr>
        <w:rFonts w:hint="default" w:ascii="Arial" w:hAnsi="Arial" w:eastAsia="Arial" w:cs="Arial"/>
        <w:spacing w:val="-1"/>
        <w:w w:val="99"/>
        <w:sz w:val="22"/>
        <w:szCs w:val="22"/>
        <w:lang w:val="zh-CN" w:eastAsia="zh-CN" w:bidi="zh-CN"/>
      </w:rPr>
    </w:lvl>
    <w:lvl w:ilvl="3" w:tentative="0">
      <w:start w:val="0"/>
      <w:numFmt w:val="bullet"/>
      <w:lvlText w:val="•"/>
      <w:lvlJc w:val="left"/>
      <w:pPr>
        <w:ind w:left="1040" w:hanging="295"/>
      </w:pPr>
      <w:rPr>
        <w:rFonts w:hint="default"/>
        <w:lang w:val="zh-CN" w:eastAsia="zh-CN" w:bidi="zh-CN"/>
      </w:rPr>
    </w:lvl>
    <w:lvl w:ilvl="4" w:tentative="0">
      <w:start w:val="0"/>
      <w:numFmt w:val="bullet"/>
      <w:lvlText w:val="•"/>
      <w:lvlJc w:val="left"/>
      <w:pPr>
        <w:ind w:left="2360" w:hanging="295"/>
      </w:pPr>
      <w:rPr>
        <w:rFonts w:hint="default"/>
        <w:lang w:val="zh-CN" w:eastAsia="zh-CN" w:bidi="zh-CN"/>
      </w:rPr>
    </w:lvl>
    <w:lvl w:ilvl="5" w:tentative="0">
      <w:start w:val="0"/>
      <w:numFmt w:val="bullet"/>
      <w:lvlText w:val="•"/>
      <w:lvlJc w:val="left"/>
      <w:pPr>
        <w:ind w:left="3681" w:hanging="295"/>
      </w:pPr>
      <w:rPr>
        <w:rFonts w:hint="default"/>
        <w:lang w:val="zh-CN" w:eastAsia="zh-CN" w:bidi="zh-CN"/>
      </w:rPr>
    </w:lvl>
    <w:lvl w:ilvl="6" w:tentative="0">
      <w:start w:val="0"/>
      <w:numFmt w:val="bullet"/>
      <w:lvlText w:val="•"/>
      <w:lvlJc w:val="left"/>
      <w:pPr>
        <w:ind w:left="5002" w:hanging="295"/>
      </w:pPr>
      <w:rPr>
        <w:rFonts w:hint="default"/>
        <w:lang w:val="zh-CN" w:eastAsia="zh-CN" w:bidi="zh-CN"/>
      </w:rPr>
    </w:lvl>
    <w:lvl w:ilvl="7" w:tentative="0">
      <w:start w:val="0"/>
      <w:numFmt w:val="bullet"/>
      <w:lvlText w:val="•"/>
      <w:lvlJc w:val="left"/>
      <w:pPr>
        <w:ind w:left="6323" w:hanging="295"/>
      </w:pPr>
      <w:rPr>
        <w:rFonts w:hint="default"/>
        <w:lang w:val="zh-CN" w:eastAsia="zh-CN" w:bidi="zh-CN"/>
      </w:rPr>
    </w:lvl>
    <w:lvl w:ilvl="8" w:tentative="0">
      <w:start w:val="0"/>
      <w:numFmt w:val="bullet"/>
      <w:lvlText w:val="•"/>
      <w:lvlJc w:val="left"/>
      <w:pPr>
        <w:ind w:left="7644" w:hanging="295"/>
      </w:pPr>
      <w:rPr>
        <w:rFonts w:hint="default"/>
        <w:lang w:val="zh-CN" w:eastAsia="zh-CN" w:bidi="zh-CN"/>
      </w:rPr>
    </w:lvl>
  </w:abstractNum>
  <w:abstractNum w:abstractNumId="31">
    <w:nsid w:val="79AA4FA4"/>
    <w:multiLevelType w:val="multilevel"/>
    <w:tmpl w:val="79AA4FA4"/>
    <w:lvl w:ilvl="0" w:tentative="0">
      <w:start w:val="5"/>
      <w:numFmt w:val="upperLetter"/>
      <w:lvlText w:val="%1"/>
      <w:lvlJc w:val="left"/>
      <w:pPr>
        <w:ind w:left="4806" w:hanging="468"/>
      </w:pPr>
      <w:rPr>
        <w:rFonts w:hint="default" w:ascii="Arial" w:hAnsi="Arial" w:eastAsia="Arial" w:cs="Arial"/>
        <w:b/>
        <w:bCs/>
        <w:w w:val="100"/>
        <w:sz w:val="28"/>
        <w:szCs w:val="28"/>
        <w:lang w:val="zh-CN" w:eastAsia="zh-CN" w:bidi="zh-CN"/>
      </w:rPr>
    </w:lvl>
    <w:lvl w:ilvl="1" w:tentative="0">
      <w:start w:val="0"/>
      <w:numFmt w:val="bullet"/>
      <w:lvlText w:val="•"/>
      <w:lvlJc w:val="left"/>
      <w:pPr>
        <w:ind w:left="5348" w:hanging="468"/>
      </w:pPr>
      <w:rPr>
        <w:rFonts w:hint="default"/>
        <w:lang w:val="zh-CN" w:eastAsia="zh-CN" w:bidi="zh-CN"/>
      </w:rPr>
    </w:lvl>
    <w:lvl w:ilvl="2" w:tentative="0">
      <w:start w:val="0"/>
      <w:numFmt w:val="bullet"/>
      <w:lvlText w:val="•"/>
      <w:lvlJc w:val="left"/>
      <w:pPr>
        <w:ind w:left="5897" w:hanging="468"/>
      </w:pPr>
      <w:rPr>
        <w:rFonts w:hint="default"/>
        <w:lang w:val="zh-CN" w:eastAsia="zh-CN" w:bidi="zh-CN"/>
      </w:rPr>
    </w:lvl>
    <w:lvl w:ilvl="3" w:tentative="0">
      <w:start w:val="0"/>
      <w:numFmt w:val="bullet"/>
      <w:lvlText w:val="•"/>
      <w:lvlJc w:val="left"/>
      <w:pPr>
        <w:ind w:left="6445" w:hanging="468"/>
      </w:pPr>
      <w:rPr>
        <w:rFonts w:hint="default"/>
        <w:lang w:val="zh-CN" w:eastAsia="zh-CN" w:bidi="zh-CN"/>
      </w:rPr>
    </w:lvl>
    <w:lvl w:ilvl="4" w:tentative="0">
      <w:start w:val="0"/>
      <w:numFmt w:val="bullet"/>
      <w:lvlText w:val="•"/>
      <w:lvlJc w:val="left"/>
      <w:pPr>
        <w:ind w:left="6994" w:hanging="468"/>
      </w:pPr>
      <w:rPr>
        <w:rFonts w:hint="default"/>
        <w:lang w:val="zh-CN" w:eastAsia="zh-CN" w:bidi="zh-CN"/>
      </w:rPr>
    </w:lvl>
    <w:lvl w:ilvl="5" w:tentative="0">
      <w:start w:val="0"/>
      <w:numFmt w:val="bullet"/>
      <w:lvlText w:val="•"/>
      <w:lvlJc w:val="left"/>
      <w:pPr>
        <w:ind w:left="7543" w:hanging="468"/>
      </w:pPr>
      <w:rPr>
        <w:rFonts w:hint="default"/>
        <w:lang w:val="zh-CN" w:eastAsia="zh-CN" w:bidi="zh-CN"/>
      </w:rPr>
    </w:lvl>
    <w:lvl w:ilvl="6" w:tentative="0">
      <w:start w:val="0"/>
      <w:numFmt w:val="bullet"/>
      <w:lvlText w:val="•"/>
      <w:lvlJc w:val="left"/>
      <w:pPr>
        <w:ind w:left="8091" w:hanging="468"/>
      </w:pPr>
      <w:rPr>
        <w:rFonts w:hint="default"/>
        <w:lang w:val="zh-CN" w:eastAsia="zh-CN" w:bidi="zh-CN"/>
      </w:rPr>
    </w:lvl>
    <w:lvl w:ilvl="7" w:tentative="0">
      <w:start w:val="0"/>
      <w:numFmt w:val="bullet"/>
      <w:lvlText w:val="•"/>
      <w:lvlJc w:val="left"/>
      <w:pPr>
        <w:ind w:left="8640" w:hanging="468"/>
      </w:pPr>
      <w:rPr>
        <w:rFonts w:hint="default"/>
        <w:lang w:val="zh-CN" w:eastAsia="zh-CN" w:bidi="zh-CN"/>
      </w:rPr>
    </w:lvl>
    <w:lvl w:ilvl="8" w:tentative="0">
      <w:start w:val="0"/>
      <w:numFmt w:val="bullet"/>
      <w:lvlText w:val="•"/>
      <w:lvlJc w:val="left"/>
      <w:pPr>
        <w:ind w:left="9189" w:hanging="468"/>
      </w:pPr>
      <w:rPr>
        <w:rFonts w:hint="default"/>
        <w:lang w:val="zh-CN" w:eastAsia="zh-CN" w:bidi="zh-CN"/>
      </w:rPr>
    </w:lvl>
  </w:abstractNum>
  <w:num w:numId="1">
    <w:abstractNumId w:val="27"/>
  </w:num>
  <w:num w:numId="2">
    <w:abstractNumId w:val="20"/>
  </w:num>
  <w:num w:numId="3">
    <w:abstractNumId w:val="1"/>
  </w:num>
  <w:num w:numId="4">
    <w:abstractNumId w:val="0"/>
  </w:num>
  <w:num w:numId="5">
    <w:abstractNumId w:val="17"/>
  </w:num>
  <w:num w:numId="6">
    <w:abstractNumId w:val="23"/>
  </w:num>
  <w:num w:numId="7">
    <w:abstractNumId w:val="12"/>
  </w:num>
  <w:num w:numId="8">
    <w:abstractNumId w:val="9"/>
  </w:num>
  <w:num w:numId="9">
    <w:abstractNumId w:val="18"/>
  </w:num>
  <w:num w:numId="10">
    <w:abstractNumId w:val="31"/>
  </w:num>
  <w:num w:numId="11">
    <w:abstractNumId w:val="7"/>
  </w:num>
  <w:num w:numId="12">
    <w:abstractNumId w:val="10"/>
  </w:num>
  <w:num w:numId="13">
    <w:abstractNumId w:val="24"/>
  </w:num>
  <w:num w:numId="14">
    <w:abstractNumId w:val="3"/>
  </w:num>
  <w:num w:numId="15">
    <w:abstractNumId w:val="8"/>
  </w:num>
  <w:num w:numId="16">
    <w:abstractNumId w:val="6"/>
  </w:num>
  <w:num w:numId="17">
    <w:abstractNumId w:val="4"/>
  </w:num>
  <w:num w:numId="18">
    <w:abstractNumId w:val="21"/>
  </w:num>
  <w:num w:numId="19">
    <w:abstractNumId w:val="5"/>
  </w:num>
  <w:num w:numId="20">
    <w:abstractNumId w:val="15"/>
  </w:num>
  <w:num w:numId="21">
    <w:abstractNumId w:val="11"/>
  </w:num>
  <w:num w:numId="22">
    <w:abstractNumId w:val="25"/>
  </w:num>
  <w:num w:numId="23">
    <w:abstractNumId w:val="16"/>
  </w:num>
  <w:num w:numId="24">
    <w:abstractNumId w:val="2"/>
  </w:num>
  <w:num w:numId="25">
    <w:abstractNumId w:val="26"/>
  </w:num>
  <w:num w:numId="26">
    <w:abstractNumId w:val="30"/>
  </w:num>
  <w:num w:numId="27">
    <w:abstractNumId w:val="22"/>
  </w:num>
  <w:num w:numId="28">
    <w:abstractNumId w:val="19"/>
  </w:num>
  <w:num w:numId="29">
    <w:abstractNumId w:val="29"/>
  </w:num>
  <w:num w:numId="30">
    <w:abstractNumId w:val="13"/>
  </w:num>
  <w:num w:numId="31">
    <w:abstractNumId w:val="14"/>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AB6"/>
    <w:rsid w:val="000023D9"/>
    <w:rsid w:val="00006B14"/>
    <w:rsid w:val="00017B71"/>
    <w:rsid w:val="00025BD4"/>
    <w:rsid w:val="00073F0D"/>
    <w:rsid w:val="000770EB"/>
    <w:rsid w:val="000A368A"/>
    <w:rsid w:val="000D26CE"/>
    <w:rsid w:val="000F753A"/>
    <w:rsid w:val="000F7A61"/>
    <w:rsid w:val="000F7E23"/>
    <w:rsid w:val="00127942"/>
    <w:rsid w:val="001A3E03"/>
    <w:rsid w:val="001A5864"/>
    <w:rsid w:val="001C632D"/>
    <w:rsid w:val="0020430A"/>
    <w:rsid w:val="002734E3"/>
    <w:rsid w:val="002B1975"/>
    <w:rsid w:val="002F2E09"/>
    <w:rsid w:val="003062B0"/>
    <w:rsid w:val="00321F51"/>
    <w:rsid w:val="00331498"/>
    <w:rsid w:val="0035106E"/>
    <w:rsid w:val="00391DCC"/>
    <w:rsid w:val="003B6521"/>
    <w:rsid w:val="003D7810"/>
    <w:rsid w:val="003E5701"/>
    <w:rsid w:val="004048DD"/>
    <w:rsid w:val="00432287"/>
    <w:rsid w:val="00432432"/>
    <w:rsid w:val="0043351F"/>
    <w:rsid w:val="004644D2"/>
    <w:rsid w:val="00470C60"/>
    <w:rsid w:val="004865DC"/>
    <w:rsid w:val="00493625"/>
    <w:rsid w:val="004B466F"/>
    <w:rsid w:val="004C58A6"/>
    <w:rsid w:val="004E19D9"/>
    <w:rsid w:val="00594FE6"/>
    <w:rsid w:val="005D6A0E"/>
    <w:rsid w:val="00617FD2"/>
    <w:rsid w:val="00651332"/>
    <w:rsid w:val="006702A5"/>
    <w:rsid w:val="006924C4"/>
    <w:rsid w:val="006D4D03"/>
    <w:rsid w:val="006D5F2C"/>
    <w:rsid w:val="006E01A5"/>
    <w:rsid w:val="006E1FA5"/>
    <w:rsid w:val="006E25EE"/>
    <w:rsid w:val="006F39E2"/>
    <w:rsid w:val="00737391"/>
    <w:rsid w:val="0076711C"/>
    <w:rsid w:val="00780ACA"/>
    <w:rsid w:val="00790BA2"/>
    <w:rsid w:val="007A1118"/>
    <w:rsid w:val="007A7583"/>
    <w:rsid w:val="007E03CC"/>
    <w:rsid w:val="0080068D"/>
    <w:rsid w:val="008224D8"/>
    <w:rsid w:val="008376AE"/>
    <w:rsid w:val="00850FFC"/>
    <w:rsid w:val="00856D8E"/>
    <w:rsid w:val="00863E1A"/>
    <w:rsid w:val="008A06B8"/>
    <w:rsid w:val="008A2CEA"/>
    <w:rsid w:val="008A6FC1"/>
    <w:rsid w:val="008C51C6"/>
    <w:rsid w:val="008D2DD2"/>
    <w:rsid w:val="00907F4E"/>
    <w:rsid w:val="00925BF7"/>
    <w:rsid w:val="00941AB6"/>
    <w:rsid w:val="009709A2"/>
    <w:rsid w:val="009A0F1D"/>
    <w:rsid w:val="00A02BB7"/>
    <w:rsid w:val="00A476B0"/>
    <w:rsid w:val="00A75D35"/>
    <w:rsid w:val="00A85B03"/>
    <w:rsid w:val="00AC0EED"/>
    <w:rsid w:val="00B121D3"/>
    <w:rsid w:val="00B27CCF"/>
    <w:rsid w:val="00B46B31"/>
    <w:rsid w:val="00B5721B"/>
    <w:rsid w:val="00B91DF2"/>
    <w:rsid w:val="00BB4A59"/>
    <w:rsid w:val="00C24FAB"/>
    <w:rsid w:val="00C26A00"/>
    <w:rsid w:val="00C96620"/>
    <w:rsid w:val="00E109FD"/>
    <w:rsid w:val="00E52B76"/>
    <w:rsid w:val="00E944C2"/>
    <w:rsid w:val="00EC49FD"/>
    <w:rsid w:val="00EE273F"/>
    <w:rsid w:val="00EE3813"/>
    <w:rsid w:val="00EE4B91"/>
    <w:rsid w:val="00F32D20"/>
    <w:rsid w:val="00F45E11"/>
    <w:rsid w:val="00F46217"/>
    <w:rsid w:val="00F94D3C"/>
    <w:rsid w:val="00F95737"/>
    <w:rsid w:val="00FA6BD4"/>
    <w:rsid w:val="0149270D"/>
    <w:rsid w:val="015961C1"/>
    <w:rsid w:val="02103696"/>
    <w:rsid w:val="025160E4"/>
    <w:rsid w:val="02655576"/>
    <w:rsid w:val="026E3FD6"/>
    <w:rsid w:val="02C32776"/>
    <w:rsid w:val="02CC2457"/>
    <w:rsid w:val="02CE4650"/>
    <w:rsid w:val="02D61BB5"/>
    <w:rsid w:val="03272911"/>
    <w:rsid w:val="033657E4"/>
    <w:rsid w:val="03842D9F"/>
    <w:rsid w:val="03955CF4"/>
    <w:rsid w:val="03CA3082"/>
    <w:rsid w:val="03CA4986"/>
    <w:rsid w:val="03E74BF6"/>
    <w:rsid w:val="040001C8"/>
    <w:rsid w:val="04197863"/>
    <w:rsid w:val="042A38A6"/>
    <w:rsid w:val="046F4FA8"/>
    <w:rsid w:val="047352BE"/>
    <w:rsid w:val="04A24FFA"/>
    <w:rsid w:val="051442FA"/>
    <w:rsid w:val="051D6499"/>
    <w:rsid w:val="054B2083"/>
    <w:rsid w:val="055119B1"/>
    <w:rsid w:val="05657140"/>
    <w:rsid w:val="05673F05"/>
    <w:rsid w:val="05753001"/>
    <w:rsid w:val="05B71011"/>
    <w:rsid w:val="05BA79CA"/>
    <w:rsid w:val="05C2197C"/>
    <w:rsid w:val="05D34F70"/>
    <w:rsid w:val="05FC41F9"/>
    <w:rsid w:val="05FC548A"/>
    <w:rsid w:val="065D4DA4"/>
    <w:rsid w:val="06B65A19"/>
    <w:rsid w:val="06CC01F7"/>
    <w:rsid w:val="06D0466F"/>
    <w:rsid w:val="06FF7385"/>
    <w:rsid w:val="070A7DF1"/>
    <w:rsid w:val="07325968"/>
    <w:rsid w:val="073C25AE"/>
    <w:rsid w:val="07473442"/>
    <w:rsid w:val="074F5624"/>
    <w:rsid w:val="075F2DD8"/>
    <w:rsid w:val="076B1249"/>
    <w:rsid w:val="07814545"/>
    <w:rsid w:val="07853006"/>
    <w:rsid w:val="07A23152"/>
    <w:rsid w:val="07BA729F"/>
    <w:rsid w:val="07BC79D0"/>
    <w:rsid w:val="08164A02"/>
    <w:rsid w:val="08253DFD"/>
    <w:rsid w:val="0833309D"/>
    <w:rsid w:val="08410C20"/>
    <w:rsid w:val="08447E0C"/>
    <w:rsid w:val="08730343"/>
    <w:rsid w:val="088F204F"/>
    <w:rsid w:val="08BB0D5F"/>
    <w:rsid w:val="08E63E3C"/>
    <w:rsid w:val="08E821E6"/>
    <w:rsid w:val="09110449"/>
    <w:rsid w:val="092059D7"/>
    <w:rsid w:val="09234E3A"/>
    <w:rsid w:val="092A6027"/>
    <w:rsid w:val="09350E4E"/>
    <w:rsid w:val="095E65D5"/>
    <w:rsid w:val="096743FD"/>
    <w:rsid w:val="098D583F"/>
    <w:rsid w:val="09940475"/>
    <w:rsid w:val="09A5284D"/>
    <w:rsid w:val="09A7125F"/>
    <w:rsid w:val="09A916E8"/>
    <w:rsid w:val="09C0228E"/>
    <w:rsid w:val="09D92BB9"/>
    <w:rsid w:val="09E12246"/>
    <w:rsid w:val="09F864CE"/>
    <w:rsid w:val="0A1D4A92"/>
    <w:rsid w:val="0A3E4159"/>
    <w:rsid w:val="0A443C17"/>
    <w:rsid w:val="0A590A2B"/>
    <w:rsid w:val="0A64756B"/>
    <w:rsid w:val="0A827BFC"/>
    <w:rsid w:val="0A8622CB"/>
    <w:rsid w:val="0AB92843"/>
    <w:rsid w:val="0B4C1BC4"/>
    <w:rsid w:val="0B835067"/>
    <w:rsid w:val="0B8B5256"/>
    <w:rsid w:val="0B9548CE"/>
    <w:rsid w:val="0BA342BC"/>
    <w:rsid w:val="0BB45A4E"/>
    <w:rsid w:val="0BDF6C2E"/>
    <w:rsid w:val="0C287601"/>
    <w:rsid w:val="0C363682"/>
    <w:rsid w:val="0C5114DE"/>
    <w:rsid w:val="0C766163"/>
    <w:rsid w:val="0C88306B"/>
    <w:rsid w:val="0CA90608"/>
    <w:rsid w:val="0CB775D2"/>
    <w:rsid w:val="0CB95B25"/>
    <w:rsid w:val="0CBB4F1C"/>
    <w:rsid w:val="0CC85758"/>
    <w:rsid w:val="0CCD50AD"/>
    <w:rsid w:val="0CDD2D04"/>
    <w:rsid w:val="0CE121DB"/>
    <w:rsid w:val="0D1D3FA0"/>
    <w:rsid w:val="0D247054"/>
    <w:rsid w:val="0D53177B"/>
    <w:rsid w:val="0D55675B"/>
    <w:rsid w:val="0D6102FA"/>
    <w:rsid w:val="0D6B6CCB"/>
    <w:rsid w:val="0D840BE6"/>
    <w:rsid w:val="0DBC1A1F"/>
    <w:rsid w:val="0DD35116"/>
    <w:rsid w:val="0DDB3C44"/>
    <w:rsid w:val="0DFB0AB9"/>
    <w:rsid w:val="0E190045"/>
    <w:rsid w:val="0E213189"/>
    <w:rsid w:val="0EC35D18"/>
    <w:rsid w:val="0F2B3CCC"/>
    <w:rsid w:val="0F2B6C08"/>
    <w:rsid w:val="0F344998"/>
    <w:rsid w:val="0F46509B"/>
    <w:rsid w:val="0F6748FE"/>
    <w:rsid w:val="0F9701EE"/>
    <w:rsid w:val="0F985D9C"/>
    <w:rsid w:val="0FB4408A"/>
    <w:rsid w:val="0FC657B2"/>
    <w:rsid w:val="0FCC39F3"/>
    <w:rsid w:val="0FDE2956"/>
    <w:rsid w:val="10227291"/>
    <w:rsid w:val="10281361"/>
    <w:rsid w:val="10701855"/>
    <w:rsid w:val="107A58CD"/>
    <w:rsid w:val="10943F9F"/>
    <w:rsid w:val="10DE724F"/>
    <w:rsid w:val="10F80F55"/>
    <w:rsid w:val="11191A4E"/>
    <w:rsid w:val="1120777D"/>
    <w:rsid w:val="11276F25"/>
    <w:rsid w:val="114B5DAE"/>
    <w:rsid w:val="11801B28"/>
    <w:rsid w:val="119C67AC"/>
    <w:rsid w:val="11CC4442"/>
    <w:rsid w:val="11E1162F"/>
    <w:rsid w:val="11FE71E1"/>
    <w:rsid w:val="1210270E"/>
    <w:rsid w:val="12152750"/>
    <w:rsid w:val="121D164D"/>
    <w:rsid w:val="126A134B"/>
    <w:rsid w:val="129B5212"/>
    <w:rsid w:val="12B6768B"/>
    <w:rsid w:val="12EA79B3"/>
    <w:rsid w:val="13437100"/>
    <w:rsid w:val="136F0231"/>
    <w:rsid w:val="139B761A"/>
    <w:rsid w:val="13C20F47"/>
    <w:rsid w:val="13CB2346"/>
    <w:rsid w:val="13DE2858"/>
    <w:rsid w:val="140343D1"/>
    <w:rsid w:val="1405052B"/>
    <w:rsid w:val="141F3ECD"/>
    <w:rsid w:val="14520C94"/>
    <w:rsid w:val="145F179B"/>
    <w:rsid w:val="147E6DEE"/>
    <w:rsid w:val="147F215F"/>
    <w:rsid w:val="14A55479"/>
    <w:rsid w:val="14B17311"/>
    <w:rsid w:val="14B44BFC"/>
    <w:rsid w:val="14D455D5"/>
    <w:rsid w:val="14E56FDA"/>
    <w:rsid w:val="14FB7CF2"/>
    <w:rsid w:val="151A037B"/>
    <w:rsid w:val="15412266"/>
    <w:rsid w:val="15A541CE"/>
    <w:rsid w:val="15DB4378"/>
    <w:rsid w:val="15DE6758"/>
    <w:rsid w:val="15F829FB"/>
    <w:rsid w:val="16054E8D"/>
    <w:rsid w:val="161E0FE1"/>
    <w:rsid w:val="16277F8A"/>
    <w:rsid w:val="162C5FB4"/>
    <w:rsid w:val="1635311F"/>
    <w:rsid w:val="16530A57"/>
    <w:rsid w:val="165D766E"/>
    <w:rsid w:val="165E2C61"/>
    <w:rsid w:val="166D1452"/>
    <w:rsid w:val="168844AE"/>
    <w:rsid w:val="168D3626"/>
    <w:rsid w:val="169E092E"/>
    <w:rsid w:val="16EB40CC"/>
    <w:rsid w:val="170A3E98"/>
    <w:rsid w:val="171A21A0"/>
    <w:rsid w:val="176E3C51"/>
    <w:rsid w:val="17A10960"/>
    <w:rsid w:val="17D0010D"/>
    <w:rsid w:val="18026A03"/>
    <w:rsid w:val="180D58D5"/>
    <w:rsid w:val="180F0053"/>
    <w:rsid w:val="18475E70"/>
    <w:rsid w:val="184824F6"/>
    <w:rsid w:val="1859128A"/>
    <w:rsid w:val="185F59C9"/>
    <w:rsid w:val="186A254F"/>
    <w:rsid w:val="187C7C33"/>
    <w:rsid w:val="18C9210C"/>
    <w:rsid w:val="18E91968"/>
    <w:rsid w:val="1915722A"/>
    <w:rsid w:val="19246295"/>
    <w:rsid w:val="19534220"/>
    <w:rsid w:val="195C1836"/>
    <w:rsid w:val="19922502"/>
    <w:rsid w:val="199A4232"/>
    <w:rsid w:val="19A95F4E"/>
    <w:rsid w:val="19AC0F0E"/>
    <w:rsid w:val="19C826ED"/>
    <w:rsid w:val="1A264EAE"/>
    <w:rsid w:val="1A481104"/>
    <w:rsid w:val="1A616205"/>
    <w:rsid w:val="1A636A9B"/>
    <w:rsid w:val="1A6840B7"/>
    <w:rsid w:val="1A6C58C5"/>
    <w:rsid w:val="1A7D22B3"/>
    <w:rsid w:val="1A910707"/>
    <w:rsid w:val="1AA422FE"/>
    <w:rsid w:val="1ABA03A6"/>
    <w:rsid w:val="1AEB0D1D"/>
    <w:rsid w:val="1AF17B8A"/>
    <w:rsid w:val="1B340804"/>
    <w:rsid w:val="1B3D1874"/>
    <w:rsid w:val="1B407065"/>
    <w:rsid w:val="1B483BB4"/>
    <w:rsid w:val="1B68433B"/>
    <w:rsid w:val="1B6C1170"/>
    <w:rsid w:val="1B835E71"/>
    <w:rsid w:val="1B9314F8"/>
    <w:rsid w:val="1B9E7B25"/>
    <w:rsid w:val="1BD274C3"/>
    <w:rsid w:val="1BF43279"/>
    <w:rsid w:val="1C1445C9"/>
    <w:rsid w:val="1C474BD3"/>
    <w:rsid w:val="1C673AA7"/>
    <w:rsid w:val="1C79230F"/>
    <w:rsid w:val="1C974150"/>
    <w:rsid w:val="1CAE3FD8"/>
    <w:rsid w:val="1CD50580"/>
    <w:rsid w:val="1D212B1D"/>
    <w:rsid w:val="1D281651"/>
    <w:rsid w:val="1D3A42EE"/>
    <w:rsid w:val="1D3A7AF9"/>
    <w:rsid w:val="1D4B178F"/>
    <w:rsid w:val="1D8F6270"/>
    <w:rsid w:val="1E0A1D85"/>
    <w:rsid w:val="1E234CB6"/>
    <w:rsid w:val="1E44197B"/>
    <w:rsid w:val="1E451E42"/>
    <w:rsid w:val="1E4C253E"/>
    <w:rsid w:val="1E707A2E"/>
    <w:rsid w:val="1E793053"/>
    <w:rsid w:val="1E7B1B42"/>
    <w:rsid w:val="1E810CAA"/>
    <w:rsid w:val="1E9A1141"/>
    <w:rsid w:val="1ED85C10"/>
    <w:rsid w:val="1ED87E23"/>
    <w:rsid w:val="1EF038A4"/>
    <w:rsid w:val="1F3E51A3"/>
    <w:rsid w:val="1F405C3F"/>
    <w:rsid w:val="1F453773"/>
    <w:rsid w:val="1F6F66D7"/>
    <w:rsid w:val="1F751624"/>
    <w:rsid w:val="1FC57400"/>
    <w:rsid w:val="1FC900D9"/>
    <w:rsid w:val="1FCD2790"/>
    <w:rsid w:val="1FEC3EBC"/>
    <w:rsid w:val="1FEE67E5"/>
    <w:rsid w:val="1FF96BD9"/>
    <w:rsid w:val="20394620"/>
    <w:rsid w:val="2043488D"/>
    <w:rsid w:val="2070520D"/>
    <w:rsid w:val="20A604B3"/>
    <w:rsid w:val="20AF1FAD"/>
    <w:rsid w:val="20B24801"/>
    <w:rsid w:val="20B376A0"/>
    <w:rsid w:val="20D1017E"/>
    <w:rsid w:val="215D4229"/>
    <w:rsid w:val="21873183"/>
    <w:rsid w:val="21AF5B05"/>
    <w:rsid w:val="21B50D3D"/>
    <w:rsid w:val="21B6320A"/>
    <w:rsid w:val="21F7313F"/>
    <w:rsid w:val="220959AD"/>
    <w:rsid w:val="221241F0"/>
    <w:rsid w:val="2223739C"/>
    <w:rsid w:val="222A098B"/>
    <w:rsid w:val="222C0CEE"/>
    <w:rsid w:val="223E5FC0"/>
    <w:rsid w:val="22646394"/>
    <w:rsid w:val="22842C2E"/>
    <w:rsid w:val="22905628"/>
    <w:rsid w:val="230C4A0C"/>
    <w:rsid w:val="232F58C1"/>
    <w:rsid w:val="23682B0F"/>
    <w:rsid w:val="236D4A7B"/>
    <w:rsid w:val="23786C61"/>
    <w:rsid w:val="23A13CB9"/>
    <w:rsid w:val="23A250AC"/>
    <w:rsid w:val="23C90A3A"/>
    <w:rsid w:val="23E2596D"/>
    <w:rsid w:val="24011BB8"/>
    <w:rsid w:val="241C3FAB"/>
    <w:rsid w:val="24545EB1"/>
    <w:rsid w:val="24A3674E"/>
    <w:rsid w:val="24AB2287"/>
    <w:rsid w:val="24AC7891"/>
    <w:rsid w:val="24B02111"/>
    <w:rsid w:val="24B4006E"/>
    <w:rsid w:val="24EA4021"/>
    <w:rsid w:val="24EE44AB"/>
    <w:rsid w:val="254D3A1B"/>
    <w:rsid w:val="25501B7E"/>
    <w:rsid w:val="25544FF1"/>
    <w:rsid w:val="255934A6"/>
    <w:rsid w:val="25675A2D"/>
    <w:rsid w:val="256A099D"/>
    <w:rsid w:val="259F5739"/>
    <w:rsid w:val="25B74584"/>
    <w:rsid w:val="25C14D1F"/>
    <w:rsid w:val="25CA1168"/>
    <w:rsid w:val="25CC4D24"/>
    <w:rsid w:val="25EA355D"/>
    <w:rsid w:val="25ED12D9"/>
    <w:rsid w:val="25EE1D5C"/>
    <w:rsid w:val="25EE5277"/>
    <w:rsid w:val="25F108C0"/>
    <w:rsid w:val="26045FCE"/>
    <w:rsid w:val="26046755"/>
    <w:rsid w:val="262E0948"/>
    <w:rsid w:val="268A6714"/>
    <w:rsid w:val="26AE42CB"/>
    <w:rsid w:val="26C04865"/>
    <w:rsid w:val="26DA47CA"/>
    <w:rsid w:val="26FB72D1"/>
    <w:rsid w:val="26FC6CFF"/>
    <w:rsid w:val="270C06CB"/>
    <w:rsid w:val="274509C2"/>
    <w:rsid w:val="27BE3400"/>
    <w:rsid w:val="27C73619"/>
    <w:rsid w:val="27D00997"/>
    <w:rsid w:val="28350E28"/>
    <w:rsid w:val="283F2E71"/>
    <w:rsid w:val="284E39A8"/>
    <w:rsid w:val="286163FD"/>
    <w:rsid w:val="28657DF3"/>
    <w:rsid w:val="286A01EC"/>
    <w:rsid w:val="286B74F2"/>
    <w:rsid w:val="28824D5E"/>
    <w:rsid w:val="28CB16C9"/>
    <w:rsid w:val="28E249EC"/>
    <w:rsid w:val="28F15F0F"/>
    <w:rsid w:val="294D45E0"/>
    <w:rsid w:val="29573538"/>
    <w:rsid w:val="29BC7D76"/>
    <w:rsid w:val="29C33BED"/>
    <w:rsid w:val="29F54FB6"/>
    <w:rsid w:val="2A2E4CB9"/>
    <w:rsid w:val="2A2F22A2"/>
    <w:rsid w:val="2AB73EF4"/>
    <w:rsid w:val="2ABF1AF8"/>
    <w:rsid w:val="2AD10000"/>
    <w:rsid w:val="2ADA5530"/>
    <w:rsid w:val="2AEA2B4C"/>
    <w:rsid w:val="2B1134C8"/>
    <w:rsid w:val="2B1451CE"/>
    <w:rsid w:val="2B3F26C7"/>
    <w:rsid w:val="2B4B7C78"/>
    <w:rsid w:val="2B9938D4"/>
    <w:rsid w:val="2B9B005E"/>
    <w:rsid w:val="2BA64812"/>
    <w:rsid w:val="2BFF123D"/>
    <w:rsid w:val="2C716D08"/>
    <w:rsid w:val="2C9C3AA5"/>
    <w:rsid w:val="2CB221EF"/>
    <w:rsid w:val="2CC25911"/>
    <w:rsid w:val="2D0C3707"/>
    <w:rsid w:val="2D120EF5"/>
    <w:rsid w:val="2D1240CB"/>
    <w:rsid w:val="2D1B437F"/>
    <w:rsid w:val="2D311E5D"/>
    <w:rsid w:val="2D3C6C37"/>
    <w:rsid w:val="2D4165B5"/>
    <w:rsid w:val="2D62742C"/>
    <w:rsid w:val="2DB26B53"/>
    <w:rsid w:val="2DB95C37"/>
    <w:rsid w:val="2DEB3AE8"/>
    <w:rsid w:val="2E10410F"/>
    <w:rsid w:val="2E37572C"/>
    <w:rsid w:val="2E464C5F"/>
    <w:rsid w:val="2E5B5651"/>
    <w:rsid w:val="2E5C327F"/>
    <w:rsid w:val="2E7F5E13"/>
    <w:rsid w:val="2E8C5971"/>
    <w:rsid w:val="2EB576BB"/>
    <w:rsid w:val="2EC45025"/>
    <w:rsid w:val="2ED140BC"/>
    <w:rsid w:val="2ED44DA1"/>
    <w:rsid w:val="2EE149BD"/>
    <w:rsid w:val="2EE24431"/>
    <w:rsid w:val="2EFB3D4E"/>
    <w:rsid w:val="2F294B79"/>
    <w:rsid w:val="2F2E127B"/>
    <w:rsid w:val="2F5E0631"/>
    <w:rsid w:val="2F72660A"/>
    <w:rsid w:val="2FC14D7B"/>
    <w:rsid w:val="2FCD2B9D"/>
    <w:rsid w:val="306E768A"/>
    <w:rsid w:val="30C96FD4"/>
    <w:rsid w:val="30D72D72"/>
    <w:rsid w:val="30FE5801"/>
    <w:rsid w:val="30FF7E69"/>
    <w:rsid w:val="31221E44"/>
    <w:rsid w:val="31440497"/>
    <w:rsid w:val="315A1364"/>
    <w:rsid w:val="316152DA"/>
    <w:rsid w:val="3171015F"/>
    <w:rsid w:val="318C40EA"/>
    <w:rsid w:val="319B5671"/>
    <w:rsid w:val="31D00A5A"/>
    <w:rsid w:val="31DD3D3D"/>
    <w:rsid w:val="31FD5CEE"/>
    <w:rsid w:val="32061471"/>
    <w:rsid w:val="321A4E50"/>
    <w:rsid w:val="3225724F"/>
    <w:rsid w:val="3249505C"/>
    <w:rsid w:val="325E7CB2"/>
    <w:rsid w:val="3279117D"/>
    <w:rsid w:val="327A7E6C"/>
    <w:rsid w:val="329965AD"/>
    <w:rsid w:val="32A633ED"/>
    <w:rsid w:val="32EC35D6"/>
    <w:rsid w:val="3310500D"/>
    <w:rsid w:val="33362538"/>
    <w:rsid w:val="334E29D5"/>
    <w:rsid w:val="33846347"/>
    <w:rsid w:val="341D222E"/>
    <w:rsid w:val="34B63619"/>
    <w:rsid w:val="34B95ABD"/>
    <w:rsid w:val="350B6908"/>
    <w:rsid w:val="352F6E65"/>
    <w:rsid w:val="35376328"/>
    <w:rsid w:val="354D7DD3"/>
    <w:rsid w:val="35B70778"/>
    <w:rsid w:val="35BA02A5"/>
    <w:rsid w:val="35C24AB3"/>
    <w:rsid w:val="35CD3192"/>
    <w:rsid w:val="35F66721"/>
    <w:rsid w:val="3624757C"/>
    <w:rsid w:val="363D5515"/>
    <w:rsid w:val="364F7019"/>
    <w:rsid w:val="36906FC2"/>
    <w:rsid w:val="3692090E"/>
    <w:rsid w:val="36C86EC8"/>
    <w:rsid w:val="36CD01D5"/>
    <w:rsid w:val="36F05A9B"/>
    <w:rsid w:val="37003016"/>
    <w:rsid w:val="370A4636"/>
    <w:rsid w:val="372108FA"/>
    <w:rsid w:val="37345BBC"/>
    <w:rsid w:val="373C1D6E"/>
    <w:rsid w:val="374F5BC8"/>
    <w:rsid w:val="374F5DEA"/>
    <w:rsid w:val="37B75FB9"/>
    <w:rsid w:val="37DD2D81"/>
    <w:rsid w:val="37F74125"/>
    <w:rsid w:val="38127A9D"/>
    <w:rsid w:val="382C11CF"/>
    <w:rsid w:val="38AF1437"/>
    <w:rsid w:val="38D348DC"/>
    <w:rsid w:val="39270F82"/>
    <w:rsid w:val="392E0BCF"/>
    <w:rsid w:val="39394019"/>
    <w:rsid w:val="3969681D"/>
    <w:rsid w:val="397476F9"/>
    <w:rsid w:val="3980070F"/>
    <w:rsid w:val="39B5742C"/>
    <w:rsid w:val="39BE7218"/>
    <w:rsid w:val="39C165A9"/>
    <w:rsid w:val="39C73834"/>
    <w:rsid w:val="39D818DB"/>
    <w:rsid w:val="39E16D41"/>
    <w:rsid w:val="39E725DB"/>
    <w:rsid w:val="39F97941"/>
    <w:rsid w:val="3A0027CF"/>
    <w:rsid w:val="3A3745EC"/>
    <w:rsid w:val="3A553880"/>
    <w:rsid w:val="3A7F53FC"/>
    <w:rsid w:val="3ABA7FC0"/>
    <w:rsid w:val="3AD5781B"/>
    <w:rsid w:val="3AEC0A43"/>
    <w:rsid w:val="3B5B1BDC"/>
    <w:rsid w:val="3B6845D5"/>
    <w:rsid w:val="3B9F218C"/>
    <w:rsid w:val="3BA432FC"/>
    <w:rsid w:val="3BAD702C"/>
    <w:rsid w:val="3BEC2E59"/>
    <w:rsid w:val="3BEC2EEB"/>
    <w:rsid w:val="3C3330D7"/>
    <w:rsid w:val="3C9F48B1"/>
    <w:rsid w:val="3CAE6CC4"/>
    <w:rsid w:val="3CC26C9E"/>
    <w:rsid w:val="3CC82F00"/>
    <w:rsid w:val="3CD572C5"/>
    <w:rsid w:val="3CE36945"/>
    <w:rsid w:val="3D351311"/>
    <w:rsid w:val="3D3D3435"/>
    <w:rsid w:val="3D5E7DFD"/>
    <w:rsid w:val="3D9128AF"/>
    <w:rsid w:val="3D977365"/>
    <w:rsid w:val="3DD6033D"/>
    <w:rsid w:val="3DDC3189"/>
    <w:rsid w:val="3DF74931"/>
    <w:rsid w:val="3E147D2A"/>
    <w:rsid w:val="3E183B84"/>
    <w:rsid w:val="3E394D5D"/>
    <w:rsid w:val="3E425586"/>
    <w:rsid w:val="3E4556A5"/>
    <w:rsid w:val="3E456A94"/>
    <w:rsid w:val="3E565986"/>
    <w:rsid w:val="3E605796"/>
    <w:rsid w:val="3E9C1CC6"/>
    <w:rsid w:val="3EAF0976"/>
    <w:rsid w:val="3F0767DA"/>
    <w:rsid w:val="3F4C3723"/>
    <w:rsid w:val="3F564A0F"/>
    <w:rsid w:val="3F7462E2"/>
    <w:rsid w:val="3FA86789"/>
    <w:rsid w:val="3FD703E6"/>
    <w:rsid w:val="4004767A"/>
    <w:rsid w:val="400635C1"/>
    <w:rsid w:val="4020130A"/>
    <w:rsid w:val="40730241"/>
    <w:rsid w:val="408A6E31"/>
    <w:rsid w:val="40E457FF"/>
    <w:rsid w:val="4102244A"/>
    <w:rsid w:val="410C62A5"/>
    <w:rsid w:val="412A74D0"/>
    <w:rsid w:val="414829A9"/>
    <w:rsid w:val="414D2D25"/>
    <w:rsid w:val="41715938"/>
    <w:rsid w:val="417D2481"/>
    <w:rsid w:val="41C90400"/>
    <w:rsid w:val="41CB38FC"/>
    <w:rsid w:val="41DF1E39"/>
    <w:rsid w:val="4207105D"/>
    <w:rsid w:val="42162FDD"/>
    <w:rsid w:val="42287BB1"/>
    <w:rsid w:val="42381475"/>
    <w:rsid w:val="42544DD9"/>
    <w:rsid w:val="42550EFC"/>
    <w:rsid w:val="425B2164"/>
    <w:rsid w:val="426268EA"/>
    <w:rsid w:val="42D53196"/>
    <w:rsid w:val="435802DB"/>
    <w:rsid w:val="435E376B"/>
    <w:rsid w:val="438C3B7D"/>
    <w:rsid w:val="439F7D8A"/>
    <w:rsid w:val="43A71CFA"/>
    <w:rsid w:val="43AC6FAC"/>
    <w:rsid w:val="43B20A32"/>
    <w:rsid w:val="43BC7715"/>
    <w:rsid w:val="44426122"/>
    <w:rsid w:val="447E0D94"/>
    <w:rsid w:val="44C429BC"/>
    <w:rsid w:val="44F256FB"/>
    <w:rsid w:val="44F73B14"/>
    <w:rsid w:val="4520702F"/>
    <w:rsid w:val="45397ECD"/>
    <w:rsid w:val="45890299"/>
    <w:rsid w:val="45E31837"/>
    <w:rsid w:val="45E979DC"/>
    <w:rsid w:val="45F868E5"/>
    <w:rsid w:val="45FD4340"/>
    <w:rsid w:val="46011510"/>
    <w:rsid w:val="46354080"/>
    <w:rsid w:val="466F0394"/>
    <w:rsid w:val="46EE1FD9"/>
    <w:rsid w:val="46FF77C1"/>
    <w:rsid w:val="47060D92"/>
    <w:rsid w:val="470A62F6"/>
    <w:rsid w:val="47250AD9"/>
    <w:rsid w:val="47346E0D"/>
    <w:rsid w:val="473871C6"/>
    <w:rsid w:val="480825E3"/>
    <w:rsid w:val="482377F3"/>
    <w:rsid w:val="484529D7"/>
    <w:rsid w:val="48762CBE"/>
    <w:rsid w:val="488E7AA0"/>
    <w:rsid w:val="48B00159"/>
    <w:rsid w:val="48BB75FA"/>
    <w:rsid w:val="48CC2969"/>
    <w:rsid w:val="48E72A21"/>
    <w:rsid w:val="491612AF"/>
    <w:rsid w:val="49437346"/>
    <w:rsid w:val="49962694"/>
    <w:rsid w:val="49B46204"/>
    <w:rsid w:val="49D502E4"/>
    <w:rsid w:val="49EC4B7A"/>
    <w:rsid w:val="4A2E05CB"/>
    <w:rsid w:val="4A6E0331"/>
    <w:rsid w:val="4A825F74"/>
    <w:rsid w:val="4A8F1A12"/>
    <w:rsid w:val="4A8F32B8"/>
    <w:rsid w:val="4AA76122"/>
    <w:rsid w:val="4ABA44BE"/>
    <w:rsid w:val="4AC07177"/>
    <w:rsid w:val="4AEE2F09"/>
    <w:rsid w:val="4B130AE9"/>
    <w:rsid w:val="4B133F94"/>
    <w:rsid w:val="4B1B6545"/>
    <w:rsid w:val="4B2C1CD9"/>
    <w:rsid w:val="4B2D1B98"/>
    <w:rsid w:val="4B4646FE"/>
    <w:rsid w:val="4B806EE1"/>
    <w:rsid w:val="4B8326D4"/>
    <w:rsid w:val="4B9D1B87"/>
    <w:rsid w:val="4BB4752F"/>
    <w:rsid w:val="4BF87F9C"/>
    <w:rsid w:val="4C2A0E31"/>
    <w:rsid w:val="4C4273C4"/>
    <w:rsid w:val="4C676930"/>
    <w:rsid w:val="4C716315"/>
    <w:rsid w:val="4C7F4C5A"/>
    <w:rsid w:val="4CA06A9B"/>
    <w:rsid w:val="4CAA34A2"/>
    <w:rsid w:val="4CE22A76"/>
    <w:rsid w:val="4D156C76"/>
    <w:rsid w:val="4D17312E"/>
    <w:rsid w:val="4D7C4C40"/>
    <w:rsid w:val="4D842A1A"/>
    <w:rsid w:val="4D8F414E"/>
    <w:rsid w:val="4DC50F0D"/>
    <w:rsid w:val="4DCC5CC5"/>
    <w:rsid w:val="4DCD58ED"/>
    <w:rsid w:val="4E2E1B1A"/>
    <w:rsid w:val="4E714E5B"/>
    <w:rsid w:val="4E931F15"/>
    <w:rsid w:val="4EA501A6"/>
    <w:rsid w:val="4EF05B1B"/>
    <w:rsid w:val="4F122CCD"/>
    <w:rsid w:val="4F2554A8"/>
    <w:rsid w:val="4F327C83"/>
    <w:rsid w:val="4F452518"/>
    <w:rsid w:val="4F583349"/>
    <w:rsid w:val="4F6141BE"/>
    <w:rsid w:val="4F9728C9"/>
    <w:rsid w:val="4FB96220"/>
    <w:rsid w:val="4FE36A27"/>
    <w:rsid w:val="4FEA13FF"/>
    <w:rsid w:val="50086E3F"/>
    <w:rsid w:val="50162313"/>
    <w:rsid w:val="501A543D"/>
    <w:rsid w:val="50721382"/>
    <w:rsid w:val="507B46CF"/>
    <w:rsid w:val="50962F12"/>
    <w:rsid w:val="509D41C3"/>
    <w:rsid w:val="512E2CC8"/>
    <w:rsid w:val="51697B46"/>
    <w:rsid w:val="51703514"/>
    <w:rsid w:val="51A50F28"/>
    <w:rsid w:val="51A85CB2"/>
    <w:rsid w:val="51AE2DB4"/>
    <w:rsid w:val="51B91B1D"/>
    <w:rsid w:val="51CB548E"/>
    <w:rsid w:val="51D630F1"/>
    <w:rsid w:val="5208719D"/>
    <w:rsid w:val="52263192"/>
    <w:rsid w:val="522F6A18"/>
    <w:rsid w:val="52565494"/>
    <w:rsid w:val="528B07BF"/>
    <w:rsid w:val="52A664A3"/>
    <w:rsid w:val="52B8081F"/>
    <w:rsid w:val="52BC47D0"/>
    <w:rsid w:val="52D4757B"/>
    <w:rsid w:val="533344F2"/>
    <w:rsid w:val="534672A8"/>
    <w:rsid w:val="536578B9"/>
    <w:rsid w:val="537E7AC1"/>
    <w:rsid w:val="53823474"/>
    <w:rsid w:val="53B34AF1"/>
    <w:rsid w:val="53B65307"/>
    <w:rsid w:val="54431120"/>
    <w:rsid w:val="54450D86"/>
    <w:rsid w:val="545F096C"/>
    <w:rsid w:val="54846222"/>
    <w:rsid w:val="54956EF0"/>
    <w:rsid w:val="54B76640"/>
    <w:rsid w:val="54D85D0B"/>
    <w:rsid w:val="54E159DD"/>
    <w:rsid w:val="550207CE"/>
    <w:rsid w:val="55657724"/>
    <w:rsid w:val="55887184"/>
    <w:rsid w:val="55C1615A"/>
    <w:rsid w:val="55CC6061"/>
    <w:rsid w:val="55FE5566"/>
    <w:rsid w:val="56054222"/>
    <w:rsid w:val="56605471"/>
    <w:rsid w:val="5686411E"/>
    <w:rsid w:val="56924AFC"/>
    <w:rsid w:val="56983954"/>
    <w:rsid w:val="56DB76DF"/>
    <w:rsid w:val="56F34E79"/>
    <w:rsid w:val="56F40706"/>
    <w:rsid w:val="56F727AA"/>
    <w:rsid w:val="57004FE4"/>
    <w:rsid w:val="57013C41"/>
    <w:rsid w:val="571861D8"/>
    <w:rsid w:val="57204E69"/>
    <w:rsid w:val="57491222"/>
    <w:rsid w:val="577A5113"/>
    <w:rsid w:val="577E43D9"/>
    <w:rsid w:val="578F3577"/>
    <w:rsid w:val="57E96C0C"/>
    <w:rsid w:val="58147622"/>
    <w:rsid w:val="5831039D"/>
    <w:rsid w:val="583F0EC7"/>
    <w:rsid w:val="584A21C8"/>
    <w:rsid w:val="5857610F"/>
    <w:rsid w:val="585D3494"/>
    <w:rsid w:val="586813B0"/>
    <w:rsid w:val="587058CB"/>
    <w:rsid w:val="58B72C86"/>
    <w:rsid w:val="58D94E14"/>
    <w:rsid w:val="590A6D83"/>
    <w:rsid w:val="590D7232"/>
    <w:rsid w:val="59142E05"/>
    <w:rsid w:val="593C1852"/>
    <w:rsid w:val="596416F8"/>
    <w:rsid w:val="5972028D"/>
    <w:rsid w:val="5993564C"/>
    <w:rsid w:val="599A00A5"/>
    <w:rsid w:val="59A301AC"/>
    <w:rsid w:val="59C72584"/>
    <w:rsid w:val="59F15056"/>
    <w:rsid w:val="59F87993"/>
    <w:rsid w:val="5A622C39"/>
    <w:rsid w:val="5A6835D3"/>
    <w:rsid w:val="5A8D03EC"/>
    <w:rsid w:val="5ABB7024"/>
    <w:rsid w:val="5AE00F2C"/>
    <w:rsid w:val="5AE45B14"/>
    <w:rsid w:val="5B0D5D4E"/>
    <w:rsid w:val="5B12781A"/>
    <w:rsid w:val="5B2006EF"/>
    <w:rsid w:val="5B2A4BDF"/>
    <w:rsid w:val="5B4275D1"/>
    <w:rsid w:val="5B464A8F"/>
    <w:rsid w:val="5B6D4B48"/>
    <w:rsid w:val="5B7C6C4B"/>
    <w:rsid w:val="5B966098"/>
    <w:rsid w:val="5BC63CB0"/>
    <w:rsid w:val="5BE15089"/>
    <w:rsid w:val="5BF503D5"/>
    <w:rsid w:val="5BF667DE"/>
    <w:rsid w:val="5BFF69A0"/>
    <w:rsid w:val="5C514ABE"/>
    <w:rsid w:val="5C6F3269"/>
    <w:rsid w:val="5C804C2E"/>
    <w:rsid w:val="5CC226D7"/>
    <w:rsid w:val="5CCE3BE5"/>
    <w:rsid w:val="5CDE4102"/>
    <w:rsid w:val="5D0216A1"/>
    <w:rsid w:val="5D0B27D5"/>
    <w:rsid w:val="5D5177C9"/>
    <w:rsid w:val="5DA76416"/>
    <w:rsid w:val="5DD7246C"/>
    <w:rsid w:val="5DDA261A"/>
    <w:rsid w:val="5E5767A7"/>
    <w:rsid w:val="5EA23F01"/>
    <w:rsid w:val="5ED64E1C"/>
    <w:rsid w:val="5EEB24A6"/>
    <w:rsid w:val="5EF05235"/>
    <w:rsid w:val="5F233929"/>
    <w:rsid w:val="5F551A65"/>
    <w:rsid w:val="5F727DA4"/>
    <w:rsid w:val="5F803C40"/>
    <w:rsid w:val="5F916EC0"/>
    <w:rsid w:val="5FB23C24"/>
    <w:rsid w:val="5FDC79C3"/>
    <w:rsid w:val="5FFB10BE"/>
    <w:rsid w:val="60211724"/>
    <w:rsid w:val="60281D62"/>
    <w:rsid w:val="603E529D"/>
    <w:rsid w:val="60A75256"/>
    <w:rsid w:val="610C60C7"/>
    <w:rsid w:val="61212A61"/>
    <w:rsid w:val="618618C8"/>
    <w:rsid w:val="619912AF"/>
    <w:rsid w:val="61DA2961"/>
    <w:rsid w:val="61FE3185"/>
    <w:rsid w:val="621B49E9"/>
    <w:rsid w:val="6220561D"/>
    <w:rsid w:val="62400056"/>
    <w:rsid w:val="624C76C5"/>
    <w:rsid w:val="62944B5E"/>
    <w:rsid w:val="62955FA3"/>
    <w:rsid w:val="62CC7B22"/>
    <w:rsid w:val="63277FFF"/>
    <w:rsid w:val="63294280"/>
    <w:rsid w:val="63871B1C"/>
    <w:rsid w:val="63AE37A1"/>
    <w:rsid w:val="64141986"/>
    <w:rsid w:val="641E5482"/>
    <w:rsid w:val="64847C33"/>
    <w:rsid w:val="648F53E0"/>
    <w:rsid w:val="650E3F0C"/>
    <w:rsid w:val="654D0BFB"/>
    <w:rsid w:val="65504CEA"/>
    <w:rsid w:val="656D5534"/>
    <w:rsid w:val="657052F8"/>
    <w:rsid w:val="659B79DB"/>
    <w:rsid w:val="65D9166D"/>
    <w:rsid w:val="65FD484B"/>
    <w:rsid w:val="661015E9"/>
    <w:rsid w:val="664274E6"/>
    <w:rsid w:val="6647556A"/>
    <w:rsid w:val="66540EDC"/>
    <w:rsid w:val="666636FD"/>
    <w:rsid w:val="6681551E"/>
    <w:rsid w:val="668D35C6"/>
    <w:rsid w:val="66A840A0"/>
    <w:rsid w:val="66C86394"/>
    <w:rsid w:val="66D67950"/>
    <w:rsid w:val="66ED7BD0"/>
    <w:rsid w:val="671040BB"/>
    <w:rsid w:val="673279C9"/>
    <w:rsid w:val="67394A2E"/>
    <w:rsid w:val="67766F5A"/>
    <w:rsid w:val="6784304B"/>
    <w:rsid w:val="679C425E"/>
    <w:rsid w:val="67AB5A7C"/>
    <w:rsid w:val="67C84D30"/>
    <w:rsid w:val="67E00D39"/>
    <w:rsid w:val="681C2AE4"/>
    <w:rsid w:val="68203D2E"/>
    <w:rsid w:val="682C5CEB"/>
    <w:rsid w:val="68357DB5"/>
    <w:rsid w:val="687708FC"/>
    <w:rsid w:val="688159AF"/>
    <w:rsid w:val="689B3812"/>
    <w:rsid w:val="689F1661"/>
    <w:rsid w:val="68AF5E1C"/>
    <w:rsid w:val="68B5621F"/>
    <w:rsid w:val="68C342B3"/>
    <w:rsid w:val="68CF0C03"/>
    <w:rsid w:val="68E77752"/>
    <w:rsid w:val="68EF14AB"/>
    <w:rsid w:val="68FD692E"/>
    <w:rsid w:val="69214608"/>
    <w:rsid w:val="692F3E01"/>
    <w:rsid w:val="696B3768"/>
    <w:rsid w:val="698201E0"/>
    <w:rsid w:val="69884903"/>
    <w:rsid w:val="699A3FAD"/>
    <w:rsid w:val="699A56FD"/>
    <w:rsid w:val="69FA7A52"/>
    <w:rsid w:val="6A1E23EF"/>
    <w:rsid w:val="6A7462FC"/>
    <w:rsid w:val="6A886D45"/>
    <w:rsid w:val="6A932B70"/>
    <w:rsid w:val="6AB91DCD"/>
    <w:rsid w:val="6ACF2875"/>
    <w:rsid w:val="6B4F34D1"/>
    <w:rsid w:val="6B6078BD"/>
    <w:rsid w:val="6B6E3114"/>
    <w:rsid w:val="6B781724"/>
    <w:rsid w:val="6B7A39E2"/>
    <w:rsid w:val="6B945DD1"/>
    <w:rsid w:val="6B946993"/>
    <w:rsid w:val="6BFB4BC6"/>
    <w:rsid w:val="6C2B61AD"/>
    <w:rsid w:val="6C4E767F"/>
    <w:rsid w:val="6C5D3F67"/>
    <w:rsid w:val="6C8140A2"/>
    <w:rsid w:val="6CA345EE"/>
    <w:rsid w:val="6CAC1C43"/>
    <w:rsid w:val="6CF27BDB"/>
    <w:rsid w:val="6D037399"/>
    <w:rsid w:val="6D435952"/>
    <w:rsid w:val="6D800F80"/>
    <w:rsid w:val="6D8C2F02"/>
    <w:rsid w:val="6DD6286C"/>
    <w:rsid w:val="6DDF0C23"/>
    <w:rsid w:val="6DF45572"/>
    <w:rsid w:val="6E0D3954"/>
    <w:rsid w:val="6E240EF7"/>
    <w:rsid w:val="6E2C5894"/>
    <w:rsid w:val="6E4C341F"/>
    <w:rsid w:val="6E5D6074"/>
    <w:rsid w:val="6E7B1AD9"/>
    <w:rsid w:val="6E997555"/>
    <w:rsid w:val="6EA0198F"/>
    <w:rsid w:val="6EA57CFD"/>
    <w:rsid w:val="6EA631B5"/>
    <w:rsid w:val="6EFC2A24"/>
    <w:rsid w:val="6F184A95"/>
    <w:rsid w:val="6F391A6E"/>
    <w:rsid w:val="6F4C3FF3"/>
    <w:rsid w:val="6F9A1D12"/>
    <w:rsid w:val="6F9C1E41"/>
    <w:rsid w:val="6FA9483F"/>
    <w:rsid w:val="6FAC1B1D"/>
    <w:rsid w:val="6FC55AA1"/>
    <w:rsid w:val="6FCE7A7A"/>
    <w:rsid w:val="6FEA7950"/>
    <w:rsid w:val="6FED74B5"/>
    <w:rsid w:val="6FF76956"/>
    <w:rsid w:val="7000384C"/>
    <w:rsid w:val="70026473"/>
    <w:rsid w:val="70164142"/>
    <w:rsid w:val="705835AD"/>
    <w:rsid w:val="70733990"/>
    <w:rsid w:val="707A3052"/>
    <w:rsid w:val="7096127B"/>
    <w:rsid w:val="70966B8A"/>
    <w:rsid w:val="70F55FD3"/>
    <w:rsid w:val="71014E10"/>
    <w:rsid w:val="7105313B"/>
    <w:rsid w:val="71067348"/>
    <w:rsid w:val="71172C85"/>
    <w:rsid w:val="711C0BAA"/>
    <w:rsid w:val="712D6E34"/>
    <w:rsid w:val="7134398E"/>
    <w:rsid w:val="71391FB0"/>
    <w:rsid w:val="713C57E2"/>
    <w:rsid w:val="71585D6A"/>
    <w:rsid w:val="71774737"/>
    <w:rsid w:val="71812309"/>
    <w:rsid w:val="71A67881"/>
    <w:rsid w:val="71BB195F"/>
    <w:rsid w:val="71D519AD"/>
    <w:rsid w:val="7233628B"/>
    <w:rsid w:val="726577C5"/>
    <w:rsid w:val="728F19E2"/>
    <w:rsid w:val="72B50634"/>
    <w:rsid w:val="72D34273"/>
    <w:rsid w:val="72E94F7F"/>
    <w:rsid w:val="731374BD"/>
    <w:rsid w:val="733277D1"/>
    <w:rsid w:val="73463C2D"/>
    <w:rsid w:val="734C6EE0"/>
    <w:rsid w:val="73606B38"/>
    <w:rsid w:val="73692B49"/>
    <w:rsid w:val="73746B6D"/>
    <w:rsid w:val="739262A2"/>
    <w:rsid w:val="73A41C86"/>
    <w:rsid w:val="73AD1974"/>
    <w:rsid w:val="73C111E9"/>
    <w:rsid w:val="73CB2086"/>
    <w:rsid w:val="73CB67C6"/>
    <w:rsid w:val="740718C1"/>
    <w:rsid w:val="74194121"/>
    <w:rsid w:val="74232E34"/>
    <w:rsid w:val="743F1D19"/>
    <w:rsid w:val="745A3B56"/>
    <w:rsid w:val="74627A28"/>
    <w:rsid w:val="7463606F"/>
    <w:rsid w:val="749E0CFC"/>
    <w:rsid w:val="74BB08F8"/>
    <w:rsid w:val="74D2707E"/>
    <w:rsid w:val="74EA4133"/>
    <w:rsid w:val="750E017F"/>
    <w:rsid w:val="75312450"/>
    <w:rsid w:val="753C0338"/>
    <w:rsid w:val="75756AD4"/>
    <w:rsid w:val="758549CB"/>
    <w:rsid w:val="75C31213"/>
    <w:rsid w:val="75F10C50"/>
    <w:rsid w:val="76176AB5"/>
    <w:rsid w:val="761B12CC"/>
    <w:rsid w:val="766569E9"/>
    <w:rsid w:val="766867B3"/>
    <w:rsid w:val="76B810A1"/>
    <w:rsid w:val="76BB178F"/>
    <w:rsid w:val="76EB015D"/>
    <w:rsid w:val="77631348"/>
    <w:rsid w:val="77896318"/>
    <w:rsid w:val="77D00C24"/>
    <w:rsid w:val="77E1314B"/>
    <w:rsid w:val="77F84A4F"/>
    <w:rsid w:val="78217F74"/>
    <w:rsid w:val="783C1D2F"/>
    <w:rsid w:val="78646245"/>
    <w:rsid w:val="787D7555"/>
    <w:rsid w:val="788F1455"/>
    <w:rsid w:val="788F7D5C"/>
    <w:rsid w:val="78B04A8A"/>
    <w:rsid w:val="78CD6F88"/>
    <w:rsid w:val="79275ED8"/>
    <w:rsid w:val="79344E71"/>
    <w:rsid w:val="794E1F2A"/>
    <w:rsid w:val="79641AE4"/>
    <w:rsid w:val="79654B1D"/>
    <w:rsid w:val="796D613C"/>
    <w:rsid w:val="797C3B06"/>
    <w:rsid w:val="79831253"/>
    <w:rsid w:val="79891716"/>
    <w:rsid w:val="79AC5B1C"/>
    <w:rsid w:val="79B47458"/>
    <w:rsid w:val="79ED3F84"/>
    <w:rsid w:val="7A0F12FA"/>
    <w:rsid w:val="7A34719C"/>
    <w:rsid w:val="7A480030"/>
    <w:rsid w:val="7A600D3D"/>
    <w:rsid w:val="7A8B6717"/>
    <w:rsid w:val="7A994219"/>
    <w:rsid w:val="7AB07837"/>
    <w:rsid w:val="7ABB17D9"/>
    <w:rsid w:val="7ABD7193"/>
    <w:rsid w:val="7ACC773C"/>
    <w:rsid w:val="7B0E7701"/>
    <w:rsid w:val="7B13512F"/>
    <w:rsid w:val="7B17019C"/>
    <w:rsid w:val="7B1E42DE"/>
    <w:rsid w:val="7B425B14"/>
    <w:rsid w:val="7B5D6DCB"/>
    <w:rsid w:val="7B6A668E"/>
    <w:rsid w:val="7B9E74D7"/>
    <w:rsid w:val="7BA520E5"/>
    <w:rsid w:val="7BA91861"/>
    <w:rsid w:val="7BC80D36"/>
    <w:rsid w:val="7BE744D0"/>
    <w:rsid w:val="7C4F6BCC"/>
    <w:rsid w:val="7C5128EF"/>
    <w:rsid w:val="7C576A6F"/>
    <w:rsid w:val="7C5D6556"/>
    <w:rsid w:val="7C927349"/>
    <w:rsid w:val="7CBB1513"/>
    <w:rsid w:val="7CE840B2"/>
    <w:rsid w:val="7D0C62D5"/>
    <w:rsid w:val="7D1F2157"/>
    <w:rsid w:val="7D2F50F9"/>
    <w:rsid w:val="7D377BA0"/>
    <w:rsid w:val="7D3C75A2"/>
    <w:rsid w:val="7D3F5542"/>
    <w:rsid w:val="7D437CA2"/>
    <w:rsid w:val="7D7208F0"/>
    <w:rsid w:val="7D801C3C"/>
    <w:rsid w:val="7D8E264A"/>
    <w:rsid w:val="7DD21A82"/>
    <w:rsid w:val="7DD8366E"/>
    <w:rsid w:val="7E453A43"/>
    <w:rsid w:val="7E5057D4"/>
    <w:rsid w:val="7E955F25"/>
    <w:rsid w:val="7E9F316B"/>
    <w:rsid w:val="7EA07E4B"/>
    <w:rsid w:val="7EF70E1C"/>
    <w:rsid w:val="7EFE1C84"/>
    <w:rsid w:val="7F147D7B"/>
    <w:rsid w:val="7F1C4449"/>
    <w:rsid w:val="7F2D3EAB"/>
    <w:rsid w:val="7F543E31"/>
    <w:rsid w:val="7F7977E0"/>
    <w:rsid w:val="7F9E365A"/>
    <w:rsid w:val="7FAC014E"/>
    <w:rsid w:val="7FBE669F"/>
    <w:rsid w:val="7FC148D7"/>
    <w:rsid w:val="7FC2587C"/>
    <w:rsid w:val="7FED5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43"/>
      <w:outlineLvl w:val="0"/>
    </w:pPr>
    <w:rPr>
      <w:b/>
      <w:bCs/>
      <w:sz w:val="32"/>
      <w:szCs w:val="32"/>
    </w:rPr>
  </w:style>
  <w:style w:type="paragraph" w:styleId="4">
    <w:name w:val="heading 2"/>
    <w:basedOn w:val="1"/>
    <w:next w:val="1"/>
    <w:qFormat/>
    <w:uiPriority w:val="1"/>
    <w:pPr>
      <w:ind w:right="16"/>
      <w:jc w:val="center"/>
      <w:outlineLvl w:val="1"/>
    </w:pPr>
    <w:rPr>
      <w:b/>
      <w:bCs/>
      <w:sz w:val="28"/>
      <w:szCs w:val="28"/>
    </w:rPr>
  </w:style>
  <w:style w:type="paragraph" w:styleId="5">
    <w:name w:val="heading 3"/>
    <w:basedOn w:val="1"/>
    <w:next w:val="1"/>
    <w:qFormat/>
    <w:uiPriority w:val="1"/>
    <w:pPr>
      <w:spacing w:before="103"/>
      <w:ind w:left="260"/>
      <w:outlineLvl w:val="2"/>
    </w:pPr>
    <w:rPr>
      <w:b/>
      <w:bCs/>
      <w:sz w:val="24"/>
      <w:szCs w:val="24"/>
    </w:rPr>
  </w:style>
  <w:style w:type="character" w:default="1" w:styleId="18">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1"/>
    <w:pPr>
      <w:ind w:left="260"/>
    </w:pPr>
    <w:rPr>
      <w:sz w:val="24"/>
      <w:szCs w:val="24"/>
    </w:rPr>
  </w:style>
  <w:style w:type="paragraph" w:styleId="6">
    <w:name w:val="Normal Indent"/>
    <w:basedOn w:val="1"/>
    <w:qFormat/>
    <w:uiPriority w:val="0"/>
    <w:pPr>
      <w:ind w:firstLine="420" w:firstLineChars="200"/>
    </w:pPr>
    <w:rPr>
      <w:szCs w:val="24"/>
    </w:rPr>
  </w:style>
  <w:style w:type="paragraph" w:styleId="7">
    <w:name w:val="Body Text Indent"/>
    <w:basedOn w:val="1"/>
    <w:qFormat/>
    <w:uiPriority w:val="99"/>
    <w:pPr>
      <w:ind w:left="420" w:leftChars="200"/>
    </w:pPr>
  </w:style>
  <w:style w:type="paragraph" w:styleId="8">
    <w:name w:val="Block Text"/>
    <w:basedOn w:val="1"/>
    <w:unhideWhenUsed/>
    <w:qFormat/>
    <w:uiPriority w:val="0"/>
    <w:pPr>
      <w:adjustRightInd w:val="0"/>
      <w:spacing w:line="360" w:lineRule="auto"/>
      <w:ind w:left="630" w:right="-609" w:firstLine="420"/>
    </w:pPr>
    <w:rPr>
      <w:rFonts w:ascii="仿宋_GB2312" w:hAnsi="Times New Roman" w:eastAsia="仿宋_GB2312" w:cs="Times New Roman"/>
      <w:szCs w:val="20"/>
    </w:rPr>
  </w:style>
  <w:style w:type="paragraph" w:styleId="9">
    <w:name w:val="Plain Text"/>
    <w:basedOn w:val="1"/>
    <w:next w:val="1"/>
    <w:qFormat/>
    <w:uiPriority w:val="0"/>
    <w:rPr>
      <w:rFonts w:hAnsi="Courier New"/>
      <w:szCs w:val="20"/>
    </w:rPr>
  </w:style>
  <w:style w:type="paragraph" w:styleId="10">
    <w:name w:val="Date"/>
    <w:basedOn w:val="1"/>
    <w:next w:val="1"/>
    <w:qFormat/>
    <w:uiPriority w:val="0"/>
    <w:pPr>
      <w:ind w:left="100" w:leftChars="2500"/>
    </w:pPr>
  </w:style>
  <w:style w:type="paragraph" w:styleId="11">
    <w:name w:val="footer"/>
    <w:basedOn w:val="1"/>
    <w:qFormat/>
    <w:uiPriority w:val="0"/>
    <w:pPr>
      <w:tabs>
        <w:tab w:val="center" w:pos="4153"/>
        <w:tab w:val="right" w:pos="8306"/>
      </w:tabs>
      <w:snapToGrid w:val="0"/>
    </w:pPr>
    <w:rPr>
      <w:sz w:val="18"/>
    </w:rPr>
  </w:style>
  <w:style w:type="paragraph" w:styleId="12">
    <w:name w:val="Body Text First Indent 2"/>
    <w:basedOn w:val="7"/>
    <w:unhideWhenUsed/>
    <w:qFormat/>
    <w:uiPriority w:val="99"/>
    <w:pPr>
      <w:ind w:firstLine="420" w:firstLineChars="20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139"/>
      <w:ind w:left="260"/>
    </w:pPr>
    <w:rPr>
      <w:sz w:val="21"/>
      <w:szCs w:val="21"/>
    </w:rPr>
  </w:style>
  <w:style w:type="paragraph" w:styleId="15">
    <w:name w:val="toc 4"/>
    <w:basedOn w:val="1"/>
    <w:next w:val="1"/>
    <w:unhideWhenUsed/>
    <w:qFormat/>
    <w:uiPriority w:val="39"/>
    <w:pPr>
      <w:ind w:left="1260" w:leftChars="600"/>
    </w:pPr>
  </w:style>
  <w:style w:type="paragraph" w:styleId="16">
    <w:name w:val="toc 2"/>
    <w:basedOn w:val="1"/>
    <w:next w:val="1"/>
    <w:qFormat/>
    <w:uiPriority w:val="1"/>
    <w:pPr>
      <w:spacing w:before="139"/>
      <w:ind w:left="1030" w:hanging="350"/>
    </w:pPr>
    <w:rPr>
      <w:sz w:val="21"/>
      <w:szCs w:val="21"/>
    </w:rPr>
  </w:style>
  <w:style w:type="paragraph" w:styleId="17">
    <w:name w:val="Normal (Web)"/>
    <w:basedOn w:val="1"/>
    <w:link w:val="34"/>
    <w:qFormat/>
    <w:uiPriority w:val="0"/>
    <w:pPr>
      <w:widowControl/>
      <w:spacing w:before="100" w:beforeAutospacing="1" w:after="100" w:afterAutospacing="1"/>
    </w:pPr>
    <w:rPr>
      <w:sz w:val="24"/>
    </w:rPr>
  </w:style>
  <w:style w:type="character" w:styleId="19">
    <w:name w:val="Hyperlink"/>
    <w:qFormat/>
    <w:uiPriority w:val="0"/>
    <w:rPr>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列出段落1"/>
    <w:basedOn w:val="1"/>
    <w:qFormat/>
    <w:uiPriority w:val="1"/>
    <w:pPr>
      <w:spacing w:before="101"/>
      <w:ind w:left="260" w:hanging="530"/>
    </w:pPr>
  </w:style>
  <w:style w:type="paragraph" w:customStyle="1" w:styleId="23">
    <w:name w:val="Table Paragraph"/>
    <w:basedOn w:val="1"/>
    <w:qFormat/>
    <w:uiPriority w:val="1"/>
  </w:style>
  <w:style w:type="character" w:customStyle="1" w:styleId="24">
    <w:name w:val="书籍标题1"/>
    <w:basedOn w:val="18"/>
    <w:qFormat/>
    <w:uiPriority w:val="0"/>
    <w:rPr>
      <w:rFonts w:cs="Times New Roman"/>
      <w:b/>
      <w:bCs/>
      <w:smallCaps/>
      <w:spacing w:val="5"/>
    </w:rPr>
  </w:style>
  <w:style w:type="character" w:customStyle="1" w:styleId="25">
    <w:name w:val="apple-style-span"/>
    <w:basedOn w:val="18"/>
    <w:qFormat/>
    <w:uiPriority w:val="0"/>
    <w:rPr>
      <w:rFonts w:hint="default" w:ascii="Times New Roman"/>
    </w:rPr>
  </w:style>
  <w:style w:type="paragraph" w:customStyle="1" w:styleId="26">
    <w:name w:val="List Paragraph"/>
    <w:basedOn w:val="1"/>
    <w:qFormat/>
    <w:uiPriority w:val="34"/>
    <w:pPr>
      <w:ind w:firstLine="420" w:firstLineChars="200"/>
    </w:pPr>
  </w:style>
  <w:style w:type="character" w:customStyle="1" w:styleId="27">
    <w:name w:val="NormalCharacter"/>
    <w:semiHidden/>
    <w:qFormat/>
    <w:uiPriority w:val="0"/>
  </w:style>
  <w:style w:type="paragraph" w:customStyle="1" w:styleId="28">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29">
    <w:name w:val="Hyperlink.0"/>
    <w:basedOn w:val="19"/>
    <w:qFormat/>
    <w:uiPriority w:val="0"/>
    <w:rPr>
      <w:color w:val="0000FF"/>
      <w:u w:val="single" w:color="0000FF"/>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2">
    <w:name w:val="采购二级"/>
    <w:basedOn w:val="1"/>
    <w:link w:val="33"/>
    <w:qFormat/>
    <w:uiPriority w:val="0"/>
    <w:pPr>
      <w:autoSpaceDE/>
      <w:autoSpaceDN/>
      <w:snapToGrid w:val="0"/>
      <w:spacing w:line="560" w:lineRule="exact"/>
      <w:ind w:firstLine="480" w:firstLineChars="200"/>
      <w:jc w:val="both"/>
      <w:outlineLvl w:val="1"/>
    </w:pPr>
    <w:rPr>
      <w:rFonts w:ascii="仿宋" w:hAnsi="仿宋" w:eastAsia="仿宋" w:cs="Times New Roman"/>
      <w:b/>
      <w:kern w:val="2"/>
      <w:sz w:val="24"/>
      <w:szCs w:val="24"/>
      <w:lang w:val="en-US" w:bidi="ar-SA"/>
    </w:rPr>
  </w:style>
  <w:style w:type="character" w:customStyle="1" w:styleId="33">
    <w:name w:val="采购二级 Char"/>
    <w:link w:val="32"/>
    <w:qFormat/>
    <w:locked/>
    <w:uiPriority w:val="0"/>
    <w:rPr>
      <w:rFonts w:ascii="仿宋" w:hAnsi="仿宋" w:eastAsia="仿宋" w:cs="Times New Roman"/>
      <w:b/>
      <w:kern w:val="2"/>
      <w:sz w:val="24"/>
      <w:szCs w:val="24"/>
    </w:rPr>
  </w:style>
  <w:style w:type="character" w:customStyle="1" w:styleId="34">
    <w:name w:val="普通(网站) Char"/>
    <w:link w:val="17"/>
    <w:qFormat/>
    <w:uiPriority w:val="0"/>
    <w:rPr>
      <w:rFonts w:ascii="宋体" w:hAnsi="宋体" w:eastAsia="宋体" w:cs="宋体"/>
      <w:sz w:val="24"/>
      <w:szCs w:val="22"/>
      <w:lang w:val="zh-CN" w:bidi="zh-CN"/>
    </w:rPr>
  </w:style>
  <w:style w:type="paragraph" w:customStyle="1" w:styleId="35">
    <w:name w:val="Heading 1"/>
    <w:basedOn w:val="1"/>
    <w:qFormat/>
    <w:uiPriority w:val="1"/>
    <w:pPr>
      <w:spacing w:line="360" w:lineRule="exact"/>
      <w:ind w:left="100"/>
      <w:outlineLvl w:val="1"/>
    </w:pPr>
    <w:rPr>
      <w:rFonts w:ascii="微软雅黑" w:hAnsi="微软雅黑" w:eastAsia="微软雅黑" w:cs="微软雅黑"/>
      <w:b/>
      <w:bCs/>
      <w:sz w:val="21"/>
      <w:szCs w:val="21"/>
      <w:lang w:val="en-US" w:eastAsia="en-US" w:bidi="ar-SA"/>
    </w:rPr>
  </w:style>
  <w:style w:type="paragraph" w:customStyle="1" w:styleId="36">
    <w:name w:val="List Paragraph_fa88c24b-01a2-453d-89c2-0ffed6231a83"/>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5007</Words>
  <Characters>28541</Characters>
  <Lines>237</Lines>
  <Paragraphs>66</Paragraphs>
  <ScaleCrop>false</ScaleCrop>
  <LinksUpToDate>false</LinksUpToDate>
  <CharactersWithSpaces>33482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2020-09-05T03:52:00Z</dcterms:created>
  <dc:creator>Administrator</dc:creator>
  <cp:lastModifiedBy>华硕</cp:lastModifiedBy>
  <cp:lastPrinted>2021-06-15T10:18:00Z</cp:lastPrinted>
  <dcterms:modified xsi:type="dcterms:W3CDTF">2022-08-01T11:38:02Z</dcterms:modified>
  <dc:title>采	购	文	件</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C7202C552BA141CEA69DC63EEF958A0E</vt:lpwstr>
  </property>
</Properties>
</file>