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lang w:val="en-US" w:eastAsia="zh-CN"/>
        </w:rPr>
      </w:pPr>
      <w:r>
        <w:rPr>
          <w:rFonts w:hint="eastAsia" w:ascii="仿宋" w:hAnsi="仿宋" w:eastAsia="仿宋" w:cs="仿宋"/>
          <w:b/>
          <w:color w:val="auto"/>
          <w:sz w:val="48"/>
          <w:szCs w:val="48"/>
          <w:lang w:val="en-US" w:eastAsia="zh-CN"/>
        </w:rPr>
        <w:t>新疆维吾尔自治区阿克苏职业技术学院畜牧兽医和园艺技术实训室建设项目</w:t>
      </w:r>
    </w:p>
    <w:p>
      <w:pPr>
        <w:jc w:val="center"/>
        <w:rPr>
          <w:rFonts w:hint="default" w:ascii="仿宋" w:hAnsi="仿宋" w:eastAsia="仿宋" w:cs="仿宋"/>
          <w:b/>
          <w:color w:val="auto"/>
          <w:sz w:val="32"/>
          <w:szCs w:val="32"/>
          <w:lang w:val="en-US"/>
        </w:rPr>
      </w:pPr>
      <w:r>
        <w:rPr>
          <w:rFonts w:hint="eastAsia" w:ascii="仿宋" w:hAnsi="仿宋" w:eastAsia="仿宋" w:cs="仿宋"/>
          <w:b/>
          <w:color w:val="auto"/>
          <w:sz w:val="32"/>
          <w:szCs w:val="32"/>
        </w:rPr>
        <w:t>项目编号：</w:t>
      </w:r>
      <w:r>
        <w:rPr>
          <w:rFonts w:hint="eastAsia" w:ascii="仿宋" w:hAnsi="仿宋" w:eastAsia="仿宋" w:cs="仿宋"/>
          <w:b/>
          <w:color w:val="auto"/>
          <w:sz w:val="32"/>
          <w:szCs w:val="32"/>
          <w:lang w:val="en-US" w:eastAsia="zh-CN"/>
        </w:rPr>
        <w:t>分</w:t>
      </w:r>
      <w:r>
        <w:rPr>
          <w:rFonts w:hint="eastAsia" w:ascii="仿宋" w:hAnsi="仿宋" w:cs="仿宋"/>
          <w:b/>
          <w:color w:val="auto"/>
          <w:sz w:val="32"/>
          <w:szCs w:val="32"/>
          <w:lang w:val="en-US" w:eastAsia="zh-CN"/>
        </w:rPr>
        <w:t>2022-01-267</w:t>
      </w:r>
    </w:p>
    <w:p>
      <w:pPr>
        <w:jc w:val="both"/>
        <w:rPr>
          <w:rFonts w:hint="eastAsia" w:ascii="仿宋" w:hAnsi="仿宋" w:eastAsia="仿宋" w:cs="仿宋"/>
          <w:b/>
          <w:color w:val="auto"/>
          <w:sz w:val="36"/>
          <w:szCs w:val="36"/>
        </w:rPr>
      </w:pPr>
    </w:p>
    <w:p>
      <w:pPr>
        <w:jc w:val="both"/>
        <w:rPr>
          <w:rFonts w:hint="eastAsia" w:ascii="仿宋" w:hAnsi="仿宋" w:eastAsia="仿宋" w:cs="仿宋"/>
          <w:b/>
          <w:color w:val="auto"/>
          <w:sz w:val="36"/>
          <w:szCs w:val="36"/>
        </w:rPr>
      </w:pPr>
    </w:p>
    <w:p>
      <w:pPr>
        <w:pStyle w:val="4"/>
        <w:rPr>
          <w:rFonts w:hint="eastAsia" w:ascii="仿宋" w:hAnsi="仿宋" w:eastAsia="仿宋" w:cs="仿宋"/>
          <w:b/>
          <w:color w:val="auto"/>
          <w:sz w:val="36"/>
          <w:szCs w:val="36"/>
        </w:rPr>
      </w:pPr>
    </w:p>
    <w:p>
      <w:pPr>
        <w:pStyle w:val="4"/>
        <w:rPr>
          <w:rFonts w:hint="eastAsia" w:ascii="仿宋" w:hAnsi="仿宋" w:eastAsia="仿宋" w:cs="仿宋"/>
        </w:rPr>
      </w:pPr>
    </w:p>
    <w:p>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竞</w:t>
      </w:r>
    </w:p>
    <w:p>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争</w:t>
      </w:r>
    </w:p>
    <w:p>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性</w:t>
      </w:r>
    </w:p>
    <w:p>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磋</w:t>
      </w:r>
    </w:p>
    <w:p>
      <w:pPr>
        <w:jc w:val="center"/>
        <w:rPr>
          <w:rFonts w:hint="eastAsia" w:ascii="仿宋" w:hAnsi="仿宋" w:eastAsia="仿宋" w:cs="仿宋"/>
          <w:b/>
          <w:color w:val="auto"/>
          <w:sz w:val="56"/>
          <w:szCs w:val="56"/>
        </w:rPr>
      </w:pPr>
      <w:r>
        <w:rPr>
          <w:rFonts w:hint="eastAsia" w:ascii="仿宋" w:hAnsi="仿宋" w:eastAsia="仿宋" w:cs="仿宋"/>
          <w:b/>
          <w:color w:val="auto"/>
          <w:sz w:val="56"/>
          <w:szCs w:val="56"/>
        </w:rPr>
        <w:t>商</w:t>
      </w: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pStyle w:val="4"/>
        <w:rPr>
          <w:rFonts w:hint="eastAsia" w:ascii="仿宋" w:hAnsi="仿宋" w:eastAsia="仿宋" w:cs="仿宋"/>
        </w:rPr>
      </w:pPr>
    </w:p>
    <w:p>
      <w:pPr>
        <w:jc w:val="both"/>
        <w:rPr>
          <w:rFonts w:hint="eastAsia" w:ascii="仿宋" w:hAnsi="仿宋" w:eastAsia="仿宋" w:cs="仿宋"/>
          <w:color w:val="auto"/>
          <w:sz w:val="36"/>
          <w:szCs w:val="36"/>
        </w:rPr>
      </w:pPr>
    </w:p>
    <w:p>
      <w:pPr>
        <w:pStyle w:val="22"/>
        <w:spacing w:before="0" w:after="0"/>
        <w:ind w:firstLine="0"/>
        <w:jc w:val="center"/>
        <w:rPr>
          <w:rFonts w:hint="eastAsia" w:ascii="仿宋" w:hAnsi="仿宋" w:eastAsia="仿宋" w:cs="仿宋"/>
          <w:color w:val="auto"/>
          <w:sz w:val="36"/>
          <w:szCs w:val="36"/>
          <w:lang w:eastAsia="zh-CN"/>
        </w:rPr>
      </w:pPr>
      <w:r>
        <w:rPr>
          <w:rFonts w:hint="eastAsia" w:ascii="仿宋" w:hAnsi="仿宋" w:eastAsia="仿宋" w:cs="仿宋"/>
          <w:color w:val="auto"/>
          <w:sz w:val="36"/>
          <w:szCs w:val="36"/>
          <w:lang w:eastAsia="zh-CN"/>
        </w:rPr>
        <w:t>新疆领会项目管理有限公司</w:t>
      </w:r>
    </w:p>
    <w:p>
      <w:pPr>
        <w:pStyle w:val="22"/>
        <w:spacing w:before="0" w:after="0"/>
        <w:ind w:firstLine="0"/>
        <w:jc w:val="center"/>
        <w:rPr>
          <w:rFonts w:hint="eastAsia" w:ascii="仿宋" w:hAnsi="仿宋" w:eastAsia="仿宋" w:cs="仿宋"/>
          <w:color w:val="auto"/>
          <w:sz w:val="36"/>
          <w:szCs w:val="36"/>
        </w:rPr>
      </w:pPr>
      <w:r>
        <w:rPr>
          <w:rFonts w:hint="eastAsia" w:ascii="仿宋" w:hAnsi="仿宋" w:eastAsia="仿宋" w:cs="仿宋"/>
          <w:color w:val="auto"/>
          <w:sz w:val="36"/>
          <w:szCs w:val="36"/>
        </w:rPr>
        <w:t>二〇二</w:t>
      </w:r>
      <w:r>
        <w:rPr>
          <w:rFonts w:hint="eastAsia" w:ascii="仿宋" w:hAnsi="仿宋" w:eastAsia="仿宋" w:cs="仿宋"/>
          <w:color w:val="auto"/>
          <w:sz w:val="36"/>
          <w:szCs w:val="36"/>
          <w:lang w:eastAsia="zh-CN"/>
        </w:rPr>
        <w:t>二</w:t>
      </w:r>
      <w:r>
        <w:rPr>
          <w:rFonts w:hint="eastAsia" w:ascii="仿宋" w:hAnsi="仿宋" w:eastAsia="仿宋" w:cs="仿宋"/>
          <w:color w:val="auto"/>
          <w:sz w:val="36"/>
          <w:szCs w:val="36"/>
        </w:rPr>
        <w:t>年</w:t>
      </w:r>
      <w:r>
        <w:rPr>
          <w:rFonts w:hint="eastAsia" w:ascii="仿宋" w:hAnsi="仿宋" w:eastAsia="仿宋" w:cs="仿宋"/>
          <w:color w:val="auto"/>
          <w:sz w:val="36"/>
          <w:szCs w:val="36"/>
          <w:lang w:val="en-US" w:eastAsia="zh-CN"/>
        </w:rPr>
        <w:t>十</w:t>
      </w:r>
      <w:r>
        <w:rPr>
          <w:rFonts w:hint="eastAsia" w:ascii="仿宋" w:hAnsi="仿宋" w:eastAsia="仿宋" w:cs="仿宋"/>
          <w:color w:val="auto"/>
          <w:sz w:val="36"/>
          <w:szCs w:val="36"/>
        </w:rPr>
        <w:t>月</w:t>
      </w:r>
    </w:p>
    <w:p>
      <w:pPr>
        <w:jc w:val="both"/>
        <w:rPr>
          <w:rFonts w:hint="eastAsia" w:ascii="仿宋" w:hAnsi="仿宋" w:eastAsia="仿宋" w:cs="仿宋"/>
          <w:b/>
          <w:color w:val="auto"/>
          <w:sz w:val="48"/>
          <w:szCs w:val="48"/>
        </w:rPr>
      </w:pPr>
    </w:p>
    <w:p>
      <w:pPr>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竞争性磋商文件</w:t>
      </w:r>
    </w:p>
    <w:p>
      <w:pPr>
        <w:spacing w:line="600" w:lineRule="exact"/>
        <w:jc w:val="left"/>
        <w:rPr>
          <w:rFonts w:hint="eastAsia" w:ascii="仿宋" w:hAnsi="仿宋" w:eastAsia="仿宋" w:cs="仿宋"/>
          <w:b/>
          <w:color w:val="auto"/>
          <w:sz w:val="32"/>
          <w:szCs w:val="32"/>
        </w:rPr>
      </w:pPr>
    </w:p>
    <w:p>
      <w:pPr>
        <w:spacing w:line="600" w:lineRule="exact"/>
        <w:ind w:left="1806" w:leftChars="107" w:hanging="1506" w:hangingChars="500"/>
        <w:jc w:val="left"/>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rPr>
        <w:t>工程名称：</w:t>
      </w:r>
      <w:r>
        <w:rPr>
          <w:rFonts w:hint="eastAsia" w:ascii="仿宋" w:hAnsi="仿宋" w:eastAsia="仿宋" w:cs="仿宋"/>
          <w:b/>
          <w:color w:val="auto"/>
          <w:sz w:val="30"/>
          <w:szCs w:val="30"/>
          <w:lang w:val="en-US" w:eastAsia="zh-CN"/>
        </w:rPr>
        <w:t>新疆维吾尔自治区阿克苏职业技术学院畜牧兽医和园艺技术实训室建设项目</w:t>
      </w:r>
    </w:p>
    <w:p>
      <w:pPr>
        <w:spacing w:line="600" w:lineRule="exact"/>
        <w:ind w:firstLine="301" w:firstLineChars="100"/>
        <w:jc w:val="left"/>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招 标 人：</w:t>
      </w:r>
      <w:r>
        <w:rPr>
          <w:rFonts w:hint="eastAsia" w:ascii="仿宋" w:hAnsi="仿宋" w:eastAsia="仿宋" w:cs="仿宋"/>
          <w:b/>
          <w:color w:val="auto"/>
          <w:sz w:val="30"/>
          <w:szCs w:val="30"/>
          <w:lang w:val="en-US" w:eastAsia="zh-CN"/>
        </w:rPr>
        <w:t>新疆维吾尔自治区阿克苏职业技术学院</w:t>
      </w:r>
    </w:p>
    <w:p>
      <w:pPr>
        <w:spacing w:line="600" w:lineRule="exact"/>
        <w:ind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法定代表人或授权委托人（签章）： </w:t>
      </w:r>
    </w:p>
    <w:p>
      <w:pPr>
        <w:widowControl/>
        <w:spacing w:line="700" w:lineRule="exact"/>
        <w:ind w:firstLine="301" w:firstLineChars="100"/>
        <w:jc w:val="left"/>
        <w:rPr>
          <w:rFonts w:hint="eastAsia" w:ascii="仿宋" w:hAnsi="仿宋" w:eastAsia="仿宋" w:cs="仿宋"/>
          <w:b/>
          <w:color w:val="auto"/>
          <w:sz w:val="30"/>
          <w:szCs w:val="30"/>
          <w:lang w:eastAsia="zh-CN"/>
        </w:rPr>
      </w:pPr>
      <w:r>
        <w:rPr>
          <w:rFonts w:hint="eastAsia" w:ascii="仿宋" w:hAnsi="仿宋" w:eastAsia="仿宋" w:cs="仿宋"/>
          <w:b/>
          <w:color w:val="auto"/>
          <w:sz w:val="30"/>
          <w:szCs w:val="30"/>
        </w:rPr>
        <w:t>联 系 人：</w:t>
      </w:r>
      <w:r>
        <w:rPr>
          <w:rFonts w:hint="eastAsia" w:ascii="仿宋" w:hAnsi="仿宋" w:eastAsia="仿宋" w:cs="仿宋"/>
          <w:b/>
          <w:color w:val="auto"/>
          <w:sz w:val="30"/>
          <w:szCs w:val="30"/>
          <w:lang w:val="en-US" w:eastAsia="zh-CN"/>
        </w:rPr>
        <w:t>李洋</w:t>
      </w:r>
    </w:p>
    <w:p>
      <w:pPr>
        <w:widowControl/>
        <w:spacing w:line="700" w:lineRule="exact"/>
        <w:ind w:firstLine="301" w:firstLineChars="100"/>
        <w:jc w:val="left"/>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rPr>
        <w:t>联系电话：</w:t>
      </w:r>
      <w:r>
        <w:rPr>
          <w:rFonts w:hint="eastAsia" w:ascii="仿宋" w:hAnsi="仿宋" w:eastAsia="仿宋" w:cs="仿宋"/>
          <w:b/>
          <w:color w:val="auto"/>
          <w:sz w:val="30"/>
          <w:szCs w:val="30"/>
          <w:lang w:val="en-US" w:eastAsia="zh-CN"/>
        </w:rPr>
        <w:t>18609975581</w:t>
      </w:r>
    </w:p>
    <w:p>
      <w:pPr>
        <w:widowControl/>
        <w:spacing w:line="700" w:lineRule="exact"/>
        <w:ind w:firstLine="301" w:firstLineChars="100"/>
        <w:jc w:val="left"/>
        <w:rPr>
          <w:rFonts w:hint="eastAsia" w:ascii="仿宋" w:hAnsi="仿宋" w:eastAsia="仿宋" w:cs="仿宋"/>
          <w:b/>
          <w:color w:val="auto"/>
          <w:sz w:val="30"/>
          <w:szCs w:val="30"/>
          <w:lang w:val="en-US" w:eastAsia="zh-CN"/>
        </w:rPr>
      </w:pPr>
    </w:p>
    <w:p>
      <w:pPr>
        <w:spacing w:line="480" w:lineRule="exact"/>
        <w:rPr>
          <w:rFonts w:hint="eastAsia" w:ascii="仿宋" w:hAnsi="仿宋" w:eastAsia="仿宋" w:cs="仿宋"/>
          <w:b/>
          <w:color w:val="auto"/>
          <w:sz w:val="30"/>
          <w:szCs w:val="30"/>
        </w:rPr>
      </w:pPr>
    </w:p>
    <w:p>
      <w:pPr>
        <w:spacing w:line="7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招标代理机构：</w:t>
      </w:r>
      <w:r>
        <w:rPr>
          <w:rFonts w:hint="eastAsia" w:ascii="仿宋" w:hAnsi="仿宋" w:eastAsia="仿宋" w:cs="仿宋"/>
          <w:b/>
          <w:color w:val="auto"/>
          <w:sz w:val="30"/>
          <w:szCs w:val="30"/>
          <w:lang w:eastAsia="zh-CN"/>
        </w:rPr>
        <w:t>新疆领会项目管理有限公司</w:t>
      </w:r>
      <w:r>
        <w:rPr>
          <w:rFonts w:hint="eastAsia" w:ascii="仿宋" w:hAnsi="仿宋" w:eastAsia="仿宋" w:cs="仿宋"/>
          <w:b/>
          <w:color w:val="auto"/>
          <w:sz w:val="30"/>
          <w:szCs w:val="30"/>
        </w:rPr>
        <w:t xml:space="preserve">  </w:t>
      </w:r>
    </w:p>
    <w:p>
      <w:pPr>
        <w:spacing w:line="700" w:lineRule="exact"/>
        <w:ind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法定代表人或授权委托人（签章）：</w:t>
      </w:r>
    </w:p>
    <w:p>
      <w:pPr>
        <w:spacing w:line="700" w:lineRule="exact"/>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联 系 人：</w:t>
      </w:r>
      <w:r>
        <w:rPr>
          <w:rFonts w:hint="eastAsia" w:ascii="仿宋" w:hAnsi="仿宋" w:eastAsia="仿宋" w:cs="仿宋"/>
          <w:b/>
          <w:color w:val="auto"/>
          <w:sz w:val="30"/>
          <w:szCs w:val="30"/>
          <w:lang w:val="en-US" w:eastAsia="zh-CN"/>
        </w:rPr>
        <w:t>杜亚兰</w:t>
      </w:r>
    </w:p>
    <w:p>
      <w:pPr>
        <w:spacing w:line="700" w:lineRule="exact"/>
        <w:ind w:firstLine="301" w:firstLineChars="100"/>
        <w:rPr>
          <w:rFonts w:hint="eastAsia" w:ascii="仿宋" w:hAnsi="仿宋" w:eastAsia="仿宋" w:cs="仿宋"/>
          <w:b/>
          <w:color w:val="auto"/>
          <w:sz w:val="30"/>
          <w:szCs w:val="30"/>
        </w:rPr>
      </w:pPr>
      <w:r>
        <w:rPr>
          <w:rFonts w:hint="eastAsia" w:ascii="仿宋" w:hAnsi="仿宋" w:eastAsia="仿宋" w:cs="仿宋"/>
          <w:b/>
          <w:color w:val="auto"/>
          <w:sz w:val="30"/>
          <w:szCs w:val="30"/>
        </w:rPr>
        <w:t>电    话：</w:t>
      </w:r>
      <w:r>
        <w:rPr>
          <w:rFonts w:hint="eastAsia" w:ascii="仿宋" w:hAnsi="仿宋" w:eastAsia="仿宋" w:cs="仿宋"/>
          <w:b/>
          <w:color w:val="auto"/>
          <w:sz w:val="30"/>
          <w:szCs w:val="30"/>
          <w:lang w:val="en-US" w:eastAsia="zh-CN"/>
        </w:rPr>
        <w:t>15886809969</w:t>
      </w:r>
    </w:p>
    <w:p>
      <w:pPr>
        <w:widowControl/>
        <w:spacing w:line="700" w:lineRule="exact"/>
        <w:ind w:firstLine="301" w:firstLineChars="100"/>
        <w:jc w:val="left"/>
        <w:rPr>
          <w:rFonts w:hint="eastAsia" w:ascii="仿宋" w:hAnsi="仿宋" w:eastAsia="仿宋" w:cs="仿宋"/>
          <w:b/>
          <w:color w:val="auto"/>
          <w:sz w:val="30"/>
          <w:szCs w:val="30"/>
        </w:rPr>
      </w:pPr>
      <w:r>
        <w:rPr>
          <w:rFonts w:hint="eastAsia" w:ascii="仿宋" w:hAnsi="仿宋" w:eastAsia="仿宋" w:cs="仿宋"/>
          <w:b/>
          <w:color w:val="auto"/>
          <w:sz w:val="30"/>
          <w:szCs w:val="30"/>
        </w:rPr>
        <w:t>联系地址：</w:t>
      </w:r>
      <w:r>
        <w:rPr>
          <w:rFonts w:hint="eastAsia" w:ascii="仿宋" w:hAnsi="仿宋" w:cs="仿宋"/>
          <w:b/>
          <w:color w:val="auto"/>
          <w:sz w:val="30"/>
          <w:szCs w:val="30"/>
          <w:lang w:val="en-US" w:eastAsia="zh-CN"/>
        </w:rPr>
        <w:t>阿克苏市</w:t>
      </w:r>
      <w:r>
        <w:rPr>
          <w:rFonts w:hint="eastAsia" w:ascii="仿宋" w:hAnsi="仿宋" w:eastAsia="仿宋" w:cs="仿宋"/>
          <w:b/>
          <w:color w:val="auto"/>
          <w:sz w:val="30"/>
          <w:szCs w:val="30"/>
        </w:rPr>
        <w:t>天山美玉城16栋004</w:t>
      </w:r>
    </w:p>
    <w:p>
      <w:pPr>
        <w:widowControl/>
        <w:spacing w:line="700" w:lineRule="exact"/>
        <w:ind w:firstLine="301" w:firstLineChars="100"/>
        <w:jc w:val="left"/>
        <w:rPr>
          <w:rFonts w:hint="eastAsia" w:ascii="仿宋" w:hAnsi="仿宋" w:eastAsia="仿宋" w:cs="仿宋"/>
          <w:b/>
          <w:color w:val="auto"/>
          <w:sz w:val="30"/>
          <w:szCs w:val="30"/>
        </w:rPr>
      </w:pPr>
    </w:p>
    <w:p>
      <w:pPr>
        <w:spacing w:line="480" w:lineRule="exact"/>
        <w:rPr>
          <w:rFonts w:hint="eastAsia" w:ascii="仿宋" w:hAnsi="仿宋" w:eastAsia="仿宋" w:cs="仿宋"/>
          <w:b/>
          <w:color w:val="auto"/>
          <w:sz w:val="30"/>
          <w:szCs w:val="30"/>
        </w:rPr>
      </w:pPr>
    </w:p>
    <w:p>
      <w:pPr>
        <w:spacing w:line="480" w:lineRule="exact"/>
        <w:rPr>
          <w:rFonts w:hint="eastAsia" w:ascii="仿宋" w:hAnsi="仿宋" w:eastAsia="仿宋" w:cs="仿宋"/>
          <w:b/>
          <w:color w:val="auto"/>
          <w:sz w:val="30"/>
          <w:szCs w:val="30"/>
        </w:rPr>
      </w:pPr>
    </w:p>
    <w:p>
      <w:pPr>
        <w:pStyle w:val="22"/>
        <w:spacing w:before="0" w:after="0"/>
        <w:ind w:firstLine="0"/>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二〇二</w:t>
      </w:r>
      <w:r>
        <w:rPr>
          <w:rFonts w:hint="eastAsia" w:ascii="仿宋" w:hAnsi="仿宋" w:eastAsia="仿宋" w:cs="仿宋"/>
          <w:b/>
          <w:color w:val="auto"/>
          <w:sz w:val="30"/>
          <w:szCs w:val="30"/>
          <w:lang w:eastAsia="zh-CN"/>
        </w:rPr>
        <w:t>二</w:t>
      </w:r>
      <w:r>
        <w:rPr>
          <w:rFonts w:hint="eastAsia" w:ascii="仿宋" w:hAnsi="仿宋" w:eastAsia="仿宋" w:cs="仿宋"/>
          <w:b/>
          <w:color w:val="auto"/>
          <w:sz w:val="30"/>
          <w:szCs w:val="30"/>
        </w:rPr>
        <w:t>年</w:t>
      </w:r>
      <w:r>
        <w:rPr>
          <w:rFonts w:hint="eastAsia" w:ascii="仿宋" w:hAnsi="仿宋" w:eastAsia="仿宋" w:cs="仿宋"/>
          <w:b/>
          <w:color w:val="auto"/>
          <w:sz w:val="30"/>
          <w:szCs w:val="30"/>
          <w:lang w:val="en-US" w:eastAsia="zh-CN"/>
        </w:rPr>
        <w:t>十</w:t>
      </w:r>
      <w:r>
        <w:rPr>
          <w:rFonts w:hint="eastAsia" w:ascii="仿宋" w:hAnsi="仿宋" w:eastAsia="仿宋" w:cs="仿宋"/>
          <w:b/>
          <w:color w:val="auto"/>
          <w:sz w:val="30"/>
          <w:szCs w:val="30"/>
        </w:rPr>
        <w:t>月</w:t>
      </w:r>
    </w:p>
    <w:p>
      <w:pPr>
        <w:pStyle w:val="22"/>
        <w:spacing w:before="0" w:after="0"/>
        <w:ind w:firstLine="0"/>
        <w:jc w:val="center"/>
        <w:rPr>
          <w:rFonts w:hint="eastAsia" w:ascii="仿宋" w:hAnsi="仿宋" w:eastAsia="仿宋" w:cs="仿宋"/>
          <w:b/>
          <w:color w:val="auto"/>
          <w:sz w:val="30"/>
          <w:szCs w:val="30"/>
        </w:rPr>
      </w:pPr>
    </w:p>
    <w:p>
      <w:pPr>
        <w:pStyle w:val="22"/>
        <w:spacing w:before="0" w:after="0"/>
        <w:ind w:firstLine="0"/>
        <w:jc w:val="both"/>
        <w:rPr>
          <w:rFonts w:hint="eastAsia" w:ascii="仿宋" w:hAnsi="仿宋" w:eastAsia="仿宋" w:cs="仿宋"/>
          <w:b/>
          <w:color w:val="auto"/>
          <w:sz w:val="30"/>
          <w:szCs w:val="30"/>
        </w:rPr>
      </w:pPr>
    </w:p>
    <w:p>
      <w:pPr>
        <w:spacing w:line="480" w:lineRule="auto"/>
        <w:jc w:val="center"/>
        <w:outlineLvl w:val="0"/>
        <w:rPr>
          <w:rStyle w:val="20"/>
          <w:rFonts w:hint="eastAsia" w:ascii="仿宋" w:hAnsi="仿宋" w:eastAsia="仿宋" w:cs="仿宋"/>
          <w:b/>
          <w:bCs/>
          <w:caps/>
          <w:color w:val="auto"/>
          <w:sz w:val="24"/>
          <w:szCs w:val="24"/>
        </w:rPr>
      </w:pPr>
      <w:r>
        <w:rPr>
          <w:rFonts w:hint="eastAsia" w:ascii="仿宋" w:hAnsi="仿宋" w:eastAsia="仿宋" w:cs="仿宋"/>
          <w:b/>
          <w:color w:val="auto"/>
          <w:sz w:val="24"/>
          <w:szCs w:val="24"/>
        </w:rPr>
        <w:t>总  目  录</w:t>
      </w:r>
      <w:r>
        <w:rPr>
          <w:rFonts w:hint="eastAsia" w:ascii="仿宋" w:hAnsi="仿宋" w:eastAsia="仿宋" w:cs="仿宋"/>
          <w:b/>
          <w:bCs/>
          <w:caps/>
          <w:color w:val="auto"/>
          <w:sz w:val="24"/>
          <w:szCs w:val="24"/>
        </w:rPr>
        <w:fldChar w:fldCharType="begin"/>
      </w:r>
      <w:r>
        <w:rPr>
          <w:rStyle w:val="20"/>
          <w:rFonts w:hint="eastAsia" w:ascii="仿宋" w:hAnsi="仿宋" w:eastAsia="仿宋" w:cs="仿宋"/>
          <w:b/>
          <w:bCs/>
          <w:caps/>
          <w:color w:val="auto"/>
          <w:sz w:val="24"/>
          <w:szCs w:val="24"/>
        </w:rPr>
        <w:instrText xml:space="preserve"> TOC \o "1-2" \h \z \u </w:instrText>
      </w:r>
      <w:r>
        <w:rPr>
          <w:rFonts w:hint="eastAsia" w:ascii="仿宋" w:hAnsi="仿宋" w:eastAsia="仿宋" w:cs="仿宋"/>
          <w:b/>
          <w:bCs/>
          <w:caps/>
          <w:color w:val="auto"/>
          <w:sz w:val="24"/>
          <w:szCs w:val="24"/>
        </w:rPr>
        <w:fldChar w:fldCharType="separate"/>
      </w:r>
    </w:p>
    <w:p>
      <w:pPr>
        <w:pStyle w:val="12"/>
        <w:tabs>
          <w:tab w:val="left" w:pos="1200"/>
          <w:tab w:val="right" w:leader="dot" w:pos="9060"/>
        </w:tabs>
        <w:jc w:val="center"/>
        <w:rPr>
          <w:rStyle w:val="20"/>
          <w:rFonts w:hint="eastAsia" w:ascii="仿宋" w:hAnsi="仿宋" w:eastAsia="仿宋" w:cs="仿宋"/>
          <w:color w:val="auto"/>
          <w:sz w:val="24"/>
          <w:szCs w:val="24"/>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"_Toc403987194" </w:instrText>
      </w:r>
      <w:r>
        <w:rPr>
          <w:rFonts w:hint="eastAsia" w:ascii="仿宋" w:hAnsi="仿宋" w:eastAsia="仿宋" w:cs="仿宋"/>
          <w:color w:val="auto"/>
        </w:rPr>
        <w:fldChar w:fldCharType="separate"/>
      </w:r>
      <w:r>
        <w:rPr>
          <w:rStyle w:val="20"/>
          <w:rFonts w:hint="eastAsia" w:ascii="仿宋" w:hAnsi="仿宋" w:eastAsia="仿宋" w:cs="仿宋"/>
          <w:color w:val="auto"/>
          <w:sz w:val="24"/>
          <w:szCs w:val="24"/>
        </w:rPr>
        <w:t>第一章</w:t>
      </w:r>
      <w:r>
        <w:rPr>
          <w:rStyle w:val="20"/>
          <w:rFonts w:hint="eastAsia" w:ascii="仿宋" w:hAnsi="仿宋" w:eastAsia="仿宋" w:cs="仿宋"/>
          <w:color w:val="auto"/>
          <w:sz w:val="24"/>
          <w:szCs w:val="24"/>
        </w:rPr>
        <w:tab/>
      </w:r>
      <w:r>
        <w:rPr>
          <w:rStyle w:val="20"/>
          <w:rFonts w:hint="eastAsia" w:ascii="仿宋" w:hAnsi="仿宋" w:eastAsia="仿宋" w:cs="仿宋"/>
          <w:color w:val="auto"/>
          <w:sz w:val="24"/>
          <w:szCs w:val="24"/>
        </w:rPr>
        <w:t>竞争性磋商公告</w:t>
      </w:r>
      <w:r>
        <w:rPr>
          <w:rStyle w:val="20"/>
          <w:rFonts w:hint="eastAsia" w:ascii="仿宋" w:hAnsi="仿宋" w:eastAsia="仿宋" w:cs="仿宋"/>
          <w:color w:val="auto"/>
          <w:sz w:val="24"/>
          <w:szCs w:val="24"/>
        </w:rPr>
        <w:tab/>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w:t>
      </w:r>
    </w:p>
    <w:p>
      <w:pPr>
        <w:pStyle w:val="12"/>
        <w:tabs>
          <w:tab w:val="left" w:pos="1200"/>
          <w:tab w:val="right" w:leader="dot" w:pos="9060"/>
        </w:tabs>
        <w:jc w:val="center"/>
        <w:rPr>
          <w:rStyle w:val="20"/>
          <w:rFonts w:hint="eastAsia" w:ascii="仿宋" w:hAnsi="仿宋" w:eastAsia="仿宋" w:cs="仿宋"/>
          <w:color w:val="auto"/>
          <w:sz w:val="24"/>
          <w:szCs w:val="24"/>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"_Toc403987204" </w:instrText>
      </w:r>
      <w:r>
        <w:rPr>
          <w:rFonts w:hint="eastAsia" w:ascii="仿宋" w:hAnsi="仿宋" w:eastAsia="仿宋" w:cs="仿宋"/>
          <w:color w:val="auto"/>
        </w:rPr>
        <w:fldChar w:fldCharType="separate"/>
      </w:r>
      <w:r>
        <w:rPr>
          <w:rStyle w:val="20"/>
          <w:rFonts w:hint="eastAsia" w:ascii="仿宋" w:hAnsi="仿宋" w:eastAsia="仿宋" w:cs="仿宋"/>
          <w:color w:val="auto"/>
          <w:sz w:val="24"/>
          <w:szCs w:val="24"/>
        </w:rPr>
        <w:t>第二章</w:t>
      </w:r>
      <w:r>
        <w:rPr>
          <w:rStyle w:val="20"/>
          <w:rFonts w:hint="eastAsia" w:ascii="仿宋" w:hAnsi="仿宋" w:eastAsia="仿宋" w:cs="仿宋"/>
          <w:color w:val="auto"/>
          <w:sz w:val="24"/>
          <w:szCs w:val="24"/>
        </w:rPr>
        <w:tab/>
      </w:r>
      <w:r>
        <w:rPr>
          <w:rStyle w:val="20"/>
          <w:rFonts w:hint="eastAsia" w:ascii="仿宋" w:hAnsi="仿宋" w:eastAsia="仿宋" w:cs="仿宋"/>
          <w:color w:val="auto"/>
          <w:sz w:val="24"/>
          <w:szCs w:val="24"/>
        </w:rPr>
        <w:t>供应商须知</w:t>
      </w:r>
      <w:r>
        <w:rPr>
          <w:rStyle w:val="20"/>
          <w:rFonts w:hint="eastAsia" w:ascii="仿宋" w:hAnsi="仿宋" w:eastAsia="仿宋" w:cs="仿宋"/>
          <w:color w:val="auto"/>
          <w:sz w:val="24"/>
          <w:szCs w:val="24"/>
        </w:rPr>
        <w:tab/>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4</w:t>
      </w:r>
    </w:p>
    <w:p>
      <w:pPr>
        <w:pStyle w:val="12"/>
        <w:tabs>
          <w:tab w:val="left" w:pos="1200"/>
          <w:tab w:val="right" w:leader="dot" w:pos="9060"/>
        </w:tabs>
        <w:jc w:val="center"/>
        <w:rPr>
          <w:rFonts w:hint="eastAsia" w:ascii="仿宋" w:hAnsi="仿宋" w:eastAsia="仿宋" w:cs="仿宋"/>
          <w:color w:val="auto"/>
          <w:sz w:val="24"/>
          <w:szCs w:val="24"/>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"_Toc403987212" </w:instrText>
      </w:r>
      <w:r>
        <w:rPr>
          <w:rFonts w:hint="eastAsia" w:ascii="仿宋" w:hAnsi="仿宋" w:eastAsia="仿宋" w:cs="仿宋"/>
          <w:color w:val="auto"/>
        </w:rPr>
        <w:fldChar w:fldCharType="separate"/>
      </w:r>
      <w:r>
        <w:rPr>
          <w:rStyle w:val="20"/>
          <w:rFonts w:hint="eastAsia" w:ascii="仿宋" w:hAnsi="仿宋" w:eastAsia="仿宋" w:cs="仿宋"/>
          <w:color w:val="auto"/>
          <w:sz w:val="24"/>
          <w:szCs w:val="24"/>
        </w:rPr>
        <w:t>第三章</w:t>
      </w:r>
      <w:r>
        <w:rPr>
          <w:rStyle w:val="20"/>
          <w:rFonts w:hint="eastAsia" w:ascii="仿宋" w:hAnsi="仿宋" w:eastAsia="仿宋" w:cs="仿宋"/>
          <w:color w:val="auto"/>
          <w:sz w:val="24"/>
          <w:szCs w:val="24"/>
        </w:rPr>
        <w:tab/>
      </w:r>
      <w:r>
        <w:rPr>
          <w:rStyle w:val="20"/>
          <w:rFonts w:hint="eastAsia" w:ascii="仿宋" w:hAnsi="仿宋" w:eastAsia="仿宋" w:cs="仿宋"/>
          <w:color w:val="auto"/>
          <w:sz w:val="24"/>
          <w:szCs w:val="24"/>
        </w:rPr>
        <w:t>合同条款及格式</w:t>
      </w:r>
      <w:r>
        <w:rPr>
          <w:rStyle w:val="20"/>
          <w:rFonts w:hint="eastAsia" w:ascii="仿宋" w:hAnsi="仿宋" w:eastAsia="仿宋" w:cs="仿宋"/>
          <w:color w:val="auto"/>
          <w:sz w:val="24"/>
          <w:szCs w:val="24"/>
        </w:rPr>
        <w:tab/>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14</w:t>
      </w:r>
    </w:p>
    <w:p>
      <w:pPr>
        <w:pStyle w:val="12"/>
        <w:tabs>
          <w:tab w:val="left" w:pos="1200"/>
          <w:tab w:val="right" w:leader="dot" w:pos="9060"/>
        </w:tabs>
        <w:jc w:val="center"/>
        <w:rPr>
          <w:rFonts w:hint="eastAsia" w:ascii="仿宋" w:hAnsi="仿宋" w:eastAsia="仿宋" w:cs="仿宋"/>
          <w:color w:val="auto"/>
          <w:sz w:val="24"/>
          <w:szCs w:val="24"/>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"_Toc403987213" </w:instrText>
      </w:r>
      <w:r>
        <w:rPr>
          <w:rFonts w:hint="eastAsia" w:ascii="仿宋" w:hAnsi="仿宋" w:eastAsia="仿宋" w:cs="仿宋"/>
          <w:color w:val="auto"/>
        </w:rPr>
        <w:fldChar w:fldCharType="separate"/>
      </w:r>
      <w:r>
        <w:rPr>
          <w:rStyle w:val="20"/>
          <w:rFonts w:hint="eastAsia" w:ascii="仿宋" w:hAnsi="仿宋" w:eastAsia="仿宋" w:cs="仿宋"/>
          <w:color w:val="auto"/>
          <w:sz w:val="24"/>
          <w:szCs w:val="24"/>
        </w:rPr>
        <w:t>第四章</w:t>
      </w:r>
      <w:r>
        <w:rPr>
          <w:rStyle w:val="20"/>
          <w:rFonts w:hint="eastAsia" w:ascii="仿宋" w:hAnsi="仿宋" w:eastAsia="仿宋" w:cs="仿宋"/>
          <w:color w:val="auto"/>
          <w:sz w:val="24"/>
          <w:szCs w:val="24"/>
        </w:rPr>
        <w:tab/>
      </w:r>
      <w:r>
        <w:rPr>
          <w:rStyle w:val="20"/>
          <w:rFonts w:hint="eastAsia" w:ascii="仿宋" w:hAnsi="仿宋" w:eastAsia="仿宋" w:cs="仿宋"/>
          <w:color w:val="auto"/>
          <w:sz w:val="24"/>
          <w:szCs w:val="24"/>
        </w:rPr>
        <w:t>项目需求</w:t>
      </w:r>
      <w:r>
        <w:rPr>
          <w:rStyle w:val="20"/>
          <w:rFonts w:hint="eastAsia" w:ascii="仿宋" w:hAnsi="仿宋" w:eastAsia="仿宋" w:cs="仿宋"/>
          <w:color w:val="auto"/>
          <w:sz w:val="24"/>
          <w:szCs w:val="24"/>
        </w:rPr>
        <w:tab/>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15</w:t>
      </w:r>
    </w:p>
    <w:p>
      <w:pPr>
        <w:rPr>
          <w:rFonts w:hint="eastAsia" w:ascii="仿宋" w:hAnsi="仿宋" w:eastAsia="仿宋" w:cs="仿宋"/>
          <w:color w:val="auto"/>
          <w:lang w:val="en-US" w:eastAsia="zh-CN"/>
        </w:rPr>
      </w:pPr>
      <w:r>
        <w:rPr>
          <w:rFonts w:hint="eastAsia" w:ascii="仿宋" w:hAnsi="仿宋" w:eastAsia="仿宋" w:cs="仿宋"/>
          <w:b/>
          <w:bCs/>
          <w:caps/>
          <w:color w:val="auto"/>
          <w:sz w:val="28"/>
          <w:szCs w:val="20"/>
          <w:lang w:val="en-US" w:eastAsia="zh-CN" w:bidi="ar-SA"/>
        </w:rPr>
        <w:fldChar w:fldCharType="begin"/>
      </w:r>
      <w:r>
        <w:rPr>
          <w:rFonts w:hint="eastAsia" w:ascii="仿宋" w:hAnsi="仿宋" w:eastAsia="仿宋" w:cs="仿宋"/>
          <w:b/>
          <w:bCs/>
          <w:caps/>
          <w:color w:val="auto"/>
          <w:sz w:val="28"/>
          <w:szCs w:val="20"/>
          <w:lang w:val="en-US" w:eastAsia="zh-CN" w:bidi="ar-SA"/>
        </w:rPr>
        <w:instrText xml:space="preserve"> HYPERLINK \l "_Toc403987217" </w:instrText>
      </w:r>
      <w:r>
        <w:rPr>
          <w:rFonts w:hint="eastAsia" w:ascii="仿宋" w:hAnsi="仿宋" w:eastAsia="仿宋" w:cs="仿宋"/>
          <w:b/>
          <w:bCs/>
          <w:caps/>
          <w:color w:val="auto"/>
          <w:sz w:val="28"/>
          <w:szCs w:val="20"/>
          <w:lang w:val="en-US" w:eastAsia="zh-CN" w:bidi="ar-SA"/>
        </w:rPr>
        <w:fldChar w:fldCharType="separate"/>
      </w:r>
      <w:r>
        <w:rPr>
          <w:rFonts w:hint="eastAsia" w:ascii="仿宋" w:hAnsi="仿宋" w:eastAsia="仿宋" w:cs="仿宋"/>
          <w:b/>
          <w:bCs/>
          <w:caps/>
          <w:color w:val="auto"/>
          <w:sz w:val="28"/>
          <w:szCs w:val="20"/>
          <w:lang w:val="zh-CN" w:eastAsia="zh-CN" w:bidi="ar-SA"/>
        </w:rPr>
        <w:t>第五章</w:t>
      </w:r>
      <w:r>
        <w:rPr>
          <w:rFonts w:hint="eastAsia" w:ascii="仿宋" w:hAnsi="仿宋" w:eastAsia="仿宋" w:cs="仿宋"/>
          <w:b/>
          <w:bCs/>
          <w:caps/>
          <w:color w:val="auto"/>
          <w:sz w:val="28"/>
          <w:szCs w:val="20"/>
          <w:lang w:val="zh-CN" w:eastAsia="zh-CN" w:bidi="ar-SA"/>
        </w:rPr>
        <w:tab/>
      </w:r>
      <w:r>
        <w:rPr>
          <w:rFonts w:hint="eastAsia" w:ascii="仿宋" w:hAnsi="仿宋" w:eastAsia="仿宋" w:cs="仿宋"/>
          <w:b/>
          <w:bCs/>
          <w:caps/>
          <w:color w:val="auto"/>
          <w:sz w:val="28"/>
          <w:szCs w:val="20"/>
          <w:lang w:val="zh-CN" w:eastAsia="zh-CN" w:bidi="ar-SA"/>
        </w:rPr>
        <w:t>评</w:t>
      </w:r>
      <w:r>
        <w:rPr>
          <w:rFonts w:hint="eastAsia" w:ascii="仿宋" w:hAnsi="仿宋" w:eastAsia="仿宋" w:cs="仿宋"/>
          <w:b/>
          <w:bCs/>
          <w:caps/>
          <w:color w:val="auto"/>
          <w:sz w:val="28"/>
          <w:szCs w:val="20"/>
          <w:lang w:val="zh-CN" w:eastAsia="zh-CN" w:bidi="ar-SA"/>
        </w:rPr>
        <w:fldChar w:fldCharType="end"/>
      </w:r>
      <w:r>
        <w:rPr>
          <w:rFonts w:hint="eastAsia" w:ascii="仿宋" w:hAnsi="仿宋" w:eastAsia="仿宋" w:cs="仿宋"/>
          <w:b/>
          <w:bCs/>
          <w:caps/>
          <w:color w:val="auto"/>
          <w:sz w:val="28"/>
          <w:szCs w:val="20"/>
          <w:lang w:val="zh-CN" w:eastAsia="zh-CN" w:bidi="ar-SA"/>
        </w:rPr>
        <w:t>审标准</w:t>
      </w:r>
      <w:r>
        <w:rPr>
          <w:rFonts w:hint="eastAsia" w:ascii="仿宋" w:hAnsi="仿宋" w:eastAsia="仿宋" w:cs="仿宋"/>
          <w:b w:val="0"/>
          <w:bCs w:val="0"/>
          <w:caps/>
          <w:color w:val="auto"/>
          <w:sz w:val="28"/>
          <w:szCs w:val="20"/>
          <w:lang w:val="zh-CN" w:eastAsia="zh-CN" w:bidi="ar-SA"/>
        </w:rPr>
        <w:tab/>
      </w:r>
      <w:r>
        <w:rPr>
          <w:rFonts w:hint="eastAsia" w:ascii="仿宋" w:hAnsi="仿宋" w:eastAsia="仿宋" w:cs="仿宋"/>
          <w:b w:val="0"/>
          <w:bCs w:val="0"/>
          <w:caps/>
          <w:color w:val="auto"/>
          <w:sz w:val="28"/>
          <w:szCs w:val="20"/>
          <w:lang w:val="en-US" w:eastAsia="zh-CN" w:bidi="ar-SA"/>
        </w:rPr>
        <w:t>.....................................</w:t>
      </w:r>
      <w:r>
        <w:rPr>
          <w:rFonts w:hint="eastAsia" w:ascii="仿宋" w:hAnsi="仿宋" w:cs="仿宋"/>
          <w:b w:val="0"/>
          <w:bCs w:val="0"/>
          <w:caps/>
          <w:color w:val="auto"/>
          <w:sz w:val="28"/>
          <w:szCs w:val="20"/>
          <w:lang w:val="en-US" w:eastAsia="zh-CN" w:bidi="ar-SA"/>
        </w:rPr>
        <w:t>.</w:t>
      </w:r>
      <w:r>
        <w:rPr>
          <w:rFonts w:hint="eastAsia" w:ascii="仿宋" w:hAnsi="仿宋" w:eastAsia="仿宋" w:cs="仿宋"/>
          <w:b w:val="0"/>
          <w:bCs w:val="0"/>
          <w:caps/>
          <w:color w:val="auto"/>
          <w:sz w:val="28"/>
          <w:szCs w:val="20"/>
          <w:lang w:val="en-US" w:eastAsia="zh-CN" w:bidi="ar-SA"/>
        </w:rPr>
        <w:t>.16</w:t>
      </w:r>
    </w:p>
    <w:p>
      <w:pPr>
        <w:pStyle w:val="12"/>
        <w:tabs>
          <w:tab w:val="left" w:pos="1200"/>
          <w:tab w:val="right" w:leader="dot" w:pos="9060"/>
        </w:tabs>
        <w:jc w:val="center"/>
        <w:rPr>
          <w:rFonts w:hint="eastAsia" w:ascii="仿宋" w:hAnsi="仿宋" w:eastAsia="仿宋" w:cs="仿宋"/>
          <w:color w:val="auto"/>
          <w:sz w:val="24"/>
          <w:szCs w:val="24"/>
          <w:lang w:val="en-US" w:eastAsia="zh-CN"/>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"_Toc403987217" </w:instrText>
      </w:r>
      <w:r>
        <w:rPr>
          <w:rFonts w:hint="eastAsia" w:ascii="仿宋" w:hAnsi="仿宋" w:eastAsia="仿宋" w:cs="仿宋"/>
          <w:color w:val="auto"/>
        </w:rPr>
        <w:fldChar w:fldCharType="separate"/>
      </w:r>
      <w:r>
        <w:rPr>
          <w:rStyle w:val="20"/>
          <w:rFonts w:hint="eastAsia" w:ascii="仿宋" w:hAnsi="仿宋" w:eastAsia="仿宋" w:cs="仿宋"/>
          <w:color w:val="auto"/>
          <w:sz w:val="24"/>
          <w:szCs w:val="24"/>
          <w:lang w:val="zh-CN"/>
        </w:rPr>
        <w:t>第六章</w:t>
      </w:r>
      <w:r>
        <w:rPr>
          <w:rStyle w:val="20"/>
          <w:rFonts w:hint="eastAsia" w:ascii="仿宋" w:hAnsi="仿宋" w:eastAsia="仿宋" w:cs="仿宋"/>
          <w:color w:val="auto"/>
          <w:sz w:val="24"/>
          <w:szCs w:val="24"/>
          <w:lang w:val="zh-CN"/>
        </w:rPr>
        <w:tab/>
      </w:r>
      <w:r>
        <w:rPr>
          <w:rStyle w:val="20"/>
          <w:rFonts w:hint="eastAsia" w:ascii="仿宋" w:hAnsi="仿宋" w:eastAsia="仿宋" w:cs="仿宋"/>
          <w:color w:val="auto"/>
          <w:sz w:val="24"/>
          <w:szCs w:val="24"/>
          <w:lang w:val="zh-CN"/>
        </w:rPr>
        <w:t>响应文件格式</w:t>
      </w:r>
      <w:r>
        <w:rPr>
          <w:rStyle w:val="20"/>
          <w:rFonts w:hint="eastAsia" w:ascii="仿宋" w:hAnsi="仿宋" w:eastAsia="仿宋" w:cs="仿宋"/>
          <w:color w:val="auto"/>
          <w:sz w:val="24"/>
          <w:szCs w:val="24"/>
          <w:lang w:val="zh-CN"/>
        </w:rPr>
        <w:tab/>
      </w:r>
      <w:r>
        <w:rPr>
          <w:rFonts w:hint="eastAsia" w:ascii="仿宋" w:hAnsi="仿宋" w:eastAsia="仿宋" w:cs="仿宋"/>
          <w:color w:val="auto"/>
          <w:sz w:val="24"/>
          <w:szCs w:val="24"/>
          <w:lang w:val="zh-CN"/>
        </w:rPr>
        <w:fldChar w:fldCharType="end"/>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18</w:t>
      </w:r>
    </w:p>
    <w:p>
      <w:pPr>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pStyle w:val="23"/>
        <w:keepNext w:val="0"/>
        <w:keepLines w:val="0"/>
        <w:pageBreakBefore w:val="0"/>
        <w:kinsoku/>
        <w:wordWrap/>
        <w:overflowPunct/>
        <w:topLinePunct w:val="0"/>
        <w:bidi w:val="0"/>
        <w:snapToGrid/>
        <w:spacing w:line="430" w:lineRule="exact"/>
        <w:ind w:left="0" w:leftChars="0" w:firstLine="0" w:firstLineChars="0"/>
        <w:jc w:val="center"/>
        <w:rPr>
          <w:rFonts w:hint="eastAsia" w:ascii="仿宋" w:hAnsi="仿宋" w:eastAsia="仿宋" w:cs="仿宋"/>
          <w:b/>
          <w:bCs/>
          <w:sz w:val="36"/>
          <w:szCs w:val="36"/>
        </w:rPr>
      </w:pPr>
      <w:bookmarkStart w:id="0" w:name="_Toc179632545"/>
      <w:bookmarkStart w:id="1" w:name="_Toc152042304"/>
      <w:bookmarkStart w:id="2" w:name="_Toc152045528"/>
      <w:bookmarkStart w:id="3" w:name="_Toc25446"/>
      <w:bookmarkStart w:id="4" w:name="_Toc665"/>
      <w:bookmarkStart w:id="5" w:name="_Toc13641"/>
      <w:bookmarkStart w:id="6" w:name="_Toc144974496"/>
      <w:r>
        <w:rPr>
          <w:rFonts w:hint="eastAsia" w:ascii="仿宋" w:hAnsi="仿宋" w:eastAsia="仿宋" w:cs="仿宋"/>
          <w:b/>
          <w:bCs/>
          <w:sz w:val="30"/>
          <w:szCs w:val="30"/>
          <w:lang w:val="en-US" w:eastAsia="zh-CN"/>
        </w:rPr>
        <w:t>新疆维吾尔自治区阿克苏职业技术学院畜牧兽医和园艺技术实训室建设项目</w:t>
      </w:r>
      <w:r>
        <w:rPr>
          <w:rFonts w:hint="eastAsia" w:ascii="仿宋" w:hAnsi="仿宋" w:eastAsia="仿宋" w:cs="仿宋"/>
          <w:b/>
          <w:bCs/>
          <w:sz w:val="30"/>
          <w:szCs w:val="30"/>
        </w:rPr>
        <w:t>竞争性磋商公告</w:t>
      </w:r>
    </w:p>
    <w:p>
      <w:pPr>
        <w:keepNext w:val="0"/>
        <w:keepLines w:val="0"/>
        <w:pageBreakBefore w:val="0"/>
        <w:kinsoku/>
        <w:wordWrap/>
        <w:overflowPunct/>
        <w:topLinePunct w:val="0"/>
        <w:bidi w:val="0"/>
        <w:snapToGrid/>
        <w:spacing w:line="430" w:lineRule="exact"/>
        <w:rPr>
          <w:rFonts w:hint="eastAsia" w:ascii="仿宋" w:hAnsi="仿宋" w:eastAsia="仿宋" w:cs="仿宋"/>
        </w:rPr>
      </w:pPr>
      <w:r>
        <w:rPr>
          <w:rFonts w:hint="eastAsia" w:ascii="仿宋" w:hAnsi="仿宋" w:eastAsia="仿宋" w:cs="仿宋"/>
          <w:sz w:val="28"/>
          <w:szCs w:val="28"/>
        </w:rPr>
        <mc:AlternateContent>
          <mc:Choice Requires="wps">
            <w:drawing>
              <wp:anchor distT="0" distB="0" distL="114300" distR="114300" simplePos="0" relativeHeight="251659264" behindDoc="1" locked="0" layoutInCell="1" allowOverlap="1">
                <wp:simplePos x="0" y="0"/>
                <wp:positionH relativeFrom="column">
                  <wp:posOffset>-52705</wp:posOffset>
                </wp:positionH>
                <wp:positionV relativeFrom="paragraph">
                  <wp:posOffset>215265</wp:posOffset>
                </wp:positionV>
                <wp:extent cx="5432425" cy="1179830"/>
                <wp:effectExtent l="4445" t="4445" r="11430" b="15875"/>
                <wp:wrapNone/>
                <wp:docPr id="1" name="矩形 1"/>
                <wp:cNvGraphicFramePr/>
                <a:graphic xmlns:a="http://schemas.openxmlformats.org/drawingml/2006/main">
                  <a:graphicData uri="http://schemas.microsoft.com/office/word/2010/wordprocessingShape">
                    <wps:wsp>
                      <wps:cNvSpPr/>
                      <wps:spPr>
                        <a:xfrm>
                          <a:off x="1127760" y="1553845"/>
                          <a:ext cx="5432425" cy="1179830"/>
                        </a:xfrm>
                        <a:prstGeom prst="rect">
                          <a:avLst/>
                        </a:prstGeom>
                        <a:solidFill>
                          <a:srgbClr val="FFFFFF"/>
                        </a:solidFill>
                        <a:ln w="3175"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5pt;margin-top:16.95pt;height:92.9pt;width:427.75pt;z-index:-251657216;v-text-anchor:middle;mso-width-relative:page;mso-height-relative:page;" fillcolor="#FFFFFF" filled="t" stroked="t" coordsize="21600,21600" o:gfxdata="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aoQFt2gAAAAkBAAAPAAAAAAAAAAEAIAAAACIAAABk&#10;cnMvZG93bnJldi54bWxQSwECFAAUAAAACACHTuJAxDVf+XYCAAD3BAAADgAAAAAAAAABACAAAAAp&#10;AQAAZHJzL2Uyb0RvYy54bWxQSwUGAAAAAAYABgBZAQAAEQYAAAAA&#10;">
                <v:fill on="t" focussize="0,0"/>
                <v:stroke weight="0.25pt" color="#000000" joinstyle="round"/>
                <v:imagedata o:title=""/>
                <o:lock v:ext="edit" aspectratio="f"/>
              </v:rect>
            </w:pict>
          </mc:Fallback>
        </mc:AlternateConten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项目概况</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u w:val="single"/>
          <w:lang w:val="en-US" w:eastAsia="zh-CN"/>
        </w:rPr>
        <w:t>新疆维吾尔自治区阿克苏职业技术学院畜牧兽医和园艺技术实训室建设项目</w:t>
      </w:r>
      <w:r>
        <w:rPr>
          <w:rFonts w:hint="eastAsia" w:ascii="仿宋" w:hAnsi="仿宋" w:eastAsia="仿宋" w:cs="仿宋"/>
          <w:sz w:val="28"/>
          <w:szCs w:val="28"/>
          <w:lang w:val="en-US" w:eastAsia="zh-CN"/>
        </w:rPr>
        <w:t>的潜在供应商应在</w:t>
      </w:r>
      <w:r>
        <w:rPr>
          <w:rFonts w:hint="eastAsia" w:ascii="仿宋" w:hAnsi="仿宋" w:eastAsia="仿宋" w:cs="仿宋"/>
          <w:sz w:val="28"/>
          <w:szCs w:val="28"/>
          <w:u w:val="single"/>
          <w:lang w:val="en-US" w:eastAsia="zh-CN"/>
        </w:rPr>
        <w:t>政采云</w:t>
      </w:r>
      <w:r>
        <w:rPr>
          <w:rFonts w:hint="eastAsia" w:ascii="仿宋" w:hAnsi="仿宋" w:eastAsia="仿宋" w:cs="仿宋"/>
          <w:sz w:val="28"/>
          <w:szCs w:val="28"/>
          <w:lang w:val="en-US" w:eastAsia="zh-CN"/>
        </w:rPr>
        <w:t>线上平台获取采购文件，并于</w:t>
      </w:r>
      <w:r>
        <w:rPr>
          <w:rFonts w:hint="eastAsia" w:ascii="仿宋" w:hAnsi="仿宋" w:eastAsia="仿宋" w:cs="仿宋"/>
          <w:color w:val="0000FF"/>
          <w:sz w:val="28"/>
          <w:szCs w:val="28"/>
          <w:u w:val="single"/>
          <w:lang w:val="en-US" w:eastAsia="zh-CN"/>
        </w:rPr>
        <w:t>2022年12月01日16:00时（北京时间）</w:t>
      </w:r>
      <w:r>
        <w:rPr>
          <w:rFonts w:hint="eastAsia" w:ascii="仿宋" w:hAnsi="仿宋" w:eastAsia="仿宋" w:cs="仿宋"/>
          <w:color w:val="000000" w:themeColor="text1"/>
          <w:sz w:val="28"/>
          <w:szCs w:val="28"/>
          <w:lang w:val="en-US" w:eastAsia="zh-CN"/>
          <w14:textFill>
            <w14:solidFill>
              <w14:schemeClr w14:val="tx1"/>
            </w14:solidFill>
          </w14:textFill>
        </w:rPr>
        <w:t>前提交响应文件。</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color w:val="000000" w:themeColor="text1"/>
          <w:sz w:val="28"/>
          <w:szCs w:val="28"/>
          <w14:textFill>
            <w14:solidFill>
              <w14:schemeClr w14:val="tx1"/>
            </w14:solidFill>
          </w14:textFill>
        </w:rPr>
      </w:pPr>
      <w:bookmarkStart w:id="7" w:name="_Toc35393798"/>
      <w:bookmarkStart w:id="8" w:name="_Toc28359089"/>
      <w:bookmarkStart w:id="9" w:name="_Toc35393629"/>
      <w:bookmarkStart w:id="10" w:name="_Toc28359012"/>
      <w:r>
        <w:rPr>
          <w:rFonts w:hint="eastAsia" w:ascii="仿宋" w:hAnsi="仿宋" w:eastAsia="仿宋" w:cs="仿宋"/>
          <w:b/>
          <w:bCs/>
          <w:color w:val="000000" w:themeColor="text1"/>
          <w:sz w:val="28"/>
          <w:szCs w:val="28"/>
          <w14:textFill>
            <w14:solidFill>
              <w14:schemeClr w14:val="tx1"/>
            </w14:solidFill>
          </w14:textFill>
        </w:rPr>
        <w:t>一、项目基本情况</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项目编号：分2022-01-2</w:t>
      </w:r>
      <w:r>
        <w:rPr>
          <w:rFonts w:hint="eastAsia" w:ascii="仿宋" w:hAnsi="仿宋" w:cs="仿宋"/>
          <w:color w:val="000000" w:themeColor="text1"/>
          <w:sz w:val="28"/>
          <w:szCs w:val="28"/>
          <w:lang w:val="en-US" w:eastAsia="zh-CN"/>
          <w14:textFill>
            <w14:solidFill>
              <w14:schemeClr w14:val="tx1"/>
            </w14:solidFill>
          </w14:textFill>
        </w:rPr>
        <w:t>67</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项目名称：新疆维吾尔自治区阿克苏职业技术学院畜牧兽医和园艺技术实训室建设项目</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采购方式：竞争性磋商</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预算金额：</w:t>
      </w:r>
      <w:r>
        <w:rPr>
          <w:rFonts w:hint="eastAsia" w:ascii="仿宋" w:hAnsi="仿宋" w:cs="仿宋"/>
          <w:color w:val="000000" w:themeColor="text1"/>
          <w:sz w:val="28"/>
          <w:szCs w:val="28"/>
          <w:lang w:val="en-US" w:eastAsia="zh-CN"/>
          <w14:textFill>
            <w14:solidFill>
              <w14:schemeClr w14:val="tx1"/>
            </w14:solidFill>
          </w14:textFill>
        </w:rPr>
        <w:t>800000</w:t>
      </w:r>
      <w:r>
        <w:rPr>
          <w:rFonts w:hint="eastAsia" w:ascii="仿宋" w:hAnsi="仿宋" w:eastAsia="仿宋" w:cs="仿宋"/>
          <w:color w:val="000000" w:themeColor="text1"/>
          <w:sz w:val="28"/>
          <w:szCs w:val="28"/>
          <w:lang w:val="en-US" w:eastAsia="zh-CN"/>
          <w14:textFill>
            <w14:solidFill>
              <w14:schemeClr w14:val="tx1"/>
            </w14:solidFill>
          </w14:textFill>
        </w:rPr>
        <w:t>元</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最高限价：</w:t>
      </w:r>
      <w:r>
        <w:rPr>
          <w:rFonts w:hint="eastAsia" w:ascii="仿宋" w:hAnsi="仿宋" w:cs="仿宋"/>
          <w:color w:val="000000" w:themeColor="text1"/>
          <w:sz w:val="28"/>
          <w:szCs w:val="28"/>
          <w:lang w:val="en-US" w:eastAsia="zh-CN"/>
          <w14:textFill>
            <w14:solidFill>
              <w14:schemeClr w14:val="tx1"/>
            </w14:solidFill>
          </w14:textFill>
        </w:rPr>
        <w:t>800000</w:t>
      </w:r>
      <w:r>
        <w:rPr>
          <w:rFonts w:hint="eastAsia" w:ascii="仿宋" w:hAnsi="仿宋" w:eastAsia="仿宋" w:cs="仿宋"/>
          <w:color w:val="000000" w:themeColor="text1"/>
          <w:sz w:val="28"/>
          <w:szCs w:val="28"/>
          <w:lang w:val="en-US" w:eastAsia="zh-CN"/>
          <w14:textFill>
            <w14:solidFill>
              <w14:schemeClr w14:val="tx1"/>
            </w14:solidFill>
          </w14:textFill>
        </w:rPr>
        <w:t>元</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采购需求：</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数量：1</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单位：项</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简要规格描述：详见竞争性磋商文件</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highlight w:val="yellow"/>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合同履行期限：</w:t>
      </w:r>
      <w:r>
        <w:rPr>
          <w:rFonts w:hint="eastAsia" w:ascii="仿宋" w:hAnsi="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lang w:val="en-US" w:eastAsia="zh-CN"/>
          <w14:textFill>
            <w14:solidFill>
              <w14:schemeClr w14:val="tx1"/>
            </w14:solidFill>
          </w14:textFill>
        </w:rPr>
        <w:t>天</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本项目（否）接受联合体。</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color w:val="000000" w:themeColor="text1"/>
          <w:sz w:val="28"/>
          <w:szCs w:val="28"/>
          <w14:textFill>
            <w14:solidFill>
              <w14:schemeClr w14:val="tx1"/>
            </w14:solidFill>
          </w14:textFill>
        </w:rPr>
      </w:pPr>
      <w:bookmarkStart w:id="11" w:name="_Toc35393799"/>
      <w:bookmarkStart w:id="12" w:name="_Toc35393630"/>
      <w:bookmarkStart w:id="13" w:name="_Toc28359090"/>
      <w:bookmarkStart w:id="14" w:name="_Toc28359013"/>
      <w:r>
        <w:rPr>
          <w:rFonts w:hint="eastAsia" w:ascii="仿宋" w:hAnsi="仿宋" w:eastAsia="仿宋" w:cs="仿宋"/>
          <w:b/>
          <w:bCs/>
          <w:color w:val="000000" w:themeColor="text1"/>
          <w:sz w:val="28"/>
          <w:szCs w:val="28"/>
          <w14:textFill>
            <w14:solidFill>
              <w14:schemeClr w14:val="tx1"/>
            </w14:solidFill>
          </w14:textFill>
        </w:rPr>
        <w:t>二、申请人的资格要求：</w:t>
      </w:r>
      <w:bookmarkEnd w:id="11"/>
      <w:bookmarkEnd w:id="12"/>
      <w:bookmarkEnd w:id="13"/>
      <w:bookmarkEnd w:id="14"/>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bookmarkStart w:id="15" w:name="_Toc28359014"/>
      <w:bookmarkStart w:id="16" w:name="_Toc28359091"/>
      <w:r>
        <w:rPr>
          <w:rFonts w:hint="eastAsia" w:ascii="仿宋" w:hAnsi="仿宋" w:eastAsia="仿宋" w:cs="仿宋"/>
          <w:sz w:val="30"/>
          <w:szCs w:val="30"/>
          <w:lang w:val="en-US" w:eastAsia="zh-CN"/>
        </w:rPr>
        <w:t>2</w:t>
      </w:r>
      <w:r>
        <w:rPr>
          <w:rFonts w:hint="eastAsia" w:ascii="仿宋" w:hAnsi="仿宋" w:eastAsia="仿宋" w:cs="仿宋"/>
          <w:sz w:val="30"/>
          <w:szCs w:val="30"/>
        </w:rPr>
        <w:t>、落实政府采购政策需满足的资格要求：</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《新疆维吾尔自治区政府采购促进中小企业发展管理实施办法》（新财规〔2021〕6号）</w:t>
      </w:r>
      <w:r>
        <w:rPr>
          <w:rFonts w:hint="eastAsia" w:ascii="仿宋" w:hAnsi="仿宋" w:eastAsia="仿宋" w:cs="仿宋"/>
          <w:sz w:val="30"/>
          <w:szCs w:val="30"/>
        </w:rPr>
        <w:t>；</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rPr>
        <w:t>（2）《财政部、司法部关于政府采购支持监狱企业发展有关问题的通知》（财库〔2014〕68号）；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eastAsia="zh-CN"/>
        </w:rPr>
        <w:t>《国务院办公厅关于建立政府强制采购节能产品制度的通知》（国办发〔2007〕51号）</w:t>
      </w:r>
      <w:r>
        <w:rPr>
          <w:rFonts w:hint="eastAsia" w:ascii="仿宋" w:hAnsi="仿宋" w:eastAsia="仿宋" w:cs="仿宋"/>
          <w:sz w:val="30"/>
          <w:szCs w:val="30"/>
        </w:rPr>
        <w:t>；</w:t>
      </w:r>
    </w:p>
    <w:p>
      <w:pPr>
        <w:pStyle w:val="17"/>
        <w:keepNext w:val="0"/>
        <w:keepLines w:val="0"/>
        <w:pageBreakBefore w:val="0"/>
        <w:kinsoku/>
        <w:wordWrap/>
        <w:overflowPunct/>
        <w:topLinePunct w:val="0"/>
        <w:autoSpaceDE/>
        <w:autoSpaceDN/>
        <w:bidi w:val="0"/>
        <w:adjustRightInd/>
        <w:snapToGrid/>
        <w:spacing w:line="43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《财政部民政部中国残疾人联合会关于促进残疾人就业政府采购政策的通知》财库〔2017〕141号</w:t>
      </w:r>
      <w:r>
        <w:rPr>
          <w:rFonts w:hint="eastAsia" w:ascii="仿宋" w:hAnsi="仿宋" w:eastAsia="仿宋" w:cs="仿宋"/>
          <w:sz w:val="30"/>
          <w:szCs w:val="30"/>
        </w:rPr>
        <w:t>；</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ind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7" w:name="_Toc35393631"/>
      <w:bookmarkStart w:id="18" w:name="_Toc35393800"/>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法人代表或其委托代理人应提供本人身份证，委托代理人还应提供《法人代表授权委托书》原件；</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rPr>
        <w:t>有效经年检的三证合一营业执照</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highlight w:val="yellow"/>
          <w:lang w:val="en-US" w:eastAsia="zh-CN"/>
        </w:rPr>
      </w:pPr>
      <w:r>
        <w:rPr>
          <w:rFonts w:hint="eastAsia" w:ascii="仿宋" w:hAnsi="仿宋" w:eastAsia="仿宋" w:cs="仿宋"/>
          <w:sz w:val="30"/>
          <w:szCs w:val="30"/>
          <w:highlight w:val="none"/>
          <w:lang w:val="zh-CN" w:eastAsia="zh-CN"/>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lang w:val="zh-CN" w:eastAsia="zh-CN"/>
        </w:rPr>
        <w:t>近三年（</w:t>
      </w:r>
      <w:r>
        <w:rPr>
          <w:rFonts w:hint="eastAsia" w:ascii="仿宋" w:hAnsi="仿宋" w:eastAsia="仿宋" w:cs="仿宋"/>
          <w:sz w:val="30"/>
          <w:szCs w:val="30"/>
          <w:highlight w:val="none"/>
          <w:lang w:val="en-US" w:eastAsia="zh-CN"/>
        </w:rPr>
        <w:t>2019-2021）</w:t>
      </w:r>
      <w:r>
        <w:rPr>
          <w:rFonts w:hint="eastAsia" w:ascii="仿宋" w:hAnsi="仿宋" w:eastAsia="仿宋" w:cs="仿宋"/>
          <w:sz w:val="30"/>
          <w:szCs w:val="30"/>
          <w:highlight w:val="none"/>
          <w:lang w:val="zh-CN" w:eastAsia="zh-CN"/>
        </w:rPr>
        <w:t>任一度财务审计报告或财务报表（企业成立不足三年提供成立至今的）</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供应商如在“信用中国”网站、中国政府采购网被列入严重违法失信行为记录名单的（尚在处罚期内的），将拒绝其参加本次政府采购活动﹙供应商网上自行打印后加盖投标单位公章﹚；</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sz w:val="30"/>
          <w:szCs w:val="30"/>
          <w:lang w:val="en-US" w:eastAsia="zh-CN"/>
        </w:rPr>
        <w:t>(5)</w:t>
      </w:r>
      <w:r>
        <w:rPr>
          <w:rFonts w:hint="eastAsia" w:ascii="仿宋" w:hAnsi="仿宋" w:eastAsia="仿宋" w:cs="仿宋"/>
          <w:sz w:val="30"/>
          <w:szCs w:val="30"/>
        </w:rPr>
        <w:t>相互关联存在实际控制、管理关系的两个企业，不得参加同一项目的投标</w:t>
      </w:r>
      <w:r>
        <w:rPr>
          <w:rFonts w:hint="eastAsia" w:ascii="仿宋" w:hAnsi="仿宋" w:eastAsia="仿宋" w:cs="仿宋"/>
          <w:sz w:val="30"/>
          <w:szCs w:val="30"/>
          <w:lang w:eastAsia="zh-CN"/>
        </w:rPr>
        <w:t>。</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三、获取采购文件</w:t>
      </w:r>
      <w:bookmarkEnd w:id="15"/>
      <w:bookmarkEnd w:id="16"/>
      <w:bookmarkEnd w:id="17"/>
      <w:bookmarkEnd w:id="18"/>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cs="仿宋"/>
          <w:sz w:val="28"/>
          <w:szCs w:val="28"/>
          <w:lang w:val="en-US" w:eastAsia="zh-CN"/>
        </w:rPr>
        <w:t>10</w:t>
      </w:r>
      <w:r>
        <w:rPr>
          <w:rFonts w:hint="eastAsia" w:ascii="仿宋" w:hAnsi="仿宋" w:eastAsia="仿宋" w:cs="仿宋"/>
          <w:sz w:val="28"/>
          <w:szCs w:val="28"/>
        </w:rPr>
        <w:t>月</w:t>
      </w:r>
      <w:r>
        <w:rPr>
          <w:rFonts w:hint="eastAsia" w:ascii="仿宋" w:hAnsi="仿宋" w:cs="仿宋"/>
          <w:sz w:val="28"/>
          <w:szCs w:val="28"/>
          <w:lang w:val="en-US" w:eastAsia="zh-CN"/>
        </w:rPr>
        <w:t>24</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cs="仿宋"/>
          <w:sz w:val="28"/>
          <w:szCs w:val="28"/>
          <w:lang w:val="en-US" w:eastAsia="zh-CN"/>
        </w:rPr>
        <w:t>11</w:t>
      </w:r>
      <w:r>
        <w:rPr>
          <w:rFonts w:hint="eastAsia" w:ascii="仿宋" w:hAnsi="仿宋" w:eastAsia="仿宋" w:cs="仿宋"/>
          <w:sz w:val="28"/>
          <w:szCs w:val="28"/>
        </w:rPr>
        <w:t>月</w:t>
      </w:r>
      <w:r>
        <w:rPr>
          <w:rFonts w:hint="eastAsia" w:ascii="仿宋" w:hAnsi="仿宋" w:cs="仿宋"/>
          <w:sz w:val="28"/>
          <w:szCs w:val="28"/>
          <w:lang w:val="en-US" w:eastAsia="zh-CN"/>
        </w:rPr>
        <w:t>15</w:t>
      </w:r>
      <w:r>
        <w:rPr>
          <w:rFonts w:hint="eastAsia" w:ascii="仿宋" w:hAnsi="仿宋" w:eastAsia="仿宋" w:cs="仿宋"/>
          <w:sz w:val="28"/>
          <w:szCs w:val="28"/>
        </w:rPr>
        <w:t>日，每天上午1</w:t>
      </w:r>
      <w:r>
        <w:rPr>
          <w:rFonts w:hint="eastAsia" w:ascii="仿宋" w:hAnsi="仿宋" w:eastAsia="仿宋" w:cs="仿宋"/>
          <w:sz w:val="28"/>
          <w:szCs w:val="28"/>
          <w:lang w:val="en-US" w:eastAsia="zh-CN"/>
        </w:rPr>
        <w:t>0</w:t>
      </w:r>
      <w:r>
        <w:rPr>
          <w:rFonts w:hint="eastAsia" w:ascii="仿宋" w:hAnsi="仿宋" w:eastAsia="仿宋" w:cs="仿宋"/>
          <w:sz w:val="28"/>
          <w:szCs w:val="28"/>
        </w:rPr>
        <w:t>:00至14:00，下午1</w:t>
      </w:r>
      <w:r>
        <w:rPr>
          <w:rFonts w:hint="eastAsia" w:ascii="仿宋" w:hAnsi="仿宋" w:cs="仿宋"/>
          <w:sz w:val="28"/>
          <w:szCs w:val="28"/>
          <w:lang w:val="en-US" w:eastAsia="zh-CN"/>
        </w:rPr>
        <w:t>5</w:t>
      </w:r>
      <w:r>
        <w:rPr>
          <w:rFonts w:hint="eastAsia" w:ascii="仿宋" w:hAnsi="仿宋" w:eastAsia="仿宋" w:cs="仿宋"/>
          <w:sz w:val="28"/>
          <w:szCs w:val="28"/>
        </w:rPr>
        <w:t>:</w:t>
      </w:r>
      <w:r>
        <w:rPr>
          <w:rFonts w:hint="eastAsia" w:ascii="仿宋" w:hAnsi="仿宋" w:cs="仿宋"/>
          <w:sz w:val="28"/>
          <w:szCs w:val="28"/>
          <w:lang w:val="en-US" w:eastAsia="zh-CN"/>
        </w:rPr>
        <w:t>3</w:t>
      </w:r>
      <w:r>
        <w:rPr>
          <w:rFonts w:hint="eastAsia" w:ascii="仿宋" w:hAnsi="仿宋" w:eastAsia="仿宋" w:cs="仿宋"/>
          <w:sz w:val="28"/>
          <w:szCs w:val="28"/>
        </w:rPr>
        <w:t>0至</w:t>
      </w:r>
      <w:r>
        <w:rPr>
          <w:rFonts w:hint="eastAsia" w:ascii="仿宋" w:hAnsi="仿宋" w:cs="仿宋"/>
          <w:sz w:val="28"/>
          <w:szCs w:val="28"/>
          <w:lang w:val="en-US" w:eastAsia="zh-CN"/>
        </w:rPr>
        <w:t>19</w:t>
      </w:r>
      <w:r>
        <w:rPr>
          <w:rFonts w:hint="eastAsia" w:ascii="仿宋" w:hAnsi="仿宋" w:eastAsia="仿宋" w:cs="仿宋"/>
          <w:sz w:val="28"/>
          <w:szCs w:val="28"/>
        </w:rPr>
        <w:t>:</w:t>
      </w:r>
      <w:r>
        <w:rPr>
          <w:rFonts w:hint="eastAsia" w:ascii="仿宋" w:hAnsi="仿宋" w:cs="仿宋"/>
          <w:sz w:val="28"/>
          <w:szCs w:val="28"/>
          <w:lang w:val="en-US" w:eastAsia="zh-CN"/>
        </w:rPr>
        <w:t>3</w:t>
      </w:r>
      <w:r>
        <w:rPr>
          <w:rFonts w:hint="eastAsia" w:ascii="仿宋" w:hAnsi="仿宋" w:eastAsia="仿宋" w:cs="仿宋"/>
          <w:sz w:val="28"/>
          <w:szCs w:val="28"/>
        </w:rPr>
        <w:t>0（北京时间，法定节假日除</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外）</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地点：政采云线上平台</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w:t>
      </w:r>
      <w:r>
        <w:rPr>
          <w:rFonts w:hint="eastAsia" w:ascii="仿宋" w:hAnsi="仿宋" w:eastAsia="仿宋" w:cs="仿宋"/>
          <w:color w:val="000000" w:themeColor="text1"/>
          <w:sz w:val="28"/>
          <w:szCs w:val="28"/>
          <w14:textFill>
            <w14:solidFill>
              <w14:schemeClr w14:val="tx1"/>
            </w14:solidFill>
          </w14:textFill>
        </w:rPr>
        <w:t>采购文件）</w:t>
      </w:r>
      <w:r>
        <w:rPr>
          <w:rFonts w:hint="eastAsia" w:ascii="仿宋" w:hAnsi="仿宋" w:eastAsia="仿宋" w:cs="仿宋"/>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售价：</w:t>
      </w:r>
      <w:r>
        <w:rPr>
          <w:rFonts w:hint="eastAsia" w:ascii="仿宋" w:hAnsi="仿宋" w:eastAsia="仿宋" w:cs="仿宋"/>
          <w:color w:val="000000" w:themeColor="text1"/>
          <w:sz w:val="28"/>
          <w:szCs w:val="28"/>
          <w:lang w:val="en-US" w:eastAsia="zh-CN"/>
          <w14:textFill>
            <w14:solidFill>
              <w14:schemeClr w14:val="tx1"/>
            </w14:solidFill>
          </w14:textFill>
        </w:rPr>
        <w:t>0</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color w:val="000000" w:themeColor="text1"/>
          <w:sz w:val="28"/>
          <w:szCs w:val="28"/>
          <w14:textFill>
            <w14:solidFill>
              <w14:schemeClr w14:val="tx1"/>
            </w14:solidFill>
          </w14:textFill>
        </w:rPr>
      </w:pPr>
      <w:bookmarkStart w:id="19" w:name="_Toc35393632"/>
      <w:bookmarkStart w:id="20" w:name="_Toc28359092"/>
      <w:bookmarkStart w:id="21" w:name="_Toc28359015"/>
      <w:bookmarkStart w:id="22" w:name="_Toc35393801"/>
      <w:r>
        <w:rPr>
          <w:rFonts w:hint="eastAsia" w:ascii="仿宋" w:hAnsi="仿宋" w:eastAsia="仿宋" w:cs="仿宋"/>
          <w:b/>
          <w:bCs/>
          <w:color w:val="000000" w:themeColor="text1"/>
          <w:sz w:val="28"/>
          <w:szCs w:val="28"/>
          <w14:textFill>
            <w14:solidFill>
              <w14:schemeClr w14:val="tx1"/>
            </w14:solidFill>
          </w14:textFill>
        </w:rPr>
        <w:t>四、响应文件提交</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截止时间：</w:t>
      </w:r>
      <w:r>
        <w:rPr>
          <w:rFonts w:hint="eastAsia" w:ascii="仿宋" w:hAnsi="仿宋" w:eastAsia="仿宋" w:cs="仿宋"/>
          <w:color w:val="0000FF"/>
          <w:sz w:val="28"/>
          <w:szCs w:val="28"/>
          <w:u w:val="none"/>
          <w:lang w:val="en-US" w:eastAsia="zh-CN"/>
        </w:rPr>
        <w:t>2022年12月01日16:00时（北京时间）</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地点：新疆政府采购网政采云平台</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color w:val="000000" w:themeColor="text1"/>
          <w:sz w:val="28"/>
          <w:szCs w:val="28"/>
          <w14:textFill>
            <w14:solidFill>
              <w14:schemeClr w14:val="tx1"/>
            </w14:solidFill>
          </w14:textFill>
        </w:rPr>
      </w:pPr>
      <w:bookmarkStart w:id="23" w:name="_Toc35393802"/>
      <w:bookmarkStart w:id="24" w:name="_Toc28359016"/>
      <w:bookmarkStart w:id="25" w:name="_Toc28359093"/>
      <w:bookmarkStart w:id="26" w:name="_Toc35393633"/>
      <w:r>
        <w:rPr>
          <w:rFonts w:hint="eastAsia" w:ascii="仿宋" w:hAnsi="仿宋" w:eastAsia="仿宋" w:cs="仿宋"/>
          <w:b/>
          <w:bCs/>
          <w:color w:val="000000" w:themeColor="text1"/>
          <w:sz w:val="28"/>
          <w:szCs w:val="28"/>
          <w14:textFill>
            <w14:solidFill>
              <w14:schemeClr w14:val="tx1"/>
            </w14:solidFill>
          </w14:textFill>
        </w:rPr>
        <w:t>五、</w:t>
      </w:r>
      <w:bookmarkEnd w:id="23"/>
      <w:bookmarkEnd w:id="24"/>
      <w:bookmarkEnd w:id="25"/>
      <w:bookmarkEnd w:id="26"/>
      <w:r>
        <w:rPr>
          <w:rFonts w:hint="eastAsia" w:ascii="仿宋" w:hAnsi="仿宋" w:eastAsia="仿宋" w:cs="仿宋"/>
          <w:b/>
          <w:bCs/>
          <w:color w:val="000000" w:themeColor="text1"/>
          <w:sz w:val="28"/>
          <w:szCs w:val="28"/>
          <w14:textFill>
            <w14:solidFill>
              <w14:schemeClr w14:val="tx1"/>
            </w14:solidFill>
          </w14:textFill>
        </w:rPr>
        <w:t>响应文件开启</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时间：</w:t>
      </w:r>
      <w:r>
        <w:rPr>
          <w:rFonts w:hint="eastAsia" w:ascii="仿宋" w:hAnsi="仿宋" w:eastAsia="仿宋" w:cs="仿宋"/>
          <w:color w:val="0000FF"/>
          <w:sz w:val="28"/>
          <w:szCs w:val="28"/>
          <w:u w:val="none"/>
          <w:lang w:val="en-US" w:eastAsia="zh-CN"/>
        </w:rPr>
        <w:t>2022年12月01日16:00时（北京时间）</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地点：新疆政府采购网政采云平台</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color w:val="000000" w:themeColor="text1"/>
          <w:sz w:val="28"/>
          <w:szCs w:val="28"/>
          <w14:textFill>
            <w14:solidFill>
              <w14:schemeClr w14:val="tx1"/>
            </w14:solidFill>
          </w14:textFill>
        </w:rPr>
      </w:pPr>
      <w:bookmarkStart w:id="27" w:name="_Toc35393634"/>
      <w:bookmarkStart w:id="28" w:name="_Toc28359017"/>
      <w:bookmarkStart w:id="29" w:name="_Toc28359094"/>
      <w:bookmarkStart w:id="30" w:name="_Toc35393803"/>
      <w:r>
        <w:rPr>
          <w:rFonts w:hint="eastAsia" w:ascii="仿宋" w:hAnsi="仿宋" w:eastAsia="仿宋" w:cs="仿宋"/>
          <w:b/>
          <w:bCs/>
          <w:color w:val="000000" w:themeColor="text1"/>
          <w:sz w:val="28"/>
          <w:szCs w:val="28"/>
          <w14:textFill>
            <w14:solidFill>
              <w14:schemeClr w14:val="tx1"/>
            </w14:solidFill>
          </w14:textFill>
        </w:rPr>
        <w:t>六、公告期限</w:t>
      </w:r>
      <w:bookmarkEnd w:id="27"/>
      <w:bookmarkEnd w:id="28"/>
      <w:bookmarkEnd w:id="29"/>
      <w:bookmarkEnd w:id="30"/>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自本公告发布之日起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sz w:val="28"/>
          <w:szCs w:val="28"/>
        </w:rPr>
      </w:pPr>
      <w:bookmarkStart w:id="31" w:name="_Toc35393804"/>
      <w:bookmarkStart w:id="32" w:name="_Toc35393635"/>
      <w:r>
        <w:rPr>
          <w:rFonts w:hint="eastAsia" w:ascii="仿宋" w:hAnsi="仿宋" w:eastAsia="仿宋" w:cs="仿宋"/>
          <w:b/>
          <w:bCs/>
          <w:sz w:val="28"/>
          <w:szCs w:val="28"/>
        </w:rPr>
        <w:t>七、其他补充事宜</w:t>
      </w:r>
      <w:bookmarkEnd w:id="31"/>
      <w:bookmarkEnd w:id="32"/>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1.本公告在新疆政府采购网</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阿克苏地区行政公署网</w:t>
      </w:r>
      <w:r>
        <w:rPr>
          <w:rFonts w:hint="eastAsia" w:ascii="仿宋" w:hAnsi="仿宋" w:eastAsia="仿宋" w:cs="仿宋"/>
          <w:i w:val="0"/>
          <w:iCs w:val="0"/>
          <w:caps w:val="0"/>
          <w:color w:val="000000"/>
          <w:spacing w:val="0"/>
          <w:sz w:val="28"/>
          <w:szCs w:val="28"/>
        </w:rPr>
        <w:t>发布</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2.本项目采购文件的答疑、澄清将在新疆政府采购网上发布，采购人在新疆政府采购网上发出澄清或修改通知即视为所有供应商收到该澄清或修改通知。请供应商每天自行登录新疆政府采购网查阅澄清或修改通知。</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3.（1）本项目实行电子招投标，供应商须登录政采云平台申请获取采购文件，并需要使用CA锁，登录政采云电子投标客户端制作响应文件，若供应商参与投标,自行承担与投标有关的一切费用。</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（4）供应商在开标时须携带制作加密电子响应文件所使用的CA锁，电脑须提前配置好浏览器（建议使用360浏览器或谷歌浏览器），以便开标时在线解密。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（5）投标供应商应当在投标截止时间前，将生成的“电子加密响应文件”上传递交至“政府采购云平台”，投标截止时间以后上传递交的响应文件将被“政府采购云平台”拒收。</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（6）本项目响应文件解密时间定为30分钟，如因自身原因导致无法正常解密，后果由供应商自行承担。</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8"/>
          <w:szCs w:val="28"/>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磋商文件不存在质疑的相关问题。超过磋商文件质疑时间将不再接受投标企业所提出的质疑</w:t>
      </w:r>
      <w:r>
        <w:rPr>
          <w:rFonts w:hint="eastAsia" w:ascii="仿宋" w:hAnsi="仿宋" w:eastAsia="仿宋" w:cs="仿宋"/>
          <w:i w:val="0"/>
          <w:iCs w:val="0"/>
          <w:caps w:val="0"/>
          <w:color w:val="000000"/>
          <w:spacing w:val="0"/>
          <w:sz w:val="24"/>
          <w:szCs w:val="24"/>
        </w:rPr>
        <w:t>。</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b/>
          <w:bCs/>
          <w:i w:val="0"/>
          <w:iCs w:val="0"/>
          <w:caps w:val="0"/>
          <w:color w:val="000000"/>
          <w:spacing w:val="0"/>
          <w:sz w:val="24"/>
          <w:szCs w:val="24"/>
        </w:rPr>
      </w:pPr>
      <w:r>
        <w:rPr>
          <w:rFonts w:hint="eastAsia" w:ascii="仿宋" w:hAnsi="仿宋" w:eastAsia="仿宋" w:cs="仿宋"/>
          <w:b/>
          <w:bCs/>
          <w:i w:val="0"/>
          <w:iCs w:val="0"/>
          <w:caps w:val="0"/>
          <w:color w:val="000000"/>
          <w:spacing w:val="0"/>
          <w:sz w:val="24"/>
          <w:szCs w:val="24"/>
        </w:rPr>
        <w:t>特别提示：</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30" w:lineRule="exact"/>
        <w:ind w:left="0" w:right="0" w:firstLine="0"/>
        <w:textAlignment w:val="auto"/>
        <w:rPr>
          <w:rFonts w:hint="eastAsia" w:ascii="仿宋" w:hAnsi="仿宋" w:eastAsia="仿宋" w:cs="仿宋"/>
          <w:sz w:val="28"/>
          <w:szCs w:val="28"/>
        </w:rPr>
      </w:pPr>
      <w:r>
        <w:rPr>
          <w:rFonts w:hint="eastAsia" w:ascii="仿宋" w:hAnsi="仿宋" w:eastAsia="仿宋" w:cs="仿宋"/>
          <w:i w:val="0"/>
          <w:iCs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b/>
          <w:bCs/>
          <w:sz w:val="28"/>
          <w:szCs w:val="28"/>
        </w:rPr>
      </w:pPr>
      <w:bookmarkStart w:id="33" w:name="_Toc35393805"/>
      <w:bookmarkStart w:id="34" w:name="_Toc35393636"/>
      <w:bookmarkStart w:id="35" w:name="_Toc28359095"/>
      <w:bookmarkStart w:id="36" w:name="_Toc28359018"/>
      <w:r>
        <w:rPr>
          <w:rFonts w:hint="eastAsia" w:ascii="仿宋" w:hAnsi="仿宋" w:eastAsia="仿宋" w:cs="仿宋"/>
          <w:b/>
          <w:bCs/>
          <w:sz w:val="28"/>
          <w:szCs w:val="28"/>
        </w:rPr>
        <w:t>八、凡对本次采购提出询问，请按以下方式联系。</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bookmarkStart w:id="37" w:name="_Toc28359096"/>
      <w:bookmarkStart w:id="38" w:name="_Toc35393806"/>
      <w:bookmarkStart w:id="39" w:name="_Toc28359019"/>
      <w:bookmarkStart w:id="40" w:name="_Toc35393637"/>
      <w:r>
        <w:rPr>
          <w:rFonts w:hint="eastAsia" w:ascii="仿宋" w:hAnsi="仿宋" w:eastAsia="仿宋" w:cs="仿宋"/>
          <w:sz w:val="28"/>
          <w:szCs w:val="28"/>
        </w:rPr>
        <w:t>1.采购人信息</w:t>
      </w:r>
      <w:bookmarkEnd w:id="37"/>
      <w:bookmarkEnd w:id="38"/>
      <w:bookmarkEnd w:id="39"/>
      <w:bookmarkEnd w:id="40"/>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30"/>
          <w:szCs w:val="30"/>
          <w:lang w:val="en-US" w:eastAsia="zh-CN"/>
        </w:rPr>
        <w:t>新疆维吾尔自治区阿克苏职业技术学院</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30"/>
          <w:szCs w:val="30"/>
          <w:lang w:val="en-US" w:eastAsia="zh-CN"/>
        </w:rPr>
        <w:t xml:space="preserve">阿克苏地区温宿县温宿镇学府路 41号 </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30"/>
          <w:szCs w:val="30"/>
          <w:lang w:val="en-US" w:eastAsia="zh-CN"/>
        </w:rPr>
        <w:t>18609975581</w:t>
      </w:r>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bookmarkStart w:id="41" w:name="_Toc28359020"/>
      <w:bookmarkStart w:id="42" w:name="_Toc35393638"/>
      <w:bookmarkStart w:id="43" w:name="_Toc35393807"/>
      <w:bookmarkStart w:id="44" w:name="_Toc28359097"/>
      <w:r>
        <w:rPr>
          <w:rFonts w:hint="eastAsia" w:ascii="仿宋" w:hAnsi="仿宋" w:eastAsia="仿宋" w:cs="仿宋"/>
          <w:sz w:val="28"/>
          <w:szCs w:val="28"/>
        </w:rPr>
        <w:t>2.采购代理机构信息</w:t>
      </w:r>
      <w:bookmarkEnd w:id="41"/>
      <w:bookmarkEnd w:id="42"/>
      <w:bookmarkEnd w:id="43"/>
      <w:bookmarkEnd w:id="44"/>
    </w:p>
    <w:p>
      <w:pPr>
        <w:keepNext w:val="0"/>
        <w:keepLines w:val="0"/>
        <w:pageBreakBefore w:val="0"/>
        <w:kinsoku/>
        <w:wordWrap/>
        <w:overflowPunct/>
        <w:topLinePunct w:val="0"/>
        <w:autoSpaceDE/>
        <w:autoSpaceDN/>
        <w:bidi w:val="0"/>
        <w:adjustRightInd/>
        <w:snapToGrid/>
        <w:spacing w:line="430" w:lineRule="exact"/>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lang w:val="en-US" w:eastAsia="zh-CN"/>
        </w:rPr>
        <w:t>新疆领会项目管理有限公司</w:t>
      </w:r>
    </w:p>
    <w:p>
      <w:pPr>
        <w:keepNext w:val="0"/>
        <w:keepLines w:val="0"/>
        <w:pageBreakBefore w:val="0"/>
        <w:kinsoku/>
        <w:wordWrap/>
        <w:overflowPunct/>
        <w:topLinePunct w:val="0"/>
        <w:bidi w:val="0"/>
        <w:snapToGrid/>
        <w:spacing w:line="430" w:lineRule="exac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cs="仿宋"/>
          <w:sz w:val="28"/>
          <w:szCs w:val="28"/>
          <w:lang w:val="en-US" w:eastAsia="zh-CN"/>
        </w:rPr>
        <w:t>阿克苏市</w:t>
      </w:r>
      <w:r>
        <w:rPr>
          <w:rFonts w:hint="eastAsia" w:ascii="仿宋" w:hAnsi="仿宋" w:eastAsia="仿宋" w:cs="仿宋"/>
          <w:sz w:val="28"/>
          <w:szCs w:val="28"/>
        </w:rPr>
        <w:t>天山美玉城16栋004</w:t>
      </w:r>
    </w:p>
    <w:p>
      <w:pPr>
        <w:keepNext w:val="0"/>
        <w:keepLines w:val="0"/>
        <w:pageBreakBefore w:val="0"/>
        <w:kinsoku/>
        <w:wordWrap/>
        <w:overflowPunct/>
        <w:topLinePunct w:val="0"/>
        <w:bidi w:val="0"/>
        <w:snapToGrid/>
        <w:spacing w:line="430" w:lineRule="exact"/>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15886809969</w:t>
      </w:r>
    </w:p>
    <w:p>
      <w:pPr>
        <w:keepNext w:val="0"/>
        <w:keepLines w:val="0"/>
        <w:pageBreakBefore w:val="0"/>
        <w:kinsoku/>
        <w:wordWrap/>
        <w:overflowPunct/>
        <w:topLinePunct w:val="0"/>
        <w:bidi w:val="0"/>
        <w:snapToGrid/>
        <w:spacing w:line="430" w:lineRule="exact"/>
        <w:rPr>
          <w:rFonts w:hint="eastAsia" w:ascii="仿宋" w:hAnsi="仿宋" w:eastAsia="仿宋" w:cs="仿宋"/>
          <w:sz w:val="28"/>
          <w:szCs w:val="28"/>
        </w:rPr>
      </w:pPr>
      <w:bookmarkStart w:id="45" w:name="_Toc28359021"/>
      <w:bookmarkStart w:id="46" w:name="_Toc28359098"/>
      <w:bookmarkStart w:id="47" w:name="_Toc35393808"/>
      <w:bookmarkStart w:id="48" w:name="_Toc35393639"/>
      <w:r>
        <w:rPr>
          <w:rFonts w:hint="eastAsia" w:ascii="仿宋" w:hAnsi="仿宋" w:eastAsia="仿宋" w:cs="仿宋"/>
          <w:sz w:val="28"/>
          <w:szCs w:val="28"/>
        </w:rPr>
        <w:t>3.项目联系方式</w:t>
      </w:r>
      <w:bookmarkEnd w:id="45"/>
      <w:bookmarkEnd w:id="46"/>
      <w:bookmarkEnd w:id="47"/>
      <w:bookmarkEnd w:id="48"/>
    </w:p>
    <w:p>
      <w:pPr>
        <w:keepNext w:val="0"/>
        <w:keepLines w:val="0"/>
        <w:pageBreakBefore w:val="0"/>
        <w:kinsoku/>
        <w:wordWrap/>
        <w:overflowPunct/>
        <w:topLinePunct w:val="0"/>
        <w:bidi w:val="0"/>
        <w:snapToGrid/>
        <w:spacing w:line="430" w:lineRule="exact"/>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杜亚兰</w:t>
      </w:r>
    </w:p>
    <w:p>
      <w:pPr>
        <w:keepNext w:val="0"/>
        <w:keepLines w:val="0"/>
        <w:pageBreakBefore w:val="0"/>
        <w:kinsoku/>
        <w:wordWrap/>
        <w:overflowPunct/>
        <w:topLinePunct w:val="0"/>
        <w:bidi w:val="0"/>
        <w:snapToGrid/>
        <w:spacing w:line="430" w:lineRule="exact"/>
        <w:rPr>
          <w:rFonts w:hint="eastAsia" w:ascii="仿宋" w:hAnsi="仿宋" w:eastAsia="仿宋" w:cs="仿宋"/>
        </w:rPr>
      </w:pPr>
      <w:r>
        <w:rPr>
          <w:rFonts w:hint="eastAsia" w:ascii="仿宋" w:hAnsi="仿宋" w:eastAsia="仿宋" w:cs="仿宋"/>
          <w:sz w:val="28"/>
          <w:szCs w:val="28"/>
        </w:rPr>
        <w:t xml:space="preserve">电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话：</w:t>
      </w:r>
      <w:r>
        <w:rPr>
          <w:rFonts w:hint="eastAsia" w:ascii="仿宋" w:hAnsi="仿宋" w:eastAsia="仿宋" w:cs="仿宋"/>
          <w:sz w:val="28"/>
          <w:szCs w:val="28"/>
          <w:lang w:val="en-US" w:eastAsia="zh-CN"/>
        </w:rPr>
        <w:t>15886809969</w:t>
      </w:r>
    </w:p>
    <w:p>
      <w:pPr>
        <w:pStyle w:val="3"/>
        <w:keepNext w:val="0"/>
        <w:keepLines w:val="0"/>
        <w:numPr>
          <w:ilvl w:val="0"/>
          <w:numId w:val="0"/>
        </w:numPr>
        <w:adjustRightInd w:val="0"/>
        <w:snapToGrid w:val="0"/>
        <w:spacing w:before="120" w:after="120" w:line="360" w:lineRule="auto"/>
        <w:ind w:leftChars="0"/>
        <w:jc w:val="center"/>
        <w:outlineLvl w:val="1"/>
        <w:rPr>
          <w:rFonts w:hint="eastAsia" w:ascii="仿宋" w:hAnsi="仿宋" w:eastAsia="仿宋" w:cs="仿宋"/>
          <w:bCs w:val="0"/>
          <w:color w:val="auto"/>
          <w:sz w:val="28"/>
          <w:szCs w:val="28"/>
          <w:highlight w:val="none"/>
          <w:lang w:eastAsia="zh-CN"/>
        </w:rPr>
      </w:pPr>
    </w:p>
    <w:p>
      <w:pPr>
        <w:pStyle w:val="3"/>
        <w:keepNext w:val="0"/>
        <w:keepLines w:val="0"/>
        <w:numPr>
          <w:ilvl w:val="0"/>
          <w:numId w:val="0"/>
        </w:numPr>
        <w:adjustRightInd w:val="0"/>
        <w:snapToGrid w:val="0"/>
        <w:spacing w:before="120" w:after="120" w:line="360" w:lineRule="auto"/>
        <w:ind w:leftChars="0"/>
        <w:jc w:val="center"/>
        <w:outlineLvl w:val="1"/>
        <w:rPr>
          <w:rFonts w:hint="eastAsia" w:ascii="仿宋" w:hAnsi="仿宋" w:eastAsia="仿宋" w:cs="仿宋"/>
          <w:bCs w:val="0"/>
          <w:color w:val="auto"/>
          <w:sz w:val="28"/>
          <w:szCs w:val="28"/>
          <w:highlight w:val="none"/>
          <w:lang w:eastAsia="zh-CN"/>
        </w:rPr>
      </w:pPr>
    </w:p>
    <w:p>
      <w:pPr>
        <w:pStyle w:val="3"/>
        <w:keepNext w:val="0"/>
        <w:keepLines w:val="0"/>
        <w:numPr>
          <w:ilvl w:val="0"/>
          <w:numId w:val="0"/>
        </w:numPr>
        <w:adjustRightInd w:val="0"/>
        <w:snapToGrid w:val="0"/>
        <w:spacing w:before="120" w:after="120" w:line="360" w:lineRule="auto"/>
        <w:ind w:leftChars="0"/>
        <w:jc w:val="center"/>
        <w:outlineLvl w:val="1"/>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 xml:space="preserve">第二章 </w:t>
      </w:r>
      <w:bookmarkStart w:id="49" w:name="_Toc10132"/>
      <w:bookmarkStart w:id="50" w:name="_Toc32321"/>
      <w:bookmarkStart w:id="51" w:name="_Toc5463"/>
      <w:r>
        <w:rPr>
          <w:rFonts w:hint="eastAsia" w:ascii="仿宋" w:hAnsi="仿宋" w:eastAsia="仿宋" w:cs="仿宋"/>
          <w:bCs w:val="0"/>
          <w:color w:val="auto"/>
          <w:sz w:val="28"/>
          <w:szCs w:val="28"/>
          <w:highlight w:val="none"/>
          <w:lang w:eastAsia="zh-CN"/>
        </w:rPr>
        <w:t>供应商须知</w:t>
      </w:r>
      <w:bookmarkEnd w:id="49"/>
      <w:bookmarkEnd w:id="50"/>
      <w:bookmarkEnd w:id="51"/>
    </w:p>
    <w:p>
      <w:pPr>
        <w:pStyle w:val="3"/>
        <w:keepNext w:val="0"/>
        <w:keepLines w:val="0"/>
        <w:numPr>
          <w:ilvl w:val="0"/>
          <w:numId w:val="0"/>
        </w:numPr>
        <w:adjustRightInd w:val="0"/>
        <w:snapToGrid w:val="0"/>
        <w:spacing w:before="120" w:after="120" w:line="360" w:lineRule="auto"/>
        <w:ind w:leftChars="0"/>
        <w:jc w:val="center"/>
        <w:outlineLvl w:val="1"/>
        <w:rPr>
          <w:rFonts w:hint="eastAsia" w:ascii="仿宋" w:hAnsi="仿宋" w:eastAsia="仿宋" w:cs="仿宋"/>
          <w:bCs w:val="0"/>
          <w:color w:val="auto"/>
          <w:sz w:val="28"/>
          <w:szCs w:val="28"/>
          <w:highlight w:val="none"/>
          <w:lang w:eastAsia="zh-CN"/>
        </w:rPr>
      </w:pPr>
      <w:r>
        <w:rPr>
          <w:rFonts w:hint="eastAsia" w:ascii="仿宋" w:hAnsi="仿宋" w:eastAsia="仿宋" w:cs="仿宋"/>
          <w:bCs w:val="0"/>
          <w:color w:val="auto"/>
          <w:sz w:val="28"/>
          <w:szCs w:val="28"/>
          <w:highlight w:val="none"/>
          <w:lang w:eastAsia="zh-CN"/>
        </w:rPr>
        <w:t>供应商须知前附表</w:t>
      </w:r>
      <w:bookmarkEnd w:id="0"/>
      <w:bookmarkEnd w:id="1"/>
      <w:bookmarkEnd w:id="2"/>
      <w:bookmarkEnd w:id="3"/>
      <w:bookmarkEnd w:id="4"/>
      <w:bookmarkEnd w:id="5"/>
      <w:bookmarkEnd w:id="6"/>
    </w:p>
    <w:tbl>
      <w:tblPr>
        <w:tblStyle w:val="18"/>
        <w:tblpPr w:leftFromText="180" w:rightFromText="180" w:vertAnchor="text" w:horzAnchor="page" w:tblpXSpec="center" w:tblpY="73"/>
        <w:tblOverlap w:val="never"/>
        <w:tblW w:w="10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535"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535" w:type="dxa"/>
            <w:noWrap w:val="0"/>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val="en-US" w:eastAsia="zh-CN"/>
              </w:rPr>
              <w:t>新疆维吾尔自治区阿克苏职业技术学院畜牧兽医和园艺技术实训室建设项目</w:t>
            </w:r>
          </w:p>
          <w:p>
            <w:pPr>
              <w:spacing w:line="360" w:lineRule="auto"/>
              <w:rPr>
                <w:rFonts w:hint="default"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eastAsia="zh-CN"/>
              </w:rPr>
              <w:t>项目</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lang w:val="en-US" w:eastAsia="zh-CN"/>
              </w:rPr>
              <w:t>分2022-01-</w:t>
            </w:r>
            <w:r>
              <w:rPr>
                <w:rFonts w:hint="eastAsia" w:ascii="仿宋" w:hAnsi="仿宋" w:cs="仿宋"/>
                <w:color w:val="auto"/>
                <w:sz w:val="24"/>
                <w:highlight w:val="none"/>
                <w:lang w:val="en-US" w:eastAsia="zh-CN"/>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535" w:type="dxa"/>
            <w:noWrap w:val="0"/>
            <w:vAlign w:val="center"/>
          </w:tcPr>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val="en-US" w:eastAsia="zh-CN"/>
              </w:rPr>
              <w:t>新疆领会项目管理有限公司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535" w:type="dxa"/>
            <w:noWrap w:val="0"/>
            <w:vAlign w:val="center"/>
          </w:tcPr>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磋商内容：</w:t>
            </w:r>
            <w:r>
              <w:rPr>
                <w:rFonts w:hint="eastAsia" w:ascii="仿宋" w:hAnsi="仿宋" w:eastAsia="仿宋" w:cs="仿宋"/>
                <w:color w:val="auto"/>
                <w:sz w:val="24"/>
                <w:szCs w:val="24"/>
                <w:lang w:val="en-US" w:eastAsia="zh-CN"/>
              </w:rPr>
              <w:t>详见采购清单</w:t>
            </w:r>
            <w:r>
              <w:rPr>
                <w:rFonts w:hint="eastAsia" w:ascii="仿宋" w:hAnsi="仿宋" w:eastAsia="仿宋" w:cs="仿宋"/>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9535" w:type="dxa"/>
            <w:noWrap w:val="0"/>
            <w:vAlign w:val="center"/>
          </w:tcPr>
          <w:p>
            <w:pPr>
              <w:spacing w:line="360" w:lineRule="auto"/>
              <w:rPr>
                <w:rFonts w:hint="eastAsia" w:ascii="仿宋" w:hAnsi="仿宋" w:eastAsia="仿宋" w:cs="仿宋"/>
                <w:color w:val="auto"/>
                <w:sz w:val="24"/>
                <w:highlight w:val="yellow"/>
                <w:lang w:eastAsia="zh-CN"/>
              </w:rPr>
            </w:pPr>
            <w:r>
              <w:rPr>
                <w:rFonts w:hint="eastAsia" w:ascii="仿宋" w:hAnsi="仿宋" w:eastAsia="仿宋" w:cs="仿宋"/>
                <w:color w:val="auto"/>
                <w:sz w:val="24"/>
                <w:highlight w:val="none"/>
                <w:lang w:eastAsia="zh-CN"/>
              </w:rPr>
              <w:t>供货服务期限：</w:t>
            </w:r>
            <w:r>
              <w:rPr>
                <w:rFonts w:hint="eastAsia" w:ascii="仿宋" w:hAnsi="仿宋" w:eastAsia="仿宋" w:cs="仿宋"/>
                <w:color w:val="auto"/>
                <w:sz w:val="24"/>
                <w:szCs w:val="24"/>
                <w:lang w:val="en-US" w:eastAsia="zh-CN"/>
              </w:rPr>
              <w:t>自甲乙双方合同签订</w:t>
            </w:r>
            <w:r>
              <w:rPr>
                <w:rFonts w:hint="eastAsia" w:ascii="仿宋" w:hAnsi="仿宋" w:eastAsia="仿宋" w:cs="仿宋"/>
                <w:color w:val="auto"/>
                <w:sz w:val="24"/>
                <w:szCs w:val="24"/>
                <w:highlight w:val="none"/>
                <w:lang w:val="en-US" w:eastAsia="zh-CN"/>
              </w:rPr>
              <w:t>后30天。</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供货服务区域：疆维吾尔自治区阿克苏职业技术学院。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5</w:t>
            </w:r>
          </w:p>
        </w:tc>
        <w:tc>
          <w:tcPr>
            <w:tcW w:w="9535" w:type="dxa"/>
            <w:noWrap w:val="0"/>
            <w:vAlign w:val="center"/>
          </w:tcPr>
          <w:p>
            <w:pPr>
              <w:spacing w:line="360" w:lineRule="auto"/>
              <w:rPr>
                <w:rFonts w:hint="eastAsia"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最高限价：800000.00</w:t>
            </w:r>
            <w:r>
              <w:rPr>
                <w:rFonts w:hint="eastAsia" w:ascii="仿宋" w:hAnsi="仿宋" w:eastAsia="仿宋" w:cs="仿宋"/>
                <w:color w:val="auto"/>
                <w:sz w:val="24"/>
                <w:highlight w:val="none"/>
                <w:lang w:val="en-US" w:eastAsia="zh-CN"/>
              </w:rPr>
              <w:t>元（高于此报价视为无效报价）</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对低于成本的报价需做出成本分析并提交相关证明材料。成本构成逐项做出详细说明，投标人不能合理说明或者不能提供相应证明材料的，由评标委员会认定该投标人以低于成本报价竞标，否决其投标。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cs="仿宋"/>
                <w:color w:val="auto"/>
                <w:sz w:val="24"/>
                <w:highlight w:val="none"/>
                <w:lang w:val="en-US" w:eastAsia="zh-CN"/>
              </w:rPr>
              <w:t>6</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资格条件、能力和信誉：</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资格条件：1.满足《中华人民共和国政府采购法》第二十二条规定；</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、落实政府采购政策需满足的资格要求：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《新疆维吾尔自治区政府采购促进中小企业发展管理实施办法》（新财规〔2021〕6号）</w:t>
            </w:r>
            <w:r>
              <w:rPr>
                <w:rFonts w:hint="eastAsia" w:ascii="仿宋" w:hAnsi="仿宋" w:eastAsia="仿宋" w:cs="仿宋"/>
                <w:color w:val="auto"/>
                <w:sz w:val="24"/>
                <w:highlight w:val="none"/>
              </w:rPr>
              <w:t>；</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（2）《财政部、司法部关于政府采购支持监狱企业发展有关问题的通知》（财库〔2014〕68号）；</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《国务院办公厅关于建立政府强制采购节能产品制度的通知》（国办发〔2007〕51号）</w:t>
            </w:r>
            <w:r>
              <w:rPr>
                <w:rFonts w:hint="eastAsia" w:ascii="仿宋" w:hAnsi="仿宋" w:eastAsia="仿宋" w:cs="仿宋"/>
                <w:color w:val="auto"/>
                <w:sz w:val="24"/>
                <w:highlight w:val="none"/>
              </w:rPr>
              <w:t>；</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《财政部民政部中国残疾人联合会关于促进残疾人就业政府采购政策的通知》财库〔2017〕141号</w:t>
            </w:r>
            <w:r>
              <w:rPr>
                <w:rFonts w:hint="eastAsia" w:ascii="仿宋" w:hAnsi="仿宋" w:eastAsia="仿宋" w:cs="仿宋"/>
                <w:color w:val="auto"/>
                <w:sz w:val="24"/>
                <w:highlight w:val="none"/>
              </w:rPr>
              <w:t>；</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法人代表或其委托代理人应提供本人身份证原件，委托代理人还应提供《法人代表授权委托书》原件；</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有效经年检的三证合一营业执照</w:t>
            </w:r>
            <w:r>
              <w:rPr>
                <w:rFonts w:hint="eastAsia" w:ascii="仿宋" w:hAnsi="仿宋" w:eastAsia="仿宋" w:cs="仿宋"/>
                <w:color w:val="auto"/>
                <w:sz w:val="24"/>
                <w:highlight w:val="none"/>
                <w:lang w:eastAsia="zh-CN"/>
              </w:rPr>
              <w:t>；</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近三年（</w:t>
            </w:r>
            <w:r>
              <w:rPr>
                <w:rFonts w:hint="eastAsia" w:ascii="仿宋" w:hAnsi="仿宋" w:eastAsia="仿宋" w:cs="仿宋"/>
                <w:color w:val="auto"/>
                <w:sz w:val="24"/>
                <w:highlight w:val="none"/>
                <w:lang w:val="en-US" w:eastAsia="zh-CN"/>
              </w:rPr>
              <w:t>2019-2021）任一</w:t>
            </w:r>
            <w:r>
              <w:rPr>
                <w:rFonts w:hint="eastAsia" w:ascii="仿宋" w:hAnsi="仿宋" w:eastAsia="仿宋" w:cs="仿宋"/>
                <w:color w:val="auto"/>
                <w:sz w:val="24"/>
                <w:highlight w:val="none"/>
                <w:lang w:val="zh-CN" w:eastAsia="zh-CN"/>
              </w:rPr>
              <w:t>年度财务审计报告或财务报表（企业成立不足三年提供成立至今的）</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供应商如在“信用中国”网站、中国政府采购网被列入严重违法失信行为记录名单的（尚在处罚期内的），将拒绝其参加本次政府采购活动﹙供应商网上自行打印后加盖投标单位公章﹚；</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相互关联存在实际控制、管理关系的两个企业，不得参加同一项目的投标</w:t>
            </w:r>
            <w:r>
              <w:rPr>
                <w:rFonts w:hint="eastAsia" w:ascii="仿宋" w:hAnsi="仿宋" w:eastAsia="仿宋" w:cs="仿宋"/>
                <w:color w:val="auto"/>
                <w:sz w:val="24"/>
                <w:highlight w:val="none"/>
                <w:lang w:eastAsia="zh-CN"/>
              </w:rPr>
              <w:t>。</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财务要求：财务状况良好。</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信誉要求：良好</w:t>
            </w:r>
            <w:r>
              <w:rPr>
                <w:rFonts w:hint="eastAsia" w:ascii="仿宋" w:hAnsi="仿宋" w:eastAsia="仿宋" w:cs="仿宋"/>
                <w:color w:val="auto"/>
                <w:sz w:val="24"/>
                <w:highlight w:val="none"/>
                <w:lang w:eastAsia="zh-CN"/>
              </w:rPr>
              <w:t>，无不良行为记录</w:t>
            </w:r>
            <w:r>
              <w:rPr>
                <w:rFonts w:hint="eastAsia" w:ascii="仿宋" w:hAnsi="仿宋" w:eastAsia="仿宋" w:cs="仿宋"/>
                <w:color w:val="auto"/>
                <w:sz w:val="24"/>
                <w:highlight w:val="none"/>
              </w:rPr>
              <w:t>。</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sz w:val="24"/>
                <w:highlight w:val="none"/>
              </w:rPr>
              <w:t>其他要求：</w:t>
            </w:r>
            <w:r>
              <w:rPr>
                <w:rFonts w:hint="eastAsia" w:ascii="仿宋" w:hAnsi="仿宋" w:eastAsia="仿宋" w:cs="仿宋"/>
                <w:color w:val="auto"/>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4"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cs="仿宋"/>
                <w:color w:val="auto"/>
                <w:sz w:val="24"/>
                <w:highlight w:val="none"/>
                <w:lang w:val="en-US" w:eastAsia="zh-CN"/>
              </w:rPr>
              <w:t>7</w:t>
            </w:r>
          </w:p>
        </w:tc>
        <w:tc>
          <w:tcPr>
            <w:tcW w:w="9535" w:type="dxa"/>
            <w:noWrap w:val="0"/>
            <w:vAlign w:val="center"/>
          </w:tcPr>
          <w:p>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投标保证金：</w:t>
            </w:r>
          </w:p>
          <w:p>
            <w:pPr>
              <w:numPr>
                <w:ilvl w:val="0"/>
                <w:numId w:val="2"/>
              </w:num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投标保证金金额：</w:t>
            </w:r>
            <w:r>
              <w:rPr>
                <w:rFonts w:hint="eastAsia" w:ascii="仿宋" w:hAnsi="仿宋" w:eastAsia="仿宋" w:cs="仿宋"/>
                <w:color w:val="auto"/>
                <w:sz w:val="24"/>
                <w:highlight w:val="none"/>
                <w:lang w:eastAsia="zh-CN"/>
              </w:rPr>
              <w:t>本项目</w:t>
            </w:r>
            <w:r>
              <w:rPr>
                <w:rFonts w:hint="eastAsia" w:ascii="仿宋" w:hAnsi="仿宋" w:eastAsia="仿宋" w:cs="仿宋"/>
                <w:b/>
                <w:bCs/>
                <w:color w:val="auto"/>
                <w:sz w:val="24"/>
                <w:highlight w:val="none"/>
                <w:lang w:eastAsia="zh-CN"/>
              </w:rPr>
              <w:t>不缴纳投标保证金</w:t>
            </w:r>
            <w:r>
              <w:rPr>
                <w:rFonts w:hint="eastAsia" w:ascii="仿宋" w:hAnsi="仿宋" w:eastAsia="仿宋" w:cs="仿宋"/>
                <w:color w:val="auto"/>
                <w:sz w:val="24"/>
                <w:highlight w:val="none"/>
                <w:lang w:eastAsia="zh-CN"/>
              </w:rPr>
              <w:t>。</w:t>
            </w:r>
          </w:p>
          <w:p>
            <w:pPr>
              <w:numPr>
                <w:ilvl w:val="0"/>
                <w:numId w:val="2"/>
              </w:num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以下条款不适用。</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投标保证金提交方式：投标保证金应当以支票、汇票、本票或者金融机构、担保机构出具的保函等非现金形式提交。投标人未按照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文件要求提交投标保证金的，投标无效。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注：保证金必须从</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基本帐户一次性汇入指定的银行帐户</w:t>
            </w:r>
            <w:r>
              <w:rPr>
                <w:rFonts w:hint="eastAsia" w:ascii="仿宋" w:hAnsi="仿宋" w:eastAsia="仿宋" w:cs="仿宋"/>
                <w:color w:val="auto"/>
                <w:sz w:val="24"/>
                <w:highlight w:val="none"/>
                <w:lang w:eastAsia="zh-CN"/>
              </w:rPr>
              <w:t>，且</w:t>
            </w:r>
            <w:r>
              <w:rPr>
                <w:rFonts w:hint="eastAsia" w:ascii="仿宋" w:hAnsi="仿宋" w:eastAsia="仿宋" w:cs="仿宋"/>
                <w:color w:val="auto"/>
                <w:sz w:val="24"/>
                <w:highlight w:val="none"/>
              </w:rPr>
              <w:t>标注项目名称、</w:t>
            </w:r>
            <w:r>
              <w:rPr>
                <w:rFonts w:hint="eastAsia" w:ascii="仿宋" w:hAnsi="仿宋" w:eastAsia="仿宋" w:cs="仿宋"/>
                <w:color w:val="auto"/>
                <w:sz w:val="24"/>
                <w:highlight w:val="none"/>
                <w:lang w:eastAsia="zh-CN"/>
              </w:rPr>
              <w:t>编号，可缩写</w:t>
            </w:r>
            <w:r>
              <w:rPr>
                <w:rFonts w:hint="eastAsia" w:ascii="仿宋" w:hAnsi="仿宋" w:eastAsia="仿宋" w:cs="仿宋"/>
                <w:color w:val="auto"/>
                <w:sz w:val="24"/>
                <w:highlight w:val="none"/>
              </w:rPr>
              <w:t>）</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开户银行：中国银行股份有限公司阿克苏市东大街支行</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w:t>
            </w:r>
            <w:r>
              <w:rPr>
                <w:rFonts w:hint="eastAsia" w:ascii="仿宋" w:hAnsi="仿宋" w:eastAsia="仿宋" w:cs="仿宋"/>
                <w:color w:val="auto"/>
                <w:sz w:val="24"/>
                <w:highlight w:val="none"/>
                <w:lang w:eastAsia="zh-CN"/>
              </w:rPr>
              <w:t>新疆领会项目管理有限公司</w:t>
            </w:r>
          </w:p>
          <w:p>
            <w:pPr>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开户行行号：</w:t>
            </w:r>
            <w:r>
              <w:rPr>
                <w:rFonts w:hint="eastAsia" w:ascii="仿宋" w:hAnsi="仿宋" w:eastAsia="仿宋" w:cs="仿宋"/>
                <w:color w:val="auto"/>
                <w:sz w:val="24"/>
                <w:highlight w:val="none"/>
                <w:lang w:val="en-US" w:eastAsia="zh-CN"/>
              </w:rPr>
              <w:t>104891001064</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帐    号：108282793420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cs="仿宋"/>
                <w:color w:val="auto"/>
                <w:sz w:val="24"/>
                <w:highlight w:val="none"/>
                <w:lang w:val="en-US" w:eastAsia="zh-CN"/>
              </w:rPr>
              <w:t>8</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有效期：</w:t>
            </w:r>
            <w:r>
              <w:rPr>
                <w:rFonts w:hint="eastAsia" w:ascii="仿宋" w:hAnsi="仿宋" w:cs="仿宋"/>
                <w:color w:val="auto"/>
                <w:sz w:val="24"/>
                <w:highlight w:val="none"/>
                <w:lang w:val="en-US" w:eastAsia="zh-CN"/>
              </w:rPr>
              <w:t>30</w:t>
            </w:r>
            <w:r>
              <w:rPr>
                <w:rFonts w:hint="eastAsia" w:ascii="仿宋" w:hAnsi="仿宋" w:eastAsia="仿宋" w:cs="仿宋"/>
                <w:color w:val="auto"/>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cs="仿宋"/>
                <w:color w:val="auto"/>
                <w:sz w:val="24"/>
                <w:highlight w:val="none"/>
                <w:lang w:val="en-US" w:eastAsia="zh-CN"/>
              </w:rPr>
              <w:t>9</w:t>
            </w:r>
          </w:p>
        </w:tc>
        <w:tc>
          <w:tcPr>
            <w:tcW w:w="9535" w:type="dxa"/>
            <w:noWrap w:val="0"/>
            <w:vAlign w:val="center"/>
          </w:tcPr>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投标截止时间：</w:t>
            </w:r>
            <w:r>
              <w:rPr>
                <w:rFonts w:hint="eastAsia" w:ascii="仿宋" w:hAnsi="仿宋" w:eastAsia="仿宋" w:cs="仿宋"/>
                <w:color w:val="0000FF"/>
                <w:sz w:val="24"/>
                <w:highlight w:val="none"/>
                <w:lang w:val="en-US" w:eastAsia="zh-CN"/>
              </w:rPr>
              <w:t>2022年12月01日16:00时（北京时间）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30" w:type="dxa"/>
            <w:noWrap w:val="0"/>
            <w:vAlign w:val="center"/>
          </w:tcPr>
          <w:p>
            <w:pPr>
              <w:spacing w:line="360" w:lineRule="auto"/>
              <w:jc w:val="center"/>
              <w:rPr>
                <w:rFonts w:hint="default" w:ascii="仿宋" w:hAnsi="仿宋" w:eastAsia="仿宋" w:cs="仿宋"/>
                <w:color w:val="auto"/>
                <w:sz w:val="24"/>
                <w:highlight w:val="none"/>
                <w:lang w:val="en-US" w:eastAsia="zh-CN"/>
              </w:rPr>
            </w:pPr>
            <w:r>
              <w:rPr>
                <w:rFonts w:hint="eastAsia" w:ascii="仿宋" w:hAnsi="仿宋" w:cs="仿宋"/>
                <w:color w:val="auto"/>
                <w:sz w:val="24"/>
                <w:highlight w:val="none"/>
                <w:lang w:val="en-US" w:eastAsia="zh-CN"/>
              </w:rPr>
              <w:t>10</w:t>
            </w:r>
          </w:p>
        </w:tc>
        <w:tc>
          <w:tcPr>
            <w:tcW w:w="9535" w:type="dxa"/>
            <w:noWrap w:val="0"/>
            <w:vAlign w:val="center"/>
          </w:tcPr>
          <w:p>
            <w:pPr>
              <w:spacing w:line="360" w:lineRule="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响应文件</w:t>
            </w:r>
            <w:r>
              <w:rPr>
                <w:rFonts w:hint="eastAsia" w:ascii="仿宋" w:hAnsi="仿宋" w:eastAsia="仿宋" w:cs="仿宋"/>
                <w:color w:val="000000" w:themeColor="text1"/>
                <w:sz w:val="24"/>
                <w:highlight w:val="none"/>
                <w14:textFill>
                  <w14:solidFill>
                    <w14:schemeClr w14:val="tx1"/>
                  </w14:solidFill>
                </w14:textFill>
              </w:rPr>
              <w:t>递交地点：新疆政府采购网政采云平台</w:t>
            </w:r>
            <w:r>
              <w:rPr>
                <w:rFonts w:hint="eastAsia" w:ascii="仿宋" w:hAnsi="仿宋" w:cs="仿宋"/>
                <w:color w:val="000000" w:themeColor="text1"/>
                <w:sz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1</w:t>
            </w:r>
          </w:p>
        </w:tc>
        <w:tc>
          <w:tcPr>
            <w:tcW w:w="9535" w:type="dxa"/>
            <w:noWrap w:val="0"/>
            <w:vAlign w:val="center"/>
          </w:tcPr>
          <w:p>
            <w:p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开标日期：</w:t>
            </w:r>
            <w:r>
              <w:rPr>
                <w:rFonts w:hint="eastAsia" w:ascii="仿宋" w:hAnsi="仿宋" w:eastAsia="仿宋" w:cs="仿宋"/>
                <w:color w:val="0000FF"/>
                <w:sz w:val="24"/>
                <w:highlight w:val="none"/>
                <w:lang w:val="en-US" w:eastAsia="zh-CN"/>
              </w:rPr>
              <w:t>2022年12月01日16:00时（北京时间）</w:t>
            </w:r>
          </w:p>
          <w:p>
            <w:pPr>
              <w:spacing w:line="360" w:lineRule="auto"/>
              <w:rPr>
                <w:rFonts w:hint="eastAsia" w:ascii="仿宋" w:hAnsi="仿宋" w:eastAsia="仿宋" w:cs="仿宋"/>
                <w:color w:val="000000" w:themeColor="text1"/>
                <w:sz w:val="24"/>
                <w:highlight w:val="none"/>
                <w:lang w:val="en-US"/>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开标地点：新疆政府采购网政采云平台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cs="仿宋"/>
                <w:color w:val="auto"/>
                <w:sz w:val="24"/>
                <w:highlight w:val="none"/>
                <w:lang w:val="en-US" w:eastAsia="zh-CN"/>
              </w:rPr>
              <w:t>2</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的要求：</w:t>
            </w:r>
          </w:p>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1、份数要求：正本壹份、副本</w:t>
            </w:r>
            <w:r>
              <w:rPr>
                <w:rFonts w:hint="eastAsia" w:ascii="仿宋" w:hAnsi="仿宋" w:eastAsia="仿宋" w:cs="仿宋"/>
                <w:color w:val="auto"/>
                <w:sz w:val="24"/>
                <w:highlight w:val="none"/>
                <w:lang w:val="en-US" w:eastAsia="zh-CN"/>
              </w:rPr>
              <w:t>贰</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电子标壹份（U盘）。（开标结束后按要求提供给招标代理人）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2、装订要求：分册装订，</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装订成一册，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的装订必须采用死页胶粘本，不允许活页形式装订（非胶粘方式装订的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一律视同活页装订），活页方式装订视为投标无效。</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必须正式打印，并严格按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w:t>
            </w:r>
            <w:r>
              <w:rPr>
                <w:rFonts w:hint="eastAsia" w:ascii="仿宋" w:hAnsi="仿宋" w:eastAsia="仿宋" w:cs="仿宋"/>
                <w:color w:val="auto"/>
                <w:sz w:val="24"/>
                <w:highlight w:val="none"/>
                <w:lang w:eastAsia="zh-CN"/>
              </w:rPr>
              <w:t>格式</w:t>
            </w:r>
            <w:r>
              <w:rPr>
                <w:rFonts w:hint="eastAsia" w:ascii="仿宋" w:hAnsi="仿宋" w:eastAsia="仿宋" w:cs="仿宋"/>
                <w:color w:val="auto"/>
                <w:sz w:val="24"/>
                <w:highlight w:val="none"/>
              </w:rPr>
              <w:t>、内容装订成册（死页胶粘本），加带封皮、封底，不能插页漏页。</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基本要求：投标编制必须包括</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附件规定的内容，应如实填写，逐一签署；</w:t>
            </w:r>
            <w:r>
              <w:rPr>
                <w:rFonts w:hint="eastAsia" w:ascii="仿宋" w:hAnsi="仿宋" w:eastAsia="仿宋" w:cs="仿宋"/>
                <w:color w:val="auto"/>
                <w:sz w:val="24"/>
                <w:highlight w:val="none"/>
                <w:lang w:val="en-US" w:eastAsia="zh-CN"/>
              </w:rPr>
              <w:t>响应文件</w:t>
            </w:r>
            <w:r>
              <w:rPr>
                <w:rFonts w:hint="eastAsia" w:ascii="仿宋" w:hAnsi="仿宋" w:eastAsia="仿宋" w:cs="仿宋"/>
                <w:color w:val="auto"/>
                <w:sz w:val="24"/>
                <w:highlight w:val="none"/>
              </w:rPr>
              <w:t>必须制作成册，按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lang w:val="en-US" w:eastAsia="zh-CN"/>
              </w:rPr>
              <w:t>要求</w:t>
            </w:r>
            <w:r>
              <w:rPr>
                <w:rFonts w:hint="eastAsia" w:ascii="仿宋" w:hAnsi="仿宋" w:eastAsia="仿宋" w:cs="仿宋"/>
                <w:color w:val="auto"/>
                <w:sz w:val="24"/>
                <w:highlight w:val="none"/>
              </w:rPr>
              <w:t>制作。</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、封套上写明：</w:t>
            </w:r>
            <w:r>
              <w:rPr>
                <w:rFonts w:hint="eastAsia" w:ascii="仿宋" w:hAnsi="仿宋" w:eastAsia="仿宋" w:cs="仿宋"/>
                <w:color w:val="auto"/>
                <w:sz w:val="24"/>
                <w:highlight w:val="none"/>
                <w:lang w:val="en-US" w:eastAsia="zh-CN"/>
              </w:rPr>
              <w:t>详见文件密封要求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3</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踏勘现场：不组织，</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4</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评标委员会的组建：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评标委员会由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人构成其中</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0</w:t>
            </w:r>
            <w:r>
              <w:rPr>
                <w:rFonts w:hint="eastAsia" w:ascii="仿宋" w:hAnsi="仿宋" w:eastAsia="仿宋" w:cs="仿宋"/>
                <w:color w:val="auto"/>
                <w:sz w:val="24"/>
                <w:highlight w:val="none"/>
              </w:rPr>
              <w:t>人（应当具备评标专家相应的或者类似的条件），专家</w:t>
            </w:r>
            <w:r>
              <w:rPr>
                <w:rFonts w:hint="eastAsia" w:ascii="仿宋" w:hAnsi="仿宋" w:eastAsia="仿宋" w:cs="仿宋"/>
                <w:color w:val="auto"/>
                <w:sz w:val="24"/>
                <w:highlight w:val="none"/>
                <w:u w:val="single"/>
                <w:lang w:val="en-US" w:eastAsia="zh-CN"/>
              </w:rPr>
              <w:t>3</w:t>
            </w:r>
            <w:r>
              <w:rPr>
                <w:rFonts w:hint="eastAsia" w:ascii="仿宋" w:hAnsi="仿宋" w:eastAsia="仿宋" w:cs="仿宋"/>
                <w:color w:val="auto"/>
                <w:sz w:val="24"/>
                <w:highlight w:val="none"/>
              </w:rPr>
              <w:t>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5</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评标委员会推荐中标候选人的人数：3人</w:t>
            </w: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6</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报价方式：本次响应报价实行两轮报价，原则上第二轮报价为最终报价。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7</w:t>
            </w:r>
          </w:p>
        </w:tc>
        <w:tc>
          <w:tcPr>
            <w:tcW w:w="9535" w:type="dxa"/>
            <w:noWrap w:val="0"/>
            <w:vAlign w:val="center"/>
          </w:tcPr>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中标公示及中标</w:t>
            </w:r>
            <w:r>
              <w:rPr>
                <w:rFonts w:hint="eastAsia" w:ascii="仿宋" w:hAnsi="仿宋" w:eastAsia="仿宋" w:cs="仿宋"/>
                <w:color w:val="auto"/>
                <w:sz w:val="24"/>
                <w:highlight w:val="none"/>
                <w:lang w:eastAsia="zh-CN"/>
              </w:rPr>
              <w:t>（成交）结果</w:t>
            </w:r>
            <w:r>
              <w:rPr>
                <w:rFonts w:hint="eastAsia" w:ascii="仿宋" w:hAnsi="仿宋" w:eastAsia="仿宋" w:cs="仿宋"/>
                <w:color w:val="auto"/>
                <w:sz w:val="24"/>
                <w:highlight w:val="none"/>
              </w:rPr>
              <w:t>公告媒介：</w:t>
            </w:r>
            <w:r>
              <w:rPr>
                <w:rFonts w:hint="eastAsia" w:ascii="仿宋" w:hAnsi="仿宋" w:eastAsia="仿宋" w:cs="仿宋"/>
                <w:color w:val="auto"/>
                <w:sz w:val="24"/>
                <w:highlight w:val="none"/>
                <w:lang w:eastAsia="zh-CN"/>
              </w:rPr>
              <w:t>新疆政府采购网、阿克苏地区行政公署网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cs="仿宋"/>
                <w:color w:val="auto"/>
                <w:sz w:val="24"/>
                <w:highlight w:val="none"/>
                <w:lang w:val="en-US" w:eastAsia="zh-CN"/>
              </w:rPr>
              <w:t>8</w:t>
            </w:r>
          </w:p>
        </w:tc>
        <w:tc>
          <w:tcPr>
            <w:tcW w:w="9535" w:type="dxa"/>
            <w:noWrap w:val="0"/>
            <w:vAlign w:val="center"/>
          </w:tcPr>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19</w:t>
            </w:r>
          </w:p>
        </w:tc>
        <w:tc>
          <w:tcPr>
            <w:tcW w:w="9535" w:type="dxa"/>
            <w:noWrap w:val="0"/>
            <w:vAlign w:val="center"/>
          </w:tcPr>
          <w:p>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评标办法：</w:t>
            </w:r>
            <w:r>
              <w:rPr>
                <w:rFonts w:hint="eastAsia" w:ascii="仿宋" w:hAnsi="仿宋" w:eastAsia="仿宋" w:cs="仿宋"/>
                <w:color w:val="auto"/>
                <w:sz w:val="24"/>
                <w:highlight w:val="none"/>
                <w:lang w:val="en-US" w:eastAsia="zh-CN"/>
              </w:rPr>
              <w:t>综合评标法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20</w:t>
            </w:r>
          </w:p>
        </w:tc>
        <w:tc>
          <w:tcPr>
            <w:tcW w:w="9535" w:type="dxa"/>
            <w:noWrap w:val="0"/>
            <w:vAlign w:val="center"/>
          </w:tcPr>
          <w:p>
            <w:pPr>
              <w:pStyle w:val="27"/>
              <w:numPr>
                <w:ilvl w:val="0"/>
                <w:numId w:val="3"/>
              </w:numPr>
              <w:spacing w:line="500" w:lineRule="exact"/>
              <w:ind w:left="0" w:leftChars="0" w:right="280" w:rightChars="100" w:firstLine="0" w:firstLineChars="0"/>
              <w:contextualSpacing/>
              <w:rPr>
                <w:rFonts w:hint="eastAsia" w:ascii="仿宋" w:hAnsi="仿宋" w:eastAsia="仿宋" w:cs="仿宋"/>
                <w:sz w:val="24"/>
                <w:szCs w:val="24"/>
              </w:rPr>
            </w:pPr>
            <w:r>
              <w:rPr>
                <w:rFonts w:hint="eastAsia" w:ascii="仿宋" w:hAnsi="仿宋" w:eastAsia="仿宋" w:cs="仿宋"/>
                <w:color w:val="auto"/>
                <w:sz w:val="24"/>
                <w:highlight w:val="none"/>
              </w:rPr>
              <w:t>场地使用费：</w:t>
            </w:r>
            <w:r>
              <w:rPr>
                <w:rFonts w:hint="eastAsia" w:ascii="仿宋" w:hAnsi="仿宋" w:eastAsia="仿宋" w:cs="仿宋"/>
                <w:sz w:val="24"/>
                <w:szCs w:val="24"/>
              </w:rPr>
              <w:t>招标代理服务费依照（计价格【2002】1980号文）的规定的取费标准计取；</w:t>
            </w:r>
          </w:p>
          <w:p>
            <w:pPr>
              <w:pStyle w:val="27"/>
              <w:numPr>
                <w:ilvl w:val="0"/>
                <w:numId w:val="3"/>
              </w:numPr>
              <w:spacing w:line="500" w:lineRule="exact"/>
              <w:ind w:left="0" w:leftChars="0" w:right="280" w:rightChars="100" w:firstLine="0" w:firstLineChars="0"/>
              <w:contextualSpacing/>
              <w:rPr>
                <w:rFonts w:hint="eastAsia" w:ascii="仿宋" w:hAnsi="仿宋" w:eastAsia="仿宋" w:cs="仿宋"/>
                <w:sz w:val="24"/>
                <w:szCs w:val="24"/>
              </w:rPr>
            </w:pPr>
            <w:r>
              <w:rPr>
                <w:rFonts w:hint="eastAsia" w:ascii="仿宋" w:hAnsi="仿宋" w:eastAsia="仿宋" w:cs="仿宋"/>
                <w:color w:val="auto"/>
                <w:sz w:val="24"/>
                <w:highlight w:val="none"/>
                <w:lang w:val="zh-CN" w:eastAsia="zh-CN"/>
              </w:rPr>
              <w:t>场地费金额：供应商小于等于6家时，每家供应商应缴纳场地费1000元；供应商大于6家时，均摊6000元场地费。</w:t>
            </w:r>
          </w:p>
          <w:p>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公证费：由中标单位支付1000元公证费。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p>
        </w:tc>
        <w:tc>
          <w:tcPr>
            <w:tcW w:w="9535" w:type="dxa"/>
            <w:noWrap w:val="0"/>
            <w:vAlign w:val="center"/>
          </w:tcPr>
          <w:p>
            <w:pPr>
              <w:spacing w:line="360" w:lineRule="auto"/>
              <w:rPr>
                <w:rFonts w:hint="eastAsia" w:ascii="仿宋" w:hAnsi="仿宋" w:eastAsia="仿宋" w:cs="仿宋"/>
                <w:color w:val="auto"/>
                <w:lang w:val="en-US" w:eastAsia="zh-CN"/>
              </w:rPr>
            </w:pPr>
            <w:r>
              <w:rPr>
                <w:rFonts w:hint="eastAsia" w:ascii="仿宋" w:hAnsi="仿宋" w:eastAsia="仿宋" w:cs="仿宋"/>
                <w:color w:val="auto"/>
                <w:sz w:val="24"/>
                <w:highlight w:val="none"/>
                <w:lang w:val="en-US" w:eastAsia="zh-CN"/>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w:t>
            </w:r>
          </w:p>
        </w:tc>
        <w:tc>
          <w:tcPr>
            <w:tcW w:w="9535" w:type="dxa"/>
            <w:noWrap w:val="0"/>
            <w:vAlign w:val="center"/>
          </w:tcPr>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cs="仿宋"/>
                <w:b/>
                <w:bCs/>
                <w:color w:val="auto"/>
                <w:sz w:val="24"/>
                <w:highlight w:val="none"/>
                <w:lang w:val="en-US" w:eastAsia="zh-CN"/>
              </w:rPr>
              <w:t>本项目全额面向中小微企业。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w:t>
            </w:r>
          </w:p>
        </w:tc>
        <w:tc>
          <w:tcPr>
            <w:tcW w:w="9535" w:type="dxa"/>
            <w:noWrap w:val="0"/>
            <w:vAlign w:val="center"/>
          </w:tcPr>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4</w:t>
            </w:r>
          </w:p>
        </w:tc>
        <w:tc>
          <w:tcPr>
            <w:tcW w:w="9535" w:type="dxa"/>
            <w:noWrap w:val="0"/>
            <w:vAlign w:val="center"/>
          </w:tcPr>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供应商不得存在下列情形之一：</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（1）与采购人存在利害关系且可能影响招标公正性；</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（2）与本招标项目的其他供应商为同一个单位负责人；</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（3）与本招标项目的其他供应商存在控股、管理关系；</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（4）被依法暂停或者取消投标资格；</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（5）被责令停产停业、暂扣或者吊销许可证、暂扣或者吊销执照；</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（6）进入清算程序，或被宣告破产，或其他丧失履约能力的情形；</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（7）被工商行政管理机关在全国企业信用信息公示系统中列入严重违法失信企业名单；</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（8）被最高人民法院在“信用中国”网站或各级信用信息共享平台中列入失信被执行人名单；</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（9）在“中国政府采购网”网站中列入政府采购严重违法失信行为记录名单；</w:t>
            </w:r>
          </w:p>
          <w:p>
            <w:pPr>
              <w:numPr>
                <w:ilvl w:val="0"/>
                <w:numId w:val="0"/>
              </w:num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（10）法律法规或供应商须知前附表规定的其他情形。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p>
        </w:tc>
        <w:tc>
          <w:tcPr>
            <w:tcW w:w="9535" w:type="dxa"/>
            <w:noWrap w:val="0"/>
            <w:vAlign w:val="center"/>
          </w:tcPr>
          <w:p>
            <w:pPr>
              <w:pStyle w:val="16"/>
              <w:keepNext w:val="0"/>
              <w:keepLines w:val="0"/>
              <w:pageBreakBefore w:val="0"/>
              <w:widowControl/>
              <w:kinsoku/>
              <w:wordWrap/>
              <w:overflowPunct/>
              <w:topLinePunct w:val="0"/>
              <w:autoSpaceDE/>
              <w:autoSpaceDN/>
              <w:bidi w:val="0"/>
              <w:adjustRightInd/>
              <w:snapToGrid/>
              <w:spacing w:beforeAutospacing="1" w:afterAutospacing="1" w:line="400" w:lineRule="exact"/>
              <w:textAlignment w:val="auto"/>
              <w:rPr>
                <w:rFonts w:hint="eastAsia" w:ascii="仿宋" w:hAnsi="仿宋" w:eastAsia="仿宋" w:cs="仿宋"/>
                <w:color w:val="0000FF"/>
                <w:sz w:val="24"/>
                <w:highlight w:val="none"/>
                <w:lang w:val="en-US" w:eastAsia="zh-CN"/>
              </w:rPr>
            </w:pPr>
            <w:r>
              <w:rPr>
                <w:rFonts w:hint="eastAsia" w:ascii="仿宋" w:hAnsi="仿宋" w:eastAsia="仿宋" w:cs="仿宋"/>
                <w:b/>
                <w:bCs/>
                <w:color w:val="000000"/>
                <w:sz w:val="24"/>
                <w:highlight w:val="none"/>
                <w:lang w:val="zh-CN"/>
              </w:rPr>
              <w:t>供应商在开标时需携带的验资文件</w:t>
            </w:r>
            <w:r>
              <w:rPr>
                <w:rFonts w:hint="eastAsia" w:ascii="仿宋" w:hAnsi="仿宋" w:eastAsia="仿宋" w:cs="仿宋"/>
                <w:b/>
                <w:bCs/>
                <w:color w:val="000000"/>
                <w:sz w:val="24"/>
                <w:highlight w:val="none"/>
              </w:rPr>
              <w:t>：</w:t>
            </w:r>
            <w:r>
              <w:rPr>
                <w:rFonts w:hint="eastAsia" w:ascii="仿宋" w:hAnsi="仿宋" w:eastAsia="仿宋" w:cs="仿宋"/>
                <w:b w:val="0"/>
                <w:bCs w:val="0"/>
                <w:color w:val="000000"/>
                <w:sz w:val="24"/>
                <w:highlight w:val="none"/>
                <w:lang w:val="zh-CN"/>
              </w:rPr>
              <w:t>本项目实行电子招投标，投标单位不用现场投标，按规定时间上传电子投标书即可。（投标结束后投标供应商在5天内将纸质版投标文件（一正三副）须与电子版响应文件内容一致，纸质响应文件需留存备案将一律不予退还。递交至</w:t>
            </w:r>
            <w:r>
              <w:rPr>
                <w:rFonts w:hint="eastAsia" w:ascii="仿宋" w:hAnsi="仿宋" w:eastAsia="仿宋" w:cs="仿宋"/>
                <w:b w:val="0"/>
                <w:bCs w:val="0"/>
                <w:color w:val="000000"/>
                <w:sz w:val="24"/>
                <w:highlight w:val="none"/>
                <w:lang w:val="zh-CN" w:eastAsia="zh-CN"/>
              </w:rPr>
              <w:t>阿克苏市友谊北路19号阿克苏丝路古镇（天山美玉城）16栋004号</w:t>
            </w:r>
            <w:r>
              <w:rPr>
                <w:rFonts w:hint="eastAsia" w:ascii="仿宋" w:hAnsi="仿宋" w:eastAsia="仿宋" w:cs="仿宋"/>
                <w:b w:val="0"/>
                <w:bCs w:val="0"/>
                <w:color w:val="000000"/>
                <w:sz w:val="24"/>
                <w:highlight w:val="none"/>
                <w:lang w:val="zh-CN"/>
              </w:rPr>
              <w:t>；联系人：</w:t>
            </w:r>
            <w:r>
              <w:rPr>
                <w:rFonts w:hint="eastAsia" w:ascii="仿宋" w:hAnsi="仿宋" w:eastAsia="仿宋" w:cs="仿宋"/>
                <w:b w:val="0"/>
                <w:bCs w:val="0"/>
                <w:color w:val="000000"/>
                <w:sz w:val="24"/>
                <w:highlight w:val="none"/>
                <w:lang w:val="en-US" w:eastAsia="zh-CN"/>
              </w:rPr>
              <w:t xml:space="preserve">郑薇  </w:t>
            </w:r>
            <w:r>
              <w:rPr>
                <w:rFonts w:hint="eastAsia" w:ascii="仿宋" w:hAnsi="仿宋" w:eastAsia="仿宋" w:cs="仿宋"/>
                <w:b w:val="0"/>
                <w:bCs w:val="0"/>
                <w:color w:val="000000"/>
                <w:sz w:val="24"/>
                <w:highlight w:val="none"/>
                <w:lang w:val="zh-CN"/>
              </w:rPr>
              <w:t>联系电话：</w:t>
            </w:r>
            <w:r>
              <w:rPr>
                <w:rFonts w:hint="eastAsia" w:ascii="仿宋" w:hAnsi="仿宋" w:eastAsia="仿宋" w:cs="仿宋"/>
                <w:b w:val="0"/>
                <w:bCs w:val="0"/>
                <w:color w:val="000000"/>
                <w:sz w:val="24"/>
                <w:highlight w:val="none"/>
                <w:lang w:val="en-US" w:eastAsia="zh-CN"/>
              </w:rPr>
              <w:t>13999839114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pPr>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cs="仿宋"/>
                <w:color w:val="auto"/>
                <w:sz w:val="24"/>
                <w:highlight w:val="none"/>
                <w:lang w:val="en-US" w:eastAsia="zh-CN"/>
              </w:rPr>
              <w:t>6</w:t>
            </w:r>
          </w:p>
        </w:tc>
        <w:tc>
          <w:tcPr>
            <w:tcW w:w="9535" w:type="dxa"/>
            <w:noWrap w:val="0"/>
            <w:vAlign w:val="center"/>
          </w:tcPr>
          <w:p>
            <w:pPr>
              <w:spacing w:line="360" w:lineRule="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低于成本价不正当竞争预防措施</w:t>
            </w:r>
            <w:r>
              <w:rPr>
                <w:rFonts w:hint="eastAsia" w:ascii="仿宋" w:hAnsi="仿宋" w:eastAsia="仿宋" w:cs="仿宋"/>
                <w:b/>
                <w:bCs/>
                <w:color w:val="auto"/>
                <w:sz w:val="24"/>
                <w:highlight w:val="none"/>
              </w:rPr>
              <w:t>：</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根据“财政部87号令《政府采购货物服务招标投标管理办法》”第六十条之规定：评标委员会认为</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rPr>
              <w:t>报价明显低于其他通过符合性审查</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bCs/>
                <w:color w:val="auto"/>
                <w:sz w:val="24"/>
                <w:highlight w:val="none"/>
                <w:lang w:eastAsia="zh-CN"/>
              </w:rPr>
              <w:t>供应商</w:t>
            </w:r>
            <w:r>
              <w:rPr>
                <w:rFonts w:hint="eastAsia" w:ascii="仿宋" w:hAnsi="仿宋" w:eastAsia="仿宋" w:cs="仿宋"/>
                <w:bCs/>
                <w:color w:val="auto"/>
                <w:sz w:val="24"/>
                <w:highlight w:val="none"/>
              </w:rPr>
              <w:t>不能证明其报价合理性的，评标委员会应当将其作为无效投标处理。</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作为无效处理。</w:t>
            </w:r>
          </w:p>
        </w:tc>
      </w:tr>
    </w:tbl>
    <w:p>
      <w:pPr>
        <w:pStyle w:val="17"/>
        <w:ind w:left="0" w:leftChars="0" w:firstLine="0" w:firstLineChars="0"/>
        <w:rPr>
          <w:rFonts w:hint="eastAsia" w:ascii="仿宋" w:hAnsi="仿宋" w:eastAsia="仿宋" w:cs="仿宋"/>
        </w:rPr>
      </w:pPr>
    </w:p>
    <w:p>
      <w:pPr>
        <w:pStyle w:val="23"/>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供应商须知</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rPr>
        <w:tab/>
      </w:r>
      <w:r>
        <w:rPr>
          <w:rFonts w:hint="eastAsia" w:ascii="仿宋" w:hAnsi="仿宋" w:eastAsia="仿宋" w:cs="仿宋"/>
          <w:color w:val="auto"/>
          <w:sz w:val="24"/>
          <w:szCs w:val="24"/>
        </w:rPr>
        <w:t>总则</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1.1.1</w:t>
      </w:r>
      <w:r>
        <w:rPr>
          <w:rFonts w:hint="eastAsia" w:ascii="仿宋" w:hAnsi="仿宋" w:eastAsia="仿宋" w:cs="仿宋"/>
          <w:color w:val="auto"/>
          <w:sz w:val="24"/>
          <w:szCs w:val="24"/>
        </w:rPr>
        <w:tab/>
      </w:r>
      <w:r>
        <w:rPr>
          <w:rFonts w:hint="eastAsia" w:ascii="仿宋" w:hAnsi="仿宋" w:eastAsia="仿宋" w:cs="仿宋"/>
          <w:color w:val="auto"/>
          <w:sz w:val="24"/>
          <w:szCs w:val="24"/>
        </w:rPr>
        <w:t>采购方式及定义</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本次采购采用竞争性磋商方式（以下简称磋商），本竞争性磋商文件仅适用于竞争性磋商公告中所述项目。</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采购人</w:t>
      </w:r>
      <w:r>
        <w:rPr>
          <w:rFonts w:hint="eastAsia" w:ascii="仿宋" w:hAnsi="仿宋" w:eastAsia="仿宋" w:cs="仿宋"/>
          <w:color w:val="auto"/>
          <w:sz w:val="24"/>
          <w:szCs w:val="24"/>
          <w:lang w:val="en-US" w:eastAsia="zh-CN"/>
        </w:rPr>
        <w:t>”系</w:t>
      </w:r>
      <w:r>
        <w:rPr>
          <w:rFonts w:hint="eastAsia" w:ascii="仿宋" w:hAnsi="仿宋" w:eastAsia="仿宋" w:cs="仿宋"/>
          <w:color w:val="auto"/>
          <w:sz w:val="24"/>
          <w:szCs w:val="24"/>
        </w:rPr>
        <w:t>指本项目的需求方</w:t>
      </w:r>
      <w:r>
        <w:rPr>
          <w:rFonts w:hint="eastAsia" w:ascii="仿宋" w:hAnsi="仿宋" w:eastAsia="仿宋" w:cs="仿宋"/>
          <w:color w:val="auto"/>
          <w:sz w:val="24"/>
          <w:szCs w:val="24"/>
          <w:lang w:val="en-US" w:eastAsia="zh-CN"/>
        </w:rPr>
        <w:t>新疆维吾尔自治区阿克苏职业技术学院</w:t>
      </w:r>
      <w:r>
        <w:rPr>
          <w:rFonts w:hint="eastAsia" w:ascii="仿宋" w:hAnsi="仿宋" w:eastAsia="仿宋" w:cs="仿宋"/>
          <w:color w:val="auto"/>
          <w:sz w:val="24"/>
          <w:szCs w:val="24"/>
        </w:rPr>
        <w:t>。</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val="en-US" w:eastAsia="zh-CN"/>
        </w:rPr>
        <w:t>”系</w:t>
      </w:r>
      <w:r>
        <w:rPr>
          <w:rFonts w:hint="eastAsia" w:ascii="仿宋" w:hAnsi="仿宋" w:eastAsia="仿宋" w:cs="仿宋"/>
          <w:color w:val="auto"/>
          <w:sz w:val="24"/>
          <w:szCs w:val="24"/>
        </w:rPr>
        <w:t>指负责组织本次竞争性磋商的</w:t>
      </w:r>
      <w:r>
        <w:rPr>
          <w:rFonts w:hint="eastAsia" w:ascii="仿宋" w:hAnsi="仿宋" w:eastAsia="仿宋" w:cs="仿宋"/>
          <w:color w:val="auto"/>
          <w:sz w:val="24"/>
          <w:szCs w:val="24"/>
          <w:lang w:eastAsia="zh-CN"/>
        </w:rPr>
        <w:t>新疆领会项目管理有限公司</w:t>
      </w:r>
      <w:r>
        <w:rPr>
          <w:rFonts w:hint="eastAsia" w:ascii="仿宋" w:hAnsi="仿宋" w:eastAsia="仿宋" w:cs="仿宋"/>
          <w:color w:val="auto"/>
          <w:sz w:val="24"/>
          <w:szCs w:val="24"/>
        </w:rPr>
        <w:t>。</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”系指向采购代理机构提交</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的货物</w:t>
      </w:r>
      <w:r>
        <w:rPr>
          <w:rFonts w:hint="eastAsia" w:ascii="仿宋" w:hAnsi="仿宋" w:eastAsia="仿宋" w:cs="仿宋"/>
          <w:color w:val="auto"/>
          <w:sz w:val="24"/>
          <w:szCs w:val="24"/>
          <w:lang w:eastAsia="zh-CN"/>
        </w:rPr>
        <w:t>制造商或代理商</w:t>
      </w:r>
      <w:r>
        <w:rPr>
          <w:rFonts w:hint="eastAsia" w:ascii="仿宋" w:hAnsi="仿宋" w:eastAsia="仿宋" w:cs="仿宋"/>
          <w:color w:val="auto"/>
          <w:sz w:val="24"/>
          <w:szCs w:val="24"/>
        </w:rPr>
        <w:t>。</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“货物”系指卖方按合同要求，须向买方提供的设计文件、货物、机械、材料、备品、手册及其他技术资料和材料。</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“服务”系指按合同规定卖方须承担的运输、装卸、安装调试、技术协助、培训和交付使用后保修期内应履行的义务及售后服务等其他类似的义务。</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“卖方”系指提供合同货物和服务的经济实体。本次招标指中标人。</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“买方”系指购买货物和服务的单位，即为本次招标的采购人。</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 其他要求 </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1.1.2</w:t>
      </w:r>
      <w:r>
        <w:rPr>
          <w:rFonts w:hint="eastAsia" w:ascii="仿宋" w:hAnsi="仿宋" w:eastAsia="仿宋" w:cs="仿宋"/>
          <w:color w:val="auto"/>
          <w:sz w:val="24"/>
          <w:szCs w:val="24"/>
        </w:rPr>
        <w:tab/>
      </w:r>
      <w:r>
        <w:rPr>
          <w:rFonts w:hint="eastAsia" w:ascii="仿宋" w:hAnsi="仿宋" w:eastAsia="仿宋" w:cs="仿宋"/>
          <w:color w:val="auto"/>
          <w:sz w:val="24"/>
          <w:szCs w:val="24"/>
        </w:rPr>
        <w:t>合格的供应商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满足竞争性磋商公告中供应商的资格条件的规定。</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满足本文件实质性条款的规定。</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本项目不接受联合体参加磋商。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1.1.3</w:t>
      </w:r>
      <w:r>
        <w:rPr>
          <w:rFonts w:hint="eastAsia" w:ascii="仿宋" w:hAnsi="仿宋" w:eastAsia="仿宋" w:cs="仿宋"/>
          <w:color w:val="auto"/>
          <w:sz w:val="24"/>
          <w:szCs w:val="24"/>
        </w:rPr>
        <w:tab/>
      </w:r>
      <w:r>
        <w:rPr>
          <w:rFonts w:hint="eastAsia" w:ascii="仿宋" w:hAnsi="仿宋" w:eastAsia="仿宋" w:cs="仿宋"/>
          <w:color w:val="auto"/>
          <w:sz w:val="24"/>
          <w:szCs w:val="24"/>
        </w:rPr>
        <w:t>适用法律</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本次竞争性磋商及由此产生的合同受中华人民共和国有关的法律法规制约和保护。</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1.1.4</w:t>
      </w:r>
      <w:r>
        <w:rPr>
          <w:rFonts w:hint="eastAsia" w:ascii="仿宋" w:hAnsi="仿宋" w:eastAsia="仿宋" w:cs="仿宋"/>
          <w:color w:val="auto"/>
          <w:sz w:val="24"/>
          <w:szCs w:val="24"/>
        </w:rPr>
        <w:tab/>
      </w:r>
      <w:r>
        <w:rPr>
          <w:rFonts w:hint="eastAsia" w:ascii="仿宋" w:hAnsi="仿宋" w:eastAsia="仿宋" w:cs="仿宋"/>
          <w:color w:val="auto"/>
          <w:sz w:val="24"/>
          <w:szCs w:val="24"/>
        </w:rPr>
        <w:t>磋商费用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供应商应自行承担所有与参加磋商有关的费用，无论磋商过程中的做法和结果如何，</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在任何情况下均无义务和责任承担这些费用。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1.1.5</w:t>
      </w:r>
      <w:r>
        <w:rPr>
          <w:rFonts w:hint="eastAsia" w:ascii="仿宋" w:hAnsi="仿宋" w:eastAsia="仿宋" w:cs="仿宋"/>
          <w:color w:val="auto"/>
          <w:sz w:val="24"/>
          <w:szCs w:val="24"/>
        </w:rPr>
        <w:tab/>
      </w:r>
      <w:r>
        <w:rPr>
          <w:rFonts w:hint="eastAsia" w:ascii="仿宋" w:hAnsi="仿宋" w:eastAsia="仿宋" w:cs="仿宋"/>
          <w:color w:val="auto"/>
          <w:sz w:val="24"/>
          <w:szCs w:val="24"/>
        </w:rPr>
        <w:t>竞争性磋商文件的约束力</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供应商一旦购买了本竞争性磋商文件并决定参加磋商，即被认为接受了本竞争性磋商文件的规定和约束。</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rPr>
        <w:tab/>
      </w:r>
      <w:r>
        <w:rPr>
          <w:rFonts w:hint="eastAsia" w:ascii="仿宋" w:hAnsi="仿宋" w:eastAsia="仿宋" w:cs="仿宋"/>
          <w:color w:val="auto"/>
          <w:sz w:val="24"/>
          <w:szCs w:val="24"/>
        </w:rPr>
        <w:t>竞争性磋商文件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1.2.1</w:t>
      </w:r>
      <w:r>
        <w:rPr>
          <w:rFonts w:hint="eastAsia" w:ascii="仿宋" w:hAnsi="仿宋" w:eastAsia="仿宋" w:cs="仿宋"/>
          <w:color w:val="auto"/>
          <w:sz w:val="24"/>
          <w:szCs w:val="24"/>
        </w:rPr>
        <w:tab/>
      </w:r>
      <w:r>
        <w:rPr>
          <w:rFonts w:hint="eastAsia" w:ascii="仿宋" w:hAnsi="仿宋" w:eastAsia="仿宋" w:cs="仿宋"/>
          <w:color w:val="auto"/>
          <w:sz w:val="24"/>
          <w:szCs w:val="24"/>
        </w:rPr>
        <w:t>竞争性磋商文件构成</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竞争性磋商文件有以下部分组成：</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竞争性磋商公告</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供应商须知</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合同条款及格式</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rPr>
        <w:tab/>
      </w:r>
      <w:r>
        <w:rPr>
          <w:rFonts w:hint="eastAsia" w:ascii="仿宋" w:hAnsi="仿宋" w:eastAsia="仿宋" w:cs="仿宋"/>
          <w:color w:val="auto"/>
          <w:sz w:val="24"/>
          <w:szCs w:val="24"/>
        </w:rPr>
        <w:t>项目需求</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rPr>
        <w:tab/>
      </w:r>
      <w:r>
        <w:rPr>
          <w:rFonts w:hint="eastAsia" w:ascii="仿宋" w:hAnsi="仿宋" w:eastAsia="仿宋" w:cs="仿宋"/>
          <w:color w:val="auto"/>
          <w:sz w:val="24"/>
          <w:szCs w:val="24"/>
        </w:rPr>
        <w:t>评审标准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rPr>
        <w:tab/>
      </w:r>
      <w:r>
        <w:rPr>
          <w:rFonts w:hint="eastAsia" w:ascii="仿宋" w:hAnsi="仿宋" w:eastAsia="仿宋" w:cs="仿宋"/>
          <w:color w:val="auto"/>
          <w:sz w:val="24"/>
          <w:szCs w:val="24"/>
        </w:rPr>
        <w:t>响应文件格式</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请仔细检查竞争性磋商文件是否齐全，如有缺漏请立即与</w:t>
      </w:r>
      <w:r>
        <w:rPr>
          <w:rFonts w:hint="eastAsia" w:ascii="仿宋" w:hAnsi="仿宋" w:eastAsia="仿宋" w:cs="仿宋"/>
          <w:color w:val="auto"/>
          <w:sz w:val="24"/>
          <w:szCs w:val="24"/>
          <w:lang w:eastAsia="zh-CN"/>
        </w:rPr>
        <w:t>代理机构</w:t>
      </w:r>
      <w:r>
        <w:rPr>
          <w:rFonts w:hint="eastAsia" w:ascii="仿宋" w:hAnsi="仿宋" w:eastAsia="仿宋" w:cs="仿宋"/>
          <w:color w:val="auto"/>
          <w:sz w:val="24"/>
          <w:szCs w:val="24"/>
        </w:rPr>
        <w:t>联系解决。</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1.2.2</w:t>
      </w:r>
      <w:r>
        <w:rPr>
          <w:rFonts w:hint="eastAsia" w:ascii="仿宋" w:hAnsi="仿宋" w:eastAsia="仿宋" w:cs="仿宋"/>
          <w:color w:val="auto"/>
          <w:sz w:val="24"/>
          <w:szCs w:val="24"/>
        </w:rPr>
        <w:tab/>
      </w:r>
      <w:r>
        <w:rPr>
          <w:rFonts w:hint="eastAsia" w:ascii="仿宋" w:hAnsi="仿宋" w:eastAsia="仿宋" w:cs="仿宋"/>
          <w:color w:val="auto"/>
          <w:sz w:val="24"/>
          <w:szCs w:val="24"/>
        </w:rPr>
        <w:t>竞争性磋商文件的澄清及修改</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任何要求对竞争性磋商文件进行澄清的供应商，均应在提交首次响应文件截止时间五日前按竞争性磋商公告中的通讯地址，以书面形式通知</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。提交首次响应文件截止之日前，</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可以对已发出的磋商文件进行必要的澄清或者修改，澄清或者修改的内容作为磋商文件的组成部分。澄清或者修改的内容可能影响响应文件编制的，</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将在提交首次响应文件截止时间至少5日前，在</w:t>
      </w:r>
      <w:r>
        <w:rPr>
          <w:rFonts w:hint="eastAsia" w:ascii="仿宋" w:hAnsi="仿宋" w:eastAsia="仿宋" w:cs="仿宋"/>
          <w:color w:val="auto"/>
          <w:sz w:val="24"/>
          <w:szCs w:val="24"/>
          <w:u w:val="single"/>
          <w:lang w:eastAsia="zh-CN"/>
        </w:rPr>
        <w:t>新疆政府采购网</w:t>
      </w:r>
      <w:r>
        <w:rPr>
          <w:rFonts w:hint="eastAsia" w:ascii="仿宋" w:hAnsi="仿宋" w:eastAsia="仿宋" w:cs="仿宋"/>
          <w:color w:val="auto"/>
          <w:sz w:val="24"/>
          <w:szCs w:val="24"/>
        </w:rPr>
        <w:t>上发布书面更正公告形式通知所有获取磋商文件的供应商。不足5日的，</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应当顺延提交首次响应文件截止时间。</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rPr>
        <w:tab/>
      </w:r>
      <w:r>
        <w:rPr>
          <w:rFonts w:hint="eastAsia" w:ascii="仿宋" w:hAnsi="仿宋" w:eastAsia="仿宋" w:cs="仿宋"/>
          <w:color w:val="auto"/>
          <w:sz w:val="24"/>
          <w:szCs w:val="24"/>
        </w:rPr>
        <w:t>响应文件的递交及编制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1.3.1</w:t>
      </w:r>
      <w:r>
        <w:rPr>
          <w:rFonts w:hint="eastAsia" w:ascii="仿宋" w:hAnsi="仿宋" w:eastAsia="仿宋" w:cs="仿宋"/>
          <w:color w:val="auto"/>
          <w:sz w:val="24"/>
          <w:szCs w:val="24"/>
        </w:rPr>
        <w:tab/>
      </w:r>
      <w:r>
        <w:rPr>
          <w:rFonts w:hint="eastAsia" w:ascii="仿宋" w:hAnsi="仿宋" w:eastAsia="仿宋" w:cs="仿宋"/>
          <w:color w:val="auto"/>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通知所有获取磋商文件的供应商；不足5日的，采购人、采购代理机构应当顺延提交首次响应文件截止时间。</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3.2磋商文件的澄清或修改将以发布澄清或变更公告为准（同招标公告发布网站），所有供应商应关注网站及时查看，采购人不再进行书面或其他形式通知，未看变更或澄清公告并由此导致的一切后果均由投标供应商自负。</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1.3.3</w:t>
      </w:r>
      <w:r>
        <w:rPr>
          <w:rFonts w:hint="eastAsia" w:ascii="仿宋" w:hAnsi="仿宋" w:eastAsia="仿宋" w:cs="仿宋"/>
          <w:color w:val="auto"/>
          <w:sz w:val="24"/>
          <w:szCs w:val="24"/>
        </w:rPr>
        <w:tab/>
      </w:r>
      <w:r>
        <w:rPr>
          <w:rFonts w:hint="eastAsia" w:ascii="仿宋" w:hAnsi="仿宋" w:eastAsia="仿宋" w:cs="仿宋"/>
          <w:color w:val="auto"/>
          <w:sz w:val="24"/>
          <w:szCs w:val="24"/>
        </w:rPr>
        <w:t>响应文件的语言及度量衡单位</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供应商提交的响应文件以及供应商与</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就有关磋商的所有来往通知、函件和文件均应使用简体中文。</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除技术性能另有规定外，响应文件所使用的度量衡单位，均须采用国家法定计量单位。</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1.3.4</w:t>
      </w:r>
      <w:r>
        <w:rPr>
          <w:rFonts w:hint="eastAsia" w:ascii="仿宋" w:hAnsi="仿宋" w:eastAsia="仿宋" w:cs="仿宋"/>
          <w:color w:val="auto"/>
          <w:sz w:val="24"/>
          <w:szCs w:val="24"/>
        </w:rPr>
        <w:tab/>
      </w:r>
      <w:r>
        <w:rPr>
          <w:rFonts w:hint="eastAsia" w:ascii="仿宋" w:hAnsi="仿宋" w:eastAsia="仿宋" w:cs="仿宋"/>
          <w:color w:val="auto"/>
          <w:sz w:val="24"/>
          <w:szCs w:val="24"/>
        </w:rPr>
        <w:t>响应文件构成</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供应商应该按照磋商文件的要求编写响应文件。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供应商应将响应文件按顺序装订成册，并编制响应文件资料目录。</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1.3.5</w:t>
      </w:r>
      <w:r>
        <w:rPr>
          <w:rFonts w:hint="eastAsia" w:ascii="仿宋" w:hAnsi="仿宋" w:eastAsia="仿宋" w:cs="仿宋"/>
          <w:color w:val="auto"/>
          <w:sz w:val="24"/>
          <w:szCs w:val="24"/>
        </w:rPr>
        <w:tab/>
      </w:r>
      <w:r>
        <w:rPr>
          <w:rFonts w:hint="eastAsia" w:ascii="仿宋" w:hAnsi="仿宋" w:eastAsia="仿宋" w:cs="仿宋"/>
          <w:color w:val="auto"/>
          <w:sz w:val="24"/>
          <w:szCs w:val="24"/>
        </w:rPr>
        <w:t>证明供应商资格及符合竞争性磋商文件规定的文件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供应商应按要求提交资格证明文件及符合竞争性磋商文件规定的文件。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供应商除必须具有履行合同所需提供的服务的能力外，还必须具备相应的财务、技术方面的能力。</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1.3.6</w:t>
      </w:r>
      <w:r>
        <w:rPr>
          <w:rFonts w:hint="eastAsia" w:ascii="仿宋" w:hAnsi="仿宋" w:eastAsia="仿宋" w:cs="仿宋"/>
          <w:color w:val="auto"/>
          <w:sz w:val="24"/>
          <w:szCs w:val="24"/>
        </w:rPr>
        <w:tab/>
      </w:r>
      <w:r>
        <w:rPr>
          <w:rFonts w:hint="eastAsia" w:ascii="仿宋" w:hAnsi="仿宋" w:eastAsia="仿宋" w:cs="仿宋"/>
          <w:color w:val="auto"/>
          <w:sz w:val="24"/>
          <w:szCs w:val="24"/>
        </w:rPr>
        <w:t>分项报价表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供应商应按照竞争性磋商文件规定格式填报分项报价表。每项费用只允许有一个报价，任何有选择的报价将不予接受。</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采购人需求的根据合同规定中标人应承担的服务，如提供技术援助、培训和其他类似的义务。</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有关费用处理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竞争性磋商报价采用总承包方式，因此供应商的报价应包括所提供</w:t>
      </w:r>
      <w:r>
        <w:rPr>
          <w:rFonts w:hint="eastAsia" w:ascii="仿宋" w:hAnsi="仿宋" w:eastAsia="仿宋" w:cs="仿宋"/>
          <w:color w:val="auto"/>
          <w:sz w:val="24"/>
          <w:szCs w:val="24"/>
          <w:lang w:eastAsia="zh-CN"/>
        </w:rPr>
        <w:t>货物</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运输</w:t>
      </w:r>
      <w:r>
        <w:rPr>
          <w:rFonts w:hint="eastAsia" w:ascii="仿宋" w:hAnsi="仿宋" w:eastAsia="仿宋" w:cs="仿宋"/>
          <w:color w:val="auto"/>
          <w:sz w:val="24"/>
          <w:szCs w:val="24"/>
        </w:rPr>
        <w:t>费、人员费用、设备费用、税费及其他有关的为完成本项目发生的所有费用，竞争性磋商文件中另有规定的除外。</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1.3.7</w:t>
      </w:r>
      <w:r>
        <w:rPr>
          <w:rFonts w:hint="eastAsia" w:ascii="仿宋" w:hAnsi="仿宋" w:eastAsia="仿宋" w:cs="仿宋"/>
          <w:color w:val="auto"/>
          <w:sz w:val="24"/>
          <w:szCs w:val="24"/>
        </w:rPr>
        <w:tab/>
      </w:r>
      <w:r>
        <w:rPr>
          <w:rFonts w:hint="eastAsia" w:ascii="仿宋" w:hAnsi="仿宋" w:eastAsia="仿宋" w:cs="仿宋"/>
          <w:color w:val="auto"/>
          <w:sz w:val="24"/>
          <w:szCs w:val="24"/>
        </w:rPr>
        <w:t>其它费用处理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竞争性磋商文件未列明，而供应商认为必需的费用也需列入报价。</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ab/>
      </w:r>
      <w:r>
        <w:rPr>
          <w:rFonts w:hint="eastAsia" w:ascii="仿宋" w:hAnsi="仿宋" w:eastAsia="仿宋" w:cs="仿宋"/>
          <w:color w:val="auto"/>
          <w:sz w:val="24"/>
          <w:szCs w:val="24"/>
        </w:rPr>
        <w:t>分项报价表上的价格应按下列方式分开填写：</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项目总价：包括买方需求所涉及的所有费用。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项目单价按分项报价表中要求填报。</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详细阐述响应方案主要组成部分、功能设计、实现思路及关键技术；</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rPr>
        <w:tab/>
      </w:r>
      <w:r>
        <w:rPr>
          <w:rFonts w:hint="eastAsia" w:ascii="仿宋" w:hAnsi="仿宋" w:eastAsia="仿宋" w:cs="仿宋"/>
          <w:color w:val="auto"/>
          <w:sz w:val="24"/>
          <w:szCs w:val="24"/>
        </w:rPr>
        <w:t>供应商认为需要的其他技术文件或说明。</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ab/>
      </w:r>
      <w:r>
        <w:rPr>
          <w:rFonts w:hint="eastAsia" w:ascii="仿宋" w:hAnsi="仿宋" w:eastAsia="仿宋" w:cs="仿宋"/>
          <w:color w:val="auto"/>
          <w:sz w:val="24"/>
          <w:szCs w:val="24"/>
        </w:rPr>
        <w:t>服务承诺及售后服务机构、人员的情况介绍</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供应商的服务承诺应按不低于竞争性磋商文件中商务要求的标准。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提供供应商有关售后服务的管理制度、售后服务机构的分布情况、售后服务人员的数量、素质、技术水平及售后服务的反应能力。</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ab/>
      </w:r>
      <w:r>
        <w:rPr>
          <w:rFonts w:hint="eastAsia" w:ascii="仿宋" w:hAnsi="仿宋" w:eastAsia="仿宋" w:cs="仿宋"/>
          <w:color w:val="auto"/>
          <w:sz w:val="24"/>
          <w:szCs w:val="24"/>
        </w:rPr>
        <w:t>参加竞争性磋商函</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供应商应按照竞争性磋商文件中提供的格式完整、正确填写竞争性磋商函。</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1.3.1</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ab/>
      </w:r>
      <w:r>
        <w:rPr>
          <w:rFonts w:hint="eastAsia" w:ascii="仿宋" w:hAnsi="仿宋" w:eastAsia="仿宋" w:cs="仿宋"/>
          <w:color w:val="000000"/>
          <w:sz w:val="24"/>
          <w:szCs w:val="24"/>
        </w:rPr>
        <w:t>响应文件份数和签署</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ab/>
      </w:r>
      <w:r>
        <w:rPr>
          <w:rFonts w:hint="eastAsia" w:ascii="仿宋" w:hAnsi="仿宋" w:eastAsia="仿宋" w:cs="仿宋"/>
          <w:color w:val="000000"/>
          <w:sz w:val="24"/>
          <w:szCs w:val="24"/>
        </w:rPr>
        <w:t>供应商应编制竞争性磋商响应文件份数一式</w:t>
      </w:r>
      <w:r>
        <w:rPr>
          <w:rFonts w:hint="eastAsia" w:ascii="仿宋" w:hAnsi="仿宋" w:eastAsia="仿宋" w:cs="仿宋"/>
          <w:color w:val="000000"/>
          <w:sz w:val="24"/>
          <w:szCs w:val="24"/>
          <w:lang w:eastAsia="zh-CN"/>
        </w:rPr>
        <w:t>贰</w:t>
      </w:r>
      <w:r>
        <w:rPr>
          <w:rFonts w:hint="eastAsia" w:ascii="仿宋" w:hAnsi="仿宋" w:eastAsia="仿宋" w:cs="仿宋"/>
          <w:color w:val="000000"/>
          <w:sz w:val="24"/>
          <w:szCs w:val="24"/>
        </w:rPr>
        <w:t>份（1份正本</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份副本）</w:t>
      </w:r>
      <w:r>
        <w:rPr>
          <w:rFonts w:hint="eastAsia" w:ascii="仿宋" w:hAnsi="仿宋" w:eastAsia="仿宋" w:cs="仿宋"/>
          <w:color w:val="000000"/>
          <w:sz w:val="24"/>
          <w:szCs w:val="24"/>
          <w:lang w:eastAsia="zh-CN"/>
        </w:rPr>
        <w:t>，</w:t>
      </w:r>
      <w:r>
        <w:rPr>
          <w:rFonts w:hint="eastAsia" w:ascii="仿宋" w:hAnsi="仿宋" w:eastAsia="仿宋" w:cs="仿宋"/>
          <w:color w:val="000000"/>
          <w:sz w:val="24"/>
          <w:highlight w:val="none"/>
          <w:lang w:val="en-US" w:eastAsia="zh-CN"/>
        </w:rPr>
        <w:t>电子标书1份（U盘）</w:t>
      </w:r>
      <w:r>
        <w:rPr>
          <w:rFonts w:hint="eastAsia" w:ascii="仿宋" w:hAnsi="仿宋" w:eastAsia="仿宋" w:cs="仿宋"/>
          <w:color w:val="000000"/>
          <w:sz w:val="24"/>
          <w:szCs w:val="24"/>
        </w:rPr>
        <w:t>，每份响应文件须</w:t>
      </w:r>
      <w:r>
        <w:rPr>
          <w:rFonts w:hint="eastAsia" w:ascii="仿宋" w:hAnsi="仿宋" w:eastAsia="仿宋" w:cs="仿宋"/>
          <w:color w:val="000000"/>
          <w:sz w:val="24"/>
          <w:szCs w:val="24"/>
          <w:lang w:eastAsia="zh-CN"/>
        </w:rPr>
        <w:t>在左上角</w:t>
      </w:r>
      <w:r>
        <w:rPr>
          <w:rFonts w:hint="eastAsia" w:ascii="仿宋" w:hAnsi="仿宋" w:eastAsia="仿宋" w:cs="仿宋"/>
          <w:color w:val="000000"/>
          <w:sz w:val="24"/>
          <w:szCs w:val="24"/>
        </w:rPr>
        <w:t>清楚地标明“正本”或“副本”字样。一旦正本和副本不符，以正本为准。</w:t>
      </w:r>
    </w:p>
    <w:p>
      <w:pPr>
        <w:pStyle w:val="23"/>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2.电子标书采用U盘制作，格式为PDF，是加盖签章的纸质版正本投标文件的扫描件。</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rPr>
        <w:tab/>
      </w:r>
      <w:r>
        <w:rPr>
          <w:rFonts w:hint="eastAsia" w:ascii="仿宋" w:hAnsi="仿宋" w:eastAsia="仿宋" w:cs="仿宋"/>
          <w:color w:val="000000"/>
          <w:sz w:val="24"/>
          <w:szCs w:val="24"/>
        </w:rPr>
        <w:t>响应文件的正本和所有的副本均需打印或复印，正本由供应商法定代表人或其授权代表签字。授权代表须将 “法人授权书”（原件）附在正本响应文件中。</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w:t>
      </w:r>
      <w:r>
        <w:rPr>
          <w:rFonts w:hint="eastAsia" w:ascii="仿宋" w:hAnsi="仿宋" w:eastAsia="仿宋" w:cs="仿宋"/>
          <w:color w:val="000000"/>
          <w:sz w:val="24"/>
          <w:szCs w:val="24"/>
        </w:rPr>
        <w:tab/>
      </w:r>
      <w:r>
        <w:rPr>
          <w:rFonts w:hint="eastAsia" w:ascii="仿宋" w:hAnsi="仿宋" w:eastAsia="仿宋" w:cs="仿宋"/>
          <w:color w:val="000000"/>
          <w:sz w:val="24"/>
          <w:szCs w:val="24"/>
        </w:rPr>
        <w:t>除供应商对错处做必要修改外，响应文件不得行间插字、涂改或增删。如有修改错漏处，必须由响应文件签署人签字或盖章。</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1.4</w:t>
      </w:r>
      <w:r>
        <w:rPr>
          <w:rFonts w:hint="eastAsia" w:ascii="仿宋" w:hAnsi="仿宋" w:eastAsia="仿宋" w:cs="仿宋"/>
          <w:color w:val="000000"/>
          <w:sz w:val="24"/>
          <w:szCs w:val="24"/>
        </w:rPr>
        <w:tab/>
      </w:r>
      <w:r>
        <w:rPr>
          <w:rFonts w:hint="eastAsia" w:ascii="仿宋" w:hAnsi="仿宋" w:eastAsia="仿宋" w:cs="仿宋"/>
          <w:color w:val="000000"/>
          <w:sz w:val="24"/>
          <w:szCs w:val="24"/>
        </w:rPr>
        <w:t>响应文件的递交</w:t>
      </w:r>
    </w:p>
    <w:p>
      <w:pPr>
        <w:pStyle w:val="23"/>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1.4.1</w:t>
      </w:r>
      <w:r>
        <w:rPr>
          <w:rFonts w:hint="eastAsia" w:ascii="仿宋" w:hAnsi="仿宋" w:eastAsia="仿宋" w:cs="仿宋"/>
          <w:color w:val="000000"/>
          <w:sz w:val="24"/>
          <w:szCs w:val="24"/>
        </w:rPr>
        <w:tab/>
      </w:r>
      <w:r>
        <w:rPr>
          <w:rFonts w:hint="eastAsia" w:ascii="仿宋" w:hAnsi="仿宋" w:eastAsia="仿宋" w:cs="仿宋"/>
          <w:color w:val="000000"/>
          <w:sz w:val="24"/>
          <w:szCs w:val="24"/>
        </w:rPr>
        <w:t>响应文件的</w:t>
      </w:r>
      <w:r>
        <w:rPr>
          <w:rFonts w:hint="eastAsia" w:ascii="仿宋" w:hAnsi="仿宋" w:eastAsia="仿宋" w:cs="仿宋"/>
          <w:color w:val="000000"/>
          <w:sz w:val="24"/>
          <w:szCs w:val="24"/>
          <w:lang w:val="en-US" w:eastAsia="zh-CN"/>
        </w:rPr>
        <w:t>格式</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ab/>
      </w:r>
      <w:r>
        <w:rPr>
          <w:rFonts w:hint="eastAsia" w:ascii="仿宋" w:hAnsi="仿宋" w:eastAsia="仿宋" w:cs="仿宋"/>
          <w:color w:val="000000"/>
          <w:sz w:val="24"/>
          <w:szCs w:val="24"/>
        </w:rPr>
        <w:t>供应商应将响应文件正本和所有副本密封，并加盖供应商公章。不论供应商成交与否，响应文件均不退回。</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rPr>
        <w:tab/>
      </w:r>
      <w:r>
        <w:rPr>
          <w:rFonts w:hint="eastAsia" w:ascii="仿宋" w:hAnsi="仿宋" w:eastAsia="仿宋" w:cs="仿宋"/>
          <w:color w:val="000000"/>
          <w:sz w:val="24"/>
          <w:szCs w:val="24"/>
        </w:rPr>
        <w:t>密封的响应文件应：</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ab/>
      </w:r>
      <w:r>
        <w:rPr>
          <w:rFonts w:hint="eastAsia" w:ascii="仿宋" w:hAnsi="仿宋" w:eastAsia="仿宋" w:cs="仿宋"/>
          <w:color w:val="000000"/>
          <w:sz w:val="24"/>
          <w:szCs w:val="24"/>
        </w:rPr>
        <w:t>注明供应商名称，如因标注不清而产生的后果由供应商自负。按竞争性磋商公告中注明的地址送达；</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rPr>
        <w:tab/>
      </w:r>
      <w:r>
        <w:rPr>
          <w:rFonts w:hint="eastAsia" w:ascii="仿宋" w:hAnsi="仿宋" w:eastAsia="仿宋" w:cs="仿宋"/>
          <w:color w:val="000000"/>
          <w:sz w:val="24"/>
          <w:szCs w:val="24"/>
        </w:rPr>
        <w:t>注明磋商项目名称、项目编号及“请勿在</w:t>
      </w:r>
      <w:r>
        <w:rPr>
          <w:rFonts w:hint="eastAsia" w:ascii="仿宋" w:hAnsi="仿宋" w:eastAsia="仿宋" w:cs="仿宋"/>
          <w:color w:val="0000FF"/>
          <w:sz w:val="24"/>
          <w:highlight w:val="none"/>
          <w:lang w:val="en-US" w:eastAsia="zh-CN"/>
        </w:rPr>
        <w:t>2022年12月01日16:00时（北京时间）</w:t>
      </w:r>
      <w:bookmarkStart w:id="73" w:name="_GoBack"/>
      <w:bookmarkEnd w:id="73"/>
      <w:r>
        <w:rPr>
          <w:rFonts w:hint="eastAsia" w:ascii="仿宋" w:hAnsi="仿宋" w:eastAsia="仿宋" w:cs="仿宋"/>
          <w:color w:val="000000"/>
          <w:sz w:val="24"/>
          <w:szCs w:val="24"/>
        </w:rPr>
        <w:t>（响应文件提交截止时间）之前启封”的字样。</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rPr>
        <w:tab/>
      </w:r>
      <w:r>
        <w:rPr>
          <w:rFonts w:hint="eastAsia" w:ascii="仿宋" w:hAnsi="仿宋" w:eastAsia="仿宋" w:cs="仿宋"/>
          <w:color w:val="000000"/>
          <w:sz w:val="24"/>
          <w:szCs w:val="24"/>
        </w:rPr>
        <w:t>如果响应文件被宣布为“迟到”响应文件时，应原封退回。</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rPr>
        <w:tab/>
      </w:r>
      <w:r>
        <w:rPr>
          <w:rFonts w:hint="eastAsia" w:ascii="仿宋" w:hAnsi="仿宋" w:eastAsia="仿宋" w:cs="仿宋"/>
          <w:color w:val="000000"/>
          <w:sz w:val="24"/>
          <w:szCs w:val="24"/>
        </w:rPr>
        <w:t>未按要求密封和加写标记，</w:t>
      </w:r>
      <w:r>
        <w:rPr>
          <w:rFonts w:hint="eastAsia" w:ascii="仿宋" w:hAnsi="仿宋" w:eastAsia="仿宋" w:cs="仿宋"/>
          <w:color w:val="000000"/>
          <w:sz w:val="24"/>
          <w:szCs w:val="24"/>
          <w:lang w:eastAsia="zh-CN"/>
        </w:rPr>
        <w:t>采购人、代理机构</w:t>
      </w:r>
      <w:r>
        <w:rPr>
          <w:rFonts w:hint="eastAsia" w:ascii="仿宋" w:hAnsi="仿宋" w:eastAsia="仿宋" w:cs="仿宋"/>
          <w:color w:val="000000"/>
          <w:sz w:val="24"/>
          <w:szCs w:val="24"/>
        </w:rPr>
        <w:t>对误投或过早启封概不负责。对由此造成提前开封的响应文件，</w:t>
      </w:r>
      <w:r>
        <w:rPr>
          <w:rFonts w:hint="eastAsia" w:ascii="仿宋" w:hAnsi="仿宋" w:eastAsia="仿宋" w:cs="仿宋"/>
          <w:color w:val="000000"/>
          <w:sz w:val="24"/>
          <w:szCs w:val="24"/>
          <w:lang w:eastAsia="zh-CN"/>
        </w:rPr>
        <w:t>采购人、代理机构</w:t>
      </w:r>
      <w:r>
        <w:rPr>
          <w:rFonts w:hint="eastAsia" w:ascii="仿宋" w:hAnsi="仿宋" w:eastAsia="仿宋" w:cs="仿宋"/>
          <w:color w:val="000000"/>
          <w:sz w:val="24"/>
          <w:szCs w:val="24"/>
        </w:rPr>
        <w:t>将予以拒绝，作无效响应处理。</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1.4.2</w:t>
      </w:r>
      <w:r>
        <w:rPr>
          <w:rFonts w:hint="eastAsia" w:ascii="仿宋" w:hAnsi="仿宋" w:eastAsia="仿宋" w:cs="仿宋"/>
          <w:color w:val="000000"/>
          <w:sz w:val="24"/>
          <w:szCs w:val="24"/>
        </w:rPr>
        <w:tab/>
      </w:r>
      <w:r>
        <w:rPr>
          <w:rFonts w:hint="eastAsia" w:ascii="仿宋" w:hAnsi="仿宋" w:eastAsia="仿宋" w:cs="仿宋"/>
          <w:color w:val="000000"/>
          <w:sz w:val="24"/>
          <w:szCs w:val="24"/>
        </w:rPr>
        <w:t>响应文件提交截止时间</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rPr>
        <w:tab/>
      </w:r>
      <w:r>
        <w:rPr>
          <w:rFonts w:hint="eastAsia" w:ascii="仿宋" w:hAnsi="仿宋" w:eastAsia="仿宋" w:cs="仿宋"/>
          <w:color w:val="000000"/>
          <w:sz w:val="24"/>
          <w:szCs w:val="24"/>
          <w:lang w:eastAsia="zh-CN"/>
        </w:rPr>
        <w:t>采购人、代理机构</w:t>
      </w:r>
      <w:r>
        <w:rPr>
          <w:rFonts w:hint="eastAsia" w:ascii="仿宋" w:hAnsi="仿宋" w:eastAsia="仿宋" w:cs="仿宋"/>
          <w:color w:val="000000"/>
          <w:sz w:val="24"/>
          <w:szCs w:val="24"/>
        </w:rPr>
        <w:t>收到响应文件的时间不得迟于竞争性磋商公告中规定的截止时间。</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采购人、代理机构</w:t>
      </w:r>
      <w:r>
        <w:rPr>
          <w:rFonts w:hint="eastAsia" w:ascii="仿宋" w:hAnsi="仿宋" w:eastAsia="仿宋" w:cs="仿宋"/>
          <w:color w:val="000000"/>
          <w:sz w:val="24"/>
          <w:szCs w:val="24"/>
        </w:rPr>
        <w:t>可以按照规定，通过修改竞争性磋商文件有权酌情延长响应文件提交截止时间，在此情况下，供应商的所有权利和义务以及供应商受制的截止日期均应以延长后新的截止日期为准。</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rPr>
        <w:t>1.4.3</w:t>
      </w:r>
      <w:r>
        <w:rPr>
          <w:rFonts w:hint="eastAsia" w:ascii="仿宋" w:hAnsi="仿宋" w:eastAsia="仿宋" w:cs="仿宋"/>
          <w:color w:val="000000"/>
          <w:sz w:val="24"/>
          <w:szCs w:val="24"/>
        </w:rPr>
        <w:tab/>
      </w:r>
      <w:r>
        <w:rPr>
          <w:rFonts w:hint="eastAsia" w:ascii="仿宋" w:hAnsi="仿宋" w:eastAsia="仿宋" w:cs="仿宋"/>
          <w:color w:val="000000"/>
          <w:sz w:val="24"/>
          <w:szCs w:val="24"/>
        </w:rPr>
        <w:t>迟交的响应文件</w:t>
      </w:r>
    </w:p>
    <w:p>
      <w:pPr>
        <w:pStyle w:val="23"/>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采购人、代理机构</w:t>
      </w:r>
      <w:r>
        <w:rPr>
          <w:rFonts w:hint="eastAsia" w:ascii="仿宋" w:hAnsi="仿宋" w:eastAsia="仿宋" w:cs="仿宋"/>
          <w:color w:val="000000"/>
          <w:sz w:val="24"/>
          <w:szCs w:val="24"/>
        </w:rPr>
        <w:t>将拒绝并原封退回在其规定的响应文件提交截止时间后收到的任何响应文件。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rPr>
        <w:tab/>
      </w:r>
      <w:r>
        <w:rPr>
          <w:rFonts w:hint="eastAsia" w:ascii="仿宋" w:hAnsi="仿宋" w:eastAsia="仿宋" w:cs="仿宋"/>
          <w:color w:val="auto"/>
          <w:sz w:val="24"/>
          <w:szCs w:val="24"/>
        </w:rPr>
        <w:t>磋商与评审</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1.5.1</w:t>
      </w:r>
      <w:r>
        <w:rPr>
          <w:rFonts w:hint="eastAsia" w:ascii="仿宋" w:hAnsi="仿宋" w:eastAsia="仿宋" w:cs="仿宋"/>
          <w:color w:val="auto"/>
          <w:sz w:val="24"/>
          <w:szCs w:val="24"/>
        </w:rPr>
        <w:tab/>
      </w:r>
      <w:r>
        <w:rPr>
          <w:rFonts w:hint="eastAsia" w:ascii="仿宋" w:hAnsi="仿宋" w:eastAsia="仿宋" w:cs="仿宋"/>
          <w:color w:val="auto"/>
          <w:sz w:val="24"/>
          <w:szCs w:val="24"/>
        </w:rPr>
        <w:t>磋商仪式</w:t>
      </w:r>
    </w:p>
    <w:p>
      <w:pPr>
        <w:pStyle w:val="23"/>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代理机构</w:t>
      </w:r>
      <w:r>
        <w:rPr>
          <w:rFonts w:hint="eastAsia" w:ascii="仿宋" w:hAnsi="仿宋" w:eastAsia="仿宋" w:cs="仿宋"/>
          <w:color w:val="auto"/>
          <w:sz w:val="24"/>
          <w:szCs w:val="24"/>
        </w:rPr>
        <w:t>将在竞争性磋商公告中规定的时间和地点组织磋商。供应商应委派携带有效证件的代表准时参加，参加磋商的代表需签名以证明其出席</w:t>
      </w:r>
      <w:r>
        <w:rPr>
          <w:rFonts w:hint="eastAsia" w:ascii="仿宋" w:hAnsi="仿宋" w:eastAsia="仿宋" w:cs="仿宋"/>
          <w:color w:val="auto"/>
          <w:sz w:val="24"/>
          <w:szCs w:val="24"/>
          <w:lang w:eastAsia="zh-CN"/>
        </w:rPr>
        <w:t>，详见供应商须知前附表。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磋商仪式由</w:t>
      </w:r>
      <w:r>
        <w:rPr>
          <w:rFonts w:hint="eastAsia" w:ascii="仿宋" w:hAnsi="仿宋" w:eastAsia="仿宋" w:cs="仿宋"/>
          <w:color w:val="auto"/>
          <w:sz w:val="24"/>
          <w:szCs w:val="24"/>
          <w:lang w:eastAsia="zh-CN"/>
        </w:rPr>
        <w:t>代理机构</w:t>
      </w:r>
      <w:r>
        <w:rPr>
          <w:rFonts w:hint="eastAsia" w:ascii="仿宋" w:hAnsi="仿宋" w:eastAsia="仿宋" w:cs="仿宋"/>
          <w:color w:val="auto"/>
          <w:sz w:val="24"/>
          <w:szCs w:val="24"/>
        </w:rPr>
        <w:t>主持，竞争性磋商领导小组成员、采购人代表、监督代表、供应商代表以及有关工作人员参加。</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磋商时请纪检监督人员或公证人员或供应商代表查验响应文件密封情况，至响应文件开启时间后由磋商小组开启响应文件。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1.5.2</w:t>
      </w:r>
      <w:r>
        <w:rPr>
          <w:rFonts w:hint="eastAsia" w:ascii="仿宋" w:hAnsi="仿宋" w:eastAsia="仿宋" w:cs="仿宋"/>
          <w:color w:val="auto"/>
          <w:sz w:val="24"/>
          <w:szCs w:val="24"/>
        </w:rPr>
        <w:tab/>
      </w:r>
      <w:r>
        <w:rPr>
          <w:rFonts w:hint="eastAsia" w:ascii="仿宋" w:hAnsi="仿宋" w:eastAsia="仿宋" w:cs="仿宋"/>
          <w:color w:val="auto"/>
          <w:sz w:val="24"/>
          <w:szCs w:val="24"/>
        </w:rPr>
        <w:t>磋商小组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1 采购人根据本项目的特点，依照《中华人民共和国政府采购法》、《政府采购竞争性磋商采购方式管理暂行办法》的有关规定组建磋商小组，成员人数为3人（含）以上单数，包括技术、经济等相关专业专家。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2 磋商小组将在磋商文件规定的时间和地点集中与单一供应商分别进行磋商。并给予所有参加磋商的供应商平等的磋商机会。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3.参加磋商的供应商代表应签名报到证明其出席，如未按时签到，将被视为供应商自动放弃竞争性磋商权利。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4. 磋商过程中，磋商小组成员不得与供应商私下交换意见，并在磋商工作结束后，不得将磋商情况进行泄露。</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bidi="ar-SA"/>
        </w:rPr>
        <w:t>5. 回避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bidi="ar-SA"/>
        </w:rPr>
        <w:t>评审专家不得参加与自己有利害关系的政府采购项目的评审活动。对与自己有利害关系的评审项目，如受到邀请，应主动提出回避。财政部门、采购人或采购代理机构也可要求该评审专家回避。</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响应文件审查</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ab/>
      </w:r>
      <w:r>
        <w:rPr>
          <w:rFonts w:hint="eastAsia" w:ascii="仿宋" w:hAnsi="仿宋" w:eastAsia="仿宋" w:cs="仿宋"/>
          <w:color w:val="auto"/>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ab/>
      </w:r>
      <w:r>
        <w:rPr>
          <w:rFonts w:hint="eastAsia" w:ascii="仿宋" w:hAnsi="仿宋" w:eastAsia="仿宋" w:cs="仿宋"/>
          <w:color w:val="auto"/>
          <w:sz w:val="24"/>
          <w:szCs w:val="24"/>
        </w:rPr>
        <w:t>供应商澄清</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ab/>
      </w:r>
      <w:r>
        <w:rPr>
          <w:rFonts w:hint="eastAsia" w:ascii="仿宋" w:hAnsi="仿宋" w:eastAsia="仿宋" w:cs="仿宋"/>
          <w:color w:val="auto"/>
          <w:sz w:val="24"/>
          <w:szCs w:val="24"/>
        </w:rPr>
        <w:t>磋商小组要求供应商澄清、说明或者更正响应文件将以书面形式作出。供应商的澄清、说明或者更正应当由法定代表人或其授权代表签字或者加盖公章。</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ab/>
      </w:r>
      <w:r>
        <w:rPr>
          <w:rFonts w:hint="eastAsia" w:ascii="仿宋" w:hAnsi="仿宋" w:eastAsia="仿宋" w:cs="仿宋"/>
          <w:color w:val="auto"/>
          <w:sz w:val="24"/>
          <w:szCs w:val="24"/>
        </w:rPr>
        <w:t>磋商程序、最后报价、综合评分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ab/>
      </w:r>
      <w:r>
        <w:rPr>
          <w:rFonts w:hint="eastAsia" w:ascii="仿宋" w:hAnsi="仿宋" w:eastAsia="仿宋" w:cs="仿宋"/>
          <w:color w:val="auto"/>
          <w:sz w:val="24"/>
          <w:szCs w:val="24"/>
        </w:rPr>
        <w:t>磋商小组所有成员应当集中与单一供应商分别进行磋商，并给予所有参加磋商的供应商平等的磋商机会。</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磋商文件能够详细列明采购标的的服务要求的，磋商结束后，磋商小组将要求所有实质性响应的供应商在规定时间内提交最后报价。最后报价是供应商响应文件的有效组成部分。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已提交响应文件的供应商，在提交最后报价之前，可以根据磋商情况退出磋商。</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将退还退出磋商的供应商的磋商保证金。</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rPr>
        <w:tab/>
      </w:r>
      <w:r>
        <w:rPr>
          <w:rFonts w:hint="eastAsia" w:ascii="仿宋" w:hAnsi="仿宋" w:eastAsia="仿宋" w:cs="仿宋"/>
          <w:color w:val="auto"/>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rPr>
        <w:tab/>
      </w:r>
      <w:r>
        <w:rPr>
          <w:rFonts w:hint="eastAsia" w:ascii="仿宋" w:hAnsi="仿宋" w:eastAsia="仿宋" w:cs="仿宋"/>
          <w:color w:val="auto"/>
          <w:sz w:val="24"/>
          <w:szCs w:val="24"/>
        </w:rPr>
        <w:t>评审时，磋商小组各成员独立对每个有效响应的文件进行评价、打分，然后汇总每个供应商每项评分因素的得分。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rPr>
        <w:tab/>
      </w:r>
      <w:r>
        <w:rPr>
          <w:rFonts w:hint="eastAsia" w:ascii="仿宋" w:hAnsi="仿宋" w:eastAsia="仿宋" w:cs="仿宋"/>
          <w:color w:val="auto"/>
          <w:sz w:val="24"/>
          <w:szCs w:val="24"/>
        </w:rPr>
        <w:t>磋商小组应当根据综合评分情况，</w:t>
      </w:r>
      <w:r>
        <w:rPr>
          <w:rFonts w:hint="eastAsia" w:ascii="仿宋" w:hAnsi="仿宋" w:eastAsia="仿宋" w:cs="仿宋"/>
          <w:b/>
          <w:bCs/>
          <w:color w:val="auto"/>
          <w:sz w:val="24"/>
          <w:szCs w:val="24"/>
        </w:rPr>
        <w:t>按照评审得分由高到低</w:t>
      </w:r>
      <w:r>
        <w:rPr>
          <w:rFonts w:hint="eastAsia" w:ascii="仿宋" w:hAnsi="仿宋" w:eastAsia="仿宋" w:cs="仿宋"/>
          <w:b/>
          <w:bCs/>
          <w:color w:val="auto"/>
          <w:sz w:val="24"/>
          <w:szCs w:val="24"/>
          <w:lang w:eastAsia="zh-CN"/>
        </w:rPr>
        <w:t>排</w:t>
      </w:r>
      <w:r>
        <w:rPr>
          <w:rFonts w:hint="eastAsia" w:ascii="仿宋" w:hAnsi="仿宋" w:eastAsia="仿宋" w:cs="仿宋"/>
          <w:b/>
          <w:bCs/>
          <w:color w:val="auto"/>
          <w:sz w:val="24"/>
          <w:szCs w:val="24"/>
        </w:rPr>
        <w:t>序，</w:t>
      </w:r>
      <w:r>
        <w:rPr>
          <w:rFonts w:hint="eastAsia" w:ascii="仿宋" w:hAnsi="仿宋" w:eastAsia="仿宋" w:cs="仿宋"/>
          <w:b/>
          <w:bCs/>
          <w:color w:val="auto"/>
          <w:sz w:val="24"/>
          <w:szCs w:val="24"/>
          <w:lang w:eastAsia="zh-CN"/>
        </w:rPr>
        <w:t>得分排名前三的投标人为最终的入围供应商。</w:t>
      </w:r>
      <w:r>
        <w:rPr>
          <w:rFonts w:hint="eastAsia" w:ascii="仿宋" w:hAnsi="仿宋" w:eastAsia="仿宋" w:cs="仿宋"/>
          <w:color w:val="auto"/>
          <w:sz w:val="24"/>
          <w:szCs w:val="24"/>
        </w:rPr>
        <w:t>并编写评审报告。评审得分相同的，按照最后报价由低到高的顺序推荐。评审得分且最后报价相同的，按照技术指标优劣顺序推荐。本次磋商报价采用两轮报价。</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7.竞争性磋商报价：</w:t>
      </w:r>
      <w:r>
        <w:rPr>
          <w:rFonts w:hint="eastAsia" w:ascii="仿宋" w:hAnsi="仿宋" w:eastAsia="仿宋" w:cs="仿宋"/>
          <w:color w:val="auto"/>
          <w:sz w:val="24"/>
          <w:szCs w:val="24"/>
        </w:rPr>
        <w:t>第一次报价为投标书书面报价；第二次报价在磋商时供应商可根据磋商情况给予让利优惠，也可以保持不变。在供应商二次报价后，根据财库【2014】214号文件规定，磋商小组可以酌情再与各供应商进行再次磋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ab/>
      </w:r>
      <w:r>
        <w:rPr>
          <w:rFonts w:hint="eastAsia" w:ascii="仿宋" w:hAnsi="仿宋" w:eastAsia="仿宋" w:cs="仿宋"/>
          <w:color w:val="auto"/>
          <w:sz w:val="24"/>
          <w:szCs w:val="24"/>
        </w:rPr>
        <w:t>响应无效和终止磋商活动条款</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响应无效条款</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未按要求交纳磋商保证金的；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未按照竞争性磋商文件规定要求密封、签署、盖章的；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供应商不具备竞争性磋商文件中规定资格条件的；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rPr>
        <w:tab/>
      </w:r>
      <w:r>
        <w:rPr>
          <w:rFonts w:hint="eastAsia" w:ascii="仿宋" w:hAnsi="仿宋" w:eastAsia="仿宋" w:cs="仿宋"/>
          <w:color w:val="auto"/>
          <w:sz w:val="24"/>
          <w:szCs w:val="24"/>
        </w:rPr>
        <w:t>不符合法律、法规和竞争性磋商文件中规定的其他实质性要求的；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rPr>
        <w:tab/>
      </w:r>
      <w:r>
        <w:rPr>
          <w:rFonts w:hint="eastAsia" w:ascii="仿宋" w:hAnsi="仿宋" w:eastAsia="仿宋" w:cs="仿宋"/>
          <w:color w:val="auto"/>
          <w:sz w:val="24"/>
          <w:szCs w:val="24"/>
        </w:rPr>
        <w:t>其他法律、法规及本竞争性磋商文件规定的属响应无效的情形。</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终止竞争性磋商采购活动的条款</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出现下列情形之一的，</w:t>
      </w:r>
      <w:r>
        <w:rPr>
          <w:rFonts w:hint="eastAsia" w:ascii="仿宋" w:hAnsi="仿宋" w:eastAsia="仿宋" w:cs="仿宋"/>
          <w:color w:val="auto"/>
          <w:sz w:val="24"/>
          <w:szCs w:val="24"/>
          <w:lang w:eastAsia="zh-CN"/>
        </w:rPr>
        <w:t>采购人、代理机构</w:t>
      </w:r>
      <w:r>
        <w:rPr>
          <w:rFonts w:hint="eastAsia" w:ascii="仿宋" w:hAnsi="仿宋" w:eastAsia="仿宋" w:cs="仿宋"/>
          <w:color w:val="auto"/>
          <w:sz w:val="24"/>
          <w:szCs w:val="24"/>
        </w:rPr>
        <w:t>将终止竞争性磋商采购活动，发布项目终止公告并说明原因，重新开展采购活动：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因情况变化，不再符合规定的竞争性磋商采购方式适用情形的；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出现影响采购公正的违法、违规行为的；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在采购过程中符合要求的供应商或者报价未超过采购预算的供应商不足3家的。</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1.6</w:t>
      </w:r>
      <w:r>
        <w:rPr>
          <w:rFonts w:hint="eastAsia" w:ascii="仿宋" w:hAnsi="仿宋" w:eastAsia="仿宋" w:cs="仿宋"/>
          <w:color w:val="auto"/>
          <w:sz w:val="24"/>
          <w:szCs w:val="24"/>
        </w:rPr>
        <w:tab/>
      </w:r>
      <w:r>
        <w:rPr>
          <w:rFonts w:hint="eastAsia" w:ascii="仿宋" w:hAnsi="仿宋" w:eastAsia="仿宋" w:cs="仿宋"/>
          <w:color w:val="auto"/>
          <w:sz w:val="24"/>
          <w:szCs w:val="24"/>
        </w:rPr>
        <w:t>确定成交、询问及质疑</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1.6.1</w:t>
      </w:r>
      <w:r>
        <w:rPr>
          <w:rFonts w:hint="eastAsia" w:ascii="仿宋" w:hAnsi="仿宋" w:eastAsia="仿宋" w:cs="仿宋"/>
          <w:color w:val="auto"/>
          <w:sz w:val="24"/>
          <w:szCs w:val="24"/>
        </w:rPr>
        <w:tab/>
      </w:r>
      <w:r>
        <w:rPr>
          <w:rFonts w:hint="eastAsia" w:ascii="仿宋" w:hAnsi="仿宋" w:eastAsia="仿宋" w:cs="仿宋"/>
          <w:color w:val="auto"/>
          <w:sz w:val="24"/>
          <w:szCs w:val="24"/>
        </w:rPr>
        <w:t>确定成交供应商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采购人在收到评审报告后5个工作日内，从评审报告提出的成交候选供应商中，按照排序由高到低的原则确定成交供应商。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代理机构</w:t>
      </w:r>
      <w:r>
        <w:rPr>
          <w:rFonts w:hint="eastAsia" w:ascii="仿宋" w:hAnsi="仿宋" w:eastAsia="仿宋" w:cs="仿宋"/>
          <w:color w:val="auto"/>
          <w:sz w:val="24"/>
          <w:szCs w:val="24"/>
        </w:rPr>
        <w:t>在成交供应商确定后2个工作日内在</w:t>
      </w:r>
      <w:r>
        <w:rPr>
          <w:rFonts w:hint="eastAsia" w:ascii="仿宋" w:hAnsi="仿宋" w:eastAsia="仿宋" w:cs="仿宋"/>
          <w:color w:val="auto"/>
          <w:sz w:val="24"/>
          <w:szCs w:val="24"/>
          <w:u w:val="single"/>
          <w:lang w:eastAsia="zh-CN"/>
        </w:rPr>
        <w:t>新疆政府采购网、阿克苏地区行政公署网</w:t>
      </w:r>
      <w:r>
        <w:rPr>
          <w:rFonts w:hint="eastAsia" w:ascii="仿宋" w:hAnsi="仿宋" w:eastAsia="仿宋" w:cs="仿宋"/>
          <w:color w:val="auto"/>
          <w:sz w:val="24"/>
          <w:szCs w:val="24"/>
        </w:rPr>
        <w:t>公告成交结果。</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1.6.2</w:t>
      </w:r>
      <w:r>
        <w:rPr>
          <w:rFonts w:hint="eastAsia" w:ascii="仿宋" w:hAnsi="仿宋" w:eastAsia="仿宋" w:cs="仿宋"/>
          <w:color w:val="auto"/>
          <w:sz w:val="24"/>
          <w:szCs w:val="24"/>
        </w:rPr>
        <w:tab/>
      </w:r>
      <w:r>
        <w:rPr>
          <w:rFonts w:hint="eastAsia" w:ascii="仿宋" w:hAnsi="仿宋" w:eastAsia="仿宋" w:cs="仿宋"/>
          <w:color w:val="auto"/>
          <w:sz w:val="24"/>
          <w:szCs w:val="24"/>
        </w:rPr>
        <w:t>询问及质疑</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询问及质疑依据《中华人民共和国政府采购法》、《中华人民共和国政府采购法实施条例》及相关法律法规处理。</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rPr>
        <w:tab/>
      </w:r>
      <w:r>
        <w:rPr>
          <w:rFonts w:hint="eastAsia" w:ascii="仿宋" w:hAnsi="仿宋" w:eastAsia="仿宋" w:cs="仿宋"/>
          <w:color w:val="auto"/>
          <w:sz w:val="24"/>
          <w:szCs w:val="24"/>
        </w:rPr>
        <w:t>授予合同</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1.7.1</w:t>
      </w:r>
      <w:r>
        <w:rPr>
          <w:rFonts w:hint="eastAsia" w:ascii="仿宋" w:hAnsi="仿宋" w:eastAsia="仿宋" w:cs="仿宋"/>
          <w:color w:val="auto"/>
          <w:sz w:val="24"/>
          <w:szCs w:val="24"/>
        </w:rPr>
        <w:tab/>
      </w:r>
      <w:r>
        <w:rPr>
          <w:rFonts w:hint="eastAsia" w:ascii="仿宋" w:hAnsi="仿宋" w:eastAsia="仿宋" w:cs="仿宋"/>
          <w:color w:val="auto"/>
          <w:sz w:val="24"/>
          <w:szCs w:val="24"/>
        </w:rPr>
        <w:t>签订合同</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采购人与成交供应商应当在成交通知书发出之日起30日内，按照磋商文件确定的合同文本以及采购标的、采购金额和服务要求等事项签订政府采购合同。</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采购人不得向成交供应商提出超出磋商文件以外的任何要求作为签订合同的条件，不得与成交供应商订立背离磋商文件确定的合同文本以及采购标的、采购金额和服务要求等实质性内容的协议。</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rPr>
        <w:tab/>
      </w:r>
      <w:r>
        <w:rPr>
          <w:rFonts w:hint="eastAsia" w:ascii="仿宋" w:hAnsi="仿宋" w:eastAsia="仿宋" w:cs="仿宋"/>
          <w:color w:val="auto"/>
          <w:sz w:val="24"/>
          <w:szCs w:val="24"/>
        </w:rPr>
        <w:t>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rPr>
        <w:tab/>
      </w:r>
      <w:r>
        <w:rPr>
          <w:rFonts w:hint="eastAsia" w:ascii="仿宋" w:hAnsi="仿宋" w:eastAsia="仿宋" w:cs="仿宋"/>
          <w:color w:val="auto"/>
          <w:sz w:val="24"/>
          <w:szCs w:val="24"/>
        </w:rPr>
        <w:t>竞争性磋商文件、成交供应商的响应文件及竞争性磋商过程中有关澄清、承诺文件均应作为合同附件。</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rPr>
        <w:tab/>
      </w:r>
      <w:r>
        <w:rPr>
          <w:rFonts w:hint="eastAsia" w:ascii="仿宋" w:hAnsi="仿宋" w:eastAsia="仿宋" w:cs="仿宋"/>
          <w:color w:val="auto"/>
          <w:sz w:val="24"/>
          <w:szCs w:val="24"/>
        </w:rPr>
        <w:t>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1.7.2</w:t>
      </w:r>
      <w:r>
        <w:rPr>
          <w:rFonts w:hint="eastAsia" w:ascii="仿宋" w:hAnsi="仿宋" w:eastAsia="仿宋" w:cs="仿宋"/>
          <w:color w:val="auto"/>
          <w:sz w:val="24"/>
          <w:szCs w:val="24"/>
        </w:rPr>
        <w:tab/>
      </w:r>
      <w:r>
        <w:rPr>
          <w:rFonts w:hint="eastAsia" w:ascii="仿宋" w:hAnsi="仿宋" w:eastAsia="仿宋" w:cs="仿宋"/>
          <w:color w:val="auto"/>
          <w:sz w:val="24"/>
          <w:szCs w:val="24"/>
        </w:rPr>
        <w:t>服务的追加、减少和添购</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rPr>
        <w:tab/>
      </w:r>
      <w:r>
        <w:rPr>
          <w:rFonts w:hint="eastAsia" w:ascii="仿宋" w:hAnsi="仿宋" w:eastAsia="仿宋" w:cs="仿宋"/>
          <w:color w:val="auto"/>
          <w:sz w:val="24"/>
          <w:szCs w:val="24"/>
        </w:rPr>
        <w:t>采购结束后，采购人若由于各种客观原因，必须对采购项目所牵涉的服务进行适当的减少时，在双方协商一致的前提下，可以按照竞争性磋商采购时的价格水平做相应的调减，并据此签订补充合同。</w:t>
      </w:r>
    </w:p>
    <w:p>
      <w:pPr>
        <w:pStyle w:val="23"/>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rPr>
        <w:tab/>
      </w:r>
      <w:r>
        <w:rPr>
          <w:rFonts w:hint="eastAsia" w:ascii="仿宋" w:hAnsi="仿宋" w:eastAsia="仿宋" w:cs="仿宋"/>
          <w:color w:val="auto"/>
          <w:sz w:val="24"/>
          <w:szCs w:val="24"/>
        </w:rPr>
        <w:t>项目结束后，采购人若由于各种客观原因，必须对采购项目所牵涉的服务进行适当的添购时，由于须保证原有采购项目一致性或者服务配套的要求，经相关部门批准，可以继续从成交人处按照单一来源采购的方式进行添购但金额不超过原合同金额的10%，且所牵涉的服务的价格水平不得超过本次竞争性磋商的水平且低于当时的社会平均价。服务的添购，应在本次政府采购合同的基础上，另行签订服务的添购合同。</w:t>
      </w:r>
    </w:p>
    <w:p>
      <w:pPr>
        <w:pStyle w:val="23"/>
        <w:ind w:firstLine="481" w:firstLineChars="171"/>
        <w:jc w:val="center"/>
        <w:rPr>
          <w:rFonts w:hint="eastAsia" w:ascii="仿宋" w:hAnsi="仿宋" w:eastAsia="仿宋" w:cs="仿宋"/>
          <w:b/>
          <w:color w:val="auto"/>
          <w:szCs w:val="28"/>
          <w:lang w:eastAsia="zh-CN"/>
        </w:rPr>
      </w:pPr>
      <w:r>
        <w:rPr>
          <w:rFonts w:hint="eastAsia" w:ascii="仿宋" w:hAnsi="仿宋" w:eastAsia="仿宋" w:cs="仿宋"/>
          <w:b/>
          <w:color w:val="auto"/>
          <w:szCs w:val="28"/>
        </w:rPr>
        <w:t>第三章</w:t>
      </w:r>
      <w:r>
        <w:rPr>
          <w:rFonts w:hint="eastAsia" w:ascii="仿宋" w:hAnsi="仿宋" w:eastAsia="仿宋" w:cs="仿宋"/>
          <w:b/>
          <w:color w:val="auto"/>
          <w:szCs w:val="28"/>
        </w:rPr>
        <w:tab/>
      </w:r>
      <w:r>
        <w:rPr>
          <w:rFonts w:hint="eastAsia" w:ascii="仿宋" w:hAnsi="仿宋" w:eastAsia="仿宋" w:cs="仿宋"/>
          <w:b/>
          <w:color w:val="auto"/>
          <w:szCs w:val="28"/>
        </w:rPr>
        <w:t>合同条款及格式</w:t>
      </w:r>
    </w:p>
    <w:p>
      <w:pPr>
        <w:pStyle w:val="23"/>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详见合同</w:t>
      </w: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rPr>
          <w:rFonts w:hint="eastAsia" w:ascii="仿宋" w:hAnsi="仿宋" w:eastAsia="仿宋" w:cs="仿宋"/>
          <w:color w:val="auto"/>
          <w:sz w:val="24"/>
          <w:szCs w:val="24"/>
        </w:rPr>
      </w:pPr>
    </w:p>
    <w:p>
      <w:pPr>
        <w:pStyle w:val="23"/>
        <w:ind w:firstLine="481" w:firstLineChars="171"/>
        <w:jc w:val="center"/>
        <w:rPr>
          <w:rFonts w:hint="eastAsia" w:ascii="仿宋" w:hAnsi="仿宋" w:eastAsia="仿宋" w:cs="仿宋"/>
          <w:b/>
          <w:color w:val="auto"/>
          <w:szCs w:val="28"/>
        </w:rPr>
      </w:pPr>
    </w:p>
    <w:p>
      <w:pPr>
        <w:pStyle w:val="23"/>
        <w:ind w:firstLine="481" w:firstLineChars="171"/>
        <w:jc w:val="center"/>
        <w:rPr>
          <w:rFonts w:hint="eastAsia" w:ascii="仿宋" w:hAnsi="仿宋" w:eastAsia="仿宋" w:cs="仿宋"/>
          <w:b/>
          <w:color w:val="auto"/>
          <w:szCs w:val="28"/>
        </w:rPr>
      </w:pPr>
    </w:p>
    <w:p>
      <w:pPr>
        <w:pStyle w:val="23"/>
        <w:ind w:firstLine="481" w:firstLineChars="171"/>
        <w:jc w:val="center"/>
        <w:rPr>
          <w:rFonts w:hint="eastAsia" w:ascii="仿宋" w:hAnsi="仿宋" w:eastAsia="仿宋" w:cs="仿宋"/>
          <w:b/>
          <w:color w:val="auto"/>
          <w:szCs w:val="28"/>
        </w:rPr>
      </w:pPr>
    </w:p>
    <w:p>
      <w:pPr>
        <w:pStyle w:val="23"/>
        <w:ind w:firstLine="481" w:firstLineChars="171"/>
        <w:jc w:val="center"/>
        <w:rPr>
          <w:rFonts w:hint="eastAsia" w:ascii="仿宋" w:hAnsi="仿宋" w:eastAsia="仿宋" w:cs="仿宋"/>
          <w:b/>
          <w:color w:val="auto"/>
          <w:szCs w:val="28"/>
        </w:rPr>
      </w:pPr>
    </w:p>
    <w:p>
      <w:pPr>
        <w:pStyle w:val="23"/>
        <w:ind w:firstLine="481" w:firstLineChars="171"/>
        <w:jc w:val="center"/>
        <w:rPr>
          <w:rFonts w:hint="eastAsia" w:ascii="仿宋" w:hAnsi="仿宋" w:eastAsia="仿宋" w:cs="仿宋"/>
          <w:b/>
          <w:color w:val="auto"/>
          <w:szCs w:val="28"/>
        </w:rPr>
      </w:pPr>
    </w:p>
    <w:p>
      <w:pPr>
        <w:pStyle w:val="23"/>
        <w:ind w:firstLine="481" w:firstLineChars="171"/>
        <w:jc w:val="center"/>
        <w:rPr>
          <w:rFonts w:hint="eastAsia" w:ascii="仿宋" w:hAnsi="仿宋" w:eastAsia="仿宋" w:cs="仿宋"/>
          <w:b/>
          <w:color w:val="auto"/>
          <w:szCs w:val="28"/>
        </w:rPr>
      </w:pPr>
    </w:p>
    <w:p>
      <w:pPr>
        <w:rPr>
          <w:rFonts w:hint="eastAsia" w:ascii="仿宋" w:hAnsi="仿宋" w:eastAsia="仿宋" w:cs="仿宋"/>
          <w:b/>
          <w:color w:val="auto"/>
          <w:szCs w:val="28"/>
        </w:rPr>
      </w:pPr>
      <w:r>
        <w:rPr>
          <w:rFonts w:hint="eastAsia" w:ascii="仿宋" w:hAnsi="仿宋" w:eastAsia="仿宋" w:cs="仿宋"/>
          <w:b/>
          <w:color w:val="auto"/>
          <w:szCs w:val="28"/>
        </w:rPr>
        <w:br w:type="page"/>
      </w:r>
    </w:p>
    <w:p>
      <w:pPr>
        <w:rPr>
          <w:rFonts w:hint="eastAsia" w:ascii="仿宋" w:hAnsi="仿宋" w:eastAsia="仿宋" w:cs="仿宋"/>
          <w:b/>
          <w:color w:val="auto"/>
          <w:szCs w:val="28"/>
        </w:rPr>
        <w:sectPr>
          <w:footerReference r:id="rId5" w:type="default"/>
          <w:pgSz w:w="11906" w:h="16838"/>
          <w:pgMar w:top="1440" w:right="1800" w:bottom="1440" w:left="1800" w:header="851" w:footer="992" w:gutter="0"/>
          <w:cols w:space="425" w:num="1"/>
          <w:docGrid w:type="lines" w:linePitch="312" w:charSpace="0"/>
        </w:sectPr>
      </w:pPr>
    </w:p>
    <w:p>
      <w:pPr>
        <w:pStyle w:val="23"/>
        <w:ind w:left="0" w:leftChars="0" w:firstLine="0" w:firstLineChars="0"/>
        <w:jc w:val="center"/>
        <w:rPr>
          <w:rFonts w:hint="eastAsia" w:ascii="仿宋" w:hAnsi="仿宋" w:eastAsia="仿宋" w:cs="仿宋"/>
          <w:b/>
          <w:color w:val="auto"/>
          <w:szCs w:val="28"/>
        </w:rPr>
      </w:pPr>
      <w:r>
        <w:rPr>
          <w:rFonts w:hint="eastAsia" w:ascii="仿宋" w:hAnsi="仿宋" w:eastAsia="仿宋" w:cs="仿宋"/>
          <w:b/>
          <w:color w:val="auto"/>
          <w:szCs w:val="28"/>
        </w:rPr>
        <w:t>第四章  项目需求</w:t>
      </w:r>
    </w:p>
    <w:p>
      <w:pPr>
        <w:pStyle w:val="23"/>
        <w:ind w:left="0" w:leftChars="0" w:firstLine="0" w:firstLineChars="0"/>
        <w:jc w:val="center"/>
        <w:rPr>
          <w:rFonts w:hint="eastAsia" w:ascii="仿宋" w:hAnsi="仿宋" w:eastAsia="仿宋" w:cs="仿宋"/>
          <w:b/>
          <w:color w:val="auto"/>
          <w:szCs w:val="28"/>
        </w:rPr>
      </w:pPr>
      <w:bookmarkStart w:id="52" w:name="_Hlk108608818"/>
      <w:bookmarkStart w:id="53" w:name="_Toc49090575"/>
      <w:bookmarkStart w:id="54" w:name="_Toc120614281"/>
      <w:bookmarkStart w:id="55" w:name="_Toc462564139"/>
      <w:bookmarkStart w:id="56" w:name="_Toc26554093"/>
      <w:bookmarkStart w:id="57" w:name="_Toc479757211"/>
      <w:r>
        <w:rPr>
          <w:rFonts w:hint="eastAsia" w:ascii="仿宋" w:hAnsi="仿宋" w:eastAsia="仿宋" w:cs="仿宋"/>
          <w:b/>
          <w:color w:val="auto"/>
          <w:szCs w:val="28"/>
        </w:rPr>
        <w:t>自治区职本衔接畜牧兽医专业“3+2”模式</w:t>
      </w:r>
    </w:p>
    <w:p>
      <w:pPr>
        <w:pStyle w:val="23"/>
        <w:ind w:left="0" w:leftChars="0" w:firstLine="0" w:firstLineChars="0"/>
        <w:jc w:val="center"/>
        <w:rPr>
          <w:rFonts w:hint="eastAsia" w:ascii="仿宋" w:hAnsi="仿宋" w:eastAsia="仿宋" w:cs="仿宋"/>
          <w:b/>
          <w:color w:val="auto"/>
          <w:szCs w:val="28"/>
        </w:rPr>
      </w:pPr>
      <w:r>
        <w:rPr>
          <w:rFonts w:hint="eastAsia" w:ascii="仿宋" w:hAnsi="仿宋" w:eastAsia="仿宋" w:cs="仿宋"/>
          <w:b/>
          <w:color w:val="auto"/>
          <w:szCs w:val="28"/>
        </w:rPr>
        <w:t>《兽医综合实训室》建设设备清单一览表</w:t>
      </w:r>
    </w:p>
    <w:tbl>
      <w:tblPr>
        <w:tblStyle w:val="18"/>
        <w:tblW w:w="13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335"/>
        <w:gridCol w:w="7371"/>
        <w:gridCol w:w="567"/>
        <w:gridCol w:w="567"/>
        <w:gridCol w:w="992"/>
        <w:gridCol w:w="992"/>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 w:val="24"/>
                <w:szCs w:val="24"/>
                <w:highlight w:val="none"/>
                <w:lang w:eastAsia="en-US" w:bidi="en-US"/>
                <w14:textFill>
                  <w14:solidFill>
                    <w14:schemeClr w14:val="tx1"/>
                  </w14:solidFill>
                </w14:textFill>
              </w:rPr>
            </w:pPr>
            <w:r>
              <w:rPr>
                <w:rFonts w:hint="eastAsia" w:ascii="仿宋_GB2312" w:hAnsi="黑体" w:eastAsia="仿宋_GB2312" w:cs="宋体"/>
                <w:b/>
                <w:bCs/>
                <w:color w:val="000000" w:themeColor="text1"/>
                <w:kern w:val="0"/>
                <w:sz w:val="24"/>
                <w:szCs w:val="24"/>
                <w:highlight w:val="none"/>
                <w:lang w:bidi="ar"/>
                <w14:textFill>
                  <w14:solidFill>
                    <w14:schemeClr w14:val="tx1"/>
                  </w14:solidFill>
                </w14:textFill>
              </w:rPr>
              <w:t>序号</w:t>
            </w:r>
          </w:p>
        </w:tc>
        <w:tc>
          <w:tcPr>
            <w:tcW w:w="1335"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 w:val="24"/>
                <w:szCs w:val="24"/>
                <w:highlight w:val="none"/>
                <w:lang w:bidi="ar"/>
                <w14:textFill>
                  <w14:solidFill>
                    <w14:schemeClr w14:val="tx1"/>
                  </w14:solidFill>
                </w14:textFill>
              </w:rPr>
            </w:pPr>
            <w:r>
              <w:rPr>
                <w:rFonts w:hint="eastAsia" w:ascii="仿宋_GB2312" w:hAnsi="黑体" w:eastAsia="仿宋_GB2312" w:cs="宋体"/>
                <w:b/>
                <w:bCs/>
                <w:color w:val="000000" w:themeColor="text1"/>
                <w:kern w:val="0"/>
                <w:sz w:val="24"/>
                <w:szCs w:val="24"/>
                <w:highlight w:val="none"/>
                <w:lang w:bidi="ar"/>
                <w14:textFill>
                  <w14:solidFill>
                    <w14:schemeClr w14:val="tx1"/>
                  </w14:solidFill>
                </w14:textFill>
              </w:rPr>
              <w:t>设备名称</w:t>
            </w:r>
          </w:p>
        </w:tc>
        <w:tc>
          <w:tcPr>
            <w:tcW w:w="7371"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 w:val="24"/>
                <w:szCs w:val="24"/>
                <w:highlight w:val="none"/>
                <w:lang w:bidi="ar"/>
                <w14:textFill>
                  <w14:solidFill>
                    <w14:schemeClr w14:val="tx1"/>
                  </w14:solidFill>
                </w14:textFill>
              </w:rPr>
            </w:pPr>
            <w:r>
              <w:rPr>
                <w:rFonts w:hint="eastAsia" w:ascii="仿宋_GB2312" w:hAnsi="黑体" w:eastAsia="仿宋_GB2312" w:cs="宋体"/>
                <w:b/>
                <w:bCs/>
                <w:color w:val="000000" w:themeColor="text1"/>
                <w:kern w:val="0"/>
                <w:sz w:val="24"/>
                <w:szCs w:val="24"/>
                <w:highlight w:val="none"/>
                <w:lang w:bidi="ar"/>
                <w14:textFill>
                  <w14:solidFill>
                    <w14:schemeClr w14:val="tx1"/>
                  </w14:solidFill>
                </w14:textFill>
              </w:rPr>
              <w:t>型号规格或技术参数</w:t>
            </w:r>
          </w:p>
        </w:tc>
        <w:tc>
          <w:tcPr>
            <w:tcW w:w="567"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数量</w:t>
            </w:r>
          </w:p>
        </w:tc>
        <w:tc>
          <w:tcPr>
            <w:tcW w:w="567"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单位</w:t>
            </w:r>
          </w:p>
        </w:tc>
        <w:tc>
          <w:tcPr>
            <w:tcW w:w="992"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单价</w:t>
            </w:r>
          </w:p>
          <w:p>
            <w:pPr>
              <w:widowControl/>
              <w:spacing w:line="360" w:lineRule="exact"/>
              <w:jc w:val="center"/>
              <w:textAlignment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（元）</w:t>
            </w:r>
          </w:p>
        </w:tc>
        <w:tc>
          <w:tcPr>
            <w:tcW w:w="992" w:type="dxa"/>
            <w:shd w:val="clear" w:color="auto" w:fill="auto"/>
            <w:vAlign w:val="center"/>
          </w:tcPr>
          <w:p>
            <w:pPr>
              <w:widowControl/>
              <w:spacing w:line="360" w:lineRule="exact"/>
              <w:jc w:val="center"/>
              <w:textAlignment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总价（元）</w:t>
            </w:r>
          </w:p>
        </w:tc>
        <w:tc>
          <w:tcPr>
            <w:tcW w:w="1214" w:type="dxa"/>
          </w:tcPr>
          <w:p>
            <w:pPr>
              <w:widowControl/>
              <w:jc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实训</w:t>
            </w:r>
          </w:p>
          <w:p>
            <w:pPr>
              <w:widowControl/>
              <w:spacing w:line="360" w:lineRule="exact"/>
              <w:jc w:val="center"/>
              <w:textAlignment w:val="center"/>
              <w:rPr>
                <w:rFonts w:ascii="仿宋_GB2312" w:hAnsi="黑体" w:eastAsia="仿宋_GB2312" w:cs="宋体"/>
                <w:b/>
                <w:bCs/>
                <w:color w:val="000000" w:themeColor="text1"/>
                <w:kern w:val="0"/>
                <w:szCs w:val="21"/>
                <w:highlight w:val="none"/>
                <w:lang w:bidi="ar"/>
                <w14:textFill>
                  <w14:solidFill>
                    <w14:schemeClr w14:val="tx1"/>
                  </w14:solidFill>
                </w14:textFill>
              </w:rPr>
            </w:pPr>
            <w:r>
              <w:rPr>
                <w:rFonts w:hint="eastAsia" w:ascii="仿宋_GB2312" w:hAnsi="黑体" w:eastAsia="仿宋_GB2312" w:cs="宋体"/>
                <w:b/>
                <w:bCs/>
                <w:color w:val="000000" w:themeColor="text1"/>
                <w:kern w:val="0"/>
                <w:szCs w:val="21"/>
                <w:highlight w:val="none"/>
                <w:lang w:bidi="ar"/>
                <w14:textFill>
                  <w14:solidFill>
                    <w14:schemeClr w14:val="tx1"/>
                  </w14:solidFill>
                </w14:textFill>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1</w:t>
            </w:r>
          </w:p>
        </w:tc>
        <w:tc>
          <w:tcPr>
            <w:tcW w:w="1335"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马解剖虚拟仿真3D教学系统PC版</w:t>
            </w:r>
          </w:p>
        </w:tc>
        <w:tc>
          <w:tcPr>
            <w:tcW w:w="7371"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一、系统软件根据中国农业出版社《家畜解剖学》教材内容为参考；标本制作图谱参照中国农业出版社《家畜解剖学》和《动物解剖学彩色图谱》；按照国家级虚拟现实实验标准开发，满足教学需求。</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二、系统利用真实医学数据进行精确的动物结构三维重建。解剖结构有加注文字说明及关键结构标注，并带有英文名称及英文发音，以满足英语教学的需求；该系统提供终身免费升级。</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三、系统包含“3D数字解剖”、“3D数字标本库”二大模块以满足动物解剖学的教学需求；系统模块架构要具有灵活的可扩展性，可针对使用者的具体情况进行模块调整；各模块具体要求如下：</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3D数字解剖模块依据教学大纲在系统内预设好教学所需三维动物解剖结构标签，同时支持教师根据教学需要内容自行设定，系统具备移动、独显、剥离、撤销、拆分、爆炸、染色、标注、目录、自动旋转、重置、透明等功能，还具备画笔、截图、查找、更换背景、放大缩小、音量大小等操作。</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部分功能操作详解如下：</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1）独显：可选中某一解剖结构单独显示，更清楚的查看该解剖结构的形态。</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2）剥离：可逐结构的隐藏点选解剖结构，方便学习掌握解剖结构的毗邻关系。</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3）撤销：可撤销上一步的剥离操作，方便学生往返查看解剖结构的毗邻关系。</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4）拆分：可逐结构的拆分点选解剖结构，方便学生学习掌握解剖结构毗邻关系。</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5）爆炸：自动对当前操作窗口中三维结构进行一键拆分，方便学生学习掌握解剖结构的毗邻关系。</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6）染色：自动对当前操作窗口中三维结构进行染色，系统自动进行用不同颜色对不同解剖结构染色，便于学生学习掌握解剖结构的毗邻关系。</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7）标注：标记某个具体解剖结构上的重点部位。</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8）自动旋转：整体三维结构自动旋转，方便全方位的查看。</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6）透明：透明度调节，从0到100实现不同透明效果，通过调整上层解剖结构的透明度，可以透视察看内部解剖结构。</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7）搜索：可对需要学习的结构进行搜索显示，方便快捷。</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8）高亮显示：点击操作器官结构,立即显示其名称,且对应结构高亮显示。</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9）放大缩小：放大缩小，近距离观察细节，高度清晰。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10）中英文：支持双语切换，满足国内国外学生的使用学习需求。</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11）重置：多次操作后，一键还原初始状态。</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12）截图：对需要的三维结构进行随时截图保存，供建设精品课程，教学PPT制作等处使用。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13）画笔功能：利于授课，在二维平面内进行标记，多种颜色可供选择，具有一键擦除功能。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2、3D数字标本库模块的三维数字标本由实物解剖标本通过三维扫描按1:1真实重建。标本库按解剖学十大系统进行分类。</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1）3D数字实物标本内容如下：</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运动系统：马骨骼构造、马全身散骨、马全身骨架、马头骨（矢状切）、马头骨（颅盖去除，显示蝶窦、上额窦）、马脊柱带胸廓、马全身骨连接（小型）</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马全身骨连接（大型）、马颞下颌关节、马前肢关节（单侧）、马后肢关节（单侧）、马头颈部浅层肌肉（单侧）、马头颈部深层肌肉（单侧）、马前肢浅层肌肉（单侧）、马前肢深层肌肉（单侧）、马后肢浅层肌肉（单侧）、马后肢浅层肌肉（单侧）、马全身肌肉（犊马）、马全身肌肉（成马），共19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消化系统：马头颈正中矢状切（含脑）、马的硬腭、马内脏器官原位展示（犊马）、马内脏器官原位展示（成马）、马消化系统全貌（离体）、马唾液腺、马肝外形、马舌外形、马大肠、小肠、马胃粘膜、马胃外形、马胆、胰、脾、十二指肠，共12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呼吸系统：马鼻咽腔（头颈正中矢状切）、马呼吸系统该概观、马喉软骨、马喉肌、马肺外形，共5个三维实物数字化标本。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泌尿生殖系统：马泌尿、生殖系统全貌（公）、马泌尿、生殖系统全貌（母）、马双肾外形、马肾的解剖（冠状切）、马睾丸结构、马乳房，共8个三维实物数字化标本。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循环系统：马心外形、马心肌纤维环、马心血管、马心脏传导系、马心腔结构，共5个三维实物数字化标本。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神经系统：马脑血管、马脑外形、马脑半球、马脑神经、马脑干、马脑连脊髓整体观（离体）、马头颈浅层肌肉、血管、神经（单侧）、马头颈深层肌肉、血管、神经（单侧）、马前肢浅层肌肉、血管、神经（单侧）、马前肢深层肌肉、血管、神经（单侧）、马后肢浅层肌肉、血管、神经（单侧）、马后肢深层肌肉、血管、神经（单侧）、犊马肌肉血管神经、成马肌肉血管神经、，共15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淋巴系统：马脾脏外形、马在体皮下浅淋巴结（单侧）共2个三维实物数字化标本。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感官系统：马视觉系统、马眶内结构、马眼肌，共3个三维实物数字化标本。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内分泌系统：马内分泌系统概观、马甲状腺、马胸腺，共3个三维实物数字化标本。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被皮系统：共1个三维实物数字化标本。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局部解剖：马肩臂部结构(浅层）、马肩臂部结构（深层）、马胸腔顶部局解（左侧面）、马胸腔顶部局解（右侧面）、马腹腔顶部局解（左侧面）、马腹腔顶部局解（右侧面）、马臀股部结构局解（公）、马臀股部结构局解（母）、马全身血管神经一侧深一侧浅附内脏（幼），共9个三维实物数字化标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2）该模块主要功能包含：</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   2.1、3D数字实物标本可360 度任意旋转，可以实现从不同角度观看解剖结构，并可以放大或缩小显示</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   2.2、标记能对当前三维实物标本进行标注操作，下次该用户使用时，自动显示该用户新增加的标注和系统自带标注信息。</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   2.3、搜索功能学习的结构进行搜索显示，方便快捷的定位到该3D数字标本的该搜索解剖结构位置。</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   2.4、中英文切换，解剖结构有中英文标注说明，适合中英文双语教学。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   2.5、其它。</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四、提供计算机软件著作权包含（马）（原件备查）；</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五、推荐设备：86或65寸多点触控一体机，内嵌主机: CPU I5、内存16G、硬盘240G固态、WIFI、独立显卡支持4K输出、Win10系统软件。</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用于家畜解剖课程专项实训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shd w:val="clear" w:color="auto" w:fill="auto"/>
            <w:vAlign w:val="center"/>
          </w:tcPr>
          <w:p>
            <w:pPr>
              <w:spacing w:line="360" w:lineRule="exact"/>
              <w:jc w:val="center"/>
              <w:textAlignment w:val="center"/>
              <w:rPr>
                <w:rFonts w:ascii="仿宋_GB2312" w:hAnsi="仿宋" w:eastAsia="仿宋_GB2312" w:cs="仿宋"/>
                <w:color w:val="000000" w:themeColor="text1"/>
                <w:kern w:val="0"/>
                <w:szCs w:val="21"/>
                <w:highlight w:val="none"/>
                <w14:textFill>
                  <w14:solidFill>
                    <w14:schemeClr w14:val="tx1"/>
                  </w14:solidFill>
                </w14:textFill>
              </w:rPr>
            </w:pPr>
            <w:r>
              <w:rPr>
                <w:rFonts w:hint="eastAsia" w:ascii="仿宋_GB2312" w:hAnsi="仿宋" w:eastAsia="仿宋_GB2312" w:cs="仿宋"/>
                <w:color w:val="000000" w:themeColor="text1"/>
                <w:kern w:val="0"/>
                <w:szCs w:val="21"/>
                <w:highlight w:val="none"/>
                <w14:textFill>
                  <w14:solidFill>
                    <w14:schemeClr w14:val="tx1"/>
                  </w14:solidFill>
                </w14:textFill>
              </w:rPr>
              <w:t>2</w:t>
            </w:r>
          </w:p>
        </w:tc>
        <w:tc>
          <w:tcPr>
            <w:tcW w:w="1335"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智慧纳米黑板</w:t>
            </w:r>
          </w:p>
        </w:tc>
        <w:tc>
          <w:tcPr>
            <w:tcW w:w="7371"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整机采用三拼接平面一体化设计，无推拉式结构及外露连接线，外观简洁。ops 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PC处理器：Intel Core i5-6400及以上</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主频：2.5GHz或以上</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内存：DDR4 8GB或以上</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硬盘：MSATA 256GB整机均支持普通粉笔、液体粉笔、水溶性粉笔进行板书书写，便于老师完整书写教学内容。黑板副板厚度≤4cm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整机屏幕采用86英寸 UHD超高清LED 液晶屏，显示比例16:9</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显示部分的钢化玻璃与液晶屏之间完全贴合，侧视角（水平视角）≥178°（提供封面具有CNAS标志的权威检测机构的检测报告复印件加盖原厂红色公章）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整机可设置触摸及按键自动锁定，需要使用时只需插入USBKey即可解锁。（提供封面具有CNAS标志的权威检测机构的检测报告复印件加盖原厂红色公章）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显示区域可以通过多指长按屏幕，达到息屏和唤醒功能。（提供封面具有CNAS标志的权威检测机构的检测报告复印件加盖原厂红色公章）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中间屏幕对比度≥6000:1（提供封面具有CNAS标志的权威检测机构的检测报告复印件加盖原厂红色公章）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整机电视开关、电脑开关和节能待机键三合一，操作便捷（提供封面具有CNAS标志的权威检测机构的检测报告复印件加盖原厂红色公章）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内置触摸中控菜单，将信号源通道切换、亮度对比度调节、声音图像调节等整合到同一菜单下，无须实体按键，在任意显示通道下均可通过手势在屏幕上调取该触摸菜单，方便快捷。（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外接电脑设备时，如整机处于关机上电状态，则接上外接电脑后自动开机。如整机处于正常使用状态，则设备能自动识别并切换到对应的信号源通道，且断开后能回到上一通道。自动跳转前支持选择确认，待确认后再跳转。（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整机无故障运行时间≥120000小时。（提供权威机构出具的检测报告复印件加盖原厂红色公章）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整机需包含以下接口：TV，HDMI，YPbPr-IN，VGA，AV-IN等视频输入接口；LINE-IN等音频输入接口；LINE-OUT、SPDIF-OUT等音频输出接口；USB、Multi  USB、Touch-USB、RS232等存储控制接口，前置双系统USB接口不少于3个（提供封面具有CNAS标志的权威检测机构的检测报告复印件加盖原厂红色公章）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触控方案：上下两条红外框形成红外触控方案（提供封面具有CNAS标志的权威检测机构的检测报告复印件加盖原厂红色公章）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整机天线支持wifi 2.4GHz频段的station功能（上网），2.4&amp;5GHz的AP功能（分享热点）。station 模式，无干扰环境，通信距离10米；AP模式，无干扰环境，通信距离10米。（提供封面具有CNAS标志的权威检测机构的检测报告复印件加盖原厂红色公章）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具备良好的色彩显示效果，通过色域覆盖率检测，色域覆盖值≥130%。（提供封面具有CNAS标志的权威检测机构的检测报告复印件加盖原厂红色公章）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支持一键除蓝光进入护眼模式，通过蓝光危害检测，无蓝光危害，蓝光透过率≤70%，并提供莱英低蓝光认证证书（提供封面具有CNAS标志的权威检测机构的检测报告复印件加盖原厂红色公章）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智慧黑板触控玻璃具有碎片状态、耐热冲击性，具有玻璃外观质量、弯曲度、玻璃表面应力、抗冲击、霰弹袋冲击性。（提供权威机构出具的检测报告复印件加盖原厂红色公章）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智慧黑板触控板玻璃具有抗磨性能，符合JC/T 2130-2012《移动电子产品视屏盖板玻璃》标准技术要求（提供权威机构出具的检测报告复印件加盖原厂红色公章）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产品支持自动感光功能,根据外界光源强弱,无需手动操作，自动调整屏幕亮度，每间教室在不同时段，外界光源强弱不同，通过自动感光自动调整屏幕亮度，保障屏幕的清晰度（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整机支持连接一根网线，实现Windows及Android系统同时联网。（提供封面具有CNAS标志的权威检测机构的检测报告复印件加盖原厂红色公章）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嵌入式系统版本不低于Android 8.0，内存RAM≥3GB，存储ROM≥8GB（提供封面具有CNAS标志的权威检测机构的检测报告复印件加盖原厂红色公章）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支持在系统中配置前置物理按键功能。如用户可以设置按键功能为短按或者长按响应，响应的功能是一键开关ops、ops一键还原、一键除蓝光（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悬浮球配置：可手势唤出，悬浮球支持配置以下功能：主页、返回、相机、截图、冻屏、录屏、批注、重启、一键还原。 （提供封面具有CNAS标志的权威检测机构的检测报告复印件加盖原厂红色公章）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Android系统自带的白板软件，内容支持通过移动端扫描二维码或邮件的方式实现文件共享及板书内容共享，并支持以设备内置的文件的格式、PDF、图片的格式进行本地存储及再次编辑。（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多点触控：设备支持双系统下20点同时书写触控功能。（提供封面具有CNAS标志的权威检测机构的检测报告复印件加盖原厂红色公章）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支持一键自检：无需借助PC，整机可一键进行硬件自检，可对系统版本、内外部存储、网络状态、热点、背光、温度、PC模块、光感系统等模块进行监测，并针对不同模块给出问题原因提示，支持通过扫描界面二维码方式提交维修申请（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开机logo设置：支持自定义开机动画功能，可设置为图片或动画形式 （提供封面具有CNAS标志的权威检测机构的检测报告复印件加盖原厂红色公章）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双网口：设备支持双网口网络交换的功能（提供封面具有CNAS标志的权威检测机构的检测报告复印件加盖原厂红色公章）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刷卡控制功能。可在设置中开启刷卡功能，即整机限定只能通过刷卡方式控制设备开机，以做开机权限控制，以防无权限使用者对黑板进行开机操作。卡录入时可以更改卡号名称；设备可录入IC卡≥10张，保障可授权人员数量。（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D图形笔功能。安卓白板中具备3D图形笔功能，可选择的图形≥3个，可以在白板中画出立体图形并可以对图形进行拖动和缩放；立体图形的颜色可以通过色域板选择。（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帮助指南。设备内置用户电子使用手册，离线版本开机即可阅读；同时提供线上用户手册二维码，扫一扫二维码即可在线观看产品用户手册。（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在安卓、PC、HDMI、VGA通道下，设备画面冻屏后可使用设备自带放大镜功能，进行画面局部区域放大以突出显示，放大倍率可设置2-4倍。（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语音功能。设备可通过语音识别实现语音指令如切换通道、打开文件管理、打开白板、打开便签、打开设置、打开图库、增大亮度、减小亮度、增大音量、减小音量。（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整机电器部分采用可维护性抽拉盒，不需要进行整机拆卸，即可进行主板、电源板备件更换。（提供封面具有CNAS标志的权威检测机构的检测报告复印件加盖原厂红色公章）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提供制造厂家针对本项目的授权及售后服务承诺（加盖制造厂家公章）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bidi="ar-SA"/>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需与现有多媒体中控无缝融合，实现用中控控制开关机及输入信号切换，并能实现刷校园一卡通开关机。</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台</w:t>
            </w:r>
          </w:p>
        </w:tc>
        <w:tc>
          <w:tcPr>
            <w:tcW w:w="992"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多媒体</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教学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仿宋" w:eastAsia="仿宋_GB2312" w:cs="仿宋"/>
                <w:color w:val="000000" w:themeColor="text1"/>
                <w:kern w:val="0"/>
                <w:szCs w:val="21"/>
                <w:highlight w:val="none"/>
                <w14:textFill>
                  <w14:solidFill>
                    <w14:schemeClr w14:val="tx1"/>
                  </w14:solidFill>
                </w14:textFill>
              </w:rPr>
              <w:t>3</w:t>
            </w:r>
          </w:p>
        </w:tc>
        <w:tc>
          <w:tcPr>
            <w:tcW w:w="1335"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通风橱</w:t>
            </w:r>
          </w:p>
        </w:tc>
        <w:tc>
          <w:tcPr>
            <w:tcW w:w="7371"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default"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1.尺寸：</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长</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宽</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高：</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1500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*850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*2350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2.结构特征：</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采用宝钢优质冷轧钢板厚≥1.0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，表面须经环氧树脂粉沫静电喷涂，内部操作区间防腐材质与主体架构彻底隔离，保证其整体结构的牢固性。通风柜应采用智能化设计，便于安装维护水、电、气系统。</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3.台面：</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采用12.7mm厚实芯理化板，双层锁边加厚至25.4mm，16小时以上抗强化学腐蚀、抑菌、易清洗，耐180度高温，耐刻磨撞击，永不变曲变形，防星火、防水。参与投标的供应商需出具台面材料生产厂家针对此项目所开具的投标（授权）书。</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4.导流板：</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通风柜操作区内侧， 采用5mm 抗倍特板，操作区污染气体作层流运动，无气流死角，不得产生紊流或涡流现象，能迅速将实验过程中产生的不同比重的有毒有害气体排出，导流板应调节在最佳位置。</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5.内衬板：</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通风柜内部材料采用耐腐蚀的5mm厚优质抗倍特板，具有良好的耐酸碱、耐高温性能，能抗化学品溅出及化学烟薰。扰流板和内衬材料一致，其引导通风柜气体快速排出柜外。</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6.集风罩：</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采用玻璃钢材质，排气口应采用一体成型的罩型设计，将通风柜的静压损失降到最低。</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7.安全视窗：</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采用窗框加防爆玻璃制作，根据实验要求可垂直升降、任意高度停留；使操作人员有可能进入操作区，同时也能有效阻挡有害物质的飞溅，确保操作人员及设备的安全； </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8.视窗导向装置由抗腐蚀的PVC或相近材质构成。所有的内部连接装置都隐藏布置和抗腐蚀。</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9.具有良好的密封性能，内部密封防止气体泄漏，不会使液体积留。</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10.照明装置：采用安全玻璃面板使电气和操作区间隔离密封，避免与化学物质接触；两套照明灯管与高反射的照明罩配合，确保操作区间的照度不小于400Lux。</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11.水槽：高密度PP新料，耐强酸强碱及有机溶剂，如王水等。壁厚达7mm，平整不变形，稳定性强，并具弹性、韧性、不易老化；槽沿表面处理为皮纹，与大部份台面纹理一致，美观且耐刻刮；底部倾斜设计，有效使用面积大且排水流畅。附件：高密度PP去水，含阻水盖、滤片、PP提笼。颜色：黑色、灰色；</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12.水龙头：主体加厚铜制、高亮度环氧树脂涂层、耐腐蚀、耐热，防紫外线辐射；陶瓷阀芯，90度旋转，使用寿命开关50万次，静态最大耐压20巴。可拆卸铜质水嘴，可加接防溅滤水器。开关旋钮，高密度PP，更耐腐蚀。产品末端配有塑料过滤网，能有效阻止水中杂质进入水龙头，使实验室用水更加清洁，降低陶瓷阀芯被损坏的机率；鹅颈管可360度旋转。</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13.插座：采用乳白色220V 10A万用一线品牌二、三插电插座，适用各种国产或进口仪器插头，安全耐用。</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14、每个通风柜配1个水龙头，1个水槽，包安装及接水、电。</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15.包含水、电、通风改造。</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台</w:t>
            </w:r>
          </w:p>
        </w:tc>
        <w:tc>
          <w:tcPr>
            <w:tcW w:w="992"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畜禽病理组织切片制作、有机实验前处理、无机消化处理等实训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4</w:t>
            </w:r>
          </w:p>
        </w:tc>
        <w:tc>
          <w:tcPr>
            <w:tcW w:w="1335"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边台（全钢）</w:t>
            </w:r>
          </w:p>
        </w:tc>
        <w:tc>
          <w:tcPr>
            <w:tcW w:w="7371"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default"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1.尺寸：</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长</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宽</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高：</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13000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*750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台面说明：采用≥12.7mm理化板，边缘加厚至25.4mm并作圆弧处理；台面与柜体间应连接稳固，台面不能脱落或跷起。防静电、耐酸碱、耐高温，坚固不变形，不含溶剂及有毒物质。材料表面易清洁防化、防潮、以及耐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柜体说明：外壳采用冷轧钢≥1.0mm，优质冷轧钢板在数控加工中心、剪裁、定位打孔、折弯焊接后成型，酸洗磷化处理后喷涂环氧树脂粉末高温烘烤固化。附着力高、表面硬度耐腐蚀性极强，外形美观。柜体为全钢落地式结构，钢板连接处无焊接痕迹，柜体可以单独或组合使用，柜体所有部件不得于安装现场焊接加工，以避免破坏钢板涂层，柜体含挡脚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4.柜门、抽屉面板说明：均为内嵌式、双层结构，1.0mm优质冷轧钢板，无焊连接，可拆卸，内含防撞橡胶垫；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拉手、铰链、合页：柜门拉手为一字暗拉，双层板厚一体成型拉手或不锈钢拉手，304不锈钢合页，最大开启角度180度，双层板厚一体成型拉手或不锈钢拉手，DTC三节静音导轨，开合时无噪音，次数达5万以上，防锈、耐腐蚀性能力强，达到国际五金行业标准。柜门采用强磁碰闭合方式；</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6.调整脚说明：采用内置直径φ10mm注塑调整脚，防震、防潮、耐腐蚀，可根据室内地坪适当调整柜体高度，最大调节为0-30mm。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7.整体工艺说明：所有钢板焊接经环氧树脂粉喷涂后，目视平整无焊点。台面装带3C认证10A塔式五孔插座≥1个，电线为4平方国标钢心线。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8.含两个PP水槽，配套水龙头。</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9.含水、电改造。</w:t>
            </w:r>
          </w:p>
        </w:tc>
        <w:tc>
          <w:tcPr>
            <w:tcW w:w="567" w:type="dxa"/>
            <w:shd w:val="clear" w:color="auto" w:fill="auto"/>
            <w:vAlign w:val="center"/>
          </w:tcPr>
          <w:p>
            <w:pPr>
              <w:pStyle w:val="28"/>
              <w:tabs>
                <w:tab w:val="left" w:pos="220"/>
              </w:tabs>
              <w:spacing w:line="360" w:lineRule="exact"/>
              <w:ind w:left="16"/>
              <w:rPr>
                <w:rFonts w:hint="default" w:ascii="仿宋_GB2312" w:hAnsi="宋体" w:eastAsia="仿宋_GB2312" w:cs="宋体"/>
                <w:color w:val="auto"/>
                <w:spacing w:val="-8"/>
                <w:w w:val="95"/>
                <w:sz w:val="21"/>
                <w:szCs w:val="21"/>
                <w:highlight w:val="none"/>
                <w:lang w:val="en-US" w:eastAsia="zh-CN"/>
              </w:rPr>
            </w:pPr>
            <w:r>
              <w:rPr>
                <w:rFonts w:hint="eastAsia" w:ascii="仿宋_GB2312" w:eastAsia="仿宋_GB2312" w:cs="宋体"/>
                <w:color w:val="auto"/>
                <w:spacing w:val="-8"/>
                <w:w w:val="95"/>
                <w:sz w:val="21"/>
                <w:szCs w:val="21"/>
                <w:highlight w:val="none"/>
                <w:lang w:val="en-US" w:eastAsia="zh-CN"/>
              </w:rPr>
              <w:t>13</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米</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实验操作台面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5</w:t>
            </w:r>
          </w:p>
        </w:tc>
        <w:tc>
          <w:tcPr>
            <w:tcW w:w="1335"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教师讲台和学生实验台（全钢）</w:t>
            </w:r>
          </w:p>
        </w:tc>
        <w:tc>
          <w:tcPr>
            <w:tcW w:w="7371"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讲台1个，尺寸：1800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学生实验台共6个，每个实验台尺寸：1800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*1200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*800</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台面说明：采用≥12.7mm理化板，边缘加厚至25.4mm并作圆弧处理；台面与柜体间应连接稳固，台面不能脱落或跷起。防静电、耐酸碱、耐高温，坚固不变形，不含溶剂及有毒物质。材料表面易清洁防化、防潮、以及耐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柜体说明：外壳采用冷轧钢裸板≥1.0mm，优质冷轧钢板在数控加工中心、剪裁、定位打孔、折弯焊接后成型，酸洗磷化处理后喷涂环氧树脂粉末高温烘烤固化。附着力高、表面硬度耐腐蚀性极强，外形美观。柜体为全钢落地式结构，钢板连接处无焊接痕迹，柜体可以单独或组合使用，柜体所有部件不得于安装现场焊接加工，以避免破坏钢板涂层，柜体含挡脚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5.柜门、抽屉面板说明：均为内嵌式、双层结构，1.0mm优质冷轧钢板，无焊连接，可拆卸，内含防撞橡胶垫；</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6.背板：采用冷轧钢≥1.0mm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7.拉手、铰链、合页：柜门拉手为一字暗拉，双层板厚一体成型拉手或不锈钢拉手，304不锈钢合页，最大开启角度180度，双层板厚一体成型拉手或不锈钢拉手，DTC三节静音导轨，开合时无噪音，次数达5万以上，防锈、耐腐蚀性能力强，达到国际五金行业标准。柜门采用强磁碰闭合方式；</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8.调整脚说明：采用内置直径φ10mm注塑调整脚，防震、防潮、耐腐蚀，可根据室内地坪适当调整柜体高度，最大调节为0-30mm。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9.整体工艺说明：所有钢板焊接经环氧树脂粉喷涂后，目视平整无焊点。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10.台面装带3C认证10A塔式五孔插座≥1个，电线为4平方国标钢心线。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11.含电路改造，台面上安装立体插座。</w:t>
            </w:r>
          </w:p>
          <w:p>
            <w:pPr>
              <w:pStyle w:val="28"/>
              <w:tabs>
                <w:tab w:val="left" w:pos="220"/>
              </w:tabs>
              <w:spacing w:line="360" w:lineRule="exact"/>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13</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米</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用于学生分组实验操作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6</w:t>
            </w:r>
          </w:p>
        </w:tc>
        <w:tc>
          <w:tcPr>
            <w:tcW w:w="1335"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实验凳</w:t>
            </w:r>
          </w:p>
        </w:tc>
        <w:tc>
          <w:tcPr>
            <w:tcW w:w="7371"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商品重量：4.0kg；坐面高度：40-60cm；坐面材质：皮革；座面软硬：软座面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座面形状：圆形；附加功能：可旋转，可升降</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主体材质：金属；包装尺寸：长36cm；宽36cm；高18cm；商品最大承重：100kg</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40</w:t>
            </w:r>
          </w:p>
        </w:tc>
        <w:tc>
          <w:tcPr>
            <w:tcW w:w="567" w:type="dxa"/>
            <w:shd w:val="clear" w:color="auto" w:fill="auto"/>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实验室上课座椅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7</w:t>
            </w:r>
          </w:p>
        </w:tc>
        <w:tc>
          <w:tcPr>
            <w:tcW w:w="1335"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器皿柜</w:t>
            </w:r>
          </w:p>
        </w:tc>
        <w:tc>
          <w:tcPr>
            <w:tcW w:w="7371"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1.名称:器皿柜</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2.规格:900mm*450mm*2000mm，全钢结构，上玻璃掩门下实掩门，带活动层板。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钢材</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厚度：1mm</w:t>
            </w:r>
          </w:p>
        </w:tc>
        <w:tc>
          <w:tcPr>
            <w:tcW w:w="567"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台</w:t>
            </w:r>
          </w:p>
        </w:tc>
        <w:tc>
          <w:tcPr>
            <w:tcW w:w="992" w:type="dxa"/>
            <w:tcBorders>
              <w:top w:val="single" w:color="auto" w:sz="4" w:space="0"/>
              <w:left w:val="nil"/>
              <w:bottom w:val="single" w:color="auto" w:sz="4" w:space="0"/>
              <w:right w:val="single" w:color="auto" w:sz="4" w:space="0"/>
            </w:tcBorders>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Borders>
              <w:top w:val="single" w:color="auto" w:sz="4" w:space="0"/>
              <w:left w:val="nil"/>
              <w:bottom w:val="single" w:color="auto" w:sz="4" w:space="0"/>
              <w:right w:val="single" w:color="auto" w:sz="4" w:space="0"/>
            </w:tcBorders>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可用于存放容量瓶、烧杯、培养皿等玻璃器皿。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8</w:t>
            </w:r>
          </w:p>
        </w:tc>
        <w:tc>
          <w:tcPr>
            <w:tcW w:w="1335"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药品柜</w:t>
            </w:r>
          </w:p>
        </w:tc>
        <w:tc>
          <w:tcPr>
            <w:tcW w:w="7371"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1.名称:药品柜</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2.规格:900mm*450mm*2000mm，全钢结构，上玻璃掩门下实掩门，带活动层板。双锁防腐。</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钢材</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厚度：1mm</w:t>
            </w:r>
          </w:p>
        </w:tc>
        <w:tc>
          <w:tcPr>
            <w:tcW w:w="567"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tcBorders>
              <w:top w:val="single" w:color="auto" w:sz="4" w:space="0"/>
              <w:left w:val="nil"/>
              <w:bottom w:val="single" w:color="auto" w:sz="4" w:space="0"/>
              <w:right w:val="single" w:color="auto" w:sz="4" w:space="0"/>
            </w:tcBorders>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台</w:t>
            </w:r>
          </w:p>
        </w:tc>
        <w:tc>
          <w:tcPr>
            <w:tcW w:w="992" w:type="dxa"/>
            <w:tcBorders>
              <w:top w:val="single" w:color="auto" w:sz="4" w:space="0"/>
              <w:left w:val="nil"/>
              <w:bottom w:val="single" w:color="auto" w:sz="4" w:space="0"/>
              <w:right w:val="single" w:color="auto" w:sz="4" w:space="0"/>
            </w:tcBorders>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Borders>
              <w:top w:val="single" w:color="auto" w:sz="4" w:space="0"/>
              <w:left w:val="nil"/>
              <w:bottom w:val="single" w:color="auto" w:sz="4" w:space="0"/>
              <w:right w:val="single" w:color="auto" w:sz="4" w:space="0"/>
            </w:tcBorders>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存放试剂药品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9</w:t>
            </w:r>
          </w:p>
        </w:tc>
        <w:tc>
          <w:tcPr>
            <w:tcW w:w="1335"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水电布置</w:t>
            </w:r>
          </w:p>
        </w:tc>
        <w:tc>
          <w:tcPr>
            <w:tcW w:w="7371"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1.所有实验边台、中央台电线布设到位，通电。</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2.边台供水、排水管道布设到位，通水，排水顺畅。</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3.中央台用2.5平方铜芯电线，边台用4平方铜芯电线。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4.供水管为PPR热熔管，直径8cm，白色加厚，国际标准。</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保障实验室水、电供应。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1</w:t>
            </w:r>
            <w:r>
              <w:rPr>
                <w:rFonts w:ascii="仿宋_GB2312" w:hAnsi="Times New Roman" w:eastAsia="仿宋_GB2312" w:cs="Times New Roman"/>
                <w:color w:val="000000" w:themeColor="text1"/>
                <w:kern w:val="0"/>
                <w:szCs w:val="21"/>
                <w:highlight w:val="none"/>
                <w:lang w:bidi="ar"/>
                <w14:textFill>
                  <w14:solidFill>
                    <w14:schemeClr w14:val="tx1"/>
                  </w14:solidFill>
                </w14:textFill>
              </w:rPr>
              <w:t>0</w:t>
            </w:r>
          </w:p>
        </w:tc>
        <w:tc>
          <w:tcPr>
            <w:tcW w:w="1335"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冰箱</w:t>
            </w:r>
          </w:p>
        </w:tc>
        <w:tc>
          <w:tcPr>
            <w:tcW w:w="7371"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产品尺寸</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深595mm；宽544mm；高1759mm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包装尺寸</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深655mm；宽615mm；高1855mm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总容积</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215升</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制冷剂</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R600a</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运转音</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40dB(A)</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能效等级：</w:t>
            </w:r>
            <w:r>
              <w:rPr>
                <w:rFonts w:hint="eastAsia" w:ascii="仿宋_GB2312" w:eastAsia="仿宋_GB2312" w:cs="宋体"/>
                <w:color w:val="000000" w:themeColor="text1"/>
                <w:spacing w:val="-8"/>
                <w:w w:val="95"/>
                <w:sz w:val="21"/>
                <w:szCs w:val="21"/>
                <w:highlight w:val="none"/>
                <w:lang w:val="zh-CN" w:eastAsia="zh-CN"/>
                <w14:textFill>
                  <w14:solidFill>
                    <w14:schemeClr w14:val="tx1"/>
                  </w14:solidFill>
                </w14:textFill>
              </w:rPr>
              <w:t>一</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级</w:t>
            </w:r>
            <w:r>
              <w:rPr>
                <w:rFonts w:ascii="Tahoma" w:hAnsi="Tahoma" w:eastAsia="Tahoma" w:cs="Tahoma"/>
                <w:i w:val="0"/>
                <w:iCs w:val="0"/>
                <w:caps w:val="0"/>
                <w:color w:val="666666"/>
                <w:spacing w:val="0"/>
                <w:sz w:val="21"/>
                <w:szCs w:val="21"/>
                <w:shd w:val="clear" w:fill="FFFFFF"/>
              </w:rPr>
              <w:t>能效</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包装清单:冰箱*1，说明书*1</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台</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用于储存菌种、疫苗、抗体、血清等需要低温储存的物质。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restart"/>
            <w:shd w:val="clear" w:color="auto" w:fill="auto"/>
            <w:vAlign w:val="center"/>
          </w:tcPr>
          <w:p>
            <w:pPr>
              <w:widowControl/>
              <w:spacing w:line="360" w:lineRule="exact"/>
              <w:jc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仿宋" w:eastAsia="仿宋_GB2312" w:cs="仿宋"/>
                <w:color w:val="000000" w:themeColor="text1"/>
                <w:szCs w:val="21"/>
                <w:highlight w:val="none"/>
                <w:shd w:val="clear" w:color="auto" w:fill="FFFFFF"/>
                <w14:textFill>
                  <w14:solidFill>
                    <w14:schemeClr w14:val="tx1"/>
                  </w14:solidFill>
                </w14:textFill>
              </w:rPr>
              <w:t>1</w:t>
            </w:r>
            <w:r>
              <w:rPr>
                <w:rFonts w:ascii="仿宋_GB2312" w:hAnsi="仿宋" w:eastAsia="仿宋_GB2312" w:cs="仿宋"/>
                <w:color w:val="000000" w:themeColor="text1"/>
                <w:szCs w:val="21"/>
                <w:highlight w:val="none"/>
                <w:shd w:val="clear" w:color="auto" w:fill="FFFFFF"/>
                <w14:textFill>
                  <w14:solidFill>
                    <w14:schemeClr w14:val="tx1"/>
                  </w14:solidFill>
                </w14:textFill>
              </w:rPr>
              <w:t>1</w:t>
            </w:r>
          </w:p>
        </w:tc>
        <w:tc>
          <w:tcPr>
            <w:tcW w:w="1335"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（1）家禽解剖模型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（1）产品尺寸：43cm*16cm*47cm;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（2）以母鸡为参照，展示鸡的外形和内部解剖结构，分为5部件，24个数字标识。</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widowControl/>
              <w:spacing w:line="360" w:lineRule="exact"/>
              <w:jc w:val="both"/>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r>
              <w:rPr>
                <w:rFonts w:hint="eastAsia"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t>（2）猪胚胎解剖模型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（1）模型尺寸：52cm*38cm*20cm；重量：3900G；产品可以拆分为10部件；</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（2）采用环保PVC，纯手工彩绘。</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tcPr>
          <w:p>
            <w:pPr>
              <w:pStyle w:val="28"/>
              <w:spacing w:line="360" w:lineRule="exact"/>
              <w:rPr>
                <w:rFonts w:ascii="仿宋_GB2312" w:eastAsia="仿宋_GB2312"/>
                <w:color w:val="000000" w:themeColor="text1"/>
                <w:sz w:val="21"/>
                <w:szCs w:val="21"/>
                <w:highlight w:val="none"/>
                <w14:textFill>
                  <w14:solidFill>
                    <w14:schemeClr w14:val="tx1"/>
                  </w14:solidFill>
                </w14:textFill>
              </w:rPr>
            </w:pPr>
          </w:p>
          <w:p>
            <w:pPr>
              <w:pStyle w:val="28"/>
              <w:spacing w:line="360" w:lineRule="exact"/>
              <w:rPr>
                <w:rFonts w:ascii="仿宋_GB2312" w:eastAsia="仿宋_GB2312"/>
                <w:color w:val="000000" w:themeColor="text1"/>
                <w:sz w:val="21"/>
                <w:szCs w:val="21"/>
                <w:highlight w:val="none"/>
                <w14:textFill>
                  <w14:solidFill>
                    <w14:schemeClr w14:val="tx1"/>
                  </w14:solidFill>
                </w14:textFill>
              </w:rPr>
            </w:pPr>
          </w:p>
          <w:p>
            <w:pPr>
              <w:pStyle w:val="28"/>
              <w:tabs>
                <w:tab w:val="left" w:pos="220"/>
              </w:tabs>
              <w:spacing w:line="360" w:lineRule="exact"/>
              <w:rPr>
                <w:rFonts w:hint="eastAsia" w:ascii="仿宋_GB2312" w:eastAsia="仿宋_GB2312"/>
                <w:color w:val="000000" w:themeColor="text1"/>
                <w:spacing w:val="-8"/>
                <w:w w:val="95"/>
                <w:sz w:val="21"/>
                <w:szCs w:val="21"/>
                <w:highlight w:val="none"/>
                <w14:textFill>
                  <w14:solidFill>
                    <w14:schemeClr w14:val="tx1"/>
                  </w14:solidFill>
                </w14:textFill>
              </w:rPr>
            </w:pPr>
          </w:p>
          <w:p>
            <w:pPr>
              <w:pStyle w:val="28"/>
              <w:tabs>
                <w:tab w:val="left" w:pos="220"/>
              </w:tabs>
              <w:spacing w:line="360" w:lineRule="exact"/>
              <w:rPr>
                <w:rFonts w:hint="eastAsia" w:ascii="仿宋_GB2312" w:eastAsia="仿宋_GB2312"/>
                <w:color w:val="000000" w:themeColor="text1"/>
                <w:spacing w:val="-8"/>
                <w:w w:val="95"/>
                <w:sz w:val="21"/>
                <w:szCs w:val="21"/>
                <w:highlight w:val="none"/>
                <w14:textFill>
                  <w14:solidFill>
                    <w14:schemeClr w14:val="tx1"/>
                  </w14:solidFill>
                </w14:textFill>
              </w:rPr>
            </w:pPr>
          </w:p>
          <w:p>
            <w:pPr>
              <w:pStyle w:val="28"/>
              <w:tabs>
                <w:tab w:val="left" w:pos="220"/>
              </w:tabs>
              <w:spacing w:line="360" w:lineRule="exact"/>
              <w:rPr>
                <w:rFonts w:ascii="仿宋_GB2312" w:eastAsia="仿宋_GB2312"/>
                <w:color w:val="000000" w:themeColor="text1"/>
                <w:spacing w:val="-8"/>
                <w:w w:val="95"/>
                <w:sz w:val="21"/>
                <w:szCs w:val="21"/>
                <w:highlight w:val="none"/>
                <w14:textFill>
                  <w14:solidFill>
                    <w14:schemeClr w14:val="tx1"/>
                  </w14:solidFill>
                </w14:textFill>
              </w:rPr>
            </w:pPr>
            <w:r>
              <w:rPr>
                <w:rFonts w:hint="eastAsia" w:ascii="仿宋_GB2312" w:eastAsia="仿宋_GB2312"/>
                <w:color w:val="000000" w:themeColor="text1"/>
                <w:spacing w:val="-8"/>
                <w:w w:val="95"/>
                <w:sz w:val="21"/>
                <w:szCs w:val="21"/>
                <w:highlight w:val="none"/>
                <w14:textFill>
                  <w14:solidFill>
                    <w14:schemeClr w14:val="tx1"/>
                  </w14:solidFill>
                </w14:textFill>
              </w:rPr>
              <w:t>（3）小型犬前肢静脉输液模型</w:t>
            </w:r>
          </w:p>
        </w:tc>
        <w:tc>
          <w:tcPr>
            <w:tcW w:w="7371" w:type="dxa"/>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（1）仿真小型犬前肢，犬前肢上分布的多条主要静脉血管系统，可进行静脉注射输液（血）、抽血等穿刺练习。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（2）进针时有明显的落空感，正确穿刺有回血产生。</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（3）静脉血管和皮肤的同一穿刺部位可以经受几百次反复穿刺不渗漏。</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（4）静脉血管和皮肤都可以更换。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皮肤、肌肉系用进口塑胶材料，神经血管采用进口乳胶材料，犬前肢用进口PVC 材料，全部由不锈钢金属模具，经高温浇铸而成，皮肤 外表面按真实犬模特翻制而成，整体产品具有操作手感真实、逼真，外观肤色形态美观、经久耐用、消毒清洗不变形、拆装方便等特点，材料达到国外同等水平。</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外观尺寸：15c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 xml:space="preserve">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tabs>
                <w:tab w:val="left" w:pos="220"/>
              </w:tabs>
              <w:spacing w:line="360" w:lineRule="exact"/>
              <w:ind w:left="16"/>
              <w:jc w:val="center"/>
              <w:rPr>
                <w:rFonts w:ascii="仿宋_GB2312" w:eastAsia="仿宋_GB2312"/>
                <w:color w:val="000000" w:themeColor="text1"/>
                <w:spacing w:val="-8"/>
                <w:w w:val="95"/>
                <w:sz w:val="21"/>
                <w:szCs w:val="21"/>
                <w:highlight w:val="none"/>
                <w14:textFill>
                  <w14:solidFill>
                    <w14:schemeClr w14:val="tx1"/>
                  </w14:solidFill>
                </w14:textFill>
              </w:rPr>
            </w:pPr>
            <w:r>
              <w:rPr>
                <w:rFonts w:hint="eastAsia" w:ascii="仿宋_GB2312" w:eastAsia="仿宋_GB2312"/>
                <w:color w:val="000000" w:themeColor="text1"/>
                <w:spacing w:val="-8"/>
                <w:w w:val="95"/>
                <w:sz w:val="21"/>
                <w:szCs w:val="21"/>
                <w:highlight w:val="none"/>
                <w14:textFill>
                  <w14:solidFill>
                    <w14:schemeClr w14:val="tx1"/>
                  </w14:solidFill>
                </w14:textFill>
              </w:rPr>
              <w:t>（4）小型犬后肢静脉输液模型</w:t>
            </w:r>
          </w:p>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tc>
        <w:tc>
          <w:tcPr>
            <w:tcW w:w="7371" w:type="dxa"/>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1.主要功能：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（1）根据小型犬后肢的解剖特征，采用进口塑胶材料，模拟小型犬后肢。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（2）设计骨骼、皮肤、肌肉、血管等，大小相同。</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（3）静脉穿刺时，有明显的落空感，有回血产生。</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（4）进行后肢静脉穿刺、大隐静脉穿刺、小隐静脉穿刺、足根穿刺。</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（5）静脉血管和皮肤都可以更换。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皮肤、肌肉系用进口塑胶材料，神经血管采用进口乳胶材料，犬后肢用进口 PVC 材料，全部由不锈钢金属模具，经高温浇铸而成，皮肤 外表面按真实犬模特翻制而成，整体产品具有操作手感真实、逼真，外观肤色形态美观、经久 耐用、消毒清洗不变形、拆装方便等特点，其材料达到国外同等水平。</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外观尺寸：20c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m*6</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6</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spacing w:line="360" w:lineRule="exact"/>
              <w:jc w:val="both"/>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5"/>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（5）高级中型犬前肢静脉输液模型</w:t>
            </w:r>
          </w:p>
          <w:p>
            <w:pPr>
              <w:pStyle w:val="28"/>
              <w:spacing w:line="360" w:lineRule="exact"/>
              <w:ind w:left="15"/>
              <w:jc w:val="center"/>
              <w:rPr>
                <w:rFonts w:ascii="仿宋_GB2312" w:eastAsia="仿宋_GB2312"/>
                <w:color w:val="000000" w:themeColor="text1"/>
                <w:sz w:val="21"/>
                <w:szCs w:val="21"/>
                <w:highlight w:val="none"/>
                <w14:textFill>
                  <w14:solidFill>
                    <w14:schemeClr w14:val="tx1"/>
                  </w14:solidFill>
                </w14:textFill>
              </w:rPr>
            </w:pPr>
          </w:p>
        </w:tc>
        <w:tc>
          <w:tcPr>
            <w:tcW w:w="7371" w:type="dxa"/>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（1）本模型由仿真中型犬前肢静脉模型与电子血液循环装置组成，具有真实的血 液流动，手感真实，血流速度可以调节。</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（2）犬前肢上分布的多条主要静脉血管系统，可进行静脉的注射、输液（血）抽血等穿刺训练功能。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（3）进针时有明显的落空感，正确穿刺有回血产生。</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（4）静脉血管和皮肤的同一穿刺部位可以经受几百次反复穿刺不渗漏。</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（5）静脉血管和皮肤都可以更换。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皮肤、肌肉系用进口塑胶材料，神经血管采用进口乳胶材料，犬前肢用进口 PVC 材料，全部由不锈钢金属模具，经高温浇铸而成，皮肤 外表面按真实犬模特翻制而成，整体产品具有操作手感真实、逼真，外观肤色形态美观、经久 耐用、消毒清洗不变形、拆装方便等特点，材料达到国外同等水平。</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外观尺寸：22</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m*6</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m*8</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控制器外观尺寸：3</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1.5c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m*14</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m*1</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套</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pacing w:val="-8"/>
                <w:w w:val="95"/>
                <w:sz w:val="21"/>
                <w:szCs w:val="21"/>
                <w:highlight w:val="none"/>
                <w14:textFill>
                  <w14:solidFill>
                    <w14:schemeClr w14:val="tx1"/>
                  </w14:solidFill>
                </w14:textFill>
              </w:rPr>
              <w:t>（6）高级中型犬后肢静脉输液模</w:t>
            </w:r>
            <w:r>
              <w:rPr>
                <w:rFonts w:hint="eastAsia" w:ascii="仿宋_GB2312" w:eastAsia="仿宋_GB2312"/>
                <w:color w:val="000000" w:themeColor="text1"/>
                <w:spacing w:val="-8"/>
                <w:w w:val="95"/>
                <w:sz w:val="21"/>
                <w:szCs w:val="21"/>
                <w:highlight w:val="none"/>
                <w:lang w:val="en-US"/>
                <w14:textFill>
                  <w14:solidFill>
                    <w14:schemeClr w14:val="tx1"/>
                  </w14:solidFill>
                </w14:textFill>
              </w:rPr>
              <w:t>型</w:t>
            </w:r>
          </w:p>
        </w:tc>
        <w:tc>
          <w:tcPr>
            <w:tcW w:w="7371" w:type="dxa"/>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主要功能：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（1）本模型由仿真中型犬后肢静脉模型与电子血液循环装置组成，具有真实的血液流动，手感真实，血流速度可以调节。</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（2）根据中型犬后肢的解剖特征，采用进口塑胶材料，模拟中型犬后肢，设计骨骼、皮肤、肌肉、血管等，大小相同。</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（3）静脉穿刺时，有明显的落空感，有回血产生。</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（4）进行后肢静脉穿刺、大隐静脉穿刺、小隐静脉穿刺、足根穿刺。</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皮肤、肌肉系用进口塑胶材料，神经血管采用进口乳胶材料，犬后肢用进口PVC 材料，全部由不锈钢金属模具，经高温浇铸而成，皮肤 外表面按真实犬</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模特翻制而成，整体产品具有操作手感真实、逼真，外观肤色形态美观、经久耐用、消毒清洗不变形、拆装方便等特点，材料达到国外同等水平。</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外观尺寸：22</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m*6</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m*8</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控制器外观尺寸：31</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m*14</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m*11</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 xml:space="preserve">m </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套</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both"/>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（7）犬气管插管训练模型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1.模型为成年犬只，形态逼真，包括头，颈，前胸，被毛，口腔气管结构解剖标志明显，便于操作练习和定位。</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2.采用高分子材质，环保无污染，肤质仿真度高仰卧位，头可后仰进行气管 插管的训练操作与教学演示插管进程中全程语音播报，插管正确与错误的提  示，音量大小可调节。</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3.进行气管插管训练操作时；正确操作插入气道，有电子语音提示正确 “插入气管” ；供气使双肺膨胀。</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4.进行气管插管训练操作时，错误操作插入食道，有电子语音提示错误“插</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入食管”。</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 xml:space="preserve">外观尺寸：27cm*17cm*16cm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控制器尺寸：22cm*4cm*14.5cm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pacing w:val="-8"/>
                <w:w w:val="95"/>
                <w:sz w:val="21"/>
                <w:szCs w:val="21"/>
                <w:highlight w:val="none"/>
                <w:lang w:val="en-US"/>
                <w14:textFill>
                  <w14:solidFill>
                    <w14:schemeClr w14:val="tx1"/>
                  </w14:solidFill>
                </w14:textFill>
              </w:rPr>
            </w:pPr>
          </w:p>
          <w:p>
            <w:pPr>
              <w:pStyle w:val="28"/>
              <w:spacing w:line="360" w:lineRule="exact"/>
              <w:jc w:val="center"/>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r>
              <w:rPr>
                <w:rFonts w:hint="eastAsia" w:ascii="仿宋_GB2312" w:eastAsia="仿宋_GB2312"/>
                <w:color w:val="000000" w:themeColor="text1"/>
                <w:spacing w:val="-8"/>
                <w:w w:val="95"/>
                <w:sz w:val="21"/>
                <w:szCs w:val="21"/>
                <w:highlight w:val="none"/>
                <w:lang w:val="en-US"/>
                <w14:textFill>
                  <w14:solidFill>
                    <w14:schemeClr w14:val="tx1"/>
                  </w14:solidFill>
                </w14:textFill>
              </w:rPr>
              <w:t>（8）公犬导尿模型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1.模型外型部件均以正常犬体解剖为依据，并附声、光、流液演示技术进行设 计制造。可用导尿的医用器具对本模型进行雄性(犬）导尿的实体操作，并能显示导尿操作的正确与否。特点是模型逼真、临场感强、多种用途。</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（1）模型参照成年公犬内外生殖器解剖结构设计。</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（2）润滑过的导尿管可以通过尿道口插入尿道，进入膀胱。</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（3）导尿管插入到达膀胱时，绿灯显示同时有“尿液”模拟尿液将从导管中流出并伴有语音提示。</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（4）导尿通过粘膜皱壁、尿道球部及尿道内括约肌时，学生将会体验到如同真  人般的狭窄感，可以通过改变体位和阴茎的位置，使导管顺利插入。</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皮肤系用进口塑胶材料，全部由不锈钢金属模具，经高温浇铸而成，外表面 按</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真实犬模特翻制而成，整体产品具有操作手感真实、逼真，外观肤色形态美 观、经久耐用、消毒清洗不变形等特点。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 xml:space="preserve">外观尺寸：38cm*18cm*23cm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控制器尺寸：22cm*4cm*14.5cm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widowControl/>
              <w:spacing w:line="360" w:lineRule="exact"/>
              <w:jc w:val="center"/>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p>
          <w:p>
            <w:pPr>
              <w:pStyle w:val="28"/>
              <w:spacing w:line="360" w:lineRule="exact"/>
              <w:jc w:val="center"/>
              <w:rPr>
                <w:rFonts w:ascii="仿宋_GB2312" w:eastAsia="仿宋_GB2312"/>
                <w:color w:val="000000" w:themeColor="text1"/>
                <w:spacing w:val="-8"/>
                <w:w w:val="95"/>
                <w:sz w:val="21"/>
                <w:szCs w:val="21"/>
                <w:highlight w:val="none"/>
                <w:lang w:val="en-US"/>
                <w14:textFill>
                  <w14:solidFill>
                    <w14:schemeClr w14:val="tx1"/>
                  </w14:solidFill>
                </w14:textFill>
              </w:rPr>
            </w:pPr>
          </w:p>
          <w:p>
            <w:pPr>
              <w:pStyle w:val="28"/>
              <w:spacing w:line="360" w:lineRule="exact"/>
              <w:jc w:val="center"/>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r>
              <w:rPr>
                <w:rFonts w:hint="eastAsia" w:ascii="仿宋_GB2312" w:eastAsia="仿宋_GB2312"/>
                <w:color w:val="000000" w:themeColor="text1"/>
                <w:spacing w:val="-8"/>
                <w:w w:val="95"/>
                <w:sz w:val="21"/>
                <w:szCs w:val="21"/>
                <w:highlight w:val="none"/>
                <w:lang w:val="en-US"/>
                <w14:textFill>
                  <w14:solidFill>
                    <w14:schemeClr w14:val="tx1"/>
                  </w14:solidFill>
                </w14:textFill>
              </w:rPr>
              <w:t>（9）母犬导尿模型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模型外型部件均以正常犬体解剖为依据，并附声、光、流液演示技术进行设 计制造。可用导尿的医用器具对本模型进行雌性(犬）导尿的实体操作，并能显示导尿操作的正确与否。特点是模型逼真、临场感强、多种用途。</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（1）模仿参照成年母犬外生殖器的会阴，大腿处于外展位。</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（2）模型包括膀胱、尿道、尿道括约肌等解剖结构。</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（3）小阴唇可以向两旁分开以暴露阴蒂、尿道口及阴道口。</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（4）当导尿管插入尿道，通过尿道括约肌进入膀胱时，有真实的阻力与压力。</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（5）导尿管插入到达膀胱时，绿灯显示同时有“尿液”模拟尿液将从导管中流出并伴有语音提示。</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皮肤系用进口塑胶材料，全部由不锈钢金属模具，经高温浇铸而成，外表面 按真实犬模特翻制而成，整体产品具有操作手感真实、逼真，外观肤色形态美 观、经久耐用、消毒清洗不变形等特点。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 xml:space="preserve">外观尺寸：38cm*18cm*23cm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控制器尺寸:22cm*4cm*14.5cm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vMerge w:val="continue"/>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tcPr>
          <w:p>
            <w:pPr>
              <w:pStyle w:val="28"/>
              <w:widowControl/>
              <w:spacing w:line="360" w:lineRule="exact"/>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p>
          <w:p>
            <w:pPr>
              <w:pStyle w:val="28"/>
              <w:widowControl/>
              <w:spacing w:line="360" w:lineRule="exact"/>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p>
          <w:p>
            <w:pPr>
              <w:pStyle w:val="28"/>
              <w:widowControl/>
              <w:spacing w:line="360" w:lineRule="exact"/>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p>
          <w:p>
            <w:pPr>
              <w:pStyle w:val="28"/>
              <w:widowControl/>
              <w:spacing w:line="360" w:lineRule="exact"/>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p>
          <w:p>
            <w:pPr>
              <w:pStyle w:val="28"/>
              <w:widowControl/>
              <w:spacing w:line="360" w:lineRule="exact"/>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p>
          <w:p>
            <w:pPr>
              <w:pStyle w:val="28"/>
              <w:widowControl/>
              <w:spacing w:line="360" w:lineRule="exact"/>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p>
          <w:p>
            <w:pPr>
              <w:pStyle w:val="28"/>
              <w:widowControl/>
              <w:spacing w:line="360" w:lineRule="exact"/>
              <w:ind w:left="31" w:right="13"/>
              <w:jc w:val="both"/>
              <w:rPr>
                <w:rFonts w:ascii="仿宋_GB2312" w:hAnsi="仿宋" w:eastAsia="仿宋_GB2312" w:cs="仿宋"/>
                <w:color w:val="000000" w:themeColor="text1"/>
                <w:kern w:val="2"/>
                <w:sz w:val="21"/>
                <w:szCs w:val="21"/>
                <w:highlight w:val="none"/>
                <w:lang w:val="en-US" w:bidi="ar-SA"/>
                <w14:textFill>
                  <w14:solidFill>
                    <w14:schemeClr w14:val="tx1"/>
                  </w14:solidFill>
                </w14:textFill>
              </w:rPr>
            </w:pPr>
            <w:r>
              <w:rPr>
                <w:rFonts w:hint="eastAsia" w:ascii="仿宋_GB2312" w:eastAsia="仿宋_GB2312"/>
                <w:color w:val="000000" w:themeColor="text1"/>
                <w:spacing w:val="-8"/>
                <w:w w:val="95"/>
                <w:sz w:val="21"/>
                <w:szCs w:val="21"/>
                <w:highlight w:val="none"/>
                <w:lang w:val="en-US"/>
                <w14:textFill>
                  <w14:solidFill>
                    <w14:schemeClr w14:val="tx1"/>
                  </w14:solidFill>
                </w14:textFill>
              </w:rPr>
              <w:t>（10）高级外科多技能训练模型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（1）皮肤模块：外科皮肤切开、缝合、打结、剪线、拆线。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（2）肠管模块：有 20mm 直径和 30mm 直径两种型号，练习肠管的钳夹、切开、吻合、打结、剪线。</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（3）血管模块：练习血管的钳夹、切断、结扎。</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（4）深部打结模块：练习狭小空间的深部打结技术。</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（5）模型体积小，便于携带，可更换模块。</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2.材料特点：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皮肤、肌肉系用进口塑胶材料，全部由不锈钢金属模具，经高温浇铸而成  皮肤 外表面按真实犬模特翻制而成，整体产品具有操作手感真实、逼真，外观肤色形态美观、经久耐用、消毒清洗不变形。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外观尺寸：22c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22c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8c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台</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spacing w:line="360" w:lineRule="exact"/>
              <w:jc w:val="both"/>
              <w:rPr>
                <w:color w:val="000000" w:themeColor="text1"/>
                <w:szCs w:val="21"/>
                <w:highlight w:val="none"/>
                <w14:textFill>
                  <w14:solidFill>
                    <w14:schemeClr w14:val="tx1"/>
                  </w14:solidFill>
                </w14:textFill>
              </w:rPr>
            </w:pPr>
          </w:p>
          <w:p>
            <w:pPr>
              <w:pStyle w:val="28"/>
              <w:spacing w:line="360" w:lineRule="exact"/>
              <w:ind w:left="14"/>
              <w:jc w:val="center"/>
              <w:rPr>
                <w:rFonts w:ascii="仿宋_GB2312" w:eastAsia="仿宋_GB2312"/>
                <w:color w:val="000000" w:themeColor="text1"/>
                <w:sz w:val="21"/>
                <w:szCs w:val="21"/>
                <w:highlight w:val="none"/>
                <w14:textFill>
                  <w14:solidFill>
                    <w14:schemeClr w14:val="tx1"/>
                  </w14:solidFill>
                </w14:textFill>
              </w:rPr>
            </w:pPr>
            <w:r>
              <w:rPr>
                <w:rFonts w:ascii="仿宋_GB2312" w:eastAsia="仿宋_GB2312"/>
                <w:color w:val="000000" w:themeColor="text1"/>
                <w:sz w:val="21"/>
                <w:szCs w:val="21"/>
                <w:highlight w:val="none"/>
                <w14:textFill>
                  <w14:solidFill>
                    <w14:schemeClr w14:val="tx1"/>
                  </w14:solidFill>
                </w14:textFill>
              </w:rPr>
              <w:t>（11）外科打结技能训练模型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功能特点：</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（1）模型为透明有机玻璃材料制作，可进行示教和观察及评价自我操作能力。</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（2）采用磁力系统模拟组织拉力，平行弹性条索模拟血管，3种型号圆柱构成多种打结空间，模拟多种深部结构进行各种手术深部打结训练，使用灵活，拆卸方便。</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（3）可以练习单手打结、器械打结、外科结打结、三叠结打结和假结的辨认。练习小空间打结、大垂直空间打结、大倾斜空间打结及进行剪线、血管的钳夹、切断和结扎训练。</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br w:type="textWrapping"/>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（4）模拟血管可更换。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外观尺寸：21c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20c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23c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tcPr>
          <w:p>
            <w:pPr>
              <w:pStyle w:val="28"/>
              <w:spacing w:line="360" w:lineRule="exact"/>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4"/>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4"/>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4"/>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4"/>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2</w:t>
            </w:r>
            <w:r>
              <w:rPr>
                <w:rFonts w:hint="eastAsia" w:ascii="仿宋_GB2312" w:eastAsia="仿宋_GB2312"/>
                <w:color w:val="000000" w:themeColor="text1"/>
                <w:sz w:val="21"/>
                <w:szCs w:val="21"/>
                <w:highlight w:val="none"/>
                <w14:textFill>
                  <w14:solidFill>
                    <w14:schemeClr w14:val="tx1"/>
                  </w14:solidFill>
                </w14:textFill>
              </w:rPr>
              <w:t>）外科清创缝合练习皮肤模型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（1）皮肤表面为曲面；</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（2）仿真皮肤，肤质柔软，可以反复练习缝合。 皮肤根据解剖的结构分为皮肤层，脂肪层，肌肉层三个部分，采用高分子材料  不锈钢摸具高温注压而成，具有手感真实、肤色鲜艳、形态逼真、经久耐用、 消毒清洗不变形、拆装更换方便等特点。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（3）手感真实，质地细腻，韧性好。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（4）小巧玲珑，携带方便，随时可进行模拟练习。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（5）可切开，练习各种缝合技术，打结，剪线，拆线等多种外科手术的基础训练。</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（6）高仿真设计有皮肤层，脂肪层和肌肉层;</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（7）可在任意位置进行不同深度的切开缝合，可多次反复使用。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（8）高级无毒 TPE 材质。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外观尺寸：20c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m*6</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套</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3</w:t>
            </w:r>
            <w:r>
              <w:rPr>
                <w:rFonts w:hint="eastAsia" w:ascii="仿宋_GB2312" w:eastAsia="仿宋_GB2312"/>
                <w:color w:val="000000" w:themeColor="text1"/>
                <w:sz w:val="21"/>
                <w:szCs w:val="21"/>
                <w:highlight w:val="none"/>
                <w14:textFill>
                  <w14:solidFill>
                    <w14:schemeClr w14:val="tx1"/>
                  </w14:solidFill>
                </w14:textFill>
              </w:rPr>
              <w:t>）外科清创缝合练习皮肤模型</w:t>
            </w:r>
          </w:p>
          <w:p>
            <w:pPr>
              <w:pStyle w:val="28"/>
              <w:widowControl/>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widowControl/>
              <w:spacing w:line="360" w:lineRule="exact"/>
              <w:jc w:val="center"/>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p>
          <w:p>
            <w:pPr>
              <w:pStyle w:val="28"/>
              <w:widowControl/>
              <w:spacing w:line="360" w:lineRule="exact"/>
              <w:jc w:val="center"/>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（1）平面，皮肤上有多种形状的伤口。</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（2）仿真皮肤，肤质柔软，可以反复练习缝合。 皮肤根据解剖的结构分为皮肤层，脂肪层，肌肉层三个部分，采用高分子材料  不锈钢摸具高温注压而成，具有手感真实、肤色鲜艳、形态逼真、经久耐用、 消毒清洗不变形、拆装更换方便等特点。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（3）手感真实，质地细腻，韧性好。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（4）小巧玲珑，携带方便，随时可进行模拟练习。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（5）可切开，练习各种缝合技术，打结，剪线，拆线等多种外科手术的基础训练。</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（6）高仿真设计，有皮肤层，脂肪层和肌肉层，练习感受和视觉效果更加真实。</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（7）可在任意位置进行不同深度的切开缝合，可多次反复使用。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（8）高级无毒 TPE 材质。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外观尺寸：20c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12c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3.5c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套</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5"/>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4</w:t>
            </w:r>
            <w:r>
              <w:rPr>
                <w:rFonts w:hint="eastAsia" w:ascii="仿宋_GB2312" w:eastAsia="仿宋_GB2312"/>
                <w:color w:val="000000" w:themeColor="text1"/>
                <w:sz w:val="21"/>
                <w:szCs w:val="21"/>
                <w:highlight w:val="none"/>
                <w14:textFill>
                  <w14:solidFill>
                    <w14:schemeClr w14:val="tx1"/>
                  </w14:solidFill>
                </w14:textFill>
              </w:rPr>
              <w:t>）外科清创缝合练习皮肤模型</w:t>
            </w:r>
          </w:p>
          <w:p>
            <w:pPr>
              <w:pStyle w:val="28"/>
              <w:widowControl/>
              <w:spacing w:line="360" w:lineRule="exact"/>
              <w:jc w:val="center"/>
              <w:rPr>
                <w:rFonts w:ascii="仿宋_GB2312" w:hAnsi="仿宋" w:eastAsia="仿宋_GB2312" w:cs="仿宋"/>
                <w:color w:val="000000" w:themeColor="text1"/>
                <w:kern w:val="2"/>
                <w:sz w:val="21"/>
                <w:szCs w:val="21"/>
                <w:highlight w:val="none"/>
                <w:shd w:val="clear" w:color="auto" w:fill="FFFFFF"/>
                <w:lang w:val="en-US" w:bidi="ar-SA"/>
                <w14:textFill>
                  <w14:solidFill>
                    <w14:schemeClr w14:val="tx1"/>
                  </w14:solidFill>
                </w14:textFill>
              </w:rPr>
            </w:pP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功能特点：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（1）平面，皮肤表面平整无伤口。</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（2）仿真皮肤，肤质柔软，可以反复练习缝合。</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（3）皮肤根据解剖的结构分为皮肤层，脂肪层，肌肉层三个部分，采用高分子材料由</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不锈钢摸具高温注压而成，具有手感真实、肤色鲜艳、形态逼真、经久耐用消毒清</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洗不变形、拆装更换方便等特点。</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（4）手感真实，质地细腻，韧性好。</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（5）小巧玲珑，携带方便，随时可进行模拟练习。</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（6）可切开，练习各种缝合技术，打结，剪线，拆线等多种外科手术基础训练</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（7）高仿真设计，有皮肤层，脂肪层和肌肉层，练习感受和视觉效果更加真实</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（8）可在任意位置进行不同深度的切开缝合，可多次反复使用。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（9）高级无毒 TPE 材质。</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外观尺寸：20c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12c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3.5c</w:t>
            </w: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m</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10</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套</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兽医临床诊断课程专项实训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5</w:t>
            </w:r>
            <w:r>
              <w:rPr>
                <w:rFonts w:hint="eastAsia" w:ascii="仿宋_GB2312" w:eastAsia="仿宋_GB2312"/>
                <w:color w:val="000000" w:themeColor="text1"/>
                <w:sz w:val="21"/>
                <w:szCs w:val="21"/>
                <w:highlight w:val="none"/>
                <w14:textFill>
                  <w14:solidFill>
                    <w14:schemeClr w14:val="tx1"/>
                  </w14:solidFill>
                </w14:textFill>
              </w:rPr>
              <w:t>）牛子宫模型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牛雌性生殖器解剖模型，阴道上壁作剖面，主要显示输卵管伞、输卵管、卵巢、子宫角、子宫 、子宫体、阴道穹、阴蒂、阴道、膀胱、尿道外口、子宫外口、子宫阔韧带等。</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尺寸：62cm*31cm*34cm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材质：采用优质树脂、塑料精制而成。</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套</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ind w:left="11"/>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6</w:t>
            </w:r>
            <w:r>
              <w:rPr>
                <w:rFonts w:hint="eastAsia" w:ascii="仿宋_GB2312" w:eastAsia="仿宋_GB2312"/>
                <w:color w:val="000000" w:themeColor="text1"/>
                <w:sz w:val="21"/>
                <w:szCs w:val="21"/>
                <w:highlight w:val="none"/>
                <w14:textFill>
                  <w14:solidFill>
                    <w14:schemeClr w14:val="tx1"/>
                  </w14:solidFill>
                </w14:textFill>
              </w:rPr>
              <w:t>）羊子宫模型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羊子宫解剖模型主要显示阴道、阴蒂、子宫、子宫角、子宫外口，尿道外口等。</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尺寸：62cm*35cm*6.5cm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材质：采用优质树脂、塑料精制而成。</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4</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z w:val="21"/>
                <w:szCs w:val="21"/>
                <w:highlight w:val="none"/>
                <w:lang w:val="en-US"/>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7</w:t>
            </w:r>
            <w:r>
              <w:rPr>
                <w:rFonts w:hint="eastAsia" w:ascii="仿宋_GB2312" w:eastAsia="仿宋_GB2312"/>
                <w:color w:val="000000" w:themeColor="text1"/>
                <w:sz w:val="21"/>
                <w:szCs w:val="21"/>
                <w:highlight w:val="none"/>
                <w14:textFill>
                  <w14:solidFill>
                    <w14:schemeClr w14:val="tx1"/>
                  </w14:solidFill>
                </w14:textFill>
              </w:rPr>
              <w:t>）猪子宫模型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猪子宫为双角子宫，子宫角长，弯曲如肠袢，产品示子宫、子宫角、子宫颈、部分阴道、输卵管、输卵管伞、卵巢、子宫阔韧带、猪胎儿等。</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尺寸：37cm*60cm*7cm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材质：采用优质树脂、塑料精制而成。</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8</w:t>
            </w:r>
            <w:r>
              <w:rPr>
                <w:rFonts w:hint="eastAsia" w:ascii="仿宋_GB2312" w:eastAsia="仿宋_GB2312"/>
                <w:color w:val="000000" w:themeColor="text1"/>
                <w:sz w:val="21"/>
                <w:szCs w:val="21"/>
                <w:highlight w:val="none"/>
                <w14:textFill>
                  <w14:solidFill>
                    <w14:schemeClr w14:val="tx1"/>
                  </w14:solidFill>
                </w14:textFill>
              </w:rPr>
              <w:t>）马子宫模型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马雌性生殖器模型主要显示马的外阴部、阴蒂、阴道、尿道、尿道外口、阴瓣、阴道前庭、阴蒂窝、尿生殖动脉、子宫卵巢动静脉、子宫体、子宫外口、子宫阴道部、子宫角、子宫阔韧带、输卵管、子宫角剖面、输卵管伞、卵巢等。</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尺寸：76cm*54cm*10cm</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材质：采用优质树脂、塑料精制而成。</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vAlign w:val="center"/>
          </w:tcPr>
          <w:p>
            <w:pPr>
              <w:pStyle w:val="28"/>
              <w:spacing w:line="360" w:lineRule="exact"/>
              <w:jc w:val="center"/>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（1</w:t>
            </w:r>
            <w:r>
              <w:rPr>
                <w:rFonts w:ascii="仿宋_GB2312" w:eastAsia="仿宋_GB2312"/>
                <w:color w:val="000000" w:themeColor="text1"/>
                <w:sz w:val="21"/>
                <w:szCs w:val="21"/>
                <w:highlight w:val="none"/>
                <w14:textFill>
                  <w14:solidFill>
                    <w14:schemeClr w14:val="tx1"/>
                  </w14:solidFill>
                </w14:textFill>
              </w:rPr>
              <w:t>9</w:t>
            </w:r>
            <w:r>
              <w:rPr>
                <w:rFonts w:hint="eastAsia" w:ascii="仿宋_GB2312" w:eastAsia="仿宋_GB2312"/>
                <w:color w:val="000000" w:themeColor="text1"/>
                <w:sz w:val="21"/>
                <w:szCs w:val="21"/>
                <w:highlight w:val="none"/>
                <w14:textFill>
                  <w14:solidFill>
                    <w14:schemeClr w14:val="tx1"/>
                  </w14:solidFill>
                </w14:textFill>
              </w:rPr>
              <w:t>）狗子宫模型</w:t>
            </w: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 xml:space="preserve">"Y"型狗子宫放大模型展示狗子宫的内部结构：卵巢、输卵管、子宫、阴道、阴户等结构。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 xml:space="preserve">尺寸：61cm*31cm*4.5cm                                                         </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材料：采用优质树脂、塑料精制而成。</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3</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tcPr>
          <w:p>
            <w:pPr>
              <w:pStyle w:val="28"/>
              <w:spacing w:line="360" w:lineRule="exact"/>
              <w:ind w:left="11"/>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1"/>
              <w:rPr>
                <w:rFonts w:ascii="仿宋_GB2312" w:eastAsia="仿宋_GB2312"/>
                <w:color w:val="000000" w:themeColor="text1"/>
                <w:sz w:val="21"/>
                <w:szCs w:val="21"/>
                <w:highlight w:val="none"/>
                <w14:textFill>
                  <w14:solidFill>
                    <w14:schemeClr w14:val="tx1"/>
                  </w14:solidFill>
                </w14:textFill>
              </w:rPr>
            </w:pPr>
          </w:p>
          <w:p>
            <w:pPr>
              <w:pStyle w:val="28"/>
              <w:spacing w:line="360" w:lineRule="exact"/>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1"/>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w:t>
            </w:r>
            <w:r>
              <w:rPr>
                <w:rFonts w:ascii="仿宋_GB2312" w:eastAsia="仿宋_GB2312"/>
                <w:color w:val="000000" w:themeColor="text1"/>
                <w:sz w:val="21"/>
                <w:szCs w:val="21"/>
                <w:highlight w:val="none"/>
                <w14:textFill>
                  <w14:solidFill>
                    <w14:schemeClr w14:val="tx1"/>
                  </w14:solidFill>
                </w14:textFill>
              </w:rPr>
              <w:t>0</w:t>
            </w:r>
            <w:r>
              <w:rPr>
                <w:rFonts w:hint="eastAsia" w:ascii="仿宋_GB2312" w:eastAsia="仿宋_GB2312"/>
                <w:color w:val="000000" w:themeColor="text1"/>
                <w:sz w:val="21"/>
                <w:szCs w:val="21"/>
                <w:highlight w:val="none"/>
                <w14:textFill>
                  <w14:solidFill>
                    <w14:schemeClr w14:val="tx1"/>
                  </w14:solidFill>
                </w14:textFill>
              </w:rPr>
              <w:t>）高级仿真牛人工授精模型</w:t>
            </w:r>
          </w:p>
          <w:p>
            <w:pPr>
              <w:pStyle w:val="28"/>
              <w:spacing w:line="360" w:lineRule="exact"/>
              <w:ind w:left="11"/>
              <w:rPr>
                <w:rFonts w:ascii="仿宋_GB2312" w:eastAsia="仿宋_GB2312"/>
                <w:color w:val="000000" w:themeColor="text1"/>
                <w:sz w:val="21"/>
                <w:szCs w:val="21"/>
                <w:highlight w:val="none"/>
                <w14:textFill>
                  <w14:solidFill>
                    <w14:schemeClr w14:val="tx1"/>
                  </w14:solidFill>
                </w14:textFill>
              </w:rPr>
            </w:pP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模型由仿真黄牛按教学比例注模翻制而成，具有形态逼真、外形美观、仿真度高等特点；学员可准确具体地掌握牛人工授精技术的各项要领。</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尺寸：长*宽*高（1.8米*0.6米*1.6米）</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采取电动感应式开关控制。</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具有仿真阴道，子宫、直肠等器官；实操过程真实逼真。</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具有语音播报授精进度，实时提示到达位置，模拟牛的整个人工授精过程，加深学生的体验及记忆。</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表皮采用仿真毛皮，</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安全可靠，产品采用标配电源实现低压供电，可有效防止意外发生。</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2</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c>
          <w:tcPr>
            <w:tcW w:w="1335" w:type="dxa"/>
            <w:shd w:val="clear" w:color="auto" w:fill="FFFFFF"/>
          </w:tcPr>
          <w:p>
            <w:pPr>
              <w:pStyle w:val="28"/>
              <w:spacing w:line="360" w:lineRule="exact"/>
              <w:rPr>
                <w:rFonts w:ascii="仿宋_GB2312" w:eastAsia="仿宋_GB2312"/>
                <w:color w:val="000000" w:themeColor="text1"/>
                <w:sz w:val="21"/>
                <w:szCs w:val="21"/>
                <w:highlight w:val="none"/>
                <w14:textFill>
                  <w14:solidFill>
                    <w14:schemeClr w14:val="tx1"/>
                  </w14:solidFill>
                </w14:textFill>
              </w:rPr>
            </w:pPr>
          </w:p>
          <w:p>
            <w:pPr>
              <w:pStyle w:val="28"/>
              <w:spacing w:line="360" w:lineRule="exact"/>
              <w:ind w:left="11"/>
              <w:rPr>
                <w:rFonts w:ascii="仿宋_GB2312" w:eastAsia="仿宋_GB2312"/>
                <w:color w:val="000000" w:themeColor="text1"/>
                <w:sz w:val="21"/>
                <w:szCs w:val="21"/>
                <w:highlight w:val="none"/>
                <w14:textFill>
                  <w14:solidFill>
                    <w14:schemeClr w14:val="tx1"/>
                  </w14:solidFill>
                </w14:textFill>
              </w:rPr>
            </w:pPr>
            <w:r>
              <w:rPr>
                <w:rFonts w:hint="eastAsia" w:ascii="仿宋_GB2312" w:eastAsia="仿宋_GB2312"/>
                <w:color w:val="000000" w:themeColor="text1"/>
                <w:sz w:val="21"/>
                <w:szCs w:val="21"/>
                <w:highlight w:val="none"/>
                <w14:textFill>
                  <w14:solidFill>
                    <w14:schemeClr w14:val="tx1"/>
                  </w14:solidFill>
                </w14:textFill>
              </w:rPr>
              <w:t>（2</w:t>
            </w:r>
            <w:r>
              <w:rPr>
                <w:rFonts w:ascii="仿宋_GB2312" w:eastAsia="仿宋_GB2312"/>
                <w:color w:val="000000" w:themeColor="text1"/>
                <w:sz w:val="21"/>
                <w:szCs w:val="21"/>
                <w:highlight w:val="none"/>
                <w14:textFill>
                  <w14:solidFill>
                    <w14:schemeClr w14:val="tx1"/>
                  </w14:solidFill>
                </w14:textFill>
              </w:rPr>
              <w:t>1</w:t>
            </w:r>
            <w:r>
              <w:rPr>
                <w:rFonts w:hint="eastAsia" w:ascii="仿宋_GB2312" w:eastAsia="仿宋_GB2312"/>
                <w:color w:val="000000" w:themeColor="text1"/>
                <w:sz w:val="21"/>
                <w:szCs w:val="21"/>
                <w:highlight w:val="none"/>
                <w14:textFill>
                  <w14:solidFill>
                    <w14:schemeClr w14:val="tx1"/>
                  </w14:solidFill>
                </w14:textFill>
              </w:rPr>
              <w:t>）高级仿真羊人工授精模型</w:t>
            </w:r>
          </w:p>
          <w:p>
            <w:pPr>
              <w:pStyle w:val="28"/>
              <w:spacing w:line="360" w:lineRule="exact"/>
              <w:ind w:left="11"/>
              <w:rPr>
                <w:rFonts w:ascii="仿宋_GB2312" w:eastAsia="仿宋_GB2312"/>
                <w:color w:val="000000" w:themeColor="text1"/>
                <w:sz w:val="21"/>
                <w:szCs w:val="21"/>
                <w:highlight w:val="none"/>
                <w14:textFill>
                  <w14:solidFill>
                    <w14:schemeClr w14:val="tx1"/>
                  </w14:solidFill>
                </w14:textFill>
              </w:rPr>
            </w:pPr>
          </w:p>
        </w:tc>
        <w:tc>
          <w:tcPr>
            <w:tcW w:w="7371" w:type="dxa"/>
            <w:shd w:val="clear" w:color="auto" w:fill="FFFFFF"/>
            <w:vAlign w:val="top"/>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模型由仿真羊按教学比例注模翻制而成，具有形态逼真、外形美观、仿真度高等特点；学员可准确具体地掌握羊的人工授精技术的各项要领。</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尺寸：长*宽*高（1.3米*0.4米*1.2米）</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采取电动感应式开关控制。</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具有仿真阴道，子宫等器官；实操过程真实逼真。</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具有语音播报进度，实时提示到达位置，模拟羊的整个人工授精过程，加深学生的体验及记忆。</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采用仿真毛皮。</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安全可靠，产品采用标配电源实现低压供电，可有效防止意外发生。</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1</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动物繁殖课程专项实训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645" w:type="dxa"/>
            <w:shd w:val="clear" w:color="auto" w:fill="auto"/>
            <w:vAlign w:val="center"/>
          </w:tcPr>
          <w:p>
            <w:pPr>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r>
              <w:rPr>
                <w:rFonts w:hint="eastAsia" w:ascii="仿宋_GB2312" w:hAnsi="Times New Roman" w:eastAsia="仿宋_GB2312" w:cs="Times New Roman"/>
                <w:color w:val="000000" w:themeColor="text1"/>
                <w:kern w:val="0"/>
                <w:szCs w:val="21"/>
                <w:highlight w:val="none"/>
                <w:lang w:bidi="ar"/>
                <w14:textFill>
                  <w14:solidFill>
                    <w14:schemeClr w14:val="tx1"/>
                  </w14:solidFill>
                </w14:textFill>
              </w:rPr>
              <w:t>1</w:t>
            </w:r>
            <w:r>
              <w:rPr>
                <w:rFonts w:ascii="仿宋_GB2312" w:hAnsi="Times New Roman" w:eastAsia="仿宋_GB2312" w:cs="Times New Roman"/>
                <w:color w:val="000000" w:themeColor="text1"/>
                <w:kern w:val="0"/>
                <w:szCs w:val="21"/>
                <w:highlight w:val="none"/>
                <w:lang w:bidi="ar"/>
                <w14:textFill>
                  <w14:solidFill>
                    <w14:schemeClr w14:val="tx1"/>
                  </w14:solidFill>
                </w14:textFill>
              </w:rPr>
              <w:t>2</w:t>
            </w:r>
          </w:p>
        </w:tc>
        <w:tc>
          <w:tcPr>
            <w:tcW w:w="1335" w:type="dxa"/>
            <w:shd w:val="clear" w:color="auto" w:fill="FFFFFF"/>
          </w:tcPr>
          <w:p>
            <w:pPr>
              <w:widowControl/>
              <w:spacing w:line="360" w:lineRule="exact"/>
              <w:jc w:val="both"/>
              <w:rPr>
                <w:rFonts w:ascii="仿宋_GB2312" w:eastAsia="仿宋_GB2312"/>
                <w:color w:val="000000" w:themeColor="text1"/>
                <w:szCs w:val="21"/>
                <w:highlight w:val="none"/>
                <w14:textFill>
                  <w14:solidFill>
                    <w14:schemeClr w14:val="tx1"/>
                  </w14:solidFill>
                </w14:textFill>
              </w:rPr>
            </w:pPr>
            <w:r>
              <w:rPr>
                <w:rFonts w:hint="eastAsia" w:ascii="仿宋_GB2312" w:hAnsi="宋体" w:eastAsia="仿宋_GB2312" w:cs="宋体"/>
                <w:color w:val="000000" w:themeColor="text1"/>
                <w:spacing w:val="-8"/>
                <w:w w:val="95"/>
                <w:kern w:val="0"/>
                <w:sz w:val="21"/>
                <w:szCs w:val="21"/>
                <w:highlight w:val="none"/>
                <w:lang w:val="en-US" w:eastAsia="zh-CN" w:bidi="zh-CN"/>
                <w14:textFill>
                  <w14:solidFill>
                    <w14:schemeClr w14:val="tx1"/>
                  </w14:solidFill>
                </w14:textFill>
              </w:rPr>
              <w:t>手术器械推车</w:t>
            </w:r>
          </w:p>
        </w:tc>
        <w:tc>
          <w:tcPr>
            <w:tcW w:w="7371" w:type="dxa"/>
            <w:shd w:val="clear" w:color="auto" w:fill="FFFFFF"/>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主要参数</w:t>
            </w:r>
          </w:p>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en-US" w:eastAsia="zh-CN"/>
                <w14:textFill>
                  <w14:solidFill>
                    <w14:schemeClr w14:val="tx1"/>
                  </w14:solidFill>
                </w14:textFill>
              </w:rPr>
              <w:t>医用不锈钢器械台 ；尺寸：80x48x86cm；商品毛重：10.0kg。</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5</w:t>
            </w:r>
          </w:p>
        </w:tc>
        <w:tc>
          <w:tcPr>
            <w:tcW w:w="567" w:type="dxa"/>
            <w:shd w:val="clear" w:color="auto" w:fill="FFFFFF"/>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个</w:t>
            </w: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992" w:type="dxa"/>
            <w:shd w:val="clear" w:color="auto" w:fill="auto"/>
            <w:noWrap/>
            <w:vAlign w:val="center"/>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p>
        </w:tc>
        <w:tc>
          <w:tcPr>
            <w:tcW w:w="1214" w:type="dxa"/>
          </w:tcPr>
          <w:p>
            <w:pPr>
              <w:pStyle w:val="28"/>
              <w:tabs>
                <w:tab w:val="left" w:pos="220"/>
              </w:tabs>
              <w:spacing w:line="360" w:lineRule="exact"/>
              <w:ind w:left="16"/>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pPr>
            <w:r>
              <w:rPr>
                <w:rFonts w:hint="eastAsia" w:ascii="仿宋_GB2312" w:hAnsi="宋体" w:eastAsia="仿宋_GB2312" w:cs="宋体"/>
                <w:color w:val="000000" w:themeColor="text1"/>
                <w:spacing w:val="-8"/>
                <w:w w:val="95"/>
                <w:sz w:val="21"/>
                <w:szCs w:val="21"/>
                <w:highlight w:val="none"/>
                <w:lang w:val="zh-CN" w:eastAsia="zh-CN"/>
                <w14:textFill>
                  <w14:solidFill>
                    <w14:schemeClr w14:val="tx1"/>
                  </w14:solidFill>
                </w14:textFill>
              </w:rPr>
              <w:t>用于盛放实验物品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51" w:type="dxa"/>
            <w:gridSpan w:val="3"/>
            <w:shd w:val="clear" w:color="auto" w:fill="auto"/>
            <w:vAlign w:val="center"/>
          </w:tcPr>
          <w:p>
            <w:pPr>
              <w:widowControl/>
              <w:spacing w:line="360" w:lineRule="exact"/>
              <w:jc w:val="center"/>
              <w:textAlignment w:val="center"/>
              <w:rPr>
                <w:rFonts w:ascii="仿宋_GB2312" w:hAnsi="仿宋" w:eastAsia="仿宋_GB2312" w:cs="仿宋"/>
                <w:b/>
                <w:bCs/>
                <w:color w:val="000000" w:themeColor="text1"/>
                <w:szCs w:val="21"/>
                <w:highlight w:val="none"/>
                <w:shd w:val="clear" w:color="auto" w:fill="FFFFFF"/>
                <w14:textFill>
                  <w14:solidFill>
                    <w14:schemeClr w14:val="tx1"/>
                  </w14:solidFill>
                </w14:textFill>
              </w:rPr>
            </w:pPr>
            <w:r>
              <w:rPr>
                <w:rFonts w:hint="eastAsia" w:ascii="仿宋_GB2312" w:hAnsi="仿宋" w:eastAsia="仿宋_GB2312" w:cs="仿宋"/>
                <w:b/>
                <w:bCs/>
                <w:color w:val="000000" w:themeColor="text1"/>
                <w:szCs w:val="21"/>
                <w:highlight w:val="none"/>
                <w:shd w:val="clear" w:color="auto" w:fill="FFFFFF"/>
                <w14:textFill>
                  <w14:solidFill>
                    <w14:schemeClr w14:val="tx1"/>
                  </w14:solidFill>
                </w14:textFill>
              </w:rPr>
              <w:t>合计</w:t>
            </w:r>
          </w:p>
        </w:tc>
        <w:tc>
          <w:tcPr>
            <w:tcW w:w="4332" w:type="dxa"/>
            <w:gridSpan w:val="5"/>
            <w:shd w:val="clear" w:color="auto" w:fill="auto"/>
            <w:vAlign w:val="center"/>
          </w:tcPr>
          <w:p>
            <w:pPr>
              <w:widowControl/>
              <w:spacing w:line="360" w:lineRule="exact"/>
              <w:jc w:val="center"/>
              <w:textAlignment w:val="center"/>
              <w:rPr>
                <w:rFonts w:ascii="仿宋_GB2312" w:hAnsi="Times New Roman" w:eastAsia="仿宋_GB2312" w:cs="Times New Roman"/>
                <w:color w:val="000000" w:themeColor="text1"/>
                <w:kern w:val="0"/>
                <w:szCs w:val="21"/>
                <w:highlight w:val="none"/>
                <w:lang w:bidi="ar"/>
                <w14:textFill>
                  <w14:solidFill>
                    <w14:schemeClr w14:val="tx1"/>
                  </w14:solidFill>
                </w14:textFill>
              </w:rPr>
            </w:pPr>
          </w:p>
        </w:tc>
      </w:tr>
      <w:bookmarkEnd w:id="52"/>
    </w:tbl>
    <w:p>
      <w:pPr>
        <w:spacing w:line="360" w:lineRule="exact"/>
        <w:rPr>
          <w:rFonts w:ascii="仿宋_GB2312" w:eastAsia="仿宋_GB2312"/>
          <w:sz w:val="18"/>
          <w:szCs w:val="18"/>
        </w:rPr>
      </w:pPr>
    </w:p>
    <w:p>
      <w:pPr>
        <w:spacing w:line="360" w:lineRule="exact"/>
        <w:rPr>
          <w:rFonts w:ascii="仿宋_GB2312" w:eastAsia="仿宋_GB2312"/>
          <w:sz w:val="18"/>
          <w:szCs w:val="18"/>
        </w:rPr>
        <w:sectPr>
          <w:pgSz w:w="16838" w:h="11906" w:orient="landscape"/>
          <w:pgMar w:top="1417" w:right="1417" w:bottom="1417" w:left="1417" w:header="851" w:footer="992" w:gutter="0"/>
          <w:cols w:space="425" w:num="1"/>
          <w:docGrid w:type="lines" w:linePitch="312" w:charSpace="0"/>
        </w:sectPr>
      </w:pPr>
    </w:p>
    <w:p>
      <w:pPr>
        <w:spacing w:line="540" w:lineRule="exact"/>
        <w:jc w:val="center"/>
        <w:rPr>
          <w:rFonts w:ascii="仿宋_GB2312" w:eastAsia="仿宋_GB2312"/>
          <w:b/>
          <w:bCs/>
          <w:kern w:val="0"/>
          <w:sz w:val="28"/>
          <w:szCs w:val="28"/>
        </w:rPr>
      </w:pPr>
      <w:r>
        <w:rPr>
          <w:b/>
          <w:bCs/>
          <w:sz w:val="28"/>
          <w:szCs w:val="28"/>
        </w:rPr>
        <w:drawing>
          <wp:anchor distT="0" distB="0" distL="114300" distR="114300" simplePos="0" relativeHeight="251660288" behindDoc="0" locked="0" layoutInCell="1" allowOverlap="1">
            <wp:simplePos x="0" y="0"/>
            <wp:positionH relativeFrom="margin">
              <wp:posOffset>-146050</wp:posOffset>
            </wp:positionH>
            <wp:positionV relativeFrom="page">
              <wp:posOffset>1358265</wp:posOffset>
            </wp:positionV>
            <wp:extent cx="5396230" cy="2976245"/>
            <wp:effectExtent l="0" t="0" r="13970" b="1079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96230" cy="2976245"/>
                    </a:xfrm>
                    <a:prstGeom prst="rect">
                      <a:avLst/>
                    </a:prstGeom>
                    <a:noFill/>
                  </pic:spPr>
                </pic:pic>
              </a:graphicData>
            </a:graphic>
          </wp:anchor>
        </w:drawing>
      </w:r>
      <w:r>
        <w:rPr>
          <w:rFonts w:hint="eastAsia" w:ascii="仿宋_GB2312" w:eastAsia="仿宋_GB2312"/>
          <w:b/>
          <w:bCs/>
          <w:sz w:val="28"/>
          <w:szCs w:val="28"/>
        </w:rPr>
        <w:t>职本衔接“3+2”模式畜牧兽医专业本科兽医综合实训室设计图</w:t>
      </w:r>
    </w:p>
    <w:p>
      <w:pPr>
        <w:spacing w:line="360" w:lineRule="exact"/>
        <w:rPr>
          <w:rFonts w:ascii="仿宋_GB2312" w:eastAsia="仿宋_GB2312"/>
          <w:sz w:val="18"/>
          <w:szCs w:val="18"/>
        </w:rPr>
      </w:pPr>
    </w:p>
    <w:p>
      <w:pPr>
        <w:spacing w:line="360" w:lineRule="exact"/>
        <w:rPr>
          <w:rFonts w:ascii="仿宋_GB2312" w:eastAsia="仿宋_GB2312"/>
          <w:sz w:val="18"/>
          <w:szCs w:val="1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pPr>
    </w:p>
    <w:p>
      <w:pPr>
        <w:numPr>
          <w:ilvl w:val="0"/>
          <w:numId w:val="0"/>
        </w:numPr>
        <w:jc w:val="center"/>
        <w:rPr>
          <w:rFonts w:hint="eastAsia" w:ascii="仿宋" w:hAnsi="仿宋" w:eastAsia="仿宋" w:cs="仿宋"/>
          <w:color w:val="auto"/>
          <w:sz w:val="28"/>
          <w:szCs w:val="28"/>
        </w:rPr>
        <w:sectPr>
          <w:pgSz w:w="11906" w:h="16838"/>
          <w:pgMar w:top="1440" w:right="1800" w:bottom="1440" w:left="1800" w:header="851" w:footer="992" w:gutter="0"/>
          <w:cols w:space="425" w:num="1"/>
          <w:docGrid w:type="lines" w:linePitch="312" w:charSpace="0"/>
        </w:sectPr>
      </w:pPr>
    </w:p>
    <w:p>
      <w:pPr>
        <w:spacing w:line="500" w:lineRule="exact"/>
        <w:ind w:firstLine="723" w:firstLineChars="200"/>
        <w:jc w:val="center"/>
        <w:rPr>
          <w:rFonts w:hint="eastAsia" w:ascii="仿宋_GB2312" w:eastAsia="仿宋_GB2312"/>
          <w:b/>
          <w:bCs/>
          <w:color w:val="auto"/>
          <w:sz w:val="36"/>
          <w:szCs w:val="36"/>
        </w:rPr>
      </w:pPr>
      <w:r>
        <w:rPr>
          <w:rFonts w:hint="eastAsia" w:ascii="仿宋_GB2312" w:eastAsia="仿宋_GB2312"/>
          <w:b/>
          <w:bCs/>
          <w:color w:val="auto"/>
          <w:sz w:val="36"/>
          <w:szCs w:val="36"/>
        </w:rPr>
        <w:t>自治区职本衔接园艺专业“4+0”模式</w:t>
      </w:r>
    </w:p>
    <w:p>
      <w:pPr>
        <w:spacing w:line="500" w:lineRule="exact"/>
        <w:ind w:firstLine="723" w:firstLineChars="200"/>
        <w:jc w:val="center"/>
        <w:rPr>
          <w:rFonts w:ascii="仿宋_GB2312" w:eastAsia="仿宋_GB2312"/>
          <w:color w:val="auto"/>
          <w:sz w:val="18"/>
          <w:szCs w:val="18"/>
        </w:rPr>
      </w:pPr>
      <w:r>
        <w:rPr>
          <w:rFonts w:hint="eastAsia" w:ascii="仿宋_GB2312" w:eastAsia="仿宋_GB2312"/>
          <w:b/>
          <w:bCs/>
          <w:color w:val="auto"/>
          <w:sz w:val="36"/>
          <w:szCs w:val="36"/>
        </w:rPr>
        <w:t>《园艺综合实训室》建设设备清单一览表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3"/>
        <w:gridCol w:w="1593"/>
        <w:gridCol w:w="9057"/>
        <w:gridCol w:w="669"/>
        <w:gridCol w:w="545"/>
        <w:gridCol w:w="941"/>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序号</w:t>
            </w:r>
          </w:p>
        </w:tc>
        <w:tc>
          <w:tcPr>
            <w:tcW w:w="56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设备名称</w:t>
            </w:r>
          </w:p>
        </w:tc>
        <w:tc>
          <w:tcPr>
            <w:tcW w:w="31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型号规格或技术参数</w:t>
            </w:r>
          </w:p>
        </w:tc>
        <w:tc>
          <w:tcPr>
            <w:tcW w:w="23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数量</w:t>
            </w:r>
          </w:p>
        </w:tc>
        <w:tc>
          <w:tcPr>
            <w:tcW w:w="19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单位</w:t>
            </w:r>
          </w:p>
        </w:tc>
        <w:tc>
          <w:tcPr>
            <w:tcW w:w="33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单价（元）</w:t>
            </w:r>
          </w:p>
        </w:tc>
        <w:tc>
          <w:tcPr>
            <w:tcW w:w="320"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b/>
                <w:bCs/>
                <w:i w:val="0"/>
                <w:iCs w:val="0"/>
                <w:color w:val="auto"/>
                <w:sz w:val="24"/>
                <w:szCs w:val="24"/>
                <w:u w:val="none"/>
              </w:rPr>
            </w:pPr>
            <w:r>
              <w:rPr>
                <w:rFonts w:hint="default" w:ascii="仿宋_GB2312" w:hAnsi="宋体" w:eastAsia="仿宋_GB2312" w:cs="仿宋_GB2312"/>
                <w:b/>
                <w:bCs/>
                <w:i w:val="0"/>
                <w:iCs w:val="0"/>
                <w:color w:val="auto"/>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36"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632" w:firstLineChars="300"/>
              <w:jc w:val="left"/>
              <w:textAlignment w:val="center"/>
              <w:rPr>
                <w:rStyle w:val="29"/>
                <w:rFonts w:hint="default" w:hAnsi="Times New Roman"/>
                <w:b/>
                <w:bCs/>
                <w:color w:val="auto"/>
                <w:lang w:val="en-US" w:eastAsia="zh-CN" w:bidi="ar"/>
              </w:rPr>
            </w:pPr>
            <w:r>
              <w:rPr>
                <w:rStyle w:val="29"/>
                <w:rFonts w:hint="eastAsia" w:hAnsi="Times New Roman"/>
                <w:b/>
                <w:bCs/>
                <w:color w:val="auto"/>
                <w:lang w:val="en-US" w:eastAsia="zh-CN" w:bidi="ar"/>
              </w:rPr>
              <w:t>一</w:t>
            </w:r>
          </w:p>
        </w:tc>
        <w:tc>
          <w:tcPr>
            <w:tcW w:w="4263" w:type="pct"/>
            <w:gridSpan w:val="5"/>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Style w:val="29"/>
                <w:rFonts w:hint="eastAsia" w:hAnsi="Times New Roman"/>
                <w:b/>
                <w:bCs/>
                <w:color w:val="auto"/>
                <w:lang w:val="en-US" w:eastAsia="zh-CN" w:bidi="ar"/>
              </w:rPr>
              <w:t>生物技术功能实训区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水电布置</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1.所有实验边台.中央台电线布设到位，通电。</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ascii="Times New Roman" w:hAnsi="Times New Roman" w:eastAsia="宋体" w:cs="Times New Roman"/>
                <w:i w:val="0"/>
                <w:iCs w:val="0"/>
                <w:color w:val="auto"/>
                <w:sz w:val="21"/>
                <w:szCs w:val="21"/>
                <w:u w:val="none"/>
                <w:lang w:val="en-US" w:eastAsia="zh-CN"/>
              </w:rPr>
              <w:t>项</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2.边台供水</w:t>
            </w:r>
            <w:r>
              <w:rPr>
                <w:rStyle w:val="29"/>
                <w:rFonts w:hint="eastAsia" w:hAnsi="Times New Roman"/>
                <w:color w:val="auto"/>
                <w:lang w:val="en-US" w:eastAsia="zh-CN" w:bidi="ar"/>
              </w:rPr>
              <w:t>，</w:t>
            </w:r>
            <w:r>
              <w:rPr>
                <w:rStyle w:val="29"/>
                <w:rFonts w:hint="default" w:hAnsi="Times New Roman"/>
                <w:color w:val="auto"/>
                <w:lang w:val="en-US" w:eastAsia="zh-CN" w:bidi="ar"/>
              </w:rPr>
              <w:t>排水管道布设到位，通水，排水顺畅。</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w:t>
            </w:r>
            <w:r>
              <w:rPr>
                <w:rStyle w:val="29"/>
                <w:rFonts w:hAnsi="Times New Roman"/>
                <w:color w:val="auto"/>
                <w:lang w:val="en-US" w:eastAsia="zh-CN" w:bidi="ar"/>
              </w:rPr>
              <w:t>中央台用</w:t>
            </w:r>
            <w:r>
              <w:rPr>
                <w:rStyle w:val="30"/>
                <w:rFonts w:eastAsia="宋体"/>
                <w:color w:val="auto"/>
                <w:lang w:val="en-US" w:eastAsia="zh-CN" w:bidi="ar"/>
              </w:rPr>
              <w:t>4</w:t>
            </w:r>
            <w:r>
              <w:rPr>
                <w:rStyle w:val="29"/>
                <w:rFonts w:hAnsi="Times New Roman"/>
                <w:color w:val="auto"/>
                <w:lang w:val="en-US" w:eastAsia="zh-CN" w:bidi="ar"/>
              </w:rPr>
              <w:t>平方铜芯电线，边台用</w:t>
            </w:r>
            <w:r>
              <w:rPr>
                <w:rStyle w:val="30"/>
                <w:rFonts w:eastAsia="宋体"/>
                <w:color w:val="auto"/>
                <w:lang w:val="en-US" w:eastAsia="zh-CN" w:bidi="ar"/>
              </w:rPr>
              <w:t>2.5</w:t>
            </w:r>
            <w:r>
              <w:rPr>
                <w:rStyle w:val="29"/>
                <w:rFonts w:hAnsi="Times New Roman"/>
                <w:color w:val="auto"/>
                <w:lang w:val="en-US" w:eastAsia="zh-CN" w:bidi="ar"/>
              </w:rPr>
              <w:t>平方电线。</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4.</w:t>
            </w:r>
            <w:r>
              <w:rPr>
                <w:rStyle w:val="29"/>
                <w:rFonts w:hAnsi="Times New Roman"/>
                <w:color w:val="auto"/>
                <w:lang w:val="en-US" w:eastAsia="zh-CN" w:bidi="ar"/>
              </w:rPr>
              <w:t>供水</w:t>
            </w:r>
            <w:r>
              <w:rPr>
                <w:rStyle w:val="30"/>
                <w:rFonts w:eastAsia="宋体"/>
                <w:color w:val="auto"/>
                <w:lang w:val="en-US" w:eastAsia="zh-CN" w:bidi="ar"/>
              </w:rPr>
              <w:t>PE</w:t>
            </w:r>
            <w:r>
              <w:rPr>
                <w:rStyle w:val="29"/>
                <w:rFonts w:hAnsi="Times New Roman"/>
                <w:color w:val="auto"/>
                <w:lang w:val="en-US" w:eastAsia="zh-CN" w:bidi="ar"/>
              </w:rPr>
              <w:t>管，排水</w:t>
            </w:r>
            <w:r>
              <w:rPr>
                <w:rStyle w:val="30"/>
                <w:rFonts w:eastAsia="宋体"/>
                <w:color w:val="auto"/>
                <w:lang w:val="en-US" w:eastAsia="zh-CN" w:bidi="ar"/>
              </w:rPr>
              <w:t>PVC</w:t>
            </w:r>
            <w:r>
              <w:rPr>
                <w:rStyle w:val="29"/>
                <w:rFonts w:hAnsi="Times New Roman"/>
                <w:color w:val="auto"/>
                <w:lang w:val="en-US" w:eastAsia="zh-CN" w:bidi="ar"/>
              </w:rPr>
              <w:t>管，材质国标。</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1"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5.</w:t>
            </w:r>
            <w:r>
              <w:rPr>
                <w:rStyle w:val="29"/>
                <w:rFonts w:hAnsi="Times New Roman"/>
                <w:color w:val="auto"/>
                <w:lang w:val="en-US" w:eastAsia="zh-CN" w:bidi="ar"/>
              </w:rPr>
              <w:t>实验边台</w:t>
            </w:r>
            <w:r>
              <w:rPr>
                <w:rStyle w:val="30"/>
                <w:rFonts w:eastAsia="宋体"/>
                <w:color w:val="auto"/>
                <w:lang w:val="en-US" w:eastAsia="zh-CN" w:bidi="ar"/>
              </w:rPr>
              <w:t>2</w:t>
            </w:r>
            <w:r>
              <w:rPr>
                <w:rStyle w:val="29"/>
                <w:rFonts w:hAnsi="Times New Roman"/>
                <w:color w:val="auto"/>
                <w:lang w:val="en-US" w:eastAsia="zh-CN" w:bidi="ar"/>
              </w:rPr>
              <w:t>组（带水槽），</w:t>
            </w:r>
            <w:r>
              <w:rPr>
                <w:rStyle w:val="30"/>
                <w:rFonts w:eastAsia="宋体"/>
                <w:color w:val="auto"/>
                <w:lang w:val="en-US" w:eastAsia="zh-CN" w:bidi="ar"/>
              </w:rPr>
              <w:t>L*W*H</w:t>
            </w:r>
            <w:r>
              <w:rPr>
                <w:rStyle w:val="29"/>
                <w:rFonts w:hAnsi="Times New Roman"/>
                <w:color w:val="auto"/>
                <w:lang w:val="en-US" w:eastAsia="zh-CN" w:bidi="ar"/>
              </w:rPr>
              <w:t>：</w:t>
            </w:r>
            <w:r>
              <w:rPr>
                <w:rStyle w:val="30"/>
                <w:rFonts w:eastAsia="宋体"/>
                <w:color w:val="auto"/>
                <w:lang w:val="en-US" w:eastAsia="zh-CN" w:bidi="ar"/>
              </w:rPr>
              <w:t>1600*750*850mm</w:t>
            </w:r>
            <w:r>
              <w:rPr>
                <w:rStyle w:val="29"/>
                <w:rFonts w:hAnsi="Times New Roman"/>
                <w:color w:val="auto"/>
                <w:lang w:val="en-US" w:eastAsia="zh-CN" w:bidi="ar"/>
              </w:rPr>
              <w:t>，</w:t>
            </w:r>
            <w:r>
              <w:rPr>
                <w:rStyle w:val="30"/>
                <w:rFonts w:eastAsia="宋体"/>
                <w:color w:val="auto"/>
                <w:lang w:val="en-US" w:eastAsia="zh-CN" w:bidi="ar"/>
              </w:rPr>
              <w:t>13mm</w:t>
            </w:r>
            <w:r>
              <w:rPr>
                <w:rStyle w:val="29"/>
                <w:rFonts w:hAnsi="Times New Roman"/>
                <w:color w:val="auto"/>
                <w:lang w:val="en-US" w:eastAsia="zh-CN" w:bidi="ar"/>
              </w:rPr>
              <w:t>实芯理化板台面，全钢结构</w:t>
            </w:r>
            <w:r>
              <w:rPr>
                <w:rStyle w:val="30"/>
                <w:rFonts w:eastAsia="宋体"/>
                <w:color w:val="auto"/>
                <w:lang w:val="en-US" w:eastAsia="zh-CN" w:bidi="ar"/>
              </w:rPr>
              <w:t>(1mm</w:t>
            </w:r>
            <w:r>
              <w:rPr>
                <w:rStyle w:val="29"/>
                <w:rFonts w:hAnsi="Times New Roman"/>
                <w:color w:val="auto"/>
                <w:lang w:val="en-US" w:eastAsia="zh-CN" w:bidi="ar"/>
              </w:rPr>
              <w:t>厚钢材），带线槽，带背封板，带</w:t>
            </w:r>
            <w:r>
              <w:rPr>
                <w:rStyle w:val="30"/>
                <w:rFonts w:eastAsia="宋体"/>
                <w:color w:val="auto"/>
                <w:lang w:val="en-US" w:eastAsia="zh-CN" w:bidi="ar"/>
              </w:rPr>
              <w:t>PP</w:t>
            </w:r>
            <w:r>
              <w:rPr>
                <w:rStyle w:val="29"/>
                <w:rFonts w:hAnsi="Times New Roman"/>
                <w:color w:val="auto"/>
                <w:lang w:val="en-US" w:eastAsia="zh-CN" w:bidi="ar"/>
              </w:rPr>
              <w:t>大水槽</w:t>
            </w:r>
            <w:r>
              <w:rPr>
                <w:rStyle w:val="30"/>
                <w:rFonts w:eastAsia="宋体"/>
                <w:color w:val="auto"/>
                <w:lang w:val="en-US" w:eastAsia="zh-CN" w:bidi="ar"/>
              </w:rPr>
              <w:t>/</w:t>
            </w:r>
            <w:r>
              <w:rPr>
                <w:rStyle w:val="29"/>
                <w:rFonts w:hAnsi="Times New Roman"/>
                <w:color w:val="auto"/>
                <w:lang w:val="en-US" w:eastAsia="zh-CN" w:bidi="ar"/>
              </w:rPr>
              <w:t>三口水龙头</w:t>
            </w:r>
            <w:r>
              <w:rPr>
                <w:rStyle w:val="30"/>
                <w:rFonts w:eastAsia="宋体"/>
                <w:color w:val="auto"/>
                <w:lang w:val="en-US" w:eastAsia="zh-CN" w:bidi="ar"/>
              </w:rPr>
              <w:t>/</w:t>
            </w:r>
            <w:r>
              <w:rPr>
                <w:rStyle w:val="29"/>
                <w:rFonts w:hAnsi="Times New Roman"/>
                <w:color w:val="auto"/>
                <w:lang w:val="en-US" w:eastAsia="zh-CN" w:bidi="ar"/>
              </w:rPr>
              <w:t>四边挡水</w:t>
            </w:r>
            <w:r>
              <w:rPr>
                <w:rStyle w:val="30"/>
                <w:rFonts w:eastAsia="宋体"/>
                <w:color w:val="auto"/>
                <w:lang w:val="en-US" w:eastAsia="zh-CN" w:bidi="ar"/>
              </w:rPr>
              <w:t>2</w:t>
            </w:r>
            <w:r>
              <w:rPr>
                <w:rStyle w:val="29"/>
                <w:rFonts w:hAnsi="Times New Roman"/>
                <w:color w:val="auto"/>
                <w:lang w:val="en-US" w:eastAsia="zh-CN" w:bidi="ar"/>
              </w:rPr>
              <w:t>个，带铝合金底盒</w:t>
            </w:r>
            <w:r>
              <w:rPr>
                <w:rStyle w:val="30"/>
                <w:rFonts w:eastAsia="宋体"/>
                <w:color w:val="auto"/>
                <w:lang w:val="en-US" w:eastAsia="zh-CN" w:bidi="ar"/>
              </w:rPr>
              <w:t>+5</w:t>
            </w:r>
            <w:r>
              <w:rPr>
                <w:rStyle w:val="29"/>
                <w:rFonts w:hAnsi="Times New Roman"/>
                <w:color w:val="auto"/>
                <w:lang w:val="en-US" w:eastAsia="zh-CN" w:bidi="ar"/>
              </w:rPr>
              <w:t>孔插座（每组</w:t>
            </w:r>
            <w:r>
              <w:rPr>
                <w:rStyle w:val="30"/>
                <w:rFonts w:eastAsia="宋体"/>
                <w:color w:val="auto"/>
                <w:lang w:val="en-US" w:eastAsia="zh-CN" w:bidi="ar"/>
              </w:rPr>
              <w:t>2</w:t>
            </w:r>
            <w:r>
              <w:rPr>
                <w:rStyle w:val="29"/>
                <w:rFonts w:hAnsi="Times New Roman"/>
                <w:color w:val="auto"/>
                <w:lang w:val="en-US" w:eastAsia="zh-CN" w:bidi="ar"/>
              </w:rPr>
              <w:t>个）</w:t>
            </w:r>
            <w:r>
              <w:rPr>
                <w:rStyle w:val="29"/>
                <w:rFonts w:hint="eastAsia" w:hAnsi="Times New Roman"/>
                <w:color w:val="auto"/>
                <w:lang w:val="en-US" w:eastAsia="zh-CN" w:bidi="ar"/>
              </w:rPr>
              <w:t>，所有设备包安装调试。</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实验室置物架</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1.设计承重为每位</w:t>
            </w:r>
            <w:r>
              <w:rPr>
                <w:rStyle w:val="30"/>
                <w:rFonts w:eastAsia="仿宋_GB2312"/>
                <w:color w:val="auto"/>
                <w:lang w:val="en-US" w:eastAsia="zh-CN" w:bidi="ar"/>
              </w:rPr>
              <w:t>60kg</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14.5</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米</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2.立柱采用：</w:t>
            </w:r>
            <w:r>
              <w:rPr>
                <w:rStyle w:val="30"/>
                <w:rFonts w:eastAsia="仿宋_GB2312"/>
                <w:color w:val="auto"/>
                <w:lang w:val="en-US" w:eastAsia="zh-CN" w:bidi="ar"/>
              </w:rPr>
              <w:t>80mm*42mm*1.2-2mm</w:t>
            </w:r>
            <w:r>
              <w:rPr>
                <w:rStyle w:val="29"/>
                <w:rFonts w:hAnsi="宋体"/>
                <w:color w:val="auto"/>
                <w:lang w:val="en-US" w:eastAsia="zh-CN" w:bidi="ar"/>
              </w:rPr>
              <w:t>，铝镁合金专用型材</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3.挡条采用：</w:t>
            </w:r>
            <w:r>
              <w:rPr>
                <w:rStyle w:val="30"/>
                <w:rFonts w:eastAsia="仿宋_GB2312"/>
                <w:color w:val="auto"/>
                <w:lang w:val="en-US" w:eastAsia="zh-CN" w:bidi="ar"/>
              </w:rPr>
              <w:t>40mm*15mm*0.8-1mm</w:t>
            </w:r>
            <w:r>
              <w:rPr>
                <w:rStyle w:val="29"/>
                <w:rFonts w:hAnsi="宋体"/>
                <w:color w:val="auto"/>
                <w:lang w:val="en-US" w:eastAsia="zh-CN" w:bidi="ar"/>
              </w:rPr>
              <w:t>，铝镁合金专用型材</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4.支撑件采用</w:t>
            </w:r>
            <w:r>
              <w:rPr>
                <w:rStyle w:val="30"/>
                <w:rFonts w:eastAsia="仿宋_GB2312"/>
                <w:color w:val="auto"/>
                <w:lang w:val="en-US" w:eastAsia="zh-CN" w:bidi="ar"/>
              </w:rPr>
              <w:t>1.8mm</w:t>
            </w:r>
            <w:r>
              <w:rPr>
                <w:rStyle w:val="29"/>
                <w:rFonts w:hAnsi="宋体"/>
                <w:color w:val="auto"/>
                <w:lang w:val="en-US" w:eastAsia="zh-CN" w:bidi="ar"/>
              </w:rPr>
              <w:t>厚的冷轧钢板冲压成型，边实验台用的宽度为</w:t>
            </w:r>
            <w:r>
              <w:rPr>
                <w:rStyle w:val="30"/>
                <w:rFonts w:eastAsia="仿宋_GB2312"/>
                <w:color w:val="auto"/>
                <w:lang w:val="en-US" w:eastAsia="zh-CN" w:bidi="ar"/>
              </w:rPr>
              <w:t>240mm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中央实验台用的宽为：</w:t>
            </w:r>
            <w:r>
              <w:rPr>
                <w:rStyle w:val="30"/>
                <w:rFonts w:eastAsia="仿宋_GB2312"/>
                <w:color w:val="auto"/>
                <w:lang w:val="en-US" w:eastAsia="zh-CN" w:bidi="ar"/>
              </w:rPr>
              <w:t>340mm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5.支撑件用不锈钢内六角螺丝及小铁条固定在立柱上，可以上下自由调节。金属件外喷纯环氧树脂，高温固化。</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固定件采用</w:t>
            </w:r>
            <w:r>
              <w:rPr>
                <w:rStyle w:val="30"/>
                <w:rFonts w:eastAsia="仿宋_GB2312"/>
                <w:color w:val="auto"/>
                <w:lang w:val="en-US" w:eastAsia="zh-CN" w:bidi="ar"/>
              </w:rPr>
              <w:t>4mm</w:t>
            </w:r>
            <w:r>
              <w:rPr>
                <w:rStyle w:val="29"/>
                <w:rFonts w:hAnsi="宋体"/>
                <w:color w:val="auto"/>
                <w:lang w:val="en-US" w:eastAsia="zh-CN" w:bidi="ar"/>
              </w:rPr>
              <w:t>厚的专用合金件</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6.电源盒：采用防溅结构。试剂架的上端和下端与台面连接的地方，分别采用工程塑料成型的立柱盖和立柱套。试剂架的螺丝均采用不锈钢螺丝</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7.层板采用：</w:t>
            </w:r>
            <w:r>
              <w:rPr>
                <w:rStyle w:val="30"/>
                <w:rFonts w:eastAsia="仿宋_GB2312"/>
                <w:color w:val="auto"/>
                <w:lang w:val="en-US" w:eastAsia="zh-CN" w:bidi="ar"/>
              </w:rPr>
              <w:t>8-12mm</w:t>
            </w:r>
            <w:r>
              <w:rPr>
                <w:rStyle w:val="29"/>
                <w:rFonts w:hAnsi="宋体"/>
                <w:color w:val="auto"/>
                <w:lang w:val="en-US" w:eastAsia="zh-CN" w:bidi="ar"/>
              </w:rPr>
              <w:t>浮法玻璃。</w:t>
            </w:r>
            <w:r>
              <w:rPr>
                <w:rStyle w:val="29"/>
                <w:rFonts w:hint="eastAsia" w:hAnsi="Times New Roman"/>
                <w:color w:val="auto"/>
                <w:lang w:val="en-US" w:eastAsia="zh-CN" w:bidi="ar"/>
              </w:rPr>
              <w:t>包安装固定在现有实验台上</w:t>
            </w:r>
            <w:r>
              <w:rPr>
                <w:rStyle w:val="29"/>
                <w:rFonts w:hint="eastAsia" w:hAnsi="宋体"/>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实验室讲台</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1.尺寸：</w:t>
            </w:r>
            <w:r>
              <w:rPr>
                <w:rStyle w:val="30"/>
                <w:rFonts w:eastAsia="仿宋_GB2312"/>
                <w:color w:val="auto"/>
                <w:lang w:val="en-US" w:eastAsia="zh-CN" w:bidi="ar"/>
              </w:rPr>
              <w:t>4000mm*750mm*800mm</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米</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2"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2.材质：采用18mm E0级三聚氰胺饰面刨花板.PVC防水处理封边条，钢架采用40*60*1.5厚镀锌钢管焊接而成，表面环氧树脂粉末静电喷涂，高温固化</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3.台面：</w:t>
            </w:r>
            <w:r>
              <w:rPr>
                <w:rStyle w:val="30"/>
                <w:rFonts w:eastAsia="仿宋_GB2312"/>
                <w:color w:val="auto"/>
                <w:lang w:val="en-US" w:eastAsia="zh-CN" w:bidi="ar"/>
              </w:rPr>
              <w:t>12.7M M</w:t>
            </w:r>
            <w:r>
              <w:rPr>
                <w:rStyle w:val="29"/>
                <w:rFonts w:hAnsi="宋体"/>
                <w:color w:val="auto"/>
                <w:lang w:val="en-US" w:eastAsia="zh-CN" w:bidi="ar"/>
              </w:rPr>
              <w:t>实心理化板，边缘加厚到</w:t>
            </w:r>
            <w:r>
              <w:rPr>
                <w:rStyle w:val="30"/>
                <w:rFonts w:eastAsia="仿宋_GB2312"/>
                <w:color w:val="auto"/>
                <w:lang w:val="en-US" w:eastAsia="zh-CN" w:bidi="ar"/>
              </w:rPr>
              <w:t>25.4mm</w:t>
            </w:r>
            <w:r>
              <w:rPr>
                <w:rStyle w:val="30"/>
                <w:rFonts w:hint="eastAsia" w:eastAsia="仿宋_GB2312"/>
                <w:color w:val="auto"/>
                <w:lang w:val="en-US" w:eastAsia="zh-CN" w:bidi="ar"/>
              </w:rPr>
              <w:t>，</w:t>
            </w:r>
            <w:r>
              <w:rPr>
                <w:rStyle w:val="29"/>
                <w:rFonts w:hint="eastAsia" w:hAnsi="Times New Roman"/>
                <w:color w:val="auto"/>
                <w:lang w:val="en-US" w:eastAsia="zh-CN" w:bidi="ar"/>
              </w:rPr>
              <w:t>所有设备包安装调试</w:t>
            </w:r>
            <w:r>
              <w:rPr>
                <w:rStyle w:val="30"/>
                <w:rFonts w:hint="eastAsia" w:eastAsia="仿宋_GB2312"/>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实验凳</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w:t>
            </w:r>
            <w:r>
              <w:rPr>
                <w:rStyle w:val="29"/>
                <w:rFonts w:hAnsi="Times New Roman"/>
                <w:color w:val="auto"/>
                <w:lang w:val="en-US" w:eastAsia="zh-CN" w:bidi="ar"/>
              </w:rPr>
              <w:t>凳面：采用</w:t>
            </w:r>
            <w:r>
              <w:rPr>
                <w:rStyle w:val="30"/>
                <w:rFonts w:eastAsia="宋体"/>
                <w:color w:val="auto"/>
                <w:lang w:val="en-US" w:eastAsia="zh-CN" w:bidi="ar"/>
              </w:rPr>
              <w:t>1.0MM</w:t>
            </w:r>
            <w:r>
              <w:rPr>
                <w:rStyle w:val="29"/>
                <w:rFonts w:hAnsi="Times New Roman"/>
                <w:color w:val="auto"/>
                <w:lang w:val="en-US" w:eastAsia="zh-CN" w:bidi="ar"/>
              </w:rPr>
              <w:t>厚优质冷轧钢板模压成型。</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20</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把</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2.</w:t>
            </w:r>
            <w:r>
              <w:rPr>
                <w:rStyle w:val="29"/>
                <w:rFonts w:hAnsi="Times New Roman"/>
                <w:color w:val="auto"/>
                <w:lang w:val="en-US" w:eastAsia="zh-CN" w:bidi="ar"/>
              </w:rPr>
              <w:t>凳腿：采用</w:t>
            </w:r>
            <w:r>
              <w:rPr>
                <w:rStyle w:val="30"/>
                <w:rFonts w:eastAsia="宋体"/>
                <w:color w:val="auto"/>
                <w:lang w:val="en-US" w:eastAsia="zh-CN" w:bidi="ar"/>
              </w:rPr>
              <w:t>25mm</w:t>
            </w:r>
            <w:r>
              <w:rPr>
                <w:rStyle w:val="29"/>
                <w:rFonts w:hAnsi="Times New Roman"/>
                <w:color w:val="auto"/>
                <w:lang w:val="en-US" w:eastAsia="zh-CN" w:bidi="ar"/>
              </w:rPr>
              <w:t>×</w:t>
            </w:r>
            <w:r>
              <w:rPr>
                <w:rStyle w:val="30"/>
                <w:rFonts w:eastAsia="宋体"/>
                <w:color w:val="auto"/>
                <w:lang w:val="en-US" w:eastAsia="zh-CN" w:bidi="ar"/>
              </w:rPr>
              <w:t>25mm</w:t>
            </w:r>
            <w:r>
              <w:rPr>
                <w:rStyle w:val="29"/>
                <w:rFonts w:hAnsi="Times New Roman"/>
                <w:color w:val="auto"/>
                <w:lang w:val="en-US" w:eastAsia="zh-CN" w:bidi="ar"/>
              </w:rPr>
              <w:t>×</w:t>
            </w:r>
            <w:r>
              <w:rPr>
                <w:rStyle w:val="30"/>
                <w:rFonts w:eastAsia="宋体"/>
                <w:color w:val="auto"/>
                <w:lang w:val="en-US" w:eastAsia="zh-CN" w:bidi="ar"/>
              </w:rPr>
              <w:t>1.5mm</w:t>
            </w:r>
            <w:r>
              <w:rPr>
                <w:rStyle w:val="29"/>
                <w:rFonts w:hAnsi="Times New Roman"/>
                <w:color w:val="auto"/>
                <w:lang w:val="en-US" w:eastAsia="zh-CN" w:bidi="ar"/>
              </w:rPr>
              <w:t>优质矩形钢管。</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w:t>
            </w:r>
            <w:r>
              <w:rPr>
                <w:rStyle w:val="29"/>
                <w:rFonts w:hAnsi="Times New Roman"/>
                <w:color w:val="auto"/>
                <w:lang w:val="en-US" w:eastAsia="zh-CN" w:bidi="ar"/>
              </w:rPr>
              <w:t xml:space="preserve">.脚套：采用优质工程聚丙防滑脚垫，自堵安装 </w:t>
            </w:r>
            <w:r>
              <w:rPr>
                <w:rStyle w:val="30"/>
                <w:rFonts w:eastAsia="宋体"/>
                <w:color w:val="auto"/>
                <w:lang w:val="en-US" w:eastAsia="zh-CN" w:bidi="ar"/>
              </w:rPr>
              <w:t xml:space="preserve"> </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1"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29"/>
                <w:rFonts w:hint="default" w:hAnsi="Times New Roman"/>
                <w:color w:val="auto"/>
                <w:lang w:val="en-US" w:eastAsia="zh-CN" w:bidi="ar"/>
              </w:rPr>
              <w:t>4.钢制件外表面处理工艺：全部采用除油.除锈.磷化.清洗.静电喷涂，钢制产品必须经过磷化处理，经磷化处理后钢制件上形成的磷化膜检验，必须符合GB6807中附录D要求，并在1min内不泛红为合格；喷塑理化性能：光泽度为65%；冲击强度≥4N·M；附着力不低于2级要求；喷涂厚度应≥50μm；耐腐蚀：样板表面涂饰耐化学试剂性试验应能经受温度为15-25℃，浸泡在浓度为3%的氯化钠溶液中，周期为100h的耐腐蚀试验。</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器皿柜</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900*450*2000mm</w:t>
            </w:r>
            <w:r>
              <w:rPr>
                <w:rStyle w:val="29"/>
                <w:rFonts w:hAnsi="Times New Roman"/>
                <w:color w:val="auto"/>
                <w:lang w:val="en-US" w:eastAsia="zh-CN" w:bidi="ar"/>
              </w:rPr>
              <w:t>，全钢结构，上玻璃掩门下实掩门，带活动层板</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药品柜</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规格</w:t>
            </w:r>
            <w:r>
              <w:rPr>
                <w:rStyle w:val="30"/>
                <w:rFonts w:eastAsia="仿宋_GB2312"/>
                <w:color w:val="auto"/>
                <w:lang w:val="en-US" w:eastAsia="zh-CN" w:bidi="ar"/>
              </w:rPr>
              <w:t>:900*450*2000mm</w:t>
            </w:r>
            <w:r>
              <w:rPr>
                <w:rStyle w:val="29"/>
                <w:rFonts w:hAnsi="宋体"/>
                <w:color w:val="auto"/>
                <w:lang w:val="en-US" w:eastAsia="zh-CN" w:bidi="ar"/>
              </w:rPr>
              <w:t>，全钢结构，上玻璃掩门下实掩门，带活动层板。双锁防腐。金属材质厚度：</w:t>
            </w:r>
            <w:r>
              <w:rPr>
                <w:rStyle w:val="30"/>
                <w:rFonts w:eastAsia="仿宋_GB2312"/>
                <w:color w:val="auto"/>
                <w:lang w:val="en-US" w:eastAsia="zh-CN" w:bidi="ar"/>
              </w:rPr>
              <w:t>1mm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76" w:type="pct"/>
            <w:vMerge w:val="restar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7</w:t>
            </w:r>
          </w:p>
        </w:tc>
        <w:tc>
          <w:tcPr>
            <w:tcW w:w="560" w:type="pct"/>
            <w:vMerge w:val="restar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电陶炉</w:t>
            </w:r>
          </w:p>
        </w:tc>
        <w:tc>
          <w:tcPr>
            <w:tcW w:w="3184" w:type="pct"/>
            <w:vMerge w:val="restar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1.电压：220V;</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2.功率：2000W;</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3.控制方式：旋钮调节微电脑控制;</w:t>
            </w:r>
            <w:r>
              <w:rPr>
                <w:rFonts w:hint="default" w:ascii="仿宋_GB2312" w:hAnsi="宋体" w:eastAsia="仿宋_GB2312" w:cs="仿宋_GB2312"/>
                <w:i w:val="0"/>
                <w:iCs w:val="0"/>
                <w:color w:val="auto"/>
                <w:kern w:val="0"/>
                <w:sz w:val="21"/>
                <w:szCs w:val="21"/>
                <w:u w:val="none"/>
                <w:lang w:val="en-US" w:eastAsia="zh-CN" w:bidi="ar"/>
              </w:rPr>
              <w:br w:type="textWrapping"/>
            </w:r>
            <w:r>
              <w:rPr>
                <w:rFonts w:hint="default" w:ascii="仿宋_GB2312" w:hAnsi="宋体" w:eastAsia="仿宋_GB2312" w:cs="仿宋_GB2312"/>
                <w:i w:val="0"/>
                <w:iCs w:val="0"/>
                <w:color w:val="auto"/>
                <w:kern w:val="0"/>
                <w:sz w:val="21"/>
                <w:szCs w:val="21"/>
                <w:u w:val="none"/>
                <w:lang w:val="en-US" w:eastAsia="zh-CN" w:bidi="ar"/>
              </w:rPr>
              <w:t>4.主要材质：面板-微晶板.外壳-尼龙加纤.</w:t>
            </w:r>
          </w:p>
        </w:tc>
        <w:tc>
          <w:tcPr>
            <w:tcW w:w="235" w:type="pct"/>
            <w:vMerge w:val="restar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4</w:t>
            </w:r>
          </w:p>
        </w:tc>
        <w:tc>
          <w:tcPr>
            <w:tcW w:w="191" w:type="pct"/>
            <w:vMerge w:val="restar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个</w:t>
            </w:r>
          </w:p>
        </w:tc>
        <w:tc>
          <w:tcPr>
            <w:tcW w:w="330" w:type="pct"/>
            <w:vMerge w:val="restart"/>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p>
        </w:tc>
        <w:tc>
          <w:tcPr>
            <w:tcW w:w="320" w:type="pct"/>
            <w:vMerge w:val="restart"/>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76" w:type="pct"/>
            <w:vMerge w:val="continue"/>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仿宋_GB2312" w:hAnsi="宋体" w:eastAsia="仿宋_GB2312" w:cs="仿宋_GB2312"/>
                <w:i w:val="0"/>
                <w:iCs w:val="0"/>
                <w:color w:val="auto"/>
                <w:sz w:val="21"/>
                <w:szCs w:val="21"/>
                <w:u w:val="none"/>
              </w:rPr>
            </w:pPr>
          </w:p>
        </w:tc>
        <w:tc>
          <w:tcPr>
            <w:tcW w:w="3184" w:type="pct"/>
            <w:vMerge w:val="continue"/>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仿宋_GB2312" w:hAnsi="宋体" w:eastAsia="仿宋_GB2312" w:cs="仿宋_GB2312"/>
                <w:i w:val="0"/>
                <w:iCs w:val="0"/>
                <w:color w:val="auto"/>
                <w:sz w:val="21"/>
                <w:szCs w:val="21"/>
                <w:u w:val="none"/>
              </w:rPr>
            </w:pPr>
          </w:p>
        </w:tc>
        <w:tc>
          <w:tcPr>
            <w:tcW w:w="235" w:type="pct"/>
            <w:vMerge w:val="continue"/>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top"/>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8</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微波炉</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1.容量：</w:t>
            </w:r>
            <w:r>
              <w:rPr>
                <w:rStyle w:val="30"/>
                <w:rFonts w:eastAsia="仿宋_GB2312"/>
                <w:color w:val="auto"/>
                <w:lang w:val="en-US" w:eastAsia="zh-CN" w:bidi="ar"/>
              </w:rPr>
              <w:t>20L</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2.额定电压：</w:t>
            </w:r>
            <w:r>
              <w:rPr>
                <w:rStyle w:val="30"/>
                <w:rFonts w:eastAsia="仿宋_GB2312"/>
                <w:color w:val="auto"/>
                <w:lang w:val="en-US" w:eastAsia="zh-CN" w:bidi="ar"/>
              </w:rPr>
              <w:t>220V</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3.功率：</w:t>
            </w:r>
            <w:r>
              <w:rPr>
                <w:rStyle w:val="30"/>
                <w:rFonts w:eastAsia="仿宋_GB2312"/>
                <w:color w:val="auto"/>
                <w:lang w:val="en-US" w:eastAsia="zh-CN" w:bidi="ar"/>
              </w:rPr>
              <w:t>800W</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9"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4.变频</w:t>
            </w:r>
            <w:r>
              <w:rPr>
                <w:rStyle w:val="30"/>
                <w:rFonts w:eastAsia="仿宋_GB2312"/>
                <w:color w:val="auto"/>
                <w:lang w:val="en-US" w:eastAsia="zh-CN" w:bidi="ar"/>
              </w:rPr>
              <w:t>/</w:t>
            </w:r>
            <w:r>
              <w:rPr>
                <w:rStyle w:val="29"/>
                <w:rFonts w:hAnsi="宋体"/>
                <w:color w:val="auto"/>
                <w:lang w:val="en-US" w:eastAsia="zh-CN" w:bidi="ar"/>
              </w:rPr>
              <w:t>定频：变频</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5.额定频率</w:t>
            </w:r>
            <w:r>
              <w:rPr>
                <w:rStyle w:val="30"/>
                <w:rFonts w:eastAsia="仿宋_GB2312"/>
                <w:color w:val="auto"/>
                <w:lang w:val="en-US" w:eastAsia="zh-CN" w:bidi="ar"/>
              </w:rPr>
              <w:t>;50Hz</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2"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9</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挂式空调</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w:t>
            </w:r>
            <w:r>
              <w:rPr>
                <w:rStyle w:val="29"/>
                <w:rFonts w:hAnsi="Times New Roman"/>
                <w:color w:val="auto"/>
                <w:lang w:val="en-US" w:eastAsia="zh-CN" w:bidi="ar"/>
              </w:rPr>
              <w:t>匹，三级能效，壁挂式，自清洁，变频冷暖。</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台</w:t>
            </w:r>
          </w:p>
        </w:tc>
        <w:tc>
          <w:tcPr>
            <w:tcW w:w="33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10</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电脑</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1.速度：</w:t>
            </w:r>
            <w:r>
              <w:rPr>
                <w:rStyle w:val="30"/>
                <w:rFonts w:eastAsia="仿宋_GB2312"/>
                <w:color w:val="auto"/>
                <w:lang w:val="en-US" w:eastAsia="zh-CN" w:bidi="ar"/>
              </w:rPr>
              <w:t>DDR4</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eastAsia"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2.最大支持容量：</w:t>
            </w:r>
            <w:r>
              <w:rPr>
                <w:rStyle w:val="30"/>
                <w:rFonts w:eastAsia="仿宋_GB2312"/>
                <w:color w:val="auto"/>
                <w:lang w:val="en-US" w:eastAsia="zh-CN" w:bidi="ar"/>
              </w:rPr>
              <w:t>32GB</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3.插槽数量：</w:t>
            </w:r>
            <w:r>
              <w:rPr>
                <w:rStyle w:val="30"/>
                <w:rFonts w:eastAsia="仿宋_GB2312"/>
                <w:color w:val="auto"/>
                <w:lang w:val="en-US" w:eastAsia="zh-CN" w:bidi="ar"/>
              </w:rPr>
              <w:t>2</w:t>
            </w:r>
            <w:r>
              <w:rPr>
                <w:rStyle w:val="29"/>
                <w:rFonts w:hAnsi="宋体"/>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4.前</w:t>
            </w:r>
            <w:r>
              <w:rPr>
                <w:rStyle w:val="30"/>
                <w:rFonts w:eastAsia="仿宋_GB2312"/>
                <w:color w:val="auto"/>
                <w:lang w:val="en-US" w:eastAsia="zh-CN" w:bidi="ar"/>
              </w:rPr>
              <w:t>(</w:t>
            </w:r>
            <w:r>
              <w:rPr>
                <w:rStyle w:val="29"/>
                <w:rFonts w:hAnsi="宋体"/>
                <w:color w:val="auto"/>
                <w:lang w:val="en-US" w:eastAsia="zh-CN" w:bidi="ar"/>
              </w:rPr>
              <w:t>侧</w:t>
            </w:r>
            <w:r>
              <w:rPr>
                <w:rStyle w:val="30"/>
                <w:rFonts w:eastAsia="仿宋_GB2312"/>
                <w:color w:val="auto"/>
                <w:lang w:val="en-US" w:eastAsia="zh-CN" w:bidi="ar"/>
              </w:rPr>
              <w:t>)</w:t>
            </w:r>
            <w:r>
              <w:rPr>
                <w:rStyle w:val="29"/>
                <w:rFonts w:hAnsi="宋体"/>
                <w:color w:val="auto"/>
                <w:lang w:val="en-US" w:eastAsia="zh-CN" w:bidi="ar"/>
              </w:rPr>
              <w:t>面接口，</w:t>
            </w:r>
            <w:r>
              <w:rPr>
                <w:rStyle w:val="30"/>
                <w:rFonts w:eastAsia="仿宋_GB2312"/>
                <w:color w:val="auto"/>
                <w:lang w:val="en-US" w:eastAsia="zh-CN" w:bidi="ar"/>
              </w:rPr>
              <w:t>USB</w:t>
            </w:r>
            <w:r>
              <w:rPr>
                <w:rStyle w:val="29"/>
                <w:rFonts w:hAnsi="宋体"/>
                <w:color w:val="auto"/>
                <w:lang w:val="en-US" w:eastAsia="zh-CN" w:bidi="ar"/>
              </w:rPr>
              <w:t>接口数：</w:t>
            </w:r>
            <w:r>
              <w:rPr>
                <w:rStyle w:val="30"/>
                <w:rFonts w:eastAsia="仿宋_GB2312"/>
                <w:color w:val="auto"/>
                <w:lang w:val="en-US" w:eastAsia="zh-CN" w:bidi="ar"/>
              </w:rPr>
              <w:t>3</w:t>
            </w:r>
            <w:r>
              <w:rPr>
                <w:rStyle w:val="29"/>
                <w:rFonts w:hAnsi="宋体"/>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5.后面接口，</w:t>
            </w:r>
            <w:r>
              <w:rPr>
                <w:rStyle w:val="30"/>
                <w:rFonts w:eastAsia="仿宋_GB2312"/>
                <w:color w:val="auto"/>
                <w:lang w:val="en-US" w:eastAsia="zh-CN" w:bidi="ar"/>
              </w:rPr>
              <w:t>USB</w:t>
            </w:r>
            <w:r>
              <w:rPr>
                <w:rStyle w:val="29"/>
                <w:rFonts w:hAnsi="宋体"/>
                <w:color w:val="auto"/>
                <w:lang w:val="en-US" w:eastAsia="zh-CN" w:bidi="ar"/>
              </w:rPr>
              <w:t>接口数：</w:t>
            </w:r>
            <w:r>
              <w:rPr>
                <w:rStyle w:val="30"/>
                <w:rFonts w:eastAsia="仿宋_GB2312"/>
                <w:color w:val="auto"/>
                <w:lang w:val="en-US" w:eastAsia="zh-CN" w:bidi="ar"/>
              </w:rPr>
              <w:t>4</w:t>
            </w:r>
            <w:r>
              <w:rPr>
                <w:rStyle w:val="29"/>
                <w:rFonts w:hAnsi="宋体"/>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6.视频接口：</w:t>
            </w:r>
            <w:r>
              <w:rPr>
                <w:rStyle w:val="30"/>
                <w:rFonts w:eastAsia="仿宋_GB2312"/>
                <w:color w:val="auto"/>
                <w:lang w:val="en-US" w:eastAsia="zh-CN" w:bidi="ar"/>
              </w:rPr>
              <w:t>HDMI</w:t>
            </w:r>
            <w:r>
              <w:rPr>
                <w:rStyle w:val="29"/>
                <w:rFonts w:hAnsi="宋体"/>
                <w:color w:val="auto"/>
                <w:lang w:val="en-US" w:eastAsia="zh-CN" w:bidi="ar"/>
              </w:rPr>
              <w:t>接口</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7.CPU</w:t>
            </w:r>
            <w:r>
              <w:rPr>
                <w:rStyle w:val="29"/>
                <w:rFonts w:hAnsi="Times New Roman"/>
                <w:color w:val="auto"/>
                <w:lang w:val="en-US" w:eastAsia="zh-CN" w:bidi="ar"/>
              </w:rPr>
              <w:t>：核心数：十二核；</w:t>
            </w:r>
            <w:r>
              <w:rPr>
                <w:rStyle w:val="30"/>
                <w:rFonts w:eastAsia="宋体"/>
                <w:color w:val="auto"/>
                <w:lang w:val="en-US" w:eastAsia="zh-CN" w:bidi="ar"/>
              </w:rPr>
              <w:t>CPU</w:t>
            </w:r>
            <w:r>
              <w:rPr>
                <w:rStyle w:val="29"/>
                <w:rFonts w:hAnsi="Times New Roman"/>
                <w:color w:val="auto"/>
                <w:lang w:val="en-US" w:eastAsia="zh-CN" w:bidi="ar"/>
              </w:rPr>
              <w:t>型号：</w:t>
            </w:r>
            <w:r>
              <w:rPr>
                <w:rStyle w:val="30"/>
                <w:rFonts w:eastAsia="宋体"/>
                <w:color w:val="auto"/>
                <w:lang w:val="en-US" w:eastAsia="zh-CN" w:bidi="ar"/>
              </w:rPr>
              <w:t>i7-12700F</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8.显示器：分辨率：</w:t>
            </w:r>
            <w:r>
              <w:rPr>
                <w:rStyle w:val="30"/>
                <w:rFonts w:eastAsia="仿宋_GB2312"/>
                <w:color w:val="auto"/>
                <w:lang w:val="en-US" w:eastAsia="zh-CN" w:bidi="ar"/>
              </w:rPr>
              <w:t>1920*1080</w:t>
            </w:r>
            <w:r>
              <w:rPr>
                <w:rStyle w:val="29"/>
                <w:rFonts w:hAnsi="宋体"/>
                <w:color w:val="auto"/>
                <w:lang w:val="en-US" w:eastAsia="zh-CN" w:bidi="ar"/>
              </w:rPr>
              <w:t>；屏幕尺寸：</w:t>
            </w:r>
            <w:r>
              <w:rPr>
                <w:rStyle w:val="30"/>
                <w:rFonts w:eastAsia="仿宋_GB2312"/>
                <w:color w:val="auto"/>
                <w:lang w:val="en-US" w:eastAsia="zh-CN" w:bidi="ar"/>
              </w:rPr>
              <w:t>21</w:t>
            </w:r>
            <w:r>
              <w:rPr>
                <w:rStyle w:val="29"/>
                <w:rFonts w:hAnsi="宋体"/>
                <w:color w:val="auto"/>
                <w:lang w:val="en-US" w:eastAsia="zh-CN" w:bidi="ar"/>
              </w:rPr>
              <w:t>英寸</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9.规格：产品尺寸：长</w:t>
            </w:r>
            <w:r>
              <w:rPr>
                <w:rStyle w:val="30"/>
                <w:rFonts w:eastAsia="仿宋_GB2312"/>
                <w:color w:val="auto"/>
                <w:lang w:val="en-US" w:eastAsia="zh-CN" w:bidi="ar"/>
              </w:rPr>
              <w:t>340mm</w:t>
            </w:r>
            <w:r>
              <w:rPr>
                <w:rStyle w:val="29"/>
                <w:rFonts w:hAnsi="宋体"/>
                <w:color w:val="auto"/>
                <w:lang w:val="en-US" w:eastAsia="zh-CN" w:bidi="ar"/>
              </w:rPr>
              <w:t>；宽</w:t>
            </w:r>
            <w:r>
              <w:rPr>
                <w:rStyle w:val="30"/>
                <w:rFonts w:eastAsia="仿宋_GB2312"/>
                <w:color w:val="auto"/>
                <w:lang w:val="en-US" w:eastAsia="zh-CN" w:bidi="ar"/>
              </w:rPr>
              <w:t>287.9mm</w:t>
            </w:r>
            <w:r>
              <w:rPr>
                <w:rStyle w:val="29"/>
                <w:rFonts w:hAnsi="宋体"/>
                <w:color w:val="auto"/>
                <w:lang w:val="en-US" w:eastAsia="zh-CN" w:bidi="ar"/>
              </w:rPr>
              <w:t>；高</w:t>
            </w:r>
            <w:r>
              <w:rPr>
                <w:rStyle w:val="30"/>
                <w:rFonts w:eastAsia="仿宋_GB2312"/>
                <w:color w:val="auto"/>
                <w:lang w:val="en-US" w:eastAsia="zh-CN" w:bidi="ar"/>
              </w:rPr>
              <w:t>145mm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10.输入设备：有线鼠标.有线键盘</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11.主板：芯片组：</w:t>
            </w:r>
            <w:r>
              <w:rPr>
                <w:rStyle w:val="30"/>
                <w:rFonts w:eastAsia="仿宋_GB2312"/>
                <w:color w:val="auto"/>
                <w:lang w:val="en-US" w:eastAsia="zh-CN" w:bidi="ar"/>
              </w:rPr>
              <w:t>B660</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12.声卡：集成声卡</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13.显卡类型：集成显卡</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 xml:space="preserve">14.包装清单：主机 × </w:t>
            </w:r>
            <w:r>
              <w:rPr>
                <w:rStyle w:val="30"/>
                <w:rFonts w:eastAsia="仿宋_GB2312"/>
                <w:color w:val="auto"/>
                <w:lang w:val="en-US" w:eastAsia="zh-CN" w:bidi="ar"/>
              </w:rPr>
              <w:t xml:space="preserve">1 </w:t>
            </w:r>
            <w:r>
              <w:rPr>
                <w:rStyle w:val="29"/>
                <w:rFonts w:hAnsi="宋体"/>
                <w:color w:val="auto"/>
                <w:lang w:val="en-US" w:eastAsia="zh-CN" w:bidi="ar"/>
              </w:rPr>
              <w:t xml:space="preserve">有线键盘 × </w:t>
            </w:r>
            <w:r>
              <w:rPr>
                <w:rStyle w:val="30"/>
                <w:rFonts w:eastAsia="仿宋_GB2312"/>
                <w:color w:val="auto"/>
                <w:lang w:val="en-US" w:eastAsia="zh-CN" w:bidi="ar"/>
              </w:rPr>
              <w:t xml:space="preserve">1 </w:t>
            </w:r>
            <w:r>
              <w:rPr>
                <w:rStyle w:val="29"/>
                <w:rFonts w:hAnsi="宋体"/>
                <w:color w:val="auto"/>
                <w:lang w:val="en-US" w:eastAsia="zh-CN" w:bidi="ar"/>
              </w:rPr>
              <w:t xml:space="preserve">有线鼠标 × </w:t>
            </w:r>
            <w:r>
              <w:rPr>
                <w:rStyle w:val="30"/>
                <w:rFonts w:eastAsia="仿宋_GB2312"/>
                <w:color w:val="auto"/>
                <w:lang w:val="en-US" w:eastAsia="zh-CN" w:bidi="ar"/>
              </w:rPr>
              <w:t xml:space="preserve">1 </w:t>
            </w:r>
            <w:r>
              <w:rPr>
                <w:rStyle w:val="29"/>
                <w:rFonts w:hAnsi="宋体"/>
                <w:color w:val="auto"/>
                <w:lang w:val="en-US" w:eastAsia="zh-CN" w:bidi="ar"/>
              </w:rPr>
              <w:t xml:space="preserve">电源线 × </w:t>
            </w:r>
            <w:r>
              <w:rPr>
                <w:rStyle w:val="30"/>
                <w:rFonts w:eastAsia="仿宋_GB2312"/>
                <w:color w:val="auto"/>
                <w:lang w:val="en-US" w:eastAsia="zh-CN" w:bidi="ar"/>
              </w:rPr>
              <w:t>1</w:t>
            </w:r>
            <w:r>
              <w:rPr>
                <w:rStyle w:val="29"/>
                <w:rFonts w:hAnsi="宋体"/>
                <w:color w:val="auto"/>
                <w:lang w:val="en-US" w:eastAsia="zh-CN" w:bidi="ar"/>
              </w:rPr>
              <w:t xml:space="preserve">显示器× </w:t>
            </w:r>
            <w:r>
              <w:rPr>
                <w:rStyle w:val="30"/>
                <w:rFonts w:eastAsia="仿宋_GB2312"/>
                <w:color w:val="auto"/>
                <w:lang w:val="en-US" w:eastAsia="zh-CN" w:bidi="ar"/>
              </w:rPr>
              <w:t>1</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1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11</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电泳仪</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1.电源：微电脑智能控制，操作界面更加方便，快捷，工作状态中，可以实时微调;</w:t>
            </w:r>
            <w:r>
              <w:rPr>
                <w:rStyle w:val="29"/>
                <w:rFonts w:hAnsi="宋体"/>
                <w:color w:val="auto"/>
                <w:lang w:val="en-US" w:eastAsia="zh-CN" w:bidi="ar"/>
              </w:rPr>
              <w:br w:type="textWrapping"/>
            </w:r>
            <w:r>
              <w:rPr>
                <w:rStyle w:val="29"/>
                <w:rFonts w:hAnsi="宋体"/>
                <w:color w:val="auto"/>
                <w:lang w:val="en-US" w:eastAsia="zh-CN" w:bidi="ar"/>
              </w:rPr>
              <w:t>2.大屏幕</w:t>
            </w:r>
            <w:r>
              <w:rPr>
                <w:rStyle w:val="30"/>
                <w:rFonts w:eastAsia="仿宋_GB2312"/>
                <w:color w:val="auto"/>
                <w:lang w:val="en-US" w:eastAsia="zh-CN" w:bidi="ar"/>
              </w:rPr>
              <w:t>LCD</w:t>
            </w:r>
            <w:r>
              <w:rPr>
                <w:rStyle w:val="29"/>
                <w:rFonts w:hAnsi="宋体"/>
                <w:color w:val="auto"/>
                <w:lang w:val="en-US" w:eastAsia="zh-CN" w:bidi="ar"/>
              </w:rPr>
              <w:t>，同时显示电压，电流，功率和定时时间，具有存储记忆功能（</w:t>
            </w:r>
            <w:r>
              <w:rPr>
                <w:rStyle w:val="30"/>
                <w:rFonts w:eastAsia="仿宋_GB2312"/>
                <w:color w:val="auto"/>
                <w:lang w:val="en-US" w:eastAsia="zh-CN" w:bidi="ar"/>
              </w:rPr>
              <w:t xml:space="preserve">10 </w:t>
            </w:r>
            <w:r>
              <w:rPr>
                <w:rStyle w:val="29"/>
                <w:rFonts w:hAnsi="宋体"/>
                <w:color w:val="auto"/>
                <w:lang w:val="en-US" w:eastAsia="zh-CN" w:bidi="ar"/>
              </w:rPr>
              <w:t>组</w:t>
            </w:r>
            <w:r>
              <w:rPr>
                <w:rStyle w:val="30"/>
                <w:rFonts w:eastAsia="仿宋_GB2312"/>
                <w:color w:val="auto"/>
                <w:lang w:val="en-US" w:eastAsia="zh-CN" w:bidi="ar"/>
              </w:rPr>
              <w:t xml:space="preserve">3 </w:t>
            </w:r>
            <w:r>
              <w:rPr>
                <w:rStyle w:val="29"/>
                <w:rFonts w:hAnsi="宋体"/>
                <w:color w:val="auto"/>
                <w:lang w:val="en-US" w:eastAsia="zh-CN" w:bidi="ar"/>
              </w:rPr>
              <w:t>步程序），参数可以连续设定，可单步或分步工作，具有来电恢复功能，具有安全保护及报警功能，具有小电流维持功能。</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3.外型尺寸：</w:t>
            </w:r>
            <w:r>
              <w:rPr>
                <w:rStyle w:val="30"/>
                <w:rFonts w:eastAsia="仿宋_GB2312"/>
                <w:color w:val="auto"/>
                <w:lang w:val="en-US" w:eastAsia="zh-CN" w:bidi="ar"/>
              </w:rPr>
              <w:t xml:space="preserve"> </w:t>
            </w:r>
            <w:r>
              <w:rPr>
                <w:rStyle w:val="29"/>
                <w:rFonts w:hAnsi="宋体"/>
                <w:color w:val="auto"/>
                <w:lang w:val="en-US" w:eastAsia="zh-CN" w:bidi="ar"/>
              </w:rPr>
              <w:t>（L × W × H）：</w:t>
            </w:r>
            <w:r>
              <w:rPr>
                <w:rStyle w:val="30"/>
                <w:rFonts w:eastAsia="仿宋_GB2312"/>
                <w:color w:val="auto"/>
                <w:lang w:val="en-US" w:eastAsia="zh-CN" w:bidi="ar"/>
              </w:rPr>
              <w:t>360</w:t>
            </w:r>
            <w:r>
              <w:rPr>
                <w:rStyle w:val="29"/>
                <w:rFonts w:hAnsi="宋体"/>
                <w:color w:val="auto"/>
                <w:lang w:val="en-US" w:eastAsia="zh-CN" w:bidi="ar"/>
              </w:rPr>
              <w:t>×</w:t>
            </w:r>
            <w:r>
              <w:rPr>
                <w:rStyle w:val="30"/>
                <w:rFonts w:eastAsia="仿宋_GB2312"/>
                <w:color w:val="auto"/>
                <w:lang w:val="en-US" w:eastAsia="zh-CN" w:bidi="ar"/>
              </w:rPr>
              <w:t>246</w:t>
            </w:r>
            <w:r>
              <w:rPr>
                <w:rStyle w:val="29"/>
                <w:rFonts w:hAnsi="宋体"/>
                <w:color w:val="auto"/>
                <w:lang w:val="en-US" w:eastAsia="zh-CN" w:bidi="ar"/>
              </w:rPr>
              <w:t>×</w:t>
            </w:r>
            <w:r>
              <w:rPr>
                <w:rStyle w:val="30"/>
                <w:rFonts w:eastAsia="仿宋_GB2312"/>
                <w:color w:val="auto"/>
                <w:lang w:val="en-US" w:eastAsia="zh-CN" w:bidi="ar"/>
              </w:rPr>
              <w:t>80mm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4.并联输出</w:t>
            </w:r>
            <w:r>
              <w:rPr>
                <w:rStyle w:val="30"/>
                <w:rFonts w:eastAsia="仿宋_GB2312"/>
                <w:color w:val="auto"/>
                <w:lang w:val="en-US" w:eastAsia="zh-CN" w:bidi="ar"/>
              </w:rPr>
              <w:t>4</w:t>
            </w:r>
            <w:r>
              <w:rPr>
                <w:rStyle w:val="29"/>
                <w:rFonts w:hAnsi="宋体"/>
                <w:color w:val="auto"/>
                <w:lang w:val="en-US" w:eastAsia="zh-CN" w:bidi="ar"/>
              </w:rPr>
              <w:t>组</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5.输出范围（显示分辨率）：</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6~600V(1V)/4~600mA(1mA)/1~300W</w:t>
            </w:r>
            <w:r>
              <w:rPr>
                <w:rStyle w:val="29"/>
                <w:rFonts w:hAnsi="Times New Roman"/>
                <w:color w:val="auto"/>
                <w:lang w:val="en-US" w:eastAsia="zh-CN" w:bidi="ar"/>
              </w:rPr>
              <w:t>（</w:t>
            </w:r>
            <w:r>
              <w:rPr>
                <w:rStyle w:val="30"/>
                <w:rFonts w:eastAsia="宋体"/>
                <w:color w:val="auto"/>
                <w:lang w:val="en-US" w:eastAsia="zh-CN" w:bidi="ar"/>
              </w:rPr>
              <w:t>1W</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6.电泳槽：专用制胶器模具成型，制胶方便，透明上盖开孔式设计，便于散热，方便观察，凝胶托盘带有荧光标尺，便于观察，高柔韧性导线，开盖断电，确保安全，聚碳酸酯注塑成型，无渗漏，桥式设计，节省缓冲液，耐高温，不变形，限位功能，操作准确，可拆卸电极架及电极头;</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7.外型尺寸：（L × W × H）：360 × 195 × 135mm和310 × 150 ×120mm;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1"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8.凝胶板规格：（</w:t>
            </w:r>
            <w:r>
              <w:rPr>
                <w:rStyle w:val="30"/>
                <w:rFonts w:eastAsia="仿宋_GB2312"/>
                <w:color w:val="auto"/>
                <w:lang w:val="en-US" w:eastAsia="zh-CN" w:bidi="ar"/>
              </w:rPr>
              <w:t>L × W</w:t>
            </w:r>
            <w:r>
              <w:rPr>
                <w:rStyle w:val="29"/>
                <w:rFonts w:hAnsi="宋体"/>
                <w:color w:val="auto"/>
                <w:lang w:val="en-US" w:eastAsia="zh-CN" w:bidi="ar"/>
              </w:rPr>
              <w:t>）：200 × 160mm、150 × 160mm、120×120mm、60 × 120mm、120×60mm、 60 × 60mm;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试样格：8、17、34 齿 1.5mm 厚，1.0和1.5mm 厚，可用排枪加样</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9.配置清单</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fldChar w:fldCharType="begin"/>
            </w:r>
            <w:r>
              <w:rPr>
                <w:rFonts w:hint="default" w:ascii="仿宋_GB2312" w:hAnsi="宋体" w:eastAsia="仿宋_GB2312" w:cs="仿宋_GB2312"/>
                <w:i w:val="0"/>
                <w:iCs w:val="0"/>
                <w:color w:val="auto"/>
                <w:kern w:val="0"/>
                <w:sz w:val="21"/>
                <w:szCs w:val="21"/>
                <w:u w:val="none"/>
                <w:lang w:val="en-US" w:eastAsia="zh-CN" w:bidi="ar"/>
              </w:rPr>
              <w:instrText xml:space="preserve"> HYPERLINK "http://www.liuyi17.com/" \o "http://www.liuyi17.com/" </w:instrText>
            </w:r>
            <w:r>
              <w:rPr>
                <w:rFonts w:hint="default" w:ascii="仿宋_GB2312" w:hAnsi="宋体" w:eastAsia="仿宋_GB2312" w:cs="仿宋_GB2312"/>
                <w:i w:val="0"/>
                <w:iCs w:val="0"/>
                <w:color w:val="auto"/>
                <w:kern w:val="0"/>
                <w:sz w:val="21"/>
                <w:szCs w:val="21"/>
                <w:u w:val="none"/>
                <w:lang w:val="en-US" w:eastAsia="zh-CN" w:bidi="ar"/>
              </w:rPr>
              <w:fldChar w:fldCharType="separate"/>
            </w:r>
            <w:r>
              <w:rPr>
                <w:rStyle w:val="20"/>
                <w:rFonts w:hint="default" w:ascii="仿宋_GB2312" w:hAnsi="宋体" w:eastAsia="仿宋_GB2312" w:cs="仿宋_GB2312"/>
                <w:i w:val="0"/>
                <w:iCs w:val="0"/>
                <w:color w:val="auto"/>
                <w:sz w:val="21"/>
                <w:szCs w:val="21"/>
                <w:u w:val="none"/>
              </w:rPr>
              <w:t>电泳仪（主体）/1 个</w:t>
            </w:r>
            <w:r>
              <w:rPr>
                <w:rFonts w:hint="default" w:ascii="仿宋_GB2312" w:hAnsi="宋体" w:eastAsia="仿宋_GB2312" w:cs="仿宋_GB2312"/>
                <w:i w:val="0"/>
                <w:iCs w:val="0"/>
                <w:color w:val="auto"/>
                <w:kern w:val="0"/>
                <w:sz w:val="21"/>
                <w:szCs w:val="21"/>
                <w:u w:val="none"/>
                <w:lang w:val="en-US" w:eastAsia="zh-CN" w:bidi="ar"/>
              </w:rPr>
              <w:fldChar w:fldCharType="end"/>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fldChar w:fldCharType="begin"/>
            </w:r>
            <w:r>
              <w:rPr>
                <w:rFonts w:hint="default" w:ascii="仿宋_GB2312" w:hAnsi="宋体" w:eastAsia="仿宋_GB2312" w:cs="仿宋_GB2312"/>
                <w:i w:val="0"/>
                <w:iCs w:val="0"/>
                <w:color w:val="auto"/>
                <w:kern w:val="0"/>
                <w:sz w:val="21"/>
                <w:szCs w:val="21"/>
                <w:u w:val="none"/>
                <w:lang w:val="en-US" w:eastAsia="zh-CN" w:bidi="ar"/>
              </w:rPr>
              <w:instrText xml:space="preserve"> HYPERLINK "http://www.liuyi17.com/" \o "http://www.liuyi17.com/" </w:instrText>
            </w:r>
            <w:r>
              <w:rPr>
                <w:rFonts w:hint="default" w:ascii="仿宋_GB2312" w:hAnsi="宋体" w:eastAsia="仿宋_GB2312" w:cs="仿宋_GB2312"/>
                <w:i w:val="0"/>
                <w:iCs w:val="0"/>
                <w:color w:val="auto"/>
                <w:kern w:val="0"/>
                <w:sz w:val="21"/>
                <w:szCs w:val="21"/>
                <w:u w:val="none"/>
                <w:lang w:val="en-US" w:eastAsia="zh-CN" w:bidi="ar"/>
              </w:rPr>
              <w:fldChar w:fldCharType="separate"/>
            </w:r>
            <w:r>
              <w:rPr>
                <w:rStyle w:val="20"/>
                <w:rFonts w:hint="default" w:ascii="仿宋_GB2312" w:hAnsi="宋体" w:eastAsia="仿宋_GB2312" w:cs="仿宋_GB2312"/>
                <w:i w:val="0"/>
                <w:iCs w:val="0"/>
                <w:color w:val="auto"/>
                <w:sz w:val="21"/>
                <w:szCs w:val="21"/>
                <w:u w:val="none"/>
              </w:rPr>
              <w:t>电泳仪（上盖）/1 个</w:t>
            </w:r>
            <w:r>
              <w:rPr>
                <w:rFonts w:hint="default" w:ascii="仿宋_GB2312" w:hAnsi="宋体" w:eastAsia="仿宋_GB2312" w:cs="仿宋_GB2312"/>
                <w:i w:val="0"/>
                <w:iCs w:val="0"/>
                <w:color w:val="auto"/>
                <w:kern w:val="0"/>
                <w:sz w:val="21"/>
                <w:szCs w:val="21"/>
                <w:u w:val="none"/>
                <w:lang w:val="en-US" w:eastAsia="zh-CN" w:bidi="ar"/>
              </w:rPr>
              <w:fldChar w:fldCharType="end"/>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电泳槽 （中号、小号）/2个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 xml:space="preserve">1.0mm8 </w:t>
            </w:r>
            <w:r>
              <w:rPr>
                <w:rStyle w:val="29"/>
                <w:rFonts w:hAnsi="Times New Roman"/>
                <w:color w:val="auto"/>
                <w:lang w:val="en-US" w:eastAsia="zh-CN" w:bidi="ar"/>
              </w:rPr>
              <w:t xml:space="preserve">齿／ </w:t>
            </w:r>
            <w:r>
              <w:rPr>
                <w:rStyle w:val="30"/>
                <w:rFonts w:eastAsia="宋体"/>
                <w:color w:val="auto"/>
                <w:lang w:val="en-US" w:eastAsia="zh-CN" w:bidi="ar"/>
              </w:rPr>
              <w:t xml:space="preserve">15 </w:t>
            </w:r>
            <w:r>
              <w:rPr>
                <w:rStyle w:val="29"/>
                <w:rFonts w:hAnsi="Times New Roman"/>
                <w:color w:val="auto"/>
                <w:lang w:val="en-US" w:eastAsia="zh-CN" w:bidi="ar"/>
              </w:rPr>
              <w:t>齿</w:t>
            </w:r>
            <w:r>
              <w:rPr>
                <w:rStyle w:val="30"/>
                <w:rFonts w:eastAsia="宋体"/>
                <w:color w:val="auto"/>
                <w:lang w:val="en-US" w:eastAsia="zh-CN" w:bidi="ar"/>
              </w:rPr>
              <w:t xml:space="preserve">/1 7 </w:t>
            </w:r>
            <w:r>
              <w:rPr>
                <w:rFonts w:hint="eastAsia" w:ascii="宋体" w:hAnsi="宋体" w:eastAsia="宋体" w:cs="宋体"/>
                <w:i w:val="0"/>
                <w:iCs w:val="0"/>
                <w:color w:val="auto"/>
                <w:kern w:val="0"/>
                <w:sz w:val="21"/>
                <w:szCs w:val="21"/>
                <w:u w:val="none"/>
                <w:lang w:val="en-US" w:eastAsia="zh-CN" w:bidi="ar"/>
              </w:rPr>
              <w:t>齿</w:t>
            </w:r>
            <w:r>
              <w:rPr>
                <w:rStyle w:val="30"/>
                <w:rFonts w:eastAsia="宋体"/>
                <w:color w:val="auto"/>
                <w:lang w:val="en-US" w:eastAsia="zh-CN" w:bidi="ar"/>
              </w:rPr>
              <w:t xml:space="preserve">/34 </w:t>
            </w:r>
            <w:r>
              <w:rPr>
                <w:rFonts w:hint="eastAsia" w:ascii="宋体" w:hAnsi="宋体" w:eastAsia="宋体" w:cs="宋体"/>
                <w:i w:val="0"/>
                <w:iCs w:val="0"/>
                <w:color w:val="auto"/>
                <w:kern w:val="0"/>
                <w:sz w:val="21"/>
                <w:szCs w:val="21"/>
                <w:u w:val="none"/>
                <w:lang w:val="en-US" w:eastAsia="zh-CN" w:bidi="ar"/>
              </w:rPr>
              <w:t>齿</w:t>
            </w:r>
            <w:r>
              <w:rPr>
                <w:rStyle w:val="29"/>
                <w:rFonts w:hAnsi="Times New Roman"/>
                <w:color w:val="auto"/>
                <w:lang w:val="en-US" w:eastAsia="zh-CN" w:bidi="ar"/>
              </w:rPr>
              <w:t>试样格</w:t>
            </w:r>
            <w:r>
              <w:rPr>
                <w:rStyle w:val="30"/>
                <w:rFonts w:eastAsia="宋体"/>
                <w:color w:val="auto"/>
                <w:lang w:val="en-US" w:eastAsia="zh-CN" w:bidi="ar"/>
              </w:rPr>
              <w:t xml:space="preserve">/1 </w:t>
            </w:r>
            <w:r>
              <w:rPr>
                <w:rStyle w:val="29"/>
                <w:rFonts w:hAnsi="Times New Roman"/>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 xml:space="preserve">1.5mm8 </w:t>
            </w:r>
            <w:r>
              <w:rPr>
                <w:rFonts w:hint="eastAsia" w:ascii="宋体" w:hAnsi="宋体" w:eastAsia="宋体" w:cs="宋体"/>
                <w:i w:val="0"/>
                <w:iCs w:val="0"/>
                <w:color w:val="auto"/>
                <w:kern w:val="0"/>
                <w:sz w:val="21"/>
                <w:szCs w:val="21"/>
                <w:u w:val="none"/>
                <w:lang w:val="en-US" w:eastAsia="zh-CN" w:bidi="ar"/>
              </w:rPr>
              <w:t>齿／</w:t>
            </w:r>
            <w:r>
              <w:rPr>
                <w:rStyle w:val="30"/>
                <w:rFonts w:eastAsia="宋体"/>
                <w:color w:val="auto"/>
                <w:lang w:val="en-US" w:eastAsia="zh-CN" w:bidi="ar"/>
              </w:rPr>
              <w:t xml:space="preserve"> 15 </w:t>
            </w:r>
            <w:r>
              <w:rPr>
                <w:rFonts w:hint="eastAsia" w:ascii="宋体" w:hAnsi="宋体" w:eastAsia="宋体" w:cs="宋体"/>
                <w:i w:val="0"/>
                <w:iCs w:val="0"/>
                <w:color w:val="auto"/>
                <w:kern w:val="0"/>
                <w:sz w:val="21"/>
                <w:szCs w:val="21"/>
                <w:u w:val="none"/>
                <w:lang w:val="en-US" w:eastAsia="zh-CN" w:bidi="ar"/>
              </w:rPr>
              <w:t>齿</w:t>
            </w:r>
            <w:r>
              <w:rPr>
                <w:rStyle w:val="30"/>
                <w:rFonts w:eastAsia="宋体"/>
                <w:color w:val="auto"/>
                <w:lang w:val="en-US" w:eastAsia="zh-CN" w:bidi="ar"/>
              </w:rPr>
              <w:t xml:space="preserve">/1 7 </w:t>
            </w:r>
            <w:r>
              <w:rPr>
                <w:rFonts w:hint="eastAsia" w:ascii="宋体" w:hAnsi="宋体" w:eastAsia="宋体" w:cs="宋体"/>
                <w:i w:val="0"/>
                <w:iCs w:val="0"/>
                <w:color w:val="auto"/>
                <w:kern w:val="0"/>
                <w:sz w:val="21"/>
                <w:szCs w:val="21"/>
                <w:u w:val="none"/>
                <w:lang w:val="en-US" w:eastAsia="zh-CN" w:bidi="ar"/>
              </w:rPr>
              <w:t>齿</w:t>
            </w:r>
            <w:r>
              <w:rPr>
                <w:rStyle w:val="30"/>
                <w:rFonts w:eastAsia="宋体"/>
                <w:color w:val="auto"/>
                <w:lang w:val="en-US" w:eastAsia="zh-CN" w:bidi="ar"/>
              </w:rPr>
              <w:t xml:space="preserve">/34 </w:t>
            </w:r>
            <w:r>
              <w:rPr>
                <w:rFonts w:hint="eastAsia" w:ascii="宋体" w:hAnsi="宋体" w:eastAsia="宋体" w:cs="宋体"/>
                <w:i w:val="0"/>
                <w:iCs w:val="0"/>
                <w:color w:val="auto"/>
                <w:kern w:val="0"/>
                <w:sz w:val="21"/>
                <w:szCs w:val="21"/>
                <w:u w:val="none"/>
                <w:lang w:val="en-US" w:eastAsia="zh-CN" w:bidi="ar"/>
              </w:rPr>
              <w:t>齿</w:t>
            </w:r>
            <w:r>
              <w:rPr>
                <w:rStyle w:val="29"/>
                <w:rFonts w:hAnsi="Times New Roman"/>
                <w:color w:val="auto"/>
                <w:lang w:val="en-US" w:eastAsia="zh-CN" w:bidi="ar"/>
              </w:rPr>
              <w:t>试样格</w:t>
            </w:r>
            <w:r>
              <w:rPr>
                <w:rStyle w:val="30"/>
                <w:rFonts w:eastAsia="宋体"/>
                <w:color w:val="auto"/>
                <w:lang w:val="en-US" w:eastAsia="zh-CN" w:bidi="ar"/>
              </w:rPr>
              <w:t xml:space="preserve">/1 </w:t>
            </w:r>
            <w:r>
              <w:rPr>
                <w:rStyle w:val="29"/>
                <w:rFonts w:hAnsi="Times New Roman"/>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制胶器</w:t>
            </w:r>
            <w:r>
              <w:rPr>
                <w:rStyle w:val="30"/>
                <w:rFonts w:eastAsia="仿宋_GB2312"/>
                <w:color w:val="auto"/>
                <w:lang w:val="en-US" w:eastAsia="zh-CN" w:bidi="ar"/>
              </w:rPr>
              <w:t xml:space="preserve">/1 </w:t>
            </w:r>
            <w:r>
              <w:rPr>
                <w:rStyle w:val="29"/>
                <w:rFonts w:hAnsi="宋体"/>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凝胶托盘（</w:t>
            </w:r>
            <w:r>
              <w:rPr>
                <w:rStyle w:val="30"/>
                <w:rFonts w:eastAsia="仿宋_GB2312"/>
                <w:color w:val="auto"/>
                <w:lang w:val="en-US" w:eastAsia="zh-CN" w:bidi="ar"/>
              </w:rPr>
              <w:t>100*70mm</w:t>
            </w:r>
            <w:r>
              <w:rPr>
                <w:rStyle w:val="29"/>
                <w:rFonts w:hAnsi="宋体"/>
                <w:color w:val="auto"/>
                <w:lang w:val="en-US" w:eastAsia="zh-CN" w:bidi="ar"/>
              </w:rPr>
              <w:t>）</w:t>
            </w:r>
            <w:r>
              <w:rPr>
                <w:rStyle w:val="30"/>
                <w:rFonts w:eastAsia="仿宋_GB2312"/>
                <w:color w:val="auto"/>
                <w:lang w:val="en-US" w:eastAsia="zh-CN" w:bidi="ar"/>
              </w:rPr>
              <w:t xml:space="preserve">/2 </w:t>
            </w:r>
            <w:r>
              <w:rPr>
                <w:rStyle w:val="29"/>
                <w:rFonts w:hAnsi="宋体"/>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电泳导线</w:t>
            </w:r>
            <w:r>
              <w:rPr>
                <w:rStyle w:val="30"/>
                <w:rFonts w:eastAsia="仿宋_GB2312"/>
                <w:color w:val="auto"/>
                <w:lang w:val="en-US" w:eastAsia="zh-CN" w:bidi="ar"/>
              </w:rPr>
              <w:t xml:space="preserve">/1 </w:t>
            </w:r>
            <w:r>
              <w:rPr>
                <w:rStyle w:val="29"/>
                <w:rFonts w:hAnsi="宋体"/>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12</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全自动核酸提取仪</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技术参数</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w:t>
            </w:r>
            <w:r>
              <w:rPr>
                <w:rStyle w:val="29"/>
                <w:rFonts w:hAnsi="Times New Roman"/>
                <w:color w:val="auto"/>
                <w:lang w:val="en-US" w:eastAsia="zh-CN" w:bidi="ar"/>
              </w:rPr>
              <w:t>样品通量：</w:t>
            </w:r>
            <w:r>
              <w:rPr>
                <w:rStyle w:val="30"/>
                <w:rFonts w:eastAsia="宋体"/>
                <w:color w:val="auto"/>
                <w:lang w:val="en-US" w:eastAsia="zh-CN" w:bidi="ar"/>
              </w:rPr>
              <w:t>1-32</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2.</w:t>
            </w:r>
            <w:r>
              <w:rPr>
                <w:rStyle w:val="29"/>
                <w:rFonts w:hAnsi="Times New Roman"/>
                <w:color w:val="auto"/>
                <w:lang w:val="en-US" w:eastAsia="zh-CN" w:bidi="ar"/>
              </w:rPr>
              <w:t>处理体积：</w:t>
            </w:r>
            <w:r>
              <w:rPr>
                <w:rStyle w:val="30"/>
                <w:rFonts w:eastAsia="宋体"/>
                <w:color w:val="auto"/>
                <w:lang w:val="en-US" w:eastAsia="zh-CN" w:bidi="ar"/>
              </w:rPr>
              <w:t>50~1000ul</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3.</w:t>
            </w:r>
            <w:r>
              <w:rPr>
                <w:rStyle w:val="29"/>
                <w:rFonts w:hAnsi="Times New Roman"/>
                <w:color w:val="auto"/>
                <w:highlight w:val="none"/>
                <w:lang w:val="en-US" w:eastAsia="zh-CN" w:bidi="ar"/>
              </w:rPr>
              <w:t>提纯孔间差：</w:t>
            </w:r>
            <w:r>
              <w:rPr>
                <w:rStyle w:val="30"/>
                <w:rFonts w:eastAsia="宋体"/>
                <w:color w:val="auto"/>
                <w:highlight w:val="none"/>
                <w:lang w:val="en-US" w:eastAsia="zh-CN" w:bidi="ar"/>
              </w:rPr>
              <w:t>CV&lt;5%</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4.</w:t>
            </w:r>
            <w:r>
              <w:rPr>
                <w:rStyle w:val="29"/>
                <w:rFonts w:hAnsi="Times New Roman"/>
                <w:color w:val="auto"/>
                <w:lang w:val="en-US" w:eastAsia="zh-CN" w:bidi="ar"/>
              </w:rPr>
              <w:t>磁珠回收率：</w:t>
            </w:r>
            <w:r>
              <w:rPr>
                <w:rStyle w:val="30"/>
                <w:rFonts w:eastAsia="宋体"/>
                <w:color w:val="auto"/>
                <w:lang w:val="en-US" w:eastAsia="zh-CN" w:bidi="ar"/>
              </w:rPr>
              <w:t>&gt;95%</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5.</w:t>
            </w:r>
            <w:r>
              <w:rPr>
                <w:rStyle w:val="29"/>
                <w:rFonts w:hAnsi="Times New Roman"/>
                <w:color w:val="auto"/>
                <w:lang w:val="en-US" w:eastAsia="zh-CN" w:bidi="ar"/>
              </w:rPr>
              <w:t>裂解温度：室温</w:t>
            </w:r>
            <w:r>
              <w:rPr>
                <w:rStyle w:val="30"/>
                <w:rFonts w:eastAsia="宋体"/>
                <w:color w:val="auto"/>
                <w:lang w:val="en-US" w:eastAsia="zh-CN" w:bidi="ar"/>
              </w:rPr>
              <w:t>~120</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6.</w:t>
            </w:r>
            <w:r>
              <w:rPr>
                <w:rStyle w:val="29"/>
                <w:rFonts w:hAnsi="Times New Roman"/>
                <w:color w:val="auto"/>
                <w:lang w:val="en-US" w:eastAsia="zh-CN" w:bidi="ar"/>
              </w:rPr>
              <w:t>洗脱温度：室温</w:t>
            </w:r>
            <w:r>
              <w:rPr>
                <w:rStyle w:val="30"/>
                <w:rFonts w:eastAsia="宋体"/>
                <w:color w:val="auto"/>
                <w:lang w:val="en-US" w:eastAsia="zh-CN" w:bidi="ar"/>
              </w:rPr>
              <w:t>~120</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7.</w:t>
            </w:r>
            <w:r>
              <w:rPr>
                <w:rStyle w:val="29"/>
                <w:rFonts w:hAnsi="Times New Roman"/>
                <w:color w:val="auto"/>
                <w:highlight w:val="none"/>
                <w:lang w:val="en-US" w:eastAsia="zh-CN" w:bidi="ar"/>
              </w:rPr>
              <w:t>振荡混合：</w:t>
            </w:r>
            <w:r>
              <w:rPr>
                <w:rStyle w:val="30"/>
                <w:rFonts w:eastAsia="宋体"/>
                <w:color w:val="auto"/>
                <w:highlight w:val="none"/>
                <w:lang w:val="en-US" w:eastAsia="zh-CN" w:bidi="ar"/>
              </w:rPr>
              <w:t>10</w:t>
            </w:r>
            <w:r>
              <w:rPr>
                <w:rStyle w:val="29"/>
                <w:rFonts w:hAnsi="Times New Roman"/>
                <w:color w:val="auto"/>
                <w:highlight w:val="none"/>
                <w:lang w:val="en-US" w:eastAsia="zh-CN" w:bidi="ar"/>
              </w:rPr>
              <w:t>档速度可调，多种混合方式</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8.</w:t>
            </w:r>
            <w:r>
              <w:rPr>
                <w:rStyle w:val="29"/>
                <w:rFonts w:hAnsi="Times New Roman"/>
                <w:color w:val="auto"/>
                <w:highlight w:val="none"/>
                <w:lang w:val="en-US" w:eastAsia="zh-CN" w:bidi="ar"/>
              </w:rPr>
              <w:t>程序管理：软件拥有加密功能，防止篡改程序或误删程序</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9.</w:t>
            </w:r>
            <w:r>
              <w:rPr>
                <w:rStyle w:val="29"/>
                <w:rFonts w:hAnsi="Times New Roman"/>
                <w:color w:val="auto"/>
                <w:lang w:val="en-US" w:eastAsia="zh-CN" w:bidi="ar"/>
              </w:rPr>
              <w:t>操作界面：</w:t>
            </w:r>
            <w:r>
              <w:rPr>
                <w:rStyle w:val="30"/>
                <w:rFonts w:eastAsia="宋体"/>
                <w:color w:val="auto"/>
                <w:lang w:val="en-US" w:eastAsia="zh-CN" w:bidi="ar"/>
              </w:rPr>
              <w:t>7</w:t>
            </w:r>
            <w:r>
              <w:rPr>
                <w:rStyle w:val="29"/>
                <w:rFonts w:hAnsi="Times New Roman"/>
                <w:color w:val="auto"/>
                <w:lang w:val="en-US" w:eastAsia="zh-CN" w:bidi="ar"/>
              </w:rPr>
              <w:t>寸触摸屏，</w:t>
            </w:r>
            <w:r>
              <w:rPr>
                <w:rStyle w:val="30"/>
                <w:rFonts w:eastAsia="宋体"/>
                <w:color w:val="auto"/>
                <w:lang w:val="en-US" w:eastAsia="zh-CN" w:bidi="ar"/>
              </w:rPr>
              <w:t>3</w:t>
            </w:r>
            <w:r>
              <w:rPr>
                <w:rStyle w:val="29"/>
                <w:rFonts w:hAnsi="Times New Roman"/>
                <w:color w:val="auto"/>
                <w:lang w:val="en-US" w:eastAsia="zh-CN" w:bidi="ar"/>
              </w:rPr>
              <w:t>个快捷键，外接鼠标</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10.</w:t>
            </w:r>
            <w:r>
              <w:rPr>
                <w:rStyle w:val="29"/>
                <w:rFonts w:hAnsi="Times New Roman"/>
                <w:color w:val="auto"/>
                <w:lang w:val="en-US" w:eastAsia="zh-CN" w:bidi="ar"/>
              </w:rPr>
              <w:t>仪器扩展接口：标准</w:t>
            </w:r>
            <w:r>
              <w:rPr>
                <w:rStyle w:val="30"/>
                <w:rFonts w:eastAsia="宋体"/>
                <w:color w:val="auto"/>
                <w:lang w:val="en-US" w:eastAsia="zh-CN" w:bidi="ar"/>
              </w:rPr>
              <w:t>USB</w:t>
            </w:r>
            <w:r>
              <w:rPr>
                <w:rStyle w:val="29"/>
                <w:rFonts w:hAnsi="Times New Roman"/>
                <w:color w:val="auto"/>
                <w:lang w:val="en-US" w:eastAsia="zh-CN" w:bidi="ar"/>
              </w:rPr>
              <w:t>，以太网口，无线</w:t>
            </w:r>
            <w:r>
              <w:rPr>
                <w:rStyle w:val="30"/>
                <w:rFonts w:eastAsia="宋体"/>
                <w:color w:val="auto"/>
                <w:lang w:val="en-US" w:eastAsia="zh-CN" w:bidi="ar"/>
              </w:rPr>
              <w:t>wi</w:t>
            </w:r>
            <w:r>
              <w:rPr>
                <w:rFonts w:hint="eastAsia" w:ascii="宋体" w:hAnsi="宋体" w:eastAsia="宋体" w:cs="宋体"/>
                <w:i w:val="0"/>
                <w:iCs w:val="0"/>
                <w:color w:val="auto"/>
                <w:kern w:val="0"/>
                <w:sz w:val="21"/>
                <w:szCs w:val="21"/>
                <w:u w:val="none"/>
                <w:lang w:val="en-US" w:eastAsia="zh-CN" w:bidi="ar"/>
              </w:rPr>
              <w:t>ﬁ</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11.</w:t>
            </w:r>
            <w:r>
              <w:rPr>
                <w:rStyle w:val="29"/>
                <w:rFonts w:hAnsi="Times New Roman"/>
                <w:color w:val="auto"/>
                <w:lang w:val="en-US" w:eastAsia="zh-CN" w:bidi="ar"/>
              </w:rPr>
              <w:t>照明系统：有</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12.净化消毒：风扇排气.紫外消毒</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13.</w:t>
            </w:r>
            <w:r>
              <w:rPr>
                <w:rStyle w:val="29"/>
                <w:rFonts w:hAnsi="Times New Roman"/>
                <w:color w:val="auto"/>
                <w:lang w:val="en-US" w:eastAsia="zh-CN" w:bidi="ar"/>
              </w:rPr>
              <w:t>外形尺寸：</w:t>
            </w:r>
            <w:r>
              <w:rPr>
                <w:rStyle w:val="30"/>
                <w:rFonts w:eastAsia="宋体"/>
                <w:color w:val="auto"/>
                <w:lang w:val="en-US" w:eastAsia="zh-CN" w:bidi="ar"/>
              </w:rPr>
              <w:t>40</w:t>
            </w:r>
            <w:r>
              <w:rPr>
                <w:rStyle w:val="29"/>
                <w:rFonts w:hAnsi="Times New Roman"/>
                <w:color w:val="auto"/>
                <w:lang w:val="en-US" w:eastAsia="zh-CN" w:bidi="ar"/>
              </w:rPr>
              <w:t>×</w:t>
            </w:r>
            <w:r>
              <w:rPr>
                <w:rStyle w:val="30"/>
                <w:rFonts w:eastAsia="宋体"/>
                <w:color w:val="auto"/>
                <w:lang w:val="en-US" w:eastAsia="zh-CN" w:bidi="ar"/>
              </w:rPr>
              <w:t>47</w:t>
            </w:r>
            <w:r>
              <w:rPr>
                <w:rStyle w:val="29"/>
                <w:rFonts w:hAnsi="Times New Roman"/>
                <w:color w:val="auto"/>
                <w:lang w:val="en-US" w:eastAsia="zh-CN" w:bidi="ar"/>
              </w:rPr>
              <w:t>×</w:t>
            </w:r>
            <w:r>
              <w:rPr>
                <w:rStyle w:val="30"/>
                <w:rFonts w:eastAsia="宋体"/>
                <w:color w:val="auto"/>
                <w:lang w:val="en-US" w:eastAsia="zh-CN" w:bidi="ar"/>
              </w:rPr>
              <w:t>45cm</w:t>
            </w:r>
            <w:r>
              <w:rPr>
                <w:rStyle w:val="29"/>
                <w:rFonts w:hAnsi="Times New Roman"/>
                <w:color w:val="auto"/>
                <w:lang w:val="en-US" w:eastAsia="zh-CN" w:bidi="ar"/>
              </w:rPr>
              <w:t>（长×宽×高）</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14.产品特点</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14.1</w:t>
            </w:r>
            <w:r>
              <w:rPr>
                <w:rStyle w:val="29"/>
                <w:rFonts w:hAnsi="Times New Roman"/>
                <w:color w:val="auto"/>
                <w:lang w:val="en-US" w:eastAsia="zh-CN" w:bidi="ar"/>
              </w:rPr>
              <w:t>抽屉式进样，方便试剂盒放置</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14.2 5</w:t>
            </w:r>
            <w:r>
              <w:rPr>
                <w:rStyle w:val="29"/>
                <w:rFonts w:hAnsi="Times New Roman"/>
                <w:color w:val="auto"/>
                <w:lang w:val="en-US" w:eastAsia="zh-CN" w:bidi="ar"/>
              </w:rPr>
              <w:t>个风扇对流设计，有效防止气溶胶污染</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15配置清单</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15.1</w:t>
            </w:r>
            <w:r>
              <w:rPr>
                <w:rStyle w:val="29"/>
                <w:rFonts w:hAnsi="Times New Roman"/>
                <w:color w:val="auto"/>
                <w:lang w:val="en-US" w:eastAsia="zh-CN" w:bidi="ar"/>
              </w:rPr>
              <w:t>全自动核酸提取仪主机</w:t>
            </w:r>
            <w:r>
              <w:rPr>
                <w:rStyle w:val="30"/>
                <w:rFonts w:eastAsia="宋体"/>
                <w:color w:val="auto"/>
                <w:lang w:val="en-US" w:eastAsia="zh-CN" w:bidi="ar"/>
              </w:rPr>
              <w:t xml:space="preserve">   1</w:t>
            </w:r>
            <w:r>
              <w:rPr>
                <w:rStyle w:val="29"/>
                <w:rFonts w:hAnsi="Times New Roman"/>
                <w:color w:val="auto"/>
                <w:lang w:val="en-US" w:eastAsia="zh-CN" w:bidi="ar"/>
              </w:rPr>
              <w:t>台</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15</w:t>
            </w:r>
            <w:r>
              <w:rPr>
                <w:rStyle w:val="30"/>
                <w:rFonts w:hint="eastAsia" w:eastAsia="宋体"/>
                <w:color w:val="auto"/>
                <w:lang w:val="en-US" w:eastAsia="zh-CN" w:bidi="ar"/>
              </w:rPr>
              <w:t>.</w:t>
            </w:r>
            <w:r>
              <w:rPr>
                <w:rStyle w:val="30"/>
                <w:rFonts w:eastAsia="宋体"/>
                <w:color w:val="auto"/>
                <w:lang w:val="en-US" w:eastAsia="zh-CN" w:bidi="ar"/>
              </w:rPr>
              <w:t>2</w:t>
            </w:r>
            <w:r>
              <w:rPr>
                <w:rStyle w:val="29"/>
                <w:rFonts w:hAnsi="Times New Roman"/>
                <w:color w:val="auto"/>
                <w:lang w:val="en-US" w:eastAsia="zh-CN" w:bidi="ar"/>
              </w:rPr>
              <w:t xml:space="preserve">电源线 </w:t>
            </w:r>
            <w:r>
              <w:rPr>
                <w:rStyle w:val="30"/>
                <w:rFonts w:eastAsia="宋体"/>
                <w:color w:val="auto"/>
                <w:lang w:val="en-US" w:eastAsia="zh-CN" w:bidi="ar"/>
              </w:rPr>
              <w:t xml:space="preserve">         1</w:t>
            </w:r>
            <w:r>
              <w:rPr>
                <w:rStyle w:val="29"/>
                <w:rFonts w:hAnsi="Times New Roman"/>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15.3</w:t>
            </w:r>
            <w:r>
              <w:rPr>
                <w:rStyle w:val="29"/>
                <w:rFonts w:hAnsi="Times New Roman"/>
                <w:color w:val="auto"/>
                <w:lang w:val="en-US" w:eastAsia="zh-CN" w:bidi="ar"/>
              </w:rPr>
              <w:t xml:space="preserve">鼠标 </w:t>
            </w:r>
            <w:r>
              <w:rPr>
                <w:rStyle w:val="30"/>
                <w:rFonts w:eastAsia="宋体"/>
                <w:color w:val="auto"/>
                <w:lang w:val="en-US" w:eastAsia="zh-CN" w:bidi="ar"/>
              </w:rPr>
              <w:t xml:space="preserve">          1</w:t>
            </w:r>
            <w:r>
              <w:rPr>
                <w:rStyle w:val="29"/>
                <w:rFonts w:hAnsi="Times New Roman"/>
                <w:color w:val="auto"/>
                <w:lang w:val="en-US" w:eastAsia="zh-CN" w:bidi="ar"/>
              </w:rPr>
              <w:t>个</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16.厂家资质</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Ansi="Times New Roman"/>
                <w:color w:val="auto"/>
                <w:lang w:val="en-US" w:eastAsia="zh-CN" w:bidi="ar"/>
              </w:rPr>
              <w:t>16.1</w:t>
            </w:r>
            <w:r>
              <w:rPr>
                <w:rStyle w:val="29"/>
                <w:rFonts w:hint="eastAsia" w:hAnsi="Times New Roman"/>
                <w:color w:val="auto"/>
                <w:lang w:val="en-US" w:eastAsia="zh-CN" w:bidi="ar"/>
              </w:rPr>
              <w:t>拥有该产品</w:t>
            </w:r>
            <w:r>
              <w:rPr>
                <w:rStyle w:val="29"/>
                <w:rFonts w:hAnsi="Times New Roman"/>
                <w:color w:val="auto"/>
                <w:lang w:val="en-US" w:eastAsia="zh-CN" w:bidi="ar"/>
              </w:rPr>
              <w:t>ISO</w:t>
            </w:r>
            <w:r>
              <w:rPr>
                <w:rStyle w:val="29"/>
                <w:rFonts w:hint="eastAsia" w:hAnsi="Times New Roman"/>
                <w:color w:val="auto"/>
                <w:lang w:val="en-US" w:eastAsia="zh-CN" w:bidi="ar"/>
              </w:rPr>
              <w:t>证书</w:t>
            </w:r>
            <w:r>
              <w:rPr>
                <w:rStyle w:val="29"/>
                <w:rFonts w:hAnsi="Times New Roman"/>
                <w:color w:val="auto"/>
                <w:lang w:val="en-US" w:eastAsia="zh-CN" w:bidi="ar"/>
              </w:rPr>
              <w:t>.</w:t>
            </w:r>
            <w:r>
              <w:rPr>
                <w:rStyle w:val="29"/>
                <w:rFonts w:hint="eastAsia" w:hAnsi="Times New Roman"/>
                <w:color w:val="auto"/>
                <w:lang w:val="en-US" w:eastAsia="zh-CN" w:bidi="ar"/>
              </w:rPr>
              <w:t>医疗器械生产许可证</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highlight w:val="yellow"/>
                <w:u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13</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Fonts w:hint="default" w:ascii="仿宋_GB2312" w:hAnsi="宋体" w:eastAsia="仿宋_GB2312" w:cs="仿宋_GB2312"/>
                <w:i w:val="0"/>
                <w:iCs w:val="0"/>
                <w:color w:val="auto"/>
                <w:kern w:val="0"/>
                <w:sz w:val="21"/>
                <w:szCs w:val="21"/>
                <w:highlight w:val="none"/>
                <w:u w:val="none"/>
                <w:lang w:val="en-US" w:eastAsia="zh-CN" w:bidi="ar"/>
              </w:rPr>
              <w:t>全自动凝胶成像分析系统</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1.主机</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auto"/>
                <w:kern w:val="0"/>
                <w:sz w:val="21"/>
                <w:szCs w:val="21"/>
                <w:u w:val="none"/>
                <w:lang w:val="en-US" w:eastAsia="zh-CN" w:bidi="ar"/>
              </w:rPr>
            </w:pPr>
            <w:r>
              <w:rPr>
                <w:rFonts w:hint="eastAsia"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1.1箱体两侧切胶口双开门设计，避免交叉污染，尺寸125mm×100mm</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1.2配有安全使用装置，拉开抽屉即可自动关闭光源，使用户免受紫外线辐射。</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1.3含紫外灯箱，白光反射板，紫外二组反射，波长：紫外透射滤色片200×250mm光源300nm，白光板面积210×260mm两侧反射滤色片200×50mm，反射光源254nm、365nm，两侧白光反射装置</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1.4观察口：可自动关闭，尺寸125mm×60mm</w:t>
            </w:r>
            <w:r>
              <w:rPr>
                <w:rStyle w:val="29"/>
                <w:rFonts w:hint="eastAsia" w:hAnsi="Times New Roman"/>
                <w:color w:val="auto"/>
                <w:highlight w:val="none"/>
                <w:lang w:val="en-US" w:eastAsia="zh-CN" w:bidi="ar"/>
              </w:rPr>
              <w:br w:type="textWrapping"/>
            </w:r>
            <w:r>
              <w:rPr>
                <w:rStyle w:val="29"/>
                <w:rFonts w:hint="eastAsia" w:hAnsi="Times New Roman"/>
                <w:color w:val="auto"/>
                <w:highlight w:val="none"/>
                <w:lang w:val="en-US" w:eastAsia="zh-CN" w:bidi="ar"/>
              </w:rPr>
              <w:t>2、CCD及镜头</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2.1CCD：分辨率2592(H)×1944(V)</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2.2像素密度：：16bit</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2.3镜头型号：光学变焦8～48mm 光圈1.2自动</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2.4可通过软件或机箱面板进行镜头的变焦、聚焦、光圈、透射紫外灯及反射灯的全自动控制</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2.5灵敏度：低于20pgEB染色双链的DNA</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2.7检测信噪比≥56db</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2.8专业滤光片590 nm超多层镀膜滤光片</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3、图像采集分析软件</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3.1软件：分析软件（可选2D双向电泳凝胶分析软件）</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3.2定时保护功能：10分钟内没有输入任何命令，全部光源自动关闭.</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3.3关闭操作软件：系统同时自动关闭全部光源，令实验更加安全、高效</w:t>
            </w:r>
            <w:r>
              <w:rPr>
                <w:rStyle w:val="29"/>
                <w:rFonts w:hint="eastAsia" w:hAnsi="Times New Roman"/>
                <w:color w:val="auto"/>
                <w:highlight w:val="none"/>
                <w:lang w:val="en-US" w:eastAsia="zh-CN" w:bidi="ar"/>
              </w:rPr>
              <w:br w:type="textWrapping"/>
            </w:r>
            <w:r>
              <w:rPr>
                <w:rStyle w:val="29"/>
                <w:rFonts w:hint="eastAsia" w:hAnsi="Times New Roman"/>
                <w:color w:val="auto"/>
                <w:highlight w:val="none"/>
                <w:lang w:val="en-US" w:eastAsia="zh-CN" w:bidi="ar"/>
              </w:rPr>
              <w:t>图像功能：调整图像大小、亮度、灰度、对比度、角度，条带校准、反色、裁切、旋转、缩放、加注文字</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3.4分析软件和图像获取软件一体化：图像拍摄、分析电泳凝胶、斑点印迹、狭线印迹和菌落计数等在同一界面完成。</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3.5条带水平度和垂直度可调：可手动调节条带的水平度和垂直度，以求获得更加精准的数据，具有多幅图像合并显示及分析功能。</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FF0000"/>
                <w:sz w:val="21"/>
                <w:szCs w:val="21"/>
                <w:highlight w:val="yellow"/>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FF0000"/>
                <w:kern w:val="0"/>
                <w:sz w:val="21"/>
                <w:szCs w:val="21"/>
                <w:highlight w:val="none"/>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highlight w:val="none"/>
                <w:u w:val="none"/>
                <w:lang w:val="en-US" w:eastAsia="zh-CN" w:bidi="ar"/>
              </w:rPr>
            </w:pPr>
            <w:r>
              <w:rPr>
                <w:rStyle w:val="29"/>
                <w:rFonts w:hint="eastAsia" w:hAnsi="Times New Roman"/>
                <w:color w:val="auto"/>
                <w:highlight w:val="none"/>
                <w:lang w:val="en-US" w:eastAsia="zh-CN" w:bidi="ar"/>
              </w:rPr>
              <w:t>3.7、至少拥有2个以上针对该成像系统的计算机软件著作权。</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14</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96孔金属浴</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1.描述：微电脑控制和半导体制冷技术制造的一款恒温金属浴产品仪器可配置多种模块，可广泛应用于样品的保存各种酶的保存和反应.核酸和蛋白质的变性处理.PCR 反应.电泳的预变性和血清凝固等。</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2.产品特点</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2.1 LCD液晶显示，人机友好的触摸式操作界面。</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2.2 微电脑温度控制器,控温精确可靠，同时显示实时温度和恒温倒计时间。</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3"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2.3 强大的可编程功能实行多点温度点的控制，最多达5个温度点的温度和恒温时间的设置及连续运行</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2.4采用金属模块，可使样品免受污染。</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2.5</w:t>
            </w:r>
            <w:r>
              <w:rPr>
                <w:rFonts w:hint="eastAsia" w:ascii="仿宋_GB2312" w:hAnsi="宋体" w:eastAsia="仿宋_GB2312" w:cs="仿宋_GB2312"/>
                <w:i w:val="0"/>
                <w:iCs w:val="0"/>
                <w:color w:val="auto"/>
                <w:kern w:val="0"/>
                <w:sz w:val="21"/>
                <w:szCs w:val="21"/>
                <w:u w:val="none"/>
                <w:lang w:val="en-US" w:eastAsia="zh-CN" w:bidi="ar"/>
              </w:rPr>
              <w:t>金属模块能方便更换，便于清洁</w:t>
            </w:r>
            <w:r>
              <w:rPr>
                <w:rFonts w:hint="default" w:ascii="仿宋_GB2312" w:hAnsi="宋体" w:eastAsia="仿宋_GB2312" w:cs="仿宋_GB2312"/>
                <w:i w:val="0"/>
                <w:iCs w:val="0"/>
                <w:color w:val="auto"/>
                <w:kern w:val="0"/>
                <w:sz w:val="21"/>
                <w:szCs w:val="21"/>
                <w:u w:val="none"/>
                <w:lang w:val="en-US" w:eastAsia="zh-CN" w:bidi="ar"/>
              </w:rPr>
              <w:t>.</w:t>
            </w:r>
            <w:r>
              <w:rPr>
                <w:rFonts w:hint="eastAsia" w:ascii="仿宋_GB2312" w:hAnsi="宋体" w:eastAsia="仿宋_GB2312" w:cs="仿宋_GB2312"/>
                <w:i w:val="0"/>
                <w:iCs w:val="0"/>
                <w:color w:val="auto"/>
                <w:kern w:val="0"/>
                <w:sz w:val="21"/>
                <w:szCs w:val="21"/>
                <w:u w:val="none"/>
                <w:lang w:val="en-US" w:eastAsia="zh-CN" w:bidi="ar"/>
              </w:rPr>
              <w:t>消毒。</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2.6温度偏差校准功能； 内置超温保护装置</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2.7自动故障检测及蜂鸣器报警功能；</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2.8外观精美，蓝色液晶显示即时参数信息，触摸式操作界面。</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 xml:space="preserve">3.温度范围 </w:t>
            </w:r>
            <w:r>
              <w:rPr>
                <w:rFonts w:hint="eastAsia" w:ascii="仿宋_GB2312" w:hAnsi="宋体" w:eastAsia="仿宋_GB2312" w:cs="仿宋_GB2312"/>
                <w:i w:val="0"/>
                <w:iCs w:val="0"/>
                <w:color w:val="auto"/>
                <w:kern w:val="0"/>
                <w:sz w:val="21"/>
                <w:szCs w:val="21"/>
                <w:u w:val="none"/>
                <w:lang w:val="en-US" w:eastAsia="zh-CN" w:bidi="ar"/>
              </w:rPr>
              <w:t>：</w:t>
            </w:r>
            <w:r>
              <w:rPr>
                <w:rFonts w:hint="default" w:ascii="仿宋_GB2312" w:hAnsi="宋体" w:eastAsia="仿宋_GB2312" w:cs="仿宋_GB2312"/>
                <w:i w:val="0"/>
                <w:iCs w:val="0"/>
                <w:color w:val="auto"/>
                <w:kern w:val="0"/>
                <w:sz w:val="21"/>
                <w:szCs w:val="21"/>
                <w:u w:val="none"/>
                <w:lang w:val="en-US" w:eastAsia="zh-CN" w:bidi="ar"/>
              </w:rPr>
              <w:t>RT+5℃~100℃</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4.时间设置 1min-100h</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5.模块温度均匀性 ≤±0.3℃</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6.显示精度 0.1℃</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7.控温精度 ±0.5℃</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8.升温时间 ≤15min(20℃ to 100℃)</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9.多点运行 支持（最多5点）</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10.加热方式 加热膜</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11.熔断器 250Ⅴ 3A Φ 5× 20</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12.尺寸 270×190宽×190高（mm）</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13.电源 AC220V/120V,50/60Hz</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14.功率 150w</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15.标配模块 2.0ml*35孔</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16.选配模块 HX-A,B,C,D,E,F,G,H,J,K,L,M,N</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15</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涡旋混匀仪（振荡器）</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1.用途：涡旋振荡，混匀物质；</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10</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2.计时范围：</w:t>
            </w:r>
            <w:r>
              <w:rPr>
                <w:rStyle w:val="30"/>
                <w:rFonts w:eastAsia="仿宋_GB2312"/>
                <w:color w:val="auto"/>
                <w:lang w:val="en-US" w:eastAsia="zh-CN" w:bidi="ar"/>
              </w:rPr>
              <w:t>0sec~99m59sec/</w:t>
            </w:r>
            <w:r>
              <w:rPr>
                <w:rStyle w:val="29"/>
                <w:rFonts w:hAnsi="宋体"/>
                <w:color w:val="auto"/>
                <w:lang w:val="en-US" w:eastAsia="zh-CN" w:bidi="ar"/>
              </w:rPr>
              <w:t>∞；</w:t>
            </w:r>
            <w:r>
              <w:rPr>
                <w:rStyle w:val="29"/>
                <w:rFonts w:hAnsi="宋体"/>
                <w:color w:val="auto"/>
                <w:lang w:val="en-US" w:eastAsia="zh-CN" w:bidi="ar"/>
              </w:rPr>
              <w:br w:type="textWrapping"/>
            </w:r>
            <w:r>
              <w:rPr>
                <w:rStyle w:val="29"/>
                <w:rFonts w:hAnsi="宋体"/>
                <w:color w:val="auto"/>
                <w:lang w:val="en-US" w:eastAsia="zh-CN" w:bidi="ar"/>
              </w:rPr>
              <w:t>3.转速范围：</w:t>
            </w:r>
            <w:r>
              <w:rPr>
                <w:rStyle w:val="30"/>
                <w:rFonts w:eastAsia="仿宋_GB2312"/>
                <w:color w:val="auto"/>
                <w:lang w:val="en-US" w:eastAsia="zh-CN" w:bidi="ar"/>
              </w:rPr>
              <w:t>1000~2800rpm</w:t>
            </w:r>
            <w:r>
              <w:rPr>
                <w:rStyle w:val="29"/>
                <w:rFonts w:hAnsi="宋体"/>
                <w:color w:val="auto"/>
                <w:lang w:val="en-US" w:eastAsia="zh-CN" w:bidi="ar"/>
              </w:rPr>
              <w:t>，振荡方式：圆周</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4.周转直径：</w:t>
            </w:r>
            <w:r>
              <w:rPr>
                <w:rStyle w:val="30"/>
                <w:rFonts w:eastAsia="仿宋_GB2312"/>
                <w:color w:val="auto"/>
                <w:lang w:val="en-US" w:eastAsia="zh-CN" w:bidi="ar"/>
              </w:rPr>
              <w:t>3mm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5.运行方式：点动</w:t>
            </w:r>
            <w:r>
              <w:rPr>
                <w:rStyle w:val="30"/>
                <w:rFonts w:eastAsia="仿宋_GB2312"/>
                <w:color w:val="auto"/>
                <w:lang w:val="en-US" w:eastAsia="zh-CN" w:bidi="ar"/>
              </w:rPr>
              <w:t>/</w:t>
            </w:r>
            <w:r>
              <w:rPr>
                <w:rStyle w:val="29"/>
                <w:rFonts w:hAnsi="宋体"/>
                <w:color w:val="auto"/>
                <w:lang w:val="en-US" w:eastAsia="zh-CN" w:bidi="ar"/>
              </w:rPr>
              <w:t>连续运转</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6.标配试管架：单管涡旋头.海绵托盘.四种海绵模块</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7.电机类型：罩极电机</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8.输入功率：</w:t>
            </w:r>
            <w:r>
              <w:rPr>
                <w:rStyle w:val="30"/>
                <w:rFonts w:eastAsia="仿宋_GB2312"/>
                <w:color w:val="auto"/>
                <w:lang w:val="en-US" w:eastAsia="zh-CN" w:bidi="ar"/>
              </w:rPr>
              <w:t>100W</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9.电压：</w:t>
            </w:r>
            <w:r>
              <w:rPr>
                <w:rStyle w:val="30"/>
                <w:rFonts w:eastAsia="仿宋_GB2312"/>
                <w:color w:val="auto"/>
                <w:lang w:val="en-US" w:eastAsia="zh-CN" w:bidi="ar"/>
              </w:rPr>
              <w:t>AC220V/50-60Hz</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10.熔断器：</w:t>
            </w:r>
            <w:r>
              <w:rPr>
                <w:rStyle w:val="30"/>
                <w:rFonts w:eastAsia="仿宋_GB2312"/>
                <w:color w:val="auto"/>
                <w:lang w:val="en-US" w:eastAsia="zh-CN" w:bidi="ar"/>
              </w:rPr>
              <w:t xml:space="preserve">250V  3A  </w:t>
            </w:r>
            <w:r>
              <w:rPr>
                <w:rStyle w:val="29"/>
                <w:rFonts w:hAnsi="宋体"/>
                <w:color w:val="auto"/>
                <w:lang w:val="en-US" w:eastAsia="zh-CN" w:bidi="ar"/>
              </w:rPr>
              <w:t>Ф</w:t>
            </w:r>
            <w:r>
              <w:rPr>
                <w:rStyle w:val="30"/>
                <w:rFonts w:eastAsia="仿宋_GB2312"/>
                <w:color w:val="auto"/>
                <w:lang w:val="en-US" w:eastAsia="zh-CN" w:bidi="ar"/>
              </w:rPr>
              <w:t>5</w:t>
            </w:r>
            <w:r>
              <w:rPr>
                <w:rStyle w:val="29"/>
                <w:rFonts w:hAnsi="宋体"/>
                <w:color w:val="auto"/>
                <w:lang w:val="en-US" w:eastAsia="zh-CN" w:bidi="ar"/>
              </w:rPr>
              <w:t>×</w:t>
            </w:r>
            <w:r>
              <w:rPr>
                <w:rStyle w:val="30"/>
                <w:rFonts w:eastAsia="仿宋_GB2312"/>
                <w:color w:val="auto"/>
                <w:lang w:val="en-US" w:eastAsia="zh-CN" w:bidi="ar"/>
              </w:rPr>
              <w:t>20</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Style w:val="29"/>
                <w:rFonts w:hAnsi="宋体"/>
                <w:color w:val="auto"/>
                <w:lang w:val="en-US" w:eastAsia="zh-CN" w:bidi="ar"/>
              </w:rPr>
              <w:t>11.外形尺寸</w:t>
            </w:r>
            <w:r>
              <w:rPr>
                <w:rStyle w:val="30"/>
                <w:rFonts w:eastAsia="仿宋_GB2312"/>
                <w:color w:val="auto"/>
                <w:lang w:val="en-US" w:eastAsia="zh-CN" w:bidi="ar"/>
              </w:rPr>
              <w:t>(mm)</w:t>
            </w:r>
            <w:r>
              <w:rPr>
                <w:rStyle w:val="29"/>
                <w:rFonts w:hAnsi="宋体"/>
                <w:color w:val="auto"/>
                <w:lang w:val="en-US" w:eastAsia="zh-CN" w:bidi="ar"/>
              </w:rPr>
              <w:t>：</w:t>
            </w:r>
            <w:r>
              <w:rPr>
                <w:rStyle w:val="30"/>
                <w:rFonts w:eastAsia="仿宋_GB2312"/>
                <w:color w:val="auto"/>
                <w:lang w:val="en-US" w:eastAsia="zh-CN" w:bidi="ar"/>
              </w:rPr>
              <w:t>197x135x156mm</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lang w:val="en-US"/>
              </w:rPr>
            </w:pPr>
            <w:r>
              <w:rPr>
                <w:rFonts w:hint="eastAsia" w:ascii="Times New Roman" w:hAnsi="Times New Roman" w:eastAsia="宋体" w:cs="Times New Roman"/>
                <w:i w:val="0"/>
                <w:iCs w:val="0"/>
                <w:color w:val="auto"/>
                <w:kern w:val="0"/>
                <w:sz w:val="21"/>
                <w:szCs w:val="21"/>
                <w:u w:val="none"/>
                <w:lang w:val="en-US" w:eastAsia="zh-CN" w:bidi="ar"/>
              </w:rPr>
              <w:t>16</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Style w:val="30"/>
                <w:rFonts w:eastAsia="仿宋_GB2312"/>
                <w:color w:val="auto"/>
                <w:lang w:val="en-US" w:eastAsia="zh-CN" w:bidi="ar"/>
              </w:rPr>
              <w:t>PCR</w:t>
            </w:r>
            <w:r>
              <w:rPr>
                <w:rStyle w:val="29"/>
                <w:rFonts w:hAnsi="宋体"/>
                <w:color w:val="auto"/>
                <w:lang w:val="en-US" w:eastAsia="zh-CN" w:bidi="ar"/>
              </w:rPr>
              <w:t>仪</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升降温技术：半导体制冷</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auto"/>
                <w:sz w:val="21"/>
                <w:szCs w:val="21"/>
                <w:u w:val="none"/>
              </w:rPr>
            </w:pPr>
            <w:r>
              <w:rPr>
                <w:rFonts w:hint="default" w:ascii="仿宋_GB2312" w:hAnsi="宋体" w:eastAsia="仿宋_GB2312" w:cs="仿宋_GB2312"/>
                <w:i w:val="0"/>
                <w:iCs w:val="0"/>
                <w:color w:val="auto"/>
                <w:kern w:val="0"/>
                <w:sz w:val="21"/>
                <w:szCs w:val="21"/>
                <w:u w:val="none"/>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w:t>
            </w:r>
            <w:r>
              <w:rPr>
                <w:rStyle w:val="29"/>
                <w:rFonts w:hAnsi="Times New Roman"/>
                <w:color w:val="auto"/>
                <w:lang w:val="en-US" w:eastAsia="zh-CN" w:bidi="ar"/>
              </w:rPr>
              <w:t>工作环境</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1.1</w:t>
            </w:r>
            <w:r>
              <w:rPr>
                <w:rStyle w:val="29"/>
                <w:rFonts w:hAnsi="Times New Roman"/>
                <w:color w:val="auto"/>
                <w:lang w:val="en-US" w:eastAsia="zh-CN" w:bidi="ar"/>
              </w:rPr>
              <w:t xml:space="preserve"> 工作温度：</w:t>
            </w:r>
            <w:r>
              <w:rPr>
                <w:rStyle w:val="30"/>
                <w:rFonts w:eastAsia="宋体"/>
                <w:color w:val="auto"/>
                <w:lang w:val="en-US" w:eastAsia="zh-CN" w:bidi="ar"/>
              </w:rPr>
              <w:t>15-40</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1.2</w:t>
            </w:r>
            <w:r>
              <w:rPr>
                <w:rStyle w:val="29"/>
                <w:rFonts w:hAnsi="Times New Roman"/>
                <w:color w:val="auto"/>
                <w:lang w:val="en-US" w:eastAsia="zh-CN" w:bidi="ar"/>
              </w:rPr>
              <w:t xml:space="preserve"> 工作和存储湿度：</w:t>
            </w:r>
            <w:r>
              <w:rPr>
                <w:rStyle w:val="30"/>
                <w:rFonts w:eastAsia="宋体"/>
                <w:color w:val="auto"/>
                <w:lang w:val="en-US" w:eastAsia="zh-CN" w:bidi="ar"/>
              </w:rPr>
              <w:t>20-80%</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1.3</w:t>
            </w:r>
            <w:r>
              <w:rPr>
                <w:rStyle w:val="29"/>
                <w:rFonts w:hAnsi="Times New Roman"/>
                <w:color w:val="auto"/>
                <w:lang w:val="en-US" w:eastAsia="zh-CN" w:bidi="ar"/>
              </w:rPr>
              <w:t xml:space="preserve"> 工作电源：</w:t>
            </w:r>
            <w:r>
              <w:rPr>
                <w:rStyle w:val="30"/>
                <w:rFonts w:eastAsia="宋体"/>
                <w:color w:val="auto"/>
                <w:lang w:val="en-US" w:eastAsia="zh-CN" w:bidi="ar"/>
              </w:rPr>
              <w:t>100</w:t>
            </w:r>
            <w:r>
              <w:rPr>
                <w:rStyle w:val="29"/>
                <w:rFonts w:hAnsi="Times New Roman"/>
                <w:color w:val="auto"/>
                <w:lang w:val="en-US" w:eastAsia="zh-CN" w:bidi="ar"/>
              </w:rPr>
              <w:t>–</w:t>
            </w:r>
            <w:r>
              <w:rPr>
                <w:rStyle w:val="30"/>
                <w:rFonts w:eastAsia="宋体"/>
                <w:color w:val="auto"/>
                <w:lang w:val="en-US" w:eastAsia="zh-CN" w:bidi="ar"/>
              </w:rPr>
              <w:t>240VAC</w:t>
            </w:r>
            <w:r>
              <w:rPr>
                <w:rStyle w:val="29"/>
                <w:rFonts w:hAnsi="Times New Roman"/>
                <w:color w:val="auto"/>
                <w:lang w:val="en-US" w:eastAsia="zh-CN" w:bidi="ar"/>
              </w:rPr>
              <w:t>，</w:t>
            </w:r>
            <w:r>
              <w:rPr>
                <w:rStyle w:val="30"/>
                <w:rFonts w:eastAsia="宋体"/>
                <w:color w:val="auto"/>
                <w:lang w:val="en-US" w:eastAsia="zh-CN" w:bidi="ar"/>
              </w:rPr>
              <w:t>50</w:t>
            </w:r>
            <w:r>
              <w:rPr>
                <w:rStyle w:val="29"/>
                <w:rFonts w:hAnsi="Times New Roman"/>
                <w:color w:val="auto"/>
                <w:lang w:val="en-US" w:eastAsia="zh-CN" w:bidi="ar"/>
              </w:rPr>
              <w:t>–</w:t>
            </w:r>
            <w:r>
              <w:rPr>
                <w:rStyle w:val="30"/>
                <w:rFonts w:eastAsia="宋体"/>
                <w:color w:val="auto"/>
                <w:lang w:val="en-US" w:eastAsia="zh-CN" w:bidi="ar"/>
              </w:rPr>
              <w:t>60HZ</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2.</w:t>
            </w:r>
            <w:r>
              <w:rPr>
                <w:rStyle w:val="29"/>
                <w:rFonts w:hAnsi="Times New Roman"/>
                <w:color w:val="auto"/>
                <w:lang w:val="en-US" w:eastAsia="zh-CN" w:bidi="ar"/>
              </w:rPr>
              <w:t>用途：用于体外核酸片段扩增，核酸定性检测</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w:t>
            </w:r>
            <w:r>
              <w:rPr>
                <w:rStyle w:val="29"/>
                <w:rFonts w:hAnsi="Times New Roman"/>
                <w:color w:val="auto"/>
                <w:lang w:val="en-US" w:eastAsia="zh-CN" w:bidi="ar"/>
              </w:rPr>
              <w:t>主要技术参数：</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3.1</w:t>
            </w:r>
            <w:r>
              <w:rPr>
                <w:rStyle w:val="29"/>
                <w:rFonts w:hAnsi="Times New Roman"/>
                <w:color w:val="auto"/>
                <w:highlight w:val="none"/>
                <w:lang w:val="en-US" w:eastAsia="zh-CN" w:bidi="ar"/>
              </w:rPr>
              <w:t>配备高分辨率彩色液晶触摸屏，方便程序设置，图文实时显示温控及运行状态；</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highlight w:val="none"/>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3.2</w:t>
            </w:r>
            <w:r>
              <w:rPr>
                <w:rStyle w:val="29"/>
                <w:rFonts w:hAnsi="Times New Roman"/>
                <w:color w:val="auto"/>
                <w:lang w:val="en-US" w:eastAsia="zh-CN" w:bidi="ar"/>
              </w:rPr>
              <w:t>容量：</w:t>
            </w:r>
            <w:r>
              <w:rPr>
                <w:rStyle w:val="30"/>
                <w:rFonts w:eastAsia="宋体"/>
                <w:color w:val="auto"/>
                <w:lang w:val="en-US" w:eastAsia="zh-CN" w:bidi="ar"/>
              </w:rPr>
              <w:t>96</w:t>
            </w:r>
            <w:r>
              <w:rPr>
                <w:rStyle w:val="29"/>
                <w:rFonts w:hAnsi="Times New Roman"/>
                <w:color w:val="auto"/>
                <w:lang w:val="en-US" w:eastAsia="zh-CN" w:bidi="ar"/>
              </w:rPr>
              <w:t>孔；</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4"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3.3兼容的PCR管：0.2ml单管.八连管.96孔板；</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3.4</w:t>
            </w:r>
            <w:r>
              <w:rPr>
                <w:rStyle w:val="29"/>
                <w:rFonts w:hAnsi="Times New Roman"/>
                <w:color w:val="auto"/>
                <w:lang w:val="en-US" w:eastAsia="zh-CN" w:bidi="ar"/>
              </w:rPr>
              <w:t>升温速率：</w:t>
            </w:r>
            <w:r>
              <w:rPr>
                <w:rStyle w:val="30"/>
                <w:rFonts w:eastAsia="宋体"/>
                <w:color w:val="auto"/>
                <w:lang w:val="en-US" w:eastAsia="zh-CN" w:bidi="ar"/>
              </w:rPr>
              <w:t>4</w:t>
            </w:r>
            <w:r>
              <w:rPr>
                <w:rStyle w:val="29"/>
                <w:rFonts w:hAnsi="Times New Roman"/>
                <w:color w:val="auto"/>
                <w:lang w:val="en-US" w:eastAsia="zh-CN" w:bidi="ar"/>
              </w:rPr>
              <w:t>℃</w:t>
            </w:r>
            <w:r>
              <w:rPr>
                <w:rStyle w:val="30"/>
                <w:rFonts w:eastAsia="宋体"/>
                <w:color w:val="auto"/>
                <w:lang w:val="en-US" w:eastAsia="zh-CN" w:bidi="ar"/>
              </w:rPr>
              <w:t>/</w:t>
            </w:r>
            <w:r>
              <w:rPr>
                <w:rStyle w:val="29"/>
                <w:rFonts w:hAnsi="Times New Roman"/>
                <w:color w:val="auto"/>
                <w:lang w:val="en-US" w:eastAsia="zh-CN" w:bidi="ar"/>
              </w:rPr>
              <w:t>秒；</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3.5</w:t>
            </w:r>
            <w:r>
              <w:rPr>
                <w:rStyle w:val="29"/>
                <w:rFonts w:hAnsi="Times New Roman"/>
                <w:color w:val="auto"/>
                <w:highlight w:val="none"/>
                <w:lang w:val="en-US" w:eastAsia="zh-CN" w:bidi="ar"/>
              </w:rPr>
              <w:t>降温速率：</w:t>
            </w:r>
            <w:r>
              <w:rPr>
                <w:rStyle w:val="30"/>
                <w:rFonts w:eastAsia="宋体"/>
                <w:color w:val="auto"/>
                <w:highlight w:val="none"/>
                <w:lang w:val="en-US" w:eastAsia="zh-CN" w:bidi="ar"/>
              </w:rPr>
              <w:t>4</w:t>
            </w:r>
            <w:r>
              <w:rPr>
                <w:rStyle w:val="29"/>
                <w:rFonts w:hAnsi="Times New Roman"/>
                <w:color w:val="auto"/>
                <w:highlight w:val="none"/>
                <w:lang w:val="en-US" w:eastAsia="zh-CN" w:bidi="ar"/>
              </w:rPr>
              <w:t>℃</w:t>
            </w:r>
            <w:r>
              <w:rPr>
                <w:rStyle w:val="30"/>
                <w:rFonts w:eastAsia="宋体"/>
                <w:color w:val="auto"/>
                <w:highlight w:val="none"/>
                <w:lang w:val="en-US" w:eastAsia="zh-CN" w:bidi="ar"/>
              </w:rPr>
              <w:t>/</w:t>
            </w:r>
            <w:r>
              <w:rPr>
                <w:rStyle w:val="29"/>
                <w:rFonts w:hAnsi="Times New Roman"/>
                <w:color w:val="auto"/>
                <w:highlight w:val="none"/>
                <w:lang w:val="en-US" w:eastAsia="zh-CN" w:bidi="ar"/>
              </w:rPr>
              <w:t>秒；</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highlight w:val="none"/>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6"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3.6</w:t>
            </w:r>
            <w:r>
              <w:rPr>
                <w:rStyle w:val="29"/>
                <w:rFonts w:hAnsi="Times New Roman"/>
                <w:color w:val="auto"/>
                <w:highlight w:val="none"/>
                <w:lang w:val="en-US" w:eastAsia="zh-CN" w:bidi="ar"/>
              </w:rPr>
              <w:t>温度梯度：同时运行</w:t>
            </w:r>
            <w:r>
              <w:rPr>
                <w:rStyle w:val="30"/>
                <w:rFonts w:eastAsia="宋体"/>
                <w:color w:val="auto"/>
                <w:highlight w:val="none"/>
                <w:lang w:val="en-US" w:eastAsia="zh-CN" w:bidi="ar"/>
              </w:rPr>
              <w:t>8</w:t>
            </w:r>
            <w:r>
              <w:rPr>
                <w:rStyle w:val="29"/>
                <w:rFonts w:hAnsi="Times New Roman"/>
                <w:color w:val="auto"/>
                <w:highlight w:val="none"/>
                <w:lang w:val="en-US" w:eastAsia="zh-CN" w:bidi="ar"/>
              </w:rPr>
              <w:t>个不同温度；温度梯度范围：</w:t>
            </w:r>
            <w:r>
              <w:rPr>
                <w:rStyle w:val="30"/>
                <w:rFonts w:eastAsia="宋体"/>
                <w:color w:val="auto"/>
                <w:highlight w:val="none"/>
                <w:lang w:val="en-US" w:eastAsia="zh-CN" w:bidi="ar"/>
              </w:rPr>
              <w:t>30-100</w:t>
            </w:r>
            <w:r>
              <w:rPr>
                <w:rStyle w:val="29"/>
                <w:rFonts w:hAnsi="Times New Roman"/>
                <w:color w:val="auto"/>
                <w:highlight w:val="none"/>
                <w:lang w:val="en-US" w:eastAsia="zh-CN" w:bidi="ar"/>
              </w:rPr>
              <w:t>℃；温差范围：</w:t>
            </w:r>
            <w:r>
              <w:rPr>
                <w:rStyle w:val="30"/>
                <w:rFonts w:eastAsia="宋体"/>
                <w:color w:val="auto"/>
                <w:highlight w:val="none"/>
                <w:lang w:val="en-US" w:eastAsia="zh-CN" w:bidi="ar"/>
              </w:rPr>
              <w:t>1-25</w:t>
            </w:r>
            <w:r>
              <w:rPr>
                <w:rStyle w:val="29"/>
                <w:rFonts w:hAnsi="Times New Roman"/>
                <w:color w:val="auto"/>
                <w:highlight w:val="none"/>
                <w:lang w:val="en-US" w:eastAsia="zh-CN" w:bidi="ar"/>
              </w:rPr>
              <w:t>℃，各温度梯度之间孵育时间：相同；</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highlight w:val="none"/>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3.7</w:t>
            </w:r>
            <w:r>
              <w:rPr>
                <w:rStyle w:val="29"/>
                <w:rFonts w:hAnsi="Times New Roman"/>
                <w:color w:val="auto"/>
                <w:highlight w:val="none"/>
                <w:lang w:val="en-US" w:eastAsia="zh-CN" w:bidi="ar"/>
              </w:rPr>
              <w:t>温控范围：</w:t>
            </w:r>
            <w:r>
              <w:rPr>
                <w:rStyle w:val="30"/>
                <w:rFonts w:eastAsia="宋体"/>
                <w:color w:val="auto"/>
                <w:highlight w:val="none"/>
                <w:lang w:val="en-US" w:eastAsia="zh-CN" w:bidi="ar"/>
              </w:rPr>
              <w:t>4-100</w:t>
            </w:r>
            <w:r>
              <w:rPr>
                <w:rStyle w:val="29"/>
                <w:rFonts w:hAnsi="Times New Roman"/>
                <w:color w:val="auto"/>
                <w:highlight w:val="none"/>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highlight w:val="none"/>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3.8</w:t>
            </w:r>
            <w:r>
              <w:rPr>
                <w:rStyle w:val="29"/>
                <w:rFonts w:hAnsi="Times New Roman"/>
                <w:color w:val="auto"/>
                <w:lang w:val="en-US" w:eastAsia="zh-CN" w:bidi="ar"/>
              </w:rPr>
              <w:t>温度精度：</w:t>
            </w:r>
            <w:r>
              <w:rPr>
                <w:rStyle w:val="30"/>
                <w:rFonts w:eastAsia="宋体"/>
                <w:color w:val="auto"/>
                <w:lang w:val="en-US" w:eastAsia="zh-CN" w:bidi="ar"/>
              </w:rPr>
              <w:t>0.5</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3.9</w:t>
            </w:r>
            <w:r>
              <w:rPr>
                <w:rStyle w:val="29"/>
                <w:rFonts w:hAnsi="Times New Roman"/>
                <w:color w:val="auto"/>
                <w:lang w:val="en-US" w:eastAsia="zh-CN" w:bidi="ar"/>
              </w:rPr>
              <w:t>温度均一性：</w:t>
            </w:r>
            <w:r>
              <w:rPr>
                <w:rStyle w:val="30"/>
                <w:rFonts w:eastAsia="宋体"/>
                <w:color w:val="auto"/>
                <w:lang w:val="en-US" w:eastAsia="zh-CN" w:bidi="ar"/>
              </w:rPr>
              <w:t>0.5</w:t>
            </w:r>
            <w:r>
              <w:rPr>
                <w:rStyle w:val="29"/>
                <w:rFonts w:hAnsi="Times New Roman"/>
                <w:color w:val="auto"/>
                <w:lang w:val="en-US" w:eastAsia="zh-CN" w:bidi="ar"/>
              </w:rPr>
              <w:t>℃；</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highlight w:val="none"/>
                <w:u w:val="none"/>
              </w:rPr>
            </w:pP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Style w:val="30"/>
                <w:rFonts w:eastAsia="宋体"/>
                <w:color w:val="auto"/>
                <w:highlight w:val="none"/>
                <w:lang w:val="en-US" w:eastAsia="zh-CN" w:bidi="ar"/>
              </w:rPr>
              <w:t>3.10</w:t>
            </w:r>
            <w:r>
              <w:rPr>
                <w:rStyle w:val="29"/>
                <w:rFonts w:hAnsi="Times New Roman"/>
                <w:color w:val="auto"/>
                <w:highlight w:val="none"/>
                <w:lang w:val="en-US" w:eastAsia="zh-CN" w:bidi="ar"/>
              </w:rPr>
              <w:t>可存储</w:t>
            </w:r>
            <w:r>
              <w:rPr>
                <w:rStyle w:val="30"/>
                <w:rFonts w:eastAsia="宋体"/>
                <w:color w:val="auto"/>
                <w:highlight w:val="none"/>
                <w:lang w:val="en-US" w:eastAsia="zh-CN" w:bidi="ar"/>
              </w:rPr>
              <w:t>500</w:t>
            </w:r>
            <w:r>
              <w:rPr>
                <w:rStyle w:val="29"/>
                <w:rFonts w:hAnsi="Times New Roman"/>
                <w:color w:val="auto"/>
                <w:highlight w:val="none"/>
                <w:lang w:val="en-US" w:eastAsia="zh-CN" w:bidi="ar"/>
              </w:rPr>
              <w:t>个用户程序；接口：</w:t>
            </w:r>
            <w:r>
              <w:rPr>
                <w:rStyle w:val="30"/>
                <w:rFonts w:eastAsia="宋体"/>
                <w:color w:val="auto"/>
                <w:highlight w:val="none"/>
                <w:lang w:val="en-US" w:eastAsia="zh-CN" w:bidi="ar"/>
              </w:rPr>
              <w:t>1</w:t>
            </w:r>
            <w:r>
              <w:rPr>
                <w:rStyle w:val="29"/>
                <w:rFonts w:hAnsi="Times New Roman"/>
                <w:color w:val="auto"/>
                <w:highlight w:val="none"/>
                <w:lang w:val="en-US" w:eastAsia="zh-CN" w:bidi="ar"/>
              </w:rPr>
              <w:t>个</w:t>
            </w:r>
            <w:r>
              <w:rPr>
                <w:rStyle w:val="30"/>
                <w:rFonts w:eastAsia="宋体"/>
                <w:color w:val="auto"/>
                <w:highlight w:val="none"/>
                <w:lang w:val="en-US" w:eastAsia="zh-CN" w:bidi="ar"/>
              </w:rPr>
              <w:t>USB</w:t>
            </w:r>
            <w:r>
              <w:rPr>
                <w:rStyle w:val="29"/>
                <w:rFonts w:hAnsi="Times New Roman"/>
                <w:color w:val="auto"/>
                <w:highlight w:val="none"/>
                <w:lang w:val="en-US" w:eastAsia="zh-CN" w:bidi="ar"/>
              </w:rPr>
              <w:t>，可接鼠标操作，方便操作。</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highlight w:val="none"/>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7"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1"/>
                <w:szCs w:val="21"/>
                <w:u w:val="none"/>
              </w:rPr>
            </w:pPr>
            <w:r>
              <w:rPr>
                <w:rStyle w:val="30"/>
                <w:rFonts w:eastAsia="宋体"/>
                <w:color w:val="auto"/>
                <w:lang w:val="en-US" w:eastAsia="zh-CN" w:bidi="ar"/>
              </w:rPr>
              <w:t>4</w:t>
            </w:r>
            <w:r>
              <w:rPr>
                <w:rStyle w:val="29"/>
                <w:rFonts w:hAnsi="Times New Roman"/>
                <w:color w:val="auto"/>
                <w:lang w:val="en-US" w:eastAsia="zh-CN" w:bidi="ar"/>
              </w:rPr>
              <w:t>质量保证期：设备安装调试经用户验收合格起，质量保证期</w:t>
            </w:r>
            <w:r>
              <w:rPr>
                <w:rStyle w:val="30"/>
                <w:rFonts w:eastAsia="宋体"/>
                <w:color w:val="auto"/>
                <w:lang w:val="en-US" w:eastAsia="zh-CN" w:bidi="ar"/>
              </w:rPr>
              <w:t>1</w:t>
            </w:r>
            <w:r>
              <w:rPr>
                <w:rStyle w:val="29"/>
                <w:rFonts w:hAnsi="Times New Roman"/>
                <w:color w:val="auto"/>
                <w:lang w:val="en-US" w:eastAsia="zh-CN" w:bidi="ar"/>
              </w:rPr>
              <w:t>年。</w:t>
            </w: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17</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制冰机</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1.制冰量 (kg/24h)：40</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color w:val="auto"/>
                <w:lang w:val="en-US" w:eastAsia="zh-CN" w:bidi="ar"/>
              </w:rPr>
            </w:pPr>
            <w:r>
              <w:rPr>
                <w:rStyle w:val="29"/>
                <w:rFonts w:hint="eastAsia" w:hAnsi="Times New Roman"/>
                <w:color w:val="auto"/>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color w:val="auto"/>
                <w:lang w:val="en-US" w:eastAsia="zh-CN" w:bidi="ar"/>
              </w:rPr>
            </w:pPr>
            <w:r>
              <w:rPr>
                <w:rStyle w:val="29"/>
                <w:rFonts w:hint="eastAsia" w:hAnsi="Times New Roman"/>
                <w:color w:val="auto"/>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2.储冰量 (kg)：15</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3.冷凝方式：风冷</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4.耗水量(L/H)：≤1.6</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5.压缩机/制冷剂：无氟/R134a</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6.箱体外壳：不锈钢</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2"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7.输入功率(w)：280</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8.毛 重(Kg)：45</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6"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9.冰型：不规则的细小颗粒状的雪花碎冰</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18</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台式</w:t>
            </w:r>
            <w:r>
              <w:rPr>
                <w:rStyle w:val="29"/>
                <w:rFonts w:hint="eastAsia" w:hAnsi="Times New Roman"/>
                <w:color w:val="auto"/>
                <w:lang w:val="en-US" w:eastAsia="zh-CN" w:bidi="ar"/>
              </w:rPr>
              <w:t>低速离心机</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技术参数：</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电源：220V 50HZ</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2.</w:t>
            </w:r>
            <w:r>
              <w:rPr>
                <w:rStyle w:val="29"/>
                <w:rFonts w:hint="eastAsia" w:hAnsi="Times New Roman"/>
                <w:color w:val="auto"/>
                <w:lang w:val="en-US" w:eastAsia="zh-CN" w:bidi="ar"/>
              </w:rPr>
              <w:t>电机</w:t>
            </w:r>
            <w:r>
              <w:rPr>
                <w:rStyle w:val="29"/>
                <w:rFonts w:hint="default" w:hAnsi="Times New Roman"/>
                <w:color w:val="auto"/>
                <w:lang w:val="en-US" w:eastAsia="zh-CN" w:bidi="ar"/>
              </w:rPr>
              <w:t>:</w:t>
            </w:r>
            <w:r>
              <w:rPr>
                <w:rStyle w:val="29"/>
                <w:rFonts w:hint="eastAsia" w:hAnsi="Times New Roman"/>
                <w:color w:val="auto"/>
                <w:lang w:val="en-US" w:eastAsia="zh-CN" w:bidi="ar"/>
              </w:rPr>
              <w:t>直流无刷 60W</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3.</w:t>
            </w:r>
            <w:r>
              <w:rPr>
                <w:rStyle w:val="29"/>
                <w:rFonts w:hint="eastAsia" w:hAnsi="Times New Roman"/>
                <w:color w:val="auto"/>
                <w:lang w:val="en-US" w:eastAsia="zh-CN" w:bidi="ar"/>
              </w:rPr>
              <w:t>离心力</w:t>
            </w:r>
            <w:r>
              <w:rPr>
                <w:rStyle w:val="29"/>
                <w:rFonts w:hint="default" w:hAnsi="Times New Roman"/>
                <w:color w:val="auto"/>
                <w:lang w:val="en-US" w:eastAsia="zh-CN" w:bidi="ar"/>
              </w:rPr>
              <w:t>:</w:t>
            </w:r>
            <w:r>
              <w:rPr>
                <w:rStyle w:val="29"/>
                <w:rFonts w:hint="eastAsia" w:hAnsi="Times New Roman"/>
                <w:color w:val="auto"/>
                <w:lang w:val="en-US" w:eastAsia="zh-CN" w:bidi="ar"/>
              </w:rPr>
              <w:t>2150XG</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4.</w:t>
            </w:r>
            <w:r>
              <w:rPr>
                <w:rStyle w:val="29"/>
                <w:rFonts w:hint="eastAsia" w:hAnsi="Times New Roman"/>
                <w:color w:val="auto"/>
                <w:lang w:val="en-US" w:eastAsia="zh-CN" w:bidi="ar"/>
              </w:rPr>
              <w:t>转速范围</w:t>
            </w:r>
            <w:r>
              <w:rPr>
                <w:rStyle w:val="29"/>
                <w:rFonts w:hint="default" w:hAnsi="Times New Roman"/>
                <w:color w:val="auto"/>
                <w:lang w:val="en-US" w:eastAsia="zh-CN" w:bidi="ar"/>
              </w:rPr>
              <w:t>:</w:t>
            </w:r>
            <w:r>
              <w:rPr>
                <w:rStyle w:val="29"/>
                <w:rFonts w:hint="eastAsia" w:hAnsi="Times New Roman"/>
                <w:color w:val="auto"/>
                <w:lang w:val="en-US" w:eastAsia="zh-CN" w:bidi="ar"/>
              </w:rPr>
              <w:t>启动-4000R/min</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5.定时范围:1～99min</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6.</w:t>
            </w:r>
            <w:r>
              <w:rPr>
                <w:rStyle w:val="29"/>
                <w:rFonts w:hint="eastAsia" w:hAnsi="Times New Roman"/>
                <w:color w:val="auto"/>
                <w:lang w:val="en-US" w:eastAsia="zh-CN" w:bidi="ar"/>
              </w:rPr>
              <w:t>外形尺寸</w:t>
            </w:r>
            <w:r>
              <w:rPr>
                <w:rStyle w:val="29"/>
                <w:rFonts w:hint="default" w:hAnsi="Times New Roman"/>
                <w:color w:val="auto"/>
                <w:lang w:val="en-US" w:eastAsia="zh-CN" w:bidi="ar"/>
              </w:rPr>
              <w:t>:</w:t>
            </w:r>
            <w:r>
              <w:rPr>
                <w:rStyle w:val="29"/>
                <w:rFonts w:hint="eastAsia" w:hAnsi="Times New Roman"/>
                <w:color w:val="auto"/>
                <w:lang w:val="en-US" w:eastAsia="zh-CN" w:bidi="ar"/>
              </w:rPr>
              <w:t>320*270*215mm</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7.安全保护:漏电.短路.超温.电机过热.过电流保护</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8.</w:t>
            </w:r>
            <w:r>
              <w:rPr>
                <w:rStyle w:val="29"/>
                <w:rFonts w:hint="eastAsia" w:hAnsi="Times New Roman"/>
                <w:color w:val="auto"/>
                <w:lang w:val="en-US" w:eastAsia="zh-CN" w:bidi="ar"/>
              </w:rPr>
              <w:t>转速精度</w:t>
            </w:r>
            <w:r>
              <w:rPr>
                <w:rStyle w:val="29"/>
                <w:rFonts w:hint="default" w:hAnsi="Times New Roman"/>
                <w:color w:val="auto"/>
                <w:lang w:val="en-US" w:eastAsia="zh-CN" w:bidi="ar"/>
              </w:rPr>
              <w:t>:</w:t>
            </w:r>
            <w:r>
              <w:rPr>
                <w:rStyle w:val="29"/>
                <w:rFonts w:hint="eastAsia" w:hAnsi="Times New Roman"/>
                <w:color w:val="auto"/>
                <w:lang w:val="en-US" w:eastAsia="zh-CN" w:bidi="ar"/>
              </w:rPr>
              <w:t>220V/50HZ</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9.</w:t>
            </w:r>
            <w:r>
              <w:rPr>
                <w:rStyle w:val="29"/>
                <w:rFonts w:hint="eastAsia" w:hAnsi="Times New Roman"/>
                <w:color w:val="auto"/>
                <w:lang w:val="en-US" w:eastAsia="zh-CN" w:bidi="ar"/>
              </w:rPr>
              <w:t>转子容量</w:t>
            </w:r>
            <w:r>
              <w:rPr>
                <w:rStyle w:val="29"/>
                <w:rFonts w:hint="default" w:hAnsi="Times New Roman"/>
                <w:color w:val="auto"/>
                <w:lang w:val="en-US" w:eastAsia="zh-CN" w:bidi="ar"/>
              </w:rPr>
              <w:t>:</w:t>
            </w:r>
            <w:r>
              <w:rPr>
                <w:rStyle w:val="29"/>
                <w:rFonts w:hint="eastAsia" w:hAnsi="Times New Roman"/>
                <w:color w:val="auto"/>
                <w:lang w:val="en-US" w:eastAsia="zh-CN" w:bidi="ar"/>
              </w:rPr>
              <w:t>12孔*5ml</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10.</w:t>
            </w:r>
            <w:r>
              <w:rPr>
                <w:rStyle w:val="29"/>
                <w:rFonts w:hint="eastAsia" w:hAnsi="Times New Roman"/>
                <w:color w:val="auto"/>
                <w:lang w:val="en-US" w:eastAsia="zh-CN" w:bidi="ar"/>
              </w:rPr>
              <w:t>重量</w:t>
            </w:r>
            <w:r>
              <w:rPr>
                <w:rStyle w:val="29"/>
                <w:rFonts w:hint="default" w:hAnsi="Times New Roman"/>
                <w:color w:val="auto"/>
                <w:lang w:val="en-US" w:eastAsia="zh-CN" w:bidi="ar"/>
              </w:rPr>
              <w:t>：</w:t>
            </w:r>
            <w:r>
              <w:rPr>
                <w:rStyle w:val="29"/>
                <w:rFonts w:hint="eastAsia" w:hAnsi="Times New Roman"/>
                <w:color w:val="auto"/>
                <w:lang w:val="en-US" w:eastAsia="zh-CN" w:bidi="ar"/>
              </w:rPr>
              <w:t>8KG</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19</w:t>
            </w:r>
          </w:p>
        </w:tc>
        <w:tc>
          <w:tcPr>
            <w:tcW w:w="560"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高速冷冻离心机</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技术参数：</w:t>
            </w:r>
          </w:p>
        </w:tc>
        <w:tc>
          <w:tcPr>
            <w:tcW w:w="235"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p>
        </w:tc>
        <w:tc>
          <w:tcPr>
            <w:tcW w:w="191"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台</w:t>
            </w:r>
          </w:p>
        </w:tc>
        <w:tc>
          <w:tcPr>
            <w:tcW w:w="33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1.控制精度：转数可从200rpm开始设定到最高转数，以10rpm递增；</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2.转子最大容量4x250ml；</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3.温度范围: -9~40℃；最高转速时温度可保持在&lt;4℃</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4.自动搜索转子特异性数据，因而其转子自动识别功能可防止超速离心，符合当前所有安全标准地失衡停机功能；</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5</w:t>
            </w:r>
            <w:r>
              <w:rPr>
                <w:rStyle w:val="29"/>
                <w:rFonts w:hint="default" w:hAnsi="Times New Roman"/>
                <w:color w:val="auto"/>
                <w:lang w:val="en-US" w:eastAsia="zh-CN" w:bidi="ar"/>
              </w:rPr>
              <w:t>.控制面板由大的液晶显示屏和便于清洁的轻触式按键共同构成，并自动显示目前安装的转子最后使用过的程序；</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6</w:t>
            </w:r>
            <w:r>
              <w:rPr>
                <w:rStyle w:val="29"/>
                <w:rFonts w:hint="default" w:hAnsi="Times New Roman"/>
                <w:color w:val="auto"/>
                <w:lang w:val="en-US" w:eastAsia="zh-CN" w:bidi="ar"/>
              </w:rPr>
              <w:t>.马达驱动门自动锁使运行更安全；</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7</w:t>
            </w:r>
            <w:r>
              <w:rPr>
                <w:rStyle w:val="29"/>
                <w:rFonts w:hint="default" w:hAnsi="Times New Roman"/>
                <w:color w:val="auto"/>
                <w:lang w:val="en-US" w:eastAsia="zh-CN" w:bidi="ar"/>
              </w:rPr>
              <w:t>.独特的机身高度设计，因此操作起来十分舒适；</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8</w:t>
            </w:r>
            <w:r>
              <w:rPr>
                <w:rStyle w:val="29"/>
                <w:rFonts w:hint="default" w:hAnsi="Times New Roman"/>
                <w:color w:val="auto"/>
                <w:lang w:val="en-US" w:eastAsia="zh-CN" w:bidi="ar"/>
              </w:rPr>
              <w:t>.微机控制可编程序；可在运行的过程中改变各种设定的参数；</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eastAsia" w:hAnsi="Times New Roman"/>
                <w:color w:val="auto"/>
                <w:lang w:val="en-US" w:eastAsia="zh-CN" w:bidi="ar"/>
              </w:rPr>
              <w:t>9</w:t>
            </w:r>
            <w:r>
              <w:rPr>
                <w:rStyle w:val="29"/>
                <w:rFonts w:hint="default" w:hAnsi="Times New Roman"/>
                <w:color w:val="auto"/>
                <w:lang w:val="en-US" w:eastAsia="zh-CN" w:bidi="ar"/>
              </w:rPr>
              <w:t>.10种加.减速率保证样品安全，优化发动机来减少离心机启动和刹车时间，可以使所有转子的刹车时间都低于1分钟；</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8"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0</w:t>
            </w:r>
            <w:r>
              <w:rPr>
                <w:rStyle w:val="29"/>
                <w:rFonts w:hint="default" w:hAnsi="Times New Roman"/>
                <w:color w:val="auto"/>
                <w:lang w:val="en-US" w:eastAsia="zh-CN" w:bidi="ar"/>
              </w:rPr>
              <w:t>.快速控温功能，确保离心前后.甚至是在最高转速时，都能够可靠地对敏感样品进行制冷；</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1</w:t>
            </w:r>
            <w:r>
              <w:rPr>
                <w:rStyle w:val="29"/>
                <w:rFonts w:hint="default" w:hAnsi="Times New Roman"/>
                <w:color w:val="auto"/>
                <w:lang w:val="en-US" w:eastAsia="zh-CN" w:bidi="ar"/>
              </w:rPr>
              <w:t>.可选择速度的短时离心功能,可以快速完成瞬时离心；</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2</w:t>
            </w:r>
            <w:r>
              <w:rPr>
                <w:rStyle w:val="29"/>
                <w:rFonts w:hint="default" w:hAnsi="Times New Roman"/>
                <w:color w:val="auto"/>
                <w:lang w:val="en-US" w:eastAsia="zh-CN" w:bidi="ar"/>
              </w:rPr>
              <w:t>.缩短启动与刹车时间的功能；</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3</w:t>
            </w:r>
            <w:r>
              <w:rPr>
                <w:rStyle w:val="29"/>
                <w:rFonts w:hint="default" w:hAnsi="Times New Roman"/>
                <w:color w:val="auto"/>
                <w:lang w:val="en-US" w:eastAsia="zh-CN" w:bidi="ar"/>
              </w:rPr>
              <w:t>.定速计时功能，当离心机达到设定速度时才开始倒数计时，从而提高了不同离心机严格按照操作规程的可比性；</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4</w:t>
            </w:r>
            <w:r>
              <w:rPr>
                <w:rStyle w:val="29"/>
                <w:rFonts w:hint="default" w:hAnsi="Times New Roman"/>
                <w:color w:val="auto"/>
                <w:lang w:val="en-US" w:eastAsia="zh-CN" w:bidi="ar"/>
              </w:rPr>
              <w:t>.转速.相对离心力和半径修正值可有用户输入；</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5"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5</w:t>
            </w:r>
            <w:r>
              <w:rPr>
                <w:rStyle w:val="29"/>
                <w:rFonts w:hint="default" w:hAnsi="Times New Roman"/>
                <w:color w:val="auto"/>
                <w:lang w:val="en-US" w:eastAsia="zh-CN" w:bidi="ar"/>
              </w:rPr>
              <w:t>.离心结束时的提示音可以根据客户的需要而予以消除；</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6</w:t>
            </w:r>
            <w:r>
              <w:rPr>
                <w:rStyle w:val="29"/>
                <w:rFonts w:hint="default" w:hAnsi="Times New Roman"/>
                <w:color w:val="auto"/>
                <w:lang w:val="en-US" w:eastAsia="zh-CN" w:bidi="ar"/>
              </w:rPr>
              <w:t>.所有的转子和附件均可高压灭菌(121°C，20分钟)，气密性转子和转子盖可在140°C高压灭菌2小时去除阮病毒；</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1"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7</w:t>
            </w:r>
            <w:r>
              <w:rPr>
                <w:rStyle w:val="29"/>
                <w:rFonts w:hint="default" w:hAnsi="Times New Roman"/>
                <w:color w:val="auto"/>
                <w:lang w:val="en-US" w:eastAsia="zh-CN" w:bidi="ar"/>
              </w:rPr>
              <w:t>.符合最严格IEC1010-2-020安全标准，保证离心操作高度安全，适用于P3实验室；</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76"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560"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184" w:type="pct"/>
            <w:vMerge w:val="restar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r>
              <w:rPr>
                <w:rStyle w:val="29"/>
                <w:rFonts w:hint="default" w:hAnsi="Times New Roman"/>
                <w:color w:val="auto"/>
                <w:lang w:val="en-US" w:eastAsia="zh-CN" w:bidi="ar"/>
              </w:rPr>
              <w:t>1</w:t>
            </w:r>
            <w:r>
              <w:rPr>
                <w:rStyle w:val="29"/>
                <w:rFonts w:hint="eastAsia" w:hAnsi="Times New Roman"/>
                <w:color w:val="auto"/>
                <w:lang w:val="en-US" w:eastAsia="zh-CN" w:bidi="ar"/>
              </w:rPr>
              <w:t>8</w:t>
            </w:r>
            <w:r>
              <w:rPr>
                <w:rStyle w:val="29"/>
                <w:rFonts w:hint="default" w:hAnsi="Times New Roman"/>
                <w:color w:val="auto"/>
                <w:lang w:val="en-US" w:eastAsia="zh-CN" w:bidi="ar"/>
              </w:rPr>
              <w:t>.配置要求：主机一台；角转子30*1.5/2.0mL一个，离心机转速14,000rpm</w:t>
            </w:r>
          </w:p>
        </w:tc>
        <w:tc>
          <w:tcPr>
            <w:tcW w:w="235"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191" w:type="pct"/>
            <w:vMerge w:val="continue"/>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3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c>
          <w:tcPr>
            <w:tcW w:w="320" w:type="pct"/>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color w:val="auto"/>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76"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560"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184"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i w:val="0"/>
                <w:iCs w:val="0"/>
                <w:color w:val="auto"/>
                <w:sz w:val="21"/>
                <w:szCs w:val="21"/>
                <w:u w:val="none"/>
              </w:rPr>
            </w:pPr>
          </w:p>
        </w:tc>
        <w:tc>
          <w:tcPr>
            <w:tcW w:w="235"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191" w:type="pct"/>
            <w:vMerge w:val="continue"/>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仿宋_GB2312" w:hAnsi="宋体" w:eastAsia="仿宋_GB2312" w:cs="仿宋_GB2312"/>
                <w:i w:val="0"/>
                <w:iCs w:val="0"/>
                <w:color w:val="auto"/>
                <w:sz w:val="21"/>
                <w:szCs w:val="21"/>
                <w:u w:val="none"/>
              </w:rPr>
            </w:pPr>
          </w:p>
        </w:tc>
        <w:tc>
          <w:tcPr>
            <w:tcW w:w="33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c>
          <w:tcPr>
            <w:tcW w:w="320" w:type="pct"/>
            <w:vMerge w:val="continue"/>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6"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632" w:firstLineChars="300"/>
              <w:jc w:val="left"/>
              <w:textAlignment w:val="center"/>
              <w:rPr>
                <w:rStyle w:val="29"/>
                <w:rFonts w:hint="eastAsia" w:hAnsi="Times New Roman"/>
                <w:b/>
                <w:bCs/>
                <w:color w:val="auto"/>
                <w:kern w:val="2"/>
                <w:lang w:val="en-US" w:eastAsia="zh-CN" w:bidi="ar"/>
              </w:rPr>
            </w:pPr>
            <w:r>
              <w:rPr>
                <w:rStyle w:val="29"/>
                <w:rFonts w:hint="eastAsia" w:hAnsi="Times New Roman"/>
                <w:b/>
                <w:bCs/>
                <w:color w:val="auto"/>
                <w:kern w:val="2"/>
                <w:lang w:val="en-US" w:eastAsia="zh-CN" w:bidi="ar"/>
              </w:rPr>
              <w:t>小计</w:t>
            </w:r>
          </w:p>
        </w:tc>
        <w:tc>
          <w:tcPr>
            <w:tcW w:w="4263" w:type="pct"/>
            <w:gridSpan w:val="5"/>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bCs/>
                <w:color w:val="auto"/>
                <w:kern w:val="2"/>
                <w:lang w:val="en-US" w:eastAsia="zh-CN" w:bidi="ar"/>
              </w:rPr>
            </w:pPr>
            <w:r>
              <w:rPr>
                <w:rStyle w:val="29"/>
                <w:rFonts w:hint="eastAsia" w:hAnsi="Times New Roman"/>
                <w:b/>
                <w:bCs/>
                <w:color w:val="auto"/>
                <w:kern w:val="2"/>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6"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632" w:firstLineChars="300"/>
              <w:jc w:val="left"/>
              <w:textAlignment w:val="center"/>
              <w:rPr>
                <w:rStyle w:val="29"/>
                <w:rFonts w:hint="eastAsia" w:hAnsi="Times New Roman"/>
                <w:b w:val="0"/>
                <w:bCs w:val="0"/>
                <w:color w:val="auto"/>
                <w:kern w:val="2"/>
                <w:lang w:val="en-US" w:eastAsia="zh-CN" w:bidi="ar"/>
              </w:rPr>
            </w:pPr>
            <w:r>
              <w:rPr>
                <w:rStyle w:val="29"/>
                <w:rFonts w:hint="eastAsia" w:hAnsi="Times New Roman"/>
                <w:b/>
                <w:bCs/>
                <w:color w:val="auto"/>
                <w:kern w:val="2"/>
                <w:lang w:val="en-US" w:eastAsia="zh-CN" w:bidi="ar"/>
              </w:rPr>
              <w:t>二</w:t>
            </w:r>
          </w:p>
        </w:tc>
        <w:tc>
          <w:tcPr>
            <w:tcW w:w="4263" w:type="pct"/>
            <w:gridSpan w:val="5"/>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bCs/>
                <w:color w:val="auto"/>
                <w:kern w:val="2"/>
                <w:lang w:val="en-US" w:eastAsia="zh-CN" w:bidi="ar"/>
              </w:rPr>
            </w:pPr>
            <w:r>
              <w:rPr>
                <w:rStyle w:val="29"/>
                <w:rFonts w:hint="eastAsia" w:hAnsi="Times New Roman"/>
                <w:b/>
                <w:bCs/>
                <w:color w:val="auto"/>
                <w:kern w:val="2"/>
                <w:lang w:val="en-US" w:eastAsia="zh-CN" w:bidi="ar"/>
              </w:rPr>
              <w:t>花艺实训室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20</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讲台</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1、讲台钢木构造，木质扶手及台面，钢制材质；带办公椅子。</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2、2000*800*800mm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（1）框架结构，框架采用60mm*40mm方钢焊接双层，壁厚不小于1.5mm；桌面于下层间隔350mm，壁厚不小于1.2mm；底部配置活动轮可自由移动定位。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（2）台面材质：实木，优质纤维板，胡桃木贴面环保油漆。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3、计算机2台，INTEL I5/ Intel H110/1*8G DDR4 2133/R5 340 1G D5 64  256G固态/集成网卡/光驱/防水抗菌键盘/ USB光电鼠标/WIN7 HOME BASIC/顶置电源开关/20L机箱/教育应用功能（可实现网络同传，排序同传，增量同传，断电断点续传及USB口管理功能/出厂预装同品牌远程管理软件(能够实现USB端口的有效管理、可以及时更新操作系统、安全补丁及业务系统的安装或升级、能够实现远程关机、重启，提供高效的远程维护、能够配置网络带宽、流量、能够对软/硬件资产进行统计，监控软/硬件变更，并可报警、能够提供完善的报表和系统日志三年保及上门/门到桌安装验机服务/原厂400/800售后电话，第2自然日上门服务21.5WLED</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4、打印机1台，打印、复印、扫描、传真一体机，黑白激光，A4幅画。分辨率黑白（最佳）：高达 600 x 600 dpi；黑白（正常模式）：高达 600 x 600 dpi。扫描分辨率硬件：高达 300 x 300 dpi（彩色和黑白，ADF）；高达 600 x 600 dpi（彩色，平板式）；高达 1200 x 1200 dpi（黑白，平板式）。支持传真自动缩小：是；自动重拨：有；传真延迟发送：有；支持特色响铃检测：是；支持传真转发：是；支持垃圾传真屏蔽：是；快速拨号最大数量：最多 120 个号码（119 个组拨）； 支持台式电脑接口：是。Windows 8.1（32 和 64 位）、Windows 8（32 和 64 位）、Windows 7（32 和 64 位）、Windows Vista（32 和 64 位）、Windows XP（32 位）（SP2 或更高版本）等，</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所有设备包安装和调试。</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套</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21</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65英寸触控一体机</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65英寸红外触控一体机，为课堂提供分组讨论显示环境，配合课堂互动系统，更可发挥其多屏协作教学、屏幕共享、小组讨论、操作示范等功能。包安装和调试。</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台</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22</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移动支架</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触控一体机支架，高1m（适合40寸~100寸大屏/电视）。</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台</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23</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OPS主机</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触控一体机PC模块，可替代授课电脑，可与触控一体机配合使用，触控一体机作为显示及触控交互输出。性能参数：CPU I5 4430、内存4G、固态硬盘128G。</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台</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24</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显示器</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21.5寸LED显示器</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台</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25</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无键盘键鼠</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无线</w:t>
            </w:r>
            <w:r>
              <w:rPr>
                <w:rStyle w:val="29"/>
                <w:rFonts w:hint="default" w:hAnsi="Times New Roman"/>
                <w:b w:val="0"/>
                <w:bCs w:val="0"/>
                <w:color w:val="auto"/>
                <w:kern w:val="2"/>
                <w:lang w:val="en-US" w:eastAsia="zh-CN" w:bidi="ar"/>
              </w:rPr>
              <w:t>光电键盘鼠标</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套</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26</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网线</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超六类国标纯铜网线</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根</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27</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电源线缆</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4平方纯铜三项电缆</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50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米</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28</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水晶头</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超六类网络水晶头</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6</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29</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配件线材</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项目部署实施配套的相关配件、线材，根据项目实际情况确定配套内容和梳理，主要包括（供参考）：</w:t>
            </w:r>
            <w:r>
              <w:rPr>
                <w:rStyle w:val="29"/>
                <w:rFonts w:hint="eastAsia" w:hAnsi="Times New Roman"/>
                <w:b w:val="0"/>
                <w:bCs w:val="0"/>
                <w:color w:val="auto"/>
                <w:kern w:val="2"/>
                <w:lang w:val="en-US" w:eastAsia="zh-CN" w:bidi="ar"/>
              </w:rPr>
              <w:br w:type="textWrapping"/>
            </w:r>
            <w:r>
              <w:rPr>
                <w:rStyle w:val="29"/>
                <w:rFonts w:hint="eastAsia" w:hAnsi="Times New Roman"/>
                <w:b w:val="0"/>
                <w:bCs w:val="0"/>
                <w:color w:val="auto"/>
                <w:kern w:val="2"/>
                <w:lang w:val="en-US" w:eastAsia="zh-CN" w:bidi="ar"/>
              </w:rPr>
              <w:t>HDMI线、USB触摸线、免焊串口接头、免焊莲花头、免焊3.5mm接头、3.5mm音频滤波器、成品网线等。包安装和调试。</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套</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30</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教室文化建设</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PVC板、亚克力，1公分PVC、UV喷图、雕刻、设计、安装施工</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31</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门</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钛镁合金断桥隔热门、边框钛镁合金、双层钢化中空玻璃、安装施工</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32</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水电布置</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1个水槽，边台供水、排水管道布设到位，通水、排水顺畅。PVC上水管，60米。墙边电源各8组，总计16组。</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33</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背景轴</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4轴拍照背景轴，长度：2000-1500mm，根据用户现场要求再确定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电动升降        4轴       用于作品拍摄</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34</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幕布</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2m*3m，4块，加厚加绒，不同颜色，用于作品拍摄</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块</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35</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射灯</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Led等，白光，强光,  用于作品拍摄</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36</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桌布</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香槟色，1.6*2.2m，长方形方桌布</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30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块</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37</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工作台</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1800*600*800mm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（1）框架结构，框架采用60mm*40mm方钢焊接双层，壁厚不小于1.5mm；桌面于下层间隔350mm，壁厚不小于1.2mm；底部配置活动轮可自由移动定位。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（2）台面材质：厚度为12.7理化板，具备较强的耐酸碱性能、耐高温、抗变形、易清洁等特点。台面颜色为白色。</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所有设备包安装和调试。</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38</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阶梯式展示台</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1000*600*800mm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框架活动柜结构，框架采用60mm*40mm方钢焊接，壁厚不小于1.5mm；钢架须配置活动轮，方便钢架移动。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highlight w:val="none"/>
                <w:lang w:val="en-US" w:eastAsia="zh-CN" w:bidi="ar"/>
              </w:rPr>
            </w:pPr>
            <w:r>
              <w:rPr>
                <w:rStyle w:val="29"/>
                <w:rFonts w:hint="eastAsia" w:hAnsi="Times New Roman"/>
                <w:b w:val="0"/>
                <w:bCs w:val="0"/>
                <w:color w:val="auto"/>
                <w:kern w:val="2"/>
                <w:highlight w:val="none"/>
                <w:lang w:val="en-US" w:eastAsia="zh-CN" w:bidi="ar"/>
              </w:rPr>
              <w:t>台面材质：厚度为12.7理化板，具备较强的耐酸碱性能、耐高温、抗变形、易清洁等特点。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highlight w:val="none"/>
                <w:lang w:val="en-US" w:eastAsia="zh-CN" w:bidi="ar"/>
              </w:rPr>
            </w:pPr>
            <w:r>
              <w:rPr>
                <w:rStyle w:val="29"/>
                <w:rFonts w:hint="eastAsia" w:hAnsi="Times New Roman"/>
                <w:b w:val="0"/>
                <w:bCs w:val="0"/>
                <w:color w:val="auto"/>
                <w:kern w:val="2"/>
                <w:highlight w:val="none"/>
                <w:lang w:val="en-US" w:eastAsia="zh-CN" w:bidi="ar"/>
              </w:rPr>
              <w:t>按照用户要求配置活动柜，所有柜体内置一块拆卸式搁板，搁板调节托架可根据需要自由调节高度。同型同尺寸的柜体，抽屉及门扇尺寸一致，其公差允许任意同型，同向柜体、抽屉及门扇彼此互换，且互换后不会产生闭合不全或不能关启的现象。柜门、抽屉拉手为钢制一体成型，面板均为双层结构，并且填充防火隔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所有设备包安装和调试</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台</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39</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储物展示柜</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7000*500*2600mm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实木多层全木结构，厚度18mmE0级多层实木板制作</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40</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储物展示柜</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7000*500*600mm</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实木多层全木结构，厚度18mmE0级多层实木板制作</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41</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实验柜</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900*450*1800mm全钢通玻，钢板1.0mm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42</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鲜花柜</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底置压缩机，加热除雾四开门鲜花专用保鲜柜。1880*710*2003mm，风冷制冷耐用，电脑温控，温度均匀准确，外层彩钢板，内层聚氨酯加密保温层。</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43</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重型货架</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3层，L*600*2000mm全钢</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7</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米</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44</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实验凳</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 xml:space="preserve">1、凳面：采用1.0MM厚优质冷轧钢板模压成型。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 xml:space="preserve">2、凳腿：采用25mm×25mm×1.5mm优质矩形钢管。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eastAsia" w:hAnsi="Times New Roman"/>
                <w:b w:val="0"/>
                <w:bCs w:val="0"/>
                <w:color w:val="auto"/>
                <w:kern w:val="2"/>
                <w:lang w:val="en-US" w:eastAsia="zh-CN" w:bidi="ar"/>
              </w:rPr>
            </w:pPr>
            <w:r>
              <w:rPr>
                <w:rStyle w:val="29"/>
                <w:rFonts w:hint="eastAsia" w:hAnsi="Times New Roman"/>
                <w:b w:val="0"/>
                <w:bCs w:val="0"/>
                <w:color w:val="auto"/>
                <w:kern w:val="2"/>
                <w:lang w:val="en-US" w:eastAsia="zh-CN" w:bidi="ar"/>
              </w:rPr>
              <w:t>3、脚套：采用优质工程聚丙防滑脚垫，自堵安装。</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Fonts w:hint="eastAsia" w:asciiTheme="minorEastAsia" w:hAnsiTheme="minorEastAsia" w:eastAsiaTheme="minorEastAsia" w:cstheme="minorEastAsia"/>
                <w:b w:val="0"/>
                <w:bCs w:val="0"/>
                <w:color w:val="auto"/>
                <w:kern w:val="0"/>
                <w:sz w:val="24"/>
                <w:szCs w:val="24"/>
                <w:lang w:val="en-US" w:eastAsia="zh-CN" w:bidi="ar-SA"/>
              </w:rPr>
              <w:t>★</w:t>
            </w:r>
            <w:r>
              <w:rPr>
                <w:rStyle w:val="29"/>
                <w:rFonts w:hint="eastAsia" w:hAnsi="Times New Roman"/>
                <w:b w:val="0"/>
                <w:bCs w:val="0"/>
                <w:color w:val="auto"/>
                <w:kern w:val="2"/>
                <w:highlight w:val="none"/>
                <w:lang w:val="en-US" w:eastAsia="zh-CN" w:bidi="ar"/>
              </w:rPr>
              <w:t>4、钢制件外表面处理工艺：全部采用除油、除锈、磷化、清洗、静电喷涂，钢制产品必须经过磷化处理，经磷化处理后钢制件上形成的磷化膜检验，必须符合GB6807中附录D要求，并在1min内不泛红为合格；喷塑理化性能：光泽度为65%；冲击强度≥4N·M；附着力不低于2级要求；喷涂厚度应≥50μm；耐腐蚀：样板表面涂饰耐化学试剂性试验应能经受温度为15-25℃，浸泡在浓度为3%的氯化钠溶液中，周期为100h的耐腐蚀试验。</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把</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45</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电源插板</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三项6插国标多功能电源插板</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5</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46</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挂式空调</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1.5匹，三级能效，壁挂式，自清洁，变频冷暖。</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47</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其它耗材及安装技术服务</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安装所需的金属线材，PVC线槽及其他辅材和安装人工费用</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批</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48</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碗</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黑色、圆形，窑变螺纹碗、∅25cm ，高9.5cm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49</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碗</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黑色、圆形，斗笠特大号碗、∅30cm ，高10cm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50</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水盘</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圆形，标准直立凹槽水盘、∅34cm ，高9cm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51</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剑山</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 5cm，圆形</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52</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剑山</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 6cm，圆形</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53</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沉木</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枯木、造景插花摆件</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54</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篮</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小号标准篮，总高约38cm，篮高约12cm，直径约34cm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55</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篮</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六角篮，总高约60cm，篮高约10cm，口径约14cm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56</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瓶</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深色窑变柳瓶，高约33cm，直径约16cm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57</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瓶</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窑变特大号柳瓶，高约36cm，直径约18cm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58</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瓶</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磨砂黑色，高约18.5cm，口径约22.5cm，直径约27.5cm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59</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缸</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窑变仿柴烧大号缸，高约21cm，直径约29cm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60</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缸</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挂釉小缸，高约14cm，口径约14.5cm，直径约21cm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61</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竹筒</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棕色双格竹筒，高约55-65cm，直径约8-10cm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62</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钻枪</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充电款</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w:t>
            </w:r>
          </w:p>
        </w:tc>
        <w:tc>
          <w:tcPr>
            <w:tcW w:w="191" w:type="pc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63</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热熔枪</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60w</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4</w:t>
            </w:r>
          </w:p>
        </w:tc>
        <w:tc>
          <w:tcPr>
            <w:tcW w:w="191" w:type="pc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64</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尖嘴钳</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101-226，偏心省力多功能斜咀钳(铬钒钢)，6*/100mm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w:t>
            </w:r>
          </w:p>
        </w:tc>
        <w:tc>
          <w:tcPr>
            <w:tcW w:w="191" w:type="pct"/>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个</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65</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花艺环保铁丝</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咖色/浅咖色，0.35Kg/卷</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20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卷</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66</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细铁丝</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绿色、直径0.8mm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捆</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67</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铝丝</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0.1mm，约5米/卷（银色）</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卷</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76"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auto"/>
                <w:sz w:val="21"/>
                <w:szCs w:val="21"/>
                <w:u w:val="none"/>
                <w:lang w:val="en-US" w:eastAsia="zh-CN"/>
              </w:rPr>
            </w:pPr>
            <w:r>
              <w:rPr>
                <w:rFonts w:hint="eastAsia" w:ascii="仿宋_GB2312" w:hAnsi="宋体" w:eastAsia="仿宋_GB2312" w:cs="仿宋_GB2312"/>
                <w:i w:val="0"/>
                <w:iCs w:val="0"/>
                <w:color w:val="auto"/>
                <w:sz w:val="21"/>
                <w:szCs w:val="21"/>
                <w:u w:val="none"/>
                <w:lang w:val="en-US" w:eastAsia="zh-CN"/>
              </w:rPr>
              <w:t>68</w:t>
            </w:r>
          </w:p>
        </w:tc>
        <w:tc>
          <w:tcPr>
            <w:tcW w:w="56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铜丝</w:t>
            </w:r>
          </w:p>
        </w:tc>
        <w:tc>
          <w:tcPr>
            <w:tcW w:w="3184"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黄色、红色、0.4mm</w:t>
            </w:r>
          </w:p>
        </w:tc>
        <w:tc>
          <w:tcPr>
            <w:tcW w:w="235"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10</w:t>
            </w:r>
          </w:p>
        </w:tc>
        <w:tc>
          <w:tcPr>
            <w:tcW w:w="191"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r>
              <w:rPr>
                <w:rStyle w:val="29"/>
                <w:rFonts w:hint="eastAsia" w:hAnsi="Times New Roman"/>
                <w:b w:val="0"/>
                <w:bCs w:val="0"/>
                <w:color w:val="auto"/>
                <w:kern w:val="2"/>
                <w:lang w:val="en-US" w:eastAsia="zh-CN" w:bidi="ar"/>
              </w:rPr>
              <w:t>卷</w:t>
            </w:r>
          </w:p>
        </w:tc>
        <w:tc>
          <w:tcPr>
            <w:tcW w:w="330" w:type="pct"/>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c>
          <w:tcPr>
            <w:tcW w:w="32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29"/>
                <w:rFonts w:hint="default" w:hAnsi="Times New Roman"/>
                <w:b w:val="0"/>
                <w:bCs w:val="0"/>
                <w:color w:val="auto"/>
                <w:kern w:val="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36" w:type="pct"/>
            <w:gridSpan w:val="2"/>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仿宋_GB2312" w:hAnsi="宋体" w:eastAsia="仿宋_GB2312" w:cs="仿宋_GB2312"/>
                <w:b/>
                <w:bCs/>
                <w:i w:val="0"/>
                <w:iCs w:val="0"/>
                <w:color w:val="auto"/>
                <w:kern w:val="0"/>
                <w:sz w:val="21"/>
                <w:szCs w:val="21"/>
                <w:u w:val="none"/>
                <w:lang w:val="en-US" w:eastAsia="zh-CN" w:bidi="ar"/>
              </w:rPr>
            </w:pPr>
            <w:r>
              <w:rPr>
                <w:rFonts w:hint="eastAsia" w:ascii="仿宋_GB2312" w:hAnsi="宋体" w:eastAsia="仿宋_GB2312" w:cs="仿宋_GB2312"/>
                <w:b/>
                <w:bCs/>
                <w:i w:val="0"/>
                <w:iCs w:val="0"/>
                <w:color w:val="auto"/>
                <w:kern w:val="0"/>
                <w:sz w:val="21"/>
                <w:szCs w:val="21"/>
                <w:u w:val="none"/>
                <w:lang w:val="en-US" w:eastAsia="zh-CN" w:bidi="ar"/>
              </w:rPr>
              <w:t>小计</w:t>
            </w:r>
          </w:p>
        </w:tc>
        <w:tc>
          <w:tcPr>
            <w:tcW w:w="4263" w:type="pct"/>
            <w:gridSpan w:val="5"/>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eastAsia" w:ascii="Times New Roman" w:hAnsi="Times New Roman" w:eastAsia="宋体" w:cs="Times New Roman"/>
                <w:b/>
                <w:bCs/>
                <w:i w:val="0"/>
                <w:iCs w:val="0"/>
                <w:color w:val="auto"/>
                <w:kern w:val="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7"/>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kern w:val="2"/>
                <w:sz w:val="21"/>
                <w:szCs w:val="21"/>
                <w:u w:val="none"/>
                <w:lang w:val="en-US" w:eastAsia="zh-CN" w:bidi="ar-SA"/>
              </w:rPr>
            </w:pPr>
            <w:r>
              <w:rPr>
                <w:rFonts w:hint="default" w:ascii="仿宋_GB2312" w:hAnsi="宋体" w:eastAsia="仿宋_GB2312" w:cs="仿宋_GB2312"/>
                <w:b/>
                <w:bCs/>
                <w:i w:val="0"/>
                <w:iCs w:val="0"/>
                <w:color w:val="auto"/>
                <w:kern w:val="0"/>
                <w:sz w:val="21"/>
                <w:szCs w:val="21"/>
                <w:u w:val="none"/>
                <w:lang w:val="en-US" w:eastAsia="zh-CN" w:bidi="ar"/>
              </w:rPr>
              <w:t xml:space="preserve"> </w:t>
            </w:r>
            <w:r>
              <w:rPr>
                <w:rFonts w:hint="eastAsia" w:ascii="仿宋_GB2312" w:hAnsi="宋体" w:eastAsia="仿宋_GB2312" w:cs="仿宋_GB2312"/>
                <w:b/>
                <w:bCs/>
                <w:i w:val="0"/>
                <w:iCs w:val="0"/>
                <w:color w:val="auto"/>
                <w:kern w:val="0"/>
                <w:sz w:val="21"/>
                <w:szCs w:val="21"/>
                <w:u w:val="none"/>
                <w:lang w:val="en-US" w:eastAsia="zh-CN" w:bidi="ar"/>
              </w:rPr>
              <w:t xml:space="preserve">                 </w:t>
            </w:r>
            <w:r>
              <w:rPr>
                <w:rFonts w:hint="default" w:ascii="仿宋_GB2312" w:hAnsi="宋体" w:eastAsia="仿宋_GB2312" w:cs="仿宋_GB2312"/>
                <w:b/>
                <w:bCs/>
                <w:i w:val="0"/>
                <w:iCs w:val="0"/>
                <w:color w:val="auto"/>
                <w:kern w:val="0"/>
                <w:sz w:val="21"/>
                <w:szCs w:val="21"/>
                <w:u w:val="none"/>
                <w:lang w:val="en-US" w:eastAsia="zh-CN" w:bidi="ar"/>
              </w:rPr>
              <w:t>合计（元）</w:t>
            </w:r>
            <w:r>
              <w:rPr>
                <w:rFonts w:hint="eastAsia" w:ascii="仿宋_GB2312" w:hAnsi="宋体" w:eastAsia="仿宋_GB2312" w:cs="仿宋_GB2312"/>
                <w:b/>
                <w:bCs/>
                <w:i w:val="0"/>
                <w:iCs w:val="0"/>
                <w:color w:val="auto"/>
                <w:kern w:val="0"/>
                <w:sz w:val="21"/>
                <w:szCs w:val="21"/>
                <w:u w:val="none"/>
                <w:lang w:val="en-US" w:eastAsia="zh-CN" w:bidi="ar"/>
              </w:rPr>
              <w:t xml:space="preserve">                                         </w:t>
            </w:r>
          </w:p>
        </w:tc>
      </w:tr>
    </w:tbl>
    <w:p>
      <w:pPr>
        <w:spacing w:line="360" w:lineRule="exact"/>
        <w:rPr>
          <w:rFonts w:ascii="仿宋_GB2312" w:eastAsia="仿宋_GB2312"/>
          <w:color w:val="auto"/>
          <w:sz w:val="18"/>
          <w:szCs w:val="18"/>
        </w:rPr>
        <w:sectPr>
          <w:pgSz w:w="16838" w:h="11906" w:orient="landscape"/>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napToGrid w:val="0"/>
        <w:spacing w:line="540" w:lineRule="exact"/>
        <w:ind w:firstLine="280" w:firstLineChars="100"/>
        <w:jc w:val="both"/>
        <w:outlineLvl w:val="0"/>
        <w:rPr>
          <w:rFonts w:ascii="黑体" w:hAnsi="黑体" w:eastAsia="黑体" w:cs="黑体"/>
          <w:color w:val="auto"/>
          <w:sz w:val="28"/>
          <w:szCs w:val="30"/>
          <w:lang w:eastAsia="zh-CN"/>
        </w:rPr>
      </w:pPr>
      <w:r>
        <w:rPr>
          <w:rFonts w:hint="eastAsia" w:ascii="黑体" w:hAnsi="黑体" w:eastAsia="黑体" w:cs="黑体"/>
          <w:color w:val="auto"/>
          <w:sz w:val="28"/>
          <w:szCs w:val="30"/>
          <w:lang w:eastAsia="zh-CN"/>
        </w:rPr>
        <w:t>施工规划图及设计效果图</w:t>
      </w:r>
    </w:p>
    <w:p>
      <w:pPr>
        <w:spacing w:line="540" w:lineRule="exact"/>
        <w:jc w:val="both"/>
        <w:rPr>
          <w:rFonts w:hint="eastAsia" w:ascii="仿宋_GB2312" w:eastAsia="仿宋_GB2312"/>
          <w:color w:val="auto"/>
          <w:sz w:val="28"/>
          <w:szCs w:val="28"/>
          <w:lang w:eastAsia="zh-CN"/>
        </w:rPr>
      </w:pPr>
      <w:r>
        <w:rPr>
          <w:rFonts w:hint="eastAsia" w:ascii="仿宋_GB2312" w:eastAsia="仿宋_GB2312"/>
          <w:color w:val="auto"/>
          <w:sz w:val="28"/>
          <w:szCs w:val="28"/>
          <w:lang w:eastAsia="zh-CN"/>
        </w:rPr>
        <w:t>图1</w:t>
      </w:r>
      <w:r>
        <w:rPr>
          <w:rFonts w:ascii="仿宋_GB2312" w:eastAsia="仿宋_GB2312"/>
          <w:color w:val="auto"/>
          <w:sz w:val="28"/>
          <w:szCs w:val="28"/>
          <w:lang w:eastAsia="zh-CN"/>
        </w:rPr>
        <w:t>.</w:t>
      </w:r>
      <w:r>
        <w:rPr>
          <w:rFonts w:hint="eastAsia" w:ascii="仿宋_GB2312" w:eastAsia="仿宋_GB2312"/>
          <w:color w:val="auto"/>
          <w:sz w:val="28"/>
          <w:szCs w:val="28"/>
          <w:lang w:val="en-US" w:eastAsia="zh-CN"/>
        </w:rPr>
        <w:t>园艺专业</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0</w:t>
      </w:r>
      <w:r>
        <w:rPr>
          <w:rFonts w:hint="eastAsia" w:ascii="仿宋_GB2312" w:eastAsia="仿宋_GB2312"/>
          <w:color w:val="auto"/>
          <w:sz w:val="28"/>
          <w:szCs w:val="28"/>
          <w:lang w:eastAsia="zh-CN"/>
        </w:rPr>
        <w:t>”模式</w:t>
      </w:r>
      <w:r>
        <w:rPr>
          <w:rFonts w:hint="eastAsia" w:ascii="仿宋_GB2312" w:eastAsia="仿宋_GB2312"/>
          <w:color w:val="auto"/>
          <w:sz w:val="28"/>
          <w:szCs w:val="28"/>
          <w:lang w:val="en-US" w:eastAsia="zh-CN"/>
        </w:rPr>
        <w:t>应用型</w:t>
      </w:r>
      <w:r>
        <w:rPr>
          <w:rFonts w:hint="eastAsia" w:ascii="仿宋_GB2312" w:eastAsia="仿宋_GB2312"/>
          <w:color w:val="auto"/>
          <w:sz w:val="28"/>
          <w:szCs w:val="28"/>
          <w:lang w:eastAsia="zh-CN"/>
        </w:rPr>
        <w:t>本科</w:t>
      </w:r>
      <w:r>
        <w:rPr>
          <w:rFonts w:hint="eastAsia" w:ascii="仿宋_GB2312" w:eastAsia="仿宋_GB2312"/>
          <w:color w:val="auto"/>
          <w:sz w:val="28"/>
          <w:szCs w:val="28"/>
          <w:lang w:val="en-US" w:eastAsia="zh-CN"/>
        </w:rPr>
        <w:t>园艺</w:t>
      </w:r>
      <w:r>
        <w:rPr>
          <w:rFonts w:hint="eastAsia" w:ascii="仿宋_GB2312" w:eastAsia="仿宋_GB2312"/>
          <w:color w:val="auto"/>
          <w:sz w:val="28"/>
          <w:szCs w:val="28"/>
          <w:lang w:eastAsia="zh-CN"/>
        </w:rPr>
        <w:t>综合实训室</w:t>
      </w:r>
      <w:r>
        <w:rPr>
          <w:rFonts w:hint="eastAsia" w:ascii="仿宋_GB2312" w:eastAsia="仿宋_GB2312"/>
          <w:color w:val="auto"/>
          <w:sz w:val="28"/>
          <w:szCs w:val="28"/>
          <w:lang w:val="en-US" w:eastAsia="zh-CN"/>
        </w:rPr>
        <w:t>完善布局图</w:t>
      </w:r>
    </w:p>
    <w:p>
      <w:pPr>
        <w:spacing w:line="360" w:lineRule="exact"/>
        <w:rPr>
          <w:rFonts w:ascii="仿宋_GB2312" w:eastAsia="仿宋_GB2312"/>
          <w:color w:val="auto"/>
          <w:sz w:val="18"/>
          <w:szCs w:val="18"/>
        </w:rPr>
      </w:pPr>
      <w:r>
        <w:rPr>
          <w:color w:val="auto"/>
          <w:sz w:val="18"/>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214630</wp:posOffset>
                </wp:positionV>
                <wp:extent cx="5411470" cy="3178175"/>
                <wp:effectExtent l="4445" t="4445" r="9525" b="17780"/>
                <wp:wrapNone/>
                <wp:docPr id="5" name="文本框 5"/>
                <wp:cNvGraphicFramePr/>
                <a:graphic xmlns:a="http://schemas.openxmlformats.org/drawingml/2006/main">
                  <a:graphicData uri="http://schemas.microsoft.com/office/word/2010/wordprocessingShape">
                    <wps:wsp>
                      <wps:cNvSpPr txBox="1"/>
                      <wps:spPr>
                        <a:xfrm>
                          <a:off x="988695" y="1814830"/>
                          <a:ext cx="5411470" cy="3178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eastAsiaTheme="minorEastAsia"/>
                                <w:lang w:eastAsia="zh-CN"/>
                              </w:rPr>
                              <w:drawing>
                                <wp:inline distT="0" distB="0" distL="114300" distR="114300">
                                  <wp:extent cx="5483860" cy="2849245"/>
                                  <wp:effectExtent l="0" t="0" r="2540" b="635"/>
                                  <wp:docPr id="6" name="图片 6" descr="[MN}RZA)BH{4U0GL~O3H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N}RZA)BH{4U0GL~O3HRA4"/>
                                          <pic:cNvPicPr>
                                            <a:picLocks noChangeAspect="1"/>
                                          </pic:cNvPicPr>
                                        </pic:nvPicPr>
                                        <pic:blipFill>
                                          <a:blip r:embed="rId8"/>
                                          <a:stretch>
                                            <a:fillRect/>
                                          </a:stretch>
                                        </pic:blipFill>
                                        <pic:spPr>
                                          <a:xfrm>
                                            <a:off x="0" y="0"/>
                                            <a:ext cx="5483860" cy="28492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5pt;margin-top:16.9pt;height:250.25pt;width:426.1pt;z-index:251661312;mso-width-relative:page;mso-height-relative:page;" fillcolor="#FFFFFF [3201]" filled="t" stroked="t" coordsize="21600,21600" o:gfxdata="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yXkHNYAAAAKAQAADwAAAAAAAAABACAAAAAiAAAAZHJzL2Rvd25yZXYueG1sUEsBAhQA&#10;FAAAAAgAh07iQL2CghZmAgAAwwQAAA4AAAAAAAAAAQAgAAAAJQEAAGRycy9lMm9Eb2MueG1sUEsF&#10;BgAAAAAGAAYAWQEAAP0FAAAAAA==&#10;">
                <v:fill on="t" focussize="0,0"/>
                <v:stroke weight="0.5pt" color="#000000 [3204]" joinstyle="round"/>
                <v:imagedata o:title=""/>
                <o:lock v:ext="edit" aspectratio="f"/>
                <v:textbox>
                  <w:txbxContent>
                    <w:p>
                      <w:r>
                        <w:rPr>
                          <w:rFonts w:hint="eastAsia" w:eastAsiaTheme="minorEastAsia"/>
                          <w:lang w:eastAsia="zh-CN"/>
                        </w:rPr>
                        <w:drawing>
                          <wp:inline distT="0" distB="0" distL="114300" distR="114300">
                            <wp:extent cx="5483860" cy="2849245"/>
                            <wp:effectExtent l="0" t="0" r="2540" b="635"/>
                            <wp:docPr id="6" name="图片 6" descr="[MN}RZA)BH{4U0GL~O3H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MN}RZA)BH{4U0GL~O3HRA4"/>
                                    <pic:cNvPicPr>
                                      <a:picLocks noChangeAspect="1"/>
                                    </pic:cNvPicPr>
                                  </pic:nvPicPr>
                                  <pic:blipFill>
                                    <a:blip r:embed="rId8"/>
                                    <a:stretch>
                                      <a:fillRect/>
                                    </a:stretch>
                                  </pic:blipFill>
                                  <pic:spPr>
                                    <a:xfrm>
                                      <a:off x="0" y="0"/>
                                      <a:ext cx="5483860" cy="2849245"/>
                                    </a:xfrm>
                                    <a:prstGeom prst="rect">
                                      <a:avLst/>
                                    </a:prstGeom>
                                  </pic:spPr>
                                </pic:pic>
                              </a:graphicData>
                            </a:graphic>
                          </wp:inline>
                        </w:drawing>
                      </w:r>
                    </w:p>
                  </w:txbxContent>
                </v:textbox>
              </v:shape>
            </w:pict>
          </mc:Fallback>
        </mc:AlternateContent>
      </w:r>
    </w:p>
    <w:p>
      <w:pPr>
        <w:pStyle w:val="2"/>
        <w:rPr>
          <w:rFonts w:ascii="仿宋_GB2312" w:eastAsia="仿宋_GB2312"/>
          <w:color w:val="auto"/>
          <w:sz w:val="18"/>
          <w:szCs w:val="18"/>
        </w:rPr>
      </w:pPr>
    </w:p>
    <w:p>
      <w:pPr>
        <w:rPr>
          <w:color w:val="auto"/>
        </w:rPr>
      </w:pPr>
    </w:p>
    <w:p>
      <w:pPr>
        <w:pStyle w:val="21"/>
        <w:rPr>
          <w:rFonts w:hint="eastAsia"/>
        </w:rPr>
      </w:pP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numPr>
          <w:ilvl w:val="0"/>
          <w:numId w:val="0"/>
        </w:numPr>
        <w:jc w:val="center"/>
        <w:rPr>
          <w:rFonts w:hint="eastAsia" w:ascii="仿宋" w:hAnsi="仿宋" w:eastAsia="仿宋" w:cs="仿宋"/>
          <w:b/>
          <w:color w:val="auto"/>
          <w:szCs w:val="28"/>
        </w:rPr>
      </w:pPr>
      <w:r>
        <w:rPr>
          <w:rFonts w:hint="eastAsia" w:ascii="仿宋" w:hAnsi="仿宋" w:eastAsia="仿宋" w:cs="仿宋"/>
          <w:b/>
          <w:color w:val="auto"/>
          <w:szCs w:val="28"/>
        </w:rPr>
        <w:t>评分标准</w:t>
      </w:r>
      <w:bookmarkStart w:id="58" w:name="_Toc403987220"/>
    </w:p>
    <w:tbl>
      <w:tblPr>
        <w:tblStyle w:val="18"/>
        <w:tblW w:w="8969" w:type="dxa"/>
        <w:tblInd w:w="-157" w:type="dxa"/>
        <w:tblLayout w:type="fixed"/>
        <w:tblCellMar>
          <w:top w:w="0" w:type="dxa"/>
          <w:left w:w="108" w:type="dxa"/>
          <w:bottom w:w="0" w:type="dxa"/>
          <w:right w:w="108" w:type="dxa"/>
        </w:tblCellMar>
      </w:tblPr>
      <w:tblGrid>
        <w:gridCol w:w="1100"/>
        <w:gridCol w:w="536"/>
        <w:gridCol w:w="902"/>
        <w:gridCol w:w="6431"/>
      </w:tblGrid>
      <w:tr>
        <w:tblPrEx>
          <w:tblCellMar>
            <w:top w:w="0" w:type="dxa"/>
            <w:left w:w="108" w:type="dxa"/>
            <w:bottom w:w="0" w:type="dxa"/>
            <w:right w:w="108" w:type="dxa"/>
          </w:tblCellMar>
        </w:tblPrEx>
        <w:trPr>
          <w:trHeight w:val="186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报价得分（30分）</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30</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投标报价得分</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综合评分法中的价格分统一采用低价优先法计算，即满足招标要求且投标价格最低的投标报价为评标基准价，其价格分为满分。其他供应商的价格分统一按照下列公式计算：投标报价得分=(评标基准价／投标报价)×价格权值×100。</w:t>
            </w:r>
          </w:p>
        </w:tc>
      </w:tr>
      <w:tr>
        <w:tblPrEx>
          <w:tblCellMar>
            <w:top w:w="0" w:type="dxa"/>
            <w:left w:w="108" w:type="dxa"/>
            <w:bottom w:w="0" w:type="dxa"/>
            <w:right w:w="108" w:type="dxa"/>
          </w:tblCellMar>
        </w:tblPrEx>
        <w:trPr>
          <w:trHeight w:val="1250" w:hRule="atLeast"/>
        </w:trPr>
        <w:tc>
          <w:tcPr>
            <w:tcW w:w="1100" w:type="dxa"/>
            <w:vMerge w:val="restart"/>
            <w:tcBorders>
              <w:top w:val="single" w:color="000000" w:sz="4" w:space="0"/>
              <w:left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技术部分评分（70分）</w:t>
            </w: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3</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相关业绩</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提供类似项目建设业绩，以中标（成交）通知书或签订的销售合同为准（复印件加盖供应商公章），提供一个业绩得1.5分，满分3分。</w:t>
            </w:r>
          </w:p>
        </w:tc>
      </w:tr>
      <w:tr>
        <w:tblPrEx>
          <w:tblCellMar>
            <w:top w:w="0" w:type="dxa"/>
            <w:left w:w="108" w:type="dxa"/>
            <w:bottom w:w="0" w:type="dxa"/>
            <w:right w:w="108" w:type="dxa"/>
          </w:tblCellMar>
        </w:tblPrEx>
        <w:trPr>
          <w:trHeight w:val="90" w:hRule="atLeast"/>
        </w:trPr>
        <w:tc>
          <w:tcPr>
            <w:tcW w:w="1100" w:type="dxa"/>
            <w:vMerge w:val="continue"/>
            <w:tcBorders>
              <w:left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bCs/>
                <w:color w:val="000000"/>
                <w:sz w:val="24"/>
                <w:szCs w:val="24"/>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25</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产品技术参数及性能</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从供应商提供的所投产品的技术指标、基本功能、采购需求的吻合程度和偏差情况（包括所投产品配置、主要技术参数）进行评价，基础分为25分；采购文件中“★”号的条目为本项目的重要技术指标，有一条负偏离的扣2.5分，扣完25分为止。</w:t>
            </w:r>
          </w:p>
        </w:tc>
      </w:tr>
      <w:tr>
        <w:tblPrEx>
          <w:tblCellMar>
            <w:top w:w="0" w:type="dxa"/>
            <w:left w:w="108" w:type="dxa"/>
            <w:bottom w:w="0" w:type="dxa"/>
            <w:right w:w="108" w:type="dxa"/>
          </w:tblCellMar>
        </w:tblPrEx>
        <w:trPr>
          <w:trHeight w:val="90" w:hRule="atLeast"/>
        </w:trPr>
        <w:tc>
          <w:tcPr>
            <w:tcW w:w="1100" w:type="dxa"/>
            <w:vMerge w:val="continue"/>
            <w:tcBorders>
              <w:left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bCs/>
                <w:color w:val="000000"/>
                <w:sz w:val="24"/>
                <w:szCs w:val="24"/>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default"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color w:val="000000"/>
                <w:sz w:val="24"/>
                <w:szCs w:val="24"/>
                <w:highlight w:val="none"/>
                <w:lang w:val="en-US" w:eastAsia="zh-CN"/>
              </w:rPr>
              <w:t>15</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both"/>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材料的性能、质量</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pPr>
              <w:pStyle w:val="31"/>
              <w:numPr>
                <w:ilvl w:val="0"/>
                <w:numId w:val="4"/>
              </w:numPr>
              <w:spacing w:after="60" w:line="320" w:lineRule="exact"/>
              <w:ind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有完善的质量保证体系，得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无质量保证体系不得分。</w:t>
            </w:r>
          </w:p>
          <w:p>
            <w:pPr>
              <w:pStyle w:val="31"/>
              <w:numPr>
                <w:ilvl w:val="0"/>
                <w:numId w:val="4"/>
              </w:numPr>
              <w:spacing w:after="60" w:line="320" w:lineRule="exact"/>
              <w:ind w:firstLine="0" w:firstLineChars="0"/>
              <w:jc w:val="left"/>
              <w:rPr>
                <w:rFonts w:hint="eastAsia"/>
                <w:lang w:val="en-US" w:eastAsia="zh-CN"/>
              </w:rPr>
            </w:pPr>
            <w:r>
              <w:rPr>
                <w:rFonts w:hint="eastAsia" w:asciiTheme="minorEastAsia" w:hAnsiTheme="minorEastAsia" w:eastAsiaTheme="minorEastAsia" w:cstheme="minorEastAsia"/>
                <w:sz w:val="24"/>
                <w:szCs w:val="24"/>
                <w:highlight w:val="none"/>
                <w:lang w:eastAsia="zh-CN"/>
              </w:rPr>
              <w:t>针对本</w:t>
            </w:r>
            <w:r>
              <w:rPr>
                <w:rFonts w:hint="eastAsia" w:asciiTheme="minorEastAsia" w:hAnsiTheme="minorEastAsia" w:eastAsiaTheme="minorEastAsia" w:cstheme="minorEastAsia"/>
                <w:sz w:val="24"/>
                <w:szCs w:val="24"/>
                <w:highlight w:val="none"/>
              </w:rPr>
              <w:t>项目提供</w:t>
            </w:r>
            <w:r>
              <w:rPr>
                <w:rFonts w:hint="eastAsia" w:asciiTheme="minorEastAsia" w:hAnsiTheme="minorEastAsia" w:eastAsiaTheme="minorEastAsia" w:cstheme="minorEastAsia"/>
                <w:sz w:val="24"/>
                <w:szCs w:val="24"/>
                <w:highlight w:val="none"/>
                <w:lang w:eastAsia="zh-CN"/>
              </w:rPr>
              <w:t>具体</w:t>
            </w:r>
            <w:r>
              <w:rPr>
                <w:rFonts w:hint="eastAsia" w:asciiTheme="minorEastAsia" w:hAnsiTheme="minorEastAsia" w:eastAsiaTheme="minorEastAsia" w:cstheme="minorEastAsia"/>
                <w:sz w:val="24"/>
                <w:szCs w:val="24"/>
                <w:highlight w:val="none"/>
              </w:rPr>
              <w:t>的质量保证措施</w:t>
            </w:r>
            <w:r>
              <w:rPr>
                <w:rFonts w:hint="eastAsia" w:asciiTheme="minorEastAsia" w:hAnsiTheme="minorEastAsia" w:eastAsiaTheme="minorEastAsia" w:cstheme="minorEastAsia"/>
                <w:sz w:val="24"/>
                <w:szCs w:val="24"/>
                <w:highlight w:val="none"/>
                <w:lang w:eastAsia="zh-CN"/>
              </w:rPr>
              <w:t>、内容、</w:t>
            </w:r>
            <w:r>
              <w:rPr>
                <w:rFonts w:hint="eastAsia" w:asciiTheme="minorEastAsia" w:hAnsiTheme="minorEastAsia" w:eastAsiaTheme="minorEastAsia" w:cstheme="minorEastAsia"/>
                <w:sz w:val="24"/>
                <w:szCs w:val="24"/>
                <w:highlight w:val="none"/>
                <w:lang w:val="en-US" w:eastAsia="zh-CN"/>
              </w:rPr>
              <w:t>材料的性能、节能环保情况有</w:t>
            </w:r>
            <w:r>
              <w:rPr>
                <w:rFonts w:hint="eastAsia" w:asciiTheme="minorEastAsia" w:hAnsiTheme="minorEastAsia" w:eastAsiaTheme="minorEastAsia" w:cstheme="minorEastAsia"/>
                <w:color w:val="000000"/>
                <w:sz w:val="24"/>
                <w:szCs w:val="24"/>
                <w:highlight w:val="none"/>
              </w:rPr>
              <w:t>详细</w:t>
            </w:r>
            <w:r>
              <w:rPr>
                <w:rFonts w:hint="eastAsia" w:asciiTheme="minorEastAsia" w:hAnsiTheme="minorEastAsia" w:eastAsiaTheme="minorEastAsia" w:cstheme="minorEastAsia"/>
                <w:color w:val="000000"/>
                <w:sz w:val="24"/>
                <w:szCs w:val="24"/>
                <w:highlight w:val="none"/>
                <w:lang w:val="en-US" w:eastAsia="zh-CN"/>
              </w:rPr>
              <w:t>介绍</w:t>
            </w:r>
            <w:r>
              <w:rPr>
                <w:rFonts w:hint="eastAsia" w:asciiTheme="minorEastAsia" w:hAnsiTheme="minorEastAsia" w:eastAsiaTheme="minorEastAsia" w:cstheme="minorEastAsia"/>
                <w:color w:val="000000"/>
                <w:sz w:val="24"/>
                <w:szCs w:val="24"/>
                <w:highlight w:val="none"/>
              </w:rPr>
              <w:t>说明</w:t>
            </w:r>
            <w:r>
              <w:rPr>
                <w:rFonts w:hint="eastAsia" w:asciiTheme="minorEastAsia" w:hAnsiTheme="minorEastAsia" w:eastAsiaTheme="minorEastAsia" w:cstheme="minorEastAsia"/>
                <w:color w:val="000000"/>
                <w:sz w:val="24"/>
                <w:szCs w:val="24"/>
                <w:highlight w:val="none"/>
                <w:lang w:eastAsia="zh-CN"/>
              </w:rPr>
              <w:t>一项得</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color w:val="000000"/>
                <w:sz w:val="24"/>
                <w:szCs w:val="24"/>
                <w:highlight w:val="none"/>
                <w:lang w:eastAsia="zh-CN"/>
              </w:rPr>
              <w:t>可提供但不限于权威检测机构的检测报告复印件、部分产品的</w:t>
            </w:r>
            <w:r>
              <w:rPr>
                <w:rFonts w:hint="eastAsia" w:asciiTheme="minorEastAsia" w:hAnsiTheme="minorEastAsia" w:eastAsiaTheme="minorEastAsia" w:cstheme="minorEastAsia"/>
                <w:color w:val="000000"/>
                <w:sz w:val="24"/>
                <w:szCs w:val="24"/>
                <w:highlight w:val="none"/>
                <w:lang w:val="en-US" w:eastAsia="zh-CN"/>
              </w:rPr>
              <w:t>CE证书等</w:t>
            </w:r>
            <w:r>
              <w:rPr>
                <w:rFonts w:hint="eastAsia" w:asciiTheme="minorEastAsia" w:hAnsiTheme="minorEastAsia" w:eastAsiaTheme="minorEastAsia" w:cstheme="minorEastAsia"/>
                <w:sz w:val="24"/>
                <w:szCs w:val="24"/>
                <w:highlight w:val="none"/>
                <w:lang w:eastAsia="zh-CN"/>
              </w:rPr>
              <w:t>）不提供不得分。</w:t>
            </w:r>
          </w:p>
        </w:tc>
      </w:tr>
      <w:tr>
        <w:tblPrEx>
          <w:tblCellMar>
            <w:top w:w="0" w:type="dxa"/>
            <w:left w:w="108" w:type="dxa"/>
            <w:bottom w:w="0" w:type="dxa"/>
            <w:right w:w="108" w:type="dxa"/>
          </w:tblCellMar>
        </w:tblPrEx>
        <w:trPr>
          <w:trHeight w:val="2855" w:hRule="atLeast"/>
        </w:trPr>
        <w:tc>
          <w:tcPr>
            <w:tcW w:w="1100" w:type="dxa"/>
            <w:vMerge w:val="continue"/>
            <w:tcBorders>
              <w:left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bCs/>
                <w:color w:val="000000"/>
                <w:sz w:val="24"/>
                <w:szCs w:val="24"/>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10</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安装调试方案</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根据供应商提供的供货能力、安装调试方案、供货计划安排、产品安装和调试的主要技术保证措施等情况，是否具有科学性、经济性、可行性、安全性、针对性，是否符合采购文件要求，评委酌情打分。</w:t>
            </w:r>
          </w:p>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内容详细、完整、合理有效、可行性高的最高得10分；</w:t>
            </w:r>
          </w:p>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内容较详细、较完整，较合理、可行性一般的最高得7分；</w:t>
            </w:r>
          </w:p>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内容粗略，缺乏针对性、可行性低的，最高得3分；</w:t>
            </w:r>
          </w:p>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未提供或明显套用其他项目内容的不得分。</w:t>
            </w:r>
          </w:p>
        </w:tc>
      </w:tr>
      <w:tr>
        <w:tblPrEx>
          <w:tblCellMar>
            <w:top w:w="0" w:type="dxa"/>
            <w:left w:w="108" w:type="dxa"/>
            <w:bottom w:w="0" w:type="dxa"/>
            <w:right w:w="108" w:type="dxa"/>
          </w:tblCellMar>
        </w:tblPrEx>
        <w:trPr>
          <w:trHeight w:val="2605" w:hRule="atLeast"/>
        </w:trPr>
        <w:tc>
          <w:tcPr>
            <w:tcW w:w="1100" w:type="dxa"/>
            <w:vMerge w:val="continue"/>
            <w:tcBorders>
              <w:left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bCs/>
                <w:color w:val="000000"/>
                <w:sz w:val="24"/>
                <w:szCs w:val="24"/>
                <w:highlight w:val="none"/>
                <w:lang w:val="en-US" w:eastAsia="zh-CN"/>
              </w:rPr>
            </w:pPr>
          </w:p>
        </w:tc>
        <w:tc>
          <w:tcPr>
            <w:tcW w:w="53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60" w:lineRule="auto"/>
              <w:jc w:val="center"/>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5</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系统操作便捷</w:t>
            </w:r>
          </w:p>
        </w:tc>
        <w:tc>
          <w:tcPr>
            <w:tcW w:w="6431" w:type="dxa"/>
            <w:tcBorders>
              <w:top w:val="single" w:color="000000" w:sz="4" w:space="0"/>
              <w:left w:val="single" w:color="000000" w:sz="4" w:space="0"/>
              <w:bottom w:val="single" w:color="000000" w:sz="4" w:space="0"/>
              <w:right w:val="single" w:color="000000" w:sz="4" w:space="0"/>
            </w:tcBorders>
            <w:noWrap w:val="0"/>
            <w:vAlign w:val="center"/>
          </w:tcPr>
          <w:p>
            <w:pPr>
              <w:wordWrap w:val="0"/>
              <w:autoSpaceDE w:val="0"/>
              <w:autoSpaceDN w:val="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系统</w:t>
            </w:r>
            <w:r>
              <w:rPr>
                <w:rFonts w:hint="eastAsia" w:asciiTheme="minorEastAsia" w:hAnsiTheme="minorEastAsia" w:eastAsiaTheme="minorEastAsia" w:cstheme="minorEastAsia"/>
                <w:color w:val="auto"/>
                <w:sz w:val="24"/>
                <w:szCs w:val="24"/>
              </w:rPr>
              <w:t>操作界面便捷、易懂，操作性强，得5分；</w:t>
            </w:r>
          </w:p>
          <w:p>
            <w:pPr>
              <w:wordWrap w:val="0"/>
              <w:autoSpaceDE w:val="0"/>
              <w:autoSpaceDN w:val="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系统</w:t>
            </w:r>
            <w:r>
              <w:rPr>
                <w:rFonts w:hint="eastAsia" w:asciiTheme="minorEastAsia" w:hAnsiTheme="minorEastAsia" w:eastAsiaTheme="minorEastAsia" w:cstheme="minorEastAsia"/>
                <w:color w:val="auto"/>
                <w:sz w:val="24"/>
                <w:szCs w:val="24"/>
              </w:rPr>
              <w:t>操作界面能看懂，操作程序一般，得3分；</w:t>
            </w:r>
          </w:p>
          <w:p>
            <w:pPr>
              <w:wordWrap w:val="0"/>
              <w:autoSpaceDE w:val="0"/>
              <w:autoSpaceDN w:val="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系统</w:t>
            </w:r>
            <w:r>
              <w:rPr>
                <w:rFonts w:hint="eastAsia" w:asciiTheme="minorEastAsia" w:hAnsiTheme="minorEastAsia" w:eastAsiaTheme="minorEastAsia" w:cstheme="minorEastAsia"/>
                <w:color w:val="auto"/>
                <w:sz w:val="24"/>
                <w:szCs w:val="24"/>
              </w:rPr>
              <w:t>界面相对复杂，相关功能调出、数据查询便捷性一般，得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w:t>
            </w:r>
          </w:p>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color w:val="auto"/>
                <w:sz w:val="24"/>
                <w:szCs w:val="24"/>
              </w:rPr>
              <w:t>不</w:t>
            </w:r>
            <w:r>
              <w:rPr>
                <w:rFonts w:hint="eastAsia" w:asciiTheme="minorEastAsia" w:hAnsiTheme="minorEastAsia" w:eastAsiaTheme="minorEastAsia" w:cstheme="minorEastAsia"/>
                <w:color w:val="auto"/>
                <w:sz w:val="24"/>
                <w:szCs w:val="24"/>
                <w:lang w:eastAsia="zh-CN"/>
              </w:rPr>
              <w:t>提供操作情况说明</w:t>
            </w:r>
            <w:r>
              <w:rPr>
                <w:rFonts w:hint="eastAsia" w:asciiTheme="minorEastAsia" w:hAnsiTheme="minorEastAsia" w:eastAsiaTheme="minorEastAsia" w:cstheme="minorEastAsia"/>
                <w:color w:val="auto"/>
                <w:sz w:val="24"/>
                <w:szCs w:val="24"/>
              </w:rPr>
              <w:t>得0分。</w:t>
            </w:r>
          </w:p>
        </w:tc>
      </w:tr>
      <w:tr>
        <w:tblPrEx>
          <w:tblCellMar>
            <w:top w:w="0" w:type="dxa"/>
            <w:left w:w="108" w:type="dxa"/>
            <w:bottom w:w="0" w:type="dxa"/>
            <w:right w:w="108" w:type="dxa"/>
          </w:tblCellMar>
        </w:tblPrEx>
        <w:trPr>
          <w:trHeight w:val="482" w:hRule="atLeast"/>
        </w:trPr>
        <w:tc>
          <w:tcPr>
            <w:tcW w:w="1100" w:type="dxa"/>
            <w:vMerge w:val="continue"/>
            <w:tcBorders>
              <w:left w:val="single" w:color="000000"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color w:val="000000"/>
                <w:sz w:val="24"/>
                <w:szCs w:val="24"/>
                <w:highlight w:val="none"/>
                <w:lang w:val="en-US" w:eastAsia="zh-CN"/>
              </w:rPr>
            </w:pPr>
          </w:p>
        </w:tc>
        <w:tc>
          <w:tcPr>
            <w:tcW w:w="536" w:type="dxa"/>
            <w:tcBorders>
              <w:top w:val="single" w:color="auto" w:sz="4" w:space="0"/>
              <w:left w:val="single" w:color="000000" w:sz="4" w:space="0"/>
              <w:bottom w:val="single" w:color="auto" w:sz="4" w:space="0"/>
              <w:right w:val="single" w:color="000000" w:sz="4" w:space="0"/>
            </w:tcBorders>
            <w:noWrap w:val="0"/>
            <w:vAlign w:val="center"/>
          </w:tcPr>
          <w:p>
            <w:pPr>
              <w:widowControl/>
              <w:spacing w:line="276" w:lineRule="auto"/>
              <w:jc w:val="center"/>
              <w:rPr>
                <w:rFonts w:hint="default"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lang w:val="en-US" w:eastAsia="zh-CN"/>
              </w:rPr>
              <w:t>10</w:t>
            </w:r>
          </w:p>
        </w:tc>
        <w:tc>
          <w:tcPr>
            <w:tcW w:w="902" w:type="dxa"/>
            <w:tcBorders>
              <w:top w:val="single" w:color="auto" w:sz="4" w:space="0"/>
              <w:left w:val="single" w:color="000000" w:sz="4" w:space="0"/>
              <w:bottom w:val="single" w:color="auto"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售后服务的承诺</w:t>
            </w:r>
          </w:p>
        </w:tc>
        <w:tc>
          <w:tcPr>
            <w:tcW w:w="6431" w:type="dxa"/>
            <w:tcBorders>
              <w:top w:val="single" w:color="auto" w:sz="4" w:space="0"/>
              <w:left w:val="single" w:color="000000" w:sz="4" w:space="0"/>
              <w:bottom w:val="single" w:color="auto" w:sz="4" w:space="0"/>
              <w:right w:val="single" w:color="auto"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投标人需提供售后服务方案，内容包括但不限于故障维修响应时间、定期巡检、软件升级服务等。</w:t>
            </w:r>
          </w:p>
          <w:p>
            <w:pPr>
              <w:widowControl/>
              <w:numPr>
                <w:ilvl w:val="0"/>
                <w:numId w:val="5"/>
              </w:numPr>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售后服务方案内容详细、完整，故障维修响应时间在2小时内的得8分；售后服务方案内容较详细、较完整，故障维修响应时间在2小时以上4小时内的得6分；售后服务方案内容较缺失、不够详细整，故障维修响应时间在4小时以上8小时内的得4分；售后服务方案内容不完整或未提供不得分。</w:t>
            </w:r>
          </w:p>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2.配备驻场工程师1名的得2分，未提供不得分；</w:t>
            </w:r>
          </w:p>
        </w:tc>
      </w:tr>
      <w:tr>
        <w:tblPrEx>
          <w:tblCellMar>
            <w:top w:w="0" w:type="dxa"/>
            <w:left w:w="108" w:type="dxa"/>
            <w:bottom w:w="0" w:type="dxa"/>
            <w:right w:w="108" w:type="dxa"/>
          </w:tblCellMar>
        </w:tblPrEx>
        <w:trPr>
          <w:trHeight w:val="482" w:hRule="atLeast"/>
        </w:trPr>
        <w:tc>
          <w:tcPr>
            <w:tcW w:w="1100" w:type="dxa"/>
            <w:vMerge w:val="continue"/>
            <w:tcBorders>
              <w:left w:val="single" w:color="000000" w:sz="4" w:space="0"/>
              <w:bottom w:val="single" w:color="auto" w:sz="4" w:space="0"/>
              <w:right w:val="single" w:color="000000" w:sz="4" w:space="0"/>
            </w:tcBorders>
            <w:noWrap w:val="0"/>
            <w:vAlign w:val="center"/>
          </w:tcPr>
          <w:p>
            <w:pPr>
              <w:widowControl/>
              <w:spacing w:line="276" w:lineRule="auto"/>
              <w:jc w:val="left"/>
              <w:rPr>
                <w:rFonts w:hint="eastAsia" w:asciiTheme="minorEastAsia" w:hAnsiTheme="minorEastAsia" w:eastAsiaTheme="minorEastAsia" w:cstheme="minorEastAsia"/>
                <w:color w:val="000000"/>
                <w:sz w:val="24"/>
                <w:szCs w:val="24"/>
                <w:highlight w:val="none"/>
                <w:lang w:val="en-US" w:eastAsia="zh-CN"/>
              </w:rPr>
            </w:pPr>
          </w:p>
        </w:tc>
        <w:tc>
          <w:tcPr>
            <w:tcW w:w="536" w:type="dxa"/>
            <w:tcBorders>
              <w:top w:val="single" w:color="auto" w:sz="4" w:space="0"/>
              <w:left w:val="single" w:color="000000" w:sz="4" w:space="0"/>
              <w:bottom w:val="single" w:color="auto"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lang w:val="en-US" w:eastAsia="zh-CN" w:bidi="ar-SA"/>
              </w:rPr>
              <w:t>2</w:t>
            </w:r>
          </w:p>
        </w:tc>
        <w:tc>
          <w:tcPr>
            <w:tcW w:w="902" w:type="dxa"/>
            <w:tcBorders>
              <w:top w:val="single" w:color="auto" w:sz="4" w:space="0"/>
              <w:left w:val="single" w:color="000000" w:sz="4" w:space="0"/>
              <w:bottom w:val="single" w:color="auto" w:sz="4" w:space="0"/>
              <w:right w:val="single" w:color="000000" w:sz="4" w:space="0"/>
            </w:tcBorders>
            <w:noWrap w:val="0"/>
            <w:vAlign w:val="center"/>
          </w:tcPr>
          <w:p>
            <w:pPr>
              <w:widowControl/>
              <w:spacing w:line="276"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质保</w:t>
            </w:r>
          </w:p>
          <w:p>
            <w:pPr>
              <w:widowControl/>
              <w:spacing w:line="276" w:lineRule="auto"/>
              <w:jc w:val="center"/>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响应</w:t>
            </w:r>
          </w:p>
        </w:tc>
        <w:tc>
          <w:tcPr>
            <w:tcW w:w="6431" w:type="dxa"/>
            <w:tcBorders>
              <w:top w:val="single" w:color="auto" w:sz="4" w:space="0"/>
              <w:left w:val="single" w:color="000000" w:sz="4" w:space="0"/>
              <w:bottom w:val="single" w:color="auto" w:sz="4" w:space="0"/>
              <w:right w:val="single" w:color="auto" w:sz="4" w:space="0"/>
            </w:tcBorders>
            <w:noWrap w:val="0"/>
            <w:vAlign w:val="center"/>
          </w:tcPr>
          <w:p>
            <w:pPr>
              <w:widowControl/>
              <w:spacing w:line="276" w:lineRule="auto"/>
              <w:jc w:val="left"/>
              <w:rPr>
                <w:rFonts w:hint="eastAsia" w:asciiTheme="minorEastAsia" w:hAnsiTheme="minorEastAsia" w:eastAsiaTheme="minorEastAsia" w:cstheme="minorEastAsia"/>
                <w:b w:val="0"/>
                <w:bCs w:val="0"/>
                <w:color w:val="auto"/>
                <w:kern w:val="0"/>
                <w:sz w:val="24"/>
                <w:szCs w:val="24"/>
                <w:lang w:val="en-US" w:eastAsia="zh-CN" w:bidi="ar-SA"/>
              </w:rPr>
            </w:pPr>
            <w:r>
              <w:rPr>
                <w:rFonts w:hint="eastAsia" w:asciiTheme="minorEastAsia" w:hAnsiTheme="minorEastAsia" w:eastAsiaTheme="minorEastAsia" w:cstheme="minorEastAsia"/>
                <w:b w:val="0"/>
                <w:bCs w:val="0"/>
                <w:color w:val="auto"/>
                <w:kern w:val="0"/>
                <w:sz w:val="24"/>
                <w:szCs w:val="24"/>
                <w:lang w:val="en-US" w:eastAsia="zh-CN" w:bidi="ar-SA"/>
              </w:rPr>
              <w:t>提供产品质保期承诺，满足采购文件要求的质保期的前提下，每延长1年得1分，最高得2分。未提供或明显套用其他项目内容的不得分。</w:t>
            </w:r>
          </w:p>
        </w:tc>
      </w:tr>
    </w:tbl>
    <w:p>
      <w:pPr>
        <w:widowControl/>
        <w:ind w:firstLine="0" w:firstLineChars="0"/>
        <w:jc w:val="center"/>
        <w:rPr>
          <w:rFonts w:hint="eastAsia" w:ascii="仿宋" w:hAnsi="仿宋" w:eastAsia="仿宋" w:cs="仿宋"/>
          <w:color w:val="auto"/>
          <w:sz w:val="21"/>
          <w:szCs w:val="21"/>
          <w:vertAlign w:val="baseline"/>
          <w:lang w:val="en-US" w:eastAsia="zh-CN" w:bidi="ar-SA"/>
        </w:rPr>
      </w:pPr>
    </w:p>
    <w:p>
      <w:pPr>
        <w:spacing w:line="300" w:lineRule="exact"/>
        <w:jc w:val="center"/>
        <w:rPr>
          <w:rFonts w:hint="eastAsia" w:ascii="仿宋" w:hAnsi="仿宋" w:eastAsia="仿宋" w:cs="仿宋"/>
          <w:color w:val="auto"/>
        </w:rPr>
      </w:pPr>
    </w:p>
    <w:p>
      <w:pPr>
        <w:pStyle w:val="6"/>
        <w:rPr>
          <w:rFonts w:hint="eastAsia" w:ascii="仿宋" w:hAnsi="仿宋" w:eastAsia="仿宋" w:cs="仿宋"/>
          <w:color w:val="auto"/>
        </w:rPr>
      </w:pPr>
    </w:p>
    <w:p>
      <w:pPr>
        <w:pStyle w:val="6"/>
        <w:rPr>
          <w:rFonts w:hint="eastAsia" w:ascii="仿宋" w:hAnsi="仿宋" w:eastAsia="仿宋" w:cs="仿宋"/>
        </w:rPr>
      </w:pPr>
    </w:p>
    <w:p>
      <w:pPr>
        <w:pStyle w:val="7"/>
        <w:rPr>
          <w:rFonts w:hint="eastAsia"/>
        </w:rPr>
      </w:pPr>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ind w:firstLine="562" w:firstLineChars="200"/>
        <w:jc w:val="center"/>
        <w:rPr>
          <w:rFonts w:hint="eastAsia" w:ascii="仿宋" w:hAnsi="仿宋" w:eastAsia="仿宋" w:cs="仿宋"/>
          <w:b/>
          <w:color w:val="auto"/>
          <w:szCs w:val="28"/>
        </w:rPr>
      </w:pPr>
      <w:r>
        <w:rPr>
          <w:rFonts w:hint="eastAsia" w:ascii="仿宋" w:hAnsi="仿宋" w:eastAsia="仿宋" w:cs="仿宋"/>
          <w:b/>
          <w:color w:val="auto"/>
          <w:szCs w:val="28"/>
        </w:rPr>
        <w:t>第六章响应文件格式</w:t>
      </w:r>
      <w:bookmarkEnd w:id="58"/>
    </w:p>
    <w:p>
      <w:pPr>
        <w:spacing w:line="440" w:lineRule="exact"/>
        <w:jc w:val="both"/>
        <w:rPr>
          <w:rFonts w:hint="eastAsia" w:ascii="仿宋" w:hAnsi="仿宋" w:eastAsia="仿宋" w:cs="仿宋"/>
          <w:color w:val="auto"/>
          <w:sz w:val="24"/>
          <w:szCs w:val="24"/>
        </w:rPr>
      </w:pPr>
      <w:bookmarkStart w:id="59" w:name="_Hlt26671244"/>
      <w:bookmarkEnd w:id="59"/>
      <w:bookmarkStart w:id="60" w:name="_Hlt26955039"/>
      <w:bookmarkEnd w:id="60"/>
    </w:p>
    <w:p>
      <w:pPr>
        <w:adjustRightInd w:val="0"/>
        <w:snapToGrid w:val="0"/>
        <w:spacing w:line="400" w:lineRule="atLeast"/>
        <w:jc w:val="center"/>
        <w:rPr>
          <w:rFonts w:hint="eastAsia" w:ascii="仿宋" w:hAnsi="仿宋" w:eastAsia="仿宋" w:cs="仿宋"/>
          <w:bCs/>
          <w:sz w:val="48"/>
          <w:szCs w:val="48"/>
        </w:rPr>
      </w:pPr>
      <w:bookmarkStart w:id="61" w:name="_Toc120614284"/>
      <w:r>
        <w:rPr>
          <w:rFonts w:hint="eastAsia" w:ascii="仿宋" w:hAnsi="仿宋" w:eastAsia="仿宋" w:cs="仿宋"/>
          <w:bCs/>
          <w:sz w:val="48"/>
          <w:szCs w:val="48"/>
        </w:rPr>
        <w:t>响 应 文 件</w:t>
      </w:r>
    </w:p>
    <w:p>
      <w:pPr>
        <w:snapToGrid w:val="0"/>
        <w:spacing w:before="120" w:beforeLines="50" w:after="50"/>
        <w:jc w:val="center"/>
        <w:rPr>
          <w:rFonts w:hint="eastAsia" w:ascii="仿宋" w:hAnsi="仿宋" w:eastAsia="仿宋" w:cs="仿宋"/>
          <w:b/>
          <w:bCs/>
          <w:sz w:val="28"/>
          <w:szCs w:val="28"/>
        </w:rPr>
      </w:pPr>
      <w:r>
        <w:rPr>
          <w:rFonts w:hint="eastAsia" w:ascii="仿宋" w:hAnsi="仿宋" w:eastAsia="仿宋" w:cs="仿宋"/>
          <w:b/>
          <w:bCs/>
          <w:sz w:val="28"/>
          <w:szCs w:val="28"/>
        </w:rPr>
        <w:t>（正本/副本）</w:t>
      </w:r>
    </w:p>
    <w:p>
      <w:pPr>
        <w:snapToGrid w:val="0"/>
        <w:spacing w:before="120" w:beforeLines="50" w:after="50"/>
        <w:jc w:val="center"/>
        <w:rPr>
          <w:rFonts w:hint="eastAsia" w:ascii="仿宋" w:hAnsi="仿宋" w:eastAsia="仿宋" w:cs="仿宋"/>
          <w:b/>
          <w:bCs/>
          <w:sz w:val="28"/>
          <w:szCs w:val="28"/>
        </w:rPr>
      </w:pPr>
    </w:p>
    <w:p>
      <w:pPr>
        <w:spacing w:before="240" w:beforeLines="100"/>
        <w:jc w:val="center"/>
        <w:rPr>
          <w:rFonts w:hint="eastAsia" w:ascii="仿宋" w:hAnsi="仿宋" w:eastAsia="仿宋" w:cs="仿宋"/>
          <w:b/>
          <w:bCs/>
          <w:sz w:val="28"/>
          <w:szCs w:val="28"/>
        </w:rPr>
      </w:pPr>
    </w:p>
    <w:p>
      <w:pPr>
        <w:spacing w:before="240" w:beforeLines="100"/>
        <w:jc w:val="center"/>
        <w:rPr>
          <w:rFonts w:hint="eastAsia" w:ascii="仿宋" w:hAnsi="仿宋" w:eastAsia="仿宋" w:cs="仿宋"/>
          <w:b/>
          <w:sz w:val="44"/>
          <w:szCs w:val="44"/>
        </w:rPr>
      </w:pPr>
    </w:p>
    <w:p>
      <w:pPr>
        <w:rPr>
          <w:rFonts w:hint="eastAsia" w:ascii="仿宋" w:hAnsi="仿宋" w:eastAsia="仿宋" w:cs="仿宋"/>
          <w:sz w:val="28"/>
          <w:szCs w:val="28"/>
        </w:rPr>
      </w:pPr>
    </w:p>
    <w:p>
      <w:pPr>
        <w:snapToGrid w:val="0"/>
        <w:spacing w:before="240" w:beforeLines="100" w:after="240" w:afterLines="100" w:line="360" w:lineRule="auto"/>
        <w:ind w:firstLine="993" w:firstLineChars="412"/>
        <w:rPr>
          <w:rFonts w:hint="eastAsia" w:ascii="仿宋" w:hAnsi="仿宋" w:eastAsia="仿宋" w:cs="仿宋"/>
          <w:b/>
          <w:bCs/>
          <w:sz w:val="24"/>
        </w:rPr>
      </w:pPr>
      <w:r>
        <w:rPr>
          <w:rFonts w:hint="eastAsia" w:ascii="仿宋" w:hAnsi="仿宋" w:eastAsia="仿宋" w:cs="仿宋"/>
          <w:b/>
          <w:bCs/>
          <w:sz w:val="24"/>
        </w:rPr>
        <w:t>项目名称：</w:t>
      </w:r>
      <w:r>
        <w:rPr>
          <w:rFonts w:hint="eastAsia" w:ascii="仿宋" w:hAnsi="仿宋" w:eastAsia="仿宋" w:cs="仿宋"/>
          <w:b/>
          <w:bCs/>
          <w:sz w:val="24"/>
          <w:u w:val="single"/>
        </w:rPr>
        <w:t xml:space="preserve">                                  </w:t>
      </w:r>
      <w:r>
        <w:rPr>
          <w:rFonts w:hint="eastAsia" w:ascii="仿宋" w:hAnsi="仿宋" w:eastAsia="仿宋" w:cs="仿宋"/>
          <w:b/>
          <w:bCs/>
          <w:sz w:val="24"/>
        </w:rPr>
        <w:t xml:space="preserve">     </w:t>
      </w:r>
    </w:p>
    <w:p>
      <w:pPr>
        <w:snapToGrid w:val="0"/>
        <w:spacing w:before="240" w:beforeLines="100" w:after="240" w:afterLines="100" w:line="360" w:lineRule="auto"/>
        <w:ind w:firstLine="985" w:firstLineChars="409"/>
        <w:rPr>
          <w:rFonts w:hint="eastAsia" w:ascii="仿宋" w:hAnsi="仿宋" w:eastAsia="仿宋" w:cs="仿宋"/>
          <w:b/>
          <w:bCs/>
          <w:sz w:val="24"/>
        </w:rPr>
      </w:pPr>
      <w:r>
        <w:rPr>
          <w:rFonts w:hint="eastAsia" w:ascii="仿宋" w:hAnsi="仿宋" w:eastAsia="仿宋" w:cs="仿宋"/>
          <w:b/>
          <w:bCs/>
          <w:sz w:val="24"/>
        </w:rPr>
        <w:t>项目编号：</w:t>
      </w:r>
      <w:r>
        <w:rPr>
          <w:rFonts w:hint="eastAsia" w:ascii="仿宋" w:hAnsi="仿宋" w:eastAsia="仿宋" w:cs="仿宋"/>
          <w:b/>
          <w:bCs/>
          <w:sz w:val="24"/>
          <w:u w:val="single"/>
        </w:rPr>
        <w:t xml:space="preserve">                                  </w:t>
      </w:r>
      <w:r>
        <w:rPr>
          <w:rFonts w:hint="eastAsia" w:ascii="仿宋" w:hAnsi="仿宋" w:eastAsia="仿宋" w:cs="仿宋"/>
          <w:b/>
          <w:bCs/>
          <w:sz w:val="24"/>
        </w:rPr>
        <w:t xml:space="preserve">     </w:t>
      </w:r>
    </w:p>
    <w:p>
      <w:pPr>
        <w:snapToGrid w:val="0"/>
        <w:spacing w:before="240" w:beforeLines="100" w:after="240" w:afterLines="100" w:line="360" w:lineRule="auto"/>
        <w:ind w:firstLine="985" w:firstLineChars="409"/>
        <w:rPr>
          <w:rFonts w:hint="eastAsia" w:ascii="仿宋" w:hAnsi="仿宋" w:eastAsia="仿宋" w:cs="仿宋"/>
          <w:b/>
          <w:bCs/>
          <w:sz w:val="24"/>
          <w:u w:val="single"/>
        </w:rPr>
      </w:pPr>
      <w:r>
        <w:rPr>
          <w:rFonts w:hint="eastAsia" w:ascii="仿宋" w:hAnsi="仿宋" w:eastAsia="仿宋" w:cs="仿宋"/>
          <w:b/>
          <w:bCs/>
          <w:sz w:val="24"/>
        </w:rPr>
        <w:t>磋商内容：</w:t>
      </w:r>
      <w:r>
        <w:rPr>
          <w:rFonts w:hint="eastAsia" w:ascii="仿宋" w:hAnsi="仿宋" w:eastAsia="仿宋" w:cs="仿宋"/>
          <w:b/>
          <w:bCs/>
          <w:sz w:val="24"/>
          <w:u w:val="single"/>
        </w:rPr>
        <w:t xml:space="preserve">                                       </w:t>
      </w:r>
    </w:p>
    <w:p>
      <w:pPr>
        <w:pStyle w:val="5"/>
        <w:snapToGrid w:val="0"/>
        <w:spacing w:before="240" w:beforeLines="100" w:after="240" w:afterLines="100" w:line="360" w:lineRule="auto"/>
        <w:ind w:firstLine="981" w:firstLineChars="407"/>
        <w:rPr>
          <w:rFonts w:hint="eastAsia" w:ascii="仿宋" w:hAnsi="仿宋" w:eastAsia="仿宋" w:cs="仿宋"/>
          <w:b/>
          <w:bCs/>
          <w:sz w:val="24"/>
          <w:szCs w:val="24"/>
        </w:rPr>
      </w:pPr>
      <w:r>
        <w:rPr>
          <w:rFonts w:hint="eastAsia" w:ascii="仿宋" w:hAnsi="仿宋" w:eastAsia="仿宋" w:cs="仿宋"/>
          <w:b/>
          <w:bCs/>
          <w:sz w:val="24"/>
          <w:szCs w:val="24"/>
        </w:rPr>
        <w:t>供应商名称：</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加盖公章）</w:t>
      </w:r>
    </w:p>
    <w:p>
      <w:pPr>
        <w:pStyle w:val="5"/>
        <w:snapToGrid w:val="0"/>
        <w:spacing w:before="240" w:beforeLines="100" w:after="240" w:afterLines="100" w:line="360" w:lineRule="auto"/>
        <w:ind w:firstLine="985" w:firstLineChars="409"/>
        <w:rPr>
          <w:rFonts w:hint="eastAsia" w:ascii="仿宋" w:hAnsi="仿宋" w:eastAsia="仿宋" w:cs="仿宋"/>
          <w:b/>
          <w:bCs/>
          <w:sz w:val="24"/>
          <w:szCs w:val="24"/>
          <w:u w:val="single"/>
        </w:rPr>
      </w:pPr>
      <w:r>
        <w:rPr>
          <w:rFonts w:hint="eastAsia" w:ascii="仿宋" w:hAnsi="仿宋" w:eastAsia="仿宋" w:cs="仿宋"/>
          <w:b/>
          <w:bCs/>
          <w:sz w:val="24"/>
          <w:szCs w:val="24"/>
        </w:rPr>
        <w:t>供应商地址：</w:t>
      </w:r>
      <w:r>
        <w:rPr>
          <w:rFonts w:hint="eastAsia" w:ascii="仿宋" w:hAnsi="仿宋" w:eastAsia="仿宋" w:cs="仿宋"/>
          <w:b/>
          <w:bCs/>
          <w:sz w:val="24"/>
          <w:szCs w:val="24"/>
          <w:u w:val="single"/>
        </w:rPr>
        <w:t xml:space="preserve">                                     </w:t>
      </w:r>
    </w:p>
    <w:p>
      <w:pPr>
        <w:pStyle w:val="5"/>
        <w:snapToGrid w:val="0"/>
        <w:spacing w:before="240" w:beforeLines="100" w:after="240" w:afterLines="100" w:line="360" w:lineRule="auto"/>
        <w:ind w:firstLine="985" w:firstLineChars="409"/>
        <w:rPr>
          <w:rFonts w:hint="eastAsia" w:ascii="仿宋" w:hAnsi="仿宋" w:eastAsia="仿宋" w:cs="仿宋"/>
          <w:b/>
          <w:bCs/>
          <w:sz w:val="24"/>
          <w:szCs w:val="24"/>
          <w:u w:val="single"/>
        </w:rPr>
      </w:pPr>
      <w:r>
        <w:rPr>
          <w:rFonts w:hint="eastAsia" w:ascii="仿宋" w:hAnsi="仿宋" w:eastAsia="仿宋" w:cs="仿宋"/>
          <w:b/>
          <w:bCs/>
          <w:sz w:val="24"/>
          <w:szCs w:val="24"/>
        </w:rPr>
        <w:t>联系人：</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电话:</w:t>
      </w:r>
      <w:r>
        <w:rPr>
          <w:rFonts w:hint="eastAsia" w:ascii="仿宋" w:hAnsi="仿宋" w:eastAsia="仿宋" w:cs="仿宋"/>
          <w:b/>
          <w:bCs/>
          <w:sz w:val="24"/>
          <w:szCs w:val="24"/>
          <w:u w:val="single"/>
        </w:rPr>
        <w:t xml:space="preserve">                  </w:t>
      </w:r>
    </w:p>
    <w:p>
      <w:pPr>
        <w:snapToGrid w:val="0"/>
        <w:spacing w:before="120" w:beforeLines="50" w:after="50"/>
        <w:ind w:firstLine="628" w:firstLineChars="262"/>
        <w:rPr>
          <w:rFonts w:hint="eastAsia" w:ascii="仿宋" w:hAnsi="仿宋" w:eastAsia="仿宋" w:cs="仿宋"/>
          <w:bCs/>
          <w:sz w:val="24"/>
        </w:rPr>
      </w:pPr>
    </w:p>
    <w:p>
      <w:pPr>
        <w:autoSpaceDE w:val="0"/>
        <w:autoSpaceDN w:val="0"/>
        <w:adjustRightInd w:val="0"/>
        <w:snapToGrid w:val="0"/>
        <w:spacing w:before="120" w:beforeLines="50" w:after="120" w:afterLines="50" w:line="360" w:lineRule="auto"/>
        <w:jc w:val="center"/>
        <w:rPr>
          <w:rFonts w:hint="eastAsia" w:ascii="仿宋" w:hAnsi="仿宋" w:eastAsia="仿宋" w:cs="仿宋"/>
          <w:b/>
          <w:sz w:val="32"/>
          <w:szCs w:val="32"/>
        </w:rPr>
      </w:pPr>
      <w:r>
        <w:rPr>
          <w:rFonts w:hint="eastAsia" w:ascii="仿宋" w:hAnsi="仿宋" w:eastAsia="仿宋" w:cs="仿宋"/>
          <w:bCs/>
          <w:sz w:val="24"/>
        </w:rPr>
        <w:t xml:space="preserve">    </w:t>
      </w:r>
      <w:bookmarkStart w:id="62" w:name="_Toc430714682"/>
      <w:bookmarkStart w:id="63" w:name="_Toc437365891"/>
      <w:bookmarkStart w:id="64" w:name="_Toc437359752"/>
      <w:bookmarkStart w:id="65" w:name="_Toc437365964"/>
      <w:r>
        <w:rPr>
          <w:rFonts w:hint="eastAsia" w:ascii="仿宋" w:hAnsi="仿宋" w:eastAsia="仿宋" w:cs="仿宋"/>
          <w:bCs/>
          <w:sz w:val="24"/>
        </w:rPr>
        <w:t>年   月   日</w:t>
      </w:r>
      <w:bookmarkEnd w:id="62"/>
      <w:bookmarkEnd w:id="63"/>
      <w:bookmarkEnd w:id="64"/>
      <w:bookmarkEnd w:id="65"/>
    </w:p>
    <w:p>
      <w:pPr>
        <w:spacing w:line="360" w:lineRule="exact"/>
        <w:rPr>
          <w:rFonts w:hint="eastAsia" w:ascii="仿宋" w:hAnsi="仿宋" w:eastAsia="仿宋" w:cs="仿宋"/>
        </w:rPr>
      </w:pPr>
    </w:p>
    <w:p>
      <w:pPr>
        <w:rPr>
          <w:rFonts w:hint="eastAsia" w:ascii="仿宋" w:hAnsi="仿宋" w:eastAsia="仿宋" w:cs="仿宋"/>
        </w:rPr>
      </w:pPr>
    </w:p>
    <w:p>
      <w:pPr>
        <w:spacing w:line="440" w:lineRule="exact"/>
        <w:ind w:firstLine="3206" w:firstLineChars="1145"/>
        <w:rPr>
          <w:rFonts w:hint="eastAsia" w:ascii="仿宋" w:hAnsi="仿宋" w:eastAsia="仿宋" w:cs="仿宋"/>
          <w:bCs/>
          <w:color w:val="auto"/>
          <w:sz w:val="24"/>
          <w:szCs w:val="24"/>
        </w:rPr>
      </w:pPr>
      <w:r>
        <w:rPr>
          <w:rFonts w:hint="eastAsia" w:ascii="仿宋" w:hAnsi="仿宋" w:eastAsia="仿宋" w:cs="仿宋"/>
        </w:rPr>
        <w:br w:type="page"/>
      </w:r>
      <w:r>
        <w:rPr>
          <w:rFonts w:hint="eastAsia" w:ascii="仿宋" w:hAnsi="仿宋" w:eastAsia="仿宋" w:cs="仿宋"/>
          <w:bCs/>
          <w:color w:val="auto"/>
          <w:sz w:val="24"/>
          <w:szCs w:val="24"/>
        </w:rPr>
        <w:t>响应文件目录</w:t>
      </w:r>
    </w:p>
    <w:p>
      <w:pPr>
        <w:snapToGrid w:val="0"/>
        <w:spacing w:before="50" w:after="50"/>
        <w:rPr>
          <w:rFonts w:hint="eastAsia" w:ascii="仿宋" w:hAnsi="仿宋" w:eastAsia="仿宋" w:cs="仿宋"/>
          <w:color w:val="auto"/>
          <w:sz w:val="24"/>
          <w:szCs w:val="24"/>
        </w:rPr>
      </w:pPr>
    </w:p>
    <w:p>
      <w:pPr>
        <w:tabs>
          <w:tab w:val="left" w:pos="5580"/>
        </w:tabs>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一、资信证明文件要求</w:t>
      </w:r>
    </w:p>
    <w:p>
      <w:pPr>
        <w:tabs>
          <w:tab w:val="left" w:pos="5580"/>
        </w:tabs>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二、分项报价表</w:t>
      </w:r>
    </w:p>
    <w:p>
      <w:pPr>
        <w:tabs>
          <w:tab w:val="left" w:pos="5580"/>
        </w:tabs>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三、技术响应文件要求</w:t>
      </w:r>
    </w:p>
    <w:p>
      <w:pPr>
        <w:tabs>
          <w:tab w:val="left" w:pos="5580"/>
        </w:tabs>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四、竞争性磋商函格式</w:t>
      </w:r>
    </w:p>
    <w:p>
      <w:pPr>
        <w:tabs>
          <w:tab w:val="left" w:pos="5580"/>
        </w:tabs>
        <w:spacing w:line="480" w:lineRule="exact"/>
        <w:rPr>
          <w:rFonts w:hint="eastAsia" w:ascii="仿宋" w:hAnsi="仿宋" w:eastAsia="仿宋" w:cs="仿宋"/>
          <w:color w:val="auto"/>
          <w:sz w:val="24"/>
          <w:szCs w:val="24"/>
        </w:rPr>
      </w:pPr>
      <w:r>
        <w:rPr>
          <w:rFonts w:hint="eastAsia" w:ascii="仿宋" w:hAnsi="仿宋" w:eastAsia="仿宋" w:cs="仿宋"/>
          <w:color w:val="auto"/>
          <w:sz w:val="24"/>
          <w:szCs w:val="24"/>
        </w:rPr>
        <w:t>五、参加政府采购活动3年内在经营活动中没有重大违法记录的书面声明</w:t>
      </w:r>
    </w:p>
    <w:p>
      <w:pPr>
        <w:tabs>
          <w:tab w:val="left" w:pos="5580"/>
        </w:tabs>
        <w:spacing w:line="48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六、其他资料（年度审计报告、社保证明、完税证明等资料）</w:t>
      </w: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p>
      <w:pPr>
        <w:rPr>
          <w:rFonts w:hint="eastAsia" w:ascii="仿宋" w:hAnsi="仿宋" w:eastAsia="仿宋" w:cs="仿宋"/>
        </w:rPr>
      </w:pPr>
    </w:p>
    <w:p>
      <w:pPr>
        <w:pStyle w:val="6"/>
        <w:rPr>
          <w:rFonts w:hint="eastAsia" w:ascii="仿宋" w:hAnsi="仿宋" w:eastAsia="仿宋" w:cs="仿宋"/>
        </w:rPr>
      </w:pPr>
    </w:p>
    <w:bookmarkEnd w:id="53"/>
    <w:bookmarkEnd w:id="54"/>
    <w:bookmarkEnd w:id="55"/>
    <w:bookmarkEnd w:id="56"/>
    <w:bookmarkEnd w:id="57"/>
    <w:bookmarkEnd w:id="61"/>
    <w:p>
      <w:pPr>
        <w:spacing w:line="440" w:lineRule="exact"/>
        <w:jc w:val="center"/>
        <w:rPr>
          <w:rFonts w:hint="eastAsia" w:ascii="仿宋" w:hAnsi="仿宋" w:eastAsia="仿宋" w:cs="仿宋"/>
          <w:color w:val="auto"/>
          <w:sz w:val="30"/>
          <w:szCs w:val="30"/>
        </w:rPr>
      </w:pPr>
      <w:r>
        <w:rPr>
          <w:rFonts w:hint="eastAsia" w:ascii="仿宋" w:hAnsi="仿宋" w:eastAsia="仿宋" w:cs="仿宋"/>
          <w:color w:val="auto"/>
          <w:sz w:val="30"/>
          <w:szCs w:val="30"/>
        </w:rPr>
        <w:t>投  标  函</w:t>
      </w:r>
    </w:p>
    <w:p>
      <w:pPr>
        <w:spacing w:line="600" w:lineRule="exact"/>
        <w:ind w:firstLine="120" w:firstLine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新疆维吾尔自治区阿克苏职业技术学院</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根据贵方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(项目名称）招标文件，正式授权下述签字人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(姓名和职务)代表投标人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（投标人名称），提交下述文件正本一式壹份，副本一式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1、我们完全理解贵方不一定要接受最低报价的投标或收到的任何投标。</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2、我们已详细审核全部招标文件及其有效补充文件，我们知道必须放弃提出含糊不清或误解的问题的权利。</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3、我们同意从规定的开标日期起遵循本投标文件，并在规定的投标有效期期满之前均具有约束力。</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4、如果在开标后规定的投标有效期内撤回投标，我们的投标保证金贵方不予退还。</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5、同意向贵方提供贵方可能要求的与投标有关的任何证据或资料，并保证我方已提供和将要提供的文件是真实的、准确的。</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6、一旦我方中标，我方将根据招标文件的规定，严格履行合同，并保证于承诺的时间完成服务工作。</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我方将严格遵守《中华人民共和国政府采购法》第七十七条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(1)提供虚假材料谋取中标、成交的；</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(2)采取不正当手段诋毁、排挤其他供应商的；</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(3)与采购人、其它投标人或者采购代理机构恶意串通的；</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(4)向采购人、采购代理机构行贿或者提供其他不正当利益的；</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(5)拒绝有关部门监督检查或提供虚假情况的。</w:t>
      </w:r>
    </w:p>
    <w:p>
      <w:pPr>
        <w:spacing w:line="37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8、与本投标有关的正式通讯地址为：</w:t>
      </w:r>
    </w:p>
    <w:p>
      <w:pPr>
        <w:spacing w:line="37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地   址：</w:t>
      </w:r>
    </w:p>
    <w:p>
      <w:pPr>
        <w:spacing w:line="37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电   话：</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传   真：</w:t>
      </w:r>
    </w:p>
    <w:p>
      <w:pPr>
        <w:spacing w:line="370" w:lineRule="exact"/>
        <w:ind w:firstLine="4320" w:firstLineChars="1800"/>
        <w:rPr>
          <w:rFonts w:hint="eastAsia" w:ascii="仿宋" w:hAnsi="仿宋" w:eastAsia="仿宋" w:cs="仿宋"/>
          <w:color w:val="auto"/>
          <w:sz w:val="24"/>
          <w:szCs w:val="24"/>
        </w:rPr>
      </w:pPr>
    </w:p>
    <w:p>
      <w:pPr>
        <w:spacing w:line="370" w:lineRule="exact"/>
        <w:ind w:firstLine="1200" w:firstLineChars="500"/>
        <w:rPr>
          <w:rFonts w:hint="eastAsia" w:ascii="仿宋" w:hAnsi="仿宋" w:eastAsia="仿宋" w:cs="仿宋"/>
          <w:color w:val="auto"/>
          <w:sz w:val="24"/>
          <w:szCs w:val="24"/>
          <w:u w:val="single"/>
        </w:rPr>
      </w:pPr>
      <w:r>
        <w:rPr>
          <w:rFonts w:hint="eastAsia" w:ascii="仿宋" w:hAnsi="仿宋" w:eastAsia="仿宋" w:cs="仿宋"/>
          <w:color w:val="auto"/>
          <w:sz w:val="24"/>
          <w:szCs w:val="24"/>
        </w:rPr>
        <w:t>法定代表人或授权代表（签字）：</w:t>
      </w:r>
    </w:p>
    <w:p>
      <w:pPr>
        <w:spacing w:line="370" w:lineRule="exact"/>
        <w:ind w:firstLine="3120" w:firstLineChars="1300"/>
        <w:jc w:val="left"/>
        <w:rPr>
          <w:rFonts w:hint="eastAsia" w:ascii="仿宋" w:hAnsi="仿宋" w:eastAsia="仿宋" w:cs="仿宋"/>
          <w:color w:val="auto"/>
          <w:sz w:val="24"/>
          <w:szCs w:val="24"/>
        </w:rPr>
      </w:pPr>
      <w:r>
        <w:rPr>
          <w:rFonts w:hint="eastAsia" w:ascii="仿宋" w:hAnsi="仿宋" w:eastAsia="仿宋" w:cs="仿宋"/>
          <w:color w:val="auto"/>
          <w:sz w:val="24"/>
          <w:szCs w:val="24"/>
        </w:rPr>
        <w:t>投标人（章）：</w:t>
      </w:r>
    </w:p>
    <w:p>
      <w:pPr>
        <w:spacing w:line="370" w:lineRule="exact"/>
        <w:ind w:firstLine="960" w:firstLineChars="400"/>
        <w:jc w:val="right"/>
        <w:rPr>
          <w:rFonts w:hint="eastAsia" w:ascii="仿宋" w:hAnsi="仿宋" w:eastAsia="仿宋" w:cs="仿宋"/>
          <w:color w:val="auto"/>
          <w:sz w:val="28"/>
          <w:szCs w:val="28"/>
        </w:r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pPr>
        <w:jc w:val="both"/>
        <w:rPr>
          <w:rFonts w:hint="eastAsia" w:ascii="仿宋" w:hAnsi="仿宋" w:eastAsia="仿宋" w:cs="仿宋"/>
          <w:b/>
          <w:bCs/>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法定代表人授权委托书</w:t>
      </w:r>
    </w:p>
    <w:p>
      <w:pPr>
        <w:jc w:val="cente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新疆维吾尔自治区阿克苏职业技术学院</w:t>
      </w:r>
      <w:r>
        <w:rPr>
          <w:rFonts w:hint="eastAsia" w:ascii="仿宋" w:hAnsi="仿宋" w:eastAsia="仿宋" w:cs="仿宋"/>
          <w:color w:val="auto"/>
          <w:sz w:val="24"/>
          <w:szCs w:val="24"/>
        </w:rPr>
        <w:t>：</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本授权书声明：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（法定代表人姓名、职务）代表本公司授权在下面签字的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（被授权人姓名、职务）为本公司的合法代理人，就贵方组织的项目名称</w:t>
      </w:r>
      <w:r>
        <w:rPr>
          <w:rFonts w:hint="eastAsia" w:ascii="仿宋" w:hAnsi="仿宋" w:eastAsia="仿宋" w:cs="仿宋"/>
          <w:b/>
          <w:color w:val="auto"/>
          <w:sz w:val="24"/>
          <w:szCs w:val="24"/>
          <w:u w:val="single"/>
        </w:rPr>
        <w:t xml:space="preserve">                                 </w:t>
      </w:r>
      <w:r>
        <w:rPr>
          <w:rFonts w:hint="eastAsia" w:ascii="仿宋" w:hAnsi="仿宋" w:eastAsia="仿宋" w:cs="仿宋"/>
          <w:color w:val="auto"/>
          <w:sz w:val="24"/>
          <w:szCs w:val="24"/>
        </w:rPr>
        <w:t>，</w:t>
      </w:r>
    </w:p>
    <w:p>
      <w:pPr>
        <w:rPr>
          <w:rFonts w:hint="eastAsia" w:ascii="仿宋" w:hAnsi="仿宋" w:eastAsia="仿宋" w:cs="仿宋"/>
          <w:color w:val="auto"/>
          <w:sz w:val="24"/>
          <w:szCs w:val="24"/>
        </w:rPr>
      </w:pPr>
      <w:r>
        <w:rPr>
          <w:rFonts w:hint="eastAsia" w:ascii="仿宋" w:hAnsi="仿宋" w:eastAsia="仿宋" w:cs="仿宋"/>
          <w:color w:val="auto"/>
          <w:sz w:val="24"/>
          <w:szCs w:val="24"/>
        </w:rPr>
        <w:t>投标，以本公司名义处理一切与之有关的事务。</w:t>
      </w:r>
    </w:p>
    <w:p>
      <w:pPr>
        <w:ind w:firstLine="480" w:firstLineChars="200"/>
        <w:rPr>
          <w:rFonts w:hint="eastAsia" w:ascii="仿宋" w:hAnsi="仿宋" w:eastAsia="仿宋" w:cs="仿宋"/>
          <w:color w:val="auto"/>
          <w:sz w:val="24"/>
          <w:szCs w:val="24"/>
        </w:rPr>
      </w:pPr>
    </w:p>
    <w:p>
      <w:pPr>
        <w:ind w:firstLine="2640" w:firstLineChars="1100"/>
        <w:rPr>
          <w:rFonts w:hint="eastAsia" w:ascii="仿宋" w:hAnsi="仿宋" w:eastAsia="仿宋" w:cs="仿宋"/>
          <w:color w:val="auto"/>
          <w:sz w:val="24"/>
          <w:szCs w:val="24"/>
        </w:rPr>
      </w:pP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本授权书于    年  月  日签字或盖章生效，特此声明。</w:t>
      </w:r>
    </w:p>
    <w:p>
      <w:pPr>
        <w:ind w:firstLine="480" w:firstLineChars="200"/>
        <w:rPr>
          <w:rFonts w:hint="eastAsia" w:ascii="仿宋" w:hAnsi="仿宋" w:eastAsia="仿宋" w:cs="仿宋"/>
          <w:color w:val="auto"/>
          <w:sz w:val="24"/>
          <w:szCs w:val="24"/>
        </w:rPr>
      </w:pP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法定代表人签字（或盖章）：</w:t>
      </w: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职    务：</w:t>
      </w: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单位名称：</w:t>
      </w:r>
    </w:p>
    <w:p>
      <w:pPr>
        <w:ind w:firstLine="2640" w:firstLineChars="1100"/>
        <w:rPr>
          <w:rFonts w:hint="eastAsia" w:ascii="仿宋" w:hAnsi="仿宋" w:eastAsia="仿宋" w:cs="仿宋"/>
          <w:color w:val="auto"/>
          <w:sz w:val="24"/>
          <w:szCs w:val="24"/>
        </w:rPr>
      </w:pP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被授权人签字：</w:t>
      </w: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职    务：</w:t>
      </w:r>
    </w:p>
    <w:p>
      <w:pPr>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单位名称：</w:t>
      </w:r>
    </w:p>
    <w:p>
      <w:pPr>
        <w:tabs>
          <w:tab w:val="left" w:pos="1440"/>
        </w:tabs>
        <w:ind w:firstLine="480" w:firstLineChars="200"/>
        <w:rPr>
          <w:rFonts w:hint="eastAsia" w:ascii="仿宋" w:hAnsi="仿宋" w:eastAsia="仿宋" w:cs="仿宋"/>
          <w:color w:val="auto"/>
          <w:sz w:val="24"/>
          <w:szCs w:val="24"/>
        </w:rPr>
      </w:pPr>
    </w:p>
    <w:p>
      <w:pPr>
        <w:tabs>
          <w:tab w:val="left" w:pos="1440"/>
        </w:tabs>
        <w:ind w:firstLine="2640" w:firstLineChars="1100"/>
        <w:rPr>
          <w:rFonts w:hint="eastAsia" w:ascii="仿宋" w:hAnsi="仿宋" w:eastAsia="仿宋" w:cs="仿宋"/>
          <w:color w:val="auto"/>
          <w:sz w:val="24"/>
          <w:szCs w:val="24"/>
        </w:rPr>
      </w:pPr>
      <w:r>
        <w:rPr>
          <w:rFonts w:hint="eastAsia" w:ascii="仿宋" w:hAnsi="仿宋" w:eastAsia="仿宋" w:cs="仿宋"/>
          <w:color w:val="auto"/>
          <w:sz w:val="24"/>
          <w:szCs w:val="24"/>
        </w:rPr>
        <w:t>谈判供应商名称（公章）：</w:t>
      </w:r>
    </w:p>
    <w:p>
      <w:pPr>
        <w:tabs>
          <w:tab w:val="left" w:pos="1440"/>
        </w:tabs>
        <w:ind w:firstLine="480" w:firstLineChars="200"/>
        <w:rPr>
          <w:rFonts w:hint="eastAsia" w:ascii="仿宋" w:hAnsi="仿宋" w:eastAsia="仿宋" w:cs="仿宋"/>
          <w:color w:val="auto"/>
          <w:sz w:val="24"/>
          <w:szCs w:val="24"/>
        </w:rPr>
      </w:pPr>
    </w:p>
    <w:p>
      <w:pPr>
        <w:tabs>
          <w:tab w:val="left" w:pos="1440"/>
        </w:tabs>
        <w:ind w:firstLine="5760" w:firstLineChars="2400"/>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p>
      <w:pPr>
        <w:rPr>
          <w:rFonts w:hint="eastAsia" w:ascii="仿宋" w:hAnsi="仿宋" w:eastAsia="仿宋" w:cs="仿宋"/>
          <w:color w:val="auto"/>
          <w:sz w:val="24"/>
          <w:szCs w:val="24"/>
        </w:rPr>
      </w:pPr>
      <w:r>
        <w:rPr>
          <w:rFonts w:hint="eastAsia" w:ascii="仿宋" w:hAnsi="仿宋" w:eastAsia="仿宋" w:cs="仿宋"/>
          <w:b/>
          <w:color w:val="auto"/>
          <w:sz w:val="24"/>
          <w:szCs w:val="24"/>
        </w:rPr>
        <w:t>身份证复印件：</w:t>
      </w: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pStyle w:val="17"/>
        <w:rPr>
          <w:rFonts w:hint="eastAsia" w:ascii="仿宋" w:hAnsi="仿宋" w:eastAsia="仿宋" w:cs="仿宋"/>
        </w:rPr>
      </w:pPr>
    </w:p>
    <w:p>
      <w:pPr>
        <w:jc w:val="both"/>
        <w:rPr>
          <w:rFonts w:hint="eastAsia" w:ascii="仿宋" w:hAnsi="仿宋" w:eastAsia="仿宋" w:cs="仿宋"/>
          <w:color w:val="auto"/>
          <w:sz w:val="24"/>
          <w:szCs w:val="24"/>
        </w:rPr>
      </w:pPr>
    </w:p>
    <w:p>
      <w:pPr>
        <w:tabs>
          <w:tab w:val="left" w:pos="5580"/>
        </w:tabs>
        <w:spacing w:line="480" w:lineRule="exact"/>
        <w:jc w:val="center"/>
        <w:rPr>
          <w:rFonts w:hint="eastAsia" w:ascii="仿宋" w:hAnsi="仿宋" w:eastAsia="仿宋" w:cs="仿宋"/>
          <w:b w:val="0"/>
          <w:bCs/>
          <w:i w:val="0"/>
          <w:iCs w:val="0"/>
          <w:color w:val="auto"/>
          <w:sz w:val="30"/>
          <w:szCs w:val="30"/>
        </w:rPr>
      </w:pPr>
      <w:bookmarkStart w:id="66" w:name="_Toc513029276"/>
      <w:bookmarkStart w:id="67" w:name="_Toc460901585"/>
      <w:bookmarkStart w:id="68" w:name="_Toc26554095"/>
      <w:bookmarkStart w:id="69" w:name="_Toc49090577"/>
      <w:bookmarkStart w:id="70" w:name="_Toc120614283"/>
      <w:bookmarkStart w:id="71" w:name="_Toc23828478"/>
      <w:bookmarkStart w:id="72" w:name="_Toc22356580"/>
      <w:r>
        <w:rPr>
          <w:rFonts w:hint="eastAsia" w:ascii="仿宋" w:hAnsi="仿宋" w:eastAsia="仿宋" w:cs="仿宋"/>
          <w:b w:val="0"/>
          <w:bCs/>
          <w:i w:val="0"/>
          <w:iCs w:val="0"/>
          <w:color w:val="auto"/>
          <w:sz w:val="30"/>
          <w:szCs w:val="30"/>
        </w:rPr>
        <w:t>竞争性磋商函</w:t>
      </w:r>
      <w:bookmarkEnd w:id="66"/>
      <w:bookmarkEnd w:id="67"/>
      <w:bookmarkEnd w:id="68"/>
      <w:bookmarkEnd w:id="69"/>
      <w:bookmarkEnd w:id="70"/>
      <w:bookmarkEnd w:id="71"/>
      <w:bookmarkEnd w:id="72"/>
      <w:r>
        <w:rPr>
          <w:rFonts w:hint="eastAsia" w:ascii="仿宋" w:hAnsi="仿宋" w:eastAsia="仿宋" w:cs="仿宋"/>
          <w:b w:val="0"/>
          <w:bCs/>
          <w:i w:val="0"/>
          <w:iCs w:val="0"/>
          <w:color w:val="auto"/>
          <w:sz w:val="30"/>
          <w:szCs w:val="30"/>
        </w:rPr>
        <w:t>格式</w:t>
      </w:r>
    </w:p>
    <w:p>
      <w:pPr>
        <w:spacing w:line="600" w:lineRule="exact"/>
        <w:ind w:firstLine="120" w:firstLineChars="5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新疆维吾尔自治区阿克苏职业技术学院</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根据贵方的_______号竞争性磋商文件，正式授权下述签_______________(姓名和职务)代表我方______________（供应商的名称），全权处理本次项目磋商的有关事宜。</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据此函，__________签字人兹宣布同意如下：</w:t>
      </w:r>
    </w:p>
    <w:p>
      <w:pPr>
        <w:rPr>
          <w:rFonts w:hint="eastAsia" w:ascii="仿宋" w:hAnsi="仿宋" w:eastAsia="仿宋" w:cs="仿宋"/>
          <w:color w:val="auto"/>
          <w:sz w:val="24"/>
          <w:szCs w:val="24"/>
        </w:rPr>
      </w:pPr>
      <w:r>
        <w:rPr>
          <w:rFonts w:hint="eastAsia" w:ascii="仿宋" w:hAnsi="仿宋" w:eastAsia="仿宋" w:cs="仿宋"/>
          <w:color w:val="auto"/>
          <w:sz w:val="24"/>
          <w:szCs w:val="24"/>
        </w:rPr>
        <w:t>1.按竞争性磋商文件规定的各项要求，向买方提供所需货物与服务。</w:t>
      </w:r>
    </w:p>
    <w:p>
      <w:pPr>
        <w:rPr>
          <w:rFonts w:hint="eastAsia" w:ascii="仿宋" w:hAnsi="仿宋" w:eastAsia="仿宋" w:cs="仿宋"/>
          <w:color w:val="auto"/>
          <w:sz w:val="24"/>
          <w:szCs w:val="24"/>
        </w:rPr>
      </w:pPr>
      <w:r>
        <w:rPr>
          <w:rFonts w:hint="eastAsia" w:ascii="仿宋" w:hAnsi="仿宋" w:eastAsia="仿宋" w:cs="仿宋"/>
          <w:color w:val="auto"/>
          <w:sz w:val="24"/>
          <w:szCs w:val="24"/>
        </w:rPr>
        <w:t>2.我们完全理解贵方不一定将合同授予最低报价的供应商。</w:t>
      </w:r>
    </w:p>
    <w:p>
      <w:pPr>
        <w:rPr>
          <w:rFonts w:hint="eastAsia" w:ascii="仿宋" w:hAnsi="仿宋" w:eastAsia="仿宋" w:cs="仿宋"/>
          <w:color w:val="auto"/>
          <w:sz w:val="24"/>
          <w:szCs w:val="24"/>
        </w:rPr>
      </w:pPr>
      <w:r>
        <w:rPr>
          <w:rFonts w:hint="eastAsia" w:ascii="仿宋" w:hAnsi="仿宋" w:eastAsia="仿宋" w:cs="仿宋"/>
          <w:color w:val="auto"/>
          <w:sz w:val="24"/>
          <w:szCs w:val="24"/>
        </w:rPr>
        <w:t>3.我们已详细审核全部竞争性磋商文件及其有效补充文件，我们知道必须放弃提出含糊不清或误解问题的权利。</w:t>
      </w:r>
    </w:p>
    <w:p>
      <w:pPr>
        <w:rPr>
          <w:rFonts w:hint="eastAsia" w:ascii="仿宋" w:hAnsi="仿宋" w:eastAsia="仿宋" w:cs="仿宋"/>
          <w:color w:val="auto"/>
          <w:sz w:val="24"/>
          <w:szCs w:val="24"/>
        </w:rPr>
      </w:pPr>
      <w:r>
        <w:rPr>
          <w:rFonts w:hint="eastAsia" w:ascii="仿宋" w:hAnsi="仿宋" w:eastAsia="仿宋" w:cs="仿宋"/>
          <w:color w:val="auto"/>
          <w:sz w:val="24"/>
          <w:szCs w:val="24"/>
        </w:rPr>
        <w:t>4.我们同意从规定的响应文件开启时间起遵循本响应文件。</w:t>
      </w:r>
    </w:p>
    <w:p>
      <w:pPr>
        <w:rPr>
          <w:rFonts w:hint="eastAsia" w:ascii="仿宋" w:hAnsi="仿宋" w:eastAsia="仿宋" w:cs="仿宋"/>
          <w:color w:val="auto"/>
          <w:sz w:val="24"/>
          <w:szCs w:val="24"/>
        </w:rPr>
      </w:pPr>
      <w:r>
        <w:rPr>
          <w:rFonts w:hint="eastAsia" w:ascii="仿宋" w:hAnsi="仿宋" w:eastAsia="仿宋" w:cs="仿宋"/>
          <w:color w:val="auto"/>
          <w:sz w:val="24"/>
          <w:szCs w:val="24"/>
        </w:rPr>
        <w:t>5.如果在确定成交后拒绝签订合同，我们的磋商保证金可被贵方没收。</w:t>
      </w:r>
    </w:p>
    <w:p>
      <w:pPr>
        <w:rPr>
          <w:rFonts w:hint="eastAsia" w:ascii="仿宋" w:hAnsi="仿宋" w:eastAsia="仿宋" w:cs="仿宋"/>
          <w:color w:val="auto"/>
          <w:sz w:val="24"/>
          <w:szCs w:val="24"/>
        </w:rPr>
      </w:pPr>
      <w:r>
        <w:rPr>
          <w:rFonts w:hint="eastAsia" w:ascii="仿宋" w:hAnsi="仿宋" w:eastAsia="仿宋" w:cs="仿宋"/>
          <w:color w:val="auto"/>
          <w:sz w:val="24"/>
          <w:szCs w:val="24"/>
        </w:rPr>
        <w:t>6.同意向贵方提供贵方可能另外要求的与磋商有关的任何证据或资料，并保证我方已提供和将要提供的文件是真实的、准确的。</w:t>
      </w:r>
    </w:p>
    <w:p>
      <w:pPr>
        <w:rPr>
          <w:rFonts w:hint="eastAsia" w:ascii="仿宋" w:hAnsi="仿宋" w:eastAsia="仿宋" w:cs="仿宋"/>
          <w:color w:val="auto"/>
          <w:sz w:val="24"/>
          <w:szCs w:val="24"/>
        </w:rPr>
      </w:pPr>
      <w:r>
        <w:rPr>
          <w:rFonts w:hint="eastAsia" w:ascii="仿宋" w:hAnsi="仿宋" w:eastAsia="仿宋" w:cs="仿宋"/>
          <w:color w:val="auto"/>
          <w:sz w:val="24"/>
          <w:szCs w:val="24"/>
        </w:rPr>
        <w:t>7.一旦我方别确认成交,我方将根据竞争性磋商文件的规定，严格履行合同的责任和义务,并保证在竞争性磋商文件规定的时间完成项目，交付买方验收、使用。</w:t>
      </w:r>
    </w:p>
    <w:p>
      <w:pPr>
        <w:rPr>
          <w:rFonts w:hint="eastAsia" w:ascii="仿宋" w:hAnsi="仿宋" w:eastAsia="仿宋" w:cs="仿宋"/>
          <w:color w:val="auto"/>
          <w:sz w:val="24"/>
          <w:szCs w:val="24"/>
        </w:rPr>
      </w:pPr>
      <w:r>
        <w:rPr>
          <w:rFonts w:hint="eastAsia" w:ascii="仿宋" w:hAnsi="仿宋" w:eastAsia="仿宋" w:cs="仿宋"/>
          <w:color w:val="auto"/>
          <w:sz w:val="24"/>
          <w:szCs w:val="24"/>
        </w:rPr>
        <w:t>8.遵守竞争性磋商文件中要求的收费项目和标准。</w:t>
      </w:r>
    </w:p>
    <w:p>
      <w:pPr>
        <w:rPr>
          <w:rFonts w:hint="eastAsia" w:ascii="仿宋" w:hAnsi="仿宋" w:eastAsia="仿宋" w:cs="仿宋"/>
          <w:color w:val="auto"/>
          <w:sz w:val="24"/>
          <w:szCs w:val="24"/>
        </w:rPr>
      </w:pPr>
      <w:r>
        <w:rPr>
          <w:rFonts w:hint="eastAsia" w:ascii="仿宋" w:hAnsi="仿宋" w:eastAsia="仿宋" w:cs="仿宋"/>
          <w:color w:val="auto"/>
          <w:sz w:val="24"/>
          <w:szCs w:val="24"/>
        </w:rPr>
        <w:t>9.与本磋商有关的正式通讯地址为：</w:t>
      </w:r>
    </w:p>
    <w:p>
      <w:pPr>
        <w:rPr>
          <w:rFonts w:hint="eastAsia" w:ascii="仿宋" w:hAnsi="仿宋" w:eastAsia="仿宋" w:cs="仿宋"/>
          <w:color w:val="auto"/>
          <w:sz w:val="24"/>
          <w:szCs w:val="24"/>
        </w:rPr>
      </w:pPr>
      <w:r>
        <w:rPr>
          <w:rFonts w:hint="eastAsia" w:ascii="仿宋" w:hAnsi="仿宋" w:eastAsia="仿宋" w:cs="仿宋"/>
          <w:color w:val="auto"/>
          <w:sz w:val="24"/>
          <w:szCs w:val="24"/>
        </w:rPr>
        <w:t>地址：</w:t>
      </w:r>
    </w:p>
    <w:p>
      <w:pPr>
        <w:rPr>
          <w:rFonts w:hint="eastAsia" w:ascii="仿宋" w:hAnsi="仿宋" w:eastAsia="仿宋" w:cs="仿宋"/>
          <w:color w:val="auto"/>
          <w:sz w:val="24"/>
          <w:szCs w:val="24"/>
        </w:rPr>
      </w:pPr>
      <w:r>
        <w:rPr>
          <w:rFonts w:hint="eastAsia" w:ascii="仿宋" w:hAnsi="仿宋" w:eastAsia="仿宋" w:cs="仿宋"/>
          <w:color w:val="auto"/>
          <w:sz w:val="24"/>
          <w:szCs w:val="24"/>
        </w:rPr>
        <w:t>邮编：</w:t>
      </w:r>
    </w:p>
    <w:p>
      <w:pPr>
        <w:rPr>
          <w:rFonts w:hint="eastAsia" w:ascii="仿宋" w:hAnsi="仿宋" w:eastAsia="仿宋" w:cs="仿宋"/>
          <w:color w:val="auto"/>
          <w:sz w:val="24"/>
          <w:szCs w:val="24"/>
        </w:rPr>
      </w:pPr>
      <w:r>
        <w:rPr>
          <w:rFonts w:hint="eastAsia" w:ascii="仿宋" w:hAnsi="仿宋" w:eastAsia="仿宋" w:cs="仿宋"/>
          <w:color w:val="auto"/>
          <w:sz w:val="24"/>
          <w:szCs w:val="24"/>
        </w:rPr>
        <w:t>电话：</w:t>
      </w:r>
    </w:p>
    <w:p>
      <w:pPr>
        <w:rPr>
          <w:rFonts w:hint="eastAsia" w:ascii="仿宋" w:hAnsi="仿宋" w:eastAsia="仿宋" w:cs="仿宋"/>
          <w:color w:val="auto"/>
          <w:sz w:val="24"/>
          <w:szCs w:val="24"/>
        </w:rPr>
      </w:pPr>
      <w:r>
        <w:rPr>
          <w:rFonts w:hint="eastAsia" w:ascii="仿宋" w:hAnsi="仿宋" w:eastAsia="仿宋" w:cs="仿宋"/>
          <w:color w:val="auto"/>
          <w:sz w:val="24"/>
          <w:szCs w:val="24"/>
        </w:rPr>
        <w:t>传真：</w:t>
      </w:r>
    </w:p>
    <w:p>
      <w:pPr>
        <w:rPr>
          <w:rFonts w:hint="eastAsia" w:ascii="仿宋" w:hAnsi="仿宋" w:eastAsia="仿宋" w:cs="仿宋"/>
          <w:color w:val="auto"/>
          <w:sz w:val="24"/>
          <w:szCs w:val="24"/>
        </w:rPr>
      </w:pPr>
      <w:r>
        <w:rPr>
          <w:rFonts w:hint="eastAsia" w:ascii="仿宋" w:hAnsi="仿宋" w:eastAsia="仿宋" w:cs="仿宋"/>
          <w:color w:val="auto"/>
          <w:sz w:val="24"/>
          <w:szCs w:val="24"/>
        </w:rPr>
        <w:t>供应商开户行：</w:t>
      </w:r>
    </w:p>
    <w:p>
      <w:pPr>
        <w:rPr>
          <w:rFonts w:hint="eastAsia" w:ascii="仿宋" w:hAnsi="仿宋" w:eastAsia="仿宋" w:cs="仿宋"/>
          <w:color w:val="auto"/>
          <w:sz w:val="24"/>
          <w:szCs w:val="24"/>
        </w:rPr>
      </w:pPr>
      <w:r>
        <w:rPr>
          <w:rFonts w:hint="eastAsia" w:ascii="仿宋" w:hAnsi="仿宋" w:eastAsia="仿宋" w:cs="仿宋"/>
          <w:color w:val="auto"/>
          <w:sz w:val="24"/>
          <w:szCs w:val="24"/>
        </w:rPr>
        <w:t>账户：</w:t>
      </w:r>
    </w:p>
    <w:p>
      <w:pPr>
        <w:rPr>
          <w:rFonts w:hint="eastAsia" w:ascii="仿宋" w:hAnsi="仿宋" w:eastAsia="仿宋" w:cs="仿宋"/>
          <w:color w:val="auto"/>
          <w:sz w:val="24"/>
          <w:szCs w:val="24"/>
        </w:rPr>
      </w:pPr>
    </w:p>
    <w:p>
      <w:pPr>
        <w:ind w:firstLine="4560" w:firstLineChars="1900"/>
        <w:rPr>
          <w:rFonts w:hint="eastAsia" w:ascii="仿宋" w:hAnsi="仿宋" w:eastAsia="仿宋" w:cs="仿宋"/>
          <w:color w:val="auto"/>
          <w:sz w:val="24"/>
          <w:szCs w:val="24"/>
        </w:rPr>
      </w:pPr>
      <w:r>
        <w:rPr>
          <w:rFonts w:hint="eastAsia" w:ascii="仿宋" w:hAnsi="仿宋" w:eastAsia="仿宋" w:cs="仿宋"/>
          <w:color w:val="auto"/>
          <w:sz w:val="24"/>
          <w:szCs w:val="24"/>
        </w:rPr>
        <w:t>供应商授权代表姓名（签字）：</w:t>
      </w:r>
    </w:p>
    <w:p>
      <w:pPr>
        <w:ind w:firstLine="5520" w:firstLineChars="2300"/>
        <w:rPr>
          <w:rFonts w:hint="eastAsia" w:ascii="仿宋" w:hAnsi="仿宋" w:eastAsia="仿宋" w:cs="仿宋"/>
          <w:color w:val="auto"/>
          <w:sz w:val="24"/>
          <w:szCs w:val="24"/>
        </w:rPr>
      </w:pPr>
      <w:r>
        <w:rPr>
          <w:rFonts w:hint="eastAsia" w:ascii="仿宋" w:hAnsi="仿宋" w:eastAsia="仿宋" w:cs="仿宋"/>
          <w:color w:val="auto"/>
          <w:sz w:val="24"/>
          <w:szCs w:val="24"/>
        </w:rPr>
        <w:t>供应商名称（公章）：</w:t>
      </w:r>
    </w:p>
    <w:p>
      <w:pPr>
        <w:tabs>
          <w:tab w:val="left" w:pos="5580"/>
        </w:tabs>
        <w:spacing w:line="480" w:lineRule="exact"/>
        <w:ind w:firstLine="5520" w:firstLineChars="2300"/>
        <w:rPr>
          <w:rStyle w:val="24"/>
          <w:rFonts w:hint="eastAsia" w:ascii="仿宋" w:hAnsi="仿宋" w:eastAsia="仿宋" w:cs="仿宋"/>
          <w:color w:val="auto"/>
          <w:sz w:val="24"/>
          <w:szCs w:val="24"/>
        </w:rPr>
      </w:pPr>
      <w:r>
        <w:rPr>
          <w:rFonts w:hint="eastAsia" w:ascii="仿宋" w:hAnsi="仿宋" w:eastAsia="仿宋" w:cs="仿宋"/>
          <w:color w:val="auto"/>
          <w:sz w:val="24"/>
          <w:szCs w:val="24"/>
        </w:rPr>
        <w:t>日期：________年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rPr>
        <w:t>月__</w:t>
      </w:r>
    </w:p>
    <w:p>
      <w:pPr>
        <w:rPr>
          <w:rFonts w:hint="eastAsia" w:ascii="仿宋" w:hAnsi="仿宋" w:eastAsia="仿宋" w:cs="仿宋"/>
          <w:i/>
          <w:color w:val="auto"/>
          <w:sz w:val="24"/>
          <w:szCs w:val="24"/>
          <w:u w:val="single"/>
        </w:rPr>
      </w:pPr>
    </w:p>
    <w:p>
      <w:pPr>
        <w:rPr>
          <w:rFonts w:hint="eastAsia" w:ascii="仿宋" w:hAnsi="仿宋" w:eastAsia="仿宋" w:cs="仿宋"/>
          <w:b/>
          <w:color w:val="auto"/>
          <w:sz w:val="24"/>
          <w:szCs w:val="24"/>
        </w:rPr>
      </w:pPr>
    </w:p>
    <w:p>
      <w:pPr>
        <w:jc w:val="center"/>
        <w:rPr>
          <w:rFonts w:hint="eastAsia" w:ascii="仿宋" w:hAnsi="仿宋" w:eastAsia="仿宋" w:cs="仿宋"/>
          <w:b/>
          <w:color w:val="auto"/>
          <w:sz w:val="28"/>
          <w:szCs w:val="28"/>
          <w:lang w:eastAsia="zh-CN"/>
        </w:rPr>
      </w:pPr>
      <w:r>
        <w:rPr>
          <w:rFonts w:hint="eastAsia" w:ascii="仿宋" w:hAnsi="仿宋" w:eastAsia="仿宋" w:cs="仿宋"/>
          <w:b/>
          <w:color w:val="auto"/>
          <w:sz w:val="28"/>
          <w:szCs w:val="28"/>
        </w:rPr>
        <w:t>参加政府采购活动前3年内在经营活动中没有重大违法记录的书面声明(参考格式)</w:t>
      </w:r>
    </w:p>
    <w:p>
      <w:pPr>
        <w:pStyle w:val="6"/>
        <w:rPr>
          <w:rFonts w:hint="eastAsia" w:ascii="仿宋" w:hAnsi="仿宋" w:eastAsia="仿宋" w:cs="仿宋"/>
          <w:sz w:val="28"/>
          <w:szCs w:val="28"/>
          <w:lang w:eastAsia="zh-CN"/>
        </w:rPr>
      </w:pPr>
    </w:p>
    <w:p>
      <w:pPr>
        <w:tabs>
          <w:tab w:val="left" w:pos="5580"/>
        </w:tabs>
        <w:spacing w:line="480" w:lineRule="exact"/>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声</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明</w:t>
      </w:r>
    </w:p>
    <w:p>
      <w:pPr>
        <w:rPr>
          <w:rFonts w:hint="eastAsia" w:ascii="仿宋" w:hAnsi="仿宋" w:eastAsia="仿宋" w:cs="仿宋"/>
          <w:color w:val="auto"/>
          <w:sz w:val="28"/>
          <w:szCs w:val="28"/>
          <w:lang w:eastAsia="zh-CN"/>
        </w:rPr>
      </w:pPr>
    </w:p>
    <w:p>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我公司郑重声明：参加本次政府采购活动前</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年内，我公司在经营活动中没有因违法经营受到刑事处罚或者责令停产停业、吊销许可证或者执照、较大数额罚款等行政处罚。</w:t>
      </w:r>
    </w:p>
    <w:p>
      <w:pPr>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供应商名称（公章）：                          </w:t>
      </w:r>
    </w:p>
    <w:p>
      <w:pPr>
        <w:jc w:val="righ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授权代表签字：_______________________</w:t>
      </w:r>
    </w:p>
    <w:p>
      <w:pPr>
        <w:jc w:val="right"/>
        <w:rPr>
          <w:rFonts w:hint="eastAsia" w:ascii="仿宋" w:hAnsi="仿宋" w:eastAsia="仿宋" w:cs="仿宋"/>
          <w:color w:val="auto"/>
          <w:sz w:val="28"/>
          <w:szCs w:val="28"/>
        </w:rPr>
      </w:pP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期：          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pPr>
        <w:rPr>
          <w:rFonts w:hint="eastAsia" w:ascii="仿宋" w:hAnsi="仿宋" w:eastAsia="仿宋" w:cs="仿宋"/>
          <w:i/>
          <w:color w:val="auto"/>
          <w:sz w:val="24"/>
          <w:szCs w:val="24"/>
          <w:u w:val="single"/>
        </w:rPr>
      </w:pPr>
    </w:p>
    <w:p>
      <w:pPr>
        <w:rPr>
          <w:rFonts w:hint="eastAsia" w:ascii="仿宋" w:hAnsi="仿宋" w:eastAsia="仿宋" w:cs="仿宋"/>
          <w:i/>
          <w:color w:val="auto"/>
          <w:sz w:val="24"/>
          <w:szCs w:val="24"/>
          <w:u w:val="single"/>
        </w:rPr>
      </w:pP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rPr>
          <w:rFonts w:hint="eastAsia" w:ascii="仿宋" w:hAnsi="仿宋" w:eastAsia="仿宋" w:cs="仿宋"/>
          <w:color w:val="auto"/>
          <w:sz w:val="24"/>
          <w:szCs w:val="24"/>
        </w:rPr>
      </w:pPr>
    </w:p>
    <w:p>
      <w:pPr>
        <w:pStyle w:val="5"/>
        <w:ind w:left="0" w:leftChars="0" w:firstLine="0" w:firstLineChars="0"/>
        <w:rPr>
          <w:rFonts w:hint="eastAsia" w:ascii="仿宋" w:hAnsi="仿宋" w:eastAsia="仿宋" w:cs="仿宋"/>
          <w:color w:val="auto"/>
          <w:sz w:val="24"/>
          <w:szCs w:val="24"/>
        </w:rPr>
      </w:pPr>
    </w:p>
    <w:p>
      <w:pPr>
        <w:pStyle w:val="5"/>
        <w:ind w:left="0" w:leftChars="0" w:firstLine="0" w:firstLineChars="0"/>
        <w:rPr>
          <w:rFonts w:hint="eastAsia" w:ascii="仿宋" w:hAnsi="仿宋" w:eastAsia="仿宋" w:cs="仿宋"/>
          <w:color w:val="auto"/>
          <w:sz w:val="24"/>
          <w:szCs w:val="24"/>
        </w:rPr>
      </w:pPr>
    </w:p>
    <w:p>
      <w:pPr>
        <w:numPr>
          <w:ilvl w:val="0"/>
          <w:numId w:val="0"/>
        </w:numPr>
        <w:spacing w:line="360" w:lineRule="auto"/>
        <w:jc w:val="center"/>
        <w:outlineLvl w:val="1"/>
        <w:rPr>
          <w:rFonts w:hint="eastAsia" w:ascii="仿宋" w:hAnsi="仿宋" w:eastAsia="仿宋" w:cs="仿宋"/>
          <w:b/>
          <w:bCs/>
          <w:color w:val="auto"/>
          <w:kern w:val="0"/>
          <w:sz w:val="28"/>
          <w:szCs w:val="18"/>
          <w:lang w:val="en-US" w:eastAsia="zh-CN" w:bidi="ar-SA"/>
        </w:rPr>
      </w:pPr>
      <w:r>
        <w:rPr>
          <w:rFonts w:hint="eastAsia" w:ascii="仿宋" w:hAnsi="仿宋" w:eastAsia="仿宋" w:cs="仿宋"/>
          <w:b/>
          <w:bCs/>
          <w:color w:val="auto"/>
          <w:kern w:val="0"/>
          <w:sz w:val="28"/>
          <w:szCs w:val="18"/>
          <w:lang w:val="en-US" w:eastAsia="zh-CN" w:bidi="ar-SA"/>
        </w:rPr>
        <w:t>其他资料（年度财务报表、社保证明、完税证明等资料）</w:t>
      </w:r>
    </w:p>
    <w:p>
      <w:pPr>
        <w:pStyle w:val="5"/>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jc w:val="center"/>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pStyle w:val="6"/>
        <w:rPr>
          <w:rFonts w:hint="eastAsia" w:ascii="仿宋" w:hAnsi="仿宋" w:eastAsia="仿宋" w:cs="仿宋"/>
          <w:color w:val="auto"/>
          <w:sz w:val="24"/>
          <w:szCs w:val="24"/>
        </w:rPr>
      </w:pPr>
    </w:p>
    <w:p>
      <w:pPr>
        <w:jc w:val="both"/>
        <w:rPr>
          <w:rFonts w:hint="eastAsia" w:ascii="仿宋" w:hAnsi="仿宋" w:eastAsia="仿宋" w:cs="仿宋"/>
          <w:color w:val="auto"/>
          <w:sz w:val="24"/>
          <w:szCs w:val="24"/>
        </w:rPr>
      </w:pPr>
    </w:p>
    <w:p>
      <w:pPr>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报价一览表</w:t>
      </w:r>
    </w:p>
    <w:p>
      <w:p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pStyle w:val="21"/>
        <w:ind w:firstLine="480" w:firstLineChars="200"/>
        <w:rPr>
          <w:rFonts w:hint="eastAsia"/>
        </w:rPr>
      </w:pPr>
      <w:r>
        <w:rPr>
          <w:rFonts w:hint="eastAsia" w:ascii="仿宋" w:hAnsi="仿宋" w:eastAsia="仿宋" w:cs="仿宋"/>
          <w:color w:val="auto"/>
          <w:sz w:val="24"/>
          <w:szCs w:val="24"/>
          <w:lang w:val="en-US"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640"/>
        <w:gridCol w:w="1623"/>
        <w:gridCol w:w="1037"/>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40" w:type="dxa"/>
            <w:noWrap w:val="0"/>
            <w:vAlign w:val="center"/>
          </w:tcPr>
          <w:p>
            <w:pPr>
              <w:ind w:firstLine="480" w:firstLineChars="200"/>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分项名称</w:t>
            </w:r>
          </w:p>
        </w:tc>
        <w:tc>
          <w:tcPr>
            <w:tcW w:w="1623" w:type="dxa"/>
            <w:noWrap w:val="0"/>
            <w:vAlign w:val="center"/>
          </w:tcPr>
          <w:p>
            <w:pPr>
              <w:jc w:val="center"/>
              <w:rPr>
                <w:rFonts w:hint="eastAsia"/>
                <w:lang w:val="en-US" w:eastAsia="zh-CN"/>
              </w:rPr>
            </w:pPr>
            <w:r>
              <w:rPr>
                <w:rFonts w:hint="eastAsia"/>
                <w:lang w:val="en-US" w:eastAsia="zh-CN"/>
              </w:rPr>
              <w:t>投标总价</w:t>
            </w:r>
          </w:p>
          <w:p>
            <w:pPr>
              <w:pStyle w:val="21"/>
              <w:jc w:val="center"/>
              <w:rPr>
                <w:rFonts w:hint="default"/>
                <w:lang w:val="en-US" w:eastAsia="zh-CN"/>
              </w:rPr>
            </w:pPr>
            <w:r>
              <w:rPr>
                <w:rFonts w:hint="eastAsia" w:ascii="仿宋" w:hAnsi="仿宋" w:cs="仿宋"/>
                <w:color w:val="auto"/>
                <w:sz w:val="24"/>
                <w:szCs w:val="24"/>
                <w:lang w:val="en-US" w:eastAsia="zh-CN"/>
              </w:rPr>
              <w:t>（元）</w:t>
            </w:r>
          </w:p>
        </w:tc>
        <w:tc>
          <w:tcPr>
            <w:tcW w:w="1037" w:type="dxa"/>
            <w:noWrap w:val="0"/>
            <w:vAlign w:val="center"/>
          </w:tcPr>
          <w:p>
            <w:pP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供货期</w:t>
            </w:r>
          </w:p>
        </w:tc>
        <w:tc>
          <w:tcPr>
            <w:tcW w:w="961" w:type="dxa"/>
            <w:noWrap w:val="0"/>
            <w:vAlign w:val="center"/>
          </w:tcPr>
          <w:p>
            <w:pPr>
              <w:rPr>
                <w:rFonts w:hint="default" w:ascii="仿宋" w:hAnsi="仿宋" w:eastAsia="仿宋" w:cs="仿宋"/>
                <w:color w:val="auto"/>
                <w:sz w:val="24"/>
                <w:szCs w:val="24"/>
                <w:lang w:val="en-US" w:eastAsia="zh-CN"/>
              </w:rPr>
            </w:pPr>
            <w:r>
              <w:rPr>
                <w:rFonts w:hint="eastAsia" w:ascii="仿宋" w:hAnsi="仿宋" w:cs="仿宋"/>
                <w:color w:val="auto"/>
                <w:sz w:val="24"/>
                <w:szCs w:val="24"/>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640"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《兽医综合实训室》</w:t>
            </w:r>
          </w:p>
        </w:tc>
        <w:tc>
          <w:tcPr>
            <w:tcW w:w="1623" w:type="dxa"/>
            <w:noWrap w:val="0"/>
            <w:vAlign w:val="top"/>
          </w:tcPr>
          <w:p>
            <w:pPr>
              <w:ind w:firstLine="480" w:firstLineChars="200"/>
              <w:rPr>
                <w:rFonts w:hint="eastAsia" w:ascii="仿宋" w:hAnsi="仿宋" w:eastAsia="仿宋" w:cs="仿宋"/>
                <w:color w:val="auto"/>
                <w:sz w:val="24"/>
                <w:szCs w:val="24"/>
              </w:rPr>
            </w:pPr>
          </w:p>
        </w:tc>
        <w:tc>
          <w:tcPr>
            <w:tcW w:w="1037" w:type="dxa"/>
            <w:noWrap w:val="0"/>
            <w:vAlign w:val="top"/>
          </w:tcPr>
          <w:p>
            <w:pPr>
              <w:ind w:firstLine="480" w:firstLineChars="200"/>
              <w:rPr>
                <w:rFonts w:hint="eastAsia" w:ascii="仿宋" w:hAnsi="仿宋" w:eastAsia="仿宋" w:cs="仿宋"/>
                <w:color w:val="auto"/>
                <w:sz w:val="24"/>
                <w:szCs w:val="24"/>
              </w:rPr>
            </w:pPr>
          </w:p>
        </w:tc>
        <w:tc>
          <w:tcPr>
            <w:tcW w:w="961"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640"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《园艺综合实训室》</w:t>
            </w:r>
          </w:p>
        </w:tc>
        <w:tc>
          <w:tcPr>
            <w:tcW w:w="1623" w:type="dxa"/>
            <w:noWrap w:val="0"/>
            <w:vAlign w:val="top"/>
          </w:tcPr>
          <w:p>
            <w:pPr>
              <w:ind w:firstLine="480" w:firstLineChars="200"/>
              <w:rPr>
                <w:rFonts w:hint="eastAsia" w:ascii="仿宋" w:hAnsi="仿宋" w:eastAsia="仿宋" w:cs="仿宋"/>
                <w:color w:val="auto"/>
                <w:sz w:val="24"/>
                <w:szCs w:val="24"/>
              </w:rPr>
            </w:pPr>
          </w:p>
        </w:tc>
        <w:tc>
          <w:tcPr>
            <w:tcW w:w="1037" w:type="dxa"/>
            <w:noWrap w:val="0"/>
            <w:vAlign w:val="top"/>
          </w:tcPr>
          <w:p>
            <w:pPr>
              <w:ind w:firstLine="480" w:firstLineChars="200"/>
              <w:rPr>
                <w:rFonts w:hint="eastAsia" w:ascii="仿宋" w:hAnsi="仿宋" w:eastAsia="仿宋" w:cs="仿宋"/>
                <w:color w:val="auto"/>
                <w:sz w:val="24"/>
                <w:szCs w:val="24"/>
              </w:rPr>
            </w:pPr>
          </w:p>
        </w:tc>
        <w:tc>
          <w:tcPr>
            <w:tcW w:w="961"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2640" w:type="dxa"/>
            <w:noWrap w:val="0"/>
            <w:vAlign w:val="top"/>
          </w:tcPr>
          <w:p>
            <w:pPr>
              <w:ind w:firstLine="480" w:firstLineChars="200"/>
              <w:rPr>
                <w:rFonts w:hint="eastAsia" w:ascii="仿宋" w:hAnsi="仿宋" w:eastAsia="仿宋" w:cs="仿宋"/>
                <w:color w:val="auto"/>
                <w:sz w:val="24"/>
                <w:szCs w:val="24"/>
              </w:rPr>
            </w:pPr>
          </w:p>
        </w:tc>
        <w:tc>
          <w:tcPr>
            <w:tcW w:w="1623" w:type="dxa"/>
            <w:noWrap w:val="0"/>
            <w:vAlign w:val="top"/>
          </w:tcPr>
          <w:p>
            <w:pPr>
              <w:ind w:firstLine="480" w:firstLineChars="200"/>
              <w:rPr>
                <w:rFonts w:hint="eastAsia" w:ascii="仿宋" w:hAnsi="仿宋" w:eastAsia="仿宋" w:cs="仿宋"/>
                <w:color w:val="auto"/>
                <w:sz w:val="24"/>
                <w:szCs w:val="24"/>
              </w:rPr>
            </w:pPr>
          </w:p>
        </w:tc>
        <w:tc>
          <w:tcPr>
            <w:tcW w:w="1037" w:type="dxa"/>
            <w:noWrap w:val="0"/>
            <w:vAlign w:val="top"/>
          </w:tcPr>
          <w:p>
            <w:pPr>
              <w:ind w:firstLine="480" w:firstLineChars="200"/>
              <w:rPr>
                <w:rFonts w:hint="eastAsia" w:ascii="仿宋" w:hAnsi="仿宋" w:eastAsia="仿宋" w:cs="仿宋"/>
                <w:color w:val="auto"/>
                <w:sz w:val="24"/>
                <w:szCs w:val="24"/>
              </w:rPr>
            </w:pPr>
          </w:p>
        </w:tc>
        <w:tc>
          <w:tcPr>
            <w:tcW w:w="961" w:type="dxa"/>
            <w:noWrap w:val="0"/>
            <w:vAlign w:val="top"/>
          </w:tcPr>
          <w:p>
            <w:pPr>
              <w:ind w:firstLine="480" w:firstLineChars="200"/>
              <w:rPr>
                <w:rFonts w:hint="eastAsia" w:ascii="仿宋" w:hAnsi="仿宋" w:eastAsia="仿宋" w:cs="仿宋"/>
                <w:color w:val="auto"/>
                <w:sz w:val="24"/>
                <w:szCs w:val="24"/>
              </w:rPr>
            </w:pPr>
          </w:p>
        </w:tc>
      </w:tr>
    </w:tbl>
    <w:p>
      <w:pPr>
        <w:ind w:firstLine="482" w:firstLineChars="200"/>
        <w:rPr>
          <w:rFonts w:hint="eastAsia" w:ascii="仿宋" w:hAnsi="仿宋" w:eastAsia="仿宋" w:cs="仿宋"/>
          <w:b/>
          <w:bCs/>
          <w:color w:val="auto"/>
          <w:sz w:val="24"/>
          <w:szCs w:val="24"/>
        </w:rPr>
      </w:pP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供应商名称(公章)：</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w:t>
      </w:r>
    </w:p>
    <w:p>
      <w:pPr>
        <w:ind w:firstLine="480" w:firstLineChars="200"/>
        <w:rPr>
          <w:rFonts w:hint="eastAsia" w:ascii="仿宋" w:hAnsi="仿宋" w:eastAsia="仿宋" w:cs="仿宋"/>
          <w:color w:val="auto"/>
          <w:sz w:val="24"/>
          <w:szCs w:val="24"/>
        </w:rPr>
      </w:pPr>
    </w:p>
    <w:p>
      <w:pPr>
        <w:ind w:firstLine="480" w:firstLineChars="200"/>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pStyle w:val="21"/>
        <w:rPr>
          <w:rFonts w:hint="eastAsia" w:ascii="仿宋" w:hAnsi="仿宋" w:eastAsia="仿宋" w:cs="仿宋"/>
          <w:color w:val="auto"/>
          <w:sz w:val="24"/>
          <w:szCs w:val="24"/>
        </w:rPr>
      </w:pPr>
    </w:p>
    <w:p>
      <w:pPr>
        <w:ind w:firstLine="482"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分项报价表</w:t>
      </w:r>
    </w:p>
    <w:p>
      <w:p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p>
    <w:p>
      <w:pPr>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640"/>
        <w:gridCol w:w="1113"/>
        <w:gridCol w:w="114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640"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1113"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1140"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1368"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640" w:type="dxa"/>
            <w:noWrap w:val="0"/>
            <w:vAlign w:val="top"/>
          </w:tcPr>
          <w:p>
            <w:pPr>
              <w:ind w:firstLine="480" w:firstLineChars="200"/>
              <w:rPr>
                <w:rFonts w:hint="eastAsia" w:ascii="仿宋" w:hAnsi="仿宋" w:eastAsia="仿宋" w:cs="仿宋"/>
                <w:color w:val="auto"/>
                <w:sz w:val="24"/>
                <w:szCs w:val="24"/>
              </w:rPr>
            </w:pPr>
          </w:p>
        </w:tc>
        <w:tc>
          <w:tcPr>
            <w:tcW w:w="1113" w:type="dxa"/>
            <w:noWrap w:val="0"/>
            <w:vAlign w:val="top"/>
          </w:tcPr>
          <w:p>
            <w:pPr>
              <w:ind w:firstLine="480" w:firstLineChars="200"/>
              <w:rPr>
                <w:rFonts w:hint="eastAsia" w:ascii="仿宋" w:hAnsi="仿宋" w:eastAsia="仿宋" w:cs="仿宋"/>
                <w:color w:val="auto"/>
                <w:sz w:val="24"/>
                <w:szCs w:val="24"/>
              </w:rPr>
            </w:pPr>
          </w:p>
        </w:tc>
        <w:tc>
          <w:tcPr>
            <w:tcW w:w="1140" w:type="dxa"/>
            <w:noWrap w:val="0"/>
            <w:vAlign w:val="top"/>
          </w:tcPr>
          <w:p>
            <w:pPr>
              <w:ind w:firstLine="480" w:firstLineChars="200"/>
              <w:rPr>
                <w:rFonts w:hint="eastAsia" w:ascii="仿宋" w:hAnsi="仿宋" w:eastAsia="仿宋" w:cs="仿宋"/>
                <w:color w:val="auto"/>
                <w:sz w:val="24"/>
                <w:szCs w:val="24"/>
              </w:rPr>
            </w:pPr>
          </w:p>
        </w:tc>
        <w:tc>
          <w:tcPr>
            <w:tcW w:w="1368"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640" w:type="dxa"/>
            <w:noWrap w:val="0"/>
            <w:vAlign w:val="top"/>
          </w:tcPr>
          <w:p>
            <w:pPr>
              <w:ind w:firstLine="480" w:firstLineChars="200"/>
              <w:rPr>
                <w:rFonts w:hint="eastAsia" w:ascii="仿宋" w:hAnsi="仿宋" w:eastAsia="仿宋" w:cs="仿宋"/>
                <w:color w:val="auto"/>
                <w:sz w:val="24"/>
                <w:szCs w:val="24"/>
              </w:rPr>
            </w:pPr>
          </w:p>
        </w:tc>
        <w:tc>
          <w:tcPr>
            <w:tcW w:w="1113" w:type="dxa"/>
            <w:noWrap w:val="0"/>
            <w:vAlign w:val="top"/>
          </w:tcPr>
          <w:p>
            <w:pPr>
              <w:ind w:firstLine="480" w:firstLineChars="200"/>
              <w:rPr>
                <w:rFonts w:hint="eastAsia" w:ascii="仿宋" w:hAnsi="仿宋" w:eastAsia="仿宋" w:cs="仿宋"/>
                <w:color w:val="auto"/>
                <w:sz w:val="24"/>
                <w:szCs w:val="24"/>
              </w:rPr>
            </w:pPr>
          </w:p>
        </w:tc>
        <w:tc>
          <w:tcPr>
            <w:tcW w:w="1140" w:type="dxa"/>
            <w:noWrap w:val="0"/>
            <w:vAlign w:val="top"/>
          </w:tcPr>
          <w:p>
            <w:pPr>
              <w:ind w:firstLine="480" w:firstLineChars="200"/>
              <w:rPr>
                <w:rFonts w:hint="eastAsia" w:ascii="仿宋" w:hAnsi="仿宋" w:eastAsia="仿宋" w:cs="仿宋"/>
                <w:color w:val="auto"/>
                <w:sz w:val="24"/>
                <w:szCs w:val="24"/>
              </w:rPr>
            </w:pPr>
          </w:p>
        </w:tc>
        <w:tc>
          <w:tcPr>
            <w:tcW w:w="1368"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640" w:type="dxa"/>
            <w:noWrap w:val="0"/>
            <w:vAlign w:val="top"/>
          </w:tcPr>
          <w:p>
            <w:pPr>
              <w:ind w:firstLine="480" w:firstLineChars="200"/>
              <w:rPr>
                <w:rFonts w:hint="eastAsia" w:ascii="仿宋" w:hAnsi="仿宋" w:eastAsia="仿宋" w:cs="仿宋"/>
                <w:color w:val="auto"/>
                <w:sz w:val="24"/>
                <w:szCs w:val="24"/>
              </w:rPr>
            </w:pPr>
          </w:p>
        </w:tc>
        <w:tc>
          <w:tcPr>
            <w:tcW w:w="1113" w:type="dxa"/>
            <w:noWrap w:val="0"/>
            <w:vAlign w:val="top"/>
          </w:tcPr>
          <w:p>
            <w:pPr>
              <w:ind w:firstLine="480" w:firstLineChars="200"/>
              <w:rPr>
                <w:rFonts w:hint="eastAsia" w:ascii="仿宋" w:hAnsi="仿宋" w:eastAsia="仿宋" w:cs="仿宋"/>
                <w:color w:val="auto"/>
                <w:sz w:val="24"/>
                <w:szCs w:val="24"/>
              </w:rPr>
            </w:pPr>
          </w:p>
        </w:tc>
        <w:tc>
          <w:tcPr>
            <w:tcW w:w="1140" w:type="dxa"/>
            <w:noWrap w:val="0"/>
            <w:vAlign w:val="top"/>
          </w:tcPr>
          <w:p>
            <w:pPr>
              <w:ind w:firstLine="480" w:firstLineChars="200"/>
              <w:rPr>
                <w:rFonts w:hint="eastAsia" w:ascii="仿宋" w:hAnsi="仿宋" w:eastAsia="仿宋" w:cs="仿宋"/>
                <w:color w:val="auto"/>
                <w:sz w:val="24"/>
                <w:szCs w:val="24"/>
              </w:rPr>
            </w:pPr>
          </w:p>
        </w:tc>
        <w:tc>
          <w:tcPr>
            <w:tcW w:w="1368"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640" w:type="dxa"/>
            <w:noWrap w:val="0"/>
            <w:vAlign w:val="top"/>
          </w:tcPr>
          <w:p>
            <w:pPr>
              <w:ind w:firstLine="480" w:firstLineChars="200"/>
              <w:rPr>
                <w:rFonts w:hint="eastAsia" w:ascii="仿宋" w:hAnsi="仿宋" w:eastAsia="仿宋" w:cs="仿宋"/>
                <w:color w:val="auto"/>
                <w:sz w:val="24"/>
                <w:szCs w:val="24"/>
              </w:rPr>
            </w:pPr>
          </w:p>
        </w:tc>
        <w:tc>
          <w:tcPr>
            <w:tcW w:w="1113" w:type="dxa"/>
            <w:noWrap w:val="0"/>
            <w:vAlign w:val="top"/>
          </w:tcPr>
          <w:p>
            <w:pPr>
              <w:ind w:firstLine="480" w:firstLineChars="200"/>
              <w:rPr>
                <w:rFonts w:hint="eastAsia" w:ascii="仿宋" w:hAnsi="仿宋" w:eastAsia="仿宋" w:cs="仿宋"/>
                <w:color w:val="auto"/>
                <w:sz w:val="24"/>
                <w:szCs w:val="24"/>
              </w:rPr>
            </w:pPr>
          </w:p>
        </w:tc>
        <w:tc>
          <w:tcPr>
            <w:tcW w:w="1140" w:type="dxa"/>
            <w:noWrap w:val="0"/>
            <w:vAlign w:val="top"/>
          </w:tcPr>
          <w:p>
            <w:pPr>
              <w:ind w:firstLine="480" w:firstLineChars="200"/>
              <w:rPr>
                <w:rFonts w:hint="eastAsia" w:ascii="仿宋" w:hAnsi="仿宋" w:eastAsia="仿宋" w:cs="仿宋"/>
                <w:color w:val="auto"/>
                <w:sz w:val="24"/>
                <w:szCs w:val="24"/>
              </w:rPr>
            </w:pPr>
          </w:p>
        </w:tc>
        <w:tc>
          <w:tcPr>
            <w:tcW w:w="1368"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640" w:type="dxa"/>
            <w:noWrap w:val="0"/>
            <w:vAlign w:val="top"/>
          </w:tcPr>
          <w:p>
            <w:pPr>
              <w:rPr>
                <w:rFonts w:hint="eastAsia" w:ascii="仿宋" w:hAnsi="仿宋" w:eastAsia="仿宋" w:cs="仿宋"/>
                <w:color w:val="auto"/>
                <w:sz w:val="24"/>
                <w:szCs w:val="24"/>
              </w:rPr>
            </w:pPr>
          </w:p>
        </w:tc>
        <w:tc>
          <w:tcPr>
            <w:tcW w:w="1113" w:type="dxa"/>
            <w:noWrap w:val="0"/>
            <w:vAlign w:val="top"/>
          </w:tcPr>
          <w:p>
            <w:pPr>
              <w:ind w:firstLine="480" w:firstLineChars="200"/>
              <w:rPr>
                <w:rFonts w:hint="eastAsia" w:ascii="仿宋" w:hAnsi="仿宋" w:eastAsia="仿宋" w:cs="仿宋"/>
                <w:color w:val="auto"/>
                <w:sz w:val="24"/>
                <w:szCs w:val="24"/>
              </w:rPr>
            </w:pPr>
          </w:p>
        </w:tc>
        <w:tc>
          <w:tcPr>
            <w:tcW w:w="1140" w:type="dxa"/>
            <w:noWrap w:val="0"/>
            <w:vAlign w:val="top"/>
          </w:tcPr>
          <w:p>
            <w:pPr>
              <w:ind w:firstLine="480" w:firstLineChars="200"/>
              <w:rPr>
                <w:rFonts w:hint="eastAsia" w:ascii="仿宋" w:hAnsi="仿宋" w:eastAsia="仿宋" w:cs="仿宋"/>
                <w:color w:val="auto"/>
                <w:sz w:val="24"/>
                <w:szCs w:val="24"/>
              </w:rPr>
            </w:pPr>
          </w:p>
        </w:tc>
        <w:tc>
          <w:tcPr>
            <w:tcW w:w="1368" w:type="dxa"/>
            <w:noWrap w:val="0"/>
            <w:vAlign w:val="top"/>
          </w:tcPr>
          <w:p>
            <w:pPr>
              <w:ind w:firstLine="480" w:firstLineChars="200"/>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noWrap w:val="0"/>
            <w:vAlign w:val="center"/>
          </w:tcPr>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合计</w:t>
            </w:r>
          </w:p>
        </w:tc>
        <w:tc>
          <w:tcPr>
            <w:tcW w:w="2640" w:type="dxa"/>
            <w:noWrap w:val="0"/>
            <w:vAlign w:val="top"/>
          </w:tcPr>
          <w:p>
            <w:pPr>
              <w:ind w:firstLine="480" w:firstLineChars="200"/>
              <w:rPr>
                <w:rFonts w:hint="eastAsia" w:ascii="仿宋" w:hAnsi="仿宋" w:eastAsia="仿宋" w:cs="仿宋"/>
                <w:color w:val="auto"/>
                <w:sz w:val="24"/>
                <w:szCs w:val="24"/>
              </w:rPr>
            </w:pPr>
          </w:p>
        </w:tc>
        <w:tc>
          <w:tcPr>
            <w:tcW w:w="1113" w:type="dxa"/>
            <w:noWrap w:val="0"/>
            <w:vAlign w:val="top"/>
          </w:tcPr>
          <w:p>
            <w:pPr>
              <w:ind w:firstLine="480" w:firstLineChars="200"/>
              <w:rPr>
                <w:rFonts w:hint="eastAsia" w:ascii="仿宋" w:hAnsi="仿宋" w:eastAsia="仿宋" w:cs="仿宋"/>
                <w:color w:val="auto"/>
                <w:sz w:val="24"/>
                <w:szCs w:val="24"/>
              </w:rPr>
            </w:pPr>
          </w:p>
        </w:tc>
        <w:tc>
          <w:tcPr>
            <w:tcW w:w="1140" w:type="dxa"/>
            <w:noWrap w:val="0"/>
            <w:vAlign w:val="top"/>
          </w:tcPr>
          <w:p>
            <w:pPr>
              <w:ind w:firstLine="480" w:firstLineChars="200"/>
              <w:rPr>
                <w:rFonts w:hint="eastAsia" w:ascii="仿宋" w:hAnsi="仿宋" w:eastAsia="仿宋" w:cs="仿宋"/>
                <w:color w:val="auto"/>
                <w:sz w:val="24"/>
                <w:szCs w:val="24"/>
              </w:rPr>
            </w:pPr>
          </w:p>
        </w:tc>
        <w:tc>
          <w:tcPr>
            <w:tcW w:w="1368" w:type="dxa"/>
            <w:noWrap w:val="0"/>
            <w:vAlign w:val="top"/>
          </w:tcPr>
          <w:p>
            <w:pPr>
              <w:ind w:firstLine="480" w:firstLineChars="200"/>
              <w:rPr>
                <w:rFonts w:hint="eastAsia" w:ascii="仿宋" w:hAnsi="仿宋" w:eastAsia="仿宋" w:cs="仿宋"/>
                <w:color w:val="auto"/>
                <w:sz w:val="24"/>
                <w:szCs w:val="24"/>
              </w:rPr>
            </w:pPr>
          </w:p>
        </w:tc>
      </w:tr>
    </w:tbl>
    <w:p>
      <w:pPr>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供应商名称(公章)</w:t>
      </w:r>
      <w:r>
        <w:rPr>
          <w:rFonts w:hint="eastAsia" w:ascii="仿宋" w:hAnsi="仿宋" w:cs="仿宋"/>
          <w:color w:val="auto"/>
          <w:sz w:val="24"/>
          <w:szCs w:val="24"/>
          <w:lang w:eastAsia="zh-CN"/>
        </w:rPr>
        <w:t>：</w:t>
      </w:r>
    </w:p>
    <w:p>
      <w:pPr>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w:t>
      </w:r>
    </w:p>
    <w:p>
      <w:pPr>
        <w:ind w:firstLine="480" w:firstLineChars="200"/>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ind w:left="630" w:hanging="630"/>
        <w:rPr>
          <w:rFonts w:hint="eastAsia" w:ascii="仿宋" w:hAnsi="仿宋" w:eastAsia="仿宋" w:cs="仿宋"/>
          <w:color w:val="auto"/>
          <w:sz w:val="24"/>
          <w:szCs w:val="24"/>
        </w:rPr>
      </w:pPr>
      <w:r>
        <w:rPr>
          <w:rFonts w:hint="eastAsia" w:ascii="仿宋" w:hAnsi="仿宋" w:eastAsia="仿宋" w:cs="仿宋"/>
          <w:color w:val="auto"/>
          <w:sz w:val="24"/>
          <w:szCs w:val="24"/>
        </w:rPr>
        <w:t>注：1、如果按单价计算的结果与总价不一致，以单价为准修正总价。</w:t>
      </w:r>
    </w:p>
    <w:p>
      <w:pPr>
        <w:keepNext w:val="0"/>
        <w:keepLines w:val="0"/>
        <w:widowControl/>
        <w:suppressLineNumbers w:val="0"/>
        <w:jc w:val="center"/>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pStyle w:val="21"/>
        <w:rPr>
          <w:rFonts w:hint="eastAsia" w:ascii="仿宋" w:hAnsi="仿宋" w:eastAsia="仿宋" w:cs="仿宋"/>
          <w:b/>
          <w:color w:val="auto"/>
          <w:kern w:val="0"/>
          <w:sz w:val="36"/>
          <w:szCs w:val="36"/>
          <w:lang w:val="en-US" w:eastAsia="zh-CN" w:bidi="ar"/>
        </w:rPr>
      </w:pPr>
    </w:p>
    <w:p>
      <w:pPr>
        <w:keepNext w:val="0"/>
        <w:keepLines w:val="0"/>
        <w:widowControl/>
        <w:suppressLineNumbers w:val="0"/>
        <w:jc w:val="center"/>
        <w:rPr>
          <w:rFonts w:hint="eastAsia" w:ascii="仿宋" w:hAnsi="仿宋" w:eastAsia="仿宋" w:cs="仿宋"/>
          <w:color w:val="auto"/>
        </w:rPr>
      </w:pPr>
      <w:r>
        <w:rPr>
          <w:rFonts w:hint="eastAsia" w:ascii="仿宋" w:hAnsi="仿宋" w:eastAsia="仿宋" w:cs="仿宋"/>
          <w:b/>
          <w:color w:val="auto"/>
          <w:kern w:val="0"/>
          <w:sz w:val="36"/>
          <w:szCs w:val="36"/>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color w:val="auto"/>
          <w:kern w:val="0"/>
          <w:sz w:val="24"/>
          <w:szCs w:val="24"/>
          <w:lang w:val="en-US" w:eastAsia="zh-CN" w:bidi="ar"/>
        </w:rPr>
        <w:t>本公司（联合</w:t>
      </w:r>
      <w:r>
        <w:rPr>
          <w:rFonts w:hint="eastAsia" w:ascii="仿宋" w:hAnsi="仿宋" w:eastAsia="仿宋" w:cs="仿宋"/>
          <w:i w:val="0"/>
          <w:iCs w:val="0"/>
          <w:color w:val="auto"/>
          <w:kern w:val="0"/>
          <w:sz w:val="24"/>
          <w:szCs w:val="24"/>
          <w:lang w:val="en-US" w:eastAsia="zh-CN" w:bidi="ar"/>
        </w:rPr>
        <w:t>体）郑重声明，根据《政府采购促进中小企业发展管理办法》（财库﹝2020﹞46号）的规定，本公司（联合体）参加</w:t>
      </w:r>
      <w:r>
        <w:rPr>
          <w:rFonts w:hint="eastAsia" w:ascii="仿宋" w:hAnsi="仿宋" w:eastAsia="仿宋" w:cs="仿宋"/>
          <w:i w:val="0"/>
          <w:iCs w:val="0"/>
          <w:color w:val="auto"/>
          <w:kern w:val="0"/>
          <w:sz w:val="24"/>
          <w:szCs w:val="24"/>
          <w:u w:val="single"/>
          <w:lang w:val="en-US" w:eastAsia="zh-CN" w:bidi="ar"/>
        </w:rPr>
        <w:t xml:space="preserve">  （单位名称）  </w:t>
      </w:r>
      <w:r>
        <w:rPr>
          <w:rFonts w:hint="eastAsia" w:ascii="仿宋" w:hAnsi="仿宋" w:eastAsia="仿宋" w:cs="仿宋"/>
          <w:i w:val="0"/>
          <w:iCs w:val="0"/>
          <w:color w:val="auto"/>
          <w:kern w:val="0"/>
          <w:sz w:val="24"/>
          <w:szCs w:val="24"/>
          <w:lang w:val="en-US" w:eastAsia="zh-CN" w:bidi="ar"/>
        </w:rPr>
        <w:t>的</w:t>
      </w:r>
      <w:r>
        <w:rPr>
          <w:rFonts w:hint="eastAsia" w:ascii="仿宋" w:hAnsi="仿宋" w:eastAsia="仿宋" w:cs="仿宋"/>
          <w:i w:val="0"/>
          <w:iCs w:val="0"/>
          <w:color w:val="auto"/>
          <w:kern w:val="0"/>
          <w:sz w:val="24"/>
          <w:szCs w:val="24"/>
          <w:u w:val="single"/>
          <w:lang w:val="en-US" w:eastAsia="zh-CN" w:bidi="ar"/>
        </w:rPr>
        <w:t xml:space="preserve">  （项目名称）  </w:t>
      </w:r>
      <w:r>
        <w:rPr>
          <w:rFonts w:hint="eastAsia" w:ascii="仿宋" w:hAnsi="仿宋" w:eastAsia="仿宋" w:cs="仿宋"/>
          <w:i w:val="0"/>
          <w:iCs w:val="0"/>
          <w:color w:val="auto"/>
          <w:kern w:val="0"/>
          <w:sz w:val="24"/>
          <w:szCs w:val="24"/>
          <w:lang w:val="en-US" w:eastAsia="zh-CN" w:bidi="ar"/>
        </w:rPr>
        <w:t xml:space="preserve">采购活动，提供的货物全部由符合政策要求的中小企业制造。相关企业（含联合体中的中小企业、签订分包意向协议的中小企业）的具体情况如下：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u w:val="single"/>
          <w:lang w:val="en-US" w:eastAsia="zh-CN" w:bidi="ar"/>
        </w:rPr>
        <w:t xml:space="preserve"> （标的名称）  </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 xml:space="preserve">  （采购文件中明确的所属行业） </w:t>
      </w:r>
      <w:r>
        <w:rPr>
          <w:rFonts w:hint="eastAsia" w:ascii="仿宋" w:hAnsi="仿宋" w:eastAsia="仿宋" w:cs="仿宋"/>
          <w:i w:val="0"/>
          <w:iCs w:val="0"/>
          <w:color w:val="auto"/>
          <w:kern w:val="0"/>
          <w:sz w:val="24"/>
          <w:szCs w:val="24"/>
          <w:lang w:val="en-US" w:eastAsia="zh-CN" w:bidi="ar"/>
        </w:rPr>
        <w:t>行业；制造商为</w:t>
      </w:r>
      <w:r>
        <w:rPr>
          <w:rFonts w:hint="eastAsia" w:ascii="仿宋" w:hAnsi="仿宋" w:eastAsia="仿宋" w:cs="仿宋"/>
          <w:i w:val="0"/>
          <w:iCs w:val="0"/>
          <w:color w:val="auto"/>
          <w:kern w:val="0"/>
          <w:sz w:val="24"/>
          <w:szCs w:val="24"/>
          <w:u w:val="single"/>
          <w:lang w:val="en-US" w:eastAsia="zh-CN" w:bidi="ar"/>
        </w:rPr>
        <w:t xml:space="preserve">  （企业名称）  </w:t>
      </w:r>
      <w:r>
        <w:rPr>
          <w:rFonts w:hint="eastAsia" w:ascii="仿宋" w:hAnsi="仿宋" w:eastAsia="仿宋" w:cs="仿宋"/>
          <w:i w:val="0"/>
          <w:iCs w:val="0"/>
          <w:color w:val="auto"/>
          <w:kern w:val="0"/>
          <w:sz w:val="24"/>
          <w:szCs w:val="24"/>
          <w:lang w:val="en-US" w:eastAsia="zh-CN" w:bidi="ar"/>
        </w:rPr>
        <w:t>，从业人员</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人，营业收入为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万元，资产总额为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w:t>
      </w:r>
      <w:r>
        <w:rPr>
          <w:rFonts w:hint="eastAsia" w:ascii="仿宋" w:hAnsi="仿宋" w:eastAsia="仿宋" w:cs="仿宋"/>
          <w:i w:val="0"/>
          <w:iCs w:val="0"/>
          <w:color w:val="auto"/>
          <w:kern w:val="0"/>
          <w:sz w:val="24"/>
          <w:szCs w:val="24"/>
          <w:vertAlign w:val="superscript"/>
          <w:lang w:val="en-US" w:eastAsia="zh-CN" w:bidi="ar"/>
        </w:rPr>
        <w:t>1</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（中型企业、小型企业、微型企业）</w:t>
      </w:r>
      <w:r>
        <w:rPr>
          <w:rFonts w:hint="eastAsia" w:ascii="仿宋" w:hAnsi="仿宋" w:eastAsia="仿宋" w:cs="仿宋"/>
          <w:i w:val="0"/>
          <w:iCs w:val="0"/>
          <w:color w:val="auto"/>
          <w:kern w:val="0"/>
          <w:sz w:val="24"/>
          <w:szCs w:val="24"/>
          <w:lang w:val="en-US" w:eastAsia="zh-CN" w:bidi="ar"/>
        </w:rPr>
        <w:t xml:space="preserve">； </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仿宋" w:hAnsi="仿宋" w:eastAsia="仿宋" w:cs="仿宋"/>
          <w:i w:val="0"/>
          <w:iCs w:val="0"/>
          <w:color w:val="auto"/>
          <w:kern w:val="0"/>
          <w:sz w:val="24"/>
          <w:szCs w:val="24"/>
          <w:lang w:val="en-US" w:eastAsia="zh-CN" w:bidi="ar"/>
        </w:rPr>
      </w:pPr>
      <w:r>
        <w:rPr>
          <w:rFonts w:hint="eastAsia" w:ascii="仿宋" w:hAnsi="仿宋" w:eastAsia="仿宋" w:cs="仿宋"/>
          <w:i w:val="0"/>
          <w:iCs w:val="0"/>
          <w:color w:val="auto"/>
          <w:kern w:val="0"/>
          <w:sz w:val="24"/>
          <w:szCs w:val="24"/>
          <w:u w:val="single"/>
          <w:lang w:val="en-US" w:eastAsia="zh-CN" w:bidi="ar"/>
        </w:rPr>
        <w:t xml:space="preserve"> （标的名称）  </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 xml:space="preserve">  （采购文件中明确的所属行业） </w:t>
      </w:r>
      <w:r>
        <w:rPr>
          <w:rFonts w:hint="eastAsia" w:ascii="仿宋" w:hAnsi="仿宋" w:eastAsia="仿宋" w:cs="仿宋"/>
          <w:i w:val="0"/>
          <w:iCs w:val="0"/>
          <w:color w:val="auto"/>
          <w:kern w:val="0"/>
          <w:sz w:val="24"/>
          <w:szCs w:val="24"/>
          <w:lang w:val="en-US" w:eastAsia="zh-CN" w:bidi="ar"/>
        </w:rPr>
        <w:t>行业；制造商为</w:t>
      </w:r>
      <w:r>
        <w:rPr>
          <w:rFonts w:hint="eastAsia" w:ascii="仿宋" w:hAnsi="仿宋" w:eastAsia="仿宋" w:cs="仿宋"/>
          <w:i w:val="0"/>
          <w:iCs w:val="0"/>
          <w:color w:val="auto"/>
          <w:kern w:val="0"/>
          <w:sz w:val="24"/>
          <w:szCs w:val="24"/>
          <w:u w:val="single"/>
          <w:lang w:val="en-US" w:eastAsia="zh-CN" w:bidi="ar"/>
        </w:rPr>
        <w:t xml:space="preserve">  （企业名称）  </w:t>
      </w:r>
      <w:r>
        <w:rPr>
          <w:rFonts w:hint="eastAsia" w:ascii="仿宋" w:hAnsi="仿宋" w:eastAsia="仿宋" w:cs="仿宋"/>
          <w:i w:val="0"/>
          <w:iCs w:val="0"/>
          <w:color w:val="auto"/>
          <w:kern w:val="0"/>
          <w:sz w:val="24"/>
          <w:szCs w:val="24"/>
          <w:lang w:val="en-US" w:eastAsia="zh-CN" w:bidi="ar"/>
        </w:rPr>
        <w:t>，从业人员</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人，营业收入为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万元，资产总额为</w:t>
      </w:r>
      <w:r>
        <w:rPr>
          <w:rFonts w:hint="eastAsia" w:ascii="仿宋" w:hAnsi="仿宋" w:eastAsia="仿宋" w:cs="仿宋"/>
          <w:i w:val="0"/>
          <w:iCs w:val="0"/>
          <w:color w:val="auto"/>
          <w:kern w:val="0"/>
          <w:sz w:val="24"/>
          <w:szCs w:val="24"/>
          <w:u w:val="single"/>
          <w:lang w:val="en-US" w:eastAsia="zh-CN" w:bidi="ar"/>
        </w:rPr>
        <w:t xml:space="preserve">        </w:t>
      </w:r>
      <w:r>
        <w:rPr>
          <w:rFonts w:hint="eastAsia" w:ascii="仿宋" w:hAnsi="仿宋" w:eastAsia="仿宋" w:cs="仿宋"/>
          <w:i w:val="0"/>
          <w:iCs w:val="0"/>
          <w:color w:val="auto"/>
          <w:kern w:val="0"/>
          <w:sz w:val="24"/>
          <w:szCs w:val="24"/>
          <w:lang w:val="en-US" w:eastAsia="zh-CN" w:bidi="ar"/>
        </w:rPr>
        <w:t>万元</w:t>
      </w:r>
      <w:r>
        <w:rPr>
          <w:rFonts w:hint="eastAsia" w:ascii="仿宋" w:hAnsi="仿宋" w:eastAsia="仿宋" w:cs="仿宋"/>
          <w:i w:val="0"/>
          <w:iCs w:val="0"/>
          <w:color w:val="auto"/>
          <w:kern w:val="0"/>
          <w:sz w:val="24"/>
          <w:szCs w:val="24"/>
          <w:vertAlign w:val="superscript"/>
          <w:lang w:val="en-US" w:eastAsia="zh-CN" w:bidi="ar"/>
        </w:rPr>
        <w:t>1</w:t>
      </w:r>
      <w:r>
        <w:rPr>
          <w:rFonts w:hint="eastAsia" w:ascii="仿宋" w:hAnsi="仿宋" w:eastAsia="仿宋" w:cs="仿宋"/>
          <w:i w:val="0"/>
          <w:iCs w:val="0"/>
          <w:color w:val="auto"/>
          <w:kern w:val="0"/>
          <w:sz w:val="24"/>
          <w:szCs w:val="24"/>
          <w:lang w:val="en-US" w:eastAsia="zh-CN" w:bidi="ar"/>
        </w:rPr>
        <w:t>，属于</w:t>
      </w:r>
      <w:r>
        <w:rPr>
          <w:rFonts w:hint="eastAsia" w:ascii="仿宋" w:hAnsi="仿宋" w:eastAsia="仿宋" w:cs="仿宋"/>
          <w:i w:val="0"/>
          <w:iCs w:val="0"/>
          <w:color w:val="auto"/>
          <w:kern w:val="0"/>
          <w:sz w:val="24"/>
          <w:szCs w:val="24"/>
          <w:u w:val="single"/>
          <w:lang w:val="en-US" w:eastAsia="zh-CN" w:bidi="ar"/>
        </w:rPr>
        <w:t>（中型企业、小型企业、微型企业）</w:t>
      </w:r>
      <w:r>
        <w:rPr>
          <w:rFonts w:hint="eastAsia" w:ascii="仿宋" w:hAnsi="仿宋" w:eastAsia="仿宋" w:cs="仿宋"/>
          <w:i w:val="0"/>
          <w:iCs w:val="0"/>
          <w:color w:val="auto"/>
          <w:kern w:val="0"/>
          <w:sz w:val="24"/>
          <w:szCs w:val="24"/>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200"/>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企业名称（盖章）：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i w:val="0"/>
          <w:iCs w:val="0"/>
          <w:color w:val="auto"/>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0" w:firstLineChars="20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 xml:space="preserve">日 期： </w:t>
      </w:r>
    </w:p>
    <w:p>
      <w:pPr>
        <w:rPr>
          <w:rFonts w:hint="eastAsia" w:ascii="仿宋" w:hAnsi="仿宋" w:eastAsia="仿宋" w:cs="仿宋"/>
          <w:color w:val="auto"/>
        </w:rPr>
      </w:pPr>
    </w:p>
    <w:p>
      <w:pPr>
        <w:rPr>
          <w:rFonts w:hint="eastAsia" w:ascii="仿宋" w:hAnsi="仿宋" w:eastAsia="仿宋" w:cs="仿宋"/>
          <w:color w:val="auto"/>
        </w:rPr>
      </w:pPr>
    </w:p>
    <w:p>
      <w:pPr>
        <w:pStyle w:val="3"/>
        <w:numPr>
          <w:ilvl w:val="0"/>
          <w:numId w:val="0"/>
        </w:numPr>
        <w:ind w:leftChars="0"/>
        <w:rPr>
          <w:rFonts w:hint="eastAsia" w:ascii="仿宋" w:hAnsi="仿宋" w:eastAsia="仿宋" w:cs="仿宋"/>
          <w:color w:val="auto"/>
        </w:rPr>
      </w:pPr>
    </w:p>
    <w:p>
      <w:pPr>
        <w:pStyle w:val="17"/>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hint="eastAsia" w:eastAsia="仿宋"/>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CBEAC"/>
    <w:multiLevelType w:val="singleLevel"/>
    <w:tmpl w:val="E17CBEAC"/>
    <w:lvl w:ilvl="0" w:tentative="0">
      <w:start w:val="1"/>
      <w:numFmt w:val="decimal"/>
      <w:suff w:val="space"/>
      <w:lvlText w:val="%1."/>
      <w:lvlJc w:val="left"/>
    </w:lvl>
  </w:abstractNum>
  <w:abstractNum w:abstractNumId="1">
    <w:nsid w:val="E52D14C4"/>
    <w:multiLevelType w:val="singleLevel"/>
    <w:tmpl w:val="E52D14C4"/>
    <w:lvl w:ilvl="0" w:tentative="0">
      <w:start w:val="1"/>
      <w:numFmt w:val="decimal"/>
      <w:suff w:val="nothing"/>
      <w:lvlText w:val="%1、"/>
      <w:lvlJc w:val="left"/>
    </w:lvl>
  </w:abstractNum>
  <w:abstractNum w:abstractNumId="2">
    <w:nsid w:val="FC1862B8"/>
    <w:multiLevelType w:val="singleLevel"/>
    <w:tmpl w:val="FC1862B8"/>
    <w:lvl w:ilvl="0" w:tentative="0">
      <w:start w:val="1"/>
      <w:numFmt w:val="decimal"/>
      <w:lvlText w:val="%1."/>
      <w:lvlJc w:val="left"/>
      <w:pPr>
        <w:tabs>
          <w:tab w:val="left" w:pos="312"/>
        </w:tabs>
      </w:pPr>
    </w:lvl>
  </w:abstractNum>
  <w:abstractNum w:abstractNumId="3">
    <w:nsid w:val="1F0EE608"/>
    <w:multiLevelType w:val="singleLevel"/>
    <w:tmpl w:val="1F0EE608"/>
    <w:lvl w:ilvl="0" w:tentative="0">
      <w:start w:val="1"/>
      <w:numFmt w:val="decimal"/>
      <w:suff w:val="nothing"/>
      <w:lvlText w:val="%1、"/>
      <w:lvlJc w:val="left"/>
      <w:pPr>
        <w:ind w:left="-216"/>
      </w:pPr>
    </w:lvl>
  </w:abstractNum>
  <w:abstractNum w:abstractNumId="4">
    <w:nsid w:val="391A054A"/>
    <w:multiLevelType w:val="singleLevel"/>
    <w:tmpl w:val="391A054A"/>
    <w:lvl w:ilvl="0" w:tentative="0">
      <w:start w:val="1"/>
      <w:numFmt w:val="decimal"/>
      <w:suff w:val="nothing"/>
      <w:lvlText w:val="（%1）"/>
      <w:lvlJc w:val="left"/>
    </w:lvl>
  </w:abstractNum>
  <w:abstractNum w:abstractNumId="5">
    <w:nsid w:val="453B3942"/>
    <w:multiLevelType w:val="multilevel"/>
    <w:tmpl w:val="453B3942"/>
    <w:lvl w:ilvl="0" w:tentative="0">
      <w:start w:val="1"/>
      <w:numFmt w:val="decimal"/>
      <w:lvlText w:val="第%1章"/>
      <w:lvlJc w:val="left"/>
      <w:pPr>
        <w:tabs>
          <w:tab w:val="left" w:pos="851"/>
        </w:tabs>
        <w:ind w:left="0" w:firstLine="0"/>
      </w:pPr>
      <w:rPr>
        <w:rFonts w:hint="eastAsia"/>
      </w:rPr>
    </w:lvl>
    <w:lvl w:ilvl="1" w:tentative="0">
      <w:start w:val="1"/>
      <w:numFmt w:val="decimalZero"/>
      <w:pStyle w:val="3"/>
      <w:isLgl/>
      <w:lvlText w:val="节 %1.%2"/>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MjlhZGViOTJjZDg1YzgwYTQ2N2I3MzM2M2E1MTAifQ=="/>
  </w:docVars>
  <w:rsids>
    <w:rsidRoot w:val="00000000"/>
    <w:rsid w:val="00B40656"/>
    <w:rsid w:val="01213882"/>
    <w:rsid w:val="021B6F27"/>
    <w:rsid w:val="04E31B6E"/>
    <w:rsid w:val="05283D86"/>
    <w:rsid w:val="0561789E"/>
    <w:rsid w:val="056401E1"/>
    <w:rsid w:val="08F57ACE"/>
    <w:rsid w:val="0B047F5B"/>
    <w:rsid w:val="0B5200CB"/>
    <w:rsid w:val="0C342376"/>
    <w:rsid w:val="0D001BBB"/>
    <w:rsid w:val="0D3606B5"/>
    <w:rsid w:val="0E1003F9"/>
    <w:rsid w:val="0EB843A5"/>
    <w:rsid w:val="0ECC307F"/>
    <w:rsid w:val="0ED62150"/>
    <w:rsid w:val="0EF8168E"/>
    <w:rsid w:val="1020482D"/>
    <w:rsid w:val="10A778AE"/>
    <w:rsid w:val="1125116C"/>
    <w:rsid w:val="13D65803"/>
    <w:rsid w:val="146509A5"/>
    <w:rsid w:val="167069E6"/>
    <w:rsid w:val="17826DF9"/>
    <w:rsid w:val="199926F8"/>
    <w:rsid w:val="199C3563"/>
    <w:rsid w:val="1A0820BB"/>
    <w:rsid w:val="1C6C1BFD"/>
    <w:rsid w:val="1DFF5054"/>
    <w:rsid w:val="1FB45D1B"/>
    <w:rsid w:val="205D76B3"/>
    <w:rsid w:val="23256DAA"/>
    <w:rsid w:val="2364190D"/>
    <w:rsid w:val="259B1D75"/>
    <w:rsid w:val="25CD42FA"/>
    <w:rsid w:val="27764078"/>
    <w:rsid w:val="27CE54DA"/>
    <w:rsid w:val="28F82606"/>
    <w:rsid w:val="296543A4"/>
    <w:rsid w:val="29AE7A04"/>
    <w:rsid w:val="2BC76C50"/>
    <w:rsid w:val="2E36209C"/>
    <w:rsid w:val="30050601"/>
    <w:rsid w:val="303F6A4D"/>
    <w:rsid w:val="3057649A"/>
    <w:rsid w:val="30A65852"/>
    <w:rsid w:val="3214296D"/>
    <w:rsid w:val="33655BA2"/>
    <w:rsid w:val="3636283A"/>
    <w:rsid w:val="36F1763E"/>
    <w:rsid w:val="388B5F56"/>
    <w:rsid w:val="3AA1087F"/>
    <w:rsid w:val="3B24341E"/>
    <w:rsid w:val="3BEC625F"/>
    <w:rsid w:val="3C2974B3"/>
    <w:rsid w:val="3CB21257"/>
    <w:rsid w:val="3E391C30"/>
    <w:rsid w:val="3EA226C4"/>
    <w:rsid w:val="401672EC"/>
    <w:rsid w:val="408847A8"/>
    <w:rsid w:val="42CF2180"/>
    <w:rsid w:val="43F14D5A"/>
    <w:rsid w:val="443F7B96"/>
    <w:rsid w:val="48781DC1"/>
    <w:rsid w:val="487F1EF5"/>
    <w:rsid w:val="48F44214"/>
    <w:rsid w:val="498D345B"/>
    <w:rsid w:val="4F5B31B0"/>
    <w:rsid w:val="4F782496"/>
    <w:rsid w:val="4FF4485A"/>
    <w:rsid w:val="50E33C7D"/>
    <w:rsid w:val="51294E6F"/>
    <w:rsid w:val="519A07DF"/>
    <w:rsid w:val="533D47EC"/>
    <w:rsid w:val="545463C7"/>
    <w:rsid w:val="59AA358A"/>
    <w:rsid w:val="5D4F6922"/>
    <w:rsid w:val="5D9B67E1"/>
    <w:rsid w:val="5FEC71E9"/>
    <w:rsid w:val="6076125F"/>
    <w:rsid w:val="612F6E44"/>
    <w:rsid w:val="637A3FCD"/>
    <w:rsid w:val="65BC6B1F"/>
    <w:rsid w:val="66EF4CD2"/>
    <w:rsid w:val="6716400D"/>
    <w:rsid w:val="680D18B3"/>
    <w:rsid w:val="68210EBB"/>
    <w:rsid w:val="699F653B"/>
    <w:rsid w:val="6D4413C9"/>
    <w:rsid w:val="6E5F273D"/>
    <w:rsid w:val="720A29C0"/>
    <w:rsid w:val="7259548C"/>
    <w:rsid w:val="73BE4472"/>
    <w:rsid w:val="73F751C6"/>
    <w:rsid w:val="74534AF2"/>
    <w:rsid w:val="746960C4"/>
    <w:rsid w:val="75E342E9"/>
    <w:rsid w:val="76F66B90"/>
    <w:rsid w:val="780954C8"/>
    <w:rsid w:val="787E7630"/>
    <w:rsid w:val="7C654019"/>
    <w:rsid w:val="7D1B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textAlignment w:val="baseline"/>
    </w:pPr>
    <w:rPr>
      <w:rFonts w:ascii="宋体" w:hAnsi="Calibri" w:eastAsia="仿宋" w:cs="Times New Roman"/>
      <w:sz w:val="28"/>
      <w:szCs w:val="21"/>
      <w:lang w:val="en-US" w:eastAsia="zh-CN" w:bidi="ar-SA"/>
    </w:rPr>
  </w:style>
  <w:style w:type="paragraph" w:styleId="2">
    <w:name w:val="heading 1"/>
    <w:basedOn w:val="1"/>
    <w:next w:val="1"/>
    <w:qFormat/>
    <w:uiPriority w:val="0"/>
    <w:pPr>
      <w:autoSpaceDE w:val="0"/>
      <w:autoSpaceDN w:val="0"/>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 w:val="24"/>
    </w:rPr>
  </w:style>
  <w:style w:type="paragraph" w:styleId="6">
    <w:name w:val="Body Text"/>
    <w:basedOn w:val="1"/>
    <w:next w:val="7"/>
    <w:qFormat/>
    <w:uiPriority w:val="0"/>
    <w:pPr>
      <w:spacing w:after="120"/>
    </w:pPr>
    <w:rPr>
      <w:sz w:val="24"/>
    </w:rPr>
  </w:style>
  <w:style w:type="paragraph" w:styleId="7">
    <w:name w:val="Body Text First Indent"/>
    <w:basedOn w:val="6"/>
    <w:next w:val="1"/>
    <w:qFormat/>
    <w:uiPriority w:val="0"/>
    <w:pPr>
      <w:ind w:firstLine="420" w:firstLineChars="100"/>
    </w:pPr>
  </w:style>
  <w:style w:type="paragraph" w:styleId="8">
    <w:name w:val="Body Text Indent"/>
    <w:basedOn w:val="1"/>
    <w:qFormat/>
    <w:uiPriority w:val="0"/>
    <w:pPr>
      <w:spacing w:after="120"/>
      <w:ind w:left="420" w:leftChars="200"/>
    </w:pPr>
    <w:rPr>
      <w:sz w:val="24"/>
    </w:rPr>
  </w:style>
  <w:style w:type="paragraph" w:styleId="9">
    <w:name w:val="Plain Text"/>
    <w:basedOn w:val="1"/>
    <w:next w:val="1"/>
    <w:qFormat/>
    <w:uiPriority w:val="0"/>
    <w:rPr>
      <w:rFonts w:hAnsi="Courier New"/>
      <w:sz w:val="21"/>
    </w:rPr>
  </w:style>
  <w:style w:type="paragraph" w:styleId="10">
    <w:name w:val="footer"/>
    <w:basedOn w:val="1"/>
    <w:qFormat/>
    <w:uiPriority w:val="0"/>
    <w:pPr>
      <w:tabs>
        <w:tab w:val="center" w:pos="4153"/>
        <w:tab w:val="right" w:pos="8306"/>
      </w:tabs>
      <w:snapToGrid w:val="0"/>
      <w:spacing w:line="240" w:lineRule="atLeast"/>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qFormat/>
    <w:uiPriority w:val="39"/>
    <w:pPr>
      <w:spacing w:before="120" w:after="120"/>
      <w:jc w:val="left"/>
    </w:pPr>
    <w:rPr>
      <w:rFonts w:ascii="Calibri" w:hAnsi="Calibri"/>
      <w:b/>
      <w:bCs/>
      <w:caps/>
      <w:szCs w:val="20"/>
    </w:rPr>
  </w:style>
  <w:style w:type="paragraph" w:styleId="13">
    <w:name w:val="footnote text"/>
    <w:basedOn w:val="1"/>
    <w:qFormat/>
    <w:uiPriority w:val="0"/>
    <w:pPr>
      <w:snapToGrid w:val="0"/>
      <w:jc w:val="left"/>
    </w:pPr>
    <w:rPr>
      <w:sz w:val="18"/>
      <w:szCs w:val="18"/>
    </w:rPr>
  </w:style>
  <w:style w:type="paragraph" w:styleId="14">
    <w:name w:val="toc 6"/>
    <w:basedOn w:val="1"/>
    <w:next w:val="1"/>
    <w:qFormat/>
    <w:uiPriority w:val="0"/>
    <w:pPr>
      <w:ind w:left="1200"/>
      <w:jc w:val="left"/>
    </w:pPr>
    <w:rPr>
      <w:rFonts w:ascii="Calibri" w:hAnsi="Calibri"/>
      <w:sz w:val="18"/>
      <w:szCs w:val="18"/>
    </w:rPr>
  </w:style>
  <w:style w:type="paragraph" w:styleId="15">
    <w:name w:val="Body Text 2"/>
    <w:basedOn w:val="1"/>
    <w:qFormat/>
    <w:uiPriority w:val="0"/>
    <w:pPr>
      <w:spacing w:after="120" w:line="480" w:lineRule="auto"/>
    </w:pPr>
  </w:style>
  <w:style w:type="paragraph" w:styleId="16">
    <w:name w:val="Normal (Web)"/>
    <w:basedOn w:val="1"/>
    <w:next w:val="11"/>
    <w:qFormat/>
    <w:uiPriority w:val="0"/>
    <w:rPr>
      <w:rFonts w:ascii="Times New Roman"/>
      <w:szCs w:val="24"/>
    </w:rPr>
  </w:style>
  <w:style w:type="paragraph" w:styleId="17">
    <w:name w:val="Body Text First Indent 2"/>
    <w:basedOn w:val="8"/>
    <w:qFormat/>
    <w:uiPriority w:val="0"/>
    <w:pPr>
      <w:ind w:firstLine="420" w:firstLineChars="200"/>
    </w:pPr>
  </w:style>
  <w:style w:type="character" w:styleId="20">
    <w:name w:val="Hyperlink"/>
    <w:basedOn w:val="19"/>
    <w:qFormat/>
    <w:uiPriority w:val="99"/>
    <w:rPr>
      <w:color w:val="0000FF"/>
      <w:u w:val="single"/>
    </w:rPr>
  </w:style>
  <w:style w:type="paragraph" w:customStyle="1" w:styleId="21">
    <w:name w:val="_Style 6"/>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普通正文"/>
    <w:basedOn w:val="1"/>
    <w:qFormat/>
    <w:uiPriority w:val="0"/>
    <w:pPr>
      <w:spacing w:before="120" w:after="120"/>
      <w:ind w:firstLine="480"/>
      <w:jc w:val="left"/>
    </w:pPr>
    <w:rPr>
      <w:rFonts w:ascii="Arial" w:hAnsi="Arial" w:eastAsia="宋体"/>
      <w:szCs w:val="24"/>
    </w:rPr>
  </w:style>
  <w:style w:type="paragraph" w:customStyle="1" w:styleId="23">
    <w:name w:val="正文空2格  1."/>
    <w:basedOn w:val="1"/>
    <w:qFormat/>
    <w:uiPriority w:val="0"/>
    <w:pPr>
      <w:ind w:firstLine="480" w:firstLineChars="200"/>
    </w:pPr>
    <w:rPr>
      <w:rFonts w:cs="宋体"/>
      <w:szCs w:val="20"/>
    </w:rPr>
  </w:style>
  <w:style w:type="character" w:customStyle="1" w:styleId="24">
    <w:name w:val="正文 第五章 中间"/>
    <w:qFormat/>
    <w:uiPriority w:val="0"/>
    <w:rPr>
      <w:b/>
      <w:bCs/>
      <w:color w:val="000000"/>
      <w:sz w:val="32"/>
    </w:rPr>
  </w:style>
  <w:style w:type="character" w:customStyle="1" w:styleId="25">
    <w:name w:val="font291"/>
    <w:basedOn w:val="19"/>
    <w:qFormat/>
    <w:uiPriority w:val="0"/>
    <w:rPr>
      <w:rFonts w:hint="default" w:ascii="Times New Roman" w:hAnsi="Times New Roman" w:cs="Times New Roman"/>
      <w:color w:val="000000"/>
      <w:sz w:val="21"/>
      <w:szCs w:val="21"/>
      <w:u w:val="none"/>
    </w:rPr>
  </w:style>
  <w:style w:type="character" w:customStyle="1" w:styleId="26">
    <w:name w:val="font271"/>
    <w:basedOn w:val="19"/>
    <w:qFormat/>
    <w:uiPriority w:val="0"/>
    <w:rPr>
      <w:rFonts w:hint="eastAsia" w:ascii="宋体" w:hAnsi="宋体" w:eastAsia="宋体" w:cs="宋体"/>
      <w:color w:val="000000"/>
      <w:sz w:val="21"/>
      <w:szCs w:val="21"/>
      <w:u w:val="none"/>
    </w:rPr>
  </w:style>
  <w:style w:type="paragraph" w:customStyle="1" w:styleId="27">
    <w:name w:val="List Paragraph1"/>
    <w:basedOn w:val="1"/>
    <w:qFormat/>
    <w:uiPriority w:val="99"/>
    <w:pPr>
      <w:ind w:firstLine="420" w:firstLineChars="200"/>
    </w:pPr>
  </w:style>
  <w:style w:type="paragraph" w:customStyle="1" w:styleId="28">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29">
    <w:name w:val="font11"/>
    <w:basedOn w:val="19"/>
    <w:qFormat/>
    <w:uiPriority w:val="0"/>
    <w:rPr>
      <w:rFonts w:hint="default" w:ascii="仿宋_GB2312" w:eastAsia="仿宋_GB2312" w:cs="仿宋_GB2312"/>
      <w:color w:val="000000"/>
      <w:sz w:val="21"/>
      <w:szCs w:val="21"/>
      <w:u w:val="none"/>
    </w:rPr>
  </w:style>
  <w:style w:type="character" w:customStyle="1" w:styleId="30">
    <w:name w:val="font21"/>
    <w:basedOn w:val="19"/>
    <w:qFormat/>
    <w:uiPriority w:val="0"/>
    <w:rPr>
      <w:rFonts w:hint="default" w:ascii="Times New Roman" w:hAnsi="Times New Roman" w:cs="Times New Roman"/>
      <w:color w:val="000000"/>
      <w:sz w:val="21"/>
      <w:szCs w:val="21"/>
      <w:u w:val="none"/>
    </w:rPr>
  </w:style>
  <w:style w:type="paragraph" w:customStyle="1" w:styleId="31">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33522</Words>
  <Characters>37326</Characters>
  <Lines>0</Lines>
  <Paragraphs>0</Paragraphs>
  <TotalTime>2</TotalTime>
  <ScaleCrop>false</ScaleCrop>
  <LinksUpToDate>false</LinksUpToDate>
  <CharactersWithSpaces>38842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2022-09-05T02:14:00Z</dcterms:created>
  <dc:creator>l</dc:creator>
  <cp:lastModifiedBy>火火飞</cp:lastModifiedBy>
  <dcterms:modified xsi:type="dcterms:W3CDTF">2022-12-01T03:36:39Z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9DAAA383BD2F4CA0B9336AE471D5F6E1</vt:lpwstr>
  </property>
</Properties>
</file>