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2"/>
        <w:ind w:firstLine="883" w:firstLineChars="200"/>
        <w:jc w:val="center"/>
        <w:outlineLvl w:val="0"/>
        <w:rPr>
          <w:rFonts w:hint="eastAsia" w:ascii="宋体" w:hAnsi="宋体" w:eastAsia="宋体" w:cs="宋体"/>
          <w:b/>
          <w:color w:val="auto"/>
          <w:sz w:val="44"/>
          <w:szCs w:val="44"/>
          <w:lang w:eastAsia="zh-CN"/>
        </w:rPr>
      </w:pPr>
    </w:p>
    <w:p>
      <w:pPr>
        <w:pStyle w:val="72"/>
        <w:ind w:firstLine="883" w:firstLineChars="200"/>
        <w:jc w:val="center"/>
        <w:outlineLvl w:val="0"/>
        <w:rPr>
          <w:rFonts w:hint="eastAsia" w:ascii="宋体" w:hAnsi="宋体" w:eastAsia="宋体" w:cs="宋体"/>
          <w:b/>
          <w:color w:val="auto"/>
          <w:sz w:val="44"/>
          <w:szCs w:val="44"/>
          <w:lang w:eastAsia="zh-CN"/>
        </w:rPr>
      </w:pPr>
    </w:p>
    <w:p>
      <w:pPr>
        <w:pStyle w:val="72"/>
        <w:ind w:firstLine="883" w:firstLineChars="200"/>
        <w:jc w:val="center"/>
        <w:outlineLvl w:val="0"/>
        <w:rPr>
          <w:rFonts w:hint="eastAsia" w:ascii="宋体" w:hAnsi="宋体" w:eastAsia="宋体" w:cs="宋体"/>
          <w:b/>
          <w:color w:val="auto"/>
          <w:sz w:val="44"/>
          <w:szCs w:val="44"/>
          <w:lang w:eastAsia="zh-CN"/>
        </w:rPr>
      </w:pPr>
    </w:p>
    <w:p>
      <w:pPr>
        <w:pStyle w:val="72"/>
        <w:jc w:val="center"/>
        <w:outlineLvl w:val="0"/>
        <w:rPr>
          <w:rFonts w:hint="eastAsia" w:ascii="宋体" w:hAnsi="宋体" w:eastAsia="宋体" w:cs="宋体"/>
          <w:b/>
          <w:color w:val="auto"/>
          <w:sz w:val="44"/>
          <w:szCs w:val="44"/>
          <w:lang w:val="en-US" w:eastAsia="zh-CN"/>
        </w:rPr>
      </w:pPr>
      <w:r>
        <w:rPr>
          <w:rFonts w:hint="eastAsia" w:ascii="宋体" w:hAnsi="宋体" w:cs="宋体"/>
          <w:b/>
          <w:color w:val="auto"/>
          <w:sz w:val="44"/>
          <w:szCs w:val="44"/>
          <w:lang w:eastAsia="zh-CN"/>
        </w:rPr>
        <w:t>巴音郭楞职业技术学院信息化基础设施运维外包服务项目</w:t>
      </w:r>
    </w:p>
    <w:p>
      <w:pPr>
        <w:ind w:firstLine="883" w:firstLineChars="200"/>
        <w:jc w:val="center"/>
        <w:outlineLvl w:val="0"/>
        <w:rPr>
          <w:rFonts w:hint="eastAsia" w:ascii="宋体" w:hAnsi="宋体" w:eastAsia="宋体" w:cs="宋体"/>
          <w:b/>
          <w:sz w:val="44"/>
          <w:szCs w:val="44"/>
        </w:rPr>
      </w:pPr>
    </w:p>
    <w:p>
      <w:pPr>
        <w:ind w:firstLine="883" w:firstLineChars="200"/>
        <w:jc w:val="center"/>
        <w:outlineLvl w:val="0"/>
        <w:rPr>
          <w:rFonts w:hint="eastAsia" w:ascii="宋体" w:hAnsi="宋体" w:eastAsia="宋体" w:cs="宋体"/>
          <w:b/>
          <w:sz w:val="44"/>
          <w:szCs w:val="44"/>
        </w:rPr>
      </w:pPr>
    </w:p>
    <w:p>
      <w:pPr>
        <w:ind w:firstLine="883" w:firstLineChars="200"/>
        <w:jc w:val="center"/>
        <w:outlineLvl w:val="0"/>
        <w:rPr>
          <w:rFonts w:hint="eastAsia" w:ascii="宋体" w:hAnsi="宋体" w:eastAsia="宋体" w:cs="宋体"/>
          <w:b/>
          <w:sz w:val="44"/>
          <w:szCs w:val="44"/>
        </w:rPr>
      </w:pPr>
    </w:p>
    <w:p>
      <w:pPr>
        <w:ind w:firstLine="3534" w:firstLineChars="800"/>
        <w:jc w:val="both"/>
        <w:outlineLvl w:val="0"/>
        <w:rPr>
          <w:rFonts w:hint="eastAsia" w:ascii="宋体" w:hAnsi="宋体" w:eastAsia="宋体" w:cs="宋体"/>
          <w:b/>
          <w:sz w:val="44"/>
          <w:szCs w:val="44"/>
        </w:rPr>
      </w:pPr>
      <w:r>
        <w:rPr>
          <w:rFonts w:hint="eastAsia" w:ascii="宋体" w:hAnsi="宋体" w:eastAsia="宋体" w:cs="宋体"/>
          <w:b/>
          <w:sz w:val="44"/>
          <w:szCs w:val="44"/>
        </w:rPr>
        <w:t>竞争性磋商文件</w:t>
      </w:r>
    </w:p>
    <w:p>
      <w:pPr>
        <w:pStyle w:val="13"/>
        <w:rPr>
          <w:rFonts w:hint="eastAsia" w:ascii="宋体" w:hAnsi="宋体" w:eastAsia="宋体" w:cs="宋体"/>
          <w:b/>
          <w:sz w:val="44"/>
          <w:szCs w:val="44"/>
        </w:rPr>
      </w:pPr>
    </w:p>
    <w:p>
      <w:pPr>
        <w:pStyle w:val="13"/>
        <w:rPr>
          <w:rFonts w:hint="eastAsia" w:ascii="宋体" w:hAnsi="宋体" w:eastAsia="宋体" w:cs="宋体"/>
          <w:b/>
          <w:sz w:val="44"/>
          <w:szCs w:val="44"/>
        </w:rPr>
      </w:pPr>
    </w:p>
    <w:p>
      <w:pPr>
        <w:pStyle w:val="13"/>
        <w:rPr>
          <w:rFonts w:hint="eastAsia" w:ascii="宋体" w:hAnsi="宋体" w:eastAsia="宋体" w:cs="宋体"/>
          <w:b/>
          <w:sz w:val="44"/>
          <w:szCs w:val="44"/>
        </w:rPr>
      </w:pPr>
    </w:p>
    <w:p>
      <w:pPr>
        <w:pStyle w:val="13"/>
        <w:rPr>
          <w:rFonts w:hint="eastAsia" w:ascii="宋体" w:hAnsi="宋体" w:eastAsia="宋体" w:cs="宋体"/>
          <w:b/>
          <w:sz w:val="44"/>
          <w:szCs w:val="44"/>
        </w:rPr>
      </w:pPr>
    </w:p>
    <w:p>
      <w:pPr>
        <w:pStyle w:val="13"/>
        <w:rPr>
          <w:rFonts w:hint="eastAsia" w:ascii="宋体" w:hAnsi="宋体" w:eastAsia="宋体" w:cs="宋体"/>
          <w:b/>
          <w:sz w:val="44"/>
          <w:szCs w:val="44"/>
        </w:rPr>
      </w:pPr>
    </w:p>
    <w:p>
      <w:pPr>
        <w:pStyle w:val="13"/>
        <w:rPr>
          <w:rFonts w:hint="eastAsia" w:ascii="宋体" w:hAnsi="宋体" w:eastAsia="宋体" w:cs="宋体"/>
          <w:b/>
          <w:sz w:val="44"/>
          <w:szCs w:val="44"/>
        </w:rPr>
      </w:pPr>
    </w:p>
    <w:p>
      <w:pPr>
        <w:pStyle w:val="13"/>
        <w:rPr>
          <w:rFonts w:hint="eastAsia" w:ascii="宋体" w:hAnsi="宋体" w:eastAsia="宋体" w:cs="宋体"/>
          <w:b/>
          <w:sz w:val="44"/>
          <w:szCs w:val="44"/>
        </w:rPr>
      </w:pPr>
    </w:p>
    <w:p>
      <w:pPr>
        <w:pStyle w:val="13"/>
        <w:rPr>
          <w:rFonts w:hint="eastAsia" w:ascii="宋体" w:hAnsi="宋体" w:eastAsia="宋体" w:cs="宋体"/>
          <w:b/>
          <w:sz w:val="44"/>
          <w:szCs w:val="44"/>
        </w:rPr>
      </w:pPr>
    </w:p>
    <w:p>
      <w:pPr>
        <w:pStyle w:val="13"/>
        <w:rPr>
          <w:rFonts w:hint="eastAsia" w:ascii="宋体" w:hAnsi="宋体" w:eastAsia="宋体" w:cs="宋体"/>
          <w:b/>
          <w:sz w:val="44"/>
          <w:szCs w:val="44"/>
        </w:rPr>
      </w:pPr>
    </w:p>
    <w:p>
      <w:pPr>
        <w:pStyle w:val="72"/>
        <w:spacing w:line="520" w:lineRule="exact"/>
        <w:ind w:left="1848" w:leftChars="88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采购人：</w:t>
      </w:r>
      <w:r>
        <w:rPr>
          <w:rFonts w:hint="eastAsia" w:ascii="宋体" w:hAnsi="宋体" w:cs="宋体"/>
          <w:color w:val="auto"/>
          <w:sz w:val="24"/>
          <w:szCs w:val="24"/>
          <w:lang w:eastAsia="zh-CN"/>
        </w:rPr>
        <w:t>巴音郭楞职业技术学院</w:t>
      </w:r>
    </w:p>
    <w:p>
      <w:pPr>
        <w:pStyle w:val="72"/>
        <w:spacing w:line="520" w:lineRule="exact"/>
        <w:ind w:firstLine="480" w:firstLineChars="200"/>
        <w:jc w:val="center"/>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rPr>
        <w:t>采购代理机构：</w:t>
      </w:r>
      <w:r>
        <w:rPr>
          <w:rFonts w:hint="eastAsia" w:ascii="宋体" w:hAnsi="宋体" w:cs="宋体"/>
          <w:color w:val="auto"/>
          <w:sz w:val="24"/>
          <w:szCs w:val="24"/>
          <w:u w:val="none"/>
          <w:lang w:eastAsia="zh-CN"/>
        </w:rPr>
        <w:t>新疆恒瑞博源工程项目管理有限公司</w:t>
      </w:r>
    </w:p>
    <w:p>
      <w:pPr>
        <w:spacing w:line="240" w:lineRule="atLeast"/>
        <w:ind w:firstLine="482" w:firstLineChars="200"/>
        <w:jc w:val="center"/>
        <w:rPr>
          <w:rFonts w:hint="eastAsia" w:ascii="宋体" w:hAnsi="宋体" w:eastAsia="宋体" w:cs="宋体"/>
          <w:b/>
          <w:sz w:val="24"/>
          <w:szCs w:val="24"/>
        </w:rPr>
      </w:pPr>
    </w:p>
    <w:p>
      <w:pPr>
        <w:spacing w:line="240" w:lineRule="atLeast"/>
        <w:ind w:firstLine="482" w:firstLineChars="200"/>
        <w:jc w:val="center"/>
        <w:rPr>
          <w:rFonts w:hint="eastAsia" w:ascii="宋体" w:hAnsi="宋体" w:eastAsia="宋体" w:cs="宋体"/>
          <w:b/>
          <w:sz w:val="24"/>
          <w:szCs w:val="24"/>
        </w:rPr>
      </w:pPr>
    </w:p>
    <w:p>
      <w:pPr>
        <w:spacing w:line="240" w:lineRule="atLeast"/>
        <w:ind w:firstLine="4096" w:firstLineChars="1700"/>
        <w:jc w:val="both"/>
        <w:rPr>
          <w:rFonts w:hint="eastAsia" w:ascii="宋体" w:hAnsi="宋体" w:eastAsia="宋体" w:cs="宋体"/>
          <w:b/>
          <w:sz w:val="24"/>
          <w:szCs w:val="24"/>
        </w:rPr>
      </w:pPr>
      <w:r>
        <w:rPr>
          <w:rFonts w:hint="eastAsia" w:ascii="宋体" w:hAnsi="宋体" w:eastAsia="宋体" w:cs="宋体"/>
          <w:b/>
          <w:sz w:val="24"/>
          <w:szCs w:val="24"/>
        </w:rPr>
        <w:t>二〇二</w:t>
      </w:r>
      <w:r>
        <w:rPr>
          <w:rFonts w:hint="eastAsia" w:ascii="宋体" w:hAnsi="宋体" w:eastAsia="宋体" w:cs="宋体"/>
          <w:b/>
          <w:sz w:val="24"/>
          <w:szCs w:val="24"/>
          <w:lang w:val="en-US" w:eastAsia="zh-CN"/>
        </w:rPr>
        <w:t>二</w:t>
      </w:r>
      <w:r>
        <w:rPr>
          <w:rFonts w:hint="eastAsia" w:ascii="宋体" w:hAnsi="宋体" w:eastAsia="宋体" w:cs="宋体"/>
          <w:b/>
          <w:sz w:val="24"/>
          <w:szCs w:val="24"/>
        </w:rPr>
        <w:t>年</w:t>
      </w:r>
      <w:r>
        <w:rPr>
          <w:rFonts w:hint="eastAsia" w:ascii="宋体" w:hAnsi="宋体" w:cs="宋体"/>
          <w:b/>
          <w:sz w:val="24"/>
          <w:szCs w:val="24"/>
          <w:lang w:val="en-US" w:eastAsia="zh-CN"/>
        </w:rPr>
        <w:t>八</w:t>
      </w:r>
      <w:r>
        <w:rPr>
          <w:rFonts w:hint="eastAsia" w:ascii="宋体" w:hAnsi="宋体" w:eastAsia="宋体" w:cs="宋体"/>
          <w:b/>
          <w:sz w:val="24"/>
          <w:szCs w:val="24"/>
        </w:rPr>
        <w:t>月</w:t>
      </w:r>
    </w:p>
    <w:p>
      <w:pPr>
        <w:ind w:firstLine="723" w:firstLineChars="200"/>
        <w:jc w:val="left"/>
        <w:rPr>
          <w:rFonts w:hint="eastAsia" w:ascii="宋体" w:hAnsi="宋体" w:eastAsia="宋体" w:cs="宋体"/>
          <w:b/>
          <w:sz w:val="36"/>
          <w:szCs w:val="36"/>
        </w:rPr>
      </w:pPr>
    </w:p>
    <w:p>
      <w:pPr>
        <w:ind w:firstLine="723" w:firstLineChars="200"/>
        <w:jc w:val="left"/>
        <w:rPr>
          <w:rFonts w:hint="eastAsia" w:ascii="宋体" w:hAnsi="宋体" w:eastAsia="宋体" w:cs="宋体"/>
          <w:b/>
          <w:sz w:val="36"/>
          <w:szCs w:val="36"/>
        </w:rPr>
      </w:pPr>
    </w:p>
    <w:p>
      <w:pPr>
        <w:ind w:firstLine="723" w:firstLineChars="200"/>
        <w:jc w:val="left"/>
        <w:rPr>
          <w:rFonts w:hint="eastAsia" w:ascii="宋体" w:hAnsi="宋体" w:eastAsia="宋体" w:cs="宋体"/>
          <w:b/>
          <w:sz w:val="36"/>
          <w:szCs w:val="36"/>
        </w:rPr>
      </w:pPr>
    </w:p>
    <w:p>
      <w:pPr>
        <w:ind w:firstLine="723" w:firstLineChars="200"/>
        <w:jc w:val="left"/>
        <w:rPr>
          <w:rFonts w:hint="eastAsia" w:ascii="宋体" w:hAnsi="宋体" w:eastAsia="宋体" w:cs="宋体"/>
          <w:b/>
          <w:sz w:val="36"/>
          <w:szCs w:val="36"/>
        </w:rPr>
      </w:pPr>
    </w:p>
    <w:p>
      <w:pPr>
        <w:ind w:firstLine="4337" w:firstLineChars="1200"/>
        <w:jc w:val="left"/>
        <w:rPr>
          <w:rFonts w:hint="eastAsia" w:ascii="宋体" w:hAnsi="宋体" w:eastAsia="宋体" w:cs="宋体"/>
          <w:b/>
          <w:sz w:val="36"/>
          <w:szCs w:val="36"/>
        </w:rPr>
      </w:pPr>
      <w:r>
        <w:rPr>
          <w:rFonts w:hint="eastAsia" w:ascii="宋体" w:hAnsi="宋体" w:eastAsia="宋体" w:cs="宋体"/>
          <w:b/>
          <w:sz w:val="36"/>
          <w:szCs w:val="36"/>
        </w:rPr>
        <w:t>目 录</w:t>
      </w:r>
    </w:p>
    <w:p>
      <w:pPr>
        <w:pStyle w:val="13"/>
        <w:rPr>
          <w:rFonts w:hint="eastAsia" w:ascii="宋体" w:hAnsi="宋体" w:cs="宋体"/>
          <w:b/>
          <w:sz w:val="36"/>
          <w:szCs w:val="36"/>
          <w:lang w:eastAsia="zh-CN"/>
        </w:rPr>
      </w:pPr>
    </w:p>
    <w:p>
      <w:pPr>
        <w:pStyle w:val="13"/>
        <w:rPr>
          <w:rFonts w:hint="eastAsia" w:ascii="宋体" w:hAnsi="宋体" w:cs="宋体"/>
          <w:b/>
          <w:sz w:val="36"/>
          <w:szCs w:val="36"/>
          <w:lang w:eastAsia="zh-CN"/>
        </w:rPr>
      </w:pPr>
    </w:p>
    <w:p>
      <w:pPr>
        <w:pStyle w:val="13"/>
        <w:rPr>
          <w:rFonts w:hint="eastAsia" w:ascii="宋体" w:hAnsi="宋体" w:cs="宋体"/>
          <w:b/>
          <w:sz w:val="36"/>
          <w:szCs w:val="36"/>
          <w:lang w:eastAsia="zh-CN"/>
        </w:rPr>
      </w:pPr>
    </w:p>
    <w:p>
      <w:pPr>
        <w:pStyle w:val="13"/>
        <w:rPr>
          <w:rFonts w:hint="eastAsia" w:ascii="宋体" w:hAnsi="宋体" w:cs="宋体"/>
          <w:b/>
          <w:sz w:val="36"/>
          <w:szCs w:val="36"/>
          <w:lang w:eastAsia="zh-CN"/>
        </w:rPr>
      </w:pPr>
    </w:p>
    <w:p>
      <w:pPr>
        <w:pStyle w:val="24"/>
        <w:tabs>
          <w:tab w:val="right" w:leader="dot" w:pos="9414"/>
        </w:tabs>
        <w:ind w:firstLine="402" w:firstLineChars="200"/>
        <w:rPr>
          <w:rFonts w:hint="eastAsia" w:ascii="宋体" w:hAnsi="宋体" w:eastAsia="等线" w:cs="宋体"/>
          <w:szCs w:val="24"/>
          <w:lang w:val="en-US" w:eastAsia="zh-CN"/>
        </w:rPr>
      </w:pPr>
      <w:r>
        <w:rPr>
          <w:rFonts w:hint="eastAsia" w:ascii="宋体" w:hAnsi="宋体" w:eastAsia="宋体" w:cs="宋体"/>
          <w:szCs w:val="24"/>
          <w:lang w:val="en-US" w:eastAsia="zh-CN"/>
        </w:rPr>
        <w:t>第一部分 竞争性磋商公告</w:t>
      </w:r>
      <w:r>
        <w:tab/>
      </w:r>
      <w:r>
        <w:rPr>
          <w:rFonts w:hint="eastAsia"/>
          <w:lang w:val="en-US" w:eastAsia="zh-CN"/>
        </w:rPr>
        <w:t>2</w:t>
      </w:r>
    </w:p>
    <w:p>
      <w:pPr>
        <w:pStyle w:val="24"/>
        <w:tabs>
          <w:tab w:val="right" w:leader="dot" w:pos="9414"/>
        </w:tabs>
        <w:ind w:firstLine="482" w:firstLineChars="20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\z \u</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_Toc21489 </w:instrText>
      </w:r>
      <w:r>
        <w:rPr>
          <w:rFonts w:hint="eastAsia" w:ascii="宋体" w:hAnsi="宋体" w:eastAsia="宋体" w:cs="宋体"/>
          <w:szCs w:val="24"/>
        </w:rPr>
        <w:fldChar w:fldCharType="separate"/>
      </w:r>
      <w:r>
        <w:rPr>
          <w:rFonts w:hint="eastAsia" w:ascii="宋体" w:hAnsi="宋体" w:eastAsia="宋体" w:cs="宋体"/>
          <w:szCs w:val="24"/>
        </w:rPr>
        <w:t>第二部分 供应商须知</w:t>
      </w:r>
      <w:r>
        <w:tab/>
      </w:r>
      <w:r>
        <w:fldChar w:fldCharType="begin"/>
      </w:r>
      <w:r>
        <w:instrText xml:space="preserve"> PAGEREF _Toc21489 \h </w:instrText>
      </w:r>
      <w:r>
        <w:fldChar w:fldCharType="separate"/>
      </w:r>
      <w:r>
        <w:t>5</w:t>
      </w:r>
      <w:r>
        <w:fldChar w:fldCharType="end"/>
      </w:r>
      <w:r>
        <w:rPr>
          <w:rFonts w:hint="eastAsia" w:ascii="宋体" w:hAnsi="宋体" w:eastAsia="宋体" w:cs="宋体"/>
          <w:szCs w:val="24"/>
        </w:rPr>
        <w:fldChar w:fldCharType="end"/>
      </w:r>
    </w:p>
    <w:p>
      <w:pPr>
        <w:pStyle w:val="24"/>
        <w:tabs>
          <w:tab w:val="right" w:pos="2800"/>
          <w:tab w:val="right" w:leader="dot" w:pos="9414"/>
        </w:tabs>
        <w:ind w:firstLine="402" w:firstLineChars="200"/>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_Toc17511 </w:instrText>
      </w:r>
      <w:r>
        <w:rPr>
          <w:rFonts w:hint="eastAsia" w:ascii="宋体" w:hAnsi="宋体" w:eastAsia="宋体" w:cs="宋体"/>
          <w:szCs w:val="24"/>
        </w:rPr>
        <w:fldChar w:fldCharType="separate"/>
      </w:r>
      <w:r>
        <w:rPr>
          <w:rFonts w:hint="eastAsia" w:ascii="宋体" w:hAnsi="宋体" w:eastAsia="宋体" w:cs="宋体"/>
          <w:szCs w:val="24"/>
        </w:rPr>
        <w:t>第三部分</w:t>
      </w:r>
      <w:r>
        <w:rPr>
          <w:rFonts w:hint="eastAsia" w:ascii="宋体" w:hAnsi="宋体" w:eastAsia="宋体" w:cs="宋体"/>
          <w:szCs w:val="24"/>
        </w:rPr>
        <w:tab/>
      </w:r>
      <w:r>
        <w:rPr>
          <w:rFonts w:hint="eastAsia" w:ascii="宋体" w:hAnsi="宋体" w:eastAsia="宋体" w:cs="宋体"/>
          <w:szCs w:val="24"/>
          <w:lang w:val="en-US" w:eastAsia="zh-CN"/>
        </w:rPr>
        <w:t>评标办法</w:t>
      </w:r>
      <w:r>
        <w:tab/>
      </w:r>
      <w:r>
        <w:fldChar w:fldCharType="begin"/>
      </w:r>
      <w:r>
        <w:instrText xml:space="preserve"> PAGEREF _Toc17511 \h </w:instrText>
      </w:r>
      <w:r>
        <w:fldChar w:fldCharType="separate"/>
      </w:r>
      <w:r>
        <w:t>18</w:t>
      </w:r>
      <w:r>
        <w:fldChar w:fldCharType="end"/>
      </w:r>
      <w:r>
        <w:rPr>
          <w:rFonts w:hint="eastAsia" w:ascii="宋体" w:hAnsi="宋体" w:eastAsia="宋体" w:cs="宋体"/>
          <w:szCs w:val="24"/>
        </w:rPr>
        <w:fldChar w:fldCharType="end"/>
      </w:r>
    </w:p>
    <w:p>
      <w:pPr>
        <w:pStyle w:val="24"/>
        <w:tabs>
          <w:tab w:val="right" w:pos="2800"/>
          <w:tab w:val="right" w:leader="dot" w:pos="9414"/>
        </w:tabs>
        <w:ind w:firstLine="402" w:firstLineChars="200"/>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_Toc12893 </w:instrText>
      </w:r>
      <w:r>
        <w:rPr>
          <w:rFonts w:hint="eastAsia" w:ascii="宋体" w:hAnsi="宋体" w:eastAsia="宋体" w:cs="宋体"/>
          <w:szCs w:val="24"/>
        </w:rPr>
        <w:fldChar w:fldCharType="separate"/>
      </w:r>
      <w:r>
        <w:rPr>
          <w:rFonts w:hint="eastAsia" w:ascii="宋体" w:hAnsi="宋体" w:eastAsia="宋体" w:cs="宋体"/>
          <w:szCs w:val="24"/>
        </w:rPr>
        <w:t>第四部分</w:t>
      </w:r>
      <w:r>
        <w:rPr>
          <w:rFonts w:hint="eastAsia" w:ascii="宋体" w:hAnsi="宋体" w:eastAsia="宋体" w:cs="宋体"/>
          <w:szCs w:val="24"/>
        </w:rPr>
        <w:tab/>
      </w:r>
      <w:r>
        <w:rPr>
          <w:rFonts w:hint="eastAsia" w:ascii="宋体" w:hAnsi="宋体" w:eastAsia="宋体" w:cs="宋体"/>
          <w:szCs w:val="24"/>
          <w:lang w:val="en-US" w:eastAsia="zh-CN"/>
        </w:rPr>
        <w:t>合同格式及条款</w:t>
      </w:r>
      <w:r>
        <w:tab/>
      </w:r>
      <w:r>
        <w:fldChar w:fldCharType="begin"/>
      </w:r>
      <w:r>
        <w:instrText xml:space="preserve"> PAGEREF _Toc12893 \h </w:instrText>
      </w:r>
      <w:r>
        <w:fldChar w:fldCharType="separate"/>
      </w:r>
      <w:r>
        <w:t>18</w:t>
      </w:r>
      <w:r>
        <w:fldChar w:fldCharType="end"/>
      </w:r>
      <w:r>
        <w:rPr>
          <w:rFonts w:hint="eastAsia" w:ascii="宋体" w:hAnsi="宋体" w:eastAsia="宋体" w:cs="宋体"/>
          <w:szCs w:val="24"/>
        </w:rPr>
        <w:fldChar w:fldCharType="end"/>
      </w:r>
    </w:p>
    <w:p>
      <w:pPr>
        <w:pStyle w:val="24"/>
        <w:tabs>
          <w:tab w:val="right" w:leader="dot" w:pos="9414"/>
        </w:tabs>
        <w:ind w:firstLine="402" w:firstLineChars="200"/>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_Toc4006 </w:instrText>
      </w:r>
      <w:r>
        <w:rPr>
          <w:rFonts w:hint="eastAsia" w:ascii="宋体" w:hAnsi="宋体" w:eastAsia="宋体" w:cs="宋体"/>
          <w:szCs w:val="24"/>
        </w:rPr>
        <w:fldChar w:fldCharType="separate"/>
      </w:r>
      <w:r>
        <w:rPr>
          <w:rFonts w:hint="eastAsia" w:ascii="宋体" w:hAnsi="宋体" w:eastAsia="宋体" w:cs="宋体"/>
          <w:szCs w:val="24"/>
        </w:rPr>
        <w:t>第五部分</w:t>
      </w:r>
      <w:r>
        <w:rPr>
          <w:rFonts w:hint="eastAsia" w:ascii="宋体" w:hAnsi="宋体" w:eastAsia="宋体" w:cs="宋体"/>
          <w:szCs w:val="24"/>
          <w:lang w:val="en-US" w:eastAsia="zh-CN"/>
        </w:rPr>
        <w:t xml:space="preserve">  实施方案及技术要求</w:t>
      </w:r>
      <w:r>
        <w:tab/>
      </w:r>
      <w:r>
        <w:fldChar w:fldCharType="begin"/>
      </w:r>
      <w:r>
        <w:instrText xml:space="preserve"> PAGEREF _Toc4006 \h </w:instrText>
      </w:r>
      <w:r>
        <w:fldChar w:fldCharType="separate"/>
      </w:r>
      <w:r>
        <w:t>22</w:t>
      </w:r>
      <w:r>
        <w:fldChar w:fldCharType="end"/>
      </w:r>
      <w:r>
        <w:rPr>
          <w:rFonts w:hint="eastAsia" w:ascii="宋体" w:hAnsi="宋体" w:eastAsia="宋体" w:cs="宋体"/>
          <w:szCs w:val="24"/>
        </w:rPr>
        <w:fldChar w:fldCharType="end"/>
      </w:r>
    </w:p>
    <w:p>
      <w:pPr>
        <w:pStyle w:val="24"/>
        <w:tabs>
          <w:tab w:val="right" w:leader="dot" w:pos="9414"/>
        </w:tabs>
        <w:ind w:firstLine="402" w:firstLineChars="200"/>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_Toc4800 </w:instrText>
      </w:r>
      <w:r>
        <w:rPr>
          <w:rFonts w:hint="eastAsia" w:ascii="宋体" w:hAnsi="宋体" w:eastAsia="宋体" w:cs="宋体"/>
          <w:szCs w:val="24"/>
        </w:rPr>
        <w:fldChar w:fldCharType="separate"/>
      </w:r>
      <w:r>
        <w:rPr>
          <w:rFonts w:hint="eastAsia" w:ascii="宋体" w:hAnsi="宋体" w:eastAsia="宋体" w:cs="宋体"/>
          <w:szCs w:val="24"/>
          <w:lang w:val="en-US" w:eastAsia="zh-CN"/>
        </w:rPr>
        <w:t>第六部分</w:t>
      </w:r>
      <w:r>
        <w:rPr>
          <w:rFonts w:hint="eastAsia" w:ascii="宋体" w:hAnsi="宋体" w:eastAsia="宋体" w:cs="宋体"/>
          <w:szCs w:val="24"/>
        </w:rPr>
        <w:t xml:space="preserve">  </w:t>
      </w:r>
      <w:r>
        <w:rPr>
          <w:rFonts w:hint="eastAsia" w:ascii="宋体" w:hAnsi="宋体" w:eastAsia="宋体" w:cs="宋体"/>
          <w:szCs w:val="24"/>
          <w:lang w:val="en-US" w:eastAsia="zh-CN"/>
        </w:rPr>
        <w:t>投标文件格式</w:t>
      </w:r>
      <w:r>
        <w:tab/>
      </w:r>
      <w:r>
        <w:fldChar w:fldCharType="begin"/>
      </w:r>
      <w:r>
        <w:instrText xml:space="preserve"> PAGEREF _Toc4800 \h </w:instrText>
      </w:r>
      <w:r>
        <w:fldChar w:fldCharType="separate"/>
      </w:r>
      <w:r>
        <w:t>35</w:t>
      </w:r>
      <w:r>
        <w:fldChar w:fldCharType="end"/>
      </w:r>
      <w:r>
        <w:rPr>
          <w:rFonts w:hint="eastAsia" w:ascii="宋体" w:hAnsi="宋体" w:eastAsia="宋体" w:cs="宋体"/>
          <w:szCs w:val="24"/>
        </w:rPr>
        <w:fldChar w:fldCharType="end"/>
      </w:r>
    </w:p>
    <w:p>
      <w:pPr>
        <w:pStyle w:val="24"/>
        <w:tabs>
          <w:tab w:val="right" w:leader="dot" w:pos="9410"/>
        </w:tabs>
        <w:ind w:firstLine="402" w:firstLineChars="200"/>
        <w:jc w:val="both"/>
        <w:rPr>
          <w:rFonts w:hint="eastAsia" w:ascii="宋体" w:hAnsi="宋体" w:eastAsia="宋体" w:cs="宋体"/>
          <w:sz w:val="24"/>
          <w:szCs w:val="24"/>
        </w:rPr>
      </w:pPr>
      <w:r>
        <w:rPr>
          <w:rFonts w:hint="eastAsia" w:ascii="宋体" w:hAnsi="宋体" w:eastAsia="宋体" w:cs="宋体"/>
          <w:szCs w:val="24"/>
        </w:rPr>
        <w:fldChar w:fldCharType="end"/>
      </w:r>
    </w:p>
    <w:p>
      <w:pPr>
        <w:pStyle w:val="95"/>
        <w:ind w:firstLine="482" w:firstLineChars="200"/>
        <w:jc w:val="both"/>
        <w:rPr>
          <w:rStyle w:val="57"/>
          <w:rFonts w:hint="eastAsia" w:ascii="宋体" w:hAnsi="宋体" w:eastAsia="宋体" w:cs="宋体"/>
          <w:b/>
          <w:sz w:val="24"/>
          <w:szCs w:val="24"/>
        </w:rPr>
      </w:pPr>
      <w:bookmarkStart w:id="0" w:name="_Toc60740897"/>
      <w:r>
        <w:rPr>
          <w:rFonts w:hint="eastAsia" w:ascii="宋体" w:hAnsi="宋体" w:eastAsia="宋体" w:cs="宋体"/>
          <w:b/>
          <w:color w:val="FF0000"/>
          <w:kern w:val="36"/>
          <w:sz w:val="24"/>
          <w:szCs w:val="24"/>
          <w:lang w:eastAsia="zh-CN"/>
        </w:rPr>
        <w:br w:type="page"/>
      </w:r>
      <w:bookmarkEnd w:id="0"/>
      <w:r>
        <w:rPr>
          <w:rFonts w:hint="eastAsia" w:ascii="宋体" w:hAnsi="宋体" w:eastAsia="宋体" w:cs="宋体"/>
          <w:b/>
          <w:color w:val="FF0000"/>
          <w:kern w:val="36"/>
          <w:sz w:val="24"/>
          <w:szCs w:val="24"/>
          <w:lang w:val="en-US" w:eastAsia="zh-CN"/>
        </w:rPr>
        <w:t xml:space="preserve">            </w:t>
      </w:r>
      <w:r>
        <w:rPr>
          <w:rStyle w:val="57"/>
          <w:rFonts w:hint="eastAsia" w:ascii="宋体" w:hAnsi="宋体" w:eastAsia="宋体" w:cs="宋体"/>
          <w:b/>
          <w:sz w:val="24"/>
          <w:szCs w:val="24"/>
        </w:rPr>
        <w:t>巴音郭楞职业技术学院信息化基础设施运维外包服务项目</w:t>
      </w:r>
    </w:p>
    <w:p>
      <w:pPr>
        <w:pStyle w:val="95"/>
        <w:ind w:firstLine="3120" w:firstLineChars="1300"/>
        <w:jc w:val="both"/>
        <w:outlineLvl w:val="0"/>
        <w:rPr>
          <w:rFonts w:hint="eastAsia" w:ascii="宋体" w:hAnsi="宋体" w:eastAsia="宋体" w:cs="宋体"/>
          <w:sz w:val="24"/>
          <w:szCs w:val="24"/>
        </w:rPr>
      </w:pPr>
      <w:r>
        <w:rPr>
          <w:rFonts w:hint="eastAsia" w:ascii="宋体" w:hAnsi="宋体" w:eastAsia="宋体" w:cs="宋体"/>
          <w:sz w:val="24"/>
          <w:szCs w:val="24"/>
        </w:rPr>
        <w:t>第一部分 竞争性磋商公告</w:t>
      </w:r>
    </w:p>
    <w:tbl>
      <w:tblPr>
        <w:tblStyle w:val="3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tcPr>
          <w:p>
            <w:pPr>
              <w:pStyle w:val="33"/>
              <w:spacing w:before="0" w:beforeAutospacing="0" w:after="0" w:afterAutospacing="0" w:line="440" w:lineRule="exact"/>
              <w:ind w:firstLine="3600" w:firstLineChars="1500"/>
              <w:jc w:val="both"/>
              <w:rPr>
                <w:rFonts w:hint="eastAsia" w:ascii="宋体" w:hAnsi="宋体" w:eastAsia="宋体" w:cs="宋体"/>
                <w:sz w:val="24"/>
                <w:szCs w:val="24"/>
              </w:rPr>
            </w:pPr>
            <w:r>
              <w:rPr>
                <w:rFonts w:hint="eastAsia" w:ascii="宋体" w:hAnsi="宋体" w:eastAsia="宋体" w:cs="宋体"/>
                <w:sz w:val="24"/>
                <w:szCs w:val="24"/>
              </w:rPr>
              <w:t>项目概况</w:t>
            </w:r>
          </w:p>
          <w:p>
            <w:pPr>
              <w:pStyle w:val="33"/>
              <w:spacing w:before="0" w:beforeAutospacing="0" w:after="0" w:afterAutospacing="0" w:line="440" w:lineRule="exact"/>
              <w:jc w:val="both"/>
              <w:rPr>
                <w:rFonts w:hint="eastAsia" w:ascii="宋体" w:hAnsi="宋体" w:eastAsia="宋体" w:cs="宋体"/>
                <w:sz w:val="24"/>
                <w:szCs w:val="24"/>
              </w:rPr>
            </w:pPr>
            <w:r>
              <w:rPr>
                <w:rFonts w:hint="eastAsia" w:cs="宋体"/>
                <w:sz w:val="24"/>
                <w:szCs w:val="24"/>
                <w:u w:val="single"/>
                <w:lang w:eastAsia="zh-CN"/>
              </w:rPr>
              <w:t>巴音郭楞职业技术学院信息化基础设施运维外包服务项目</w:t>
            </w:r>
            <w:r>
              <w:rPr>
                <w:rFonts w:hint="eastAsia" w:ascii="宋体" w:hAnsi="宋体" w:eastAsia="宋体" w:cs="宋体"/>
                <w:sz w:val="24"/>
                <w:szCs w:val="24"/>
              </w:rPr>
              <w:t>的潜在供应商应在</w:t>
            </w:r>
            <w:r>
              <w:rPr>
                <w:rFonts w:hint="eastAsia" w:ascii="宋体" w:hAnsi="宋体" w:cs="宋体"/>
                <w:bCs/>
                <w:szCs w:val="24"/>
                <w:u w:val="single"/>
              </w:rPr>
              <w:t>政采云平台http://www.zcygov.cn/</w:t>
            </w:r>
            <w:r>
              <w:rPr>
                <w:rFonts w:hint="eastAsia" w:ascii="宋体" w:hAnsi="宋体" w:eastAsia="宋体" w:cs="宋体"/>
                <w:sz w:val="24"/>
                <w:szCs w:val="24"/>
              </w:rPr>
              <w:t xml:space="preserve">获取竞争性磋商文件，并于 </w:t>
            </w:r>
            <w:r>
              <w:rPr>
                <w:rFonts w:hint="eastAsia" w:ascii="宋体" w:hAnsi="宋体" w:eastAsia="宋体" w:cs="宋体"/>
                <w:sz w:val="24"/>
                <w:szCs w:val="24"/>
                <w:u w:val="single"/>
                <w:lang w:eastAsia="zh-CN"/>
              </w:rPr>
              <w:t xml:space="preserve"> 2022年</w:t>
            </w:r>
            <w:r>
              <w:rPr>
                <w:rFonts w:hint="eastAsia" w:cs="宋体"/>
                <w:sz w:val="24"/>
                <w:szCs w:val="24"/>
                <w:u w:val="single"/>
                <w:lang w:val="en-US" w:eastAsia="zh-CN"/>
              </w:rPr>
              <w:t>9</w:t>
            </w:r>
            <w:r>
              <w:rPr>
                <w:rFonts w:hint="eastAsia" w:ascii="宋体" w:hAnsi="宋体" w:eastAsia="宋体" w:cs="宋体"/>
                <w:sz w:val="24"/>
                <w:szCs w:val="24"/>
                <w:u w:val="single"/>
                <w:lang w:eastAsia="zh-CN"/>
              </w:rPr>
              <w:t>月</w:t>
            </w:r>
            <w:r>
              <w:rPr>
                <w:rFonts w:hint="eastAsia" w:cs="宋体"/>
                <w:sz w:val="24"/>
                <w:szCs w:val="24"/>
                <w:u w:val="single"/>
                <w:lang w:val="en-US" w:eastAsia="zh-CN"/>
              </w:rPr>
              <w:t>6</w:t>
            </w:r>
            <w:r>
              <w:rPr>
                <w:rFonts w:hint="eastAsia" w:ascii="宋体" w:hAnsi="宋体" w:eastAsia="宋体" w:cs="宋体"/>
                <w:sz w:val="24"/>
                <w:szCs w:val="24"/>
                <w:u w:val="single"/>
                <w:lang w:eastAsia="zh-CN"/>
              </w:rPr>
              <w:t>日</w:t>
            </w:r>
            <w:r>
              <w:rPr>
                <w:rFonts w:hint="eastAsia" w:ascii="宋体" w:hAnsi="宋体" w:eastAsia="宋体" w:cs="宋体"/>
                <w:sz w:val="24"/>
                <w:szCs w:val="24"/>
                <w:u w:val="single"/>
              </w:rPr>
              <w:t xml:space="preserve"> </w:t>
            </w:r>
            <w:r>
              <w:rPr>
                <w:rFonts w:hint="eastAsia" w:cs="宋体"/>
                <w:sz w:val="24"/>
                <w:szCs w:val="24"/>
                <w:u w:val="single"/>
                <w:lang w:eastAsia="zh-CN"/>
              </w:rPr>
              <w:t>10:30</w:t>
            </w:r>
            <w:r>
              <w:rPr>
                <w:rFonts w:hint="eastAsia" w:ascii="宋体" w:hAnsi="宋体" w:eastAsia="宋体" w:cs="宋体"/>
                <w:sz w:val="24"/>
                <w:szCs w:val="24"/>
              </w:rPr>
              <w:t>（北京时间）前递交响应文件。</w:t>
            </w:r>
          </w:p>
        </w:tc>
      </w:tr>
    </w:tbl>
    <w:p>
      <w:pPr>
        <w:pStyle w:val="33"/>
        <w:numPr>
          <w:ilvl w:val="0"/>
          <w:numId w:val="1"/>
        </w:numPr>
        <w:spacing w:before="0" w:beforeAutospacing="0" w:after="0" w:afterAutospacing="0" w:line="440" w:lineRule="exact"/>
        <w:ind w:firstLine="482" w:firstLineChars="200"/>
        <w:jc w:val="both"/>
        <w:rPr>
          <w:rStyle w:val="39"/>
          <w:rFonts w:hint="eastAsia" w:ascii="宋体" w:hAnsi="宋体" w:eastAsia="宋体" w:cs="宋体"/>
          <w:sz w:val="24"/>
          <w:szCs w:val="24"/>
        </w:rPr>
      </w:pPr>
      <w:r>
        <w:rPr>
          <w:rStyle w:val="39"/>
          <w:rFonts w:hint="eastAsia" w:ascii="宋体" w:hAnsi="宋体" w:eastAsia="宋体" w:cs="宋体"/>
          <w:sz w:val="24"/>
          <w:szCs w:val="24"/>
        </w:rPr>
        <w:t>项目基本情况</w:t>
      </w:r>
    </w:p>
    <w:p>
      <w:pPr>
        <w:pStyle w:val="33"/>
        <w:numPr>
          <w:ilvl w:val="0"/>
          <w:numId w:val="0"/>
        </w:numPr>
        <w:spacing w:before="0" w:beforeAutospacing="0" w:after="0" w:afterAutospacing="0" w:line="44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cs="宋体"/>
          <w:sz w:val="24"/>
          <w:szCs w:val="24"/>
          <w:lang w:val="en-US" w:eastAsia="zh-CN"/>
        </w:rPr>
        <w:t>HRBYCG2022-30</w:t>
      </w:r>
    </w:p>
    <w:p>
      <w:pPr>
        <w:pStyle w:val="33"/>
        <w:numPr>
          <w:ilvl w:val="0"/>
          <w:numId w:val="0"/>
        </w:numPr>
        <w:spacing w:before="0" w:beforeAutospacing="0" w:after="0" w:afterAutospacing="0" w:line="440" w:lineRule="exact"/>
        <w:jc w:val="both"/>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cs="宋体"/>
          <w:sz w:val="24"/>
          <w:szCs w:val="24"/>
          <w:lang w:eastAsia="zh-CN"/>
        </w:rPr>
        <w:t>巴音郭楞职业技术学院信息化基础设施运维外包服务项目</w:t>
      </w:r>
    </w:p>
    <w:p>
      <w:pPr>
        <w:pStyle w:val="33"/>
        <w:numPr>
          <w:ilvl w:val="0"/>
          <w:numId w:val="0"/>
        </w:numPr>
        <w:spacing w:before="0" w:beforeAutospacing="0" w:after="0" w:afterAutospacing="0" w:line="440" w:lineRule="exact"/>
        <w:jc w:val="both"/>
        <w:rPr>
          <w:rFonts w:hint="eastAsia" w:ascii="宋体" w:hAnsi="宋体" w:eastAsia="宋体" w:cs="宋体"/>
          <w:sz w:val="24"/>
          <w:szCs w:val="24"/>
        </w:rPr>
      </w:pPr>
      <w:r>
        <w:rPr>
          <w:rFonts w:hint="eastAsia" w:ascii="宋体" w:hAnsi="宋体" w:eastAsia="宋体" w:cs="宋体"/>
          <w:sz w:val="24"/>
          <w:szCs w:val="24"/>
        </w:rPr>
        <w:t>采购方式：竞争性磋商</w:t>
      </w:r>
    </w:p>
    <w:p>
      <w:pPr>
        <w:pStyle w:val="33"/>
        <w:spacing w:before="0" w:beforeAutospacing="0" w:after="0" w:afterAutospacing="0" w:line="440" w:lineRule="exact"/>
        <w:jc w:val="both"/>
        <w:rPr>
          <w:rFonts w:hint="eastAsia" w:ascii="宋体" w:hAnsi="宋体" w:eastAsia="宋体" w:cs="宋体"/>
          <w:sz w:val="24"/>
          <w:szCs w:val="24"/>
          <w:lang w:val="en-US"/>
        </w:rPr>
      </w:pPr>
      <w:r>
        <w:rPr>
          <w:rFonts w:hint="eastAsia" w:ascii="宋体" w:hAnsi="宋体" w:eastAsia="宋体" w:cs="宋体"/>
          <w:sz w:val="24"/>
          <w:szCs w:val="24"/>
        </w:rPr>
        <w:t>预算金额（元）：</w:t>
      </w:r>
      <w:r>
        <w:rPr>
          <w:rFonts w:hint="eastAsia" w:cs="宋体"/>
          <w:sz w:val="24"/>
          <w:szCs w:val="24"/>
          <w:lang w:eastAsia="zh-CN"/>
        </w:rPr>
        <w:t>400000.00</w:t>
      </w:r>
      <w:r>
        <w:rPr>
          <w:rFonts w:hint="eastAsia" w:ascii="宋体" w:hAnsi="宋体" w:eastAsia="宋体" w:cs="宋体"/>
          <w:sz w:val="24"/>
          <w:szCs w:val="24"/>
          <w:lang w:val="en-US" w:eastAsia="zh-CN"/>
        </w:rPr>
        <w:t>元</w:t>
      </w:r>
    </w:p>
    <w:p>
      <w:pPr>
        <w:pStyle w:val="33"/>
        <w:spacing w:before="0" w:beforeAutospacing="0" w:after="0" w:afterAutospacing="0" w:line="440" w:lineRule="exact"/>
        <w:jc w:val="both"/>
        <w:rPr>
          <w:rFonts w:hint="eastAsia" w:ascii="宋体" w:hAnsi="宋体" w:eastAsia="宋体" w:cs="宋体"/>
          <w:sz w:val="24"/>
          <w:szCs w:val="24"/>
        </w:rPr>
      </w:pPr>
      <w:r>
        <w:rPr>
          <w:rFonts w:hint="eastAsia" w:ascii="宋体" w:hAnsi="宋体" w:eastAsia="宋体" w:cs="宋体"/>
          <w:sz w:val="24"/>
          <w:szCs w:val="24"/>
        </w:rPr>
        <w:t>采购需求： </w:t>
      </w:r>
    </w:p>
    <w:tbl>
      <w:tblPr>
        <w:tblStyle w:val="36"/>
        <w:tblW w:w="1028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4"/>
        <w:gridCol w:w="3817"/>
        <w:gridCol w:w="570"/>
        <w:gridCol w:w="467"/>
        <w:gridCol w:w="1935"/>
        <w:gridCol w:w="1909"/>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rPr>
        <w:tc>
          <w:tcPr>
            <w:tcW w:w="694" w:type="dxa"/>
            <w:tcMar>
              <w:top w:w="75" w:type="dxa"/>
              <w:left w:w="150" w:type="dxa"/>
              <w:bottom w:w="75" w:type="dxa"/>
              <w:right w:w="150" w:type="dxa"/>
            </w:tcMar>
            <w:vAlign w:val="center"/>
          </w:tcPr>
          <w:p>
            <w:pPr>
              <w:widowControl/>
              <w:jc w:val="both"/>
              <w:rPr>
                <w:rStyle w:val="39"/>
                <w:rFonts w:hint="eastAsia" w:ascii="宋体" w:hAnsi="宋体" w:eastAsia="宋体" w:cs="宋体"/>
                <w:kern w:val="0"/>
                <w:sz w:val="24"/>
                <w:szCs w:val="24"/>
              </w:rPr>
            </w:pPr>
            <w:r>
              <w:rPr>
                <w:rStyle w:val="39"/>
                <w:rFonts w:hint="eastAsia" w:ascii="宋体" w:hAnsi="宋体" w:eastAsia="宋体" w:cs="宋体"/>
                <w:kern w:val="0"/>
                <w:sz w:val="24"/>
                <w:szCs w:val="24"/>
              </w:rPr>
              <w:t>标项</w:t>
            </w:r>
          </w:p>
        </w:tc>
        <w:tc>
          <w:tcPr>
            <w:tcW w:w="3817" w:type="dxa"/>
            <w:tcMar>
              <w:top w:w="75" w:type="dxa"/>
              <w:left w:w="150" w:type="dxa"/>
              <w:bottom w:w="75" w:type="dxa"/>
              <w:right w:w="150" w:type="dxa"/>
            </w:tcMar>
            <w:vAlign w:val="center"/>
          </w:tcPr>
          <w:p>
            <w:pPr>
              <w:widowControl/>
              <w:jc w:val="both"/>
              <w:rPr>
                <w:rStyle w:val="39"/>
                <w:rFonts w:hint="eastAsia" w:ascii="宋体" w:hAnsi="宋体" w:eastAsia="宋体" w:cs="宋体"/>
                <w:kern w:val="0"/>
                <w:sz w:val="24"/>
                <w:szCs w:val="24"/>
              </w:rPr>
            </w:pPr>
            <w:r>
              <w:rPr>
                <w:rStyle w:val="39"/>
                <w:rFonts w:hint="eastAsia" w:ascii="宋体" w:hAnsi="宋体" w:eastAsia="宋体" w:cs="宋体"/>
                <w:kern w:val="0"/>
                <w:sz w:val="24"/>
                <w:szCs w:val="24"/>
              </w:rPr>
              <w:t>项目名称</w:t>
            </w:r>
          </w:p>
        </w:tc>
        <w:tc>
          <w:tcPr>
            <w:tcW w:w="570" w:type="dxa"/>
            <w:tcMar>
              <w:top w:w="75" w:type="dxa"/>
              <w:left w:w="150" w:type="dxa"/>
              <w:bottom w:w="75" w:type="dxa"/>
              <w:right w:w="150" w:type="dxa"/>
            </w:tcMar>
            <w:vAlign w:val="center"/>
          </w:tcPr>
          <w:p>
            <w:pPr>
              <w:widowControl/>
              <w:jc w:val="both"/>
              <w:rPr>
                <w:rStyle w:val="39"/>
                <w:rFonts w:hint="eastAsia" w:ascii="宋体" w:hAnsi="宋体" w:eastAsia="宋体" w:cs="宋体"/>
                <w:kern w:val="0"/>
                <w:sz w:val="24"/>
                <w:szCs w:val="24"/>
              </w:rPr>
            </w:pPr>
            <w:r>
              <w:rPr>
                <w:rStyle w:val="39"/>
                <w:rFonts w:hint="eastAsia" w:ascii="宋体" w:hAnsi="宋体" w:eastAsia="宋体" w:cs="宋体"/>
                <w:kern w:val="0"/>
                <w:sz w:val="24"/>
                <w:szCs w:val="24"/>
              </w:rPr>
              <w:t>数量</w:t>
            </w:r>
          </w:p>
        </w:tc>
        <w:tc>
          <w:tcPr>
            <w:tcW w:w="467" w:type="dxa"/>
            <w:tcMar>
              <w:top w:w="75" w:type="dxa"/>
              <w:left w:w="150" w:type="dxa"/>
              <w:bottom w:w="75" w:type="dxa"/>
              <w:right w:w="150" w:type="dxa"/>
            </w:tcMar>
            <w:vAlign w:val="center"/>
          </w:tcPr>
          <w:p>
            <w:pPr>
              <w:widowControl/>
              <w:jc w:val="both"/>
              <w:rPr>
                <w:rStyle w:val="39"/>
                <w:rFonts w:hint="eastAsia" w:ascii="宋体" w:hAnsi="宋体" w:eastAsia="宋体" w:cs="宋体"/>
                <w:kern w:val="0"/>
                <w:sz w:val="24"/>
                <w:szCs w:val="24"/>
              </w:rPr>
            </w:pPr>
            <w:r>
              <w:rPr>
                <w:rStyle w:val="39"/>
                <w:rFonts w:hint="eastAsia" w:ascii="宋体" w:hAnsi="宋体" w:eastAsia="宋体" w:cs="宋体"/>
                <w:kern w:val="0"/>
                <w:sz w:val="24"/>
                <w:szCs w:val="24"/>
              </w:rPr>
              <w:t>单位</w:t>
            </w:r>
          </w:p>
        </w:tc>
        <w:tc>
          <w:tcPr>
            <w:tcW w:w="1935" w:type="dxa"/>
            <w:tcMar>
              <w:top w:w="75" w:type="dxa"/>
              <w:left w:w="150" w:type="dxa"/>
              <w:bottom w:w="75" w:type="dxa"/>
              <w:right w:w="150" w:type="dxa"/>
            </w:tcMar>
            <w:vAlign w:val="center"/>
          </w:tcPr>
          <w:p>
            <w:pPr>
              <w:widowControl/>
              <w:jc w:val="both"/>
              <w:rPr>
                <w:rStyle w:val="39"/>
                <w:rFonts w:hint="eastAsia" w:ascii="宋体" w:hAnsi="宋体" w:eastAsia="宋体" w:cs="宋体"/>
                <w:kern w:val="0"/>
                <w:sz w:val="24"/>
                <w:szCs w:val="24"/>
              </w:rPr>
            </w:pPr>
            <w:r>
              <w:rPr>
                <w:rStyle w:val="39"/>
                <w:rFonts w:hint="eastAsia" w:ascii="宋体" w:hAnsi="宋体" w:eastAsia="宋体" w:cs="宋体"/>
                <w:kern w:val="0"/>
                <w:sz w:val="24"/>
                <w:szCs w:val="24"/>
              </w:rPr>
              <w:t>预算金额总价（元）</w:t>
            </w:r>
          </w:p>
        </w:tc>
        <w:tc>
          <w:tcPr>
            <w:tcW w:w="1909" w:type="dxa"/>
            <w:tcMar>
              <w:top w:w="75" w:type="dxa"/>
              <w:left w:w="150" w:type="dxa"/>
              <w:bottom w:w="75" w:type="dxa"/>
              <w:right w:w="150" w:type="dxa"/>
            </w:tcMar>
            <w:vAlign w:val="center"/>
          </w:tcPr>
          <w:p>
            <w:pPr>
              <w:widowControl/>
              <w:jc w:val="both"/>
              <w:rPr>
                <w:rStyle w:val="39"/>
                <w:rFonts w:hint="eastAsia" w:ascii="宋体" w:hAnsi="宋体" w:eastAsia="宋体" w:cs="宋体"/>
                <w:kern w:val="0"/>
                <w:sz w:val="24"/>
                <w:szCs w:val="24"/>
              </w:rPr>
            </w:pPr>
            <w:r>
              <w:rPr>
                <w:rStyle w:val="39"/>
                <w:rFonts w:hint="eastAsia" w:ascii="宋体" w:hAnsi="宋体" w:eastAsia="宋体" w:cs="宋体"/>
                <w:kern w:val="0"/>
                <w:sz w:val="24"/>
                <w:szCs w:val="24"/>
              </w:rPr>
              <w:t>简要规格描述</w:t>
            </w:r>
          </w:p>
        </w:tc>
        <w:tc>
          <w:tcPr>
            <w:tcW w:w="891" w:type="dxa"/>
            <w:tcMar>
              <w:top w:w="75" w:type="dxa"/>
              <w:left w:w="150" w:type="dxa"/>
              <w:bottom w:w="75" w:type="dxa"/>
              <w:right w:w="150" w:type="dxa"/>
            </w:tcMar>
            <w:vAlign w:val="center"/>
          </w:tcPr>
          <w:p>
            <w:pPr>
              <w:widowControl/>
              <w:jc w:val="both"/>
              <w:rPr>
                <w:rStyle w:val="39"/>
                <w:rFonts w:hint="eastAsia" w:ascii="宋体" w:hAnsi="宋体" w:eastAsia="宋体" w:cs="宋体"/>
                <w:kern w:val="0"/>
                <w:sz w:val="24"/>
                <w:szCs w:val="24"/>
              </w:rPr>
            </w:pPr>
            <w:r>
              <w:rPr>
                <w:rStyle w:val="39"/>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2" w:hRule="atLeast"/>
        </w:trPr>
        <w:tc>
          <w:tcPr>
            <w:tcW w:w="694" w:type="dxa"/>
            <w:tcMar>
              <w:top w:w="75" w:type="dxa"/>
              <w:left w:w="150" w:type="dxa"/>
              <w:bottom w:w="75" w:type="dxa"/>
              <w:right w:w="150" w:type="dxa"/>
            </w:tcMar>
            <w:vAlign w:val="center"/>
          </w:tcPr>
          <w:p>
            <w:pPr>
              <w:widowControl/>
              <w:jc w:val="both"/>
              <w:rPr>
                <w:rStyle w:val="39"/>
                <w:rFonts w:hint="eastAsia" w:ascii="宋体" w:hAnsi="宋体" w:eastAsia="宋体" w:cs="宋体"/>
                <w:sz w:val="24"/>
                <w:szCs w:val="24"/>
              </w:rPr>
            </w:pPr>
            <w:r>
              <w:rPr>
                <w:rStyle w:val="39"/>
                <w:rFonts w:hint="eastAsia" w:ascii="宋体" w:hAnsi="宋体" w:eastAsia="宋体" w:cs="宋体"/>
                <w:sz w:val="24"/>
                <w:szCs w:val="24"/>
              </w:rPr>
              <w:t>1</w:t>
            </w:r>
          </w:p>
        </w:tc>
        <w:tc>
          <w:tcPr>
            <w:tcW w:w="3817" w:type="dxa"/>
            <w:tcMar>
              <w:top w:w="75" w:type="dxa"/>
              <w:left w:w="150" w:type="dxa"/>
              <w:bottom w:w="75" w:type="dxa"/>
              <w:right w:w="150" w:type="dxa"/>
            </w:tcMar>
            <w:vAlign w:val="center"/>
          </w:tcPr>
          <w:p>
            <w:pPr>
              <w:widowControl/>
              <w:jc w:val="both"/>
              <w:textAlignment w:val="center"/>
              <w:rPr>
                <w:rStyle w:val="39"/>
                <w:rFonts w:hint="eastAsia" w:ascii="宋体" w:hAnsi="宋体" w:eastAsia="宋体" w:cs="宋体"/>
                <w:kern w:val="0"/>
                <w:sz w:val="24"/>
                <w:szCs w:val="24"/>
                <w:lang w:eastAsia="zh-CN"/>
              </w:rPr>
            </w:pPr>
            <w:r>
              <w:rPr>
                <w:rStyle w:val="39"/>
                <w:rFonts w:hint="eastAsia" w:ascii="宋体" w:hAnsi="宋体" w:cs="宋体"/>
                <w:kern w:val="0"/>
                <w:sz w:val="24"/>
                <w:szCs w:val="24"/>
                <w:lang w:eastAsia="zh-CN"/>
              </w:rPr>
              <w:t>巴音郭楞职业技术学院信息化基础设施运维外包服务项目</w:t>
            </w:r>
          </w:p>
        </w:tc>
        <w:tc>
          <w:tcPr>
            <w:tcW w:w="570" w:type="dxa"/>
            <w:tcMar>
              <w:top w:w="75" w:type="dxa"/>
              <w:left w:w="150" w:type="dxa"/>
              <w:bottom w:w="75" w:type="dxa"/>
              <w:right w:w="150" w:type="dxa"/>
            </w:tcMar>
            <w:vAlign w:val="center"/>
          </w:tcPr>
          <w:p>
            <w:pPr>
              <w:widowControl/>
              <w:jc w:val="both"/>
              <w:rPr>
                <w:rStyle w:val="39"/>
                <w:rFonts w:hint="eastAsia" w:ascii="宋体" w:hAnsi="宋体" w:eastAsia="宋体" w:cs="宋体"/>
                <w:kern w:val="0"/>
                <w:sz w:val="24"/>
                <w:szCs w:val="24"/>
              </w:rPr>
            </w:pPr>
            <w:r>
              <w:rPr>
                <w:rStyle w:val="39"/>
                <w:rFonts w:hint="eastAsia" w:ascii="宋体" w:hAnsi="宋体" w:eastAsia="宋体" w:cs="宋体"/>
                <w:sz w:val="24"/>
                <w:szCs w:val="24"/>
              </w:rPr>
              <w:t>1</w:t>
            </w:r>
          </w:p>
        </w:tc>
        <w:tc>
          <w:tcPr>
            <w:tcW w:w="467" w:type="dxa"/>
            <w:tcMar>
              <w:top w:w="75" w:type="dxa"/>
              <w:left w:w="150" w:type="dxa"/>
              <w:bottom w:w="75" w:type="dxa"/>
              <w:right w:w="150" w:type="dxa"/>
            </w:tcMar>
            <w:vAlign w:val="center"/>
          </w:tcPr>
          <w:p>
            <w:pPr>
              <w:widowControl/>
              <w:jc w:val="both"/>
              <w:textAlignment w:val="center"/>
              <w:rPr>
                <w:rStyle w:val="39"/>
                <w:rFonts w:hint="eastAsia" w:ascii="宋体" w:hAnsi="宋体" w:eastAsia="宋体" w:cs="宋体"/>
                <w:sz w:val="24"/>
                <w:szCs w:val="24"/>
              </w:rPr>
            </w:pPr>
            <w:r>
              <w:rPr>
                <w:rStyle w:val="39"/>
                <w:rFonts w:hint="eastAsia" w:ascii="宋体" w:hAnsi="宋体" w:eastAsia="宋体" w:cs="宋体"/>
                <w:sz w:val="24"/>
                <w:szCs w:val="24"/>
              </w:rPr>
              <w:t>项</w:t>
            </w:r>
          </w:p>
        </w:tc>
        <w:tc>
          <w:tcPr>
            <w:tcW w:w="1935" w:type="dxa"/>
            <w:tcMar>
              <w:top w:w="75" w:type="dxa"/>
              <w:left w:w="150" w:type="dxa"/>
              <w:bottom w:w="75" w:type="dxa"/>
              <w:right w:w="150" w:type="dxa"/>
            </w:tcMar>
            <w:vAlign w:val="center"/>
          </w:tcPr>
          <w:p>
            <w:pPr>
              <w:widowControl/>
              <w:jc w:val="both"/>
              <w:textAlignment w:val="center"/>
              <w:rPr>
                <w:rStyle w:val="39"/>
                <w:rFonts w:hint="eastAsia" w:ascii="宋体" w:hAnsi="宋体" w:eastAsia="宋体" w:cs="宋体"/>
                <w:sz w:val="24"/>
                <w:szCs w:val="24"/>
                <w:lang w:eastAsia="zh-CN"/>
              </w:rPr>
            </w:pPr>
            <w:r>
              <w:rPr>
                <w:rStyle w:val="39"/>
                <w:rFonts w:hint="eastAsia" w:ascii="宋体" w:hAnsi="宋体" w:cs="宋体"/>
                <w:sz w:val="24"/>
                <w:szCs w:val="24"/>
                <w:lang w:eastAsia="zh-CN"/>
              </w:rPr>
              <w:t>400000.00</w:t>
            </w:r>
          </w:p>
        </w:tc>
        <w:tc>
          <w:tcPr>
            <w:tcW w:w="1909" w:type="dxa"/>
            <w:tcMar>
              <w:top w:w="75" w:type="dxa"/>
              <w:left w:w="150" w:type="dxa"/>
              <w:bottom w:w="75" w:type="dxa"/>
              <w:right w:w="150" w:type="dxa"/>
            </w:tcMar>
            <w:vAlign w:val="center"/>
          </w:tcPr>
          <w:p>
            <w:pPr>
              <w:widowControl/>
              <w:jc w:val="both"/>
              <w:rPr>
                <w:rStyle w:val="39"/>
                <w:rFonts w:hint="eastAsia" w:ascii="宋体" w:hAnsi="宋体" w:eastAsia="宋体" w:cs="宋体"/>
                <w:kern w:val="0"/>
                <w:sz w:val="24"/>
                <w:szCs w:val="24"/>
              </w:rPr>
            </w:pPr>
            <w:r>
              <w:rPr>
                <w:rStyle w:val="39"/>
                <w:rFonts w:hint="eastAsia" w:ascii="宋体" w:hAnsi="宋体" w:eastAsia="宋体" w:cs="宋体"/>
                <w:sz w:val="24"/>
                <w:szCs w:val="24"/>
              </w:rPr>
              <w:t>详见磋商文件</w:t>
            </w:r>
          </w:p>
        </w:tc>
        <w:tc>
          <w:tcPr>
            <w:tcW w:w="891" w:type="dxa"/>
            <w:tcMar>
              <w:top w:w="75" w:type="dxa"/>
              <w:left w:w="150" w:type="dxa"/>
              <w:bottom w:w="75" w:type="dxa"/>
              <w:right w:w="150" w:type="dxa"/>
            </w:tcMar>
            <w:vAlign w:val="center"/>
          </w:tcPr>
          <w:p>
            <w:pPr>
              <w:widowControl/>
              <w:jc w:val="both"/>
              <w:rPr>
                <w:rStyle w:val="39"/>
                <w:rFonts w:hint="eastAsia" w:ascii="宋体" w:hAnsi="宋体" w:eastAsia="宋体" w:cs="宋体"/>
                <w:kern w:val="0"/>
                <w:sz w:val="24"/>
                <w:szCs w:val="24"/>
              </w:rPr>
            </w:pPr>
          </w:p>
        </w:tc>
      </w:tr>
    </w:tbl>
    <w:p>
      <w:pPr>
        <w:pStyle w:val="33"/>
        <w:spacing w:before="0" w:beforeAutospacing="0" w:after="0" w:afterAutospacing="0" w:line="440" w:lineRule="exact"/>
        <w:ind w:firstLine="482" w:firstLineChars="200"/>
        <w:jc w:val="both"/>
        <w:outlineLvl w:val="1"/>
        <w:rPr>
          <w:rFonts w:hint="eastAsia" w:ascii="宋体" w:hAnsi="宋体" w:eastAsia="宋体" w:cs="宋体"/>
          <w:sz w:val="24"/>
          <w:szCs w:val="24"/>
        </w:rPr>
      </w:pPr>
      <w:r>
        <w:rPr>
          <w:rStyle w:val="39"/>
          <w:rFonts w:hint="eastAsia" w:ascii="宋体" w:hAnsi="宋体" w:eastAsia="宋体" w:cs="宋体"/>
          <w:sz w:val="24"/>
          <w:szCs w:val="24"/>
        </w:rPr>
        <w:t>二、申请人的资格要求：</w:t>
      </w:r>
    </w:p>
    <w:p>
      <w:pPr>
        <w:pStyle w:val="33"/>
        <w:spacing w:before="0" w:beforeAutospacing="0" w:after="0" w:afterAutospacing="0" w:line="440" w:lineRule="exact"/>
        <w:ind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33"/>
        <w:spacing w:before="0" w:beforeAutospacing="0" w:after="0" w:afterAutospacing="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2.落实政府采购政策需满足的资格要求：符合政府采购优先（节约能源、保护环境）采购政策及促进中小企业（监狱企业、残疾人福利性单位）发展政策的，依据规定给予评审优惠。</w:t>
      </w:r>
    </w:p>
    <w:p>
      <w:pPr>
        <w:pStyle w:val="33"/>
        <w:spacing w:before="0" w:beforeAutospacing="0" w:after="0" w:afterAutospacing="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33"/>
        <w:spacing w:before="0" w:beforeAutospacing="0" w:after="0" w:afterAutospacing="0" w:line="440" w:lineRule="exact"/>
        <w:ind w:firstLine="480" w:firstLineChars="200"/>
        <w:jc w:val="both"/>
        <w:outlineLvl w:val="2"/>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1、满足《中华人民共和国政府采购法》第二十二条规定；</w:t>
      </w:r>
    </w:p>
    <w:p>
      <w:pPr>
        <w:pStyle w:val="33"/>
        <w:spacing w:before="0" w:beforeAutospacing="0" w:after="0" w:afterAutospacing="0" w:line="440" w:lineRule="exact"/>
        <w:ind w:firstLine="480" w:firstLineChars="200"/>
        <w:jc w:val="both"/>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2、供应商在“信用中国”网站（www.creditchina.gov.cn）未被列入失信被执行人名单，未被列入重大税收违法案件当事人名单。且在“中国政府采购网”（www.ccgp.gov.cn）没有政府采购严重违法失信行为记录（被禁止在一定期限内参加政府采购活动，</w:t>
      </w:r>
      <w:r>
        <w:rPr>
          <w:rFonts w:hint="eastAsia" w:cs="宋体"/>
          <w:color w:val="FF0000"/>
          <w:sz w:val="24"/>
          <w:szCs w:val="24"/>
          <w:lang w:eastAsia="zh-CN"/>
        </w:rPr>
        <w:t>但期限届满的除外，查询时间：开标前10天内的</w:t>
      </w:r>
      <w:r>
        <w:rPr>
          <w:rFonts w:hint="eastAsia" w:ascii="宋体" w:hAnsi="宋体" w:eastAsia="宋体" w:cs="宋体"/>
          <w:color w:val="FF0000"/>
          <w:sz w:val="24"/>
          <w:szCs w:val="24"/>
          <w:lang w:eastAsia="zh-CN"/>
        </w:rPr>
        <w:t xml:space="preserve">）；    </w:t>
      </w:r>
    </w:p>
    <w:p>
      <w:pPr>
        <w:pStyle w:val="33"/>
        <w:spacing w:before="0" w:beforeAutospacing="0" w:after="0" w:afterAutospacing="0" w:line="440" w:lineRule="exact"/>
        <w:ind w:firstLine="480" w:firstLineChars="200"/>
        <w:jc w:val="both"/>
        <w:outlineLvl w:val="2"/>
        <w:rPr>
          <w:rFonts w:hint="eastAsia" w:ascii="宋体" w:hAnsi="宋体" w:eastAsia="宋体" w:cs="宋体"/>
          <w:color w:val="FF0000"/>
          <w:sz w:val="24"/>
          <w:szCs w:val="24"/>
          <w:lang w:eastAsia="zh-CN"/>
        </w:rPr>
      </w:pPr>
      <w:r>
        <w:rPr>
          <w:rFonts w:hint="eastAsia" w:cs="宋体"/>
          <w:color w:val="FF0000"/>
          <w:sz w:val="24"/>
          <w:szCs w:val="24"/>
          <w:lang w:val="en-US" w:eastAsia="zh-CN"/>
        </w:rPr>
        <w:t>3</w:t>
      </w:r>
      <w:r>
        <w:rPr>
          <w:rFonts w:hint="eastAsia" w:ascii="宋体" w:hAnsi="宋体" w:eastAsia="宋体" w:cs="宋体"/>
          <w:color w:val="FF0000"/>
          <w:sz w:val="24"/>
          <w:szCs w:val="24"/>
          <w:lang w:eastAsia="zh-CN"/>
        </w:rPr>
        <w:t>、本次</w:t>
      </w:r>
      <w:r>
        <w:rPr>
          <w:rFonts w:hint="eastAsia" w:ascii="宋体" w:hAnsi="宋体" w:eastAsia="宋体" w:cs="宋体"/>
          <w:color w:val="FF0000"/>
          <w:sz w:val="24"/>
          <w:szCs w:val="24"/>
          <w:lang w:val="en-US" w:eastAsia="zh-CN"/>
        </w:rPr>
        <w:t>项目</w:t>
      </w:r>
      <w:r>
        <w:rPr>
          <w:rFonts w:hint="eastAsia" w:ascii="宋体" w:hAnsi="宋体" w:eastAsia="宋体" w:cs="宋体"/>
          <w:color w:val="FF0000"/>
          <w:sz w:val="24"/>
          <w:szCs w:val="24"/>
          <w:lang w:eastAsia="zh-CN"/>
        </w:rPr>
        <w:t>不接受联合体。</w:t>
      </w:r>
    </w:p>
    <w:p>
      <w:pPr>
        <w:pStyle w:val="33"/>
        <w:spacing w:before="0" w:beforeAutospacing="0" w:after="0" w:afterAutospacing="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b/>
          <w:bCs/>
          <w:sz w:val="24"/>
          <w:szCs w:val="24"/>
        </w:rPr>
        <w:t>获取竞争性磋商文件时间：</w:t>
      </w:r>
      <w:r>
        <w:rPr>
          <w:rFonts w:hint="eastAsia" w:ascii="宋体" w:hAnsi="宋体" w:eastAsia="宋体" w:cs="宋体"/>
          <w:sz w:val="24"/>
          <w:szCs w:val="24"/>
          <w:lang w:eastAsia="zh-CN"/>
        </w:rPr>
        <w:t>2022年</w:t>
      </w:r>
      <w:r>
        <w:rPr>
          <w:rFonts w:hint="eastAsia" w:cs="宋体"/>
          <w:sz w:val="24"/>
          <w:szCs w:val="24"/>
          <w:lang w:val="en-US" w:eastAsia="zh-CN"/>
        </w:rPr>
        <w:t>8月26</w:t>
      </w:r>
      <w:r>
        <w:rPr>
          <w:rFonts w:hint="eastAsia" w:ascii="宋体" w:hAnsi="宋体" w:eastAsia="宋体" w:cs="宋体"/>
          <w:sz w:val="24"/>
          <w:szCs w:val="24"/>
          <w:lang w:eastAsia="zh-CN"/>
        </w:rPr>
        <w:t>日至 2022年</w:t>
      </w:r>
      <w:r>
        <w:rPr>
          <w:rFonts w:hint="eastAsia" w:cs="宋体"/>
          <w:sz w:val="24"/>
          <w:szCs w:val="24"/>
          <w:lang w:val="en-US" w:eastAsia="zh-CN"/>
        </w:rPr>
        <w:t>9月2</w:t>
      </w:r>
      <w:r>
        <w:rPr>
          <w:rFonts w:hint="eastAsia" w:ascii="宋体" w:hAnsi="宋体" w:eastAsia="宋体" w:cs="宋体"/>
          <w:sz w:val="24"/>
          <w:szCs w:val="24"/>
          <w:lang w:eastAsia="zh-CN"/>
        </w:rPr>
        <w:t>日</w:t>
      </w:r>
      <w:r>
        <w:rPr>
          <w:rFonts w:hint="eastAsia" w:ascii="宋体" w:hAnsi="宋体" w:eastAsia="宋体" w:cs="宋体"/>
          <w:sz w:val="24"/>
          <w:szCs w:val="24"/>
        </w:rPr>
        <w:t>，每天上午10:00至13:30，下午16:</w:t>
      </w:r>
      <w:r>
        <w:rPr>
          <w:rFonts w:hint="eastAsia" w:ascii="宋体" w:hAnsi="宋体" w:eastAsia="宋体" w:cs="宋体"/>
          <w:sz w:val="24"/>
          <w:szCs w:val="24"/>
          <w:lang w:val="en-US" w:eastAsia="zh-CN"/>
        </w:rPr>
        <w:t>0</w:t>
      </w:r>
      <w:r>
        <w:rPr>
          <w:rFonts w:hint="eastAsia" w:ascii="宋体" w:hAnsi="宋体" w:eastAsia="宋体" w:cs="宋体"/>
          <w:sz w:val="24"/>
          <w:szCs w:val="24"/>
        </w:rPr>
        <w:t>0至19:00（北京时间，获取磋商文件法定节假日除外）</w:t>
      </w:r>
      <w:r>
        <w:rPr>
          <w:rFonts w:hint="eastAsia" w:ascii="宋体" w:hAnsi="宋体" w:eastAsia="宋体" w:cs="宋体"/>
          <w:sz w:val="24"/>
          <w:szCs w:val="24"/>
          <w:lang w:val="en-US" w:eastAsia="zh-CN"/>
        </w:rPr>
        <w:t xml:space="preserve"> </w:t>
      </w:r>
      <w:r>
        <w:rPr>
          <w:rFonts w:hint="eastAsia" w:ascii="宋体" w:hAnsi="宋体" w:eastAsia="宋体" w:cs="宋体"/>
          <w:color w:val="auto"/>
          <w:szCs w:val="21"/>
          <w:highlight w:val="none"/>
          <w:lang w:eastAsia="zh-CN"/>
        </w:rPr>
        <w:t>供应商登录政采云平台https://www.zcygov.cn/自行获取。</w:t>
      </w:r>
      <w:r>
        <w:rPr>
          <w:rFonts w:hint="eastAsia" w:cs="宋体"/>
          <w:sz w:val="24"/>
          <w:szCs w:val="24"/>
          <w:lang w:eastAsia="zh-CN"/>
        </w:rPr>
        <w:t>。</w:t>
      </w:r>
      <w:bookmarkStart w:id="191" w:name="_GoBack"/>
      <w:bookmarkEnd w:id="191"/>
    </w:p>
    <w:p>
      <w:pPr>
        <w:ind w:firstLine="480" w:firstLineChars="200"/>
        <w:jc w:val="both"/>
        <w:rPr>
          <w:rFonts w:hint="eastAsia" w:ascii="宋体" w:hAnsi="宋体" w:eastAsia="宋体" w:cs="宋体"/>
          <w:color w:val="auto"/>
          <w:szCs w:val="21"/>
          <w:highlight w:val="none"/>
          <w:lang w:eastAsia="zh-CN"/>
        </w:rPr>
      </w:pPr>
      <w:r>
        <w:rPr>
          <w:rFonts w:hint="eastAsia" w:ascii="宋体" w:hAnsi="宋体" w:eastAsia="宋体" w:cs="宋体"/>
          <w:sz w:val="24"/>
          <w:szCs w:val="24"/>
        </w:rPr>
        <w:t>方式：</w:t>
      </w:r>
      <w:r>
        <w:rPr>
          <w:rFonts w:hint="eastAsia" w:ascii="宋体" w:hAnsi="宋体" w:eastAsia="宋体" w:cs="宋体"/>
          <w:sz w:val="24"/>
          <w:szCs w:val="24"/>
          <w:lang w:eastAsia="zh-CN"/>
        </w:rPr>
        <w:t>供应商登陆政采云平台https://www.zcygov.cn/在线申请获取招标文件（登录政府采购云平台→采购项目→获取招标文件→申请，审核通过后可下载招标文件），如有操作性问题，可与政采云在线客服进行咨询，咨询电话400-881-7190）</w:t>
      </w:r>
      <w:r>
        <w:rPr>
          <w:rFonts w:hint="eastAsia" w:ascii="宋体" w:hAnsi="宋体" w:eastAsia="宋体" w:cs="宋体"/>
          <w:color w:val="auto"/>
          <w:szCs w:val="21"/>
          <w:highlight w:val="none"/>
          <w:lang w:eastAsia="zh-CN"/>
        </w:rPr>
        <w:t>。</w:t>
      </w:r>
    </w:p>
    <w:p>
      <w:pPr>
        <w:pStyle w:val="33"/>
        <w:spacing w:before="0" w:beforeAutospacing="0" w:after="0" w:afterAutospacing="0" w:line="44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申请获取采购文件前须上传的资格证明文件扫描件有：</w:t>
      </w:r>
      <w:r>
        <w:rPr>
          <w:rFonts w:hint="eastAsia" w:ascii="宋体" w:hAnsi="宋体" w:eastAsia="宋体" w:cs="宋体"/>
          <w:sz w:val="24"/>
          <w:szCs w:val="24"/>
          <w:lang w:val="en-US" w:eastAsia="zh-CN"/>
        </w:rPr>
        <w:t xml:space="preserve">                          </w:t>
      </w:r>
    </w:p>
    <w:p>
      <w:pPr>
        <w:pStyle w:val="33"/>
        <w:spacing w:before="0" w:beforeAutospacing="0" w:after="0" w:afterAutospacing="0" w:line="440" w:lineRule="exact"/>
        <w:ind w:firstLine="480" w:firstLineChars="200"/>
        <w:jc w:val="both"/>
        <w:rPr>
          <w:rFonts w:hint="eastAsia" w:ascii="宋体" w:hAnsi="宋体" w:eastAsia="宋体" w:cs="宋体"/>
          <w:sz w:val="24"/>
          <w:szCs w:val="24"/>
          <w:lang w:eastAsia="zh-CN"/>
        </w:rPr>
      </w:pPr>
      <w:r>
        <w:rPr>
          <w:rFonts w:hint="eastAsia" w:cs="宋体"/>
          <w:sz w:val="24"/>
          <w:szCs w:val="24"/>
          <w:lang w:val="en-US" w:eastAsia="zh-CN"/>
        </w:rPr>
        <w:t>1、</w:t>
      </w:r>
      <w:r>
        <w:rPr>
          <w:rFonts w:hint="eastAsia" w:ascii="宋体" w:hAnsi="宋体" w:eastAsia="宋体" w:cs="宋体"/>
          <w:sz w:val="24"/>
          <w:szCs w:val="24"/>
          <w:lang w:eastAsia="zh-CN"/>
        </w:rPr>
        <w:t>有效的营业执照（原件扫描件）；</w:t>
      </w:r>
    </w:p>
    <w:p>
      <w:pPr>
        <w:pStyle w:val="33"/>
        <w:spacing w:before="0" w:beforeAutospacing="0" w:after="0" w:afterAutospacing="0" w:line="440" w:lineRule="exact"/>
        <w:ind w:firstLine="480" w:firstLineChars="200"/>
        <w:jc w:val="both"/>
        <w:rPr>
          <w:rFonts w:hint="eastAsia" w:ascii="宋体" w:hAnsi="宋体" w:eastAsia="宋体" w:cs="宋体"/>
          <w:sz w:val="24"/>
          <w:szCs w:val="24"/>
          <w:lang w:eastAsia="zh-CN"/>
        </w:rPr>
      </w:pPr>
      <w:r>
        <w:rPr>
          <w:rFonts w:hint="eastAsia" w:cs="宋体"/>
          <w:sz w:val="24"/>
          <w:szCs w:val="24"/>
          <w:lang w:val="en-US" w:eastAsia="zh-CN"/>
        </w:rPr>
        <w:t>2、</w:t>
      </w:r>
      <w:r>
        <w:rPr>
          <w:rFonts w:hint="eastAsia" w:ascii="宋体" w:hAnsi="宋体" w:eastAsia="宋体" w:cs="宋体"/>
          <w:sz w:val="24"/>
          <w:szCs w:val="24"/>
          <w:lang w:eastAsia="zh-CN"/>
        </w:rPr>
        <w:t>法定代表人投标需提供法定代表人资格证明书</w:t>
      </w:r>
      <w:r>
        <w:rPr>
          <w:rFonts w:hint="eastAsia" w:cs="宋体"/>
          <w:sz w:val="24"/>
          <w:szCs w:val="24"/>
          <w:lang w:val="en-US" w:eastAsia="zh-CN"/>
        </w:rPr>
        <w:t>和法人身份证原件</w:t>
      </w:r>
      <w:r>
        <w:rPr>
          <w:rFonts w:hint="eastAsia" w:ascii="宋体" w:hAnsi="宋体" w:eastAsia="宋体" w:cs="宋体"/>
          <w:sz w:val="24"/>
          <w:szCs w:val="24"/>
          <w:lang w:eastAsia="zh-CN"/>
        </w:rPr>
        <w:t>，委托代理人投标需提供法定代表人授权委托书</w:t>
      </w:r>
      <w:r>
        <w:rPr>
          <w:rFonts w:hint="eastAsia" w:cs="宋体"/>
          <w:sz w:val="24"/>
          <w:szCs w:val="24"/>
          <w:lang w:val="en-US" w:eastAsia="zh-CN"/>
        </w:rPr>
        <w:t>及委托代理人身份证原件</w:t>
      </w:r>
      <w:r>
        <w:rPr>
          <w:rFonts w:hint="eastAsia" w:ascii="宋体" w:hAnsi="宋体" w:eastAsia="宋体" w:cs="宋体"/>
          <w:sz w:val="24"/>
          <w:szCs w:val="24"/>
          <w:lang w:eastAsia="zh-CN"/>
        </w:rPr>
        <w:t>（</w:t>
      </w:r>
      <w:r>
        <w:rPr>
          <w:rFonts w:hint="eastAsia" w:cs="宋体"/>
          <w:sz w:val="24"/>
          <w:szCs w:val="24"/>
          <w:lang w:val="en-US" w:eastAsia="zh-CN"/>
        </w:rPr>
        <w:t>加盖公章</w:t>
      </w:r>
      <w:r>
        <w:rPr>
          <w:rFonts w:hint="eastAsia" w:ascii="宋体" w:hAnsi="宋体" w:eastAsia="宋体" w:cs="宋体"/>
          <w:sz w:val="24"/>
          <w:szCs w:val="24"/>
          <w:lang w:eastAsia="zh-CN"/>
        </w:rPr>
        <w:t>）；</w:t>
      </w:r>
    </w:p>
    <w:p>
      <w:pPr>
        <w:pStyle w:val="33"/>
        <w:spacing w:before="0" w:beforeAutospacing="0" w:after="0" w:afterAutospacing="0" w:line="440" w:lineRule="exact"/>
        <w:ind w:firstLine="480" w:firstLineChars="200"/>
        <w:jc w:val="both"/>
        <w:rPr>
          <w:rFonts w:hint="eastAsia" w:ascii="宋体" w:hAnsi="宋体" w:eastAsia="宋体" w:cs="宋体"/>
          <w:sz w:val="24"/>
          <w:szCs w:val="24"/>
          <w:lang w:eastAsia="zh-CN"/>
        </w:rPr>
      </w:pPr>
      <w:r>
        <w:rPr>
          <w:rFonts w:hint="eastAsia" w:cs="宋体"/>
          <w:sz w:val="24"/>
          <w:szCs w:val="24"/>
          <w:lang w:val="en-US" w:eastAsia="zh-CN"/>
        </w:rPr>
        <w:t>3、</w:t>
      </w:r>
      <w:r>
        <w:rPr>
          <w:rFonts w:hint="eastAsia" w:ascii="宋体" w:hAnsi="宋体" w:eastAsia="宋体" w:cs="宋体"/>
          <w:sz w:val="24"/>
          <w:szCs w:val="24"/>
          <w:lang w:val="en-US" w:eastAsia="zh-CN"/>
        </w:rPr>
        <w:t>需提供以下网站</w:t>
      </w:r>
      <w:r>
        <w:rPr>
          <w:rFonts w:hint="eastAsia" w:ascii="宋体" w:hAnsi="宋体" w:eastAsia="宋体" w:cs="宋体"/>
          <w:sz w:val="24"/>
          <w:szCs w:val="24"/>
          <w:lang w:eastAsia="zh-CN"/>
        </w:rPr>
        <w:t>提供查询结果网页截图并加盖供应商公章，截图时间应在公告发布之后；</w:t>
      </w:r>
    </w:p>
    <w:p>
      <w:pPr>
        <w:pStyle w:val="33"/>
        <w:spacing w:before="0" w:beforeAutospacing="0" w:after="0" w:afterAutospacing="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供应商在“信用中国”网站（www.creditchina.gov.cn）未被列入失信被执行人名单，未被列入重大税收违法案件当事人名单。且在“中国政府采购网”（www.ccgp.gov.cn）没有政府采购严重违法失信行为记录（被禁止在一定期限内参加政府采购活动，</w:t>
      </w:r>
      <w:r>
        <w:rPr>
          <w:rFonts w:hint="eastAsia" w:cs="宋体"/>
          <w:sz w:val="24"/>
          <w:szCs w:val="24"/>
          <w:lang w:eastAsia="zh-CN"/>
        </w:rPr>
        <w:t>但期限届满的除外，查询时间：开标前10天内的</w:t>
      </w:r>
      <w:r>
        <w:rPr>
          <w:rFonts w:hint="eastAsia" w:ascii="宋体" w:hAnsi="宋体" w:eastAsia="宋体" w:cs="宋体"/>
          <w:sz w:val="24"/>
          <w:szCs w:val="24"/>
        </w:rPr>
        <w:t>）；</w:t>
      </w:r>
    </w:p>
    <w:p>
      <w:pPr>
        <w:pStyle w:val="2"/>
        <w:rPr>
          <w:rFonts w:hint="eastAsia"/>
          <w:lang w:val="en-US" w:eastAsia="zh-CN"/>
        </w:rPr>
      </w:pPr>
      <w:r>
        <w:rPr>
          <w:rFonts w:hint="eastAsia" w:ascii="宋体" w:hAnsi="宋体" w:eastAsia="宋体" w:cs="宋体"/>
          <w:sz w:val="24"/>
          <w:szCs w:val="24"/>
          <w:lang w:eastAsia="zh-CN"/>
        </w:rPr>
        <w:t>售价：0元</w:t>
      </w:r>
      <w:r>
        <w:rPr>
          <w:rFonts w:hint="eastAsia" w:ascii="宋体" w:hAnsi="宋体" w:eastAsia="宋体" w:cs="宋体"/>
          <w:sz w:val="24"/>
          <w:szCs w:val="24"/>
        </w:rPr>
        <w:t xml:space="preserve"> </w:t>
      </w:r>
    </w:p>
    <w:p>
      <w:pPr>
        <w:pStyle w:val="33"/>
        <w:numPr>
          <w:ilvl w:val="0"/>
          <w:numId w:val="2"/>
        </w:numPr>
        <w:spacing w:before="0" w:beforeAutospacing="0" w:after="0" w:afterAutospacing="0" w:line="440" w:lineRule="exact"/>
        <w:ind w:firstLine="482" w:firstLineChars="200"/>
        <w:jc w:val="both"/>
        <w:rPr>
          <w:rStyle w:val="39"/>
          <w:rFonts w:hint="eastAsia" w:ascii="宋体" w:hAnsi="宋体" w:eastAsia="宋体" w:cs="宋体"/>
          <w:sz w:val="24"/>
          <w:szCs w:val="24"/>
        </w:rPr>
      </w:pPr>
      <w:r>
        <w:rPr>
          <w:rStyle w:val="39"/>
          <w:rFonts w:hint="eastAsia" w:ascii="宋体" w:hAnsi="宋体" w:eastAsia="宋体" w:cs="宋体"/>
          <w:sz w:val="24"/>
          <w:szCs w:val="24"/>
        </w:rPr>
        <w:t>提交响应文件截止时间、磋商时间和地址</w:t>
      </w:r>
    </w:p>
    <w:p>
      <w:pPr>
        <w:pStyle w:val="33"/>
        <w:numPr>
          <w:ilvl w:val="0"/>
          <w:numId w:val="0"/>
        </w:numPr>
        <w:spacing w:before="0" w:beforeAutospacing="0" w:after="0" w:afterAutospacing="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eastAsia="zh-CN"/>
        </w:rPr>
        <w:t xml:space="preserve"> 2022年</w:t>
      </w:r>
      <w:r>
        <w:rPr>
          <w:rFonts w:hint="eastAsia" w:cs="宋体"/>
          <w:sz w:val="24"/>
          <w:szCs w:val="24"/>
          <w:u w:val="single"/>
          <w:lang w:val="en-US" w:eastAsia="zh-CN"/>
        </w:rPr>
        <w:t>9</w:t>
      </w:r>
      <w:r>
        <w:rPr>
          <w:rFonts w:hint="eastAsia" w:ascii="宋体" w:hAnsi="宋体" w:eastAsia="宋体" w:cs="宋体"/>
          <w:sz w:val="24"/>
          <w:szCs w:val="24"/>
          <w:u w:val="single"/>
          <w:lang w:eastAsia="zh-CN"/>
        </w:rPr>
        <w:t>月</w:t>
      </w:r>
      <w:r>
        <w:rPr>
          <w:rFonts w:hint="eastAsia" w:cs="宋体"/>
          <w:sz w:val="24"/>
          <w:szCs w:val="24"/>
          <w:u w:val="single"/>
          <w:lang w:val="en-US" w:eastAsia="zh-CN"/>
        </w:rPr>
        <w:t>6</w:t>
      </w:r>
      <w:r>
        <w:rPr>
          <w:rFonts w:hint="eastAsia" w:ascii="宋体" w:hAnsi="宋体" w:eastAsia="宋体" w:cs="宋体"/>
          <w:sz w:val="24"/>
          <w:szCs w:val="24"/>
          <w:u w:val="single"/>
          <w:lang w:eastAsia="zh-CN"/>
        </w:rPr>
        <w:t xml:space="preserve">日 </w:t>
      </w:r>
      <w:r>
        <w:rPr>
          <w:rFonts w:hint="eastAsia" w:cs="宋体"/>
          <w:sz w:val="24"/>
          <w:szCs w:val="24"/>
          <w:u w:val="single"/>
          <w:lang w:eastAsia="zh-CN"/>
        </w:rPr>
        <w:t>10:30</w:t>
      </w:r>
      <w:r>
        <w:rPr>
          <w:rFonts w:hint="eastAsia" w:ascii="宋体" w:hAnsi="宋体" w:eastAsia="宋体" w:cs="宋体"/>
          <w:sz w:val="24"/>
          <w:szCs w:val="24"/>
        </w:rPr>
        <w:t>（北京时间）</w:t>
      </w:r>
    </w:p>
    <w:p>
      <w:pPr>
        <w:pStyle w:val="33"/>
        <w:numPr>
          <w:ilvl w:val="0"/>
          <w:numId w:val="0"/>
        </w:numPr>
        <w:spacing w:before="0" w:beforeAutospacing="0" w:after="0" w:afterAutospacing="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地点：</w:t>
      </w:r>
      <w:r>
        <w:rPr>
          <w:rFonts w:hint="eastAsia" w:ascii="宋体" w:hAnsi="宋体" w:eastAsia="宋体" w:cs="宋体"/>
          <w:sz w:val="24"/>
          <w:szCs w:val="24"/>
          <w:lang w:val="en-US" w:eastAsia="zh-CN"/>
        </w:rPr>
        <w:t>政采云平台</w:t>
      </w:r>
      <w:r>
        <w:rPr>
          <w:rFonts w:hint="eastAsia" w:ascii="宋体" w:hAnsi="宋体" w:eastAsia="宋体" w:cs="宋体"/>
          <w:sz w:val="24"/>
          <w:szCs w:val="24"/>
          <w:lang w:eastAsia="zh-CN"/>
        </w:rPr>
        <w:t>（http://www.ccgp-xinjiang.gov.cn/）</w:t>
      </w:r>
    </w:p>
    <w:p>
      <w:pPr>
        <w:pStyle w:val="33"/>
        <w:numPr>
          <w:ilvl w:val="0"/>
          <w:numId w:val="0"/>
        </w:numPr>
        <w:spacing w:before="0" w:beforeAutospacing="0" w:after="0" w:afterAutospacing="0" w:line="440" w:lineRule="exact"/>
        <w:ind w:firstLine="482" w:firstLineChars="200"/>
        <w:jc w:val="both"/>
        <w:rPr>
          <w:rFonts w:hint="eastAsia" w:ascii="宋体" w:hAnsi="宋体" w:eastAsia="宋体" w:cs="宋体"/>
          <w:sz w:val="24"/>
          <w:szCs w:val="24"/>
        </w:rPr>
      </w:pPr>
      <w:r>
        <w:rPr>
          <w:rStyle w:val="39"/>
          <w:rFonts w:hint="eastAsia" w:ascii="宋体" w:hAnsi="宋体" w:eastAsia="宋体" w:cs="宋体"/>
          <w:sz w:val="24"/>
          <w:szCs w:val="24"/>
        </w:rPr>
        <w:t>五、公告期限</w:t>
      </w:r>
    </w:p>
    <w:p>
      <w:pPr>
        <w:pStyle w:val="33"/>
        <w:spacing w:before="0" w:beforeAutospacing="0" w:after="0" w:afterAutospacing="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cs="宋体"/>
          <w:sz w:val="24"/>
          <w:szCs w:val="24"/>
          <w:lang w:val="en-US" w:eastAsia="zh-CN"/>
        </w:rPr>
        <w:t>5</w:t>
      </w:r>
      <w:r>
        <w:rPr>
          <w:rFonts w:hint="eastAsia" w:ascii="宋体" w:hAnsi="宋体" w:eastAsia="宋体" w:cs="宋体"/>
          <w:sz w:val="24"/>
          <w:szCs w:val="24"/>
        </w:rPr>
        <w:t>个工作日。</w:t>
      </w:r>
    </w:p>
    <w:p>
      <w:pPr>
        <w:pStyle w:val="33"/>
        <w:numPr>
          <w:ilvl w:val="0"/>
          <w:numId w:val="3"/>
        </w:numPr>
        <w:spacing w:before="0" w:beforeAutospacing="0" w:after="0" w:afterAutospacing="0" w:line="440" w:lineRule="exact"/>
        <w:ind w:firstLine="482" w:firstLineChars="200"/>
        <w:jc w:val="both"/>
        <w:outlineLvl w:val="1"/>
        <w:rPr>
          <w:rFonts w:hint="eastAsia" w:ascii="宋体" w:hAnsi="宋体" w:eastAsia="宋体" w:cs="宋体"/>
          <w:b/>
          <w:bCs w:val="0"/>
          <w:sz w:val="24"/>
          <w:szCs w:val="24"/>
        </w:rPr>
      </w:pPr>
      <w:r>
        <w:rPr>
          <w:rStyle w:val="39"/>
          <w:rFonts w:hint="eastAsia" w:ascii="宋体" w:hAnsi="宋体" w:eastAsia="宋体" w:cs="宋体"/>
          <w:b/>
          <w:bCs w:val="0"/>
          <w:sz w:val="24"/>
          <w:szCs w:val="24"/>
        </w:rPr>
        <w:t>其他补充事宜</w:t>
      </w:r>
    </w:p>
    <w:p>
      <w:pPr>
        <w:pStyle w:val="33"/>
        <w:spacing w:before="0" w:beforeAutospacing="0" w:after="0" w:afterAutospacing="0" w:line="44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（1）本项目采用全流程不见面电子开评标，供应商须登录政采云平台申请获取采购文件，并通过政采云电子招标客户端制作投标文件，同时自行承担与招标有关的一切费用。</w:t>
      </w:r>
      <w:r>
        <w:rPr>
          <w:rFonts w:hint="eastAsia" w:ascii="宋体" w:hAnsi="宋体" w:eastAsia="宋体" w:cs="宋体"/>
          <w:sz w:val="24"/>
          <w:szCs w:val="24"/>
          <w:lang w:eastAsia="zh-CN"/>
        </w:rPr>
        <w:br w:type="textWrapping"/>
      </w:r>
      <w:r>
        <w:rPr>
          <w:rFonts w:hint="eastAsia" w:cs="宋体"/>
          <w:sz w:val="24"/>
          <w:szCs w:val="24"/>
          <w:lang w:val="en-US" w:eastAsia="zh-CN"/>
        </w:rPr>
        <w:t xml:space="preserve">    </w:t>
      </w:r>
      <w:r>
        <w:rPr>
          <w:rFonts w:hint="eastAsia" w:ascii="宋体" w:hAnsi="宋体" w:eastAsia="宋体" w:cs="宋体"/>
          <w:sz w:val="24"/>
          <w:szCs w:val="24"/>
          <w:lang w:eastAsia="zh-CN"/>
        </w:rPr>
        <w:t>（2）各供应商应在开标前确保成为新疆维吾尔自治区政府采购网正式注册入库供应商，并完成CA数字证书申领。因未注册入库、未办理CA数字证书等原因造成无法招标或招标失败等后果由供应商自行承担。新疆CA服务热线0991-2819290。</w:t>
      </w:r>
      <w:r>
        <w:rPr>
          <w:rFonts w:hint="eastAsia" w:ascii="宋体" w:hAnsi="宋体" w:eastAsia="宋体" w:cs="宋体"/>
          <w:sz w:val="24"/>
          <w:szCs w:val="24"/>
          <w:lang w:eastAsia="zh-CN"/>
        </w:rPr>
        <w:br w:type="textWrapping"/>
      </w:r>
      <w:r>
        <w:rPr>
          <w:rFonts w:hint="eastAsia" w:cs="宋体"/>
          <w:sz w:val="24"/>
          <w:szCs w:val="24"/>
          <w:lang w:val="en-US" w:eastAsia="zh-CN"/>
        </w:rPr>
        <w:t xml:space="preserve">   </w:t>
      </w:r>
      <w:r>
        <w:rPr>
          <w:rFonts w:hint="eastAsia" w:ascii="宋体" w:hAnsi="宋体" w:eastAsia="宋体" w:cs="宋体"/>
          <w:sz w:val="24"/>
          <w:szCs w:val="24"/>
          <w:lang w:eastAsia="zh-CN"/>
        </w:rPr>
        <w:t>（3）供应商可前往新疆政府采购网（http://www.ccgp-xinjiang.gov.cn/）下载专区，下载政采云电子招标客户端，安装完成后，可通过账号密码或CA登录客户端进行投标文件制作。在使用政采云电子招标客户端时，建议使用WIN7及以上操作系统。如有问题可拨打政采云客户服务热线400-881-7190进行咨询。</w:t>
      </w:r>
      <w:r>
        <w:rPr>
          <w:rFonts w:hint="eastAsia" w:ascii="宋体" w:hAnsi="宋体" w:eastAsia="宋体" w:cs="宋体"/>
          <w:sz w:val="24"/>
          <w:szCs w:val="24"/>
          <w:lang w:eastAsia="zh-CN"/>
        </w:rPr>
        <w:br w:type="textWrapping"/>
      </w:r>
      <w:r>
        <w:rPr>
          <w:rFonts w:hint="eastAsia" w:cs="宋体"/>
          <w:sz w:val="24"/>
          <w:szCs w:val="24"/>
          <w:lang w:val="en-US" w:eastAsia="zh-CN"/>
        </w:rPr>
        <w:t xml:space="preserve">   </w:t>
      </w:r>
      <w:r>
        <w:rPr>
          <w:rFonts w:hint="eastAsia" w:ascii="宋体" w:hAnsi="宋体" w:eastAsia="宋体" w:cs="宋体"/>
          <w:sz w:val="24"/>
          <w:szCs w:val="24"/>
          <w:lang w:eastAsia="zh-CN"/>
        </w:rPr>
        <w:t>（4）供应商须在招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pStyle w:val="33"/>
        <w:spacing w:before="0" w:beforeAutospacing="0" w:after="0" w:afterAutospacing="0" w:line="44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 xml:space="preserve"> </w:t>
      </w:r>
    </w:p>
    <w:p>
      <w:pPr>
        <w:pStyle w:val="33"/>
        <w:spacing w:before="0" w:beforeAutospacing="0" w:after="0" w:afterAutospacing="0" w:line="440" w:lineRule="exact"/>
        <w:ind w:firstLine="482" w:firstLineChars="200"/>
        <w:jc w:val="both"/>
        <w:rPr>
          <w:rFonts w:hint="eastAsia" w:ascii="宋体" w:hAnsi="宋体" w:eastAsia="宋体" w:cs="宋体"/>
          <w:sz w:val="24"/>
          <w:szCs w:val="24"/>
        </w:rPr>
      </w:pPr>
      <w:r>
        <w:rPr>
          <w:rStyle w:val="39"/>
          <w:rFonts w:hint="eastAsia" w:ascii="宋体" w:hAnsi="宋体" w:eastAsia="宋体" w:cs="宋体"/>
          <w:sz w:val="24"/>
          <w:szCs w:val="24"/>
        </w:rPr>
        <w:t>七、对本次磋商提出询问，请按以下方式联系。</w:t>
      </w:r>
    </w:p>
    <w:p>
      <w:pPr>
        <w:pStyle w:val="33"/>
        <w:spacing w:before="0" w:beforeAutospacing="0" w:after="0" w:afterAutospacing="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1.采购人信息</w:t>
      </w:r>
    </w:p>
    <w:p>
      <w:pPr>
        <w:pStyle w:val="33"/>
        <w:spacing w:before="0" w:beforeAutospacing="0" w:after="0" w:afterAutospacing="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名称：</w:t>
      </w:r>
      <w:r>
        <w:rPr>
          <w:rFonts w:hint="eastAsia" w:cs="宋体"/>
          <w:sz w:val="24"/>
          <w:szCs w:val="24"/>
          <w:u w:val="single"/>
          <w:lang w:eastAsia="zh-CN"/>
        </w:rPr>
        <w:t>巴音郭楞职业技术学院</w:t>
      </w:r>
      <w:r>
        <w:rPr>
          <w:rFonts w:hint="eastAsia" w:ascii="宋体" w:hAnsi="宋体" w:eastAsia="宋体" w:cs="宋体"/>
          <w:sz w:val="24"/>
          <w:szCs w:val="24"/>
        </w:rPr>
        <w:t xml:space="preserve"> </w:t>
      </w:r>
    </w:p>
    <w:p>
      <w:pPr>
        <w:pStyle w:val="33"/>
        <w:spacing w:before="0" w:beforeAutospacing="0" w:after="0" w:afterAutospacing="0" w:line="440" w:lineRule="exact"/>
        <w:ind w:firstLine="480" w:firstLineChars="200"/>
        <w:jc w:val="both"/>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库尔勒市</w:t>
      </w:r>
    </w:p>
    <w:p>
      <w:pPr>
        <w:pStyle w:val="33"/>
        <w:spacing w:before="0" w:beforeAutospacing="0" w:after="0" w:afterAutospacing="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kern w:val="0"/>
          <w:sz w:val="24"/>
          <w:szCs w:val="24"/>
          <w:u w:val="single"/>
        </w:rPr>
        <w:t xml:space="preserve"> </w:t>
      </w:r>
      <w:r>
        <w:rPr>
          <w:rFonts w:hint="eastAsia" w:cs="宋体"/>
          <w:kern w:val="0"/>
          <w:sz w:val="24"/>
          <w:szCs w:val="24"/>
          <w:u w:val="single"/>
          <w:lang w:eastAsia="zh-CN"/>
        </w:rPr>
        <w:t>卢红伟</w:t>
      </w:r>
    </w:p>
    <w:p>
      <w:pPr>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default"/>
          <w:lang w:val="en-US"/>
        </w:rPr>
      </w:pPr>
      <w:r>
        <w:rPr>
          <w:rFonts w:hint="eastAsia" w:ascii="宋体" w:hAnsi="宋体" w:eastAsia="宋体" w:cs="宋体"/>
          <w:sz w:val="24"/>
          <w:szCs w:val="24"/>
        </w:rPr>
        <w:t>联系方式：</w:t>
      </w:r>
      <w:r>
        <w:rPr>
          <w:rFonts w:hint="eastAsia" w:ascii="宋体" w:hAnsi="宋体" w:cs="宋体"/>
          <w:sz w:val="24"/>
          <w:szCs w:val="24"/>
          <w:u w:val="single"/>
          <w:lang w:eastAsia="zh-CN"/>
        </w:rPr>
        <w:t>0996-5898162</w:t>
      </w:r>
    </w:p>
    <w:p>
      <w:pPr>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采购代理机构信息</w:t>
      </w:r>
    </w:p>
    <w:p>
      <w:pPr>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cs="宋体"/>
          <w:sz w:val="24"/>
          <w:szCs w:val="24"/>
          <w:u w:val="single"/>
          <w:lang w:eastAsia="zh-CN"/>
        </w:rPr>
        <w:t>新疆恒瑞博源工程项目管理有限公司</w:t>
      </w:r>
    </w:p>
    <w:p>
      <w:pPr>
        <w:pStyle w:val="3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地址：</w:t>
      </w:r>
      <w:r>
        <w:rPr>
          <w:rFonts w:hint="eastAsia" w:cs="宋体"/>
          <w:sz w:val="24"/>
          <w:szCs w:val="24"/>
          <w:u w:val="single"/>
          <w:lang w:eastAsia="zh-CN"/>
        </w:rPr>
        <w:t>新疆库尔勒市索克巴格路住建大厦12楼</w:t>
      </w:r>
    </w:p>
    <w:p>
      <w:pPr>
        <w:pStyle w:val="3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cs="宋体"/>
          <w:sz w:val="24"/>
          <w:szCs w:val="24"/>
          <w:u w:val="single"/>
          <w:lang w:val="en-US" w:eastAsia="zh-CN"/>
        </w:rPr>
        <w:t>于晶晶</w:t>
      </w:r>
    </w:p>
    <w:p>
      <w:pPr>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cs="宋体"/>
          <w:sz w:val="24"/>
          <w:szCs w:val="24"/>
          <w:u w:val="single"/>
          <w:lang w:eastAsia="zh-CN"/>
        </w:rPr>
        <w:t>0996-2201978</w:t>
      </w:r>
      <w:r>
        <w:rPr>
          <w:rFonts w:hint="eastAsia" w:ascii="宋体" w:hAnsi="宋体" w:eastAsia="宋体" w:cs="宋体"/>
          <w:sz w:val="24"/>
          <w:szCs w:val="24"/>
          <w:u w:val="single"/>
        </w:rPr>
        <w:t xml:space="preserve">  </w:t>
      </w:r>
    </w:p>
    <w:p>
      <w:pPr>
        <w:jc w:val="both"/>
        <w:rPr>
          <w:rFonts w:hint="eastAsia" w:ascii="宋体" w:hAnsi="宋体" w:eastAsia="宋体" w:cs="宋体"/>
          <w:sz w:val="24"/>
          <w:szCs w:val="24"/>
        </w:rPr>
      </w:pPr>
      <w:bookmarkStart w:id="1" w:name="_Toc21489"/>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4"/>
        <w:rPr>
          <w:rFonts w:hint="eastAsia" w:ascii="宋体" w:hAnsi="宋体" w:eastAsia="宋体" w:cs="宋体"/>
          <w:sz w:val="24"/>
          <w:szCs w:val="24"/>
        </w:rPr>
      </w:pPr>
    </w:p>
    <w:p>
      <w:pPr>
        <w:pStyle w:val="13"/>
        <w:rPr>
          <w:rFonts w:hint="eastAsia" w:ascii="宋体" w:hAnsi="宋体" w:eastAsia="宋体" w:cs="宋体"/>
          <w:sz w:val="24"/>
          <w:szCs w:val="24"/>
        </w:rPr>
      </w:pPr>
    </w:p>
    <w:p>
      <w:pPr>
        <w:pStyle w:val="14"/>
        <w:rPr>
          <w:rFonts w:hint="eastAsia"/>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ind w:firstLine="3360" w:firstLineChars="1400"/>
        <w:jc w:val="both"/>
        <w:rPr>
          <w:rFonts w:hint="eastAsia" w:ascii="宋体" w:hAnsi="宋体" w:eastAsia="宋体" w:cs="宋体"/>
          <w:sz w:val="24"/>
          <w:szCs w:val="24"/>
        </w:rPr>
      </w:pPr>
      <w:r>
        <w:rPr>
          <w:rFonts w:hint="eastAsia" w:ascii="宋体" w:hAnsi="宋体" w:eastAsia="宋体" w:cs="宋体"/>
          <w:sz w:val="24"/>
          <w:szCs w:val="24"/>
        </w:rPr>
        <w:t>第二部分 供应商须知</w:t>
      </w:r>
      <w:bookmarkEnd w:id="1"/>
    </w:p>
    <w:p>
      <w:pPr>
        <w:pStyle w:val="9"/>
        <w:ind w:firstLine="4320" w:firstLineChars="1800"/>
        <w:jc w:val="both"/>
        <w:rPr>
          <w:rFonts w:hint="eastAsia" w:ascii="宋体" w:hAnsi="宋体" w:eastAsia="宋体" w:cs="宋体"/>
          <w:color w:val="000000"/>
          <w:sz w:val="24"/>
          <w:szCs w:val="24"/>
        </w:rPr>
      </w:pPr>
      <w:r>
        <w:rPr>
          <w:rFonts w:hint="eastAsia" w:ascii="宋体" w:hAnsi="宋体" w:eastAsia="宋体" w:cs="宋体"/>
          <w:color w:val="000000"/>
          <w:sz w:val="24"/>
          <w:szCs w:val="24"/>
        </w:rPr>
        <w:t>前附表</w:t>
      </w:r>
    </w:p>
    <w:tbl>
      <w:tblPr>
        <w:tblStyle w:val="36"/>
        <w:tblW w:w="102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10"/>
        <w:gridCol w:w="2401"/>
        <w:gridCol w:w="68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序号</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名称</w:t>
            </w:r>
          </w:p>
        </w:tc>
        <w:tc>
          <w:tcPr>
            <w:tcW w:w="6889"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1</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项目编号</w:t>
            </w:r>
          </w:p>
        </w:tc>
        <w:tc>
          <w:tcPr>
            <w:tcW w:w="6889" w:type="dxa"/>
            <w:vAlign w:val="center"/>
          </w:tcPr>
          <w:p>
            <w:pPr>
              <w:jc w:val="both"/>
              <w:rPr>
                <w:rFonts w:hint="eastAsia" w:ascii="宋体" w:hAnsi="宋体" w:eastAsia="宋体" w:cs="宋体"/>
                <w:sz w:val="24"/>
                <w:szCs w:val="24"/>
                <w:lang w:eastAsia="zh-CN"/>
              </w:rPr>
            </w:pPr>
            <w:r>
              <w:rPr>
                <w:rFonts w:hint="eastAsia" w:ascii="宋体" w:hAnsi="宋体" w:cs="宋体"/>
                <w:sz w:val="24"/>
                <w:szCs w:val="24"/>
                <w:lang w:val="en-US" w:eastAsia="zh-CN"/>
              </w:rPr>
              <w:t>HRBYCG2022-30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2</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项目名称</w:t>
            </w:r>
          </w:p>
        </w:tc>
        <w:tc>
          <w:tcPr>
            <w:tcW w:w="6889" w:type="dxa"/>
            <w:vAlign w:val="center"/>
          </w:tcPr>
          <w:p>
            <w:pPr>
              <w:jc w:val="both"/>
              <w:rPr>
                <w:rFonts w:hint="eastAsia" w:ascii="宋体" w:hAnsi="宋体" w:eastAsia="宋体" w:cs="宋体"/>
                <w:sz w:val="24"/>
                <w:szCs w:val="24"/>
                <w:lang w:eastAsia="zh-CN"/>
              </w:rPr>
            </w:pPr>
            <w:r>
              <w:rPr>
                <w:rFonts w:hint="eastAsia" w:ascii="宋体" w:hAnsi="宋体" w:cs="宋体"/>
                <w:sz w:val="24"/>
                <w:szCs w:val="24"/>
                <w:lang w:eastAsia="zh-CN"/>
              </w:rPr>
              <w:t>巴音郭楞职业技术学院信息化基础设施运维外包服务项目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3</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联系方式</w:t>
            </w:r>
          </w:p>
        </w:tc>
        <w:tc>
          <w:tcPr>
            <w:tcW w:w="6889" w:type="dxa"/>
            <w:vAlign w:val="center"/>
          </w:tcPr>
          <w:p>
            <w:pPr>
              <w:numPr>
                <w:ilvl w:val="0"/>
                <w:numId w:val="0"/>
              </w:numPr>
              <w:jc w:val="both"/>
              <w:rPr>
                <w:rFonts w:hint="eastAsia" w:ascii="宋体" w:hAnsi="宋体" w:eastAsia="宋体" w:cs="宋体"/>
                <w:sz w:val="24"/>
                <w:szCs w:val="24"/>
                <w:lang w:eastAsia="zh-CN"/>
              </w:rPr>
            </w:pPr>
            <w:r>
              <w:rPr>
                <w:rFonts w:hint="eastAsia" w:ascii="宋体" w:hAnsi="宋体" w:eastAsia="宋体" w:cs="宋体"/>
                <w:sz w:val="24"/>
                <w:szCs w:val="24"/>
              </w:rPr>
              <w:t>采购人：</w:t>
            </w:r>
            <w:r>
              <w:rPr>
                <w:rFonts w:hint="eastAsia" w:ascii="宋体" w:hAnsi="宋体" w:cs="宋体"/>
                <w:sz w:val="24"/>
                <w:szCs w:val="24"/>
                <w:lang w:eastAsia="zh-CN"/>
              </w:rPr>
              <w:t>巴音郭楞职业技术学院</w:t>
            </w:r>
          </w:p>
          <w:p>
            <w:pPr>
              <w:numPr>
                <w:ilvl w:val="0"/>
                <w:numId w:val="0"/>
              </w:numPr>
              <w:jc w:val="both"/>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库尔勒市</w:t>
            </w:r>
          </w:p>
          <w:p>
            <w:pPr>
              <w:numPr>
                <w:ilvl w:val="0"/>
                <w:numId w:val="0"/>
              </w:numPr>
              <w:jc w:val="both"/>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eastAsia="zh-CN"/>
              </w:rPr>
              <w:t>卢红伟</w:t>
            </w: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cs="宋体"/>
                <w:sz w:val="24"/>
                <w:szCs w:val="24"/>
                <w:lang w:eastAsia="zh-CN"/>
              </w:rPr>
              <w:t>0996-5898162</w:t>
            </w:r>
          </w:p>
          <w:p>
            <w:pPr>
              <w:numPr>
                <w:ilvl w:val="0"/>
                <w:numId w:val="0"/>
              </w:numPr>
              <w:jc w:val="both"/>
              <w:rPr>
                <w:rFonts w:hint="eastAsia" w:ascii="宋体" w:hAnsi="宋体" w:eastAsia="宋体" w:cs="宋体"/>
                <w:sz w:val="24"/>
                <w:szCs w:val="24"/>
                <w:lang w:eastAsia="zh-CN"/>
              </w:rPr>
            </w:pPr>
            <w:r>
              <w:rPr>
                <w:rFonts w:hint="eastAsia" w:ascii="宋体" w:hAnsi="宋体" w:eastAsia="宋体" w:cs="宋体"/>
                <w:sz w:val="24"/>
                <w:szCs w:val="24"/>
              </w:rPr>
              <w:t>采购代理机构：</w:t>
            </w:r>
            <w:r>
              <w:rPr>
                <w:rFonts w:hint="eastAsia" w:ascii="宋体" w:hAnsi="宋体" w:cs="宋体"/>
                <w:sz w:val="24"/>
                <w:szCs w:val="24"/>
                <w:lang w:eastAsia="zh-CN"/>
              </w:rPr>
              <w:t>新疆恒瑞博源工程项目管理有限公司</w:t>
            </w:r>
          </w:p>
          <w:p>
            <w:pPr>
              <w:numPr>
                <w:ilvl w:val="0"/>
                <w:numId w:val="0"/>
              </w:numPr>
              <w:jc w:val="both"/>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eastAsia="zh-CN"/>
              </w:rPr>
              <w:t>于晶晶</w:t>
            </w:r>
          </w:p>
          <w:p>
            <w:pPr>
              <w:numPr>
                <w:ilvl w:val="0"/>
                <w:numId w:val="0"/>
              </w:numPr>
              <w:jc w:val="both"/>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cs="宋体"/>
                <w:sz w:val="24"/>
                <w:szCs w:val="24"/>
                <w:lang w:eastAsia="zh-CN"/>
              </w:rPr>
              <w:t>0996-2201978</w:t>
            </w:r>
          </w:p>
          <w:p>
            <w:pPr>
              <w:numPr>
                <w:ilvl w:val="0"/>
                <w:numId w:val="0"/>
              </w:numPr>
              <w:jc w:val="both"/>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cs="宋体"/>
                <w:sz w:val="24"/>
                <w:szCs w:val="24"/>
                <w:lang w:eastAsia="zh-CN"/>
              </w:rPr>
              <w:t>新疆库尔勒市索克巴格路住建大厦12楼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4</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磋商内容</w:t>
            </w:r>
          </w:p>
        </w:tc>
        <w:tc>
          <w:tcPr>
            <w:tcW w:w="6889"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本项</w:t>
            </w:r>
            <w:r>
              <w:rPr>
                <w:rFonts w:hint="eastAsia" w:ascii="宋体" w:hAnsi="宋体" w:eastAsia="宋体" w:cs="宋体"/>
                <w:sz w:val="24"/>
                <w:szCs w:val="24"/>
                <w:lang w:val="en-US" w:eastAsia="zh-CN"/>
              </w:rPr>
              <w:t>目</w:t>
            </w:r>
            <w:r>
              <w:rPr>
                <w:rFonts w:hint="eastAsia" w:ascii="宋体" w:hAnsi="宋体" w:eastAsia="宋体" w:cs="宋体"/>
                <w:sz w:val="24"/>
                <w:szCs w:val="24"/>
              </w:rPr>
              <w:t>范围内的全部工作内容。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5</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采购预算</w:t>
            </w:r>
          </w:p>
        </w:tc>
        <w:tc>
          <w:tcPr>
            <w:tcW w:w="6889"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磋商控制价：</w:t>
            </w:r>
            <w:r>
              <w:rPr>
                <w:rFonts w:hint="eastAsia" w:ascii="宋体" w:hAnsi="宋体" w:cs="宋体"/>
                <w:sz w:val="24"/>
                <w:szCs w:val="24"/>
                <w:lang w:eastAsia="zh-CN"/>
              </w:rPr>
              <w:t>400000.00</w:t>
            </w:r>
            <w:r>
              <w:rPr>
                <w:rFonts w:hint="eastAsia" w:ascii="宋体" w:hAnsi="宋体" w:eastAsia="宋体" w:cs="宋体"/>
                <w:sz w:val="24"/>
                <w:szCs w:val="24"/>
              </w:rPr>
              <w:t>元，磋商响应报价不得超过此控制价，否则响应文件将被拒绝。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17" w:hRule="atLeast"/>
          <w:jc w:val="center"/>
        </w:trPr>
        <w:tc>
          <w:tcPr>
            <w:tcW w:w="910" w:type="dxa"/>
            <w:tcBorders>
              <w:bottom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6</w:t>
            </w:r>
          </w:p>
        </w:tc>
        <w:tc>
          <w:tcPr>
            <w:tcW w:w="2401" w:type="dxa"/>
            <w:tcBorders>
              <w:bottom w:val="single" w:color="auto" w:sz="4" w:space="0"/>
              <w:right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磋商资格</w:t>
            </w:r>
          </w:p>
        </w:tc>
        <w:tc>
          <w:tcPr>
            <w:tcW w:w="6889" w:type="dxa"/>
            <w:tcBorders>
              <w:left w:val="single" w:color="auto" w:sz="4" w:space="0"/>
              <w:bottom w:val="single" w:color="auto" w:sz="4" w:space="0"/>
            </w:tcBorders>
            <w:vAlign w:val="center"/>
          </w:tcPr>
          <w:p>
            <w:pPr>
              <w:numPr>
                <w:ilvl w:val="0"/>
                <w:numId w:val="4"/>
              </w:num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满足《中华人民共和国政府采购法》第二十二条规定；</w:t>
            </w:r>
          </w:p>
          <w:p>
            <w:pPr>
              <w:numPr>
                <w:ilvl w:val="0"/>
                <w:numId w:val="4"/>
              </w:numPr>
              <w:ind w:left="0" w:leftChars="0" w:firstLine="0" w:firstLine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在“信用中国”网站（www.creditchina.gov.cn）未被列入失信被执行人名单，未被列入重大税收违法案件当事人名单。且在“中国政府采购网”（www.ccgp.gov.cn）没有政府采购严重违法失信行为记录（被禁止在一定期限内参加政府采购活动，</w:t>
            </w:r>
            <w:r>
              <w:rPr>
                <w:rFonts w:hint="eastAsia" w:ascii="宋体" w:hAnsi="宋体" w:cs="宋体"/>
                <w:sz w:val="24"/>
                <w:szCs w:val="24"/>
                <w:lang w:eastAsia="zh-CN"/>
              </w:rPr>
              <w:t>但期限届满的除外，查询时间：开标前10天内的</w:t>
            </w:r>
            <w:r>
              <w:rPr>
                <w:rFonts w:hint="eastAsia" w:ascii="宋体" w:hAnsi="宋体" w:eastAsia="宋体" w:cs="宋体"/>
                <w:sz w:val="24"/>
                <w:szCs w:val="24"/>
                <w:lang w:eastAsia="zh-CN"/>
              </w:rPr>
              <w:t>）；</w:t>
            </w:r>
          </w:p>
          <w:p>
            <w:pPr>
              <w:numPr>
                <w:ilvl w:val="0"/>
                <w:numId w:val="4"/>
              </w:num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lang w:eastAsia="zh-CN"/>
              </w:rPr>
              <w:t>本次</w:t>
            </w:r>
            <w:r>
              <w:rPr>
                <w:rFonts w:hint="eastAsia" w:ascii="宋体" w:hAnsi="宋体" w:eastAsia="宋体" w:cs="宋体"/>
                <w:sz w:val="24"/>
                <w:szCs w:val="24"/>
                <w:lang w:val="en-US" w:eastAsia="zh-CN"/>
              </w:rPr>
              <w:t>项目</w:t>
            </w:r>
            <w:r>
              <w:rPr>
                <w:rFonts w:hint="eastAsia" w:ascii="宋体" w:hAnsi="宋体" w:eastAsia="宋体" w:cs="宋体"/>
                <w:sz w:val="24"/>
                <w:szCs w:val="24"/>
                <w:lang w:eastAsia="zh-CN"/>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10" w:type="dxa"/>
            <w:tcBorders>
              <w:top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7</w:t>
            </w:r>
          </w:p>
        </w:tc>
        <w:tc>
          <w:tcPr>
            <w:tcW w:w="2401" w:type="dxa"/>
            <w:tcBorders>
              <w:top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响应性有效期</w:t>
            </w:r>
          </w:p>
        </w:tc>
        <w:tc>
          <w:tcPr>
            <w:tcW w:w="6889" w:type="dxa"/>
            <w:tcBorders>
              <w:top w:val="single" w:color="auto" w:sz="4" w:space="0"/>
            </w:tcBorders>
            <w:vAlign w:val="center"/>
          </w:tcPr>
          <w:p>
            <w:p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投标截止期结束后</w:t>
            </w:r>
            <w:r>
              <w:rPr>
                <w:rFonts w:hint="eastAsia" w:ascii="宋体" w:hAnsi="宋体" w:cs="宋体"/>
                <w:sz w:val="24"/>
                <w:szCs w:val="24"/>
                <w:lang w:val="en-US" w:eastAsia="zh-CN"/>
              </w:rPr>
              <w:t>90</w:t>
            </w:r>
            <w:r>
              <w:rPr>
                <w:rFonts w:hint="eastAsia" w:ascii="宋体" w:hAnsi="宋体" w:eastAsia="宋体" w:cs="宋体"/>
                <w:sz w:val="24"/>
                <w:szCs w:val="24"/>
                <w:lang w:eastAsia="zh-CN"/>
              </w:rPr>
              <w:t>日历日，有效期不足将导致其投标文件被拒绝。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10" w:type="dxa"/>
            <w:tcBorders>
              <w:bottom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8</w:t>
            </w:r>
          </w:p>
        </w:tc>
        <w:tc>
          <w:tcPr>
            <w:tcW w:w="2401" w:type="dxa"/>
            <w:tcBorders>
              <w:bottom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评审方法</w:t>
            </w:r>
          </w:p>
        </w:tc>
        <w:tc>
          <w:tcPr>
            <w:tcW w:w="6889" w:type="dxa"/>
            <w:tcBorders>
              <w:bottom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910" w:type="dxa"/>
            <w:tcBorders>
              <w:top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9</w:t>
            </w:r>
          </w:p>
        </w:tc>
        <w:tc>
          <w:tcPr>
            <w:tcW w:w="2401" w:type="dxa"/>
            <w:tcBorders>
              <w:top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6889" w:type="dxa"/>
            <w:tcBorders>
              <w:top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10</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磋商文件发放日期</w:t>
            </w:r>
          </w:p>
        </w:tc>
        <w:tc>
          <w:tcPr>
            <w:tcW w:w="6889" w:type="dxa"/>
            <w:vAlign w:val="center"/>
          </w:tcPr>
          <w:p>
            <w:pPr>
              <w:jc w:val="both"/>
              <w:rPr>
                <w:rFonts w:hint="eastAsia" w:ascii="宋体" w:hAnsi="宋体" w:eastAsia="宋体" w:cs="宋体"/>
                <w:sz w:val="24"/>
                <w:szCs w:val="24"/>
                <w:lang w:eastAsia="zh-CN"/>
              </w:rPr>
            </w:pPr>
            <w:r>
              <w:rPr>
                <w:rFonts w:hint="eastAsia" w:ascii="宋体" w:hAnsi="宋体" w:eastAsia="宋体" w:cs="宋体"/>
                <w:sz w:val="24"/>
                <w:szCs w:val="24"/>
              </w:rPr>
              <w:t>时间：</w:t>
            </w:r>
            <w:r>
              <w:rPr>
                <w:rFonts w:hint="eastAsia" w:ascii="宋体" w:hAnsi="宋体" w:eastAsia="宋体" w:cs="宋体"/>
                <w:sz w:val="24"/>
                <w:szCs w:val="24"/>
                <w:lang w:eastAsia="zh-CN"/>
              </w:rPr>
              <w:t>2022年</w:t>
            </w:r>
            <w:r>
              <w:rPr>
                <w:rFonts w:hint="eastAsia" w:ascii="宋体" w:hAnsi="宋体" w:cs="宋体"/>
                <w:sz w:val="24"/>
                <w:szCs w:val="24"/>
                <w:lang w:val="en-US" w:eastAsia="zh-CN"/>
              </w:rPr>
              <w:t>8月26</w:t>
            </w:r>
            <w:r>
              <w:rPr>
                <w:rFonts w:hint="eastAsia" w:ascii="宋体" w:hAnsi="宋体" w:eastAsia="宋体" w:cs="宋体"/>
                <w:sz w:val="24"/>
                <w:szCs w:val="24"/>
                <w:lang w:eastAsia="zh-CN"/>
              </w:rPr>
              <w:t>日至 2022年</w:t>
            </w:r>
            <w:r>
              <w:rPr>
                <w:rFonts w:hint="eastAsia" w:ascii="宋体" w:hAnsi="宋体" w:cs="宋体"/>
                <w:sz w:val="24"/>
                <w:szCs w:val="24"/>
                <w:lang w:val="en-US" w:eastAsia="zh-CN"/>
              </w:rPr>
              <w:t>9月2</w:t>
            </w:r>
            <w:r>
              <w:rPr>
                <w:rFonts w:hint="eastAsia" w:ascii="宋体" w:hAnsi="宋体" w:eastAsia="宋体" w:cs="宋体"/>
                <w:sz w:val="24"/>
                <w:szCs w:val="24"/>
                <w:lang w:eastAsia="zh-CN"/>
              </w:rPr>
              <w:t>日</w:t>
            </w:r>
            <w:r>
              <w:rPr>
                <w:rFonts w:hint="eastAsia" w:ascii="宋体" w:hAnsi="宋体" w:eastAsia="宋体" w:cs="宋体"/>
                <w:sz w:val="24"/>
                <w:szCs w:val="24"/>
              </w:rPr>
              <w:t xml:space="preserve"> (北京时间)（每日10：00-13：30，16：</w:t>
            </w:r>
            <w:r>
              <w:rPr>
                <w:rFonts w:hint="eastAsia" w:ascii="宋体" w:hAnsi="宋体" w:eastAsia="宋体" w:cs="宋体"/>
                <w:sz w:val="24"/>
                <w:szCs w:val="24"/>
                <w:lang w:val="en-US" w:eastAsia="zh-CN"/>
              </w:rPr>
              <w:t>0</w:t>
            </w:r>
            <w:r>
              <w:rPr>
                <w:rFonts w:hint="eastAsia" w:ascii="宋体" w:hAnsi="宋体" w:eastAsia="宋体" w:cs="宋体"/>
                <w:sz w:val="24"/>
                <w:szCs w:val="24"/>
              </w:rPr>
              <w:t>0-19：00节假日除外）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11</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符合性要求</w:t>
            </w:r>
          </w:p>
        </w:tc>
        <w:tc>
          <w:tcPr>
            <w:tcW w:w="6889" w:type="dxa"/>
            <w:vAlign w:val="center"/>
          </w:tcPr>
          <w:p>
            <w:pPr>
              <w:widowControl/>
              <w:adjustRightInd/>
              <w:spacing w:line="24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一、凡有下列情形之一者，投标文件将被视为未实质性响应招标文件要求，其投标无效！</w:t>
            </w:r>
          </w:p>
          <w:p>
            <w:pPr>
              <w:widowControl/>
              <w:adjustRightInd/>
              <w:spacing w:line="24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（1）不具备招标文件中规定的资格要求的，或投标文件中提供的资格证明文件与原件不一致的；</w:t>
            </w:r>
          </w:p>
          <w:p>
            <w:pPr>
              <w:widowControl/>
              <w:adjustRightInd/>
              <w:spacing w:line="24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文件未按招标文件要求签署、盖章的；</w:t>
            </w:r>
          </w:p>
          <w:p>
            <w:pPr>
              <w:widowControl/>
              <w:adjustRightInd/>
              <w:spacing w:line="24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文件含有采购人不能接受的附加条件的；</w:t>
            </w:r>
          </w:p>
          <w:p>
            <w:pPr>
              <w:widowControl/>
              <w:adjustRightInd/>
              <w:spacing w:line="24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）报价超过招标文件中规定的预算金额或者最高限价的；</w:t>
            </w:r>
          </w:p>
          <w:p>
            <w:pPr>
              <w:widowControl/>
              <w:adjustRightInd/>
              <w:spacing w:line="24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）投标文件的内容与采购内容及要求（质量、技术要求，服务期、付款方式等）有重大偏离或保留的；</w:t>
            </w:r>
          </w:p>
          <w:p>
            <w:pPr>
              <w:widowControl/>
              <w:adjustRightInd/>
              <w:spacing w:line="240" w:lineRule="auto"/>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投标文件的技术服务方案内容</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满足本项目招标需要；</w:t>
            </w:r>
          </w:p>
          <w:p>
            <w:pPr>
              <w:widowControl/>
              <w:adjustRightInd/>
              <w:spacing w:line="240" w:lineRule="auto"/>
              <w:ind w:firstLine="210" w:firstLineChars="100"/>
              <w:textAlignment w:val="auto"/>
              <w:rPr>
                <w:rFonts w:hint="eastAsia" w:ascii="宋体" w:hAnsi="宋体" w:eastAsia="宋体" w:cs="宋体"/>
                <w:sz w:val="24"/>
                <w:szCs w:val="24"/>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）投标文件的内容组成不符合招标文件要求的；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12</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磋商保证金</w:t>
            </w:r>
          </w:p>
        </w:tc>
        <w:tc>
          <w:tcPr>
            <w:tcW w:w="6889" w:type="dxa"/>
            <w:vAlign w:val="center"/>
          </w:tcPr>
          <w:p>
            <w:pPr>
              <w:jc w:val="both"/>
              <w:rPr>
                <w:rFonts w:hint="eastAsia" w:ascii="宋体" w:hAnsi="宋体" w:eastAsia="宋体" w:cs="宋体"/>
                <w:sz w:val="24"/>
                <w:szCs w:val="24"/>
                <w:lang w:val="zh-CN"/>
              </w:rPr>
            </w:pPr>
            <w:r>
              <w:rPr>
                <w:rFonts w:hint="eastAsia" w:ascii="宋体" w:hAnsi="宋体" w:eastAsia="宋体" w:cs="宋体"/>
                <w:sz w:val="24"/>
                <w:szCs w:val="24"/>
                <w:lang w:val="zh-CN"/>
              </w:rPr>
              <w:t>投标保证金金额：</w:t>
            </w:r>
            <w:r>
              <w:rPr>
                <w:rFonts w:hint="eastAsia" w:ascii="宋体" w:hAnsi="宋体" w:cs="宋体"/>
                <w:sz w:val="24"/>
                <w:szCs w:val="24"/>
                <w:lang w:val="en-US" w:eastAsia="zh-CN"/>
              </w:rPr>
              <w:t>8</w:t>
            </w:r>
            <w:r>
              <w:rPr>
                <w:rFonts w:hint="eastAsia" w:ascii="宋体" w:hAnsi="宋体" w:eastAsia="宋体" w:cs="宋体"/>
                <w:sz w:val="24"/>
                <w:szCs w:val="24"/>
              </w:rPr>
              <w:t>000</w:t>
            </w:r>
            <w:r>
              <w:rPr>
                <w:rFonts w:hint="eastAsia" w:ascii="宋体" w:hAnsi="宋体" w:eastAsia="宋体" w:cs="宋体"/>
                <w:sz w:val="24"/>
                <w:szCs w:val="24"/>
                <w:lang w:val="zh-CN"/>
              </w:rPr>
              <w:t>元（</w:t>
            </w:r>
            <w:r>
              <w:rPr>
                <w:rFonts w:hint="eastAsia" w:ascii="宋体" w:hAnsi="宋体" w:cs="宋体"/>
                <w:sz w:val="24"/>
                <w:szCs w:val="24"/>
                <w:lang w:val="en-US" w:eastAsia="zh-CN"/>
              </w:rPr>
              <w:t>捌仟</w:t>
            </w:r>
            <w:r>
              <w:rPr>
                <w:rFonts w:hint="eastAsia" w:ascii="宋体" w:hAnsi="宋体" w:eastAsia="宋体" w:cs="宋体"/>
                <w:sz w:val="24"/>
                <w:szCs w:val="24"/>
                <w:lang w:val="zh-CN"/>
              </w:rPr>
              <w:t>元整）</w:t>
            </w:r>
          </w:p>
          <w:p>
            <w:pPr>
              <w:jc w:val="both"/>
              <w:rPr>
                <w:rFonts w:hint="eastAsia" w:ascii="宋体" w:hAnsi="宋体" w:eastAsia="宋体" w:cs="宋体"/>
                <w:sz w:val="24"/>
                <w:szCs w:val="24"/>
                <w:lang w:val="zh-CN"/>
              </w:rPr>
            </w:pPr>
            <w:r>
              <w:rPr>
                <w:rFonts w:hint="eastAsia" w:ascii="宋体" w:hAnsi="宋体" w:eastAsia="宋体" w:cs="宋体"/>
                <w:sz w:val="24"/>
                <w:szCs w:val="24"/>
                <w:lang w:val="zh-CN"/>
              </w:rPr>
              <w:t>账户名称：新疆恒瑞博源工程项目管理有限公司</w:t>
            </w:r>
          </w:p>
          <w:p>
            <w:pPr>
              <w:jc w:val="both"/>
              <w:rPr>
                <w:rFonts w:hint="eastAsia" w:ascii="宋体" w:hAnsi="宋体" w:eastAsia="宋体" w:cs="宋体"/>
                <w:sz w:val="24"/>
                <w:szCs w:val="24"/>
                <w:lang w:val="zh-CN"/>
              </w:rPr>
            </w:pPr>
            <w:r>
              <w:rPr>
                <w:rFonts w:hint="eastAsia" w:ascii="宋体" w:hAnsi="宋体" w:eastAsia="宋体" w:cs="宋体"/>
                <w:sz w:val="24"/>
                <w:szCs w:val="24"/>
                <w:lang w:val="zh-CN"/>
              </w:rPr>
              <w:t>开户行：中国农业银行库尔勒楼兰支行</w:t>
            </w:r>
          </w:p>
          <w:p>
            <w:pPr>
              <w:jc w:val="both"/>
              <w:rPr>
                <w:rFonts w:hint="eastAsia" w:ascii="宋体" w:hAnsi="宋体" w:eastAsia="宋体" w:cs="宋体"/>
                <w:sz w:val="24"/>
                <w:szCs w:val="24"/>
              </w:rPr>
            </w:pPr>
            <w:r>
              <w:rPr>
                <w:rFonts w:hint="eastAsia" w:ascii="宋体" w:hAnsi="宋体" w:eastAsia="宋体" w:cs="宋体"/>
                <w:sz w:val="24"/>
                <w:szCs w:val="24"/>
                <w:lang w:val="zh-CN"/>
              </w:rPr>
              <w:t>账号：</w:t>
            </w:r>
            <w:r>
              <w:rPr>
                <w:rFonts w:hint="eastAsia" w:ascii="宋体" w:hAnsi="宋体" w:eastAsia="宋体" w:cs="宋体"/>
                <w:sz w:val="24"/>
                <w:szCs w:val="24"/>
              </w:rPr>
              <w:t>30316501040005841</w:t>
            </w:r>
          </w:p>
          <w:p>
            <w:pPr>
              <w:jc w:val="both"/>
              <w:rPr>
                <w:rFonts w:hint="eastAsia" w:ascii="宋体" w:hAnsi="宋体" w:eastAsia="宋体" w:cs="宋体"/>
                <w:sz w:val="24"/>
                <w:szCs w:val="24"/>
              </w:rPr>
            </w:pPr>
            <w:r>
              <w:rPr>
                <w:rFonts w:hint="eastAsia" w:ascii="宋体" w:hAnsi="宋体" w:eastAsia="宋体" w:cs="宋体"/>
                <w:sz w:val="24"/>
                <w:szCs w:val="24"/>
                <w:lang w:val="zh-CN"/>
              </w:rPr>
              <w:t>行号：</w:t>
            </w:r>
            <w:r>
              <w:rPr>
                <w:rFonts w:hint="eastAsia" w:ascii="宋体" w:hAnsi="宋体" w:eastAsia="宋体" w:cs="宋体"/>
                <w:sz w:val="24"/>
                <w:szCs w:val="24"/>
              </w:rPr>
              <w:t>103888031658</w:t>
            </w:r>
          </w:p>
          <w:p>
            <w:pPr>
              <w:jc w:val="both"/>
              <w:rPr>
                <w:rFonts w:hint="eastAsia" w:ascii="宋体" w:hAnsi="宋体" w:eastAsia="宋体" w:cs="宋体"/>
                <w:sz w:val="24"/>
                <w:szCs w:val="24"/>
                <w:lang w:val="zh-CN"/>
              </w:rPr>
            </w:pPr>
            <w:r>
              <w:rPr>
                <w:rFonts w:hint="eastAsia" w:ascii="宋体" w:hAnsi="宋体" w:eastAsia="宋体" w:cs="宋体"/>
                <w:sz w:val="24"/>
                <w:szCs w:val="24"/>
                <w:lang w:val="zh-CN"/>
              </w:rPr>
              <w:t>投标保证金缴纳截止时间：2022年</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日</w:t>
            </w:r>
            <w:r>
              <w:rPr>
                <w:rFonts w:hint="eastAsia" w:ascii="宋体" w:hAnsi="宋体" w:cs="宋体"/>
                <w:sz w:val="24"/>
                <w:szCs w:val="24"/>
                <w:lang w:val="zh-CN"/>
              </w:rPr>
              <w:t>10:30</w:t>
            </w:r>
            <w:r>
              <w:rPr>
                <w:rFonts w:hint="eastAsia" w:ascii="宋体" w:hAnsi="宋体" w:eastAsia="宋体" w:cs="宋体"/>
                <w:sz w:val="24"/>
                <w:szCs w:val="24"/>
                <w:lang w:val="zh-CN"/>
              </w:rPr>
              <w:t>时之前（以银行记录确认到账为准）。未按以上要求递交投标保证金及办理确认手续的，其投标保证金视为无效，采购人将拒绝其投标。</w:t>
            </w:r>
          </w:p>
          <w:p>
            <w:pPr>
              <w:jc w:val="both"/>
              <w:rPr>
                <w:rFonts w:hint="eastAsia" w:ascii="宋体" w:hAnsi="宋体" w:eastAsia="宋体" w:cs="宋体"/>
                <w:sz w:val="24"/>
                <w:szCs w:val="24"/>
                <w:lang w:val="zh-CN"/>
              </w:rPr>
            </w:pPr>
            <w:r>
              <w:rPr>
                <w:rFonts w:hint="eastAsia" w:ascii="宋体" w:hAnsi="宋体" w:eastAsia="宋体" w:cs="宋体"/>
                <w:sz w:val="24"/>
                <w:szCs w:val="24"/>
                <w:lang w:val="zh-CN"/>
              </w:rPr>
              <w:t>投标保证金的形式：网银、电汇、转账，</w:t>
            </w:r>
            <w:r>
              <w:rPr>
                <w:rFonts w:hint="eastAsia" w:ascii="宋体" w:hAnsi="宋体" w:cs="宋体"/>
                <w:sz w:val="24"/>
                <w:szCs w:val="24"/>
                <w:lang w:val="en-US" w:eastAsia="zh-CN"/>
              </w:rPr>
              <w:t>必</w:t>
            </w:r>
            <w:r>
              <w:rPr>
                <w:rFonts w:hint="eastAsia" w:ascii="宋体" w:hAnsi="宋体" w:eastAsia="宋体" w:cs="宋体"/>
                <w:sz w:val="24"/>
                <w:szCs w:val="24"/>
                <w:lang w:val="zh-CN"/>
              </w:rPr>
              <w:t>须从投标单位</w:t>
            </w:r>
            <w:r>
              <w:rPr>
                <w:rFonts w:hint="eastAsia" w:ascii="宋体" w:hAnsi="宋体" w:cs="宋体"/>
                <w:sz w:val="24"/>
                <w:szCs w:val="24"/>
                <w:lang w:val="en-US" w:eastAsia="zh-CN"/>
              </w:rPr>
              <w:t>基本账户转出</w:t>
            </w:r>
            <w:r>
              <w:rPr>
                <w:rFonts w:hint="eastAsia" w:ascii="宋体" w:hAnsi="宋体" w:eastAsia="宋体" w:cs="宋体"/>
                <w:sz w:val="24"/>
                <w:szCs w:val="24"/>
                <w:lang w:val="zh-CN"/>
              </w:rPr>
              <w:t>。</w:t>
            </w:r>
          </w:p>
          <w:p>
            <w:pPr>
              <w:jc w:val="both"/>
              <w:rPr>
                <w:rFonts w:hint="eastAsia" w:ascii="宋体" w:hAnsi="宋体" w:eastAsia="宋体" w:cs="宋体"/>
                <w:sz w:val="24"/>
                <w:szCs w:val="24"/>
                <w:lang w:val="zh-CN"/>
              </w:rPr>
            </w:pPr>
            <w:r>
              <w:rPr>
                <w:rFonts w:hint="eastAsia" w:ascii="宋体" w:hAnsi="宋体" w:eastAsia="宋体" w:cs="宋体"/>
                <w:sz w:val="24"/>
                <w:szCs w:val="24"/>
                <w:lang w:val="zh-CN"/>
              </w:rPr>
              <w:t>（汇款时用途栏应注明本项目招标编号</w:t>
            </w:r>
            <w:r>
              <w:rPr>
                <w:rFonts w:hint="eastAsia" w:ascii="宋体" w:hAnsi="宋体" w:cs="宋体"/>
                <w:sz w:val="24"/>
                <w:szCs w:val="24"/>
                <w:lang w:val="en-US" w:eastAsia="zh-CN"/>
              </w:rPr>
              <w:t>（HRBYCG2022-30号投标保证金）</w:t>
            </w:r>
            <w:r>
              <w:rPr>
                <w:rFonts w:hint="eastAsia" w:ascii="宋体" w:hAnsi="宋体" w:eastAsia="宋体" w:cs="宋体"/>
                <w:sz w:val="24"/>
                <w:szCs w:val="24"/>
                <w:lang w:val="zh-CN"/>
              </w:rPr>
              <w:t>，不注明用途的届时其投标将被拒绝。)</w:t>
            </w:r>
          </w:p>
          <w:p>
            <w:pPr>
              <w:jc w:val="both"/>
              <w:rPr>
                <w:rFonts w:hint="eastAsia" w:ascii="宋体" w:hAnsi="宋体" w:eastAsia="宋体" w:cs="宋体"/>
                <w:sz w:val="24"/>
                <w:szCs w:val="24"/>
              </w:rPr>
            </w:pPr>
            <w:r>
              <w:rPr>
                <w:rFonts w:hint="eastAsia" w:ascii="宋体" w:hAnsi="宋体" w:eastAsia="宋体" w:cs="宋体"/>
                <w:sz w:val="24"/>
                <w:szCs w:val="24"/>
                <w:lang w:val="zh-CN"/>
              </w:rPr>
              <w:t>注：投标保证金以到账信息为准，投标单位应充分考虑在途时间，投标单位未按照招标文件要求提交投标保证金的，投标无效。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13</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响应性文件份数</w:t>
            </w:r>
          </w:p>
        </w:tc>
        <w:tc>
          <w:tcPr>
            <w:tcW w:w="6889"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 xml:space="preserve">1、投标文件 </w:t>
            </w:r>
            <w:r>
              <w:rPr>
                <w:rFonts w:hint="eastAsia" w:ascii="宋体" w:hAnsi="宋体" w:cs="宋体"/>
                <w:sz w:val="24"/>
                <w:szCs w:val="24"/>
                <w:lang w:val="en-US" w:eastAsia="zh-CN"/>
              </w:rPr>
              <w:t>4</w:t>
            </w:r>
            <w:r>
              <w:rPr>
                <w:rFonts w:hint="eastAsia" w:ascii="宋体" w:hAnsi="宋体" w:eastAsia="宋体" w:cs="宋体"/>
                <w:sz w:val="24"/>
                <w:szCs w:val="24"/>
              </w:rPr>
              <w:t xml:space="preserve">份，其中正本 1 份，副本 </w:t>
            </w:r>
            <w:r>
              <w:rPr>
                <w:rFonts w:hint="eastAsia" w:ascii="宋体" w:hAnsi="宋体" w:cs="宋体"/>
                <w:sz w:val="24"/>
                <w:szCs w:val="24"/>
                <w:lang w:val="en-US" w:eastAsia="zh-CN"/>
              </w:rPr>
              <w:t>3</w:t>
            </w:r>
            <w:r>
              <w:rPr>
                <w:rFonts w:hint="eastAsia" w:ascii="宋体" w:hAnsi="宋体" w:eastAsia="宋体" w:cs="宋体"/>
                <w:sz w:val="24"/>
                <w:szCs w:val="24"/>
              </w:rPr>
              <w:t>份；</w:t>
            </w:r>
          </w:p>
          <w:p>
            <w:pPr>
              <w:jc w:val="both"/>
              <w:rPr>
                <w:rFonts w:hint="eastAsia" w:ascii="宋体" w:hAnsi="宋体" w:eastAsia="宋体" w:cs="宋体"/>
                <w:sz w:val="24"/>
                <w:szCs w:val="24"/>
              </w:rPr>
            </w:pPr>
            <w:r>
              <w:rPr>
                <w:rFonts w:hint="eastAsia" w:ascii="宋体" w:hAnsi="宋体" w:eastAsia="宋体" w:cs="宋体"/>
                <w:sz w:val="24"/>
                <w:szCs w:val="24"/>
              </w:rPr>
              <w:t>电子版</w:t>
            </w:r>
            <w:r>
              <w:rPr>
                <w:rFonts w:hint="eastAsia" w:ascii="宋体" w:hAnsi="宋体" w:eastAsia="宋体" w:cs="宋体"/>
                <w:sz w:val="24"/>
                <w:szCs w:val="24"/>
                <w:lang w:eastAsia="zh-CN"/>
              </w:rPr>
              <w:t>：</w:t>
            </w:r>
            <w:r>
              <w:rPr>
                <w:rFonts w:hint="eastAsia" w:ascii="宋体" w:hAnsi="宋体" w:eastAsia="宋体" w:cs="宋体"/>
                <w:sz w:val="24"/>
                <w:szCs w:val="24"/>
              </w:rPr>
              <w:t>PDF盖章的投标文件 1 份（U盘）；</w:t>
            </w:r>
          </w:p>
          <w:p>
            <w:pPr>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注：本项目为电子标，评审完成后，需供应商提供以上纸质版响应文件</w:t>
            </w:r>
            <w:r>
              <w:rPr>
                <w:rFonts w:hint="eastAsia" w:ascii="宋体" w:hAnsi="宋体" w:eastAsia="宋体" w:cs="宋体"/>
                <w:b/>
                <w:bCs/>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14</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磋商时间及响应性文件递交截止时间</w:t>
            </w:r>
          </w:p>
        </w:tc>
        <w:tc>
          <w:tcPr>
            <w:tcW w:w="6889"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投标人应于202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年</w:t>
            </w:r>
            <w:r>
              <w:rPr>
                <w:rFonts w:hint="eastAsia" w:ascii="宋体" w:hAnsi="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6</w:t>
            </w:r>
            <w:r>
              <w:rPr>
                <w:rFonts w:hint="eastAsia" w:ascii="宋体" w:hAnsi="宋体" w:eastAsia="宋体" w:cs="宋体"/>
                <w:sz w:val="24"/>
                <w:szCs w:val="24"/>
              </w:rPr>
              <w:t>日 1</w:t>
            </w:r>
            <w:r>
              <w:rPr>
                <w:rFonts w:hint="eastAsia" w:ascii="宋体" w:hAnsi="宋体" w:cs="宋体"/>
                <w:sz w:val="24"/>
                <w:szCs w:val="24"/>
                <w:lang w:val="en-US" w:eastAsia="zh-CN"/>
              </w:rPr>
              <w:t>0</w:t>
            </w:r>
            <w:r>
              <w:rPr>
                <w:rFonts w:hint="eastAsia" w:ascii="宋体" w:hAnsi="宋体" w:eastAsia="宋体" w:cs="宋体"/>
                <w:sz w:val="24"/>
                <w:szCs w:val="24"/>
              </w:rPr>
              <w:t>时</w:t>
            </w:r>
            <w:r>
              <w:rPr>
                <w:rFonts w:hint="eastAsia" w:ascii="宋体" w:hAnsi="宋体" w:cs="宋体"/>
                <w:sz w:val="24"/>
                <w:szCs w:val="24"/>
                <w:lang w:val="en-US" w:eastAsia="zh-CN"/>
              </w:rPr>
              <w:t>3</w:t>
            </w:r>
            <w:r>
              <w:rPr>
                <w:rFonts w:hint="eastAsia" w:ascii="宋体" w:hAnsi="宋体" w:eastAsia="宋体" w:cs="宋体"/>
                <w:sz w:val="24"/>
                <w:szCs w:val="24"/>
              </w:rPr>
              <w:t>0分（北京时间）之前将电子投标文件上传到“政采云”平台。应按照本项目</w:t>
            </w:r>
            <w:r>
              <w:rPr>
                <w:rFonts w:hint="eastAsia" w:ascii="宋体" w:hAnsi="宋体" w:eastAsia="宋体" w:cs="宋体"/>
                <w:sz w:val="24"/>
                <w:szCs w:val="24"/>
                <w:lang w:val="en-US" w:eastAsia="zh-CN"/>
              </w:rPr>
              <w:t>招标</w:t>
            </w:r>
            <w:r>
              <w:rPr>
                <w:rFonts w:hint="eastAsia" w:ascii="宋体" w:hAnsi="宋体" w:eastAsia="宋体" w:cs="宋体"/>
                <w:sz w:val="24"/>
                <w:szCs w:val="24"/>
              </w:rPr>
              <w:t>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15</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响应性文件递交地址及磋商地址</w:t>
            </w:r>
          </w:p>
        </w:tc>
        <w:tc>
          <w:tcPr>
            <w:tcW w:w="6889"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新疆政府采购网（http://www.ccgp-xinjiang.gov.cn/）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16</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标</w:t>
            </w:r>
          </w:p>
        </w:tc>
        <w:tc>
          <w:tcPr>
            <w:tcW w:w="6889"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1、本项目实行电子招投标，供应商须登录政采云平台申请获取采购文件，并需要使用CA加密货物通过政采云电子投标客户端制作响应文件，若供应商参与投标,自行承担与投标有关的一切费用。</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2、各供应商应在开标前确保成为新疆维吾尔自治区政府采购网正式注册入库供应商，并完成CA数字证书申领。因未注册入库、未办理CA数字证书等原因造成无法投标或投标失败等后果由供应商自行承担。</w:t>
            </w:r>
          </w:p>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 </w:t>
            </w:r>
          </w:p>
          <w:p>
            <w:pPr>
              <w:jc w:val="both"/>
              <w:rPr>
                <w:rFonts w:hint="eastAsia" w:ascii="宋体" w:hAnsi="宋体" w:eastAsia="宋体" w:cs="宋体"/>
                <w:sz w:val="24"/>
                <w:szCs w:val="24"/>
              </w:rPr>
            </w:pPr>
            <w:r>
              <w:rPr>
                <w:rFonts w:hint="eastAsia" w:ascii="宋体" w:hAnsi="宋体" w:eastAsia="宋体" w:cs="宋体"/>
                <w:sz w:val="24"/>
                <w:szCs w:val="24"/>
                <w:lang w:val="en-US" w:eastAsia="zh-CN"/>
              </w:rPr>
              <w:t>4. 投标供应商应当在投标截止时间前，将生成的“电子加密响应文件”上传递交至“政府采购云平台”，投标截止时间以后上传递交的响应文件将被“政府采购云平台”拒收。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17</w:t>
            </w:r>
          </w:p>
        </w:tc>
        <w:tc>
          <w:tcPr>
            <w:tcW w:w="2401"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采购代理服务费</w:t>
            </w:r>
          </w:p>
        </w:tc>
        <w:tc>
          <w:tcPr>
            <w:tcW w:w="6889"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根据国家计委《招标代理服务收费管理暂行办法》（计价格[2002]1980号）所规定收取，由成交供应商向采购代理机构支付。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910" w:type="dxa"/>
            <w:tcBorders>
              <w:top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18</w:t>
            </w:r>
          </w:p>
        </w:tc>
        <w:tc>
          <w:tcPr>
            <w:tcW w:w="2401" w:type="dxa"/>
            <w:tcBorders>
              <w:top w:val="single" w:color="auto" w:sz="4" w:space="0"/>
              <w:bottom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付款方式及币种</w:t>
            </w:r>
          </w:p>
        </w:tc>
        <w:tc>
          <w:tcPr>
            <w:tcW w:w="6889" w:type="dxa"/>
            <w:tcBorders>
              <w:top w:val="single" w:color="auto" w:sz="4" w:space="0"/>
            </w:tcBorders>
            <w:vAlign w:val="center"/>
          </w:tcPr>
          <w:p>
            <w:pPr>
              <w:numPr>
                <w:ilvl w:val="0"/>
                <w:numId w:val="5"/>
              </w:numPr>
              <w:jc w:val="both"/>
              <w:rPr>
                <w:rFonts w:hint="eastAsia" w:ascii="宋体" w:hAnsi="宋体" w:eastAsia="宋体" w:cs="宋体"/>
                <w:sz w:val="24"/>
                <w:szCs w:val="24"/>
              </w:rPr>
            </w:pPr>
            <w:r>
              <w:rPr>
                <w:rFonts w:hint="eastAsia" w:ascii="宋体" w:hAnsi="宋体" w:eastAsia="宋体" w:cs="宋体"/>
                <w:sz w:val="24"/>
                <w:szCs w:val="24"/>
              </w:rPr>
              <w:t>付款币种本次采购所述的项目资金均以人民币支付。</w:t>
            </w:r>
          </w:p>
          <w:p>
            <w:pPr>
              <w:numPr>
                <w:ilvl w:val="0"/>
                <w:numId w:val="5"/>
              </w:num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付款方式：响应甲方要求。</w:t>
            </w:r>
          </w:p>
          <w:p>
            <w:pPr>
              <w:numPr>
                <w:ilvl w:val="0"/>
                <w:numId w:val="5"/>
              </w:num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dxa"/>
            <w:vAlign w:val="center"/>
          </w:tcPr>
          <w:p>
            <w:pPr>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2401" w:type="dxa"/>
            <w:tcBorders>
              <w:top w:val="single" w:color="auto" w:sz="4" w:space="0"/>
            </w:tcBorders>
            <w:vAlign w:val="center"/>
          </w:tcPr>
          <w:p>
            <w:pPr>
              <w:jc w:val="both"/>
              <w:rPr>
                <w:rFonts w:hint="eastAsia" w:ascii="宋体" w:hAnsi="宋体" w:eastAsia="宋体" w:cs="宋体"/>
                <w:sz w:val="24"/>
                <w:szCs w:val="24"/>
                <w:lang w:eastAsia="zh-CN"/>
              </w:rPr>
            </w:pPr>
            <w:r>
              <w:rPr>
                <w:rFonts w:hint="eastAsia" w:ascii="宋体" w:hAnsi="宋体" w:cs="宋体"/>
                <w:sz w:val="24"/>
                <w:szCs w:val="24"/>
                <w:lang w:val="en-US" w:eastAsia="zh-CN"/>
              </w:rPr>
              <w:t>服务期</w:t>
            </w:r>
          </w:p>
        </w:tc>
        <w:tc>
          <w:tcPr>
            <w:tcW w:w="6889" w:type="dxa"/>
            <w:vAlign w:val="center"/>
          </w:tcPr>
          <w:p>
            <w:pPr>
              <w:jc w:val="both"/>
              <w:rPr>
                <w:rFonts w:hint="eastAsia" w:ascii="宋体" w:hAnsi="宋体" w:eastAsia="宋体" w:cs="宋体"/>
                <w:color w:val="FF0000"/>
                <w:sz w:val="24"/>
                <w:szCs w:val="24"/>
              </w:rPr>
            </w:pPr>
            <w:r>
              <w:rPr>
                <w:rFonts w:hint="eastAsia" w:ascii="宋体" w:hAnsi="宋体" w:eastAsia="宋体" w:cs="宋体"/>
                <w:b/>
                <w:bCs/>
                <w:sz w:val="24"/>
                <w:szCs w:val="24"/>
                <w:lang w:val="en-US" w:eastAsia="zh-CN"/>
              </w:rPr>
              <w:t>自合同签订之日起</w:t>
            </w: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年</w:t>
            </w: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910" w:type="dxa"/>
            <w:vAlign w:val="center"/>
          </w:tcPr>
          <w:p>
            <w:pPr>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2401" w:type="dxa"/>
            <w:tcBorders>
              <w:top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磋商费用</w:t>
            </w:r>
          </w:p>
        </w:tc>
        <w:tc>
          <w:tcPr>
            <w:tcW w:w="6889"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不论磋商的结果如何，供应商均应自行承担所有与参加磋商有关的全部费用。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910"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1</w:t>
            </w:r>
          </w:p>
        </w:tc>
        <w:tc>
          <w:tcPr>
            <w:tcW w:w="2401" w:type="dxa"/>
            <w:tcBorders>
              <w:top w:val="single" w:color="auto" w:sz="4" w:space="0"/>
            </w:tcBorders>
            <w:vAlign w:val="center"/>
          </w:tcPr>
          <w:p>
            <w:p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评标委员会</w:t>
            </w:r>
          </w:p>
        </w:tc>
        <w:tc>
          <w:tcPr>
            <w:tcW w:w="6889"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构成：5人；其中招标人代表1人，专家4人；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10"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2</w:t>
            </w:r>
          </w:p>
        </w:tc>
        <w:tc>
          <w:tcPr>
            <w:tcW w:w="2401" w:type="dxa"/>
            <w:tcBorders>
              <w:top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低于成本价不正当竞争预防措施</w:t>
            </w:r>
          </w:p>
        </w:tc>
        <w:tc>
          <w:tcPr>
            <w:tcW w:w="6889"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在磋商过程中，磋商小组认为供应商的报价明显低于其他通过符合性审查供应商的报价，有可能影响产品质量或者不能诚信履约的，磋商小组应当要求其在磋商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10" w:type="dxa"/>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3</w:t>
            </w:r>
          </w:p>
        </w:tc>
        <w:tc>
          <w:tcPr>
            <w:tcW w:w="2401" w:type="dxa"/>
            <w:tcBorders>
              <w:top w:val="single" w:color="auto" w:sz="4" w:space="0"/>
            </w:tcBorders>
            <w:vAlign w:val="center"/>
          </w:tcPr>
          <w:p>
            <w:pPr>
              <w:jc w:val="both"/>
              <w:rPr>
                <w:rFonts w:hint="eastAsia" w:ascii="宋体" w:hAnsi="宋体" w:eastAsia="宋体" w:cs="宋体"/>
                <w:sz w:val="24"/>
                <w:szCs w:val="24"/>
              </w:rPr>
            </w:pPr>
            <w:r>
              <w:rPr>
                <w:rFonts w:hint="eastAsia" w:ascii="宋体" w:hAnsi="宋体" w:eastAsia="宋体" w:cs="宋体"/>
                <w:sz w:val="24"/>
                <w:szCs w:val="24"/>
              </w:rPr>
              <w:t>政府采购政策支持：</w:t>
            </w:r>
          </w:p>
        </w:tc>
        <w:tc>
          <w:tcPr>
            <w:tcW w:w="6889" w:type="dxa"/>
            <w:vAlign w:val="center"/>
          </w:tcPr>
          <w:p>
            <w:pPr>
              <w:jc w:val="both"/>
              <w:rPr>
                <w:rFonts w:hint="eastAsia" w:ascii="宋体" w:hAnsi="宋体" w:eastAsia="宋体" w:cs="宋体"/>
                <w:sz w:val="21"/>
                <w:szCs w:val="21"/>
              </w:rPr>
            </w:pPr>
            <w:r>
              <w:rPr>
                <w:rFonts w:hint="eastAsia" w:ascii="宋体" w:hAnsi="宋体" w:eastAsia="宋体" w:cs="宋体"/>
                <w:sz w:val="21"/>
                <w:szCs w:val="21"/>
              </w:rPr>
              <w:t>根据《政府采购促进中小企业发展暂行办法》（财库[2011]181号）的规定，评审时将给予此类企业进行价格</w:t>
            </w:r>
            <w:r>
              <w:rPr>
                <w:rFonts w:hint="eastAsia" w:ascii="宋体" w:hAnsi="宋体" w:cs="宋体"/>
                <w:sz w:val="21"/>
                <w:szCs w:val="21"/>
                <w:lang w:val="en-US" w:eastAsia="zh-CN"/>
              </w:rPr>
              <w:t>10</w:t>
            </w:r>
            <w:r>
              <w:rPr>
                <w:rFonts w:hint="eastAsia" w:ascii="宋体" w:hAnsi="宋体" w:eastAsia="宋体" w:cs="宋体"/>
                <w:sz w:val="21"/>
                <w:szCs w:val="21"/>
              </w:rPr>
              <w:t>%的优惠，监狱企业、残疾人福利性单位视同为小微企业，用优惠后的价格参与评审；2、政府采购强制采购：标记★符号的节能产品：符合《节能产品政府采购清单》(最新一期)目录内的强制采购节能产品。3、政府采购优先采购：(1)非标记★符号的节能产品；(2)环境标志产品；4、采购产品为《节能产品政府采购清单》(最新一期) 内非标记★符号的节能产品及《环境标志产品政府采购清单》(最新一期)内的产品；响应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10" w:type="dxa"/>
            <w:vAlign w:val="center"/>
          </w:tcPr>
          <w:p>
            <w:pPr>
              <w:jc w:val="both"/>
              <w:rPr>
                <w:rFonts w:hint="eastAsia" w:ascii="宋体" w:hAnsi="宋体" w:eastAsia="宋体" w:cs="宋体"/>
                <w:sz w:val="24"/>
                <w:szCs w:val="24"/>
              </w:rPr>
            </w:pPr>
            <w:r>
              <w:rPr>
                <w:rFonts w:hint="eastAsia" w:ascii="宋体" w:hAnsi="宋体" w:eastAsia="宋体" w:cs="宋体"/>
                <w:sz w:val="24"/>
                <w:szCs w:val="24"/>
              </w:rPr>
              <w:t>备注</w:t>
            </w:r>
          </w:p>
        </w:tc>
        <w:tc>
          <w:tcPr>
            <w:tcW w:w="9290" w:type="dxa"/>
            <w:gridSpan w:val="2"/>
            <w:vAlign w:val="center"/>
          </w:tcPr>
          <w:p>
            <w:pPr>
              <w:jc w:val="both"/>
              <w:rPr>
                <w:rFonts w:hint="eastAsia" w:ascii="宋体" w:hAnsi="宋体" w:eastAsia="宋体" w:cs="宋体"/>
                <w:sz w:val="24"/>
                <w:szCs w:val="24"/>
              </w:rPr>
            </w:pPr>
            <w:r>
              <w:rPr>
                <w:rFonts w:hint="eastAsia" w:ascii="宋体" w:hAnsi="宋体" w:eastAsia="宋体" w:cs="宋体"/>
                <w:sz w:val="24"/>
                <w:szCs w:val="24"/>
              </w:rPr>
              <w:t>1、磋商文件中部分加“*”、加粗、加下划线、废标、不响应、响应被拒绝字样的条款，为磋商的实质性要求和条件，着重提醒各供应商注意，并认真查看磋商文件中的每一个条款及要求，因误读磋商文件而造成的后果，采购人概不负责。2、响应文件中有弄虚作假的内容，其响应文件作废。（如假证书、假业绩、隐瞒不良行为记录、夸大荣誉、使用非本单位在职员工的相关证件及不符合磋商文件规定的条款等）；在签订合同之前，采购人如发现供应商的响应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200" w:type="dxa"/>
            <w:gridSpan w:val="3"/>
            <w:vAlign w:val="center"/>
          </w:tcPr>
          <w:p>
            <w:pPr>
              <w:jc w:val="both"/>
              <w:rPr>
                <w:rFonts w:hint="eastAsia"/>
              </w:rPr>
            </w:pPr>
            <w:r>
              <w:rPr>
                <w:rFonts w:hint="eastAsia"/>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w:t>
            </w:r>
            <w:r>
              <w:rPr>
                <w:rFonts w:hint="eastAsia"/>
                <w:lang w:val="en-US" w:eastAsia="zh-CN"/>
              </w:rPr>
              <w:t>服务期限</w:t>
            </w:r>
            <w:r>
              <w:rPr>
                <w:rFonts w:hint="eastAsia"/>
              </w:rPr>
              <w:t>。</w:t>
            </w:r>
          </w:p>
        </w:tc>
      </w:tr>
    </w:tbl>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ind w:left="0" w:leftChars="0" w:firstLine="0" w:firstLineChars="0"/>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sz w:val="24"/>
          <w:szCs w:val="24"/>
        </w:rPr>
      </w:pPr>
    </w:p>
    <w:p>
      <w:pPr>
        <w:pStyle w:val="9"/>
        <w:jc w:val="both"/>
        <w:rPr>
          <w:rFonts w:hint="eastAsia" w:ascii="宋体" w:hAnsi="宋体" w:eastAsia="宋体" w:cs="宋体"/>
          <w:b/>
          <w:bCs/>
          <w:sz w:val="24"/>
          <w:szCs w:val="24"/>
        </w:rPr>
      </w:pPr>
      <w:r>
        <w:rPr>
          <w:rFonts w:hint="eastAsia" w:ascii="宋体" w:hAnsi="宋体" w:eastAsia="宋体" w:cs="宋体"/>
          <w:b/>
          <w:bCs/>
          <w:sz w:val="24"/>
          <w:szCs w:val="24"/>
        </w:rPr>
        <w:t>一、总则</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1.采购方式</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本项目采取竞争性磋商方式采购。</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2．合格的供应商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2.1符合《中华人民共和国政府采购法》第二十二条供应商参加政府采购活动应当具备的条件及其他有关法律、法规关于供应商的有关规定，有能力提供磋商采购服务的供应商。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2.2符合磋商文件第二章前附表关于供应商资格要求的规定。</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lang w:val="ru-RU"/>
        </w:rPr>
      </w:pPr>
      <w:r>
        <w:rPr>
          <w:rFonts w:hint="eastAsia" w:ascii="宋体" w:hAnsi="宋体" w:eastAsia="宋体" w:cs="宋体"/>
          <w:sz w:val="24"/>
          <w:szCs w:val="24"/>
        </w:rPr>
        <w:t>2.3供应商应遵守《政府采购法》、《</w:t>
      </w:r>
      <w:r>
        <w:rPr>
          <w:rFonts w:hint="eastAsia" w:ascii="宋体" w:hAnsi="宋体" w:eastAsia="宋体" w:cs="宋体"/>
          <w:sz w:val="24"/>
          <w:szCs w:val="24"/>
          <w:lang w:val="en-US" w:eastAsia="zh-CN"/>
        </w:rPr>
        <w:t>民法典</w:t>
      </w:r>
      <w:r>
        <w:rPr>
          <w:rFonts w:hint="eastAsia" w:ascii="宋体" w:hAnsi="宋体" w:eastAsia="宋体" w:cs="宋体"/>
          <w:sz w:val="24"/>
          <w:szCs w:val="24"/>
        </w:rPr>
        <w:t>》和《反不正当竞争法》等有关法律、法规及本竞争性磋商文件的规定，如有违反，将视为不合</w:t>
      </w:r>
      <w:r>
        <w:rPr>
          <w:rFonts w:hint="eastAsia" w:ascii="宋体" w:hAnsi="宋体" w:eastAsia="宋体" w:cs="宋体"/>
          <w:spacing w:val="-1"/>
          <w:sz w:val="24"/>
          <w:szCs w:val="24"/>
        </w:rPr>
        <w:t>格供应商，其响应文件无效。</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3.适用法律</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本次磋商及由本次磋商产生的合同受中华人民共和国的相关法律、法规制约和保护。</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4.磋商费用</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供应商应自行承担所有参加磋商有关的费用。</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5.竞争性磋商文件的约束力</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供应商报名参加本项目磋商，即被认为接受了本竞争性磋商文件中的所有条件和规定。</w:t>
      </w:r>
    </w:p>
    <w:p>
      <w:pPr>
        <w:keepNext w:val="0"/>
        <w:keepLines w:val="0"/>
        <w:pageBreakBefore w:val="0"/>
        <w:widowControl w:val="0"/>
        <w:kinsoku/>
        <w:wordWrap/>
        <w:overflowPunct/>
        <w:topLinePunct w:val="0"/>
        <w:bidi w:val="0"/>
        <w:adjustRightInd/>
        <w:snapToGrid/>
        <w:spacing w:line="360" w:lineRule="exact"/>
        <w:ind w:firstLine="482" w:firstLineChars="200"/>
        <w:jc w:val="left"/>
        <w:textAlignment w:val="auto"/>
        <w:outlineLvl w:val="1"/>
        <w:rPr>
          <w:rFonts w:hint="eastAsia" w:ascii="宋体" w:hAnsi="宋体" w:eastAsia="宋体" w:cs="宋体"/>
          <w:sz w:val="24"/>
          <w:szCs w:val="24"/>
        </w:rPr>
      </w:pPr>
      <w:r>
        <w:rPr>
          <w:rFonts w:hint="eastAsia" w:ascii="宋体" w:hAnsi="宋体" w:eastAsia="宋体" w:cs="宋体"/>
          <w:b/>
          <w:bCs/>
          <w:sz w:val="24"/>
          <w:szCs w:val="24"/>
        </w:rPr>
        <w:t>二、竞争性磋商文件</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1.竞争性磋商文件构成</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竞争性磋商公告；</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供应商须知；</w:t>
      </w:r>
    </w:p>
    <w:p>
      <w:pPr>
        <w:pStyle w:val="2"/>
        <w:rPr>
          <w:rFonts w:hint="eastAsia" w:eastAsia="宋体"/>
          <w:lang w:val="en-US" w:eastAsia="zh-CN"/>
        </w:rPr>
      </w:pPr>
      <w:r>
        <w:rPr>
          <w:rFonts w:hint="eastAsia" w:ascii="宋体" w:hAnsi="宋体" w:cs="宋体"/>
          <w:sz w:val="24"/>
          <w:szCs w:val="24"/>
          <w:lang w:val="en-US" w:eastAsia="zh-CN"/>
        </w:rPr>
        <w:t>评标办法</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合同条款（仅供参考）；</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实施方案及技术要求</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投标</w:t>
      </w:r>
      <w:r>
        <w:rPr>
          <w:rFonts w:hint="eastAsia" w:ascii="宋体" w:hAnsi="宋体" w:eastAsia="宋体" w:cs="宋体"/>
          <w:sz w:val="24"/>
          <w:szCs w:val="24"/>
        </w:rPr>
        <w:t>文件格式。</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2.竞争性磋商文件的澄清</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 任何要求对竞争性磋商文件进行澄清的供应商，均应在开标之前 5 个工作日前以书面形式通知</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r>
        <w:rPr>
          <w:rFonts w:hint="eastAsia" w:ascii="宋体" w:hAnsi="宋体" w:eastAsia="宋体" w:cs="宋体"/>
          <w:sz w:val="24"/>
          <w:szCs w:val="24"/>
          <w:lang w:eastAsia="zh-CN"/>
        </w:rPr>
        <w:t>采购代理机构</w:t>
      </w:r>
      <w:r>
        <w:rPr>
          <w:rFonts w:hint="eastAsia" w:ascii="宋体" w:hAnsi="宋体" w:eastAsia="宋体" w:cs="宋体"/>
          <w:sz w:val="24"/>
          <w:szCs w:val="24"/>
        </w:rPr>
        <w:t>负责联络采购人，并将以书面形式答复所有供应商，答复中包括所提问题，但不包括问题的来源。</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 竞争性磋商文件的澄清内容可能影响响应文件编制且澄清发出时间距响应文件递交截止时间不足 5 日的，为使供应商在准备响应文件时有合理的时间考虑竞争性磋商文件的澄清，采购人/采购代理机构可顺延响应文件递交截止时间。</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3.竞争性磋商文件的修改</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 在响应文件接收截止日期前，采购人可以更正公告或补充文件的形式对竞争性磋商文件进行修改。</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 竞争性磋商文件的修改将以书面形式通知所有已报名供应商，并对供应商具有约束力。供应商收到修改文件后，应于 1 个工作日内回复代理机构，逾期不回的，视同已收。</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3.3 采购人或者采购代理机构可以对已发出的竞争性磋商文件进行必要的澄清或者修改。澄清或者修改的内容可能影响响应文件编制的，采购人或者采购代理机构应当在响应文件递交截止时间至少 5 日前，以书面形式通知所有获取竞争性磋商文件的所有已经报名的供应商；不足 5 日的，采购人或者采购代理机构应当顺延提交响应文件的截止时间。</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 代理机构发出的所有补充、修改和变更文件均作为竞争性磋商文件的组成部分，与竞争性磋商文件具有同等法律效力。</w:t>
      </w:r>
    </w:p>
    <w:p>
      <w:pPr>
        <w:keepNext w:val="0"/>
        <w:keepLines w:val="0"/>
        <w:pageBreakBefore w:val="0"/>
        <w:widowControl w:val="0"/>
        <w:kinsoku/>
        <w:wordWrap/>
        <w:overflowPunct/>
        <w:topLinePunct w:val="0"/>
        <w:bidi w:val="0"/>
        <w:adjustRightInd/>
        <w:snapToGrid/>
        <w:spacing w:line="36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三、响应文件的编制</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1.响应文件的编制要求</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应仔细阅读“竞争性磋商文件”的所有内容，响应文件应用中文编写。响应文件的书面内容不得有加行、涂抹或改写。响应文件应当采用书面方式；采购人及采购代理机构不接受电报、电话、传真磋商。供应商应按“竞争性磋商文件”的要求编制“响应文件”，并保证所提供的全部资料的真实性、完整性及有效性，以使其对“竞争性磋商文件”作出实质性响应。否则，响应文件可能被拒绝。</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2.响应文件构成</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一、投标函；</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二、开标一览表；</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三、法定代表人身份证明书；</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四、供应商概况</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五、人员配备方案</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六、投标保证金凭证</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七、反商业贿赂承诺书</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八、企业信誉信息截图</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九、商务、技术偏差表</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十、厂家项目授权</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十一、服务需求响应</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十二、运维服务方案</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十三、合理化方案</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十四、维护保养服务</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十五、应急预案</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十六、整体服务解决方案</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十七、企业实力</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十八、中、小微企业声明函</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十九、供应商认为有必要提供的其他证明材料</w:t>
      </w:r>
    </w:p>
    <w:p>
      <w:pPr>
        <w:pStyle w:val="96"/>
        <w:keepNext w:val="0"/>
        <w:keepLines w:val="0"/>
        <w:pageBreakBefore w:val="0"/>
        <w:widowControl w:val="0"/>
        <w:kinsoku/>
        <w:wordWrap/>
        <w:overflowPunct/>
        <w:topLinePunct w:val="0"/>
        <w:autoSpaceDE w:val="0"/>
        <w:autoSpaceDN w:val="0"/>
        <w:bidi w:val="0"/>
        <w:adjustRightInd/>
        <w:snapToGrid/>
        <w:spacing w:before="0" w:after="0" w:line="360" w:lineRule="exact"/>
        <w:ind w:firstLine="472" w:firstLineChars="200"/>
        <w:jc w:val="left"/>
        <w:textAlignment w:val="auto"/>
        <w:rPr>
          <w:rFonts w:hint="eastAsia" w:ascii="宋体" w:hAnsi="宋体" w:eastAsia="宋体" w:cs="宋体"/>
          <w:sz w:val="24"/>
          <w:szCs w:val="24"/>
        </w:rPr>
      </w:pPr>
      <w:r>
        <w:rPr>
          <w:rFonts w:hint="eastAsia" w:ascii="宋体" w:hAnsi="宋体" w:eastAsia="宋体" w:cs="宋体"/>
          <w:spacing w:val="-2"/>
          <w:sz w:val="24"/>
          <w:szCs w:val="24"/>
          <w:lang w:val="en-US" w:eastAsia="zh-CN"/>
        </w:rPr>
        <w:t>其他相关资质证明材料（供应商可结合本项目的评标办法视自身情况自行提交相关证明材料。）</w:t>
      </w:r>
      <w:r>
        <w:rPr>
          <w:rFonts w:hint="eastAsia" w:ascii="宋体" w:hAnsi="宋体" w:eastAsia="宋体" w:cs="宋体"/>
          <w:sz w:val="24"/>
          <w:szCs w:val="24"/>
        </w:rPr>
        <w:t>注：供应商根据评审方法如有需要的其他资料自行添加，供应商需将响应文件按上述顺序装订成册。</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3.响应文件格式</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供应商需按照上述响应文件构成顺序编制响应文件，并按竞争性磋商文件中提供的格式填写磋商函、授权委托书、报价一览表等材料。</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4.代理服务费</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详见前附表。</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5.磋商保证金</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5.1 供应商需提交磋商保证金，并作为参与采购的组成部分之一。</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5.2 对于未按要求提交磋商保证金的，将被视为非响应性而予以拒绝。</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5.3 综合得分排名前三的成交候选人的磋商保证金于签订合同后 5 日内退还。</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5.4 其余未成交人的磋商保证金将在成交通知书签发后 5 个工作日内退还。</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5.5 成交供应商的磋商保证金，在成交供应商按规定签订合同并交纳代理服务费后退还。</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5.6 下列任何情况发生时，磋商保证金将被没收:</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（1）供应商在磋商有效期内撤回其响应文件的；</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（2）成交供应商未在规定期限内及时签订项目合同的；</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（3）其它违反政府采购法律法规的有关情况。</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6.磋商有效期</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 磋商有效期为竞争性磋商文件规定的供应商提交响应文件截止之日起 60 天。磋商有效期不满足竞争性磋商文件要求的将视为非响应性文件而予以拒绝。</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6.2 在特殊情况下，采购人于原磋商有效期满之前，可向供应商提出延长磋商有效期的要求，这种要求与答复均应采用书面形式（如信件、传真或电报等），供应商可以拒绝采购人的这一要求而放弃磋商，磋商保证金予以退回；同意延长的供应商既不能要求也不允许修改其响应文件。有关磋商保证金的没收和退还的规定在延长期内继续有效。</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rPr>
        <w:t>7.</w:t>
      </w:r>
      <w:r>
        <w:rPr>
          <w:rFonts w:hint="eastAsia" w:ascii="宋体" w:hAnsi="宋体" w:cs="宋体"/>
          <w:sz w:val="24"/>
          <w:szCs w:val="24"/>
          <w:lang w:val="en-US" w:eastAsia="zh-CN"/>
        </w:rPr>
        <w:t>投标文件的编制</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.1投标文件应按招标文件“投标文件格式”进行编写，如有必要，可以增加附页，作为投标文件的组成部分。其中，投标函在满足招标文件实质性要求的基础上，可以提出比招标文件要求更有利于招标人的承诺。</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.2 投标文件应当对招标文件有关供货计划、投标有效期、质量要求、技术标准和要求、招标范围等实质性内容做出响应。</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.3</w:t>
      </w:r>
      <w:r>
        <w:rPr>
          <w:rFonts w:hint="eastAsia" w:ascii="宋体" w:hAnsi="宋体" w:cs="宋体"/>
          <w:sz w:val="24"/>
          <w:szCs w:val="24"/>
          <w:lang w:val="en-US" w:eastAsia="zh-CN"/>
        </w:rPr>
        <w:t>投标单位</w:t>
      </w:r>
      <w:r>
        <w:rPr>
          <w:rFonts w:hint="eastAsia" w:ascii="宋体" w:hAnsi="宋体" w:eastAsia="宋体" w:cs="宋体"/>
          <w:sz w:val="24"/>
          <w:szCs w:val="24"/>
        </w:rPr>
        <w:t>须编制由本须知规定投标文件组成的</w:t>
      </w:r>
      <w:r>
        <w:rPr>
          <w:rFonts w:hint="eastAsia" w:ascii="宋体" w:hAnsi="宋体" w:eastAsia="宋体" w:cs="宋体"/>
          <w:sz w:val="24"/>
          <w:szCs w:val="24"/>
          <w:lang w:eastAsia="zh-CN"/>
        </w:rPr>
        <w:t>：</w:t>
      </w:r>
      <w:r>
        <w:rPr>
          <w:rFonts w:hint="eastAsia" w:ascii="宋体" w:hAnsi="宋体" w:eastAsia="宋体" w:cs="宋体"/>
          <w:sz w:val="24"/>
          <w:szCs w:val="24"/>
        </w:rPr>
        <w:t>电子版投标文件、开标一览表</w:t>
      </w:r>
      <w:r>
        <w:rPr>
          <w:rFonts w:hint="eastAsia" w:ascii="宋体" w:hAnsi="宋体" w:eastAsia="宋体" w:cs="宋体"/>
          <w:sz w:val="24"/>
          <w:szCs w:val="24"/>
          <w:lang w:val="en-US" w:eastAsia="zh-CN"/>
        </w:rPr>
        <w:t>等</w:t>
      </w:r>
      <w:r>
        <w:rPr>
          <w:rFonts w:hint="eastAsia" w:ascii="宋体" w:hAnsi="宋体" w:eastAsia="宋体" w:cs="宋体"/>
          <w:sz w:val="24"/>
          <w:szCs w:val="24"/>
        </w:rPr>
        <w:t>；份数详见投标须知附表，投标文件的正本应使用不能擦去的墨料或墨水打印、书写，必须采用A4幅面纸张（图页除外）进行胶装。副本与正本如有不一致的，则以正本为准。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lang w:eastAsia="zh-CN"/>
        </w:rPr>
      </w:pPr>
      <w:r>
        <w:rPr>
          <w:rFonts w:hint="eastAsia" w:ascii="宋体" w:hAnsi="宋体" w:cs="宋体"/>
          <w:sz w:val="24"/>
          <w:szCs w:val="24"/>
          <w:lang w:val="en-US" w:eastAsia="zh-CN"/>
        </w:rPr>
        <w:t>7</w:t>
      </w:r>
      <w:r>
        <w:rPr>
          <w:rFonts w:hint="eastAsia" w:ascii="宋体" w:hAnsi="宋体" w:eastAsia="宋体" w:cs="宋体"/>
          <w:sz w:val="24"/>
          <w:szCs w:val="24"/>
        </w:rPr>
        <w:t>.4</w:t>
      </w:r>
      <w:r>
        <w:rPr>
          <w:rFonts w:hint="eastAsia" w:ascii="宋体" w:hAnsi="宋体" w:eastAsia="宋体" w:cs="宋体"/>
          <w:sz w:val="24"/>
          <w:szCs w:val="24"/>
          <w:lang w:val="en-US" w:eastAsia="zh-CN"/>
        </w:rPr>
        <w:t>投标文件</w:t>
      </w:r>
      <w:r>
        <w:rPr>
          <w:rFonts w:hint="eastAsia" w:ascii="宋体" w:hAnsi="宋体" w:eastAsia="宋体" w:cs="宋体"/>
          <w:sz w:val="24"/>
          <w:szCs w:val="24"/>
        </w:rPr>
        <w:t>全部采用电子文档，除供应商须知前附表另有规定外，</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文件所附证件均为原件扫描件，并采用单位和个人数字证书，按</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在相应位置加盖电子印章。由供应商的法定代表人签字或加盖电子印章的，应附法定代表人身份证明，由代理人签字或加盖电子印章的，应附由法定代表人签署的授权委托书。否则，评标委员会应当否决其投标</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.5</w:t>
      </w:r>
      <w:r>
        <w:rPr>
          <w:rFonts w:hint="eastAsia" w:ascii="宋体" w:hAnsi="宋体" w:eastAsia="宋体" w:cs="宋体"/>
          <w:sz w:val="24"/>
          <w:szCs w:val="24"/>
          <w:lang w:val="en-US" w:eastAsia="zh-CN"/>
        </w:rPr>
        <w:t>中标后</w:t>
      </w:r>
      <w:r>
        <w:rPr>
          <w:rFonts w:hint="eastAsia" w:ascii="宋体" w:hAnsi="宋体" w:eastAsia="宋体" w:cs="宋体"/>
          <w:sz w:val="24"/>
          <w:szCs w:val="24"/>
        </w:rPr>
        <w:t>投标文件的全部副本应使用不能擦去的墨料或墨水打印、书写，也可以用正本的全套完整复印件（A4幅面，图页除外）并胶装，但副本封面的签字、盖章应与正本一致，不得采用正本的复印件，否则无效！</w:t>
      </w:r>
    </w:p>
    <w:p>
      <w:pPr>
        <w:keepNext w:val="0"/>
        <w:keepLines w:val="0"/>
        <w:pageBreakBefore w:val="0"/>
        <w:widowControl w:val="0"/>
        <w:kinsoku/>
        <w:wordWrap/>
        <w:overflowPunct/>
        <w:topLinePunct w:val="0"/>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bCs/>
          <w:sz w:val="24"/>
          <w:szCs w:val="24"/>
          <w:lang w:val="en-US" w:eastAsia="zh-CN"/>
        </w:rPr>
        <w:t>注：本项目为电子标，评审完成后，中标供应商需提供以上纸质版响应文件。</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.6全套投标文件应无涂改和行间插字，除非这些改动是根据招标代理机构的指示进行的，或者是为改正供应商造成的必须修改的错误而进行的。有改动时，修改处应由授权代表签署证明或加盖供应商</w:t>
      </w:r>
      <w:r>
        <w:rPr>
          <w:rFonts w:hint="eastAsia" w:ascii="宋体" w:hAnsi="宋体" w:cs="宋体"/>
          <w:sz w:val="24"/>
          <w:szCs w:val="24"/>
          <w:lang w:val="en-US" w:eastAsia="zh-CN"/>
        </w:rPr>
        <w:t>公</w:t>
      </w:r>
      <w:r>
        <w:rPr>
          <w:rFonts w:hint="eastAsia" w:ascii="宋体" w:hAnsi="宋体" w:eastAsia="宋体" w:cs="宋体"/>
          <w:sz w:val="24"/>
          <w:szCs w:val="24"/>
        </w:rPr>
        <w:t xml:space="preserve">章的。 </w:t>
      </w:r>
    </w:p>
    <w:p>
      <w:pPr>
        <w:keepNext w:val="0"/>
        <w:keepLines w:val="0"/>
        <w:pageBreakBefore w:val="0"/>
        <w:widowControl w:val="0"/>
        <w:kinsoku/>
        <w:wordWrap/>
        <w:overflowPunct/>
        <w:topLinePunct w:val="0"/>
        <w:bidi w:val="0"/>
        <w:adjustRightInd/>
        <w:snapToGrid/>
        <w:spacing w:line="360" w:lineRule="exact"/>
        <w:ind w:firstLine="482" w:firstLineChars="200"/>
        <w:jc w:val="left"/>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本项目为电子标，评审完成后，中标供应商需提供以上纸质版响应文件。</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7除非有另外的规定或许可，投标使用货币为：人民币。</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.8供应商应提交证明符合招标文件要求的技术文件，该文件可以是文字资料、图纸和数据等组成，并须提供货物</w:t>
      </w:r>
      <w:r>
        <w:rPr>
          <w:rFonts w:hint="eastAsia" w:ascii="宋体" w:hAnsi="宋体" w:eastAsia="宋体" w:cs="宋体"/>
          <w:sz w:val="24"/>
          <w:szCs w:val="24"/>
          <w:lang w:val="en-US" w:eastAsia="zh-CN"/>
        </w:rPr>
        <w:t>或服务</w:t>
      </w:r>
      <w:r>
        <w:rPr>
          <w:rFonts w:hint="eastAsia" w:ascii="宋体" w:hAnsi="宋体" w:eastAsia="宋体" w:cs="宋体"/>
          <w:sz w:val="24"/>
          <w:szCs w:val="24"/>
        </w:rPr>
        <w:t>主要技术性能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w:t>
      </w:r>
      <w:r>
        <w:rPr>
          <w:rFonts w:hint="eastAsia" w:ascii="宋体" w:hAnsi="宋体" w:eastAsia="宋体" w:cs="宋体"/>
          <w:sz w:val="24"/>
          <w:szCs w:val="24"/>
        </w:rPr>
        <w:t xml:space="preserve">的详细描述。 </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.9</w:t>
      </w:r>
      <w:r>
        <w:rPr>
          <w:rFonts w:hint="eastAsia" w:ascii="宋体" w:hAnsi="宋体" w:eastAsia="宋体" w:cs="宋体"/>
          <w:b/>
          <w:bCs/>
          <w:sz w:val="24"/>
          <w:szCs w:val="24"/>
        </w:rPr>
        <w:t>未按招标文件规定的内容编写的投标文件或投标文件字迹模糊不清的，无法辨认其价格、关键</w:t>
      </w:r>
      <w:r>
        <w:rPr>
          <w:rFonts w:hint="eastAsia" w:ascii="宋体" w:hAnsi="宋体" w:eastAsia="宋体" w:cs="宋体"/>
          <w:b/>
          <w:bCs/>
          <w:sz w:val="24"/>
          <w:szCs w:val="24"/>
          <w:lang w:val="en-US" w:eastAsia="zh-CN"/>
        </w:rPr>
        <w:t>内容</w:t>
      </w:r>
      <w:r>
        <w:rPr>
          <w:rFonts w:hint="eastAsia" w:ascii="宋体" w:hAnsi="宋体" w:eastAsia="宋体" w:cs="宋体"/>
          <w:b/>
          <w:bCs/>
          <w:sz w:val="24"/>
          <w:szCs w:val="24"/>
        </w:rPr>
        <w:t>或指标等的，其投标无效。</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.10所有资格证明文件复印件须“与原件一致”并加盖供电子印章。</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default" w:ascii="宋体" w:hAnsi="宋体" w:eastAsia="宋体" w:cs="宋体"/>
          <w:sz w:val="24"/>
          <w:szCs w:val="24"/>
          <w:lang w:val="en-US" w:eastAsia="zh-CN"/>
        </w:rPr>
      </w:pPr>
      <w:r>
        <w:rPr>
          <w:rFonts w:hint="eastAsia" w:ascii="宋体" w:hAnsi="宋体" w:eastAsia="宋体" w:cs="宋体"/>
          <w:sz w:val="24"/>
          <w:szCs w:val="24"/>
        </w:rPr>
        <w:t>8.</w:t>
      </w:r>
      <w:r>
        <w:rPr>
          <w:rFonts w:hint="eastAsia" w:ascii="宋体" w:hAnsi="宋体" w:cs="宋体"/>
          <w:sz w:val="24"/>
          <w:szCs w:val="24"/>
          <w:lang w:val="en-US" w:eastAsia="zh-CN"/>
        </w:rPr>
        <w:t>投标文件语言</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投标文件应用中文书写。投标文件中所附或所引用的原件不是中文时，应附中文译本。各种计量单位及符号应采用国际上统一使用的公制计量单位和符号。</w:t>
      </w:r>
    </w:p>
    <w:p>
      <w:pPr>
        <w:keepNext w:val="0"/>
        <w:keepLines w:val="0"/>
        <w:pageBreakBefore w:val="0"/>
        <w:widowControl w:val="0"/>
        <w:kinsoku/>
        <w:wordWrap/>
        <w:overflowPunct/>
        <w:topLinePunct w:val="0"/>
        <w:bidi w:val="0"/>
        <w:adjustRightInd/>
        <w:snapToGrid/>
        <w:spacing w:line="360" w:lineRule="exact"/>
        <w:ind w:firstLine="482" w:firstLineChars="200"/>
        <w:jc w:val="left"/>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四、响应文件的递交</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1.响应文件递交截止日期及方式</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 所有响应文件都必须在竞争性磋商文件规定的递交截止时间前送达指定磋商地址，采购人对误投或过早启封概不负责。</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 采购代理机构将在竞争性磋商文件规定的时间和地点组织磋商会议，供应商必须派法定代表人或其授权的委托人出席会议</w:t>
      </w:r>
      <w:r>
        <w:rPr>
          <w:rFonts w:hint="eastAsia" w:ascii="宋体" w:hAnsi="宋体" w:cs="宋体"/>
          <w:sz w:val="24"/>
          <w:szCs w:val="24"/>
          <w:lang w:eastAsia="zh-CN"/>
        </w:rPr>
        <w:t>（</w:t>
      </w:r>
      <w:r>
        <w:rPr>
          <w:rFonts w:hint="eastAsia" w:ascii="宋体" w:hAnsi="宋体" w:cs="宋体"/>
          <w:b/>
          <w:bCs/>
          <w:sz w:val="24"/>
          <w:szCs w:val="24"/>
          <w:lang w:val="en-US" w:eastAsia="zh-CN"/>
        </w:rPr>
        <w:t>本次工程为电子评标</w:t>
      </w:r>
      <w:r>
        <w:rPr>
          <w:rFonts w:hint="eastAsia" w:ascii="宋体" w:hAnsi="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 采购人可以通过修改竞争性磋商文件酌情延长响应文件接收截止日期，在此情况下，供应商的所有权利和义务以及供应商受制约的截止日期均应以延长后新的截止日期为准。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2.迟交的响应文件</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采购人将拒绝接收在规定的截止日期后递交的任何响应文件。</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3.响应文件的修改</w:t>
      </w:r>
    </w:p>
    <w:p>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供应商在递交响应文件截止时间之前，对所递交的响应文件可以补充、修改，补充、修改的内容为响应文件的组成部分，对供应商具有约束力。</w:t>
      </w:r>
    </w:p>
    <w:p>
      <w:pPr>
        <w:keepNext w:val="0"/>
        <w:keepLines w:val="0"/>
        <w:pageBreakBefore w:val="0"/>
        <w:widowControl w:val="0"/>
        <w:kinsoku/>
        <w:wordWrap/>
        <w:overflowPunct/>
        <w:topLinePunct w:val="0"/>
        <w:autoSpaceDE/>
        <w:autoSpaceDN/>
        <w:bidi w:val="0"/>
        <w:adjustRightInd w:val="0"/>
        <w:snapToGrid/>
        <w:spacing w:line="360" w:lineRule="exact"/>
        <w:ind w:firstLine="482" w:firstLineChars="200"/>
        <w:jc w:val="left"/>
        <w:textAlignment w:val="auto"/>
        <w:outlineLvl w:val="1"/>
        <w:rPr>
          <w:rFonts w:hint="eastAsia" w:ascii="宋体" w:hAnsi="宋体" w:eastAsia="宋体" w:cs="宋体"/>
          <w:sz w:val="24"/>
          <w:szCs w:val="24"/>
        </w:rPr>
      </w:pPr>
      <w:r>
        <w:rPr>
          <w:rFonts w:hint="eastAsia" w:ascii="宋体" w:hAnsi="宋体" w:eastAsia="宋体" w:cs="宋体"/>
          <w:b/>
          <w:bCs/>
          <w:sz w:val="24"/>
          <w:szCs w:val="24"/>
        </w:rPr>
        <w:t>五、无效响应、废标条款</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1.无效响应条款</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 供应商资格不符合竞争性磋商文件规定或未按规定提交资质证件的；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 供应商未在规定的时间内提交磋商保证金收据的；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 响应文件签署、盖章不符合竞争性磋商文件要求的；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 响应文件出现重大偏差；</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 被授权人不参加磋商仪式及质询事宜的；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 其它磋商小组认为有必要取消的响应文件；</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1.7 法律、法规规定的其他情况。</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2.废标条款</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 符合专业条件的供应商或者对竞争性磋商文件作实质响应的供应商不足三家；</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 出现影响采购公正的违法、违规行为的；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 供应商的报价均超过了采购预算，采购人不能支付的；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 因重大变故，采购任务取消的。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3.供应商不足三家情形处理</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如出现响应文件递交截止时间结束后参加的供应商不足三家的，采购人应当报告财政部门，按照以下原则处理：</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 有效供应商不足三家的，除采购任务取消外，可废标后重新组织采购。</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 响应文件存在不合理条款的，采购公告时间及程序不符合规定的，应予以废标。</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4.取消成交供应商资格条款</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4.1 提供虚假材料谋取成交的；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4.2 采取不正当手段诋毁、排挤其他供应商的；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4.3 与采购人、其他供应商或者采购代理机构恶意串通的；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4.4 向采购人、采购代理机构行贿或者提供其他不正当利益的；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4.5 在规定的时间内未与采购人签订采购合同的；</w:t>
      </w:r>
    </w:p>
    <w:p>
      <w:pPr>
        <w:keepNext w:val="0"/>
        <w:keepLines w:val="0"/>
        <w:pageBreakBefore w:val="0"/>
        <w:widowControl w:val="0"/>
        <w:kinsoku/>
        <w:wordWrap/>
        <w:overflowPunct/>
        <w:topLinePunct w:val="0"/>
        <w:bidi w:val="0"/>
        <w:adjustRightInd/>
        <w:snapToGrid/>
        <w:spacing w:line="3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4.6 法律、法规规定的其他情况。</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六、磋商</w:t>
      </w:r>
    </w:p>
    <w:p>
      <w:pPr>
        <w:ind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1. 磋商程序</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 采购人按竞争性磋商文件规定的时间、地点组织磋商。采购人代表及有关工作人员参加，政府采购监管部门视情况参与。</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1.2 供应商应委派法定代表人或授权委托人参加磋商活动，参加磋商的人员须持本人身份证原件签名报到，授权代表还需提供法人授权委托书。</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1.3 递交响应文件时间截止后，采购代理机构或采购人查询磋商保证金的到帐情况。未按规定递交磋商保证金的，原封退回其响应文件资料。</w:t>
      </w:r>
    </w:p>
    <w:p>
      <w:pPr>
        <w:ind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2.磋商小组</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磋商小组有关技术、经济等方面的专家和采购人熟悉相关业务的代表人员组成，成员为三人以上的单数，其中技术、经济等方面的成员人数不少于成员总数的三分之二。负责对响应文件进行审查、质询、评审、推选成交候选人。</w:t>
      </w:r>
    </w:p>
    <w:p>
      <w:pPr>
        <w:ind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3.评审原则</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“公开、公平、公正、客观、择优”为评审的基本原则，磋商小组将根据这一原则，公正、平等地对待各供应商。</w:t>
      </w:r>
    </w:p>
    <w:p>
      <w:pPr>
        <w:ind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4.评审程序</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4.1 磋商会议由磋商小组组长主持。磋商小组首先对各响应文件进行初步审查，初步审查包括资格性审查和符合性审查，未通过审查的为无效响应。⑴资格性检查：磋商小组将根据法律法规和竞争性磋商文件的规定，对响应文件的资格证明文件、磋商保证金等进行审查，以确定供应商是否具备磋商资格。</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⑵符合性检查：依据竞争性磋商文件的规定，从响应文件的有效性、完整性和对竞争性磋商文件的响应程度进行审查，以确定是否对竞争性磋商文件的要求做出了实质性的响应，存在重大偏离的响应文件为不响应。所谓重大偏离是指供应商响应文件中所述货物质量、技术、规格、数量等和服务明显不能满足竞争性磋商文件要求。重大偏离的认定须经磋商小组三分之二以上组员同意。</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4.2 磋商小组判断“响应文件”的响应性，仅基于“响应文件”本身而不靠外部证据。对非实质性响应的响应文件，供应商不能通过修正或撤销不符之处，而使其成为实质性响应。</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4.3磋商小组根据竞争性磋商文件要求，讨论、通过磋商工作流程和磋商要点。</w:t>
      </w:r>
    </w:p>
    <w:p>
      <w:pPr>
        <w:ind w:firstLine="480" w:firstLineChars="200"/>
        <w:jc w:val="both"/>
        <w:outlineLvl w:val="3"/>
        <w:rPr>
          <w:rFonts w:hint="eastAsia" w:ascii="宋体" w:hAnsi="宋体" w:eastAsia="宋体" w:cs="宋体"/>
          <w:sz w:val="24"/>
          <w:szCs w:val="24"/>
        </w:rPr>
      </w:pPr>
      <w:r>
        <w:rPr>
          <w:rFonts w:hint="eastAsia" w:ascii="宋体" w:hAnsi="宋体" w:eastAsia="宋体" w:cs="宋体"/>
          <w:sz w:val="24"/>
          <w:szCs w:val="24"/>
        </w:rPr>
        <w:t>4.4采购人按照报名顺序对有效供应商依次磋商。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4.5围绕采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购要点，磋商小组全体成员对有效供应商递交的响应文件分别进行磋商。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4.6磋商过程出现异议的，由磋商小组共同商讨决定，需要供应商澄清的，磋商小组将以书面形式通知供应商。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4.7磋商小组认为供应商磋商价或某些分项报价明显不合理或低于成本，有可能影响商品质量和不能诚信履约的，可要求其提供书面文件及相关证明材料解释说明；否则，可取消其磋商资格。为保证本项目产品质量、良好的售后服务，最低报价不作为成交的唯一依据。</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4.8磋商及最后报价</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磋商小组所有成员应当集中与单一供应商分别进行磋商，并给予所有参加磋商的供应商平等的磋商机会。在磋商过程中，磋商小组可以根据磋商文件和磋商情况实质性变动采购需求中的服务、商务需求以及合同草案条款，但不得变动磋商文件中的其他内容。实质性变动的内容，须经采购人代表确认。对磋商文件作出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结束后，磋商小组将要求所有有效供应商在规定时间内提交二次报价（最后报价）及服务承诺。磋商小组发现供应商的报价明显低于其他报价，使得其报价可能低于其个别成本的，应当要求该供应商做出书面说明并提供相应的证明材料。供应商不能合理说明或者不能提供相应证明材料的，磋商小组应当认定该供应商以低于成本报价磋商，并否决其报价。</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5.成交供应商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5.1磋商小组统一签署项目评审报告，并按最大程度满足竞争性磋商文件各项综合评价标准为成交供应商的原则，推荐成交候选人。得分相同的，以报价低的成交供应商优先。</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6.磋商过程保密</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在磋商过程中和磋商结束后，凡属于审查、澄清、评价、比较竞争性磋商文件等有关信息，磋商小组的研究情况和所有供应商的商业秘密都属于保密内容相关当事人均不得泄露给任何供应商或与磋商工作无关的人员。</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6.2供应商不得探听上述信息，不得以任何行为影响磋商过程，否则其响应文件将被作为无效响应</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6.3在磋商期间，采购人有专门工作人员与供应商进行联络。</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6.4采购人和磋商小组不向未成交的供应商解释未成交原因，也不对磋商过程中的细节问题进行公布。</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7.供应商有下列情形之一的，视为无效响应。</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7.1响应文件所投标段中的应标范围小于本文件对应标段要求的采购范围；</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7.2响应文件与事实不符的；</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7.3经磋商小组一致认定为重大偏离的；</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7.4不符合本文件中规定的其他实质性要求的；</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7.5不符合法律、法规有关规定的。</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8.出现下列情形之一的，本项目作废标处理，除采购任务取消外，重新组织采购。</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8.1本文件存在不合理条款，公告时间及程序不符合规定的；</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8.2出现影响采购公正的违法、违规行为的；</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8.3因重大变故，采购任务取消的。非以上情形导致项目被废标的，经政府采购管理部门同意，所有评委和监督人签字认可，可书面通知供应商当场改作竞争性谈判或单一来源方式采购。</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9.磋商办法</w:t>
      </w:r>
    </w:p>
    <w:p>
      <w:pPr>
        <w:keepNext w:val="0"/>
        <w:keepLines w:val="0"/>
        <w:pageBreakBefore w:val="0"/>
        <w:widowControl w:val="0"/>
        <w:kinsoku/>
        <w:wordWrap/>
        <w:overflowPunct/>
        <w:topLinePunct w:val="0"/>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磋商的评审方法采用综合评分法，即在满足竞争性磋商文件实质性要求前提下，按照竞争性磋商文件中规定的各项评审标准进行综合评审。磋商小组严格按照竞争性磋商文件的要求、条件及供应商所作的实质性响应内容，对供应商的响应文件进行综合打分。供应商的得分为各评委所给分数的平均分。计算结果在小数点后均保留两位小数，后余位数四舍五入计。并以综合评分法进行评估，总分值为100分。</w:t>
      </w: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rPr>
          <w:rFonts w:hint="eastAsia"/>
        </w:rPr>
      </w:pPr>
    </w:p>
    <w:p>
      <w:pPr>
        <w:spacing w:line="340" w:lineRule="exact"/>
        <w:rPr>
          <w:rFonts w:hint="eastAsia" w:ascii="宋体" w:hAnsi="宋体" w:cs="宋体"/>
          <w:b/>
          <w:bCs/>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b/>
          <w:bCs/>
          <w:sz w:val="24"/>
        </w:rPr>
        <w:t>初步审查表</w:t>
      </w:r>
    </w:p>
    <w:p>
      <w:pPr>
        <w:ind w:firstLine="840" w:firstLineChars="400"/>
        <w:rPr>
          <w:rFonts w:hint="eastAsia" w:ascii="宋体" w:hAnsi="宋体" w:cs="宋体"/>
          <w:sz w:val="24"/>
        </w:rPr>
      </w:pPr>
      <w:r>
        <w:rPr>
          <w:rFonts w:hint="eastAsia" w:ascii="宋体" w:hAnsi="宋体" w:eastAsia="宋体" w:cs="宋体"/>
          <w:color w:val="auto"/>
          <w:kern w:val="0"/>
          <w:szCs w:val="21"/>
          <w:highlight w:val="none"/>
        </w:rPr>
        <w:t>资格性检查：依据法律法规和招标文件的规定，在对投标文件详细评估之前，评标委员会将依据供应商提交的投标文件按供应商须知前附表所述的资格标准对供应商进行资格审查（详见附表），以确定其是否具备投标资格。</w:t>
      </w:r>
      <w:r>
        <w:rPr>
          <w:rFonts w:hint="eastAsia" w:ascii="宋体" w:hAnsi="宋体" w:eastAsia="宋体" w:cs="宋体"/>
          <w:b/>
          <w:color w:val="auto"/>
          <w:kern w:val="0"/>
          <w:szCs w:val="21"/>
          <w:highlight w:val="none"/>
        </w:rPr>
        <w:t>如果供应商不具备投标资格，不满足招标文件所规定的资格标准或提供资格证明文件不全的，其投标无效。</w:t>
      </w:r>
    </w:p>
    <w:p>
      <w:pPr>
        <w:spacing w:line="340" w:lineRule="exact"/>
        <w:jc w:val="left"/>
        <w:rPr>
          <w:rFonts w:hint="eastAsia" w:ascii="宋体" w:hAnsi="宋体" w:cs="宋体"/>
          <w:sz w:val="24"/>
        </w:rPr>
      </w:pPr>
      <w:r>
        <w:rPr>
          <w:rFonts w:hint="eastAsia" w:ascii="宋体" w:hAnsi="宋体" w:cs="宋体"/>
          <w:sz w:val="24"/>
        </w:rPr>
        <w:t>1.资格性审查</w:t>
      </w:r>
    </w:p>
    <w:tbl>
      <w:tblPr>
        <w:tblStyle w:val="3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cs="宋体"/>
                <w:sz w:val="24"/>
              </w:rPr>
              <w:t>评审内容</w:t>
            </w:r>
          </w:p>
        </w:tc>
        <w:tc>
          <w:tcPr>
            <w:tcW w:w="2791" w:type="dxa"/>
            <w:gridSpan w:val="4"/>
            <w:tcBorders>
              <w:top w:val="single" w:color="auto" w:sz="12" w:space="0"/>
              <w:left w:val="single" w:color="auto" w:sz="4" w:space="0"/>
              <w:bottom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cs="宋体"/>
                <w:sz w:val="24"/>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noWrap w:val="0"/>
            <w:vAlign w:val="top"/>
          </w:tcPr>
          <w:p>
            <w:pPr>
              <w:spacing w:line="340" w:lineRule="exact"/>
              <w:jc w:val="left"/>
              <w:rPr>
                <w:rFonts w:hint="eastAsia" w:ascii="宋体" w:hAnsi="宋体" w:cs="宋体"/>
                <w:sz w:val="24"/>
              </w:rPr>
            </w:pPr>
          </w:p>
        </w:tc>
        <w:tc>
          <w:tcPr>
            <w:tcW w:w="778" w:type="dxa"/>
            <w:tcBorders>
              <w:top w:val="single" w:color="auto" w:sz="4" w:space="0"/>
              <w:left w:val="single" w:color="auto" w:sz="4" w:space="0"/>
              <w:right w:val="single" w:color="auto" w:sz="4" w:space="0"/>
            </w:tcBorders>
            <w:noWrap w:val="0"/>
            <w:vAlign w:val="top"/>
          </w:tcPr>
          <w:p>
            <w:pPr>
              <w:spacing w:line="340" w:lineRule="exact"/>
              <w:jc w:val="left"/>
              <w:rPr>
                <w:rFonts w:hint="eastAsia" w:ascii="宋体" w:hAnsi="宋体" w:cs="宋体"/>
                <w:sz w:val="24"/>
              </w:rPr>
            </w:pPr>
            <w:r>
              <w:rPr>
                <w:rFonts w:hint="eastAsia" w:ascii="宋体" w:hAnsi="宋体" w:cs="宋体"/>
                <w:sz w:val="24"/>
              </w:rPr>
              <w:t>1</w:t>
            </w:r>
          </w:p>
        </w:tc>
        <w:tc>
          <w:tcPr>
            <w:tcW w:w="778" w:type="dxa"/>
            <w:tcBorders>
              <w:top w:val="single" w:color="auto" w:sz="4" w:space="0"/>
              <w:left w:val="single" w:color="auto" w:sz="4" w:space="0"/>
            </w:tcBorders>
            <w:noWrap w:val="0"/>
            <w:vAlign w:val="top"/>
          </w:tcPr>
          <w:p>
            <w:pPr>
              <w:spacing w:line="340" w:lineRule="exact"/>
              <w:jc w:val="left"/>
              <w:rPr>
                <w:rFonts w:hint="eastAsia" w:ascii="宋体" w:hAnsi="宋体" w:cs="宋体"/>
                <w:sz w:val="24"/>
              </w:rPr>
            </w:pPr>
            <w:r>
              <w:rPr>
                <w:rFonts w:hint="eastAsia" w:ascii="宋体" w:hAnsi="宋体" w:cs="宋体"/>
                <w:sz w:val="24"/>
              </w:rPr>
              <w:t>2</w:t>
            </w:r>
          </w:p>
        </w:tc>
        <w:tc>
          <w:tcPr>
            <w:tcW w:w="778" w:type="dxa"/>
            <w:noWrap w:val="0"/>
            <w:vAlign w:val="center"/>
          </w:tcPr>
          <w:p>
            <w:pPr>
              <w:spacing w:line="340" w:lineRule="exact"/>
              <w:jc w:val="left"/>
              <w:rPr>
                <w:rFonts w:hint="eastAsia" w:ascii="宋体" w:hAnsi="宋体" w:cs="宋体"/>
                <w:sz w:val="24"/>
              </w:rPr>
            </w:pPr>
            <w:r>
              <w:rPr>
                <w:rFonts w:hint="eastAsia" w:ascii="宋体" w:hAnsi="宋体" w:cs="宋体"/>
                <w:sz w:val="24"/>
              </w:rPr>
              <w:t>3</w:t>
            </w:r>
          </w:p>
        </w:tc>
        <w:tc>
          <w:tcPr>
            <w:tcW w:w="457" w:type="dxa"/>
            <w:noWrap w:val="0"/>
            <w:vAlign w:val="center"/>
          </w:tcPr>
          <w:p>
            <w:pPr>
              <w:spacing w:line="340" w:lineRule="exact"/>
              <w:jc w:val="left"/>
              <w:rPr>
                <w:rFonts w:hint="eastAsia" w:ascii="宋体" w:hAnsi="宋体" w:cs="宋体"/>
                <w:sz w:val="24"/>
              </w:rPr>
            </w:pP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dxa"/>
            <w:noWrap w:val="0"/>
            <w:vAlign w:val="center"/>
          </w:tcPr>
          <w:p>
            <w:pPr>
              <w:spacing w:line="340" w:lineRule="exact"/>
              <w:jc w:val="left"/>
              <w:rPr>
                <w:rFonts w:hint="eastAsia" w:ascii="宋体" w:hAnsi="宋体" w:cs="宋体"/>
                <w:sz w:val="24"/>
              </w:rPr>
            </w:pPr>
            <w:r>
              <w:rPr>
                <w:rFonts w:hint="eastAsia" w:ascii="宋体" w:hAnsi="宋体" w:cs="宋体"/>
                <w:sz w:val="24"/>
              </w:rPr>
              <w:t>1</w:t>
            </w:r>
          </w:p>
        </w:tc>
        <w:tc>
          <w:tcPr>
            <w:tcW w:w="6415" w:type="dxa"/>
            <w:tcBorders>
              <w:right w:val="single" w:color="auto" w:sz="4" w:space="0"/>
            </w:tcBorders>
            <w:noWrap w:val="0"/>
            <w:vAlign w:val="center"/>
          </w:tcPr>
          <w:p>
            <w:pPr>
              <w:spacing w:line="340" w:lineRule="exact"/>
              <w:jc w:val="left"/>
              <w:rPr>
                <w:rFonts w:hint="eastAsia" w:ascii="宋体" w:hAnsi="宋体" w:eastAsia="宋体" w:cs="宋体"/>
                <w:sz w:val="24"/>
                <w:lang w:eastAsia="zh-CN"/>
              </w:rPr>
            </w:pPr>
            <w:r>
              <w:rPr>
                <w:rFonts w:hint="eastAsia" w:ascii="宋体" w:hAnsi="宋体" w:cs="宋体"/>
                <w:sz w:val="24"/>
              </w:rPr>
              <w:t>满足《中华人民共和国政府采购法》第二十二条规定</w:t>
            </w:r>
            <w:r>
              <w:rPr>
                <w:rFonts w:hint="eastAsia" w:ascii="宋体" w:hAnsi="宋体" w:cs="宋体"/>
                <w:sz w:val="24"/>
                <w:lang w:eastAsia="zh-CN"/>
              </w:rPr>
              <w:t>；</w:t>
            </w:r>
          </w:p>
        </w:tc>
        <w:tc>
          <w:tcPr>
            <w:tcW w:w="778"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778" w:type="dxa"/>
            <w:tcBorders>
              <w:left w:val="single" w:color="auto" w:sz="4" w:space="0"/>
            </w:tcBorders>
            <w:noWrap w:val="0"/>
            <w:vAlign w:val="center"/>
          </w:tcPr>
          <w:p>
            <w:pPr>
              <w:spacing w:line="340" w:lineRule="exact"/>
              <w:jc w:val="left"/>
              <w:rPr>
                <w:rFonts w:hint="eastAsia" w:ascii="宋体" w:hAnsi="宋体" w:cs="宋体"/>
                <w:sz w:val="24"/>
              </w:rPr>
            </w:pPr>
          </w:p>
        </w:tc>
        <w:tc>
          <w:tcPr>
            <w:tcW w:w="778" w:type="dxa"/>
            <w:tcBorders>
              <w:right w:val="single" w:color="auto" w:sz="4" w:space="0"/>
            </w:tcBorders>
            <w:noWrap w:val="0"/>
            <w:vAlign w:val="top"/>
          </w:tcPr>
          <w:p>
            <w:pPr>
              <w:spacing w:line="340" w:lineRule="exact"/>
              <w:jc w:val="left"/>
              <w:rPr>
                <w:rFonts w:hint="eastAsia" w:ascii="宋体" w:hAnsi="宋体" w:cs="宋体"/>
                <w:sz w:val="24"/>
              </w:rPr>
            </w:pPr>
          </w:p>
        </w:tc>
        <w:tc>
          <w:tcPr>
            <w:tcW w:w="45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dxa"/>
            <w:noWrap w:val="0"/>
            <w:vAlign w:val="center"/>
          </w:tcPr>
          <w:p>
            <w:pPr>
              <w:spacing w:line="340" w:lineRule="exact"/>
              <w:jc w:val="left"/>
              <w:rPr>
                <w:rFonts w:hint="eastAsia" w:ascii="宋体" w:hAnsi="宋体" w:eastAsia="宋体" w:cs="宋体"/>
                <w:sz w:val="24"/>
                <w:lang w:val="en-US" w:eastAsia="zh-CN"/>
              </w:rPr>
            </w:pPr>
            <w:r>
              <w:rPr>
                <w:rFonts w:hint="eastAsia" w:ascii="宋体" w:hAnsi="宋体" w:cs="宋体"/>
                <w:sz w:val="24"/>
                <w:lang w:val="en-US" w:eastAsia="zh-CN"/>
              </w:rPr>
              <w:t>2</w:t>
            </w:r>
          </w:p>
        </w:tc>
        <w:tc>
          <w:tcPr>
            <w:tcW w:w="6415" w:type="dxa"/>
            <w:tcBorders>
              <w:right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cs="宋体"/>
                <w:sz w:val="24"/>
                <w:lang w:val="en-US" w:eastAsia="zh-CN"/>
              </w:rPr>
              <w:t>提供有效的营业执照原件扫描件</w:t>
            </w:r>
            <w:r>
              <w:rPr>
                <w:rFonts w:hint="eastAsia" w:ascii="宋体" w:hAnsi="宋体" w:cs="宋体"/>
                <w:sz w:val="24"/>
              </w:rPr>
              <w:t>;</w:t>
            </w:r>
          </w:p>
        </w:tc>
        <w:tc>
          <w:tcPr>
            <w:tcW w:w="778"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778" w:type="dxa"/>
            <w:tcBorders>
              <w:left w:val="single" w:color="auto" w:sz="4" w:space="0"/>
            </w:tcBorders>
            <w:noWrap w:val="0"/>
            <w:vAlign w:val="center"/>
          </w:tcPr>
          <w:p>
            <w:pPr>
              <w:spacing w:line="340" w:lineRule="exact"/>
              <w:jc w:val="left"/>
              <w:rPr>
                <w:rFonts w:hint="eastAsia" w:ascii="宋体" w:hAnsi="宋体" w:cs="宋体"/>
                <w:sz w:val="24"/>
              </w:rPr>
            </w:pPr>
          </w:p>
        </w:tc>
        <w:tc>
          <w:tcPr>
            <w:tcW w:w="778" w:type="dxa"/>
            <w:tcBorders>
              <w:right w:val="single" w:color="auto" w:sz="4" w:space="0"/>
            </w:tcBorders>
            <w:noWrap w:val="0"/>
            <w:vAlign w:val="top"/>
          </w:tcPr>
          <w:p>
            <w:pPr>
              <w:spacing w:line="340" w:lineRule="exact"/>
              <w:jc w:val="left"/>
              <w:rPr>
                <w:rFonts w:hint="eastAsia" w:ascii="宋体" w:hAnsi="宋体" w:cs="宋体"/>
                <w:sz w:val="24"/>
              </w:rPr>
            </w:pPr>
          </w:p>
        </w:tc>
        <w:tc>
          <w:tcPr>
            <w:tcW w:w="45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pPr>
              <w:spacing w:line="340" w:lineRule="exact"/>
              <w:jc w:val="left"/>
              <w:rPr>
                <w:rFonts w:hint="eastAsia" w:ascii="宋体" w:hAnsi="宋体" w:eastAsia="宋体" w:cs="宋体"/>
                <w:sz w:val="24"/>
                <w:lang w:eastAsia="zh-CN"/>
              </w:rPr>
            </w:pPr>
            <w:r>
              <w:rPr>
                <w:rFonts w:hint="eastAsia" w:ascii="宋体" w:hAnsi="宋体" w:cs="宋体"/>
                <w:sz w:val="24"/>
                <w:lang w:val="en-US" w:eastAsia="zh-CN"/>
              </w:rPr>
              <w:t>3</w:t>
            </w:r>
          </w:p>
        </w:tc>
        <w:tc>
          <w:tcPr>
            <w:tcW w:w="6415" w:type="dxa"/>
            <w:tcBorders>
              <w:right w:val="single" w:color="auto" w:sz="4" w:space="0"/>
            </w:tcBorders>
            <w:noWrap w:val="0"/>
            <w:vAlign w:val="center"/>
          </w:tcPr>
          <w:p>
            <w:pPr>
              <w:spacing w:line="340" w:lineRule="exact"/>
              <w:jc w:val="left"/>
              <w:rPr>
                <w:rFonts w:hint="eastAsia" w:ascii="宋体" w:hAnsi="宋体" w:eastAsia="宋体" w:cs="宋体"/>
                <w:sz w:val="24"/>
                <w:lang w:eastAsia="zh-CN"/>
              </w:rPr>
            </w:pPr>
            <w:r>
              <w:rPr>
                <w:rFonts w:hint="eastAsia" w:ascii="宋体" w:hAnsi="宋体" w:cs="宋体"/>
                <w:sz w:val="24"/>
              </w:rPr>
              <w:t>是否未被“信用中国”（www.creditchina.gov.cn）、中国政府采购网（www.ccgp.gov.cn）列入失信被执行人、重大税收违法案件当事人名单、政府采购严重违法失信行为记录名单</w:t>
            </w:r>
            <w:r>
              <w:rPr>
                <w:rFonts w:hint="eastAsia" w:ascii="宋体" w:hAnsi="宋体" w:cs="宋体"/>
                <w:sz w:val="24"/>
                <w:lang w:eastAsia="zh-CN"/>
              </w:rPr>
              <w:t>（</w:t>
            </w:r>
            <w:r>
              <w:rPr>
                <w:rFonts w:hint="eastAsia" w:ascii="宋体" w:hAnsi="宋体" w:cs="宋体"/>
                <w:sz w:val="24"/>
                <w:szCs w:val="24"/>
                <w:lang w:eastAsia="zh-CN"/>
              </w:rPr>
              <w:t>查询时间：开标前10天内的</w:t>
            </w:r>
            <w:r>
              <w:rPr>
                <w:rFonts w:hint="eastAsia" w:ascii="宋体" w:hAnsi="宋体" w:cs="宋体"/>
                <w:sz w:val="24"/>
                <w:lang w:eastAsia="zh-CN"/>
              </w:rPr>
              <w:t>）</w:t>
            </w:r>
          </w:p>
        </w:tc>
        <w:tc>
          <w:tcPr>
            <w:tcW w:w="778"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778" w:type="dxa"/>
            <w:tcBorders>
              <w:left w:val="single" w:color="auto" w:sz="4" w:space="0"/>
            </w:tcBorders>
            <w:noWrap w:val="0"/>
            <w:vAlign w:val="center"/>
          </w:tcPr>
          <w:p>
            <w:pPr>
              <w:spacing w:line="340" w:lineRule="exact"/>
              <w:jc w:val="left"/>
              <w:rPr>
                <w:rFonts w:hint="eastAsia" w:ascii="宋体" w:hAnsi="宋体" w:cs="宋体"/>
                <w:sz w:val="24"/>
              </w:rPr>
            </w:pPr>
          </w:p>
        </w:tc>
        <w:tc>
          <w:tcPr>
            <w:tcW w:w="778" w:type="dxa"/>
            <w:tcBorders>
              <w:right w:val="single" w:color="auto" w:sz="4" w:space="0"/>
            </w:tcBorders>
            <w:noWrap w:val="0"/>
            <w:vAlign w:val="top"/>
          </w:tcPr>
          <w:p>
            <w:pPr>
              <w:spacing w:line="340" w:lineRule="exact"/>
              <w:jc w:val="left"/>
              <w:rPr>
                <w:rFonts w:hint="eastAsia" w:ascii="宋体" w:hAnsi="宋体" w:cs="宋体"/>
                <w:sz w:val="24"/>
              </w:rPr>
            </w:pPr>
          </w:p>
        </w:tc>
        <w:tc>
          <w:tcPr>
            <w:tcW w:w="45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pPr>
              <w:spacing w:line="340" w:lineRule="exact"/>
              <w:jc w:val="left"/>
              <w:rPr>
                <w:rFonts w:hint="eastAsia" w:ascii="宋体" w:hAnsi="宋体" w:eastAsia="宋体" w:cs="宋体"/>
                <w:sz w:val="24"/>
                <w:lang w:val="en-US" w:eastAsia="zh-CN"/>
              </w:rPr>
            </w:pPr>
            <w:r>
              <w:rPr>
                <w:rFonts w:hint="eastAsia" w:ascii="宋体" w:hAnsi="宋体" w:cs="宋体"/>
                <w:sz w:val="24"/>
                <w:lang w:val="en-US" w:eastAsia="zh-CN"/>
              </w:rPr>
              <w:t>4</w:t>
            </w:r>
          </w:p>
        </w:tc>
        <w:tc>
          <w:tcPr>
            <w:tcW w:w="6415" w:type="dxa"/>
            <w:tcBorders>
              <w:right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cs="宋体"/>
                <w:sz w:val="24"/>
              </w:rPr>
              <w:t>是否提供按规定时间、金额且投标单位基本户转入投标保证金缴纳凭证</w:t>
            </w:r>
          </w:p>
        </w:tc>
        <w:tc>
          <w:tcPr>
            <w:tcW w:w="778"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778" w:type="dxa"/>
            <w:tcBorders>
              <w:left w:val="single" w:color="auto" w:sz="4" w:space="0"/>
            </w:tcBorders>
            <w:noWrap w:val="0"/>
            <w:vAlign w:val="center"/>
          </w:tcPr>
          <w:p>
            <w:pPr>
              <w:spacing w:line="340" w:lineRule="exact"/>
              <w:jc w:val="left"/>
              <w:rPr>
                <w:rFonts w:hint="eastAsia" w:ascii="宋体" w:hAnsi="宋体" w:cs="宋体"/>
                <w:sz w:val="24"/>
              </w:rPr>
            </w:pPr>
          </w:p>
        </w:tc>
        <w:tc>
          <w:tcPr>
            <w:tcW w:w="778" w:type="dxa"/>
            <w:tcBorders>
              <w:right w:val="single" w:color="auto" w:sz="4" w:space="0"/>
            </w:tcBorders>
            <w:noWrap w:val="0"/>
            <w:vAlign w:val="top"/>
          </w:tcPr>
          <w:p>
            <w:pPr>
              <w:spacing w:line="340" w:lineRule="exact"/>
              <w:jc w:val="left"/>
              <w:rPr>
                <w:rFonts w:hint="eastAsia" w:ascii="宋体" w:hAnsi="宋体" w:cs="宋体"/>
                <w:sz w:val="24"/>
              </w:rPr>
            </w:pPr>
          </w:p>
        </w:tc>
        <w:tc>
          <w:tcPr>
            <w:tcW w:w="45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pPr>
              <w:spacing w:line="340" w:lineRule="exact"/>
              <w:jc w:val="left"/>
              <w:rPr>
                <w:rFonts w:hint="default" w:ascii="宋体" w:hAnsi="宋体" w:eastAsia="宋体" w:cs="宋体"/>
                <w:sz w:val="24"/>
                <w:lang w:val="en-US" w:eastAsia="zh-CN"/>
              </w:rPr>
            </w:pPr>
            <w:r>
              <w:rPr>
                <w:rFonts w:hint="eastAsia" w:ascii="宋体" w:hAnsi="宋体" w:cs="宋体"/>
                <w:sz w:val="24"/>
                <w:lang w:val="en-US" w:eastAsia="zh-CN"/>
              </w:rPr>
              <w:t>5</w:t>
            </w:r>
          </w:p>
        </w:tc>
        <w:tc>
          <w:tcPr>
            <w:tcW w:w="6415" w:type="dxa"/>
            <w:tcBorders>
              <w:right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sz w:val="24"/>
              </w:rPr>
              <w:t>是否提供法人身份证明或法定代表人授权委托书及被授权人身份证</w:t>
            </w:r>
          </w:p>
        </w:tc>
        <w:tc>
          <w:tcPr>
            <w:tcW w:w="778"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778" w:type="dxa"/>
            <w:tcBorders>
              <w:left w:val="single" w:color="auto" w:sz="4" w:space="0"/>
            </w:tcBorders>
            <w:noWrap w:val="0"/>
            <w:vAlign w:val="center"/>
          </w:tcPr>
          <w:p>
            <w:pPr>
              <w:spacing w:line="340" w:lineRule="exact"/>
              <w:jc w:val="left"/>
              <w:rPr>
                <w:rFonts w:hint="eastAsia" w:ascii="宋体" w:hAnsi="宋体" w:cs="宋体"/>
                <w:sz w:val="24"/>
              </w:rPr>
            </w:pPr>
          </w:p>
        </w:tc>
        <w:tc>
          <w:tcPr>
            <w:tcW w:w="778" w:type="dxa"/>
            <w:tcBorders>
              <w:right w:val="single" w:color="auto" w:sz="4" w:space="0"/>
            </w:tcBorders>
            <w:noWrap w:val="0"/>
            <w:vAlign w:val="top"/>
          </w:tcPr>
          <w:p>
            <w:pPr>
              <w:spacing w:line="340" w:lineRule="exact"/>
              <w:jc w:val="left"/>
              <w:rPr>
                <w:rFonts w:hint="eastAsia" w:ascii="宋体" w:hAnsi="宋体" w:cs="宋体"/>
                <w:sz w:val="24"/>
              </w:rPr>
            </w:pPr>
          </w:p>
        </w:tc>
        <w:tc>
          <w:tcPr>
            <w:tcW w:w="45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pPr>
              <w:spacing w:line="340" w:lineRule="exact"/>
              <w:jc w:val="left"/>
              <w:rPr>
                <w:rFonts w:hint="default" w:ascii="宋体" w:hAnsi="宋体" w:cs="宋体"/>
                <w:sz w:val="24"/>
                <w:lang w:val="en-US" w:eastAsia="zh-CN"/>
              </w:rPr>
            </w:pPr>
            <w:r>
              <w:rPr>
                <w:rFonts w:hint="eastAsia" w:ascii="宋体" w:hAnsi="宋体" w:cs="宋体"/>
                <w:sz w:val="24"/>
                <w:lang w:val="en-US" w:eastAsia="zh-CN"/>
              </w:rPr>
              <w:t>6</w:t>
            </w:r>
          </w:p>
        </w:tc>
        <w:tc>
          <w:tcPr>
            <w:tcW w:w="6415" w:type="dxa"/>
            <w:tcBorders>
              <w:right w:val="single" w:color="auto" w:sz="4" w:space="0"/>
            </w:tcBorders>
            <w:noWrap w:val="0"/>
            <w:vAlign w:val="center"/>
          </w:tcPr>
          <w:p>
            <w:pPr>
              <w:spacing w:line="340" w:lineRule="exact"/>
              <w:jc w:val="left"/>
              <w:rPr>
                <w:rFonts w:hint="eastAsia" w:ascii="宋体" w:hAnsi="宋体"/>
                <w:sz w:val="24"/>
              </w:rPr>
            </w:pPr>
            <w:r>
              <w:rPr>
                <w:rFonts w:hint="eastAsia" w:ascii="宋体" w:hAnsi="宋体"/>
                <w:sz w:val="24"/>
                <w:lang w:val="en-US" w:eastAsia="zh-CN"/>
              </w:rPr>
              <w:t>供应商为中小企业/小微企业（提供《中小企业声明函》，格式以采购文件要求为准）</w:t>
            </w:r>
          </w:p>
        </w:tc>
        <w:tc>
          <w:tcPr>
            <w:tcW w:w="778"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778" w:type="dxa"/>
            <w:tcBorders>
              <w:left w:val="single" w:color="auto" w:sz="4" w:space="0"/>
            </w:tcBorders>
            <w:noWrap w:val="0"/>
            <w:vAlign w:val="center"/>
          </w:tcPr>
          <w:p>
            <w:pPr>
              <w:spacing w:line="340" w:lineRule="exact"/>
              <w:jc w:val="left"/>
              <w:rPr>
                <w:rFonts w:hint="eastAsia" w:ascii="宋体" w:hAnsi="宋体" w:cs="宋体"/>
                <w:sz w:val="24"/>
              </w:rPr>
            </w:pPr>
          </w:p>
        </w:tc>
        <w:tc>
          <w:tcPr>
            <w:tcW w:w="778" w:type="dxa"/>
            <w:tcBorders>
              <w:right w:val="single" w:color="auto" w:sz="4" w:space="0"/>
            </w:tcBorders>
            <w:noWrap w:val="0"/>
            <w:vAlign w:val="top"/>
          </w:tcPr>
          <w:p>
            <w:pPr>
              <w:spacing w:line="340" w:lineRule="exact"/>
              <w:jc w:val="left"/>
              <w:rPr>
                <w:rFonts w:hint="eastAsia" w:ascii="宋体" w:hAnsi="宋体" w:cs="宋体"/>
                <w:sz w:val="24"/>
              </w:rPr>
            </w:pPr>
          </w:p>
        </w:tc>
        <w:tc>
          <w:tcPr>
            <w:tcW w:w="45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noWrap w:val="0"/>
            <w:vAlign w:val="top"/>
          </w:tcPr>
          <w:p>
            <w:pPr>
              <w:spacing w:line="340" w:lineRule="exact"/>
              <w:jc w:val="left"/>
              <w:rPr>
                <w:rFonts w:hint="eastAsia" w:ascii="宋体" w:hAnsi="宋体" w:cs="宋体"/>
                <w:sz w:val="24"/>
              </w:rPr>
            </w:pPr>
            <w:r>
              <w:rPr>
                <w:rFonts w:hint="eastAsia" w:ascii="宋体" w:hAnsi="宋体" w:cs="宋体"/>
                <w:sz w:val="24"/>
              </w:rPr>
              <w:t>结论：是否通过评审</w:t>
            </w:r>
          </w:p>
        </w:tc>
        <w:tc>
          <w:tcPr>
            <w:tcW w:w="778" w:type="dxa"/>
            <w:tcBorders>
              <w:left w:val="single" w:color="auto" w:sz="4" w:space="0"/>
              <w:bottom w:val="single" w:color="auto" w:sz="12" w:space="0"/>
              <w:right w:val="single" w:color="auto" w:sz="4" w:space="0"/>
            </w:tcBorders>
            <w:noWrap w:val="0"/>
            <w:vAlign w:val="top"/>
          </w:tcPr>
          <w:p>
            <w:pPr>
              <w:spacing w:line="340" w:lineRule="exact"/>
              <w:jc w:val="left"/>
              <w:rPr>
                <w:rFonts w:hint="eastAsia" w:ascii="宋体" w:hAnsi="宋体" w:cs="宋体"/>
                <w:sz w:val="24"/>
              </w:rPr>
            </w:pPr>
          </w:p>
        </w:tc>
        <w:tc>
          <w:tcPr>
            <w:tcW w:w="778" w:type="dxa"/>
            <w:tcBorders>
              <w:left w:val="single" w:color="auto" w:sz="4" w:space="0"/>
              <w:bottom w:val="single" w:color="auto" w:sz="12" w:space="0"/>
            </w:tcBorders>
            <w:noWrap w:val="0"/>
            <w:vAlign w:val="top"/>
          </w:tcPr>
          <w:p>
            <w:pPr>
              <w:spacing w:line="340" w:lineRule="exact"/>
              <w:jc w:val="left"/>
              <w:rPr>
                <w:rFonts w:hint="eastAsia" w:ascii="宋体" w:hAnsi="宋体" w:cs="宋体"/>
                <w:sz w:val="24"/>
              </w:rPr>
            </w:pPr>
          </w:p>
        </w:tc>
        <w:tc>
          <w:tcPr>
            <w:tcW w:w="778" w:type="dxa"/>
            <w:tcBorders>
              <w:bottom w:val="single" w:color="auto" w:sz="12" w:space="0"/>
            </w:tcBorders>
            <w:noWrap w:val="0"/>
            <w:vAlign w:val="top"/>
          </w:tcPr>
          <w:p>
            <w:pPr>
              <w:spacing w:line="340" w:lineRule="exact"/>
              <w:jc w:val="left"/>
              <w:rPr>
                <w:rFonts w:hint="eastAsia" w:ascii="宋体" w:hAnsi="宋体" w:cs="宋体"/>
                <w:sz w:val="24"/>
              </w:rPr>
            </w:pPr>
          </w:p>
        </w:tc>
        <w:tc>
          <w:tcPr>
            <w:tcW w:w="457" w:type="dxa"/>
            <w:tcBorders>
              <w:bottom w:val="single" w:color="auto" w:sz="12" w:space="0"/>
            </w:tcBorders>
            <w:noWrap w:val="0"/>
            <w:vAlign w:val="top"/>
          </w:tcPr>
          <w:p>
            <w:pPr>
              <w:spacing w:line="340" w:lineRule="exact"/>
              <w:jc w:val="left"/>
              <w:rPr>
                <w:rFonts w:hint="eastAsia" w:ascii="宋体" w:hAnsi="宋体" w:cs="宋体"/>
                <w:sz w:val="24"/>
              </w:rPr>
            </w:pPr>
          </w:p>
        </w:tc>
      </w:tr>
    </w:tbl>
    <w:p>
      <w:pPr>
        <w:ind w:right="20"/>
        <w:jc w:val="both"/>
        <w:rPr>
          <w:rFonts w:hint="eastAsia" w:ascii="宋体" w:hAnsi="宋体" w:eastAsia="宋体" w:cs="宋体"/>
          <w:sz w:val="24"/>
          <w:szCs w:val="24"/>
        </w:rPr>
        <w:sectPr>
          <w:headerReference r:id="rId3" w:type="default"/>
          <w:type w:val="continuous"/>
          <w:pgSz w:w="11900" w:h="16838"/>
          <w:pgMar w:top="1304" w:right="1186" w:bottom="448" w:left="1200" w:header="0" w:footer="0" w:gutter="0"/>
          <w:cols w:equalWidth="0" w:num="1">
            <w:col w:w="9520"/>
          </w:cols>
        </w:sectPr>
      </w:pPr>
    </w:p>
    <w:p>
      <w:pPr>
        <w:numPr>
          <w:ilvl w:val="0"/>
          <w:numId w:val="6"/>
        </w:numPr>
        <w:spacing w:line="340" w:lineRule="exact"/>
        <w:jc w:val="left"/>
        <w:rPr>
          <w:rFonts w:hint="eastAsia" w:ascii="宋体" w:hAnsi="宋体" w:cs="宋体"/>
          <w:sz w:val="24"/>
        </w:rPr>
      </w:pPr>
      <w:r>
        <w:rPr>
          <w:rFonts w:hint="eastAsia" w:ascii="宋体" w:hAnsi="宋体" w:cs="宋体"/>
          <w:sz w:val="24"/>
        </w:rPr>
        <w:t>符合性审查</w:t>
      </w:r>
    </w:p>
    <w:p>
      <w:pPr>
        <w:pStyle w:val="2"/>
        <w:numPr>
          <w:ilvl w:val="0"/>
          <w:numId w:val="0"/>
        </w:numPr>
        <w:ind w:left="420" w:leftChars="0"/>
        <w:rPr>
          <w:rFonts w:hint="eastAsia"/>
        </w:rPr>
      </w:pPr>
      <w:r>
        <w:rPr>
          <w:rFonts w:hint="eastAsia" w:ascii="宋体" w:hAnsi="宋体" w:eastAsia="宋体" w:cs="宋体"/>
          <w:color w:val="auto"/>
          <w:kern w:val="0"/>
          <w:szCs w:val="21"/>
          <w:highlight w:val="none"/>
        </w:rPr>
        <w:t>符合性检查：由评标委员会依据有关法律、法规及招标文件的要求，对符合资格的供应商的投标文件进行符合性审查（详见附表），以确定是否对招标文件的实质性要求做出响应。只有通过符合性审查的供应商的投标文件才能进入下一阶段的评审！</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cs="宋体"/>
                <w:sz w:val="24"/>
              </w:rPr>
              <w:t>评审内容</w:t>
            </w:r>
          </w:p>
        </w:tc>
        <w:tc>
          <w:tcPr>
            <w:tcW w:w="2535" w:type="dxa"/>
            <w:gridSpan w:val="4"/>
            <w:tcBorders>
              <w:top w:val="single" w:color="auto" w:sz="12" w:space="0"/>
              <w:left w:val="single" w:color="auto" w:sz="4" w:space="0"/>
              <w:bottom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cs="宋体"/>
                <w:sz w:val="24"/>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19" w:type="dxa"/>
            <w:gridSpan w:val="2"/>
            <w:vMerge w:val="continue"/>
            <w:tcBorders>
              <w:right w:val="single" w:color="auto" w:sz="4" w:space="0"/>
            </w:tcBorders>
            <w:noWrap w:val="0"/>
            <w:vAlign w:val="top"/>
          </w:tcPr>
          <w:p>
            <w:pPr>
              <w:spacing w:line="340" w:lineRule="exact"/>
              <w:jc w:val="left"/>
              <w:rPr>
                <w:rFonts w:hint="eastAsia" w:ascii="宋体" w:hAnsi="宋体" w:cs="宋体"/>
                <w:sz w:val="24"/>
              </w:rPr>
            </w:pPr>
          </w:p>
        </w:tc>
        <w:tc>
          <w:tcPr>
            <w:tcW w:w="646" w:type="dxa"/>
            <w:tcBorders>
              <w:top w:val="single" w:color="auto" w:sz="4" w:space="0"/>
              <w:left w:val="single" w:color="auto" w:sz="4" w:space="0"/>
              <w:right w:val="single" w:color="auto" w:sz="4" w:space="0"/>
            </w:tcBorders>
            <w:noWrap w:val="0"/>
            <w:vAlign w:val="top"/>
          </w:tcPr>
          <w:p>
            <w:pPr>
              <w:spacing w:line="340" w:lineRule="exact"/>
              <w:jc w:val="left"/>
              <w:rPr>
                <w:rFonts w:hint="eastAsia" w:ascii="宋体" w:hAnsi="宋体" w:cs="宋体"/>
                <w:sz w:val="24"/>
              </w:rPr>
            </w:pPr>
            <w:r>
              <w:rPr>
                <w:rFonts w:hint="eastAsia" w:ascii="宋体" w:hAnsi="宋体" w:cs="宋体"/>
                <w:sz w:val="24"/>
              </w:rPr>
              <w:t>1</w:t>
            </w:r>
          </w:p>
        </w:tc>
        <w:tc>
          <w:tcPr>
            <w:tcW w:w="646" w:type="dxa"/>
            <w:tcBorders>
              <w:top w:val="single" w:color="auto" w:sz="4" w:space="0"/>
              <w:left w:val="single" w:color="auto" w:sz="4" w:space="0"/>
            </w:tcBorders>
            <w:noWrap w:val="0"/>
            <w:vAlign w:val="top"/>
          </w:tcPr>
          <w:p>
            <w:pPr>
              <w:spacing w:line="340" w:lineRule="exact"/>
              <w:jc w:val="left"/>
              <w:rPr>
                <w:rFonts w:hint="eastAsia" w:ascii="宋体" w:hAnsi="宋体" w:cs="宋体"/>
                <w:sz w:val="24"/>
              </w:rPr>
            </w:pPr>
            <w:r>
              <w:rPr>
                <w:rFonts w:hint="eastAsia" w:ascii="宋体" w:hAnsi="宋体" w:cs="宋体"/>
                <w:sz w:val="24"/>
              </w:rPr>
              <w:t>2</w:t>
            </w:r>
          </w:p>
        </w:tc>
        <w:tc>
          <w:tcPr>
            <w:tcW w:w="646" w:type="dxa"/>
            <w:noWrap w:val="0"/>
            <w:vAlign w:val="center"/>
          </w:tcPr>
          <w:p>
            <w:pPr>
              <w:spacing w:line="340" w:lineRule="exact"/>
              <w:jc w:val="left"/>
              <w:rPr>
                <w:rFonts w:hint="eastAsia" w:ascii="宋体" w:hAnsi="宋体" w:cs="宋体"/>
                <w:sz w:val="24"/>
              </w:rPr>
            </w:pPr>
            <w:r>
              <w:rPr>
                <w:rFonts w:hint="eastAsia" w:ascii="宋体" w:hAnsi="宋体" w:cs="宋体"/>
                <w:sz w:val="24"/>
              </w:rPr>
              <w:t>3</w:t>
            </w:r>
          </w:p>
        </w:tc>
        <w:tc>
          <w:tcPr>
            <w:tcW w:w="597" w:type="dxa"/>
            <w:noWrap w:val="0"/>
            <w:vAlign w:val="center"/>
          </w:tcPr>
          <w:p>
            <w:pPr>
              <w:spacing w:line="340" w:lineRule="exact"/>
              <w:jc w:val="left"/>
              <w:rPr>
                <w:rFonts w:hint="eastAsia" w:ascii="宋体" w:hAnsi="宋体" w:cs="宋体"/>
                <w:sz w:val="24"/>
              </w:rPr>
            </w:pP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40" w:lineRule="exact"/>
              <w:jc w:val="left"/>
              <w:rPr>
                <w:rFonts w:hint="eastAsia" w:ascii="宋体" w:hAnsi="宋体" w:cs="宋体"/>
                <w:sz w:val="24"/>
              </w:rPr>
            </w:pPr>
            <w:r>
              <w:rPr>
                <w:rFonts w:hint="eastAsia" w:ascii="宋体" w:hAnsi="宋体" w:cs="宋体"/>
                <w:sz w:val="24"/>
              </w:rPr>
              <w:t>1</w:t>
            </w:r>
          </w:p>
        </w:tc>
        <w:tc>
          <w:tcPr>
            <w:tcW w:w="6674" w:type="dxa"/>
            <w:tcBorders>
              <w:right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cs="宋体"/>
                <w:sz w:val="24"/>
                <w:lang w:val="en-US" w:eastAsia="zh-CN"/>
              </w:rPr>
              <w:t>不具备招标文件中规定的资格要求的；</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646" w:type="dxa"/>
            <w:tcBorders>
              <w:left w:val="single" w:color="auto" w:sz="4" w:space="0"/>
            </w:tcBorders>
            <w:noWrap w:val="0"/>
            <w:vAlign w:val="center"/>
          </w:tcPr>
          <w:p>
            <w:pPr>
              <w:spacing w:line="340" w:lineRule="exact"/>
              <w:jc w:val="left"/>
              <w:rPr>
                <w:rFonts w:hint="eastAsia" w:ascii="宋体" w:hAnsi="宋体" w:cs="宋体"/>
                <w:sz w:val="24"/>
              </w:rPr>
            </w:pPr>
          </w:p>
        </w:tc>
        <w:tc>
          <w:tcPr>
            <w:tcW w:w="646" w:type="dxa"/>
            <w:tcBorders>
              <w:right w:val="single" w:color="auto" w:sz="4" w:space="0"/>
            </w:tcBorders>
            <w:noWrap w:val="0"/>
            <w:vAlign w:val="top"/>
          </w:tcPr>
          <w:p>
            <w:pPr>
              <w:spacing w:line="340" w:lineRule="exact"/>
              <w:jc w:val="left"/>
              <w:rPr>
                <w:rFonts w:hint="eastAsia" w:ascii="宋体" w:hAnsi="宋体" w:cs="宋体"/>
                <w:sz w:val="24"/>
              </w:rPr>
            </w:pPr>
          </w:p>
        </w:tc>
        <w:tc>
          <w:tcPr>
            <w:tcW w:w="59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40" w:lineRule="exact"/>
              <w:jc w:val="left"/>
              <w:rPr>
                <w:rFonts w:hint="eastAsia" w:ascii="宋体" w:hAnsi="宋体" w:cs="宋体"/>
                <w:sz w:val="24"/>
              </w:rPr>
            </w:pPr>
            <w:r>
              <w:rPr>
                <w:rFonts w:hint="eastAsia" w:ascii="宋体" w:hAnsi="宋体" w:cs="宋体"/>
                <w:sz w:val="24"/>
              </w:rPr>
              <w:t>2</w:t>
            </w:r>
          </w:p>
        </w:tc>
        <w:tc>
          <w:tcPr>
            <w:tcW w:w="6674" w:type="dxa"/>
            <w:tcBorders>
              <w:right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cs="宋体"/>
                <w:sz w:val="24"/>
                <w:lang w:val="en-US" w:eastAsia="zh-CN"/>
              </w:rPr>
              <w:t>响应文件未按招标文件规定签章、盖章的；</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646" w:type="dxa"/>
            <w:tcBorders>
              <w:left w:val="single" w:color="auto" w:sz="4" w:space="0"/>
            </w:tcBorders>
            <w:noWrap w:val="0"/>
            <w:vAlign w:val="center"/>
          </w:tcPr>
          <w:p>
            <w:pPr>
              <w:spacing w:line="340" w:lineRule="exact"/>
              <w:jc w:val="left"/>
              <w:rPr>
                <w:rFonts w:hint="eastAsia" w:ascii="宋体" w:hAnsi="宋体" w:cs="宋体"/>
                <w:sz w:val="24"/>
              </w:rPr>
            </w:pPr>
          </w:p>
        </w:tc>
        <w:tc>
          <w:tcPr>
            <w:tcW w:w="646" w:type="dxa"/>
            <w:tcBorders>
              <w:right w:val="single" w:color="auto" w:sz="4" w:space="0"/>
            </w:tcBorders>
            <w:noWrap w:val="0"/>
            <w:vAlign w:val="top"/>
          </w:tcPr>
          <w:p>
            <w:pPr>
              <w:spacing w:line="340" w:lineRule="exact"/>
              <w:jc w:val="left"/>
              <w:rPr>
                <w:rFonts w:hint="eastAsia" w:ascii="宋体" w:hAnsi="宋体" w:cs="宋体"/>
                <w:sz w:val="24"/>
              </w:rPr>
            </w:pPr>
          </w:p>
        </w:tc>
        <w:tc>
          <w:tcPr>
            <w:tcW w:w="59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40" w:lineRule="exact"/>
              <w:jc w:val="left"/>
              <w:rPr>
                <w:rFonts w:hint="eastAsia" w:ascii="宋体" w:hAnsi="宋体" w:cs="宋体"/>
                <w:sz w:val="24"/>
              </w:rPr>
            </w:pPr>
            <w:r>
              <w:rPr>
                <w:rFonts w:hint="eastAsia" w:ascii="宋体" w:hAnsi="宋体" w:cs="宋体"/>
                <w:sz w:val="24"/>
              </w:rPr>
              <w:t>3</w:t>
            </w:r>
          </w:p>
        </w:tc>
        <w:tc>
          <w:tcPr>
            <w:tcW w:w="6674" w:type="dxa"/>
            <w:tcBorders>
              <w:right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cs="宋体"/>
                <w:sz w:val="24"/>
                <w:lang w:val="en-US" w:eastAsia="zh-CN"/>
              </w:rPr>
              <w:t>响应</w:t>
            </w:r>
            <w:r>
              <w:rPr>
                <w:rFonts w:hint="eastAsia" w:ascii="宋体" w:hAnsi="宋体" w:cs="宋体"/>
                <w:sz w:val="24"/>
              </w:rPr>
              <w:t>文件含有采购人不能接受的附加条件的；</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646" w:type="dxa"/>
            <w:tcBorders>
              <w:left w:val="single" w:color="auto" w:sz="4" w:space="0"/>
            </w:tcBorders>
            <w:noWrap w:val="0"/>
            <w:vAlign w:val="center"/>
          </w:tcPr>
          <w:p>
            <w:pPr>
              <w:spacing w:line="340" w:lineRule="exact"/>
              <w:jc w:val="left"/>
              <w:rPr>
                <w:rFonts w:hint="eastAsia" w:ascii="宋体" w:hAnsi="宋体" w:cs="宋体"/>
                <w:sz w:val="24"/>
              </w:rPr>
            </w:pPr>
          </w:p>
        </w:tc>
        <w:tc>
          <w:tcPr>
            <w:tcW w:w="646" w:type="dxa"/>
            <w:tcBorders>
              <w:right w:val="single" w:color="auto" w:sz="4" w:space="0"/>
            </w:tcBorders>
            <w:noWrap w:val="0"/>
            <w:vAlign w:val="top"/>
          </w:tcPr>
          <w:p>
            <w:pPr>
              <w:spacing w:line="340" w:lineRule="exact"/>
              <w:jc w:val="left"/>
              <w:rPr>
                <w:rFonts w:hint="eastAsia" w:ascii="宋体" w:hAnsi="宋体" w:cs="宋体"/>
                <w:sz w:val="24"/>
              </w:rPr>
            </w:pPr>
          </w:p>
        </w:tc>
        <w:tc>
          <w:tcPr>
            <w:tcW w:w="59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40" w:lineRule="exact"/>
              <w:jc w:val="left"/>
              <w:rPr>
                <w:rFonts w:hint="eastAsia" w:ascii="宋体" w:hAnsi="宋体" w:cs="宋体"/>
                <w:sz w:val="24"/>
              </w:rPr>
            </w:pPr>
            <w:r>
              <w:rPr>
                <w:rFonts w:hint="eastAsia" w:ascii="宋体" w:hAnsi="宋体" w:cs="宋体"/>
                <w:sz w:val="24"/>
              </w:rPr>
              <w:t>4</w:t>
            </w:r>
          </w:p>
        </w:tc>
        <w:tc>
          <w:tcPr>
            <w:tcW w:w="6674" w:type="dxa"/>
            <w:tcBorders>
              <w:right w:val="single" w:color="auto" w:sz="4" w:space="0"/>
            </w:tcBorders>
            <w:noWrap w:val="0"/>
            <w:vAlign w:val="center"/>
          </w:tcPr>
          <w:p>
            <w:pPr>
              <w:spacing w:line="340" w:lineRule="exact"/>
              <w:jc w:val="left"/>
              <w:rPr>
                <w:rFonts w:hint="eastAsia" w:ascii="宋体" w:hAnsi="宋体" w:cs="宋体"/>
                <w:sz w:val="24"/>
              </w:rPr>
            </w:pPr>
            <w:r>
              <w:rPr>
                <w:rFonts w:hint="eastAsia" w:ascii="宋体" w:hAnsi="宋体" w:cs="宋体"/>
                <w:sz w:val="24"/>
              </w:rPr>
              <w:t>报价是否超过采购预算金额（或最高限价）；</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646" w:type="dxa"/>
            <w:tcBorders>
              <w:left w:val="single" w:color="auto" w:sz="4" w:space="0"/>
            </w:tcBorders>
            <w:noWrap w:val="0"/>
            <w:vAlign w:val="center"/>
          </w:tcPr>
          <w:p>
            <w:pPr>
              <w:spacing w:line="340" w:lineRule="exact"/>
              <w:jc w:val="left"/>
              <w:rPr>
                <w:rFonts w:hint="eastAsia" w:ascii="宋体" w:hAnsi="宋体" w:cs="宋体"/>
                <w:sz w:val="24"/>
              </w:rPr>
            </w:pPr>
          </w:p>
        </w:tc>
        <w:tc>
          <w:tcPr>
            <w:tcW w:w="646" w:type="dxa"/>
            <w:tcBorders>
              <w:right w:val="single" w:color="auto" w:sz="4" w:space="0"/>
            </w:tcBorders>
            <w:noWrap w:val="0"/>
            <w:vAlign w:val="top"/>
          </w:tcPr>
          <w:p>
            <w:pPr>
              <w:spacing w:line="340" w:lineRule="exact"/>
              <w:jc w:val="left"/>
              <w:rPr>
                <w:rFonts w:hint="eastAsia" w:ascii="宋体" w:hAnsi="宋体" w:cs="宋体"/>
                <w:sz w:val="24"/>
              </w:rPr>
            </w:pPr>
          </w:p>
        </w:tc>
        <w:tc>
          <w:tcPr>
            <w:tcW w:w="59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40" w:lineRule="exact"/>
              <w:jc w:val="left"/>
              <w:rPr>
                <w:rFonts w:hint="eastAsia" w:ascii="宋体" w:hAnsi="宋体" w:cs="宋体"/>
                <w:sz w:val="24"/>
              </w:rPr>
            </w:pPr>
            <w:r>
              <w:rPr>
                <w:rFonts w:hint="eastAsia" w:ascii="宋体" w:hAnsi="宋体" w:cs="宋体"/>
                <w:sz w:val="24"/>
              </w:rPr>
              <w:t>5</w:t>
            </w:r>
          </w:p>
        </w:tc>
        <w:tc>
          <w:tcPr>
            <w:tcW w:w="6674" w:type="dxa"/>
            <w:tcBorders>
              <w:right w:val="single" w:color="auto" w:sz="4" w:space="0"/>
            </w:tcBorders>
            <w:noWrap w:val="0"/>
            <w:vAlign w:val="bottom"/>
          </w:tcPr>
          <w:p>
            <w:pPr>
              <w:spacing w:line="340" w:lineRule="exact"/>
              <w:jc w:val="left"/>
              <w:rPr>
                <w:rFonts w:hint="eastAsia" w:ascii="宋体" w:hAnsi="宋体" w:cs="宋体"/>
                <w:sz w:val="24"/>
              </w:rPr>
            </w:pPr>
            <w:r>
              <w:rPr>
                <w:rFonts w:hint="eastAsia" w:ascii="宋体" w:hAnsi="宋体" w:cs="宋体"/>
                <w:sz w:val="24"/>
              </w:rPr>
              <w:t>投标文件的内容与采购内容及要求（质量、技术要求，</w:t>
            </w:r>
            <w:r>
              <w:rPr>
                <w:rFonts w:hint="eastAsia" w:ascii="宋体" w:hAnsi="宋体" w:cs="宋体"/>
                <w:sz w:val="24"/>
                <w:lang w:val="en-US" w:eastAsia="zh-CN"/>
              </w:rPr>
              <w:t>服务</w:t>
            </w:r>
            <w:r>
              <w:rPr>
                <w:rFonts w:hint="eastAsia" w:ascii="宋体" w:hAnsi="宋体" w:cs="宋体"/>
                <w:sz w:val="24"/>
              </w:rPr>
              <w:t>期、付款方式等）有重大偏离或保留的；</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646" w:type="dxa"/>
            <w:tcBorders>
              <w:left w:val="single" w:color="auto" w:sz="4" w:space="0"/>
            </w:tcBorders>
            <w:noWrap w:val="0"/>
            <w:vAlign w:val="center"/>
          </w:tcPr>
          <w:p>
            <w:pPr>
              <w:spacing w:line="340" w:lineRule="exact"/>
              <w:jc w:val="left"/>
              <w:rPr>
                <w:rFonts w:hint="eastAsia" w:ascii="宋体" w:hAnsi="宋体" w:cs="宋体"/>
                <w:sz w:val="24"/>
              </w:rPr>
            </w:pPr>
          </w:p>
        </w:tc>
        <w:tc>
          <w:tcPr>
            <w:tcW w:w="646" w:type="dxa"/>
            <w:tcBorders>
              <w:right w:val="single" w:color="auto" w:sz="4" w:space="0"/>
            </w:tcBorders>
            <w:noWrap w:val="0"/>
            <w:vAlign w:val="top"/>
          </w:tcPr>
          <w:p>
            <w:pPr>
              <w:spacing w:line="340" w:lineRule="exact"/>
              <w:jc w:val="left"/>
              <w:rPr>
                <w:rFonts w:hint="eastAsia" w:ascii="宋体" w:hAnsi="宋体" w:cs="宋体"/>
                <w:sz w:val="24"/>
              </w:rPr>
            </w:pPr>
          </w:p>
        </w:tc>
        <w:tc>
          <w:tcPr>
            <w:tcW w:w="59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40" w:lineRule="exact"/>
              <w:jc w:val="left"/>
              <w:rPr>
                <w:rFonts w:hint="eastAsia" w:ascii="宋体" w:hAnsi="宋体" w:cs="宋体"/>
                <w:sz w:val="24"/>
              </w:rPr>
            </w:pPr>
            <w:r>
              <w:rPr>
                <w:rFonts w:hint="eastAsia" w:ascii="宋体" w:hAnsi="宋体" w:cs="宋体"/>
                <w:sz w:val="24"/>
              </w:rPr>
              <w:t>6</w:t>
            </w:r>
          </w:p>
        </w:tc>
        <w:tc>
          <w:tcPr>
            <w:tcW w:w="6674" w:type="dxa"/>
            <w:tcBorders>
              <w:right w:val="single" w:color="auto" w:sz="4" w:space="0"/>
            </w:tcBorders>
            <w:noWrap w:val="0"/>
            <w:vAlign w:val="bottom"/>
          </w:tcPr>
          <w:p>
            <w:pPr>
              <w:spacing w:line="340" w:lineRule="exact"/>
              <w:jc w:val="left"/>
              <w:rPr>
                <w:rFonts w:hint="eastAsia" w:ascii="宋体" w:hAnsi="宋体" w:cs="宋体"/>
                <w:sz w:val="24"/>
              </w:rPr>
            </w:pPr>
            <w:r>
              <w:rPr>
                <w:rFonts w:hint="eastAsia" w:ascii="宋体" w:hAnsi="宋体" w:cs="宋体"/>
                <w:sz w:val="24"/>
              </w:rPr>
              <w:t>投标文件的技术服务方案内容是否满足本项目招标需要；</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646" w:type="dxa"/>
            <w:tcBorders>
              <w:left w:val="single" w:color="auto" w:sz="4" w:space="0"/>
            </w:tcBorders>
            <w:noWrap w:val="0"/>
            <w:vAlign w:val="center"/>
          </w:tcPr>
          <w:p>
            <w:pPr>
              <w:spacing w:line="340" w:lineRule="exact"/>
              <w:jc w:val="left"/>
              <w:rPr>
                <w:rFonts w:hint="eastAsia" w:ascii="宋体" w:hAnsi="宋体" w:cs="宋体"/>
                <w:sz w:val="24"/>
              </w:rPr>
            </w:pPr>
          </w:p>
        </w:tc>
        <w:tc>
          <w:tcPr>
            <w:tcW w:w="646" w:type="dxa"/>
            <w:tcBorders>
              <w:right w:val="single" w:color="auto" w:sz="4" w:space="0"/>
            </w:tcBorders>
            <w:noWrap w:val="0"/>
            <w:vAlign w:val="top"/>
          </w:tcPr>
          <w:p>
            <w:pPr>
              <w:spacing w:line="340" w:lineRule="exact"/>
              <w:jc w:val="left"/>
              <w:rPr>
                <w:rFonts w:hint="eastAsia" w:ascii="宋体" w:hAnsi="宋体" w:cs="宋体"/>
                <w:sz w:val="24"/>
              </w:rPr>
            </w:pPr>
          </w:p>
        </w:tc>
        <w:tc>
          <w:tcPr>
            <w:tcW w:w="59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spacing w:line="340" w:lineRule="exact"/>
              <w:jc w:val="left"/>
              <w:rPr>
                <w:rFonts w:hint="eastAsia" w:ascii="宋体" w:hAnsi="宋体" w:cs="宋体"/>
                <w:sz w:val="24"/>
              </w:rPr>
            </w:pPr>
            <w:r>
              <w:rPr>
                <w:rFonts w:hint="eastAsia" w:ascii="宋体" w:hAnsi="宋体" w:cs="宋体"/>
                <w:sz w:val="24"/>
              </w:rPr>
              <w:t>7</w:t>
            </w:r>
          </w:p>
        </w:tc>
        <w:tc>
          <w:tcPr>
            <w:tcW w:w="6674" w:type="dxa"/>
            <w:tcBorders>
              <w:right w:val="single" w:color="auto" w:sz="4" w:space="0"/>
            </w:tcBorders>
            <w:noWrap w:val="0"/>
            <w:vAlign w:val="bottom"/>
          </w:tcPr>
          <w:p>
            <w:pPr>
              <w:spacing w:line="340" w:lineRule="exact"/>
              <w:jc w:val="left"/>
              <w:rPr>
                <w:rFonts w:hint="eastAsia" w:ascii="宋体" w:hAnsi="宋体" w:cs="宋体"/>
                <w:sz w:val="24"/>
              </w:rPr>
            </w:pPr>
            <w:r>
              <w:rPr>
                <w:rFonts w:hint="eastAsia" w:ascii="宋体" w:hAnsi="宋体" w:cs="宋体"/>
                <w:sz w:val="24"/>
              </w:rPr>
              <w:t>投标文件的内容组成不符合招标文件要求的；</w:t>
            </w:r>
          </w:p>
        </w:tc>
        <w:tc>
          <w:tcPr>
            <w:tcW w:w="646" w:type="dxa"/>
            <w:tcBorders>
              <w:left w:val="single" w:color="auto" w:sz="4" w:space="0"/>
              <w:right w:val="single" w:color="auto" w:sz="4" w:space="0"/>
            </w:tcBorders>
            <w:noWrap w:val="0"/>
            <w:vAlign w:val="center"/>
          </w:tcPr>
          <w:p>
            <w:pPr>
              <w:spacing w:line="340" w:lineRule="exact"/>
              <w:jc w:val="left"/>
              <w:rPr>
                <w:rFonts w:hint="eastAsia" w:ascii="宋体" w:hAnsi="宋体" w:cs="宋体"/>
                <w:sz w:val="24"/>
              </w:rPr>
            </w:pPr>
          </w:p>
        </w:tc>
        <w:tc>
          <w:tcPr>
            <w:tcW w:w="646" w:type="dxa"/>
            <w:tcBorders>
              <w:left w:val="single" w:color="auto" w:sz="4" w:space="0"/>
            </w:tcBorders>
            <w:noWrap w:val="0"/>
            <w:vAlign w:val="center"/>
          </w:tcPr>
          <w:p>
            <w:pPr>
              <w:spacing w:line="340" w:lineRule="exact"/>
              <w:jc w:val="left"/>
              <w:rPr>
                <w:rFonts w:hint="eastAsia" w:ascii="宋体" w:hAnsi="宋体" w:cs="宋体"/>
                <w:sz w:val="24"/>
              </w:rPr>
            </w:pPr>
          </w:p>
        </w:tc>
        <w:tc>
          <w:tcPr>
            <w:tcW w:w="646" w:type="dxa"/>
            <w:tcBorders>
              <w:right w:val="single" w:color="auto" w:sz="4" w:space="0"/>
            </w:tcBorders>
            <w:noWrap w:val="0"/>
            <w:vAlign w:val="top"/>
          </w:tcPr>
          <w:p>
            <w:pPr>
              <w:spacing w:line="340" w:lineRule="exact"/>
              <w:jc w:val="left"/>
              <w:rPr>
                <w:rFonts w:hint="eastAsia" w:ascii="宋体" w:hAnsi="宋体" w:cs="宋体"/>
                <w:sz w:val="24"/>
              </w:rPr>
            </w:pPr>
          </w:p>
        </w:tc>
        <w:tc>
          <w:tcPr>
            <w:tcW w:w="597" w:type="dxa"/>
            <w:tcBorders>
              <w:left w:val="single" w:color="auto" w:sz="4" w:space="0"/>
            </w:tcBorders>
            <w:noWrap w:val="0"/>
            <w:vAlign w:val="top"/>
          </w:tcPr>
          <w:p>
            <w:pPr>
              <w:spacing w:line="340" w:lineRule="exact"/>
              <w:jc w:val="lef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top"/>
          </w:tcPr>
          <w:p>
            <w:pPr>
              <w:spacing w:line="340" w:lineRule="exact"/>
              <w:jc w:val="left"/>
              <w:rPr>
                <w:rFonts w:hint="eastAsia" w:ascii="宋体" w:hAnsi="宋体" w:cs="宋体"/>
                <w:sz w:val="24"/>
              </w:rPr>
            </w:pPr>
            <w:r>
              <w:rPr>
                <w:rFonts w:hint="eastAsia" w:ascii="宋体" w:hAnsi="宋体" w:cs="宋体"/>
                <w:sz w:val="24"/>
              </w:rPr>
              <w:t>结论：是否通过评审</w:t>
            </w:r>
          </w:p>
        </w:tc>
        <w:tc>
          <w:tcPr>
            <w:tcW w:w="646" w:type="dxa"/>
            <w:tcBorders>
              <w:left w:val="single" w:color="auto" w:sz="4" w:space="0"/>
              <w:bottom w:val="single" w:color="auto" w:sz="12" w:space="0"/>
              <w:right w:val="single" w:color="auto" w:sz="4" w:space="0"/>
            </w:tcBorders>
            <w:noWrap w:val="0"/>
            <w:vAlign w:val="top"/>
          </w:tcPr>
          <w:p>
            <w:pPr>
              <w:spacing w:line="340" w:lineRule="exact"/>
              <w:jc w:val="left"/>
              <w:rPr>
                <w:rFonts w:hint="eastAsia" w:ascii="宋体" w:hAnsi="宋体" w:cs="宋体"/>
                <w:sz w:val="24"/>
              </w:rPr>
            </w:pPr>
          </w:p>
        </w:tc>
        <w:tc>
          <w:tcPr>
            <w:tcW w:w="646" w:type="dxa"/>
            <w:tcBorders>
              <w:left w:val="single" w:color="auto" w:sz="4" w:space="0"/>
              <w:bottom w:val="single" w:color="auto" w:sz="12" w:space="0"/>
            </w:tcBorders>
            <w:noWrap w:val="0"/>
            <w:vAlign w:val="top"/>
          </w:tcPr>
          <w:p>
            <w:pPr>
              <w:spacing w:line="340" w:lineRule="exact"/>
              <w:jc w:val="left"/>
              <w:rPr>
                <w:rFonts w:hint="eastAsia" w:ascii="宋体" w:hAnsi="宋体" w:cs="宋体"/>
                <w:sz w:val="24"/>
              </w:rPr>
            </w:pPr>
          </w:p>
        </w:tc>
        <w:tc>
          <w:tcPr>
            <w:tcW w:w="646" w:type="dxa"/>
            <w:tcBorders>
              <w:bottom w:val="single" w:color="auto" w:sz="12" w:space="0"/>
            </w:tcBorders>
            <w:noWrap w:val="0"/>
            <w:vAlign w:val="top"/>
          </w:tcPr>
          <w:p>
            <w:pPr>
              <w:spacing w:line="340" w:lineRule="exact"/>
              <w:jc w:val="left"/>
              <w:rPr>
                <w:rFonts w:hint="eastAsia" w:ascii="宋体" w:hAnsi="宋体" w:cs="宋体"/>
                <w:sz w:val="24"/>
              </w:rPr>
            </w:pPr>
          </w:p>
        </w:tc>
        <w:tc>
          <w:tcPr>
            <w:tcW w:w="597" w:type="dxa"/>
            <w:tcBorders>
              <w:bottom w:val="single" w:color="auto" w:sz="12" w:space="0"/>
            </w:tcBorders>
            <w:noWrap w:val="0"/>
            <w:vAlign w:val="top"/>
          </w:tcPr>
          <w:p>
            <w:pPr>
              <w:spacing w:line="340" w:lineRule="exact"/>
              <w:jc w:val="left"/>
              <w:rPr>
                <w:rFonts w:hint="eastAsia" w:ascii="宋体" w:hAnsi="宋体" w:cs="宋体"/>
                <w:sz w:val="24"/>
              </w:rPr>
            </w:pPr>
          </w:p>
        </w:tc>
      </w:tr>
    </w:tbl>
    <w:p>
      <w:pPr>
        <w:spacing w:line="340" w:lineRule="exact"/>
        <w:jc w:val="left"/>
        <w:rPr>
          <w:rFonts w:hint="eastAsia" w:ascii="宋体" w:hAnsi="宋体" w:cs="宋体"/>
          <w:sz w:val="24"/>
        </w:rPr>
      </w:pPr>
      <w:r>
        <w:rPr>
          <w:rFonts w:hint="eastAsia" w:ascii="宋体" w:hAnsi="宋体" w:cs="宋体"/>
          <w:sz w:val="24"/>
        </w:rPr>
        <w:t>说明：初步审查通过的供应商，进入下一步详细评审阶段，未通过初步审查的企业，作为无效响应，不进入后期评审阶段。</w:t>
      </w:r>
    </w:p>
    <w:p>
      <w:pPr>
        <w:spacing w:line="340" w:lineRule="exact"/>
        <w:jc w:val="left"/>
        <w:rPr>
          <w:rFonts w:hint="eastAsia" w:ascii="宋体" w:hAnsi="宋体" w:cs="宋体"/>
          <w:sz w:val="24"/>
        </w:rPr>
      </w:pPr>
    </w:p>
    <w:p>
      <w:pPr>
        <w:spacing w:line="440" w:lineRule="exact"/>
        <w:ind w:firstLine="482" w:firstLineChars="200"/>
        <w:rPr>
          <w:rFonts w:ascii="TMBCOU+ËÎÌå" w:hAnsi="TMBCOU+ËÎÌå" w:cs="TMBCOU+ËÎÌå"/>
          <w:spacing w:val="-1"/>
          <w:sz w:val="24"/>
          <w:szCs w:val="24"/>
        </w:rPr>
      </w:pPr>
      <w:r>
        <w:rPr>
          <w:rFonts w:hint="eastAsia" w:ascii="宋体" w:hAnsi="宋体" w:eastAsia="宋体" w:cs="宋体"/>
          <w:b/>
          <w:color w:val="auto"/>
          <w:sz w:val="24"/>
          <w:szCs w:val="24"/>
          <w:highlight w:val="none"/>
        </w:rPr>
        <w:t>《投标文件商务、技术部分评分标准》</w:t>
      </w:r>
    </w:p>
    <w:tbl>
      <w:tblPr>
        <w:tblStyle w:val="36"/>
        <w:tblpPr w:leftFromText="180" w:rightFromText="180" w:vertAnchor="text" w:horzAnchor="page" w:tblpX="1048" w:tblpY="267"/>
        <w:tblOverlap w:val="never"/>
        <w:tblW w:w="105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1"/>
        <w:gridCol w:w="1442"/>
        <w:gridCol w:w="836"/>
        <w:gridCol w:w="6326"/>
        <w:gridCol w:w="15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86" w:hRule="atLeast"/>
        </w:trPr>
        <w:tc>
          <w:tcPr>
            <w:tcW w:w="461"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序号</w:t>
            </w:r>
          </w:p>
        </w:tc>
        <w:tc>
          <w:tcPr>
            <w:tcW w:w="1442"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jc w:val="center"/>
              <w:rPr>
                <w:rFonts w:hAnsi="宋体" w:cs="Courier New"/>
                <w:sz w:val="24"/>
                <w:szCs w:val="24"/>
                <w:lang w:val="en-US" w:eastAsia="zh-CN"/>
              </w:rPr>
            </w:pPr>
            <w:r>
              <w:rPr>
                <w:rFonts w:hint="eastAsia" w:hAnsi="宋体" w:cs="Courier New"/>
                <w:sz w:val="24"/>
                <w:szCs w:val="24"/>
                <w:lang w:val="en-US" w:eastAsia="zh-CN"/>
              </w:rPr>
              <w:t>考核项目</w:t>
            </w:r>
          </w:p>
        </w:tc>
        <w:tc>
          <w:tcPr>
            <w:tcW w:w="836"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jc w:val="left"/>
              <w:rPr>
                <w:rFonts w:hAnsi="宋体" w:cs="Courier New"/>
                <w:sz w:val="24"/>
                <w:szCs w:val="24"/>
                <w:lang w:val="en-US" w:eastAsia="zh-CN"/>
              </w:rPr>
            </w:pPr>
            <w:r>
              <w:rPr>
                <w:rFonts w:hint="eastAsia" w:hAnsi="宋体" w:cs="Courier New"/>
                <w:sz w:val="24"/>
                <w:szCs w:val="24"/>
                <w:lang w:val="en-US" w:eastAsia="zh-CN"/>
              </w:rPr>
              <w:t>分数 标准</w:t>
            </w:r>
          </w:p>
        </w:tc>
        <w:tc>
          <w:tcPr>
            <w:tcW w:w="6326"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p>
          <w:p>
            <w:pPr>
              <w:pStyle w:val="3"/>
              <w:spacing w:line="360" w:lineRule="auto"/>
              <w:jc w:val="center"/>
              <w:rPr>
                <w:rFonts w:hAnsi="宋体" w:cs="Courier New"/>
                <w:sz w:val="24"/>
                <w:szCs w:val="24"/>
                <w:lang w:val="en-US" w:eastAsia="zh-CN"/>
              </w:rPr>
            </w:pPr>
            <w:r>
              <w:rPr>
                <w:rFonts w:hint="eastAsia" w:hAnsi="宋体" w:cs="Courier New"/>
                <w:sz w:val="24"/>
                <w:szCs w:val="24"/>
                <w:lang w:val="en-US" w:eastAsia="zh-CN"/>
              </w:rPr>
              <w:t>评分标准</w:t>
            </w:r>
          </w:p>
          <w:p>
            <w:pPr>
              <w:pStyle w:val="3"/>
              <w:spacing w:line="360" w:lineRule="auto"/>
              <w:rPr>
                <w:rFonts w:hAnsi="宋体" w:cs="Courier New"/>
                <w:sz w:val="24"/>
                <w:szCs w:val="24"/>
                <w:lang w:val="en-US" w:eastAsia="zh-CN"/>
              </w:rPr>
            </w:pPr>
          </w:p>
        </w:tc>
        <w:tc>
          <w:tcPr>
            <w:tcW w:w="1509"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78" w:hRule="atLeast"/>
        </w:trPr>
        <w:tc>
          <w:tcPr>
            <w:tcW w:w="461"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1</w:t>
            </w:r>
          </w:p>
        </w:tc>
        <w:tc>
          <w:tcPr>
            <w:tcW w:w="1442"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jc w:val="center"/>
              <w:rPr>
                <w:rFonts w:hAnsi="宋体" w:cs="Courier New"/>
                <w:sz w:val="24"/>
                <w:szCs w:val="24"/>
                <w:lang w:val="en-US" w:eastAsia="zh-CN"/>
              </w:rPr>
            </w:pPr>
            <w:r>
              <w:rPr>
                <w:rFonts w:hint="eastAsia" w:hAnsi="宋体" w:cs="Courier New"/>
                <w:sz w:val="24"/>
                <w:szCs w:val="24"/>
                <w:lang w:val="en-US" w:eastAsia="zh-CN"/>
              </w:rPr>
              <w:t>最终报价</w:t>
            </w:r>
          </w:p>
        </w:tc>
        <w:tc>
          <w:tcPr>
            <w:tcW w:w="836"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20分</w:t>
            </w:r>
          </w:p>
        </w:tc>
        <w:tc>
          <w:tcPr>
            <w:tcW w:w="6326"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评分办法：采用低价优先法计算，即满足磋商文件要求且投标价格最低的投标报价为评标基准价，其价格得分为满分。</w:t>
            </w:r>
          </w:p>
          <w:p>
            <w:pPr>
              <w:pStyle w:val="3"/>
              <w:spacing w:line="360" w:lineRule="auto"/>
              <w:rPr>
                <w:rFonts w:hAnsi="宋体" w:cs="Courier New"/>
                <w:sz w:val="24"/>
                <w:szCs w:val="24"/>
                <w:lang w:val="en-US" w:eastAsia="zh-CN"/>
              </w:rPr>
            </w:pPr>
            <w:r>
              <w:rPr>
                <w:rFonts w:hint="eastAsia" w:hAnsi="宋体" w:cs="Courier New"/>
                <w:sz w:val="24"/>
                <w:szCs w:val="24"/>
                <w:lang w:val="en-US" w:eastAsia="zh-CN"/>
              </w:rPr>
              <w:t>价格得分=（评标基准价/投标报价）×价格权值，如此类推，算出所有供应商的价格得分（政府采购计算办法）</w:t>
            </w:r>
          </w:p>
          <w:p>
            <w:pPr>
              <w:pStyle w:val="3"/>
              <w:spacing w:line="360" w:lineRule="auto"/>
              <w:rPr>
                <w:rFonts w:hAnsi="宋体" w:cs="Courier New"/>
                <w:sz w:val="24"/>
                <w:szCs w:val="24"/>
                <w:lang w:val="en-US" w:eastAsia="zh-CN"/>
              </w:rPr>
            </w:pPr>
            <w:r>
              <w:rPr>
                <w:rFonts w:hint="eastAsia" w:hAnsi="宋体" w:cs="Courier New"/>
                <w:b/>
                <w:bCs/>
                <w:sz w:val="24"/>
                <w:szCs w:val="24"/>
                <w:lang w:val="en-US" w:eastAsia="zh-CN"/>
              </w:rPr>
              <w:t>备注：对小型和微型企业产品的价格给予10%的扣除，用扣除后的价格参与评审</w:t>
            </w:r>
          </w:p>
        </w:tc>
        <w:tc>
          <w:tcPr>
            <w:tcW w:w="1509" w:type="dxa"/>
            <w:tcBorders>
              <w:top w:val="single" w:color="auto" w:sz="6" w:space="0"/>
              <w:left w:val="single" w:color="auto" w:sz="6" w:space="0"/>
              <w:bottom w:val="single" w:color="auto" w:sz="6" w:space="0"/>
              <w:right w:val="single" w:color="auto" w:sz="6" w:space="0"/>
            </w:tcBorders>
            <w:noWrap w:val="0"/>
            <w:vAlign w:val="top"/>
          </w:tcPr>
          <w:p>
            <w:pPr>
              <w:pStyle w:val="3"/>
              <w:spacing w:line="360" w:lineRule="auto"/>
              <w:rPr>
                <w:rFonts w:hAnsi="宋体" w:cs="Courier New"/>
                <w:sz w:val="24"/>
                <w:szCs w:val="24"/>
                <w:lang w:val="en-US" w:eastAsia="zh-CN"/>
              </w:rPr>
            </w:pPr>
          </w:p>
          <w:p>
            <w:pPr>
              <w:pStyle w:val="3"/>
              <w:spacing w:line="360" w:lineRule="auto"/>
              <w:rPr>
                <w:rFonts w:hAnsi="宋体" w:cs="Courier New"/>
                <w:sz w:val="24"/>
                <w:szCs w:val="24"/>
                <w:lang w:val="en-US" w:eastAsia="zh-CN"/>
              </w:rPr>
            </w:pPr>
            <w:r>
              <w:rPr>
                <w:rFonts w:hint="eastAsia" w:hAnsi="宋体" w:cs="Courier New"/>
                <w:sz w:val="24"/>
                <w:szCs w:val="24"/>
                <w:lang w:val="en-US" w:eastAsia="zh-CN"/>
              </w:rPr>
              <w:t>￥：     元（保留两位小数）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4" w:hRule="atLeast"/>
        </w:trPr>
        <w:tc>
          <w:tcPr>
            <w:tcW w:w="461"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b/>
                <w:sz w:val="24"/>
                <w:szCs w:val="24"/>
                <w:lang w:val="en-US" w:eastAsia="zh-CN"/>
              </w:rPr>
            </w:pPr>
            <w:r>
              <w:rPr>
                <w:rFonts w:hint="eastAsia" w:hAnsi="宋体" w:cs="Courier New"/>
                <w:b/>
                <w:sz w:val="24"/>
                <w:szCs w:val="24"/>
                <w:lang w:val="en-US" w:eastAsia="zh-CN"/>
              </w:rPr>
              <w:t>一</w:t>
            </w:r>
          </w:p>
        </w:tc>
        <w:tc>
          <w:tcPr>
            <w:tcW w:w="10113" w:type="dxa"/>
            <w:gridSpan w:val="4"/>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b/>
                <w:sz w:val="24"/>
                <w:szCs w:val="24"/>
                <w:lang w:val="en-US" w:eastAsia="zh-CN"/>
              </w:rPr>
            </w:pPr>
            <w:r>
              <w:rPr>
                <w:rFonts w:hint="eastAsia" w:hAnsi="宋体" w:cs="Courier New"/>
                <w:b/>
                <w:sz w:val="24"/>
                <w:szCs w:val="24"/>
                <w:lang w:val="en-US" w:eastAsia="zh-CN"/>
              </w:rPr>
              <w:t>商务部分：10分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461" w:type="dxa"/>
            <w:tcBorders>
              <w:top w:val="single" w:color="auto" w:sz="6" w:space="0"/>
              <w:left w:val="single" w:color="auto" w:sz="6" w:space="0"/>
              <w:bottom w:val="single" w:color="auto" w:sz="4"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1</w:t>
            </w:r>
          </w:p>
        </w:tc>
        <w:tc>
          <w:tcPr>
            <w:tcW w:w="1442" w:type="dxa"/>
            <w:tcBorders>
              <w:top w:val="single" w:color="auto" w:sz="6" w:space="0"/>
              <w:left w:val="single" w:color="auto" w:sz="6" w:space="0"/>
              <w:bottom w:val="single" w:color="auto" w:sz="4"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企业实力</w:t>
            </w:r>
          </w:p>
        </w:tc>
        <w:tc>
          <w:tcPr>
            <w:tcW w:w="836" w:type="dxa"/>
            <w:tcBorders>
              <w:top w:val="single" w:color="auto" w:sz="6" w:space="0"/>
              <w:left w:val="single" w:color="auto" w:sz="6" w:space="0"/>
              <w:bottom w:val="single" w:color="auto" w:sz="4"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 xml:space="preserve"> 5分</w:t>
            </w:r>
          </w:p>
        </w:tc>
        <w:tc>
          <w:tcPr>
            <w:tcW w:w="6326" w:type="dxa"/>
            <w:tcBorders>
              <w:top w:val="single" w:color="auto" w:sz="6" w:space="0"/>
              <w:left w:val="single" w:color="auto" w:sz="6" w:space="0"/>
              <w:bottom w:val="single" w:color="auto" w:sz="4" w:space="0"/>
              <w:right w:val="single" w:color="auto" w:sz="6" w:space="0"/>
            </w:tcBorders>
            <w:noWrap w:val="0"/>
            <w:vAlign w:val="top"/>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具备人员资质证书每有一项得1分，最高得5分（安防系统集成项目经理证书或具有弱电系统集成项目经理证书或具有网络工程师中级或高级证书）</w:t>
            </w:r>
          </w:p>
        </w:tc>
        <w:tc>
          <w:tcPr>
            <w:tcW w:w="1509" w:type="dxa"/>
            <w:tcBorders>
              <w:top w:val="single" w:color="auto" w:sz="6" w:space="0"/>
              <w:left w:val="single" w:color="auto" w:sz="4" w:space="0"/>
              <w:bottom w:val="single" w:color="auto" w:sz="4" w:space="0"/>
              <w:right w:val="single" w:color="auto" w:sz="6" w:space="0"/>
            </w:tcBorders>
            <w:noWrap w:val="0"/>
            <w:vAlign w:val="top"/>
          </w:tcPr>
          <w:p>
            <w:pPr>
              <w:pStyle w:val="3"/>
              <w:spacing w:line="360" w:lineRule="auto"/>
              <w:rPr>
                <w:rFonts w:hAnsi="宋体" w:cs="Courier New"/>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461" w:type="dxa"/>
            <w:tcBorders>
              <w:top w:val="single" w:color="auto" w:sz="4"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2</w:t>
            </w:r>
          </w:p>
        </w:tc>
        <w:tc>
          <w:tcPr>
            <w:tcW w:w="1442" w:type="dxa"/>
            <w:tcBorders>
              <w:top w:val="single" w:color="auto" w:sz="4"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rPr>
              <w:t>类似业绩</w:t>
            </w:r>
          </w:p>
        </w:tc>
        <w:tc>
          <w:tcPr>
            <w:tcW w:w="836" w:type="dxa"/>
            <w:tcBorders>
              <w:top w:val="single" w:color="auto" w:sz="4"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5分</w:t>
            </w:r>
          </w:p>
        </w:tc>
        <w:tc>
          <w:tcPr>
            <w:tcW w:w="6326" w:type="dxa"/>
            <w:tcBorders>
              <w:top w:val="single" w:color="auto" w:sz="4" w:space="0"/>
              <w:left w:val="single" w:color="auto" w:sz="6" w:space="0"/>
              <w:bottom w:val="single" w:color="auto" w:sz="6" w:space="0"/>
              <w:right w:val="single" w:color="auto" w:sz="6" w:space="0"/>
            </w:tcBorders>
            <w:noWrap w:val="0"/>
            <w:vAlign w:val="center"/>
          </w:tcPr>
          <w:p>
            <w:pPr>
              <w:pStyle w:val="3"/>
              <w:spacing w:line="360" w:lineRule="auto"/>
              <w:rPr>
                <w:rFonts w:hint="default" w:hAnsi="宋体" w:cs="Courier New"/>
                <w:sz w:val="24"/>
                <w:szCs w:val="24"/>
                <w:lang w:val="en-US" w:eastAsia="zh-CN"/>
              </w:rPr>
            </w:pPr>
            <w:r>
              <w:rPr>
                <w:rFonts w:hint="eastAsia" w:hAnsi="宋体" w:cs="Courier New"/>
                <w:sz w:val="24"/>
                <w:szCs w:val="24"/>
                <w:lang w:val="en-US" w:eastAsia="zh-CN"/>
              </w:rPr>
              <w:t>供应商提供近年同类业绩。（2019年-2021年）优秀的得5分，较好的得2分，一般的得1分；（</w:t>
            </w:r>
            <w:r>
              <w:rPr>
                <w:rFonts w:hint="eastAsia" w:hAnsi="宋体" w:cs="Courier New"/>
                <w:sz w:val="21"/>
                <w:szCs w:val="21"/>
              </w:rPr>
              <w:t>以提供的中标通知书或合同协议书才能得分。</w:t>
            </w:r>
            <w:r>
              <w:rPr>
                <w:rFonts w:hint="eastAsia" w:hAnsi="宋体" w:cs="Courier New"/>
                <w:sz w:val="24"/>
                <w:szCs w:val="24"/>
                <w:lang w:val="en-US" w:eastAsia="zh-CN"/>
              </w:rPr>
              <w:t>）</w:t>
            </w:r>
          </w:p>
        </w:tc>
        <w:tc>
          <w:tcPr>
            <w:tcW w:w="1509" w:type="dxa"/>
            <w:tcBorders>
              <w:top w:val="single" w:color="auto" w:sz="4" w:space="0"/>
              <w:left w:val="single" w:color="auto" w:sz="6" w:space="0"/>
              <w:bottom w:val="single" w:color="auto" w:sz="6" w:space="0"/>
              <w:right w:val="single" w:color="auto" w:sz="6" w:space="0"/>
            </w:tcBorders>
            <w:noWrap w:val="0"/>
            <w:vAlign w:val="top"/>
          </w:tcPr>
          <w:p>
            <w:pPr>
              <w:pStyle w:val="3"/>
              <w:spacing w:line="360" w:lineRule="auto"/>
              <w:rPr>
                <w:rFonts w:hAnsi="宋体" w:cs="Courier New"/>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461" w:type="dxa"/>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jc w:val="center"/>
              <w:rPr>
                <w:rFonts w:hAnsi="宋体"/>
                <w:sz w:val="24"/>
                <w:szCs w:val="24"/>
                <w:lang w:val="en-US" w:eastAsia="zh-CN"/>
              </w:rPr>
            </w:pPr>
            <w:r>
              <w:rPr>
                <w:rFonts w:hint="eastAsia" w:hAnsi="宋体"/>
                <w:sz w:val="24"/>
                <w:szCs w:val="24"/>
                <w:lang w:val="en-US" w:eastAsia="zh-CN"/>
              </w:rPr>
              <w:t>二</w:t>
            </w:r>
          </w:p>
        </w:tc>
        <w:tc>
          <w:tcPr>
            <w:tcW w:w="10113" w:type="dxa"/>
            <w:gridSpan w:val="4"/>
            <w:tcBorders>
              <w:top w:val="single" w:color="auto" w:sz="6" w:space="0"/>
              <w:left w:val="single" w:color="auto" w:sz="6" w:space="0"/>
              <w:bottom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b/>
                <w:sz w:val="24"/>
                <w:szCs w:val="24"/>
                <w:lang w:val="en-US" w:eastAsia="zh-CN"/>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42" w:hRule="atLeast"/>
        </w:trPr>
        <w:tc>
          <w:tcPr>
            <w:tcW w:w="461" w:type="dxa"/>
            <w:tcBorders>
              <w:top w:val="single" w:color="auto" w:sz="4" w:space="0"/>
              <w:left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1</w:t>
            </w:r>
          </w:p>
        </w:tc>
        <w:tc>
          <w:tcPr>
            <w:tcW w:w="1442" w:type="dxa"/>
            <w:tcBorders>
              <w:top w:val="single" w:color="auto" w:sz="4" w:space="0"/>
              <w:left w:val="single" w:color="auto" w:sz="6" w:space="0"/>
              <w:right w:val="single" w:color="auto" w:sz="4"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技术响应</w:t>
            </w:r>
          </w:p>
        </w:tc>
        <w:tc>
          <w:tcPr>
            <w:tcW w:w="836"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Ansi="宋体" w:cs="Courier New"/>
                <w:sz w:val="24"/>
                <w:szCs w:val="24"/>
                <w:lang w:val="en-US" w:eastAsia="zh-CN"/>
              </w:rPr>
            </w:pPr>
            <w:r>
              <w:rPr>
                <w:rFonts w:hint="eastAsia" w:hAnsi="宋体" w:cs="Courier New"/>
                <w:sz w:val="24"/>
                <w:szCs w:val="24"/>
                <w:lang w:val="en-US" w:eastAsia="zh-CN"/>
              </w:rPr>
              <w:t>5分</w:t>
            </w:r>
          </w:p>
        </w:tc>
        <w:tc>
          <w:tcPr>
            <w:tcW w:w="6326" w:type="dxa"/>
            <w:tcBorders>
              <w:top w:val="single" w:color="auto" w:sz="4" w:space="0"/>
              <w:left w:val="single" w:color="auto" w:sz="4"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服务要求完全符合磋商文件技术要求的得5分，以此为基础，投标人服务要求高于磋商文件规定的相应要求的（提供相关承诺），每有一项得1分，最高得5分。</w:t>
            </w:r>
          </w:p>
        </w:tc>
        <w:tc>
          <w:tcPr>
            <w:tcW w:w="1509" w:type="dxa"/>
            <w:tcBorders>
              <w:top w:val="single" w:color="auto" w:sz="6" w:space="0"/>
              <w:left w:val="single" w:color="auto" w:sz="6" w:space="0"/>
              <w:right w:val="single" w:color="auto" w:sz="6" w:space="0"/>
            </w:tcBorders>
            <w:noWrap w:val="0"/>
            <w:vAlign w:val="top"/>
          </w:tcPr>
          <w:p>
            <w:pPr>
              <w:pStyle w:val="3"/>
              <w:spacing w:line="360" w:lineRule="auto"/>
              <w:jc w:val="center"/>
              <w:rPr>
                <w:rFonts w:hAnsi="宋体" w:cs="Courier New"/>
                <w:sz w:val="24"/>
                <w:szCs w:val="24"/>
                <w:lang w:val="en-US" w:eastAsia="zh-CN"/>
              </w:rPr>
            </w:pPr>
          </w:p>
          <w:p>
            <w:pPr>
              <w:pStyle w:val="3"/>
              <w:spacing w:line="360" w:lineRule="auto"/>
              <w:jc w:val="center"/>
              <w:rPr>
                <w:rFonts w:hAnsi="宋体" w:cs="Courier New"/>
                <w:sz w:val="24"/>
                <w:szCs w:val="24"/>
                <w:lang w:val="en-US" w:eastAsia="zh-CN"/>
              </w:rPr>
            </w:pPr>
          </w:p>
          <w:p>
            <w:pPr>
              <w:pStyle w:val="3"/>
              <w:spacing w:line="360" w:lineRule="auto"/>
              <w:rPr>
                <w:rFonts w:hAnsi="宋体" w:cs="Courier New"/>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61" w:type="dxa"/>
            <w:vMerge w:val="restart"/>
            <w:tcBorders>
              <w:top w:val="single" w:color="auto" w:sz="4" w:space="0"/>
              <w:left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2</w:t>
            </w:r>
          </w:p>
        </w:tc>
        <w:tc>
          <w:tcPr>
            <w:tcW w:w="1442" w:type="dxa"/>
            <w:vMerge w:val="restart"/>
            <w:tcBorders>
              <w:top w:val="single" w:color="auto" w:sz="4" w:space="0"/>
              <w:left w:val="single" w:color="auto" w:sz="6"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default" w:hAnsi="宋体" w:cs="Courier New"/>
                <w:sz w:val="24"/>
                <w:szCs w:val="24"/>
                <w:lang w:val="en-US" w:eastAsia="zh-CN"/>
              </w:rPr>
              <w:t>运维服务</w:t>
            </w:r>
            <w:r>
              <w:rPr>
                <w:rFonts w:hint="eastAsia" w:hAnsi="宋体" w:cs="Courier New"/>
                <w:sz w:val="24"/>
                <w:szCs w:val="24"/>
                <w:lang w:val="en-US" w:eastAsia="zh-CN"/>
              </w:rPr>
              <w:t>方案</w:t>
            </w:r>
          </w:p>
        </w:tc>
        <w:tc>
          <w:tcPr>
            <w:tcW w:w="836" w:type="dxa"/>
            <w:vMerge w:val="restart"/>
            <w:tcBorders>
              <w:top w:val="single" w:color="auto" w:sz="4" w:space="0"/>
              <w:left w:val="single" w:color="auto" w:sz="6" w:space="0"/>
              <w:right w:val="single" w:color="auto" w:sz="6" w:space="0"/>
            </w:tcBorders>
            <w:noWrap w:val="0"/>
            <w:vAlign w:val="center"/>
          </w:tcPr>
          <w:p>
            <w:pPr>
              <w:pStyle w:val="3"/>
              <w:spacing w:line="360" w:lineRule="auto"/>
              <w:jc w:val="center"/>
              <w:rPr>
                <w:rFonts w:hAnsi="宋体" w:cs="Courier New"/>
                <w:sz w:val="24"/>
                <w:szCs w:val="24"/>
                <w:lang w:val="en-US" w:eastAsia="zh-CN"/>
              </w:rPr>
            </w:pPr>
            <w:r>
              <w:rPr>
                <w:rFonts w:hint="eastAsia" w:hAnsi="宋体" w:cs="Courier New"/>
                <w:sz w:val="24"/>
                <w:szCs w:val="24"/>
                <w:lang w:val="en-US" w:eastAsia="zh-CN"/>
              </w:rPr>
              <w:t>30分</w:t>
            </w:r>
          </w:p>
        </w:tc>
        <w:tc>
          <w:tcPr>
            <w:tcW w:w="6326" w:type="dxa"/>
            <w:tcBorders>
              <w:top w:val="single" w:color="auto" w:sz="4" w:space="0"/>
              <w:left w:val="single" w:color="auto" w:sz="6" w:space="0"/>
              <w:bottom w:val="single" w:color="auto" w:sz="4"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default" w:hAnsi="宋体" w:cs="Courier New"/>
                <w:sz w:val="24"/>
                <w:szCs w:val="24"/>
                <w:lang w:val="en-US" w:eastAsia="zh-CN"/>
              </w:rPr>
              <w:t>对运维服务人员管理、培训、考核、奖励、惩罚等有明确制度规定，各项制度详细全面的，得</w:t>
            </w:r>
            <w:r>
              <w:rPr>
                <w:rFonts w:hint="eastAsia" w:hAnsi="宋体" w:cs="Courier New"/>
                <w:sz w:val="24"/>
                <w:szCs w:val="24"/>
                <w:lang w:val="en-US" w:eastAsia="zh-CN"/>
              </w:rPr>
              <w:t>8-10</w:t>
            </w:r>
            <w:r>
              <w:rPr>
                <w:rFonts w:hint="default" w:hAnsi="宋体" w:cs="Courier New"/>
                <w:sz w:val="24"/>
                <w:szCs w:val="24"/>
                <w:lang w:val="en-US" w:eastAsia="zh-CN"/>
              </w:rPr>
              <w:t>分，各项制度较为详细较全面的，得4-</w:t>
            </w:r>
            <w:r>
              <w:rPr>
                <w:rFonts w:hint="eastAsia" w:hAnsi="宋体" w:cs="Courier New"/>
                <w:sz w:val="24"/>
                <w:szCs w:val="24"/>
                <w:lang w:val="en-US" w:eastAsia="zh-CN"/>
              </w:rPr>
              <w:t>7</w:t>
            </w:r>
            <w:r>
              <w:rPr>
                <w:rFonts w:hint="default" w:hAnsi="宋体" w:cs="Courier New"/>
                <w:sz w:val="24"/>
                <w:szCs w:val="24"/>
                <w:lang w:val="en-US" w:eastAsia="zh-CN"/>
              </w:rPr>
              <w:t>分，各项制度简单不全面的，得1-3分。</w:t>
            </w:r>
          </w:p>
        </w:tc>
        <w:tc>
          <w:tcPr>
            <w:tcW w:w="1509" w:type="dxa"/>
            <w:tcBorders>
              <w:top w:val="single" w:color="auto" w:sz="6" w:space="0"/>
              <w:left w:val="single" w:color="auto" w:sz="6" w:space="0"/>
              <w:bottom w:val="single" w:color="auto" w:sz="6" w:space="0"/>
              <w:right w:val="single" w:color="auto" w:sz="6" w:space="0"/>
            </w:tcBorders>
            <w:noWrap w:val="0"/>
            <w:vAlign w:val="bottom"/>
          </w:tcPr>
          <w:p>
            <w:pPr>
              <w:pStyle w:val="3"/>
              <w:spacing w:line="360" w:lineRule="auto"/>
              <w:rPr>
                <w:rFonts w:hAnsi="宋体" w:cs="Courier New"/>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61" w:type="dxa"/>
            <w:vMerge w:val="continue"/>
            <w:tcBorders>
              <w:left w:val="single" w:color="auto" w:sz="6" w:space="0"/>
              <w:right w:val="single" w:color="auto" w:sz="6" w:space="0"/>
            </w:tcBorders>
            <w:noWrap w:val="0"/>
            <w:vAlign w:val="center"/>
          </w:tcPr>
          <w:p>
            <w:pPr>
              <w:pStyle w:val="3"/>
              <w:spacing w:line="360" w:lineRule="auto"/>
              <w:rPr>
                <w:rFonts w:hint="eastAsia" w:hAnsi="宋体" w:cs="Courier New"/>
                <w:sz w:val="24"/>
                <w:szCs w:val="24"/>
                <w:lang w:val="en-US" w:eastAsia="zh-CN"/>
              </w:rPr>
            </w:pPr>
          </w:p>
        </w:tc>
        <w:tc>
          <w:tcPr>
            <w:tcW w:w="1442" w:type="dxa"/>
            <w:vMerge w:val="continue"/>
            <w:tcBorders>
              <w:left w:val="single" w:color="auto" w:sz="6" w:space="0"/>
              <w:right w:val="single" w:color="auto" w:sz="6" w:space="0"/>
            </w:tcBorders>
            <w:noWrap w:val="0"/>
            <w:vAlign w:val="center"/>
          </w:tcPr>
          <w:p>
            <w:pPr>
              <w:pStyle w:val="3"/>
              <w:spacing w:line="360" w:lineRule="auto"/>
              <w:rPr>
                <w:rFonts w:hint="default" w:hAnsi="宋体" w:cs="Courier New"/>
                <w:sz w:val="24"/>
                <w:szCs w:val="24"/>
                <w:lang w:val="en-US" w:eastAsia="zh-CN"/>
              </w:rPr>
            </w:pPr>
          </w:p>
        </w:tc>
        <w:tc>
          <w:tcPr>
            <w:tcW w:w="836" w:type="dxa"/>
            <w:vMerge w:val="continue"/>
            <w:tcBorders>
              <w:left w:val="single" w:color="auto" w:sz="6" w:space="0"/>
              <w:right w:val="single" w:color="auto" w:sz="6" w:space="0"/>
            </w:tcBorders>
            <w:noWrap w:val="0"/>
            <w:vAlign w:val="center"/>
          </w:tcPr>
          <w:p>
            <w:pPr>
              <w:pStyle w:val="3"/>
              <w:spacing w:line="360" w:lineRule="auto"/>
              <w:jc w:val="center"/>
              <w:rPr>
                <w:rFonts w:hint="eastAsia" w:hAnsi="宋体" w:cs="Courier New"/>
                <w:sz w:val="24"/>
                <w:szCs w:val="24"/>
                <w:lang w:val="en-US" w:eastAsia="zh-CN"/>
              </w:rPr>
            </w:pPr>
          </w:p>
        </w:tc>
        <w:tc>
          <w:tcPr>
            <w:tcW w:w="6326" w:type="dxa"/>
            <w:tcBorders>
              <w:top w:val="single" w:color="auto" w:sz="4" w:space="0"/>
              <w:left w:val="single" w:color="auto" w:sz="6" w:space="0"/>
              <w:bottom w:val="single" w:color="auto" w:sz="4" w:space="0"/>
              <w:right w:val="single" w:color="auto" w:sz="6" w:space="0"/>
            </w:tcBorders>
            <w:noWrap w:val="0"/>
            <w:vAlign w:val="center"/>
          </w:tcPr>
          <w:p>
            <w:pPr>
              <w:pStyle w:val="3"/>
              <w:spacing w:line="360" w:lineRule="auto"/>
              <w:rPr>
                <w:rFonts w:hint="default" w:hAnsi="宋体" w:cs="Courier New"/>
                <w:sz w:val="24"/>
                <w:szCs w:val="24"/>
                <w:lang w:val="en-US" w:eastAsia="zh-CN"/>
              </w:rPr>
            </w:pPr>
            <w:r>
              <w:rPr>
                <w:rFonts w:hint="default" w:hAnsi="宋体" w:cs="Courier New"/>
                <w:sz w:val="24"/>
                <w:szCs w:val="24"/>
                <w:lang w:val="en-US" w:eastAsia="zh-CN"/>
              </w:rPr>
              <w:t>具有完整、合理、详细的服务流程和运维管理制度，包括用户满意度调查表等各种资料。各项制度详细全面的，得8-10分，各项制度较为详细较全面的，得4-7分，各项制度简单不全面的，得1-3分。</w:t>
            </w:r>
          </w:p>
        </w:tc>
        <w:tc>
          <w:tcPr>
            <w:tcW w:w="1509" w:type="dxa"/>
            <w:tcBorders>
              <w:top w:val="single" w:color="auto" w:sz="6" w:space="0"/>
              <w:left w:val="single" w:color="auto" w:sz="6" w:space="0"/>
              <w:bottom w:val="single" w:color="auto" w:sz="6" w:space="0"/>
              <w:right w:val="single" w:color="auto" w:sz="6" w:space="0"/>
            </w:tcBorders>
            <w:noWrap w:val="0"/>
            <w:vAlign w:val="bottom"/>
          </w:tcPr>
          <w:p>
            <w:pPr>
              <w:pStyle w:val="3"/>
              <w:spacing w:line="360" w:lineRule="auto"/>
              <w:rPr>
                <w:rFonts w:hAnsi="宋体" w:cs="Courier New"/>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461" w:type="dxa"/>
            <w:vMerge w:val="continue"/>
            <w:tcBorders>
              <w:left w:val="single" w:color="auto" w:sz="6" w:space="0"/>
              <w:bottom w:val="single" w:color="auto" w:sz="4" w:space="0"/>
              <w:right w:val="single" w:color="auto" w:sz="6" w:space="0"/>
            </w:tcBorders>
            <w:noWrap w:val="0"/>
            <w:vAlign w:val="center"/>
          </w:tcPr>
          <w:p>
            <w:pPr>
              <w:pStyle w:val="3"/>
              <w:spacing w:line="360" w:lineRule="auto"/>
              <w:rPr>
                <w:rFonts w:hint="eastAsia" w:hAnsi="宋体" w:cs="Courier New"/>
                <w:sz w:val="24"/>
                <w:szCs w:val="24"/>
                <w:lang w:val="en-US" w:eastAsia="zh-CN"/>
              </w:rPr>
            </w:pPr>
          </w:p>
        </w:tc>
        <w:tc>
          <w:tcPr>
            <w:tcW w:w="1442" w:type="dxa"/>
            <w:vMerge w:val="continue"/>
            <w:tcBorders>
              <w:left w:val="single" w:color="auto" w:sz="6" w:space="0"/>
              <w:bottom w:val="single" w:color="auto" w:sz="4" w:space="0"/>
              <w:right w:val="single" w:color="auto" w:sz="6" w:space="0"/>
            </w:tcBorders>
            <w:noWrap w:val="0"/>
            <w:vAlign w:val="center"/>
          </w:tcPr>
          <w:p>
            <w:pPr>
              <w:pStyle w:val="3"/>
              <w:spacing w:line="360" w:lineRule="auto"/>
              <w:rPr>
                <w:rFonts w:hint="default" w:hAnsi="宋体" w:cs="Courier New"/>
                <w:sz w:val="24"/>
                <w:szCs w:val="24"/>
                <w:lang w:val="en-US" w:eastAsia="zh-CN"/>
              </w:rPr>
            </w:pPr>
          </w:p>
        </w:tc>
        <w:tc>
          <w:tcPr>
            <w:tcW w:w="836" w:type="dxa"/>
            <w:vMerge w:val="continue"/>
            <w:tcBorders>
              <w:left w:val="single" w:color="auto" w:sz="6" w:space="0"/>
              <w:bottom w:val="single" w:color="auto" w:sz="4" w:space="0"/>
              <w:right w:val="single" w:color="auto" w:sz="6" w:space="0"/>
            </w:tcBorders>
            <w:noWrap w:val="0"/>
            <w:vAlign w:val="center"/>
          </w:tcPr>
          <w:p>
            <w:pPr>
              <w:pStyle w:val="3"/>
              <w:spacing w:line="360" w:lineRule="auto"/>
              <w:jc w:val="center"/>
              <w:rPr>
                <w:rFonts w:hint="eastAsia" w:hAnsi="宋体" w:cs="Courier New"/>
                <w:sz w:val="24"/>
                <w:szCs w:val="24"/>
                <w:lang w:val="en-US" w:eastAsia="zh-CN"/>
              </w:rPr>
            </w:pPr>
          </w:p>
        </w:tc>
        <w:tc>
          <w:tcPr>
            <w:tcW w:w="6326" w:type="dxa"/>
            <w:tcBorders>
              <w:top w:val="single" w:color="auto" w:sz="4" w:space="0"/>
              <w:left w:val="single" w:color="auto" w:sz="6" w:space="0"/>
              <w:bottom w:val="single" w:color="auto" w:sz="4" w:space="0"/>
              <w:right w:val="single" w:color="auto" w:sz="6" w:space="0"/>
            </w:tcBorders>
            <w:noWrap w:val="0"/>
            <w:vAlign w:val="center"/>
          </w:tcPr>
          <w:p>
            <w:pPr>
              <w:pStyle w:val="3"/>
              <w:spacing w:line="360" w:lineRule="auto"/>
              <w:rPr>
                <w:rFonts w:hint="default" w:hAnsi="宋体" w:cs="Courier New"/>
                <w:sz w:val="24"/>
                <w:szCs w:val="24"/>
                <w:lang w:val="en-US" w:eastAsia="zh-CN"/>
              </w:rPr>
            </w:pPr>
            <w:r>
              <w:rPr>
                <w:rFonts w:hint="default" w:hAnsi="宋体" w:cs="Courier New"/>
                <w:sz w:val="24"/>
                <w:szCs w:val="24"/>
                <w:lang w:val="en-US" w:eastAsia="zh-CN"/>
              </w:rPr>
              <w:t>所提供的运维服务方案合理、规范、全面，最大限度保证采购人现有系统的正常运行，能够确保年度运维工作完成。运维服务方案合理、规范、全面的，得8 -10分，运维服务方案较为合理、规范、全面的，得4-7分，运维服务方案一般合理、规范、全面的，得1-3分。</w:t>
            </w:r>
          </w:p>
        </w:tc>
        <w:tc>
          <w:tcPr>
            <w:tcW w:w="1509" w:type="dxa"/>
            <w:tcBorders>
              <w:top w:val="single" w:color="auto" w:sz="6" w:space="0"/>
              <w:left w:val="single" w:color="auto" w:sz="6" w:space="0"/>
              <w:bottom w:val="single" w:color="auto" w:sz="6" w:space="0"/>
              <w:right w:val="single" w:color="auto" w:sz="6" w:space="0"/>
            </w:tcBorders>
            <w:noWrap w:val="0"/>
            <w:vAlign w:val="bottom"/>
          </w:tcPr>
          <w:p>
            <w:pPr>
              <w:pStyle w:val="3"/>
              <w:spacing w:line="360" w:lineRule="auto"/>
              <w:rPr>
                <w:rFonts w:hAnsi="宋体" w:cs="Courier New"/>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01" w:hRule="atLeast"/>
        </w:trPr>
        <w:tc>
          <w:tcPr>
            <w:tcW w:w="461" w:type="dxa"/>
            <w:tcBorders>
              <w:top w:val="single" w:color="auto" w:sz="4" w:space="0"/>
              <w:left w:val="single" w:color="auto" w:sz="6" w:space="0"/>
              <w:bottom w:val="single" w:color="auto" w:sz="4"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3</w:t>
            </w:r>
          </w:p>
        </w:tc>
        <w:tc>
          <w:tcPr>
            <w:tcW w:w="1442" w:type="dxa"/>
            <w:tcBorders>
              <w:top w:val="single" w:color="auto" w:sz="4" w:space="0"/>
              <w:left w:val="single" w:color="auto" w:sz="6" w:space="0"/>
              <w:bottom w:val="single" w:color="auto" w:sz="4"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合理化方案</w:t>
            </w:r>
          </w:p>
        </w:tc>
        <w:tc>
          <w:tcPr>
            <w:tcW w:w="836" w:type="dxa"/>
            <w:tcBorders>
              <w:top w:val="single" w:color="auto" w:sz="4" w:space="0"/>
              <w:left w:val="single" w:color="auto" w:sz="6" w:space="0"/>
              <w:bottom w:val="single" w:color="auto" w:sz="6" w:space="0"/>
              <w:right w:val="single" w:color="auto" w:sz="6" w:space="0"/>
            </w:tcBorders>
            <w:noWrap w:val="0"/>
            <w:vAlign w:val="center"/>
          </w:tcPr>
          <w:p>
            <w:pPr>
              <w:pStyle w:val="3"/>
              <w:spacing w:line="360" w:lineRule="auto"/>
              <w:jc w:val="center"/>
              <w:rPr>
                <w:rFonts w:hAnsi="宋体" w:cs="Courier New"/>
                <w:sz w:val="24"/>
                <w:szCs w:val="24"/>
                <w:lang w:val="en-US" w:eastAsia="zh-CN"/>
              </w:rPr>
            </w:pPr>
            <w:r>
              <w:rPr>
                <w:rFonts w:hint="eastAsia" w:hAnsi="宋体" w:cs="Courier New"/>
                <w:sz w:val="24"/>
                <w:szCs w:val="24"/>
                <w:lang w:val="en-US" w:eastAsia="zh-CN"/>
              </w:rPr>
              <w:t>15分</w:t>
            </w:r>
          </w:p>
        </w:tc>
        <w:tc>
          <w:tcPr>
            <w:tcW w:w="6326" w:type="dxa"/>
            <w:tcBorders>
              <w:top w:val="single" w:color="auto" w:sz="4" w:space="0"/>
              <w:left w:val="single" w:color="auto" w:sz="6" w:space="0"/>
              <w:bottom w:val="single" w:color="auto" w:sz="6" w:space="0"/>
              <w:right w:val="single" w:color="auto" w:sz="6" w:space="0"/>
            </w:tcBorders>
            <w:noWrap w:val="0"/>
            <w:vAlign w:val="center"/>
          </w:tcPr>
          <w:p>
            <w:pPr>
              <w:pStyle w:val="3"/>
              <w:spacing w:line="360" w:lineRule="auto"/>
              <w:rPr>
                <w:rFonts w:hint="eastAsia" w:hAnsi="宋体" w:cs="Courier New"/>
                <w:sz w:val="24"/>
                <w:szCs w:val="24"/>
                <w:lang w:val="en-US" w:eastAsia="zh-CN"/>
              </w:rPr>
            </w:pPr>
            <w:r>
              <w:rPr>
                <w:rFonts w:hint="eastAsia" w:hAnsi="宋体" w:cs="Courier New"/>
                <w:sz w:val="24"/>
                <w:szCs w:val="24"/>
                <w:lang w:val="en-US" w:eastAsia="zh-CN"/>
              </w:rPr>
              <w:t>针对本项目需求，提供详细、完善的保障方案。包含：①服务保障措施②应急保障方案③故障申报及处理方案④系统安全保障方案⑤备品备件方案。以上内容每实质性响应一项得3分,未提供不得分。</w:t>
            </w:r>
          </w:p>
          <w:p>
            <w:pPr>
              <w:pStyle w:val="3"/>
              <w:spacing w:line="360" w:lineRule="auto"/>
              <w:rPr>
                <w:rFonts w:hAnsi="宋体" w:cs="Courier New"/>
                <w:sz w:val="24"/>
                <w:szCs w:val="24"/>
                <w:lang w:val="en-US" w:eastAsia="zh-CN"/>
              </w:rPr>
            </w:pPr>
            <w:r>
              <w:rPr>
                <w:rFonts w:hint="default" w:hAnsi="宋体" w:cs="Courier New"/>
                <w:sz w:val="24"/>
                <w:szCs w:val="24"/>
                <w:lang w:val="en-US" w:eastAsia="zh-CN"/>
              </w:rPr>
              <w:t>注：备品备件出具详细备件列表及仓库照片，检测设备出具清单及照片）（不提供不得分）。</w:t>
            </w:r>
          </w:p>
        </w:tc>
        <w:tc>
          <w:tcPr>
            <w:tcW w:w="1509" w:type="dxa"/>
            <w:tcBorders>
              <w:top w:val="single" w:color="auto" w:sz="6" w:space="0"/>
              <w:left w:val="single" w:color="auto" w:sz="6" w:space="0"/>
              <w:bottom w:val="single" w:color="auto" w:sz="6" w:space="0"/>
              <w:right w:val="single" w:color="auto" w:sz="6" w:space="0"/>
            </w:tcBorders>
            <w:noWrap w:val="0"/>
            <w:vAlign w:val="top"/>
          </w:tcPr>
          <w:p>
            <w:pPr>
              <w:pStyle w:val="3"/>
              <w:spacing w:line="360" w:lineRule="auto"/>
              <w:rPr>
                <w:rFonts w:hAnsi="宋体" w:cs="Courier New"/>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61" w:type="dxa"/>
            <w:tcBorders>
              <w:top w:val="single" w:color="auto" w:sz="4" w:space="0"/>
              <w:left w:val="single" w:color="auto" w:sz="6" w:space="0"/>
              <w:bottom w:val="single" w:color="auto" w:sz="4"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4</w:t>
            </w:r>
          </w:p>
        </w:tc>
        <w:tc>
          <w:tcPr>
            <w:tcW w:w="1442" w:type="dxa"/>
            <w:tcBorders>
              <w:top w:val="single" w:color="auto" w:sz="4" w:space="0"/>
              <w:left w:val="single" w:color="auto" w:sz="6" w:space="0"/>
              <w:bottom w:val="single" w:color="auto" w:sz="4" w:space="0"/>
              <w:right w:val="single" w:color="auto" w:sz="6" w:space="0"/>
            </w:tcBorders>
            <w:noWrap w:val="0"/>
            <w:vAlign w:val="center"/>
          </w:tcPr>
          <w:p>
            <w:pPr>
              <w:pStyle w:val="3"/>
              <w:spacing w:line="360" w:lineRule="auto"/>
              <w:rPr>
                <w:rFonts w:hAnsi="宋体" w:cs="Courier New"/>
                <w:sz w:val="24"/>
                <w:szCs w:val="24"/>
                <w:lang w:val="en-US" w:eastAsia="zh-CN"/>
              </w:rPr>
            </w:pPr>
            <w:r>
              <w:rPr>
                <w:rFonts w:hint="eastAsia" w:hAnsi="宋体" w:cs="Courier New"/>
                <w:sz w:val="24"/>
                <w:szCs w:val="24"/>
                <w:lang w:val="en-US" w:eastAsia="zh-CN"/>
              </w:rPr>
              <w:t>设备巡检</w:t>
            </w:r>
            <w:r>
              <w:rPr>
                <w:rFonts w:hAnsi="宋体" w:cs="Courier New"/>
                <w:sz w:val="24"/>
                <w:szCs w:val="24"/>
                <w:lang w:val="en-US" w:eastAsia="zh-CN"/>
              </w:rPr>
              <w:t>服务</w:t>
            </w:r>
            <w:r>
              <w:rPr>
                <w:rFonts w:hint="eastAsia" w:hAnsi="宋体" w:cs="Courier New"/>
                <w:sz w:val="24"/>
                <w:szCs w:val="24"/>
                <w:lang w:val="en-US" w:eastAsia="zh-CN"/>
              </w:rPr>
              <w:t>方案</w:t>
            </w:r>
          </w:p>
        </w:tc>
        <w:tc>
          <w:tcPr>
            <w:tcW w:w="836" w:type="dxa"/>
            <w:tcBorders>
              <w:top w:val="single" w:color="auto" w:sz="4" w:space="0"/>
              <w:left w:val="single" w:color="auto" w:sz="6" w:space="0"/>
              <w:bottom w:val="single" w:color="auto" w:sz="4" w:space="0"/>
              <w:right w:val="single" w:color="auto" w:sz="6" w:space="0"/>
            </w:tcBorders>
            <w:noWrap w:val="0"/>
            <w:vAlign w:val="center"/>
          </w:tcPr>
          <w:p>
            <w:pPr>
              <w:pStyle w:val="3"/>
              <w:spacing w:line="360" w:lineRule="auto"/>
              <w:jc w:val="center"/>
              <w:rPr>
                <w:rFonts w:hAnsi="宋体" w:cs="Courier New"/>
                <w:sz w:val="24"/>
                <w:szCs w:val="24"/>
                <w:lang w:val="en-US" w:eastAsia="zh-CN"/>
              </w:rPr>
            </w:pPr>
            <w:r>
              <w:rPr>
                <w:rFonts w:hint="eastAsia" w:hAnsi="宋体" w:cs="Courier New"/>
                <w:sz w:val="24"/>
                <w:szCs w:val="24"/>
                <w:lang w:val="en-US" w:eastAsia="zh-CN"/>
              </w:rPr>
              <w:t>5分</w:t>
            </w:r>
          </w:p>
        </w:tc>
        <w:tc>
          <w:tcPr>
            <w:tcW w:w="6326" w:type="dxa"/>
            <w:tcBorders>
              <w:top w:val="single" w:color="auto" w:sz="4" w:space="0"/>
              <w:left w:val="single" w:color="auto" w:sz="6" w:space="0"/>
              <w:bottom w:val="single" w:color="auto" w:sz="4" w:space="0"/>
              <w:right w:val="single" w:color="auto" w:sz="6" w:space="0"/>
            </w:tcBorders>
            <w:noWrap w:val="0"/>
            <w:vAlign w:val="center"/>
          </w:tcPr>
          <w:p>
            <w:pPr>
              <w:pStyle w:val="3"/>
              <w:spacing w:line="360" w:lineRule="auto"/>
              <w:rPr>
                <w:rFonts w:hAnsi="宋体" w:cs="Courier New"/>
                <w:sz w:val="24"/>
                <w:szCs w:val="24"/>
                <w:lang w:val="en-US" w:eastAsia="zh-CN"/>
              </w:rPr>
            </w:pPr>
            <w:r>
              <w:rPr>
                <w:rFonts w:hAnsi="宋体" w:cs="Courier New"/>
                <w:sz w:val="24"/>
                <w:szCs w:val="24"/>
                <w:lang w:val="en-US" w:eastAsia="zh-CN"/>
              </w:rPr>
              <w:t>根据投标人切合</w:t>
            </w:r>
            <w:r>
              <w:rPr>
                <w:rFonts w:hint="eastAsia" w:hAnsi="宋体" w:cs="Courier New"/>
                <w:sz w:val="24"/>
                <w:szCs w:val="24"/>
                <w:lang w:val="en-US" w:eastAsia="zh-CN"/>
              </w:rPr>
              <w:t>采购人情况</w:t>
            </w:r>
            <w:r>
              <w:rPr>
                <w:rFonts w:hAnsi="宋体" w:cs="Courier New"/>
                <w:sz w:val="24"/>
                <w:szCs w:val="24"/>
                <w:lang w:val="en-US" w:eastAsia="zh-CN"/>
              </w:rPr>
              <w:t>提供的</w:t>
            </w:r>
            <w:r>
              <w:rPr>
                <w:rFonts w:hint="eastAsia" w:hAnsi="宋体" w:cs="Courier New"/>
                <w:sz w:val="24"/>
                <w:szCs w:val="24"/>
                <w:lang w:val="en-US" w:eastAsia="zh-CN"/>
              </w:rPr>
              <w:t>设备巡检</w:t>
            </w:r>
            <w:r>
              <w:rPr>
                <w:rFonts w:hAnsi="宋体" w:cs="Courier New"/>
                <w:sz w:val="24"/>
                <w:szCs w:val="24"/>
                <w:lang w:val="en-US" w:eastAsia="zh-CN"/>
              </w:rPr>
              <w:t>计划、设备</w:t>
            </w:r>
            <w:r>
              <w:rPr>
                <w:rFonts w:hint="eastAsia" w:hAnsi="宋体" w:cs="Courier New"/>
                <w:sz w:val="24"/>
                <w:szCs w:val="24"/>
                <w:lang w:val="en-US" w:eastAsia="zh-CN"/>
              </w:rPr>
              <w:t>巡检</w:t>
            </w:r>
            <w:r>
              <w:rPr>
                <w:rFonts w:hAnsi="宋体" w:cs="Courier New"/>
                <w:sz w:val="24"/>
                <w:szCs w:val="24"/>
                <w:lang w:val="en-US" w:eastAsia="zh-CN"/>
              </w:rPr>
              <w:t>周期、</w:t>
            </w:r>
            <w:r>
              <w:rPr>
                <w:rFonts w:hint="eastAsia" w:hAnsi="宋体" w:cs="Courier New"/>
                <w:sz w:val="24"/>
                <w:szCs w:val="24"/>
                <w:lang w:val="en-US" w:eastAsia="zh-CN"/>
              </w:rPr>
              <w:t>巡检</w:t>
            </w:r>
            <w:r>
              <w:rPr>
                <w:rFonts w:hAnsi="宋体" w:cs="Courier New"/>
                <w:sz w:val="24"/>
                <w:szCs w:val="24"/>
                <w:lang w:val="en-US" w:eastAsia="zh-CN"/>
              </w:rPr>
              <w:t>的项目、具体操作方法等相关规程情况，由评委根据方案完整详细程度，可行性、操作性进行评议并评分，优的得</w:t>
            </w:r>
            <w:r>
              <w:rPr>
                <w:rFonts w:hint="eastAsia" w:hAnsi="宋体" w:cs="Courier New"/>
                <w:sz w:val="24"/>
                <w:szCs w:val="24"/>
                <w:lang w:val="en-US" w:eastAsia="zh-CN"/>
              </w:rPr>
              <w:t>5</w:t>
            </w:r>
            <w:r>
              <w:rPr>
                <w:rFonts w:hAnsi="宋体" w:cs="Courier New"/>
                <w:sz w:val="24"/>
                <w:szCs w:val="24"/>
                <w:lang w:val="en-US" w:eastAsia="zh-CN"/>
              </w:rPr>
              <w:t>分，良的得</w:t>
            </w:r>
            <w:r>
              <w:rPr>
                <w:rFonts w:hint="eastAsia" w:hAnsi="宋体" w:cs="Courier New"/>
                <w:sz w:val="24"/>
                <w:szCs w:val="24"/>
                <w:lang w:val="en-US" w:eastAsia="zh-CN"/>
              </w:rPr>
              <w:t>4</w:t>
            </w:r>
            <w:r>
              <w:rPr>
                <w:rFonts w:hAnsi="宋体" w:cs="Courier New"/>
                <w:sz w:val="24"/>
                <w:szCs w:val="24"/>
                <w:lang w:val="en-US" w:eastAsia="zh-CN"/>
              </w:rPr>
              <w:t>分，一般的得</w:t>
            </w:r>
            <w:r>
              <w:rPr>
                <w:rFonts w:hint="eastAsia" w:hAnsi="宋体" w:cs="Courier New"/>
                <w:sz w:val="24"/>
                <w:szCs w:val="24"/>
                <w:lang w:val="en-US" w:eastAsia="zh-CN"/>
              </w:rPr>
              <w:t>3</w:t>
            </w:r>
            <w:r>
              <w:rPr>
                <w:rFonts w:hAnsi="宋体" w:cs="Courier New"/>
                <w:sz w:val="24"/>
                <w:szCs w:val="24"/>
                <w:lang w:val="en-US" w:eastAsia="zh-CN"/>
              </w:rPr>
              <w:t>分，未提供任何说明的不得分。</w:t>
            </w:r>
          </w:p>
        </w:tc>
        <w:tc>
          <w:tcPr>
            <w:tcW w:w="1509" w:type="dxa"/>
            <w:tcBorders>
              <w:top w:val="single" w:color="auto" w:sz="6" w:space="0"/>
              <w:left w:val="single" w:color="auto" w:sz="6" w:space="0"/>
              <w:bottom w:val="single" w:color="auto" w:sz="6" w:space="0"/>
              <w:right w:val="single" w:color="auto" w:sz="6" w:space="0"/>
            </w:tcBorders>
            <w:noWrap w:val="0"/>
            <w:vAlign w:val="top"/>
          </w:tcPr>
          <w:p>
            <w:pPr>
              <w:pStyle w:val="3"/>
              <w:spacing w:line="360" w:lineRule="auto"/>
              <w:rPr>
                <w:rFonts w:hAnsi="宋体" w:cs="Courier New"/>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61" w:type="dxa"/>
            <w:tcBorders>
              <w:top w:val="single" w:color="auto" w:sz="4" w:space="0"/>
              <w:left w:val="single" w:color="auto" w:sz="6" w:space="0"/>
              <w:bottom w:val="single" w:color="auto" w:sz="4" w:space="0"/>
              <w:right w:val="single" w:color="auto" w:sz="6" w:space="0"/>
            </w:tcBorders>
            <w:noWrap w:val="0"/>
            <w:vAlign w:val="center"/>
          </w:tcPr>
          <w:p>
            <w:pPr>
              <w:pStyle w:val="83"/>
              <w:spacing w:before="0" w:after="0" w:line="44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1442"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人员配备</w:t>
            </w:r>
          </w:p>
          <w:p>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方案</w:t>
            </w:r>
          </w:p>
        </w:tc>
        <w:tc>
          <w:tcPr>
            <w:tcW w:w="836"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w:t>
            </w:r>
          </w:p>
        </w:tc>
        <w:tc>
          <w:tcPr>
            <w:tcW w:w="6326"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spacing w:val="-11"/>
                <w:kern w:val="2"/>
                <w:sz w:val="24"/>
                <w:szCs w:val="24"/>
                <w:lang w:val="en-US" w:eastAsia="zh-CN" w:bidi="ar-SA"/>
              </w:rPr>
            </w:pPr>
            <w:r>
              <w:rPr>
                <w:rFonts w:hint="eastAsia" w:ascii="宋体" w:hAnsi="宋体" w:eastAsia="宋体" w:cs="宋体"/>
                <w:color w:val="auto"/>
                <w:kern w:val="0"/>
                <w:sz w:val="24"/>
                <w:szCs w:val="24"/>
              </w:rPr>
              <w:t>投标人根据本项目需维护保养的设备拟配备的人员数量、</w:t>
            </w:r>
            <w:r>
              <w:rPr>
                <w:rFonts w:hint="eastAsia" w:ascii="宋体" w:hAnsi="宋体" w:eastAsia="宋体" w:cs="宋体"/>
                <w:color w:val="auto"/>
                <w:sz w:val="24"/>
                <w:szCs w:val="24"/>
              </w:rPr>
              <w:t>人员培训方案等进行综合对比打分，打分以投标人方案和相关佐证材料（需提供社保证明）</w:t>
            </w:r>
            <w:r>
              <w:rPr>
                <w:rFonts w:hint="eastAsia" w:ascii="宋体" w:hAnsi="宋体" w:eastAsia="宋体" w:cs="宋体"/>
                <w:color w:val="auto"/>
                <w:kern w:val="0"/>
                <w:sz w:val="24"/>
                <w:szCs w:val="24"/>
              </w:rPr>
              <w:t>优得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分，良得</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分，一般得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w:t>
            </w:r>
            <w:r>
              <w:rPr>
                <w:rFonts w:hint="eastAsia" w:ascii="宋体" w:hAnsi="宋体" w:eastAsia="宋体" w:cs="宋体"/>
                <w:color w:val="auto"/>
                <w:sz w:val="24"/>
                <w:szCs w:val="24"/>
              </w:rPr>
              <w:t>。</w:t>
            </w:r>
          </w:p>
        </w:tc>
        <w:tc>
          <w:tcPr>
            <w:tcW w:w="1509" w:type="dxa"/>
            <w:tcBorders>
              <w:top w:val="single" w:color="auto" w:sz="6" w:space="0"/>
              <w:left w:val="single" w:color="auto" w:sz="6" w:space="0"/>
              <w:bottom w:val="single" w:color="auto" w:sz="6" w:space="0"/>
              <w:right w:val="single" w:color="auto" w:sz="6" w:space="0"/>
            </w:tcBorders>
            <w:noWrap w:val="0"/>
            <w:vAlign w:val="top"/>
          </w:tcPr>
          <w:p>
            <w:pPr>
              <w:pStyle w:val="3"/>
              <w:spacing w:line="360" w:lineRule="auto"/>
              <w:rPr>
                <w:rFonts w:hAnsi="宋体" w:cs="Courier New"/>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61" w:type="dxa"/>
            <w:tcBorders>
              <w:top w:val="single" w:color="auto" w:sz="4" w:space="0"/>
              <w:left w:val="single" w:color="auto" w:sz="6" w:space="0"/>
              <w:bottom w:val="single" w:color="auto" w:sz="4" w:space="0"/>
              <w:right w:val="single" w:color="auto" w:sz="6" w:space="0"/>
            </w:tcBorders>
            <w:noWrap w:val="0"/>
            <w:vAlign w:val="center"/>
          </w:tcPr>
          <w:p>
            <w:pPr>
              <w:pStyle w:val="83"/>
              <w:spacing w:before="0" w:after="0" w:line="44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1442"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应急预案</w:t>
            </w:r>
          </w:p>
        </w:tc>
        <w:tc>
          <w:tcPr>
            <w:tcW w:w="836"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w:t>
            </w:r>
          </w:p>
        </w:tc>
        <w:tc>
          <w:tcPr>
            <w:tcW w:w="6326"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根据投标人制定的突发事件的响应时间及处理方案，包括特殊时期（如法定节假日、春节期间、检查评比等）和其他突发事件的应对措施、人员配置等承诺和全面性情况进行评议，优得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分，良得</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分，一般得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分，未提供任何说明的不得分。</w:t>
            </w:r>
          </w:p>
        </w:tc>
        <w:tc>
          <w:tcPr>
            <w:tcW w:w="1509" w:type="dxa"/>
            <w:tcBorders>
              <w:top w:val="single" w:color="auto" w:sz="6" w:space="0"/>
              <w:left w:val="single" w:color="auto" w:sz="6" w:space="0"/>
              <w:bottom w:val="single" w:color="auto" w:sz="6" w:space="0"/>
              <w:right w:val="single" w:color="auto" w:sz="6" w:space="0"/>
            </w:tcBorders>
            <w:noWrap w:val="0"/>
            <w:vAlign w:val="top"/>
          </w:tcPr>
          <w:p>
            <w:pPr>
              <w:pStyle w:val="3"/>
              <w:spacing w:line="360" w:lineRule="auto"/>
              <w:rPr>
                <w:rFonts w:hAnsi="宋体" w:cs="Courier New"/>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61" w:type="dxa"/>
            <w:tcBorders>
              <w:top w:val="single" w:color="auto" w:sz="4" w:space="0"/>
              <w:left w:val="single" w:color="auto" w:sz="6" w:space="0"/>
              <w:bottom w:val="single" w:color="auto" w:sz="4" w:space="0"/>
              <w:right w:val="single" w:color="auto" w:sz="6" w:space="0"/>
            </w:tcBorders>
            <w:noWrap w:val="0"/>
            <w:vAlign w:val="center"/>
          </w:tcPr>
          <w:p>
            <w:pPr>
              <w:pStyle w:val="83"/>
              <w:spacing w:before="0" w:after="0" w:line="44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w:t>
            </w:r>
          </w:p>
        </w:tc>
        <w:tc>
          <w:tcPr>
            <w:tcW w:w="1442"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整体服务解决方案</w:t>
            </w:r>
          </w:p>
        </w:tc>
        <w:tc>
          <w:tcPr>
            <w:tcW w:w="836"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w:t>
            </w:r>
          </w:p>
        </w:tc>
        <w:tc>
          <w:tcPr>
            <w:tcW w:w="6326" w:type="dxa"/>
            <w:tcBorders>
              <w:top w:val="single" w:color="auto" w:sz="4" w:space="0"/>
              <w:left w:val="single" w:color="auto" w:sz="6" w:space="0"/>
              <w:bottom w:val="single" w:color="auto" w:sz="4" w:space="0"/>
              <w:right w:val="single" w:color="auto" w:sz="6" w:space="0"/>
            </w:tcBorders>
            <w:noWrap w:val="0"/>
            <w:vAlign w:val="center"/>
          </w:tcPr>
          <w:p>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根据投标人针对本项目提供驻场服务要求的情况，由评委对服务方案的全面性﹑完整性﹑有效性和实施细节进行评议并评分。优的得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分，良的得</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分，一般的得</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分，未提供任何说明的不得分。</w:t>
            </w:r>
          </w:p>
        </w:tc>
        <w:tc>
          <w:tcPr>
            <w:tcW w:w="1509" w:type="dxa"/>
            <w:tcBorders>
              <w:top w:val="single" w:color="auto" w:sz="6" w:space="0"/>
              <w:left w:val="single" w:color="auto" w:sz="6" w:space="0"/>
              <w:bottom w:val="single" w:color="auto" w:sz="6" w:space="0"/>
              <w:right w:val="single" w:color="auto" w:sz="6" w:space="0"/>
            </w:tcBorders>
            <w:noWrap w:val="0"/>
            <w:vAlign w:val="top"/>
          </w:tcPr>
          <w:p>
            <w:pPr>
              <w:pStyle w:val="3"/>
              <w:spacing w:line="360" w:lineRule="auto"/>
              <w:rPr>
                <w:rFonts w:hAnsi="宋体" w:cs="Courier New"/>
                <w:sz w:val="24"/>
                <w:szCs w:val="24"/>
                <w:lang w:val="en-US" w:eastAsia="zh-CN"/>
              </w:rPr>
            </w:pPr>
          </w:p>
        </w:tc>
      </w:tr>
    </w:tbl>
    <w:p>
      <w:pPr>
        <w:pStyle w:val="9"/>
        <w:rPr>
          <w:sz w:val="24"/>
          <w:szCs w:val="24"/>
        </w:rPr>
      </w:pPr>
    </w:p>
    <w:p>
      <w:pPr>
        <w:pStyle w:val="3"/>
        <w:spacing w:line="360" w:lineRule="auto"/>
        <w:rPr>
          <w:rFonts w:hAnsi="宋体"/>
          <w:b/>
          <w:sz w:val="24"/>
          <w:szCs w:val="24"/>
        </w:rPr>
      </w:pPr>
    </w:p>
    <w:p>
      <w:pPr>
        <w:pStyle w:val="3"/>
        <w:spacing w:line="360" w:lineRule="auto"/>
        <w:rPr>
          <w:rFonts w:hAnsi="宋体"/>
          <w:b/>
          <w:sz w:val="24"/>
          <w:szCs w:val="24"/>
        </w:rPr>
      </w:pPr>
      <w:r>
        <w:rPr>
          <w:rFonts w:hint="eastAsia" w:hAnsi="宋体"/>
          <w:b/>
          <w:sz w:val="24"/>
          <w:szCs w:val="24"/>
        </w:rPr>
        <w:t>中小企业和节能、环境标志产品评审优惠内容及加分幅度</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szCs w:val="24"/>
              </w:rPr>
            </w:pPr>
          </w:p>
        </w:tc>
        <w:tc>
          <w:tcPr>
            <w:tcW w:w="2192"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rPr>
                <w:rFonts w:hAnsi="宋体" w:cs="Courier New"/>
                <w:b/>
                <w:sz w:val="24"/>
                <w:szCs w:val="24"/>
                <w:lang w:val="en-US" w:eastAsia="zh-CN"/>
              </w:rPr>
            </w:pPr>
            <w:r>
              <w:rPr>
                <w:rFonts w:hint="eastAsia" w:hAnsi="宋体" w:cs="Courier New"/>
                <w:b/>
                <w:sz w:val="24"/>
                <w:szCs w:val="24"/>
                <w:lang w:val="en-US" w:eastAsia="zh-CN"/>
              </w:rPr>
              <w:t>属于中小企业评审优惠内容及价格扣除幅度</w:t>
            </w:r>
          </w:p>
        </w:tc>
        <w:tc>
          <w:tcPr>
            <w:tcW w:w="6869"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根据中华人民共和国财政部、中华人民共和国工业和信息化部《政府采购促进中小企业发展暂行办法》（财库[2011]181号）文件的规定，属于中小企业评审优惠内容及幅度如下：</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（一）中小企业（含中型、小型、微型企业）应当同时符合以下条件：</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①符合中小企业划分标准（按《关于印发中小企业划型标准规定的通知》（工信部联企业〔2011〕300号）执行）；</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②提供本企业制造的货物、承担的项目或者服务，或者提供其他中小企业制造的货物。本项所称货物不包括使用大型企业注册商标的货物；</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③小型、微型企业提供中型企业制造的货物的，视同为中型企业。</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（二）价格扣除办法：</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①对于非专门面向中小企业的项目，对小型和微型企业（或联合体各方均为小型、微型企业的）产品的价格给予10%的扣除，用扣除后的价格参与价格分的评审。</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（三）小型和微型企业适用价格扣除办法时应提供的相关资料：</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①、《中小企业声明函》；</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②、提供供应商工商行政登记所在地管理部门出具的小微企业证明文件。</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③、提供所代理产品生产厂家的属地主管部门出具的小微企业证明文件；</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restart"/>
            <w:tcBorders>
              <w:top w:val="single" w:color="auto" w:sz="4" w:space="0"/>
              <w:left w:val="single" w:color="auto" w:sz="4" w:space="0"/>
              <w:right w:val="single" w:color="auto" w:sz="4" w:space="0"/>
            </w:tcBorders>
            <w:noWrap w:val="0"/>
            <w:vAlign w:val="center"/>
          </w:tcPr>
          <w:p>
            <w:pPr>
              <w:spacing w:line="276" w:lineRule="auto"/>
              <w:jc w:val="center"/>
              <w:rPr>
                <w:rFonts w:ascii="宋体" w:hAnsi="宋体"/>
                <w:sz w:val="24"/>
                <w:szCs w:val="24"/>
              </w:rPr>
            </w:pPr>
            <w:r>
              <w:rPr>
                <w:rFonts w:hint="eastAsia" w:ascii="宋体" w:hAnsi="宋体"/>
                <w:sz w:val="24"/>
                <w:szCs w:val="24"/>
              </w:rPr>
              <w:t>2</w:t>
            </w:r>
          </w:p>
        </w:tc>
        <w:tc>
          <w:tcPr>
            <w:tcW w:w="2192"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rPr>
                <w:rFonts w:hAnsi="宋体" w:cs="Courier New"/>
                <w:sz w:val="24"/>
                <w:szCs w:val="24"/>
                <w:lang w:val="en-US" w:eastAsia="zh-CN"/>
              </w:rPr>
            </w:pPr>
            <w:r>
              <w:rPr>
                <w:rFonts w:hint="eastAsia" w:hAnsi="宋体" w:cs="Courier New"/>
                <w:b/>
                <w:sz w:val="24"/>
                <w:szCs w:val="24"/>
                <w:lang w:val="en-US" w:eastAsia="zh-CN"/>
              </w:rPr>
              <w:t>节能、环境标志产品评审优惠内容及加分幅度</w:t>
            </w:r>
          </w:p>
        </w:tc>
        <w:tc>
          <w:tcPr>
            <w:tcW w:w="6869" w:type="dxa"/>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磋商产品的部件、组件或零件的，则该磋商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noWrap w:val="0"/>
            <w:vAlign w:val="center"/>
          </w:tcPr>
          <w:p>
            <w:pPr>
              <w:spacing w:line="276" w:lineRule="auto"/>
              <w:jc w:val="center"/>
              <w:rPr>
                <w:rFonts w:ascii="宋体" w:hAnsi="宋体"/>
                <w:sz w:val="24"/>
                <w:szCs w:val="24"/>
              </w:rPr>
            </w:pPr>
          </w:p>
        </w:tc>
        <w:tc>
          <w:tcPr>
            <w:tcW w:w="906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noWrap w:val="0"/>
            <w:vAlign w:val="center"/>
          </w:tcPr>
          <w:p>
            <w:pPr>
              <w:spacing w:line="276" w:lineRule="auto"/>
              <w:jc w:val="center"/>
              <w:rPr>
                <w:rFonts w:ascii="宋体" w:hAnsi="宋体"/>
                <w:sz w:val="24"/>
                <w:szCs w:val="24"/>
              </w:rPr>
            </w:pPr>
          </w:p>
        </w:tc>
        <w:tc>
          <w:tcPr>
            <w:tcW w:w="906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noWrap w:val="0"/>
            <w:vAlign w:val="center"/>
          </w:tcPr>
          <w:p>
            <w:pPr>
              <w:spacing w:line="276" w:lineRule="auto"/>
              <w:jc w:val="center"/>
              <w:rPr>
                <w:rFonts w:ascii="宋体" w:hAnsi="宋体"/>
                <w:sz w:val="24"/>
                <w:szCs w:val="24"/>
              </w:rPr>
            </w:pPr>
          </w:p>
        </w:tc>
        <w:tc>
          <w:tcPr>
            <w:tcW w:w="906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noWrap w:val="0"/>
            <w:vAlign w:val="center"/>
          </w:tcPr>
          <w:p>
            <w:pPr>
              <w:spacing w:line="276" w:lineRule="auto"/>
              <w:jc w:val="center"/>
              <w:rPr>
                <w:rFonts w:ascii="宋体" w:hAnsi="宋体"/>
                <w:sz w:val="24"/>
                <w:szCs w:val="24"/>
              </w:rPr>
            </w:pPr>
          </w:p>
        </w:tc>
        <w:tc>
          <w:tcPr>
            <w:tcW w:w="906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65" w:type="dxa"/>
            <w:vMerge w:val="continue"/>
            <w:tcBorders>
              <w:left w:val="single" w:color="auto" w:sz="4" w:space="0"/>
              <w:bottom w:val="single" w:color="auto" w:sz="4" w:space="0"/>
              <w:right w:val="single" w:color="auto" w:sz="4" w:space="0"/>
            </w:tcBorders>
            <w:noWrap w:val="0"/>
            <w:vAlign w:val="center"/>
          </w:tcPr>
          <w:p>
            <w:pPr>
              <w:spacing w:line="276" w:lineRule="auto"/>
              <w:jc w:val="center"/>
              <w:rPr>
                <w:rFonts w:ascii="宋体" w:hAnsi="宋体"/>
                <w:sz w:val="24"/>
                <w:szCs w:val="24"/>
              </w:rPr>
            </w:pPr>
          </w:p>
        </w:tc>
        <w:tc>
          <w:tcPr>
            <w:tcW w:w="9061" w:type="dxa"/>
            <w:gridSpan w:val="2"/>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注：1、提供近两期《节能产品政府采购清单》关于磋商产品当前页的打印件；</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2、提供近两期《环境标志产品政府采购清单》关于磋商产品当前页的打印件。</w:t>
            </w:r>
          </w:p>
          <w:p>
            <w:pPr>
              <w:pStyle w:val="3"/>
              <w:spacing w:line="360" w:lineRule="auto"/>
              <w:ind w:firstLine="480" w:firstLineChars="200"/>
              <w:rPr>
                <w:rFonts w:hAnsi="宋体" w:cs="Courier New"/>
                <w:sz w:val="24"/>
                <w:szCs w:val="24"/>
                <w:lang w:val="en-US" w:eastAsia="zh-CN"/>
              </w:rPr>
            </w:pPr>
            <w:r>
              <w:rPr>
                <w:rFonts w:hint="eastAsia" w:hAnsi="宋体" w:cs="Courier New"/>
                <w:sz w:val="24"/>
                <w:szCs w:val="24"/>
                <w:lang w:val="en-US" w:eastAsia="zh-CN"/>
              </w:rPr>
              <w:t>未单独分项报价且未提供属于清单内产品的证明资料的不给予加分</w:t>
            </w:r>
          </w:p>
        </w:tc>
      </w:tr>
    </w:tbl>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评分说明：</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a.评标委员会小组成员打分时不得协商,应独立完成。</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b.未满足磋商文件要求的供应商,不予评分。</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c.供应商报价超财政预算的按无效投标处理。</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d.属于中小企业评审优惠内容及价格扣除幅度，本项目的价格扣除为</w:t>
      </w:r>
      <w:r>
        <w:rPr>
          <w:rFonts w:hint="eastAsia" w:ascii="宋体" w:hAnsi="宋体" w:cs="宋体"/>
          <w:sz w:val="24"/>
          <w:szCs w:val="24"/>
          <w:lang w:val="en-US" w:eastAsia="zh-CN"/>
        </w:rPr>
        <w:t>10</w:t>
      </w:r>
      <w:r>
        <w:rPr>
          <w:rFonts w:hint="eastAsia" w:ascii="宋体" w:hAnsi="宋体" w:eastAsia="宋体" w:cs="宋体"/>
          <w:sz w:val="24"/>
          <w:szCs w:val="24"/>
        </w:rPr>
        <w:t>%。</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根据中华人民共和国财政部、中华人民共和国工业和信息部《政府采购促进中小企业发展暂行办法》（财库[2011]181）文件的规定，属于中小企业评审优惠内容及幅度如下：</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（一）中小企业（含中型、小型、微型企业）应当同时符合以下条件：</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①符合中小企业划分标准（按《关于印发中小企业划型标准规定的通知》（工信部联企业（2011）300号）执行）；</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②提供本企业制造的货物、承担的项目或者服务，或者提供其他中小企业制造的货物。本项所称货物不包括使用大型企业注册商标的货物；</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③小型、微型企业提供中型企业制造的货物的，视同为中型企业。</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（二）价格扣除办法：</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对于非专门面向中小企业的项目，对小型和微型企业产品的价格给予</w:t>
      </w:r>
      <w:r>
        <w:rPr>
          <w:rFonts w:hint="eastAsia" w:ascii="宋体" w:hAnsi="宋体" w:cs="宋体"/>
          <w:sz w:val="24"/>
          <w:szCs w:val="24"/>
          <w:lang w:val="en-US" w:eastAsia="zh-CN"/>
        </w:rPr>
        <w:t>10</w:t>
      </w:r>
      <w:r>
        <w:rPr>
          <w:rFonts w:hint="eastAsia" w:ascii="宋体" w:hAnsi="宋体" w:eastAsia="宋体" w:cs="宋体"/>
          <w:sz w:val="24"/>
          <w:szCs w:val="24"/>
        </w:rPr>
        <w:t>%的扣除，用扣除后的价格参与价格分的评审。</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（三）小型和微型企业适用价格扣除办法时应提供的相关资料：</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①《中小企业声明函》（原件，另提供复印件加盖供应商公章）;</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②提供供应商工商行政登记所在地政府管理部门出具的小微企业证明文件（原件，另提供复印件加盖供应商公章）;</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③提供所代理产品生产厂家的属地政府管理部门出具的小微企业证明文件（原件，另提供复印件加盖供应商公章）；</w:t>
      </w:r>
    </w:p>
    <w:p>
      <w:pPr>
        <w:ind w:firstLine="480" w:firstLineChars="200"/>
        <w:jc w:val="both"/>
        <w:rPr>
          <w:rFonts w:ascii="宋体" w:cs="仿宋_GB2312"/>
          <w:bCs/>
          <w:kern w:val="0"/>
          <w:szCs w:val="21"/>
        </w:rPr>
      </w:pPr>
      <w:r>
        <w:rPr>
          <w:rFonts w:hint="eastAsia" w:ascii="宋体" w:hAnsi="宋体" w:eastAsia="宋体" w:cs="宋体"/>
          <w:sz w:val="24"/>
          <w:szCs w:val="24"/>
        </w:rPr>
        <w:t>（四）属于享受政府采购支持政策的残疾人福利性单位评审优惠内容及价格扣除幅度按小型、微型企业评审中价格扣除（须提供供应商所在地政府管理部门出具的相关证明原件，另提供相关证明原件复印件加盖供应商公章），残疾人福利性单位属于小型、微型企业的，不重复享受政策。本项目的价格扣除为</w:t>
      </w:r>
      <w:r>
        <w:rPr>
          <w:rFonts w:hint="eastAsia" w:ascii="宋体" w:hAnsi="宋体" w:cs="宋体"/>
          <w:sz w:val="24"/>
          <w:szCs w:val="24"/>
          <w:lang w:val="en-US" w:eastAsia="zh-CN"/>
        </w:rPr>
        <w:t>10</w:t>
      </w:r>
      <w:r>
        <w:rPr>
          <w:rFonts w:hint="eastAsia" w:ascii="宋体" w:hAnsi="宋体" w:eastAsia="宋体" w:cs="宋体"/>
          <w:sz w:val="24"/>
          <w:szCs w:val="24"/>
        </w:rPr>
        <w:t>%。</w:t>
      </w:r>
    </w:p>
    <w:p>
      <w:pPr>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七、成交及合同签订</w:t>
      </w:r>
    </w:p>
    <w:p>
      <w:pPr>
        <w:ind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1.成交供应商</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磋商小组对各供应商满足竞争性磋商文件实质性响应【所谓实质性响应，是指响应文件应与竞争性磋商文件的所有实质性条款、条件和要求相符，无显著差异或保留（由磋商小组确定）、质量和服务相等且评分最高的原则确定成交候选供应商。】采购人从磋商小组提出的成交候选人中根据符合采购需求、质量和服务相关且综合得分最高的确定成交供应商。</w:t>
      </w:r>
    </w:p>
    <w:p>
      <w:pPr>
        <w:ind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3.中标（成交）通知书</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3.1 中标（成交）通知书将于磋商结束后 3 个工作日内由采购代理机构向供应商发出。</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3.2 成交供应商应及时到采购代理机构领取中标（成交）通知书，中标通知书（成交）是签订合同的依据和组成部分。</w:t>
      </w:r>
    </w:p>
    <w:p>
      <w:pPr>
        <w:ind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4.签订合同</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成交供应商应在规定的时间、地点与采购人签订合同，竞争性磋商文件、成交供应商的响应文件、分次报价及服务承诺文件以及磋商过程中有关澄清文件均作为合同附件，合同经采购人审核盖章后实施。项目数量增减、合同条款变更、预算追加等按规定报批后，另行签订</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补充合同。</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4.1 成交供应商无正当理由未在规定时间内与采购人签订合同的，采购人有权建议取消其成交资格，监管部门将对其依法处理</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4.2 采购人不得向成交供应商提出任何不合理的要求，作为签订合同的条件；不得与成交供应商私下订立背离合同实质性内容的协议。</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4.3 成交供应商因不可抗力或自身原因不能签订采购合同或者不能履行合同的，参照财政部 18 号令第 82 条款，采购人可以按成交候选顺序确定新的成交供应商并签订合同，以此类推，或重新进行采购。</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4.4 采购人在授予合同时有权对本文件规定的货物和服务予以适当的增加或减少，但不得改变单价或其他条款和条件。合同履行中，追加采购与合同标的相同的货物或服务的，按规定报批后，签订补充合同。</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4.5 成交供应商应当按照合同约定履行义务，完成成交项目，不得将成交项目转让给他人。除本文件另有规定外，也不得将成交项目进行分包给他人。</w:t>
      </w:r>
    </w:p>
    <w:p>
      <w:pPr>
        <w:ind w:firstLine="480" w:firstLineChars="200"/>
        <w:jc w:val="both"/>
        <w:outlineLvl w:val="1"/>
        <w:rPr>
          <w:rFonts w:hint="eastAsia" w:ascii="宋体" w:hAnsi="宋体" w:eastAsia="宋体" w:cs="宋体"/>
          <w:sz w:val="24"/>
          <w:szCs w:val="24"/>
        </w:rPr>
      </w:pPr>
      <w:r>
        <w:rPr>
          <w:rFonts w:hint="eastAsia" w:ascii="宋体" w:hAnsi="宋体" w:eastAsia="宋体" w:cs="宋体"/>
          <w:sz w:val="24"/>
          <w:szCs w:val="24"/>
        </w:rPr>
        <w:t>八、验收及付款</w:t>
      </w:r>
    </w:p>
    <w:p>
      <w:pPr>
        <w:ind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1.验收</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 完工验收指承包人完成了全部合同工作后，采购人按合同要求进行的验收。</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1.2 根据法律、规范、规程和政策要求，针对采购人全面组织实施的整个工程正式交付投运前的验收。</w:t>
      </w:r>
    </w:p>
    <w:p>
      <w:pPr>
        <w:ind w:firstLine="480" w:firstLineChars="200"/>
        <w:jc w:val="both"/>
        <w:rPr>
          <w:rFonts w:hint="eastAsia" w:ascii="宋体" w:hAnsi="宋体" w:eastAsia="宋体" w:cs="宋体"/>
          <w:sz w:val="24"/>
          <w:szCs w:val="24"/>
        </w:rPr>
      </w:pPr>
      <w:r>
        <w:rPr>
          <w:rFonts w:hint="eastAsia" w:ascii="宋体" w:hAnsi="宋体" w:eastAsia="宋体" w:cs="宋体"/>
          <w:sz w:val="24"/>
          <w:szCs w:val="24"/>
        </w:rPr>
        <w:t>1.3 完工验收所采用的各项验收和评定标准应符合国家验收标准。采购人和承包人为完工验收提供的各项完工验收资料应符合国家验收的要求。</w:t>
      </w:r>
    </w:p>
    <w:p>
      <w:pPr>
        <w:ind w:firstLine="480" w:firstLineChars="200"/>
        <w:jc w:val="both"/>
        <w:outlineLvl w:val="2"/>
        <w:rPr>
          <w:rFonts w:hint="eastAsia" w:ascii="宋体" w:hAnsi="宋体" w:eastAsia="宋体" w:cs="宋体"/>
          <w:sz w:val="24"/>
          <w:szCs w:val="24"/>
        </w:rPr>
      </w:pPr>
      <w:r>
        <w:rPr>
          <w:rFonts w:hint="eastAsia" w:ascii="宋体" w:hAnsi="宋体" w:eastAsia="宋体" w:cs="宋体"/>
          <w:sz w:val="24"/>
          <w:szCs w:val="24"/>
        </w:rPr>
        <w:t>2.付款</w:t>
      </w:r>
    </w:p>
    <w:p>
      <w:pPr>
        <w:ind w:firstLine="480" w:firstLineChars="200"/>
        <w:jc w:val="both"/>
        <w:rPr>
          <w:rFonts w:hint="eastAsia" w:ascii="宋体" w:hAnsi="宋体" w:eastAsia="宋体" w:cs="宋体"/>
          <w:sz w:val="24"/>
          <w:szCs w:val="24"/>
        </w:rPr>
        <w:sectPr>
          <w:pgSz w:w="11900" w:h="16838"/>
          <w:pgMar w:top="1327" w:right="1186" w:bottom="448" w:left="1300" w:header="0" w:footer="0" w:gutter="0"/>
          <w:cols w:equalWidth="0" w:num="1">
            <w:col w:w="9420"/>
          </w:cols>
        </w:sectPr>
      </w:pPr>
      <w:r>
        <w:rPr>
          <w:rFonts w:hint="eastAsia" w:ascii="宋体" w:hAnsi="宋体" w:eastAsia="宋体" w:cs="宋体"/>
          <w:sz w:val="24"/>
          <w:szCs w:val="24"/>
        </w:rPr>
        <w:t>采购人凭项目合同、验收报告合同约定的时间内办理采购款支付手续。</w:t>
      </w:r>
    </w:p>
    <w:p>
      <w:pPr>
        <w:pStyle w:val="4"/>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sz w:val="24"/>
          <w:szCs w:val="24"/>
        </w:rPr>
      </w:pPr>
    </w:p>
    <w:p>
      <w:pPr>
        <w:pStyle w:val="4"/>
        <w:spacing w:before="0" w:after="0" w:line="600" w:lineRule="exact"/>
        <w:jc w:val="center"/>
      </w:pPr>
      <w:bookmarkStart w:id="2" w:name="_Toc56103284"/>
      <w:bookmarkStart w:id="3" w:name="_Toc12893"/>
      <w:r>
        <w:rPr>
          <w:rFonts w:hAnsi="宋体"/>
          <w:sz w:val="32"/>
          <w:szCs w:val="32"/>
        </w:rPr>
        <w:t>第</w:t>
      </w:r>
      <w:r>
        <w:rPr>
          <w:rFonts w:hint="eastAsia" w:hAnsi="宋体"/>
          <w:sz w:val="32"/>
          <w:szCs w:val="32"/>
        </w:rPr>
        <w:t>四</w:t>
      </w:r>
      <w:r>
        <w:rPr>
          <w:rFonts w:hAnsi="宋体"/>
          <w:sz w:val="32"/>
          <w:szCs w:val="32"/>
        </w:rPr>
        <w:t>章</w:t>
      </w:r>
      <w:r>
        <w:rPr>
          <w:rFonts w:hint="eastAsia" w:hAnsi="宋体"/>
          <w:sz w:val="32"/>
          <w:szCs w:val="32"/>
        </w:rPr>
        <w:t>、合同条款 （仅供参考）</w:t>
      </w:r>
      <w:bookmarkEnd w:id="2"/>
      <w:bookmarkStart w:id="4" w:name="_Toc285722712"/>
      <w:bookmarkStart w:id="5" w:name="_Toc277084870"/>
    </w:p>
    <w:bookmarkEnd w:id="4"/>
    <w:bookmarkEnd w:id="5"/>
    <w:p>
      <w:pPr>
        <w:pStyle w:val="3"/>
        <w:spacing w:line="360" w:lineRule="auto"/>
        <w:ind w:firstLine="420" w:firstLineChars="200"/>
        <w:rPr>
          <w:rFonts w:hint="eastAsia" w:hAnsi="宋体"/>
        </w:rPr>
      </w:pPr>
      <w:bookmarkStart w:id="6" w:name="_Toc469495741"/>
      <w:bookmarkStart w:id="7" w:name="OLE_LINK4"/>
      <w:r>
        <w:rPr>
          <w:rFonts w:hint="eastAsia" w:hAnsi="宋体"/>
        </w:rPr>
        <w:t>合同协议书</w:t>
      </w:r>
      <w:bookmarkEnd w:id="6"/>
    </w:p>
    <w:p>
      <w:pPr>
        <w:pStyle w:val="3"/>
        <w:spacing w:line="360" w:lineRule="auto"/>
        <w:ind w:firstLine="420" w:firstLineChars="200"/>
        <w:rPr>
          <w:rFonts w:hint="eastAsia" w:hAnsi="宋体"/>
        </w:rPr>
      </w:pPr>
      <w:r>
        <w:rPr>
          <w:rFonts w:hint="eastAsia" w:hAnsi="宋体"/>
        </w:rPr>
        <w:t>合同名称             编号</w:t>
      </w:r>
    </w:p>
    <w:p>
      <w:pPr>
        <w:pStyle w:val="3"/>
        <w:spacing w:line="360" w:lineRule="auto"/>
        <w:ind w:firstLine="420" w:firstLineChars="200"/>
        <w:rPr>
          <w:rFonts w:hint="eastAsia" w:hAnsi="宋体"/>
        </w:rPr>
      </w:pPr>
      <w:r>
        <w:rPr>
          <w:rFonts w:hint="eastAsia" w:hAnsi="宋体"/>
          <w:lang w:eastAsia="zh-CN"/>
        </w:rPr>
        <w:t>甲</w:t>
      </w:r>
      <w:r>
        <w:rPr>
          <w:rFonts w:hint="eastAsia" w:hAnsi="宋体"/>
        </w:rPr>
        <w:t xml:space="preserve">    方：                                   </w:t>
      </w:r>
      <w:r>
        <w:rPr>
          <w:rFonts w:hint="eastAsia" w:hAnsi="宋体"/>
          <w:lang w:eastAsia="zh-CN"/>
        </w:rPr>
        <w:t>乙</w:t>
      </w:r>
      <w:r>
        <w:rPr>
          <w:rFonts w:hint="eastAsia" w:hAnsi="宋体"/>
        </w:rPr>
        <w:t xml:space="preserve">    方：</w:t>
      </w:r>
    </w:p>
    <w:p>
      <w:pPr>
        <w:pStyle w:val="3"/>
        <w:spacing w:line="360" w:lineRule="auto"/>
        <w:ind w:firstLine="420" w:firstLineChars="200"/>
        <w:rPr>
          <w:rFonts w:hint="eastAsia" w:hAnsi="宋体"/>
        </w:rPr>
      </w:pPr>
      <w:r>
        <w:rPr>
          <w:rFonts w:hint="eastAsia" w:hAnsi="宋体"/>
        </w:rPr>
        <w:t>电    话：                                   电    话：</w:t>
      </w:r>
    </w:p>
    <w:p>
      <w:pPr>
        <w:pStyle w:val="3"/>
        <w:spacing w:line="360" w:lineRule="auto"/>
        <w:ind w:firstLine="420" w:firstLineChars="200"/>
        <w:rPr>
          <w:rFonts w:hint="eastAsia" w:hAnsi="宋体"/>
        </w:rPr>
      </w:pPr>
      <w:r>
        <w:rPr>
          <w:rFonts w:hint="eastAsia" w:hAnsi="宋体"/>
        </w:rPr>
        <w:t xml:space="preserve">住    所：                                   住    所：                       </w:t>
      </w:r>
    </w:p>
    <w:p>
      <w:pPr>
        <w:pStyle w:val="3"/>
        <w:spacing w:line="360" w:lineRule="auto"/>
        <w:ind w:firstLine="420" w:firstLineChars="200"/>
        <w:rPr>
          <w:rFonts w:hint="eastAsia" w:hAnsi="宋体"/>
        </w:rPr>
      </w:pPr>
      <w:r>
        <w:rPr>
          <w:rFonts w:hint="eastAsia" w:hAnsi="宋体"/>
        </w:rPr>
        <w:t>（买方）的（项目名称）中所需（产品名称） 经公开招标，确定（卖方）为中标人。按照中华人民共和国合同法的规定，买卖双方同意按照下述的条款和条件，签署本合同。</w:t>
      </w:r>
    </w:p>
    <w:p>
      <w:pPr>
        <w:pStyle w:val="3"/>
        <w:spacing w:line="360" w:lineRule="auto"/>
        <w:ind w:firstLine="420" w:firstLineChars="200"/>
        <w:rPr>
          <w:rFonts w:hint="eastAsia" w:hAnsi="宋体"/>
        </w:rPr>
      </w:pPr>
      <w:r>
        <w:rPr>
          <w:rFonts w:hint="eastAsia" w:hAnsi="宋体"/>
        </w:rPr>
        <w:t>1、本合同文件</w:t>
      </w:r>
    </w:p>
    <w:p>
      <w:pPr>
        <w:pStyle w:val="3"/>
        <w:spacing w:line="360" w:lineRule="auto"/>
        <w:ind w:firstLine="420" w:firstLineChars="200"/>
        <w:rPr>
          <w:rFonts w:hint="eastAsia" w:hAnsi="宋体"/>
        </w:rPr>
      </w:pPr>
      <w:r>
        <w:rPr>
          <w:rFonts w:hint="eastAsia" w:hAnsi="宋体"/>
        </w:rPr>
        <w:t>下列每一文件均应作为合同的组成部分进行阅读和解释：</w:t>
      </w:r>
    </w:p>
    <w:p>
      <w:pPr>
        <w:pStyle w:val="3"/>
        <w:spacing w:line="360" w:lineRule="auto"/>
        <w:ind w:firstLine="420" w:firstLineChars="200"/>
        <w:rPr>
          <w:rFonts w:hint="eastAsia" w:hAnsi="宋体"/>
          <w:lang w:eastAsia="zh-CN"/>
        </w:rPr>
      </w:pPr>
      <w:r>
        <w:rPr>
          <w:rFonts w:hint="eastAsia" w:hAnsi="宋体"/>
          <w:lang w:eastAsia="zh-CN"/>
        </w:rPr>
        <w:t>采购文件</w:t>
      </w:r>
    </w:p>
    <w:p>
      <w:pPr>
        <w:pStyle w:val="3"/>
        <w:spacing w:line="360" w:lineRule="auto"/>
        <w:ind w:firstLine="420" w:firstLineChars="200"/>
        <w:rPr>
          <w:rFonts w:hint="eastAsia" w:hAnsi="宋体"/>
        </w:rPr>
      </w:pPr>
      <w:r>
        <w:rPr>
          <w:rFonts w:hint="eastAsia" w:hAnsi="宋体"/>
        </w:rPr>
        <w:t>投标文件</w:t>
      </w:r>
    </w:p>
    <w:p>
      <w:pPr>
        <w:pStyle w:val="3"/>
        <w:spacing w:line="360" w:lineRule="auto"/>
        <w:ind w:firstLine="420" w:firstLineChars="200"/>
        <w:rPr>
          <w:rFonts w:hint="eastAsia" w:hAnsi="宋体"/>
        </w:rPr>
      </w:pPr>
      <w:r>
        <w:rPr>
          <w:rFonts w:hint="eastAsia" w:hAnsi="宋体"/>
        </w:rPr>
        <w:t>（3）</w:t>
      </w:r>
      <w:r>
        <w:rPr>
          <w:rFonts w:hint="eastAsia" w:hAnsi="宋体"/>
          <w:lang w:eastAsia="zh-CN"/>
        </w:rPr>
        <w:t>成交</w:t>
      </w:r>
      <w:r>
        <w:rPr>
          <w:rFonts w:hint="eastAsia" w:hAnsi="宋体"/>
        </w:rPr>
        <w:t>通知书</w:t>
      </w:r>
    </w:p>
    <w:p>
      <w:pPr>
        <w:pStyle w:val="3"/>
        <w:spacing w:line="360" w:lineRule="auto"/>
        <w:ind w:firstLine="420" w:firstLineChars="200"/>
        <w:rPr>
          <w:rFonts w:hint="eastAsia" w:hAnsi="宋体"/>
        </w:rPr>
      </w:pPr>
      <w:r>
        <w:rPr>
          <w:rFonts w:hint="eastAsia" w:hAnsi="宋体"/>
        </w:rPr>
        <w:t>（4）经双方确认进入合同的其它文件、补充条款或说明</w:t>
      </w:r>
    </w:p>
    <w:p>
      <w:pPr>
        <w:pStyle w:val="3"/>
        <w:spacing w:line="360" w:lineRule="auto"/>
        <w:ind w:firstLine="420" w:firstLineChars="200"/>
        <w:rPr>
          <w:rFonts w:hint="eastAsia" w:hAnsi="宋体"/>
        </w:rPr>
      </w:pPr>
      <w:r>
        <w:rPr>
          <w:rFonts w:hint="eastAsia" w:hAnsi="宋体"/>
        </w:rPr>
        <w:t>2、采购标的、数量、质量要求</w:t>
      </w:r>
    </w:p>
    <w:p>
      <w:pPr>
        <w:pStyle w:val="3"/>
        <w:spacing w:line="360" w:lineRule="auto"/>
        <w:ind w:firstLine="420" w:firstLineChars="200"/>
        <w:rPr>
          <w:rFonts w:hint="eastAsia" w:hAnsi="宋体"/>
          <w:lang w:val="en-US" w:eastAsia="zh-CN"/>
        </w:rPr>
      </w:pPr>
      <w:r>
        <w:rPr>
          <w:rFonts w:hint="eastAsia" w:hAnsi="宋体"/>
        </w:rPr>
        <w:t>3、</w:t>
      </w:r>
      <w:r>
        <w:rPr>
          <w:rFonts w:hint="eastAsia" w:hAnsi="宋体"/>
          <w:lang w:val="en-US" w:eastAsia="zh-CN"/>
        </w:rPr>
        <w:t>合同价款及付款方式</w:t>
      </w:r>
    </w:p>
    <w:p>
      <w:pPr>
        <w:pStyle w:val="3"/>
        <w:spacing w:line="360" w:lineRule="auto"/>
        <w:ind w:firstLine="420" w:firstLineChars="200"/>
        <w:rPr>
          <w:rFonts w:hint="eastAsia" w:hAnsi="宋体"/>
          <w:lang w:val="en-US" w:eastAsia="zh-CN"/>
        </w:rPr>
      </w:pPr>
      <w:r>
        <w:rPr>
          <w:rFonts w:hint="eastAsia" w:hAnsi="宋体"/>
          <w:lang w:val="en-US" w:eastAsia="zh-CN"/>
        </w:rPr>
        <w:t>3.1合同价款：总额为￥   元(大写：     )。</w:t>
      </w:r>
    </w:p>
    <w:p>
      <w:pPr>
        <w:pStyle w:val="3"/>
        <w:spacing w:line="360" w:lineRule="auto"/>
        <w:ind w:firstLine="420" w:firstLineChars="200"/>
        <w:rPr>
          <w:rFonts w:hint="eastAsia" w:hAnsi="宋体"/>
          <w:lang w:val="en-US" w:eastAsia="zh-CN"/>
        </w:rPr>
      </w:pPr>
      <w:r>
        <w:rPr>
          <w:rFonts w:hint="eastAsia" w:hAnsi="宋体"/>
          <w:lang w:val="en-US" w:eastAsia="zh-CN"/>
        </w:rPr>
        <w:t>3.2支付方式和期限：</w:t>
      </w:r>
    </w:p>
    <w:p>
      <w:pPr>
        <w:pStyle w:val="3"/>
        <w:spacing w:line="360" w:lineRule="auto"/>
        <w:ind w:firstLine="420" w:firstLineChars="200"/>
        <w:rPr>
          <w:rFonts w:hint="eastAsia" w:hAnsi="宋体"/>
          <w:lang w:val="en-US" w:eastAsia="zh-CN"/>
        </w:rPr>
      </w:pPr>
      <w:r>
        <w:rPr>
          <w:rFonts w:hint="eastAsia" w:hAnsi="宋体"/>
          <w:lang w:val="en-US" w:eastAsia="zh-CN"/>
        </w:rPr>
        <w:t>3.3发票要求：甲方向乙方支付项目款之前，乙方按照正规等额开具增值税发票。</w:t>
      </w:r>
    </w:p>
    <w:p>
      <w:pPr>
        <w:pStyle w:val="3"/>
        <w:spacing w:line="360" w:lineRule="auto"/>
        <w:ind w:firstLine="420" w:firstLineChars="200"/>
        <w:rPr>
          <w:rFonts w:hint="eastAsia" w:hAnsi="宋体"/>
          <w:lang w:val="en-US" w:eastAsia="zh-CN"/>
        </w:rPr>
      </w:pPr>
      <w:r>
        <w:rPr>
          <w:rFonts w:hint="eastAsia" w:hAnsi="宋体"/>
          <w:lang w:val="en-US" w:eastAsia="zh-CN"/>
        </w:rPr>
        <w:t>3.4 汇款方式：甲方通过银行电汇的方式将款项支付至乙方指定账户：</w:t>
      </w:r>
    </w:p>
    <w:p>
      <w:pPr>
        <w:pStyle w:val="3"/>
        <w:spacing w:line="360" w:lineRule="auto"/>
        <w:ind w:firstLine="420" w:firstLineChars="200"/>
        <w:rPr>
          <w:rFonts w:hint="eastAsia" w:hAnsi="宋体"/>
          <w:lang w:val="en-US" w:eastAsia="zh-CN"/>
        </w:rPr>
      </w:pPr>
      <w:r>
        <w:rPr>
          <w:rFonts w:hint="eastAsia" w:hAnsi="宋体"/>
          <w:lang w:val="en-US" w:eastAsia="zh-CN"/>
        </w:rPr>
        <w:t>乙方账户信息：</w:t>
      </w:r>
    </w:p>
    <w:p>
      <w:pPr>
        <w:pStyle w:val="3"/>
        <w:spacing w:line="360" w:lineRule="auto"/>
        <w:ind w:firstLine="420" w:firstLineChars="200"/>
        <w:rPr>
          <w:rFonts w:hint="eastAsia" w:hAnsi="宋体"/>
          <w:lang w:val="en-US" w:eastAsia="zh-CN"/>
        </w:rPr>
      </w:pPr>
      <w:r>
        <w:rPr>
          <w:rFonts w:hint="eastAsia" w:hAnsi="宋体"/>
          <w:lang w:val="en-US" w:eastAsia="zh-CN"/>
        </w:rPr>
        <w:t>账号：</w:t>
      </w:r>
    </w:p>
    <w:p>
      <w:pPr>
        <w:pStyle w:val="3"/>
        <w:spacing w:line="360" w:lineRule="auto"/>
        <w:ind w:firstLine="420" w:firstLineChars="200"/>
        <w:rPr>
          <w:rFonts w:hint="eastAsia" w:hAnsi="宋体"/>
          <w:lang w:val="en-US" w:eastAsia="zh-CN"/>
        </w:rPr>
      </w:pPr>
      <w:r>
        <w:rPr>
          <w:rFonts w:hint="eastAsia" w:hAnsi="宋体"/>
          <w:lang w:val="en-US" w:eastAsia="zh-CN"/>
        </w:rPr>
        <w:t>户名：</w:t>
      </w:r>
    </w:p>
    <w:p>
      <w:pPr>
        <w:pStyle w:val="3"/>
        <w:spacing w:line="360" w:lineRule="auto"/>
        <w:ind w:firstLine="420" w:firstLineChars="200"/>
        <w:rPr>
          <w:rFonts w:hint="eastAsia" w:hAnsi="宋体"/>
        </w:rPr>
      </w:pPr>
      <w:r>
        <w:rPr>
          <w:rFonts w:hint="eastAsia" w:hAnsi="宋体"/>
          <w:lang w:val="en-US" w:eastAsia="zh-CN"/>
        </w:rPr>
        <w:t>开户行：</w:t>
      </w:r>
    </w:p>
    <w:p>
      <w:pPr>
        <w:pStyle w:val="3"/>
        <w:spacing w:line="360" w:lineRule="auto"/>
        <w:ind w:firstLine="420" w:firstLineChars="200"/>
        <w:rPr>
          <w:rFonts w:hint="eastAsia" w:hAnsi="宋体"/>
        </w:rPr>
      </w:pPr>
      <w:r>
        <w:rPr>
          <w:rFonts w:hint="eastAsia" w:hAnsi="宋体"/>
          <w:lang w:val="en-US" w:eastAsia="zh-CN"/>
        </w:rPr>
        <w:t>4</w:t>
      </w:r>
      <w:r>
        <w:rPr>
          <w:rFonts w:hint="eastAsia" w:hAnsi="宋体"/>
        </w:rPr>
        <w:t>、合同供货（服务）期限及地点和方式</w:t>
      </w:r>
    </w:p>
    <w:p>
      <w:pPr>
        <w:pStyle w:val="3"/>
        <w:spacing w:line="360" w:lineRule="auto"/>
        <w:ind w:firstLine="420" w:firstLineChars="200"/>
        <w:rPr>
          <w:rFonts w:hint="eastAsia" w:hAnsi="宋体"/>
        </w:rPr>
      </w:pPr>
      <w:r>
        <w:rPr>
          <w:rFonts w:hint="eastAsia" w:hAnsi="宋体"/>
          <w:lang w:val="en-US" w:eastAsia="zh-CN"/>
        </w:rPr>
        <w:t>5</w:t>
      </w:r>
      <w:r>
        <w:rPr>
          <w:rFonts w:hint="eastAsia" w:hAnsi="宋体"/>
        </w:rPr>
        <w:t>、违约责任</w:t>
      </w:r>
    </w:p>
    <w:p>
      <w:pPr>
        <w:pStyle w:val="3"/>
        <w:spacing w:line="360" w:lineRule="auto"/>
        <w:ind w:firstLine="420" w:firstLineChars="200"/>
        <w:rPr>
          <w:rFonts w:hint="eastAsia" w:hAnsi="宋体"/>
          <w:lang w:val="en-US" w:eastAsia="zh-CN"/>
        </w:rPr>
      </w:pPr>
      <w:r>
        <w:rPr>
          <w:rFonts w:hint="eastAsia" w:hAnsi="宋体"/>
          <w:lang w:val="en-US" w:eastAsia="zh-CN"/>
        </w:rPr>
        <w:t>本合同生效后，甲乙双方均应当全面履行合同义务。任何一方违约，均应当按照约定承担违约责任。其中：</w:t>
      </w:r>
    </w:p>
    <w:p>
      <w:pPr>
        <w:pStyle w:val="3"/>
        <w:spacing w:line="360" w:lineRule="auto"/>
        <w:ind w:firstLine="420" w:firstLineChars="200"/>
        <w:rPr>
          <w:rFonts w:hint="eastAsia" w:hAnsi="宋体"/>
          <w:lang w:val="en-US" w:eastAsia="zh-CN"/>
        </w:rPr>
      </w:pPr>
      <w:r>
        <w:rPr>
          <w:rFonts w:hint="eastAsia" w:hAnsi="宋体"/>
          <w:lang w:val="en-US" w:eastAsia="zh-CN"/>
        </w:rPr>
        <w:t>5.1 甲方逾期付款责任</w:t>
      </w:r>
    </w:p>
    <w:p>
      <w:pPr>
        <w:pStyle w:val="3"/>
        <w:spacing w:line="360" w:lineRule="auto"/>
        <w:ind w:firstLine="420" w:firstLineChars="200"/>
        <w:rPr>
          <w:rFonts w:hint="eastAsia" w:hAnsi="宋体"/>
          <w:lang w:val="en-US" w:eastAsia="zh-CN"/>
        </w:rPr>
      </w:pPr>
      <w:r>
        <w:rPr>
          <w:rFonts w:hint="eastAsia" w:hAnsi="宋体"/>
          <w:lang w:val="en-US" w:eastAsia="zh-CN"/>
        </w:rPr>
        <w:t xml:space="preserve">5.1.1 甲方逾期付款在（15）日内的，每逾期一日，甲方应当向乙方支付逾期应付款项1‰的违约金，但违约金额不得超过合同总价款的10%。 </w:t>
      </w:r>
    </w:p>
    <w:p>
      <w:pPr>
        <w:pStyle w:val="3"/>
        <w:spacing w:line="360" w:lineRule="auto"/>
        <w:ind w:firstLine="420" w:firstLineChars="200"/>
        <w:rPr>
          <w:rFonts w:hint="eastAsia" w:hAnsi="宋体"/>
          <w:lang w:val="en-US" w:eastAsia="zh-CN"/>
        </w:rPr>
      </w:pPr>
      <w:r>
        <w:rPr>
          <w:rFonts w:hint="eastAsia" w:hAnsi="宋体"/>
          <w:lang w:val="en-US" w:eastAsia="zh-CN"/>
        </w:rPr>
        <w:t>5.1.2 逾期付款超过（30）日的，视为甲方不履行，乙方有权要求甲方继续履行或解除合同。</w:t>
      </w:r>
    </w:p>
    <w:p>
      <w:pPr>
        <w:pStyle w:val="3"/>
        <w:spacing w:line="360" w:lineRule="auto"/>
        <w:ind w:firstLine="420" w:firstLineChars="200"/>
        <w:rPr>
          <w:rFonts w:hint="eastAsia" w:hAnsi="宋体"/>
          <w:lang w:val="en-US" w:eastAsia="zh-CN"/>
        </w:rPr>
      </w:pPr>
      <w:r>
        <w:rPr>
          <w:rFonts w:hint="eastAsia" w:hAnsi="宋体"/>
          <w:lang w:val="en-US" w:eastAsia="zh-CN"/>
        </w:rPr>
        <w:t>（注：乙方要求继续履行合同，应该在履行期限届满后30日内提出，甲方应当继续履行合同，并向乙方支付相当于合同价款的3%违约金。乙方要求解除合同，甲方应当向乙支付等额合同价款的10%的违约金。）</w:t>
      </w:r>
    </w:p>
    <w:p>
      <w:pPr>
        <w:pStyle w:val="3"/>
        <w:spacing w:line="360" w:lineRule="auto"/>
        <w:ind w:firstLine="420" w:firstLineChars="200"/>
        <w:rPr>
          <w:rFonts w:hint="eastAsia" w:hAnsi="宋体"/>
          <w:lang w:val="en-US" w:eastAsia="zh-CN"/>
        </w:rPr>
      </w:pPr>
      <w:r>
        <w:rPr>
          <w:rFonts w:hint="eastAsia" w:hAnsi="宋体"/>
          <w:lang w:val="en-US" w:eastAsia="zh-CN"/>
        </w:rPr>
        <w:t>5.2.乙方逾期履约或不履约责任</w:t>
      </w:r>
    </w:p>
    <w:p>
      <w:pPr>
        <w:pStyle w:val="3"/>
        <w:spacing w:line="360" w:lineRule="auto"/>
        <w:ind w:firstLine="420" w:firstLineChars="200"/>
        <w:rPr>
          <w:rFonts w:hint="eastAsia" w:hAnsi="宋体"/>
          <w:lang w:val="en-US" w:eastAsia="zh-CN"/>
        </w:rPr>
      </w:pPr>
      <w:r>
        <w:rPr>
          <w:rFonts w:hint="eastAsia" w:hAnsi="宋体"/>
          <w:lang w:val="en-US" w:eastAsia="zh-CN"/>
        </w:rPr>
        <w:t>5.2.1 乙方不履行合同约定的义务，甲方有权要求乙方继续履行或解除合同。</w:t>
      </w:r>
    </w:p>
    <w:p>
      <w:pPr>
        <w:pStyle w:val="3"/>
        <w:spacing w:line="360" w:lineRule="auto"/>
        <w:ind w:firstLine="420" w:firstLineChars="200"/>
        <w:rPr>
          <w:rFonts w:hint="eastAsia" w:hAnsi="宋体"/>
          <w:lang w:val="en-US" w:eastAsia="zh-CN"/>
        </w:rPr>
      </w:pPr>
      <w:r>
        <w:rPr>
          <w:rFonts w:hint="eastAsia" w:hAnsi="宋体"/>
          <w:lang w:val="en-US" w:eastAsia="zh-CN"/>
        </w:rPr>
        <w:t>（注：甲方要求继续履行合同，应该在履行期限届满后30日内提出，乙方应当继续履行合同，并向甲方支付相当于合同价款的3%违约金。甲方要求解除合同，乙方应当向甲方支付等额合同价款的10%的违约金。）</w:t>
      </w:r>
    </w:p>
    <w:p>
      <w:pPr>
        <w:pStyle w:val="3"/>
        <w:spacing w:line="360" w:lineRule="auto"/>
        <w:ind w:firstLine="420" w:firstLineChars="200"/>
        <w:rPr>
          <w:rFonts w:hint="eastAsia" w:hAnsi="宋体"/>
          <w:lang w:val="en-US" w:eastAsia="zh-CN"/>
        </w:rPr>
      </w:pPr>
      <w:r>
        <w:rPr>
          <w:rFonts w:hint="eastAsia" w:hAnsi="宋体"/>
          <w:lang w:val="en-US" w:eastAsia="zh-CN"/>
        </w:rPr>
        <w:t>5.3 服务质量瑕疵责任</w:t>
      </w:r>
    </w:p>
    <w:p>
      <w:pPr>
        <w:pStyle w:val="3"/>
        <w:spacing w:line="360" w:lineRule="auto"/>
        <w:ind w:firstLine="420" w:firstLineChars="200"/>
        <w:rPr>
          <w:rFonts w:hint="eastAsia" w:hAnsi="宋体"/>
          <w:lang w:val="en-US" w:eastAsia="zh-CN"/>
        </w:rPr>
      </w:pPr>
      <w:r>
        <w:rPr>
          <w:rFonts w:hint="eastAsia" w:hAnsi="宋体"/>
          <w:lang w:val="en-US" w:eastAsia="zh-CN"/>
        </w:rPr>
        <w:t>如因乙方人为因素导致甲方数据损坏、丢失或造成其他损失的，乙方应当赔偿因乙方原因给甲方造成的直接损失。</w:t>
      </w:r>
    </w:p>
    <w:p>
      <w:pPr>
        <w:pStyle w:val="3"/>
        <w:spacing w:line="360" w:lineRule="auto"/>
        <w:ind w:firstLine="420" w:firstLineChars="200"/>
        <w:rPr>
          <w:rFonts w:hint="eastAsia" w:hAnsi="宋体"/>
          <w:lang w:val="en-US" w:eastAsia="zh-CN"/>
        </w:rPr>
      </w:pPr>
      <w:r>
        <w:rPr>
          <w:rFonts w:hint="eastAsia" w:hAnsi="宋体"/>
          <w:lang w:val="en-US" w:eastAsia="zh-CN"/>
        </w:rPr>
        <w:t>5.4 违反保密义务责任</w:t>
      </w:r>
    </w:p>
    <w:p>
      <w:pPr>
        <w:pStyle w:val="3"/>
        <w:spacing w:line="360" w:lineRule="auto"/>
        <w:ind w:firstLine="420" w:firstLineChars="200"/>
        <w:rPr>
          <w:rFonts w:hint="eastAsia" w:hAnsi="宋体"/>
          <w:lang w:val="en-US" w:eastAsia="zh-CN"/>
        </w:rPr>
      </w:pPr>
      <w:r>
        <w:rPr>
          <w:rFonts w:hint="eastAsia" w:hAnsi="宋体"/>
          <w:lang w:val="en-US" w:eastAsia="zh-CN"/>
        </w:rPr>
        <w:t>任何一方违反本合同所约定的保密义务，违约方应当赔偿给对方造成的直接损失。涉及触犯国家法律法规的承担相应的法律责任。</w:t>
      </w:r>
    </w:p>
    <w:p>
      <w:pPr>
        <w:pStyle w:val="3"/>
        <w:spacing w:line="360" w:lineRule="auto"/>
        <w:ind w:firstLine="420" w:firstLineChars="200"/>
        <w:rPr>
          <w:rFonts w:hint="eastAsia" w:hAnsi="宋体"/>
          <w:lang w:val="en-US" w:eastAsia="zh-CN"/>
        </w:rPr>
      </w:pPr>
      <w:r>
        <w:rPr>
          <w:rFonts w:hint="eastAsia" w:hAnsi="宋体"/>
          <w:lang w:val="en-US" w:eastAsia="zh-CN"/>
        </w:rPr>
        <w:t>5.5其他违约责任</w:t>
      </w:r>
    </w:p>
    <w:p>
      <w:pPr>
        <w:pStyle w:val="3"/>
        <w:spacing w:line="360" w:lineRule="auto"/>
        <w:ind w:firstLine="420" w:firstLineChars="200"/>
        <w:rPr>
          <w:rFonts w:hint="eastAsia" w:hAnsi="宋体"/>
          <w:lang w:val="en-US" w:eastAsia="zh-CN"/>
        </w:rPr>
      </w:pPr>
      <w:r>
        <w:rPr>
          <w:rFonts w:hint="eastAsia" w:hAnsi="宋体"/>
          <w:lang w:val="en-US" w:eastAsia="zh-CN"/>
        </w:rPr>
        <w:t>驻场服务人员如收到客户投诉（须书面文件）超过2次以上，乙方负责更换驻场服务人员。如乙方在12个月以内更换人员超过3次，甲方有权终止合同。</w:t>
      </w:r>
    </w:p>
    <w:p>
      <w:pPr>
        <w:pStyle w:val="3"/>
        <w:spacing w:line="360" w:lineRule="auto"/>
        <w:ind w:firstLine="420" w:firstLineChars="200"/>
        <w:rPr>
          <w:rFonts w:hint="eastAsia" w:hAnsi="宋体"/>
          <w:lang w:val="en-US" w:eastAsia="zh-CN"/>
        </w:rPr>
      </w:pPr>
      <w:r>
        <w:rPr>
          <w:rFonts w:hint="eastAsia" w:hAnsi="宋体"/>
          <w:lang w:val="en-US" w:eastAsia="zh-CN"/>
        </w:rPr>
        <w:t>5.6 如果乙方未能按甲方提出的要求保障视联网视频会议或未按甲方要求提供运维保障服务，则甲方在支付乙方费用时扣除相应运维保障服务费用。</w:t>
      </w:r>
    </w:p>
    <w:p>
      <w:pPr>
        <w:pStyle w:val="3"/>
        <w:spacing w:line="360" w:lineRule="auto"/>
        <w:ind w:firstLine="420" w:firstLineChars="200"/>
        <w:rPr>
          <w:rFonts w:hint="eastAsia" w:hAnsi="宋体"/>
          <w:lang w:val="en-US" w:eastAsia="zh-CN"/>
        </w:rPr>
      </w:pPr>
      <w:r>
        <w:rPr>
          <w:rFonts w:hint="eastAsia" w:hAnsi="宋体"/>
          <w:lang w:val="en-US" w:eastAsia="zh-CN"/>
        </w:rPr>
        <w:t>6、 不可抗力</w:t>
      </w:r>
    </w:p>
    <w:p>
      <w:pPr>
        <w:pStyle w:val="3"/>
        <w:spacing w:line="360" w:lineRule="auto"/>
        <w:ind w:firstLine="420" w:firstLineChars="200"/>
        <w:rPr>
          <w:rFonts w:hint="eastAsia" w:hAnsi="宋体"/>
          <w:lang w:val="en-US" w:eastAsia="zh-CN"/>
        </w:rPr>
      </w:pPr>
      <w:r>
        <w:rPr>
          <w:rFonts w:hint="eastAsia" w:hAnsi="宋体"/>
          <w:lang w:val="en-US" w:eastAsia="zh-CN"/>
        </w:rPr>
        <w:t>6.1 本合同所称不可抗力，是指地震、台风、严重水灾、火灾、战争等不可抗力的影响而不能执行合同时，履行合同的期限应予以延长，则延长的期限应相当于不可抗力所影响的时间。不可抗力系指买卖双方在签订合同期内所不能预见的，并且它的发生及其后果无法避免和无法克服的影响。</w:t>
      </w:r>
    </w:p>
    <w:p>
      <w:pPr>
        <w:pStyle w:val="3"/>
        <w:spacing w:line="360" w:lineRule="auto"/>
        <w:ind w:firstLine="420" w:firstLineChars="200"/>
        <w:rPr>
          <w:rFonts w:hint="eastAsia" w:hAnsi="宋体"/>
          <w:lang w:val="en-US" w:eastAsia="zh-CN"/>
        </w:rPr>
      </w:pPr>
      <w:r>
        <w:rPr>
          <w:rFonts w:hint="eastAsia" w:hAnsi="宋体"/>
          <w:lang w:val="en-US" w:eastAsia="zh-CN"/>
        </w:rPr>
        <w:t>6.2 因不可抗力不能履行合同的，根据不可抗力的影响，受影响方部分或全部免除责任，但法律另有规定的除外。</w:t>
      </w:r>
    </w:p>
    <w:p>
      <w:pPr>
        <w:pStyle w:val="3"/>
        <w:spacing w:line="360" w:lineRule="auto"/>
        <w:ind w:firstLine="420" w:firstLineChars="200"/>
        <w:rPr>
          <w:rFonts w:hint="eastAsia" w:hAnsi="宋体"/>
          <w:lang w:val="en-US" w:eastAsia="zh-CN"/>
        </w:rPr>
      </w:pPr>
      <w:r>
        <w:rPr>
          <w:rFonts w:hint="eastAsia" w:hAnsi="宋体"/>
          <w:lang w:val="en-US" w:eastAsia="zh-CN"/>
        </w:rPr>
        <w:t>7、 保密责任</w:t>
      </w:r>
    </w:p>
    <w:p>
      <w:pPr>
        <w:pStyle w:val="3"/>
        <w:spacing w:line="360" w:lineRule="auto"/>
        <w:ind w:firstLine="420" w:firstLineChars="200"/>
        <w:rPr>
          <w:rFonts w:hint="eastAsia" w:hAnsi="宋体"/>
          <w:lang w:val="en-US" w:eastAsia="zh-CN"/>
        </w:rPr>
      </w:pPr>
      <w:r>
        <w:rPr>
          <w:rFonts w:hint="eastAsia" w:hAnsi="宋体"/>
          <w:lang w:val="en-US" w:eastAsia="zh-CN"/>
        </w:rPr>
        <w:t>7.1保密内容：本合同的内容、本合同双方因协商，签署和履行本合同而知晓的对方单位与公共安全的信息或获得的对方的单位与公共安全的资料。</w:t>
      </w:r>
    </w:p>
    <w:p>
      <w:pPr>
        <w:pStyle w:val="3"/>
        <w:spacing w:line="360" w:lineRule="auto"/>
        <w:ind w:firstLine="420" w:firstLineChars="200"/>
        <w:rPr>
          <w:rFonts w:hint="eastAsia" w:hAnsi="宋体"/>
          <w:lang w:val="en-US" w:eastAsia="zh-CN"/>
        </w:rPr>
      </w:pPr>
      <w:r>
        <w:rPr>
          <w:rFonts w:hint="eastAsia" w:hAnsi="宋体"/>
          <w:lang w:val="en-US" w:eastAsia="zh-CN"/>
        </w:rPr>
        <w:t>7.2保密义务：</w:t>
      </w:r>
    </w:p>
    <w:p>
      <w:pPr>
        <w:pStyle w:val="3"/>
        <w:spacing w:line="360" w:lineRule="auto"/>
        <w:ind w:firstLine="420" w:firstLineChars="200"/>
        <w:rPr>
          <w:rFonts w:hint="eastAsia" w:hAnsi="宋体"/>
          <w:lang w:val="en-US" w:eastAsia="zh-CN"/>
        </w:rPr>
      </w:pPr>
      <w:r>
        <w:rPr>
          <w:rFonts w:hint="eastAsia" w:hAnsi="宋体"/>
          <w:lang w:val="en-US" w:eastAsia="zh-CN"/>
        </w:rPr>
        <w:t>7.2.1乙方工作人员必须学习有关保密法律法规制度，知悉应当承担的保密义务和法律责任。乙方庄重承诺：</w:t>
      </w:r>
    </w:p>
    <w:p>
      <w:pPr>
        <w:pStyle w:val="3"/>
        <w:spacing w:line="360" w:lineRule="auto"/>
        <w:ind w:firstLine="420" w:firstLineChars="200"/>
        <w:rPr>
          <w:rFonts w:hint="eastAsia" w:hAnsi="宋体"/>
          <w:lang w:val="en-US" w:eastAsia="zh-CN"/>
        </w:rPr>
      </w:pPr>
      <w:r>
        <w:rPr>
          <w:rFonts w:hint="eastAsia" w:hAnsi="宋体"/>
          <w:lang w:val="en-US" w:eastAsia="zh-CN"/>
        </w:rPr>
        <w:t>7.2.2认真遵守国家保密法律、法规和规章制度，履行保密义务；</w:t>
      </w:r>
    </w:p>
    <w:p>
      <w:pPr>
        <w:pStyle w:val="3"/>
        <w:spacing w:line="360" w:lineRule="auto"/>
        <w:ind w:firstLine="420" w:firstLineChars="200"/>
        <w:rPr>
          <w:rFonts w:hint="eastAsia" w:hAnsi="宋体"/>
          <w:lang w:val="en-US" w:eastAsia="zh-CN"/>
        </w:rPr>
      </w:pPr>
      <w:r>
        <w:rPr>
          <w:rFonts w:hint="eastAsia" w:hAnsi="宋体"/>
          <w:lang w:val="en-US" w:eastAsia="zh-CN"/>
        </w:rPr>
        <w:t>7.2.3不提供虚假的个人信息，自愿接受保密审查；</w:t>
      </w:r>
    </w:p>
    <w:p>
      <w:pPr>
        <w:pStyle w:val="3"/>
        <w:spacing w:line="360" w:lineRule="auto"/>
        <w:ind w:firstLine="420" w:firstLineChars="200"/>
        <w:rPr>
          <w:rFonts w:hint="eastAsia" w:hAnsi="宋体"/>
          <w:lang w:val="en-US" w:eastAsia="zh-CN"/>
        </w:rPr>
      </w:pPr>
      <w:r>
        <w:rPr>
          <w:rFonts w:hint="eastAsia" w:hAnsi="宋体"/>
          <w:lang w:val="en-US" w:eastAsia="zh-CN"/>
        </w:rPr>
        <w:t>7.2.4不违规记录、存储、复制、传播未经甲方允许的秘密信息；</w:t>
      </w:r>
    </w:p>
    <w:p>
      <w:pPr>
        <w:pStyle w:val="3"/>
        <w:spacing w:line="360" w:lineRule="auto"/>
        <w:ind w:firstLine="420" w:firstLineChars="200"/>
        <w:rPr>
          <w:rFonts w:hint="eastAsia" w:hAnsi="宋体"/>
          <w:lang w:val="en-US" w:eastAsia="zh-CN"/>
        </w:rPr>
      </w:pPr>
      <w:r>
        <w:rPr>
          <w:rFonts w:hint="eastAsia" w:hAnsi="宋体"/>
          <w:lang w:val="en-US" w:eastAsia="zh-CN"/>
        </w:rPr>
        <w:t>7.2.5不把涉密计算机、涉密存储设备接入互联网及其他非涉密公共信息网络；</w:t>
      </w:r>
    </w:p>
    <w:p>
      <w:pPr>
        <w:pStyle w:val="3"/>
        <w:spacing w:line="360" w:lineRule="auto"/>
        <w:ind w:firstLine="420" w:firstLineChars="200"/>
        <w:rPr>
          <w:rFonts w:hint="eastAsia" w:hAnsi="宋体"/>
          <w:lang w:val="en-US" w:eastAsia="zh-CN"/>
        </w:rPr>
      </w:pPr>
      <w:r>
        <w:rPr>
          <w:rFonts w:hint="eastAsia" w:hAnsi="宋体"/>
          <w:lang w:val="en-US" w:eastAsia="zh-CN"/>
        </w:rPr>
        <w:t>7.2.6不在涉密计算机和非涉密计算机之间交叉使用移动存储介质；</w:t>
      </w:r>
    </w:p>
    <w:p>
      <w:pPr>
        <w:pStyle w:val="3"/>
        <w:spacing w:line="360" w:lineRule="auto"/>
        <w:ind w:firstLine="420" w:firstLineChars="200"/>
        <w:rPr>
          <w:rFonts w:hint="eastAsia" w:hAnsi="宋体"/>
          <w:lang w:val="en-US" w:eastAsia="zh-CN"/>
        </w:rPr>
      </w:pPr>
      <w:r>
        <w:rPr>
          <w:rFonts w:hint="eastAsia" w:hAnsi="宋体"/>
          <w:lang w:val="en-US" w:eastAsia="zh-CN"/>
        </w:rPr>
        <w:t>7.2.7不以任何方式泄露所接触和知悉的甲方数据及国家秘密；</w:t>
      </w:r>
    </w:p>
    <w:p>
      <w:pPr>
        <w:pStyle w:val="3"/>
        <w:spacing w:line="360" w:lineRule="auto"/>
        <w:ind w:firstLine="420" w:firstLineChars="200"/>
        <w:rPr>
          <w:rFonts w:hint="eastAsia" w:hAnsi="宋体"/>
          <w:lang w:val="en-US" w:eastAsia="zh-CN"/>
        </w:rPr>
      </w:pPr>
      <w:r>
        <w:rPr>
          <w:rFonts w:hint="eastAsia" w:hAnsi="宋体"/>
          <w:lang w:val="en-US" w:eastAsia="zh-CN"/>
        </w:rPr>
        <w:t>7.2.8未经甲方审查批准，不擅自发表涉及未公开工作内容的文章、著述。违反上述承诺，自愿承担相关责任和处罚。</w:t>
      </w:r>
    </w:p>
    <w:p>
      <w:pPr>
        <w:pStyle w:val="3"/>
        <w:spacing w:line="360" w:lineRule="auto"/>
        <w:ind w:firstLine="420" w:firstLineChars="200"/>
        <w:rPr>
          <w:rFonts w:hint="eastAsia" w:hAnsi="宋体"/>
          <w:lang w:val="en-US" w:eastAsia="zh-CN"/>
        </w:rPr>
      </w:pPr>
      <w:r>
        <w:rPr>
          <w:rFonts w:hint="eastAsia" w:hAnsi="宋体"/>
          <w:lang w:val="en-US" w:eastAsia="zh-CN"/>
        </w:rPr>
        <w:t>7.2.9如有必要，甲方有权要求乙方返还或销毁（返还、销毁均指不能做任何形式的保存）相关资料。</w:t>
      </w:r>
    </w:p>
    <w:p>
      <w:pPr>
        <w:pStyle w:val="3"/>
        <w:spacing w:line="360" w:lineRule="auto"/>
        <w:ind w:firstLine="420" w:firstLineChars="200"/>
        <w:rPr>
          <w:rFonts w:hint="eastAsia" w:hAnsi="宋体"/>
          <w:lang w:val="en-US" w:eastAsia="zh-CN"/>
        </w:rPr>
      </w:pPr>
      <w:r>
        <w:rPr>
          <w:rFonts w:hint="eastAsia" w:hAnsi="宋体"/>
          <w:lang w:val="en-US" w:eastAsia="zh-CN"/>
        </w:rPr>
        <w:t>8、 合同终止</w:t>
      </w:r>
    </w:p>
    <w:p>
      <w:pPr>
        <w:pStyle w:val="3"/>
        <w:spacing w:line="360" w:lineRule="auto"/>
        <w:ind w:firstLine="420" w:firstLineChars="200"/>
        <w:rPr>
          <w:rFonts w:hint="eastAsia" w:hAnsi="宋体"/>
          <w:lang w:val="en-US" w:eastAsia="zh-CN"/>
        </w:rPr>
      </w:pPr>
      <w:r>
        <w:rPr>
          <w:rFonts w:hint="eastAsia" w:hAnsi="宋体"/>
          <w:lang w:val="en-US" w:eastAsia="zh-CN"/>
        </w:rPr>
        <w:t>8.1 任何一方提前解除本合同的，需提前30天书面通知另一方，本合同另有规定的除外。</w:t>
      </w:r>
    </w:p>
    <w:p>
      <w:pPr>
        <w:pStyle w:val="3"/>
        <w:spacing w:line="360" w:lineRule="auto"/>
        <w:ind w:firstLine="420" w:firstLineChars="200"/>
        <w:rPr>
          <w:rFonts w:hint="eastAsia" w:hAnsi="宋体"/>
          <w:lang w:val="en-US" w:eastAsia="zh-CN"/>
        </w:rPr>
      </w:pPr>
      <w:r>
        <w:rPr>
          <w:rFonts w:hint="eastAsia" w:hAnsi="宋体"/>
          <w:lang w:val="en-US" w:eastAsia="zh-CN"/>
        </w:rPr>
        <w:t>8.2如甲方因自身原因提前解除本合同的，应依据约定的标准先付清乙方已提供服务的费用。</w:t>
      </w:r>
    </w:p>
    <w:p>
      <w:pPr>
        <w:pStyle w:val="3"/>
        <w:spacing w:line="360" w:lineRule="auto"/>
        <w:ind w:firstLine="420" w:firstLineChars="200"/>
        <w:rPr>
          <w:rFonts w:hint="eastAsia" w:hAnsi="宋体"/>
        </w:rPr>
      </w:pPr>
      <w:r>
        <w:rPr>
          <w:rFonts w:hint="eastAsia" w:hAnsi="宋体"/>
          <w:lang w:val="en-US" w:eastAsia="zh-CN"/>
        </w:rPr>
        <w:t>8.3如因乙方原因提前解除本合同的，则甲方无需支付解除合同之后的未提供服务的费用。</w:t>
      </w:r>
    </w:p>
    <w:p>
      <w:pPr>
        <w:pStyle w:val="3"/>
        <w:spacing w:line="360" w:lineRule="auto"/>
        <w:ind w:firstLine="420" w:firstLineChars="200"/>
        <w:rPr>
          <w:rFonts w:hint="eastAsia" w:hAnsi="宋体"/>
          <w:lang w:val="en-US" w:eastAsia="zh-CN"/>
        </w:rPr>
      </w:pPr>
      <w:r>
        <w:rPr>
          <w:rFonts w:hint="eastAsia" w:hAnsi="宋体"/>
          <w:lang w:val="en-US" w:eastAsia="zh-CN"/>
        </w:rPr>
        <w:t>9、合同生效及其它</w:t>
      </w:r>
    </w:p>
    <w:p>
      <w:pPr>
        <w:pStyle w:val="3"/>
        <w:spacing w:line="360" w:lineRule="auto"/>
        <w:ind w:firstLine="420" w:firstLineChars="200"/>
        <w:rPr>
          <w:rFonts w:hint="eastAsia" w:hAnsi="宋体"/>
          <w:lang w:val="en-US" w:eastAsia="zh-CN"/>
        </w:rPr>
      </w:pPr>
      <w:r>
        <w:rPr>
          <w:rFonts w:hint="eastAsia" w:hAnsi="宋体"/>
          <w:lang w:val="en-US" w:eastAsia="zh-CN"/>
        </w:rPr>
        <w:t>9.1 在本合同履行中,若发生争议,双方应本着友好协商的原则先协商解决，协商不成的，任意一方均可向甲方所在地有管辖权的人民法院提起诉讼解决。</w:t>
      </w:r>
    </w:p>
    <w:p>
      <w:pPr>
        <w:pStyle w:val="3"/>
        <w:spacing w:line="360" w:lineRule="auto"/>
        <w:ind w:firstLine="420" w:firstLineChars="200"/>
        <w:rPr>
          <w:rFonts w:hint="eastAsia" w:hAnsi="宋体"/>
          <w:lang w:val="en-US" w:eastAsia="zh-CN"/>
        </w:rPr>
      </w:pPr>
      <w:r>
        <w:rPr>
          <w:rFonts w:hint="eastAsia" w:hAnsi="宋体"/>
          <w:lang w:val="en-US" w:eastAsia="zh-CN"/>
        </w:rPr>
        <w:t>9.2 本合同自双方法定代表人或授权代表人签字并加盖公章或合同章后生效。本合同一式肆份，甲乙双方各执贰份，具有同等法律效力。</w:t>
      </w:r>
    </w:p>
    <w:p>
      <w:pPr>
        <w:pStyle w:val="3"/>
        <w:spacing w:line="360" w:lineRule="auto"/>
        <w:ind w:firstLine="420" w:firstLineChars="200"/>
        <w:rPr>
          <w:rFonts w:hint="eastAsia" w:hAnsi="宋体"/>
          <w:lang w:val="en-US" w:eastAsia="zh-CN"/>
        </w:rPr>
      </w:pPr>
      <w:r>
        <w:rPr>
          <w:rFonts w:hint="eastAsia" w:hAnsi="宋体"/>
          <w:lang w:val="en-US" w:eastAsia="zh-CN"/>
        </w:rPr>
        <w:t>9.3 本合同未尽事宜，经双方协商后签订补充协议说明（具有同等法律效益）。</w:t>
      </w:r>
    </w:p>
    <w:p>
      <w:pPr>
        <w:pStyle w:val="3"/>
        <w:spacing w:line="360" w:lineRule="auto"/>
        <w:ind w:firstLine="420" w:firstLineChars="200"/>
        <w:rPr>
          <w:rFonts w:hint="eastAsia" w:hAnsi="宋体"/>
        </w:rPr>
      </w:pPr>
      <w:r>
        <w:rPr>
          <w:rFonts w:hint="eastAsia" w:hAnsi="宋体"/>
          <w:lang w:eastAsia="zh-CN"/>
        </w:rPr>
        <w:t>甲</w:t>
      </w:r>
      <w:r>
        <w:rPr>
          <w:rFonts w:hint="eastAsia" w:hAnsi="宋体"/>
        </w:rPr>
        <w:t xml:space="preserve">  方：                          </w:t>
      </w:r>
      <w:r>
        <w:rPr>
          <w:rFonts w:hint="eastAsia" w:hAnsi="宋体"/>
          <w:lang w:eastAsia="zh-CN"/>
        </w:rPr>
        <w:t>乙</w:t>
      </w:r>
      <w:r>
        <w:rPr>
          <w:rFonts w:hint="eastAsia" w:hAnsi="宋体"/>
        </w:rPr>
        <w:t xml:space="preserve">  方：</w:t>
      </w:r>
    </w:p>
    <w:p>
      <w:pPr>
        <w:pStyle w:val="3"/>
        <w:spacing w:line="360" w:lineRule="auto"/>
        <w:ind w:firstLine="420" w:firstLineChars="200"/>
        <w:rPr>
          <w:rFonts w:hint="eastAsia" w:hAnsi="宋体"/>
        </w:rPr>
      </w:pPr>
      <w:r>
        <w:rPr>
          <w:rFonts w:hint="eastAsia" w:hAnsi="宋体"/>
        </w:rPr>
        <w:t>名  称：（盖章）                  名  称：（盖章）</w:t>
      </w:r>
    </w:p>
    <w:p>
      <w:pPr>
        <w:pStyle w:val="3"/>
        <w:spacing w:line="360" w:lineRule="auto"/>
        <w:ind w:firstLine="420" w:firstLineChars="200"/>
        <w:rPr>
          <w:rFonts w:hint="eastAsia" w:hAnsi="宋体"/>
        </w:rPr>
      </w:pPr>
      <w:r>
        <w:rPr>
          <w:rFonts w:hint="eastAsia" w:hAnsi="宋体"/>
        </w:rPr>
        <w:t>法定代表人（或委托代理人）：      法定代表人（或委托代理人）：</w:t>
      </w:r>
    </w:p>
    <w:p>
      <w:pPr>
        <w:pStyle w:val="3"/>
        <w:spacing w:line="360" w:lineRule="auto"/>
        <w:ind w:firstLine="420" w:firstLineChars="200"/>
        <w:rPr>
          <w:rFonts w:hint="eastAsia" w:hAnsi="宋体"/>
        </w:rPr>
      </w:pPr>
      <w:r>
        <w:rPr>
          <w:rFonts w:hint="eastAsia" w:hAnsi="宋体"/>
        </w:rPr>
        <w:t>（签字）                        （签字）</w:t>
      </w:r>
    </w:p>
    <w:p>
      <w:pPr>
        <w:pStyle w:val="3"/>
        <w:spacing w:line="360" w:lineRule="auto"/>
        <w:ind w:firstLine="420" w:firstLineChars="200"/>
        <w:rPr>
          <w:rFonts w:hint="eastAsia" w:hAnsi="宋体"/>
        </w:rPr>
      </w:pPr>
      <w:r>
        <w:rPr>
          <w:rFonts w:hint="eastAsia" w:hAnsi="宋体"/>
        </w:rPr>
        <w:t>地    址：                        地    址：</w:t>
      </w:r>
    </w:p>
    <w:p>
      <w:pPr>
        <w:pStyle w:val="3"/>
        <w:spacing w:line="360" w:lineRule="auto"/>
        <w:ind w:firstLine="420" w:firstLineChars="200"/>
        <w:rPr>
          <w:rFonts w:hint="eastAsia" w:hAnsi="宋体"/>
        </w:rPr>
      </w:pPr>
      <w:r>
        <w:rPr>
          <w:rFonts w:hint="eastAsia" w:hAnsi="宋体"/>
        </w:rPr>
        <w:t>邮政编码：                        邮政编码：</w:t>
      </w:r>
    </w:p>
    <w:p>
      <w:pPr>
        <w:pStyle w:val="3"/>
        <w:spacing w:line="360" w:lineRule="auto"/>
        <w:ind w:firstLine="420" w:firstLineChars="200"/>
        <w:rPr>
          <w:rFonts w:hint="eastAsia" w:hAnsi="宋体"/>
        </w:rPr>
      </w:pPr>
      <w:r>
        <w:rPr>
          <w:rFonts w:hint="eastAsia" w:hAnsi="宋体"/>
        </w:rPr>
        <w:t>电    话：                        电    话：</w:t>
      </w:r>
    </w:p>
    <w:p>
      <w:pPr>
        <w:pStyle w:val="3"/>
        <w:spacing w:line="360" w:lineRule="auto"/>
        <w:ind w:firstLine="420" w:firstLineChars="200"/>
        <w:rPr>
          <w:rFonts w:hint="eastAsia" w:hAnsi="宋体"/>
        </w:rPr>
      </w:pPr>
      <w:r>
        <w:rPr>
          <w:rFonts w:hint="eastAsia" w:hAnsi="宋体"/>
        </w:rPr>
        <w:t>开户银行：                        开户银行：</w:t>
      </w:r>
    </w:p>
    <w:p>
      <w:pPr>
        <w:pStyle w:val="3"/>
        <w:spacing w:line="360" w:lineRule="auto"/>
        <w:ind w:firstLine="420" w:firstLineChars="200"/>
        <w:rPr>
          <w:rFonts w:hint="eastAsia" w:hAnsi="宋体"/>
        </w:rPr>
      </w:pPr>
      <w:r>
        <w:rPr>
          <w:rFonts w:hint="eastAsia" w:hAnsi="宋体"/>
        </w:rPr>
        <w:t>帐    号：                        帐    号：</w:t>
      </w:r>
    </w:p>
    <w:p>
      <w:pPr>
        <w:pStyle w:val="3"/>
        <w:spacing w:line="360" w:lineRule="auto"/>
        <w:ind w:firstLine="420" w:firstLineChars="200"/>
        <w:rPr>
          <w:rFonts w:hAnsi="宋体"/>
        </w:rPr>
      </w:pPr>
    </w:p>
    <w:p>
      <w:pPr>
        <w:pStyle w:val="3"/>
        <w:spacing w:line="360" w:lineRule="auto"/>
        <w:ind w:firstLine="422" w:firstLineChars="200"/>
        <w:rPr>
          <w:rFonts w:hAnsi="宋体"/>
          <w:b/>
          <w:bCs/>
        </w:rPr>
      </w:pPr>
    </w:p>
    <w:p>
      <w:pPr>
        <w:pStyle w:val="3"/>
        <w:spacing w:line="360" w:lineRule="auto"/>
        <w:ind w:firstLine="422" w:firstLineChars="200"/>
        <w:jc w:val="center"/>
        <w:rPr>
          <w:rFonts w:hAnsi="宋体"/>
          <w:b/>
          <w:bCs/>
        </w:rPr>
      </w:pPr>
      <w:r>
        <w:rPr>
          <w:rFonts w:hint="eastAsia" w:hAnsi="宋体"/>
          <w:b/>
          <w:bCs/>
        </w:rPr>
        <w:t>（以上合同仅供参考）</w:t>
      </w:r>
      <w:bookmarkEnd w:id="7"/>
    </w:p>
    <w:p>
      <w:pPr>
        <w:tabs>
          <w:tab w:val="right" w:pos="9774"/>
        </w:tabs>
        <w:bidi w:val="0"/>
        <w:jc w:val="left"/>
        <w:rPr>
          <w:rFonts w:hint="eastAsia" w:cs="Times New Roman"/>
          <w:kern w:val="2"/>
          <w:sz w:val="21"/>
          <w:szCs w:val="24"/>
          <w:lang w:val="en-US" w:eastAsia="zh-CN" w:bidi="ar-SA"/>
        </w:rPr>
      </w:pPr>
    </w:p>
    <w:p>
      <w:pPr>
        <w:pStyle w:val="13"/>
        <w:rPr>
          <w:rFonts w:hint="eastAsia" w:cs="Times New Roman"/>
          <w:kern w:val="2"/>
          <w:sz w:val="21"/>
          <w:szCs w:val="24"/>
          <w:lang w:val="en-US" w:eastAsia="zh-CN" w:bidi="ar-SA"/>
        </w:rPr>
      </w:pPr>
    </w:p>
    <w:p>
      <w:pPr>
        <w:pStyle w:val="13"/>
        <w:rPr>
          <w:rFonts w:hint="eastAsia" w:cs="Times New Roman"/>
          <w:kern w:val="2"/>
          <w:sz w:val="21"/>
          <w:szCs w:val="24"/>
          <w:lang w:val="en-US" w:eastAsia="zh-CN" w:bidi="ar-SA"/>
        </w:rPr>
      </w:pPr>
    </w:p>
    <w:p>
      <w:pPr>
        <w:pStyle w:val="13"/>
        <w:rPr>
          <w:rFonts w:hint="eastAsia" w:cs="Times New Roman"/>
          <w:kern w:val="2"/>
          <w:sz w:val="21"/>
          <w:szCs w:val="24"/>
          <w:lang w:val="en-US" w:eastAsia="zh-CN" w:bidi="ar-SA"/>
        </w:rPr>
      </w:pPr>
    </w:p>
    <w:p>
      <w:pPr>
        <w:pStyle w:val="13"/>
        <w:rPr>
          <w:rFonts w:hint="eastAsia" w:cs="Times New Roman"/>
          <w:kern w:val="2"/>
          <w:sz w:val="21"/>
          <w:szCs w:val="24"/>
          <w:lang w:val="en-US" w:eastAsia="zh-CN" w:bidi="ar-SA"/>
        </w:rPr>
      </w:pPr>
    </w:p>
    <w:p>
      <w:pPr>
        <w:pStyle w:val="13"/>
        <w:rPr>
          <w:rFonts w:hint="eastAsia" w:cs="Times New Roman"/>
          <w:kern w:val="2"/>
          <w:sz w:val="21"/>
          <w:szCs w:val="24"/>
          <w:lang w:val="en-US" w:eastAsia="zh-CN" w:bidi="ar-SA"/>
        </w:rPr>
      </w:pPr>
    </w:p>
    <w:p>
      <w:pPr>
        <w:pStyle w:val="13"/>
        <w:rPr>
          <w:rFonts w:hint="eastAsia" w:cs="Times New Roman"/>
          <w:kern w:val="2"/>
          <w:sz w:val="21"/>
          <w:szCs w:val="24"/>
          <w:lang w:val="en-US" w:eastAsia="zh-CN" w:bidi="ar-SA"/>
        </w:rPr>
      </w:pPr>
    </w:p>
    <w:p>
      <w:pPr>
        <w:pStyle w:val="13"/>
        <w:rPr>
          <w:rFonts w:hint="eastAsia" w:cs="Times New Roman"/>
          <w:kern w:val="2"/>
          <w:sz w:val="21"/>
          <w:szCs w:val="24"/>
          <w:lang w:val="en-US" w:eastAsia="zh-CN" w:bidi="ar-SA"/>
        </w:rPr>
      </w:pPr>
    </w:p>
    <w:p>
      <w:pPr>
        <w:tabs>
          <w:tab w:val="right" w:pos="9774"/>
        </w:tabs>
        <w:bidi w:val="0"/>
        <w:ind w:firstLine="720" w:firstLineChars="300"/>
        <w:jc w:val="left"/>
        <w:rPr>
          <w:rFonts w:hint="eastAsia" w:ascii="宋体" w:hAnsi="宋体" w:cs="宋体"/>
          <w:sz w:val="24"/>
          <w:szCs w:val="24"/>
          <w:lang w:val="en-US" w:eastAsia="zh-CN"/>
        </w:rPr>
      </w:pPr>
    </w:p>
    <w:p>
      <w:pPr>
        <w:tabs>
          <w:tab w:val="right" w:pos="9774"/>
        </w:tabs>
        <w:bidi w:val="0"/>
        <w:jc w:val="center"/>
        <w:rPr>
          <w:rFonts w:hint="eastAsia" w:ascii="宋体" w:hAnsi="宋体" w:eastAsia="宋体" w:cs="宋体"/>
          <w:b/>
          <w:bCs/>
          <w:sz w:val="36"/>
          <w:szCs w:val="36"/>
        </w:rPr>
      </w:pPr>
      <w:r>
        <w:rPr>
          <w:rFonts w:hint="eastAsia" w:ascii="宋体" w:hAnsi="宋体" w:cs="宋体"/>
          <w:b/>
          <w:bCs/>
          <w:sz w:val="36"/>
          <w:szCs w:val="36"/>
          <w:lang w:val="en-US" w:eastAsia="zh-CN"/>
        </w:rPr>
        <w:t>第五</w:t>
      </w:r>
      <w:r>
        <w:rPr>
          <w:rFonts w:hint="eastAsia" w:ascii="宋体" w:hAnsi="宋体" w:eastAsia="宋体" w:cs="宋体"/>
          <w:b/>
          <w:bCs/>
          <w:sz w:val="36"/>
          <w:szCs w:val="36"/>
        </w:rPr>
        <w:t>部分</w:t>
      </w:r>
    </w:p>
    <w:p>
      <w:pPr>
        <w:tabs>
          <w:tab w:val="right" w:pos="9774"/>
        </w:tabs>
        <w:bidi w:val="0"/>
        <w:jc w:val="center"/>
        <w:rPr>
          <w:rFonts w:hint="eastAsia" w:ascii="宋体" w:hAnsi="宋体" w:eastAsia="宋体" w:cs="宋体"/>
          <w:sz w:val="24"/>
          <w:szCs w:val="24"/>
        </w:rPr>
      </w:pPr>
      <w:r>
        <w:rPr>
          <w:rFonts w:hint="eastAsia" w:ascii="宋体" w:hAnsi="宋体" w:eastAsia="宋体" w:cs="宋体"/>
          <w:b/>
          <w:bCs/>
          <w:sz w:val="36"/>
          <w:szCs w:val="36"/>
          <w:lang w:val="en-US" w:eastAsia="zh-CN"/>
        </w:rPr>
        <w:t>服务内容和需求</w:t>
      </w:r>
    </w:p>
    <w:bookmarkEnd w:id="3"/>
    <w:p>
      <w:pPr>
        <w:spacing w:line="440" w:lineRule="exact"/>
        <w:ind w:firstLine="476" w:firstLineChars="200"/>
        <w:jc w:val="both"/>
        <w:rPr>
          <w:rFonts w:hint="eastAsia" w:ascii="宋体" w:hAnsi="宋体" w:eastAsia="宋体" w:cs="宋体"/>
          <w:spacing w:val="-1"/>
          <w:sz w:val="24"/>
          <w:szCs w:val="24"/>
        </w:rPr>
      </w:pPr>
      <w:bookmarkStart w:id="8" w:name="_Toc341962173"/>
      <w:r>
        <w:rPr>
          <w:rFonts w:hint="eastAsia" w:ascii="宋体" w:hAnsi="宋体" w:eastAsia="宋体" w:cs="宋体"/>
          <w:spacing w:val="-1"/>
          <w:sz w:val="24"/>
          <w:szCs w:val="24"/>
        </w:rPr>
        <w:t>项目概况</w:t>
      </w:r>
      <w:bookmarkEnd w:id="8"/>
      <w:r>
        <w:rPr>
          <w:rFonts w:hint="eastAsia" w:ascii="宋体" w:hAnsi="宋体" w:eastAsia="宋体" w:cs="宋体"/>
          <w:spacing w:val="-1"/>
          <w:sz w:val="24"/>
          <w:szCs w:val="24"/>
        </w:rPr>
        <w:tab/>
      </w:r>
    </w:p>
    <w:p>
      <w:pPr>
        <w:spacing w:line="440" w:lineRule="exact"/>
        <w:ind w:firstLine="476" w:firstLineChars="200"/>
        <w:jc w:val="both"/>
        <w:rPr>
          <w:rFonts w:hint="eastAsia" w:ascii="宋体" w:hAnsi="宋体" w:eastAsia="宋体" w:cs="宋体"/>
          <w:spacing w:val="-1"/>
          <w:sz w:val="24"/>
          <w:szCs w:val="24"/>
        </w:rPr>
      </w:pPr>
      <w:bookmarkStart w:id="9" w:name="_Toc153907545"/>
      <w:bookmarkStart w:id="10" w:name="_Toc341962174"/>
      <w:r>
        <w:rPr>
          <w:rFonts w:hint="eastAsia" w:ascii="宋体" w:hAnsi="宋体" w:eastAsia="宋体" w:cs="宋体"/>
          <w:spacing w:val="-1"/>
          <w:sz w:val="24"/>
          <w:szCs w:val="24"/>
        </w:rPr>
        <w:t>项目背景</w:t>
      </w:r>
      <w:bookmarkEnd w:id="9"/>
      <w:bookmarkEnd w:id="10"/>
      <w:r>
        <w:rPr>
          <w:rFonts w:hint="eastAsia" w:ascii="宋体" w:hAnsi="宋体" w:eastAsia="宋体" w:cs="宋体"/>
          <w:spacing w:val="-1"/>
          <w:sz w:val="24"/>
          <w:szCs w:val="24"/>
        </w:rPr>
        <w:tab/>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rPr>
        <w:t>随着</w:t>
      </w:r>
      <w:r>
        <w:rPr>
          <w:rFonts w:hint="eastAsia" w:ascii="宋体" w:hAnsi="宋体" w:eastAsia="宋体" w:cs="宋体"/>
          <w:spacing w:val="-1"/>
          <w:sz w:val="24"/>
          <w:szCs w:val="24"/>
          <w:lang w:val="en-US" w:eastAsia="zh-CN"/>
        </w:rPr>
        <w:t>学校多年</w:t>
      </w:r>
      <w:r>
        <w:rPr>
          <w:rFonts w:hint="eastAsia" w:ascii="宋体" w:hAnsi="宋体" w:eastAsia="宋体" w:cs="宋体"/>
          <w:spacing w:val="-1"/>
          <w:sz w:val="24"/>
          <w:szCs w:val="24"/>
        </w:rPr>
        <w:t>的信息化建设，学校信息化基础设施设备已显现规模，如何将当前拥有的信息化设备维护管理</w:t>
      </w:r>
      <w:r>
        <w:rPr>
          <w:rFonts w:hint="eastAsia" w:ascii="宋体" w:hAnsi="宋体" w:eastAsia="宋体" w:cs="宋体"/>
          <w:spacing w:val="-1"/>
          <w:sz w:val="24"/>
          <w:szCs w:val="24"/>
          <w:lang w:eastAsia="zh-CN"/>
        </w:rPr>
        <w:t>的</w:t>
      </w:r>
      <w:r>
        <w:rPr>
          <w:rFonts w:hint="eastAsia" w:ascii="宋体" w:hAnsi="宋体" w:eastAsia="宋体" w:cs="宋体"/>
          <w:spacing w:val="-1"/>
          <w:sz w:val="24"/>
          <w:szCs w:val="24"/>
        </w:rPr>
        <w:t>更好，是现阶段学校信息化建设中的一个重要问题。</w:t>
      </w:r>
      <w:r>
        <w:rPr>
          <w:rFonts w:hint="eastAsia" w:ascii="宋体" w:hAnsi="宋体" w:eastAsia="宋体" w:cs="宋体"/>
          <w:spacing w:val="-1"/>
          <w:sz w:val="24"/>
          <w:szCs w:val="24"/>
          <w:lang w:eastAsia="zh-CN"/>
        </w:rPr>
        <w:t>学校拥有的</w:t>
      </w:r>
      <w:r>
        <w:rPr>
          <w:rFonts w:hint="eastAsia" w:ascii="宋体" w:hAnsi="宋体" w:eastAsia="宋体" w:cs="宋体"/>
          <w:spacing w:val="-1"/>
          <w:sz w:val="24"/>
          <w:szCs w:val="24"/>
          <w:lang w:val="en-US" w:eastAsia="zh-CN"/>
        </w:rPr>
        <w:t>八</w:t>
      </w:r>
      <w:r>
        <w:rPr>
          <w:rFonts w:hint="eastAsia" w:ascii="宋体" w:hAnsi="宋体" w:eastAsia="宋体" w:cs="宋体"/>
          <w:spacing w:val="-1"/>
          <w:sz w:val="24"/>
          <w:szCs w:val="24"/>
          <w:lang w:eastAsia="zh-CN"/>
        </w:rPr>
        <w:t>大类</w:t>
      </w:r>
      <w:r>
        <w:rPr>
          <w:rFonts w:hint="eastAsia" w:ascii="宋体" w:hAnsi="宋体" w:eastAsia="宋体" w:cs="宋体"/>
          <w:spacing w:val="-1"/>
          <w:sz w:val="24"/>
          <w:szCs w:val="24"/>
        </w:rPr>
        <w:t>信息化</w:t>
      </w:r>
      <w:r>
        <w:rPr>
          <w:rFonts w:hint="eastAsia" w:ascii="宋体" w:hAnsi="宋体" w:eastAsia="宋体" w:cs="宋体"/>
          <w:spacing w:val="-1"/>
          <w:sz w:val="24"/>
          <w:szCs w:val="24"/>
          <w:lang w:eastAsia="zh-CN"/>
        </w:rPr>
        <w:t>设施、</w:t>
      </w:r>
      <w:r>
        <w:rPr>
          <w:rFonts w:hint="eastAsia" w:ascii="宋体" w:hAnsi="宋体" w:eastAsia="宋体" w:cs="宋体"/>
          <w:spacing w:val="-1"/>
          <w:sz w:val="24"/>
          <w:szCs w:val="24"/>
        </w:rPr>
        <w:t>设备</w:t>
      </w:r>
      <w:r>
        <w:rPr>
          <w:rFonts w:hint="eastAsia" w:ascii="宋体" w:hAnsi="宋体" w:eastAsia="宋体" w:cs="宋体"/>
          <w:spacing w:val="-1"/>
          <w:sz w:val="24"/>
          <w:szCs w:val="24"/>
          <w:lang w:eastAsia="zh-CN"/>
        </w:rPr>
        <w:t>，包括</w:t>
      </w:r>
      <w:r>
        <w:rPr>
          <w:rFonts w:hint="eastAsia" w:ascii="宋体" w:hAnsi="宋体" w:eastAsia="宋体" w:cs="宋体"/>
          <w:spacing w:val="-1"/>
          <w:sz w:val="24"/>
          <w:szCs w:val="24"/>
          <w:lang w:val="en-US" w:eastAsia="zh-CN"/>
        </w:rPr>
        <w:t>但</w:t>
      </w:r>
      <w:r>
        <w:rPr>
          <w:rFonts w:hint="eastAsia" w:ascii="宋体" w:hAnsi="宋体" w:eastAsia="宋体" w:cs="宋体"/>
          <w:spacing w:val="-1"/>
          <w:sz w:val="24"/>
          <w:szCs w:val="24"/>
          <w:lang w:eastAsia="zh-CN"/>
        </w:rPr>
        <w:t>核心机房设备、学生机房设备、办公自动化设备、班班通教学设备、校园监控系统以及校园业务系统（包括校园广播、校园一卡通、数字校园平台）软硬件设备，其中很</w:t>
      </w:r>
      <w:r>
        <w:rPr>
          <w:rFonts w:hint="eastAsia" w:ascii="宋体" w:hAnsi="宋体" w:eastAsia="宋体" w:cs="宋体"/>
          <w:spacing w:val="-1"/>
          <w:sz w:val="24"/>
          <w:szCs w:val="24"/>
        </w:rPr>
        <w:t>大</w:t>
      </w:r>
      <w:r>
        <w:rPr>
          <w:rFonts w:hint="eastAsia" w:ascii="宋体" w:hAnsi="宋体" w:eastAsia="宋体" w:cs="宋体"/>
          <w:spacing w:val="-1"/>
          <w:sz w:val="24"/>
          <w:szCs w:val="24"/>
          <w:lang w:eastAsia="zh-CN"/>
        </w:rPr>
        <w:t>一</w:t>
      </w:r>
      <w:r>
        <w:rPr>
          <w:rFonts w:hint="eastAsia" w:ascii="宋体" w:hAnsi="宋体" w:eastAsia="宋体" w:cs="宋体"/>
          <w:spacing w:val="-1"/>
          <w:sz w:val="24"/>
          <w:szCs w:val="24"/>
        </w:rPr>
        <w:t>部分已过保修期，此类设备的维修、维护及管理工作由学校自身承担，由于设备存在多样性和复杂性，信息</w:t>
      </w:r>
      <w:r>
        <w:rPr>
          <w:rFonts w:hint="eastAsia" w:ascii="宋体" w:hAnsi="宋体" w:eastAsia="宋体" w:cs="宋体"/>
          <w:spacing w:val="-1"/>
          <w:sz w:val="24"/>
          <w:szCs w:val="24"/>
          <w:lang w:val="en-US" w:eastAsia="zh-CN"/>
        </w:rPr>
        <w:t>中心工作人员</w:t>
      </w:r>
      <w:r>
        <w:rPr>
          <w:rFonts w:hint="eastAsia" w:ascii="宋体" w:hAnsi="宋体" w:eastAsia="宋体" w:cs="宋体"/>
          <w:spacing w:val="-1"/>
          <w:sz w:val="24"/>
          <w:szCs w:val="24"/>
        </w:rPr>
        <w:t>在维修维护方面的能力较为有限，</w:t>
      </w:r>
      <w:r>
        <w:rPr>
          <w:rFonts w:hint="eastAsia" w:ascii="宋体" w:hAnsi="宋体" w:eastAsia="宋体" w:cs="宋体"/>
          <w:spacing w:val="-1"/>
          <w:sz w:val="24"/>
          <w:szCs w:val="24"/>
          <w:lang w:val="en-US" w:eastAsia="zh-CN"/>
        </w:rPr>
        <w:t>信息中心同时兼具网络舆情工作、学院安全保密工作等众多行政工作</w:t>
      </w:r>
      <w:r>
        <w:rPr>
          <w:rFonts w:hint="eastAsia" w:ascii="宋体" w:hAnsi="宋体" w:eastAsia="宋体" w:cs="宋体"/>
          <w:spacing w:val="-1"/>
          <w:sz w:val="24"/>
          <w:szCs w:val="24"/>
        </w:rPr>
        <w:t>，造成故障设备往往很难得到及时、专业的维修。如何</w:t>
      </w:r>
      <w:r>
        <w:rPr>
          <w:rFonts w:hint="eastAsia" w:ascii="宋体" w:hAnsi="宋体" w:eastAsia="宋体" w:cs="宋体"/>
          <w:spacing w:val="-1"/>
          <w:sz w:val="24"/>
          <w:szCs w:val="24"/>
          <w:lang w:val="en-US" w:eastAsia="zh-CN"/>
        </w:rPr>
        <w:t>即做好信息中心行政职能部门的管理工作同时又要做好校信息化建设的规划、设计、建设和技术服务</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既能对学院师生提供优质的服务又能全面推进校园信息化建设工作向纵深发展</w:t>
      </w:r>
      <w:r>
        <w:rPr>
          <w:rFonts w:hint="eastAsia" w:ascii="宋体" w:hAnsi="宋体" w:eastAsia="宋体" w:cs="宋体"/>
          <w:spacing w:val="-1"/>
          <w:sz w:val="24"/>
          <w:szCs w:val="24"/>
        </w:rPr>
        <w:t>，从而优化岗位结构、节约人力成本。</w:t>
      </w:r>
      <w:r>
        <w:rPr>
          <w:rFonts w:hint="eastAsia" w:ascii="宋体" w:hAnsi="宋体" w:eastAsia="宋体" w:cs="宋体"/>
          <w:spacing w:val="-1"/>
          <w:sz w:val="24"/>
          <w:szCs w:val="24"/>
          <w:lang w:eastAsia="zh-CN"/>
        </w:rPr>
        <w:t>综上所述，</w:t>
      </w:r>
      <w:r>
        <w:rPr>
          <w:rFonts w:hint="eastAsia" w:ascii="宋体" w:hAnsi="宋体" w:eastAsia="宋体" w:cs="宋体"/>
          <w:spacing w:val="-1"/>
          <w:sz w:val="24"/>
          <w:szCs w:val="24"/>
          <w:lang w:val="en-US" w:eastAsia="zh-CN"/>
        </w:rPr>
        <w:t>信息中心将学院</w:t>
      </w:r>
      <w:r>
        <w:rPr>
          <w:rFonts w:hint="eastAsia" w:ascii="宋体" w:hAnsi="宋体" w:eastAsia="宋体" w:cs="宋体"/>
          <w:spacing w:val="-1"/>
          <w:sz w:val="24"/>
          <w:szCs w:val="24"/>
        </w:rPr>
        <w:t>信息化</w:t>
      </w:r>
      <w:r>
        <w:rPr>
          <w:rFonts w:hint="eastAsia" w:ascii="宋体" w:hAnsi="宋体" w:eastAsia="宋体" w:cs="宋体"/>
          <w:spacing w:val="-1"/>
          <w:sz w:val="24"/>
          <w:szCs w:val="24"/>
          <w:lang w:eastAsia="zh-CN"/>
        </w:rPr>
        <w:t>基础设施服务</w:t>
      </w:r>
      <w:r>
        <w:rPr>
          <w:rFonts w:hint="eastAsia" w:ascii="宋体" w:hAnsi="宋体" w:eastAsia="宋体" w:cs="宋体"/>
          <w:spacing w:val="-1"/>
          <w:sz w:val="24"/>
          <w:szCs w:val="24"/>
        </w:rPr>
        <w:t>外包</w:t>
      </w:r>
      <w:r>
        <w:rPr>
          <w:rFonts w:hint="eastAsia" w:ascii="宋体" w:hAnsi="宋体" w:eastAsia="宋体" w:cs="宋体"/>
          <w:spacing w:val="-1"/>
          <w:sz w:val="24"/>
          <w:szCs w:val="24"/>
          <w:lang w:eastAsia="zh-CN"/>
        </w:rPr>
        <w:t>可以很好的解决困扰</w:t>
      </w:r>
      <w:r>
        <w:rPr>
          <w:rFonts w:hint="eastAsia" w:ascii="宋体" w:hAnsi="宋体" w:eastAsia="宋体" w:cs="宋体"/>
          <w:spacing w:val="-1"/>
          <w:sz w:val="24"/>
          <w:szCs w:val="24"/>
        </w:rPr>
        <w:t>，既可以使学校获得专业化的IT支持服务，又可以使学校在设备维护方面，由传统的被动管理转变为以预防为目的的主动服务管理</w:t>
      </w:r>
      <w:r>
        <w:rPr>
          <w:rFonts w:hint="eastAsia" w:ascii="宋体" w:hAnsi="宋体" w:eastAsia="宋体" w:cs="宋体"/>
          <w:spacing w:val="-1"/>
          <w:sz w:val="24"/>
          <w:szCs w:val="24"/>
          <w:lang w:eastAsia="zh-CN"/>
        </w:rPr>
        <w:t>。</w:t>
      </w:r>
    </w:p>
    <w:p>
      <w:pPr>
        <w:spacing w:line="440" w:lineRule="exact"/>
        <w:ind w:firstLine="476" w:firstLineChars="200"/>
        <w:jc w:val="both"/>
        <w:rPr>
          <w:rFonts w:hint="eastAsia" w:ascii="宋体" w:hAnsi="宋体" w:eastAsia="宋体" w:cs="宋体"/>
          <w:spacing w:val="-1"/>
          <w:sz w:val="24"/>
          <w:szCs w:val="24"/>
        </w:rPr>
      </w:pPr>
      <w:bookmarkStart w:id="11" w:name="_Toc341962175"/>
      <w:bookmarkStart w:id="12" w:name="_Toc153907546"/>
      <w:r>
        <w:rPr>
          <w:rFonts w:hint="eastAsia" w:ascii="宋体" w:hAnsi="宋体" w:eastAsia="宋体" w:cs="宋体"/>
          <w:spacing w:val="-1"/>
          <w:sz w:val="24"/>
          <w:szCs w:val="24"/>
        </w:rPr>
        <w:t>项目</w:t>
      </w:r>
      <w:bookmarkEnd w:id="11"/>
      <w:bookmarkEnd w:id="12"/>
      <w:bookmarkStart w:id="13" w:name="_Toc341962176"/>
      <w:bookmarkStart w:id="14" w:name="_Toc153907547"/>
      <w:r>
        <w:rPr>
          <w:rFonts w:hint="eastAsia" w:ascii="宋体" w:hAnsi="宋体" w:eastAsia="宋体" w:cs="宋体"/>
          <w:spacing w:val="-1"/>
          <w:sz w:val="24"/>
          <w:szCs w:val="24"/>
        </w:rPr>
        <w:t>需求</w:t>
      </w:r>
      <w:bookmarkEnd w:id="13"/>
      <w:bookmarkEnd w:id="14"/>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本项目主要是针对</w:t>
      </w:r>
      <w:r>
        <w:rPr>
          <w:rFonts w:hint="eastAsia" w:ascii="宋体" w:hAnsi="宋体" w:eastAsia="宋体" w:cs="宋体"/>
          <w:spacing w:val="-1"/>
          <w:sz w:val="24"/>
          <w:szCs w:val="24"/>
          <w:lang w:val="en-US" w:eastAsia="zh-CN"/>
        </w:rPr>
        <w:t>巴音学院</w:t>
      </w:r>
      <w:r>
        <w:rPr>
          <w:rFonts w:hint="eastAsia" w:ascii="宋体" w:hAnsi="宋体" w:eastAsia="宋体" w:cs="宋体"/>
          <w:spacing w:val="-1"/>
          <w:sz w:val="24"/>
          <w:szCs w:val="24"/>
          <w:lang w:eastAsia="zh-CN"/>
        </w:rPr>
        <w:t>校园内</w:t>
      </w:r>
      <w:r>
        <w:rPr>
          <w:rFonts w:hint="eastAsia" w:ascii="宋体" w:hAnsi="宋体" w:eastAsia="宋体" w:cs="宋体"/>
          <w:spacing w:val="-1"/>
          <w:sz w:val="24"/>
          <w:szCs w:val="24"/>
          <w:lang w:val="en-US" w:eastAsia="zh-CN"/>
        </w:rPr>
        <w:t>八</w:t>
      </w:r>
      <w:r>
        <w:rPr>
          <w:rFonts w:hint="eastAsia" w:ascii="宋体" w:hAnsi="宋体" w:eastAsia="宋体" w:cs="宋体"/>
          <w:spacing w:val="-1"/>
          <w:sz w:val="24"/>
          <w:szCs w:val="24"/>
          <w:lang w:eastAsia="zh-CN"/>
        </w:rPr>
        <w:t>大类信息化基础设施提供正常运行的保障服务。具体的服务范围和内容包括：</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针对核心机房</w:t>
      </w:r>
      <w:r>
        <w:rPr>
          <w:rFonts w:hint="eastAsia" w:ascii="宋体" w:hAnsi="宋体" w:eastAsia="宋体" w:cs="宋体"/>
          <w:spacing w:val="-1"/>
          <w:sz w:val="24"/>
          <w:szCs w:val="24"/>
          <w:lang w:val="en-US" w:eastAsia="zh-CN"/>
        </w:rPr>
        <w:t>和网络节点机房</w:t>
      </w:r>
      <w:r>
        <w:rPr>
          <w:rFonts w:hint="eastAsia" w:ascii="宋体" w:hAnsi="宋体" w:eastAsia="宋体" w:cs="宋体"/>
          <w:spacing w:val="-1"/>
          <w:sz w:val="24"/>
          <w:szCs w:val="24"/>
          <w:lang w:eastAsia="zh-CN"/>
        </w:rPr>
        <w:t>设备</w:t>
      </w:r>
      <w:r>
        <w:rPr>
          <w:rFonts w:hint="eastAsia" w:ascii="宋体" w:hAnsi="宋体" w:eastAsia="宋体" w:cs="宋体"/>
          <w:spacing w:val="-1"/>
          <w:sz w:val="24"/>
          <w:szCs w:val="24"/>
          <w:lang w:val="en-US" w:eastAsia="zh-CN"/>
        </w:rPr>
        <w:t>及环境的维护</w:t>
      </w:r>
      <w:r>
        <w:rPr>
          <w:rFonts w:hint="eastAsia" w:ascii="宋体" w:hAnsi="宋体" w:eastAsia="宋体" w:cs="宋体"/>
          <w:spacing w:val="-1"/>
          <w:sz w:val="24"/>
          <w:szCs w:val="24"/>
          <w:lang w:eastAsia="zh-CN"/>
        </w:rPr>
        <w:t>：负责</w:t>
      </w:r>
      <w:r>
        <w:rPr>
          <w:rFonts w:hint="eastAsia" w:ascii="宋体" w:hAnsi="宋体" w:eastAsia="宋体" w:cs="宋体"/>
          <w:spacing w:val="-1"/>
          <w:sz w:val="24"/>
          <w:szCs w:val="24"/>
          <w:lang w:val="en-US" w:eastAsia="zh-CN"/>
        </w:rPr>
        <w:t>为</w:t>
      </w:r>
      <w:r>
        <w:rPr>
          <w:rFonts w:hint="eastAsia" w:ascii="宋体" w:hAnsi="宋体" w:eastAsia="宋体" w:cs="宋体"/>
          <w:spacing w:val="-1"/>
          <w:sz w:val="24"/>
          <w:szCs w:val="24"/>
          <w:lang w:eastAsia="zh-CN"/>
        </w:rPr>
        <w:t>校园网运行提供网络</w:t>
      </w:r>
      <w:r>
        <w:rPr>
          <w:rFonts w:hint="eastAsia" w:ascii="宋体" w:hAnsi="宋体" w:eastAsia="宋体" w:cs="宋体"/>
          <w:spacing w:val="-1"/>
          <w:sz w:val="24"/>
          <w:szCs w:val="24"/>
          <w:lang w:val="en-US" w:eastAsia="zh-CN"/>
        </w:rPr>
        <w:t>设备</w:t>
      </w:r>
      <w:r>
        <w:rPr>
          <w:rFonts w:hint="eastAsia" w:ascii="宋体" w:hAnsi="宋体" w:eastAsia="宋体" w:cs="宋体"/>
          <w:spacing w:val="-1"/>
          <w:sz w:val="24"/>
          <w:szCs w:val="24"/>
          <w:lang w:eastAsia="zh-CN"/>
        </w:rPr>
        <w:t>及</w:t>
      </w:r>
      <w:r>
        <w:rPr>
          <w:rFonts w:hint="eastAsia" w:ascii="宋体" w:hAnsi="宋体" w:eastAsia="宋体" w:cs="宋体"/>
          <w:spacing w:val="-1"/>
          <w:sz w:val="24"/>
          <w:szCs w:val="24"/>
          <w:lang w:val="en-US" w:eastAsia="zh-CN"/>
        </w:rPr>
        <w:t>环境</w:t>
      </w:r>
      <w:r>
        <w:rPr>
          <w:rFonts w:hint="eastAsia" w:ascii="宋体" w:hAnsi="宋体" w:eastAsia="宋体" w:cs="宋体"/>
          <w:spacing w:val="-1"/>
          <w:sz w:val="24"/>
          <w:szCs w:val="24"/>
          <w:lang w:eastAsia="zh-CN"/>
        </w:rPr>
        <w:t>的保障服务，故障处理以及保证校内终端的正常接入和使用；具体是针对核心机房</w:t>
      </w:r>
      <w:r>
        <w:rPr>
          <w:rFonts w:hint="eastAsia" w:ascii="宋体" w:hAnsi="宋体" w:eastAsia="宋体" w:cs="宋体"/>
          <w:spacing w:val="-1"/>
          <w:sz w:val="24"/>
          <w:szCs w:val="24"/>
          <w:lang w:val="en-US" w:eastAsia="zh-CN"/>
        </w:rPr>
        <w:t>和网络节点</w:t>
      </w:r>
      <w:r>
        <w:rPr>
          <w:rFonts w:hint="eastAsia" w:ascii="宋体" w:hAnsi="宋体" w:eastAsia="宋体" w:cs="宋体"/>
          <w:spacing w:val="-1"/>
          <w:sz w:val="24"/>
          <w:szCs w:val="24"/>
          <w:lang w:eastAsia="zh-CN"/>
        </w:rPr>
        <w:t>的网络设备、安全设备、服务器设备及相关的配套设施如</w:t>
      </w:r>
      <w:r>
        <w:rPr>
          <w:rFonts w:hint="eastAsia" w:ascii="宋体" w:hAnsi="宋体" w:eastAsia="宋体" w:cs="宋体"/>
          <w:spacing w:val="-1"/>
          <w:sz w:val="24"/>
          <w:szCs w:val="24"/>
          <w:lang w:val="en-US" w:eastAsia="zh-CN"/>
        </w:rPr>
        <w:t>UPS等</w:t>
      </w:r>
      <w:r>
        <w:rPr>
          <w:rFonts w:hint="eastAsia" w:ascii="宋体" w:hAnsi="宋体" w:eastAsia="宋体" w:cs="宋体"/>
          <w:spacing w:val="-1"/>
          <w:sz w:val="24"/>
          <w:szCs w:val="24"/>
          <w:lang w:eastAsia="zh-CN"/>
        </w:rPr>
        <w:t>进行日常维护、维修服务，同时根据网络及安全的运行状态及流量进行分析，对校园网络及校园安全进行调优服务，给校园用户带来良好的上网体验。</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针对</w:t>
      </w:r>
      <w:r>
        <w:rPr>
          <w:rFonts w:hint="eastAsia" w:ascii="宋体" w:hAnsi="宋体" w:eastAsia="宋体" w:cs="宋体"/>
          <w:spacing w:val="-1"/>
          <w:sz w:val="24"/>
          <w:szCs w:val="24"/>
          <w:lang w:val="en-US" w:eastAsia="zh-CN"/>
        </w:rPr>
        <w:t>教学</w:t>
      </w:r>
      <w:r>
        <w:rPr>
          <w:rFonts w:hint="eastAsia" w:ascii="宋体" w:hAnsi="宋体" w:eastAsia="宋体" w:cs="宋体"/>
          <w:spacing w:val="-1"/>
          <w:sz w:val="24"/>
          <w:szCs w:val="24"/>
          <w:lang w:eastAsia="zh-CN"/>
        </w:rPr>
        <w:t>机房设备：负责</w:t>
      </w:r>
      <w:r>
        <w:rPr>
          <w:rFonts w:hint="eastAsia" w:ascii="宋体" w:hAnsi="宋体" w:eastAsia="宋体" w:cs="宋体"/>
          <w:spacing w:val="-1"/>
          <w:sz w:val="24"/>
          <w:szCs w:val="24"/>
          <w:lang w:val="en-US" w:eastAsia="zh-CN"/>
        </w:rPr>
        <w:t>教学</w:t>
      </w:r>
      <w:r>
        <w:rPr>
          <w:rFonts w:hint="eastAsia" w:ascii="宋体" w:hAnsi="宋体" w:eastAsia="宋体" w:cs="宋体"/>
          <w:spacing w:val="-1"/>
          <w:sz w:val="24"/>
          <w:szCs w:val="24"/>
          <w:lang w:eastAsia="zh-CN"/>
        </w:rPr>
        <w:t>机房硬件及软件的维护，包括保证机房网络正常运行，机房</w:t>
      </w:r>
      <w:r>
        <w:rPr>
          <w:rFonts w:hint="eastAsia" w:ascii="宋体" w:hAnsi="宋体" w:eastAsia="宋体" w:cs="宋体"/>
          <w:spacing w:val="-1"/>
          <w:sz w:val="24"/>
          <w:szCs w:val="24"/>
          <w:lang w:val="en-US" w:eastAsia="zh-CN"/>
        </w:rPr>
        <w:t>各类</w:t>
      </w:r>
      <w:r>
        <w:rPr>
          <w:rFonts w:hint="eastAsia" w:ascii="宋体" w:hAnsi="宋体" w:eastAsia="宋体" w:cs="宋体"/>
          <w:spacing w:val="-1"/>
          <w:sz w:val="24"/>
          <w:szCs w:val="24"/>
          <w:lang w:eastAsia="zh-CN"/>
        </w:rPr>
        <w:t>软件使用正常，学生机系统的重新下发、安装等，同时负责联络设备厂商或产品供货商，进行故障设备、故障产品的返修服务；</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针对办公自动化设备进行日常维修、维护，包括教师办公用台式电脑、笔记本、打印机、复印机等，包括操作系统及日常办公软件的维护及重装、打印机、复印机的保养、换粉、维修工作等。</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lang w:eastAsia="zh-CN"/>
        </w:rPr>
        <w:t>针对班班通教学设备进行日常维修、维护，包括镜像系统恢复、网络连通性测试、光猫的维护；同时负责联络设备厂商或产品供货商，进行故障设备、故障产品的返修服务；</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针对</w:t>
      </w:r>
      <w:r>
        <w:rPr>
          <w:rFonts w:hint="eastAsia" w:ascii="宋体" w:hAnsi="宋体" w:eastAsia="宋体" w:cs="宋体"/>
          <w:spacing w:val="-1"/>
          <w:sz w:val="24"/>
          <w:szCs w:val="24"/>
          <w:lang w:val="en-US" w:eastAsia="zh-CN"/>
        </w:rPr>
        <w:t>电子督学</w:t>
      </w:r>
      <w:r>
        <w:rPr>
          <w:rFonts w:hint="eastAsia" w:ascii="宋体" w:hAnsi="宋体" w:eastAsia="宋体" w:cs="宋体"/>
          <w:spacing w:val="-1"/>
          <w:sz w:val="24"/>
          <w:szCs w:val="24"/>
          <w:lang w:eastAsia="zh-CN"/>
        </w:rPr>
        <w:t>监控系统。负责前端设备（摄像机、电源）及线路的维修、维护，保证每个摄像头均能正常在线使用，同时对后端平台、设备的运行状态进行监控，保障后端设备的运行良好，负责联络设备厂商或产品供货商，进行故障设备、故障产品的返修服务。</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lang w:eastAsia="zh-CN"/>
        </w:rPr>
        <w:t>针对校园业务系统（包括</w:t>
      </w:r>
      <w:r>
        <w:rPr>
          <w:rFonts w:hint="eastAsia" w:ascii="宋体" w:hAnsi="宋体" w:eastAsia="宋体" w:cs="宋体"/>
          <w:spacing w:val="-1"/>
          <w:sz w:val="24"/>
          <w:szCs w:val="24"/>
          <w:lang w:val="en-US" w:eastAsia="zh-CN"/>
        </w:rPr>
        <w:t>但不限于</w:t>
      </w:r>
      <w:r>
        <w:rPr>
          <w:rFonts w:hint="eastAsia" w:ascii="宋体" w:hAnsi="宋体" w:eastAsia="宋体" w:cs="宋体"/>
          <w:spacing w:val="-1"/>
          <w:sz w:val="24"/>
          <w:szCs w:val="24"/>
          <w:lang w:eastAsia="zh-CN"/>
        </w:rPr>
        <w:t>校园广播、校园一卡通、</w:t>
      </w:r>
      <w:r>
        <w:rPr>
          <w:rFonts w:hint="eastAsia" w:ascii="宋体" w:hAnsi="宋体" w:eastAsia="宋体" w:cs="宋体"/>
          <w:spacing w:val="-1"/>
          <w:sz w:val="24"/>
          <w:szCs w:val="24"/>
          <w:lang w:val="en-US" w:eastAsia="zh-CN"/>
        </w:rPr>
        <w:t>OA系统、教务系统、学工系统、迎新系统、缴费系统、电控系统、</w:t>
      </w:r>
      <w:r>
        <w:rPr>
          <w:rFonts w:hint="eastAsia" w:ascii="宋体" w:hAnsi="宋体" w:eastAsia="宋体" w:cs="宋体"/>
          <w:spacing w:val="-1"/>
          <w:sz w:val="24"/>
          <w:szCs w:val="24"/>
          <w:lang w:eastAsia="zh-CN"/>
        </w:rPr>
        <w:t>数字校园平台）软、硬件设备进行定期维护，协助业务管理人员进行定期数据备份，并定期对业务系统</w:t>
      </w:r>
      <w:r>
        <w:rPr>
          <w:rFonts w:hint="eastAsia" w:ascii="宋体" w:hAnsi="宋体" w:eastAsia="宋体" w:cs="宋体"/>
          <w:spacing w:val="-1"/>
          <w:sz w:val="24"/>
          <w:szCs w:val="24"/>
          <w:lang w:val="en-US" w:eastAsia="zh-CN"/>
        </w:rPr>
        <w:t>进行</w:t>
      </w:r>
      <w:r>
        <w:rPr>
          <w:rFonts w:hint="eastAsia" w:ascii="宋体" w:hAnsi="宋体" w:eastAsia="宋体" w:cs="宋体"/>
          <w:spacing w:val="-1"/>
          <w:sz w:val="24"/>
          <w:szCs w:val="24"/>
          <w:lang w:eastAsia="zh-CN"/>
        </w:rPr>
        <w:t>诊断，协助管理人员进行业务</w:t>
      </w:r>
      <w:r>
        <w:rPr>
          <w:rFonts w:hint="eastAsia" w:ascii="宋体" w:hAnsi="宋体" w:eastAsia="宋体" w:cs="宋体"/>
          <w:spacing w:val="-1"/>
          <w:sz w:val="24"/>
          <w:szCs w:val="24"/>
          <w:lang w:val="en-US" w:eastAsia="zh-CN"/>
        </w:rPr>
        <w:t>系统的</w:t>
      </w:r>
      <w:r>
        <w:rPr>
          <w:rFonts w:hint="eastAsia" w:ascii="宋体" w:hAnsi="宋体" w:eastAsia="宋体" w:cs="宋体"/>
          <w:spacing w:val="-1"/>
          <w:sz w:val="24"/>
          <w:szCs w:val="24"/>
          <w:lang w:eastAsia="zh-CN"/>
        </w:rPr>
        <w:t>调整。</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7）针对学院网络安全管理系统的维护。开展学院日常网络安全隐患排查、处理工作。对学院各种网络安全设备进行日常调试调优工作，及时发布网络安全预警信息并给出解决方案。</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8）针对学院信息化建设各类资料的整理归档。开展学院以往及现阶段开展校园信息化建设工作及各类项目的文档资料的整理和归档工作。</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9）投标人需要承诺，如中标后和校方签定数据保密协议，以保障数据安全，格式自拟。</w:t>
      </w:r>
    </w:p>
    <w:p>
      <w:pPr>
        <w:spacing w:line="440" w:lineRule="exact"/>
        <w:ind w:firstLine="478" w:firstLineChars="200"/>
        <w:jc w:val="both"/>
        <w:rPr>
          <w:rFonts w:hint="eastAsia" w:ascii="宋体" w:hAnsi="宋体" w:eastAsia="宋体" w:cs="宋体"/>
          <w:b/>
          <w:bCs/>
          <w:spacing w:val="-1"/>
          <w:sz w:val="24"/>
          <w:szCs w:val="24"/>
          <w:lang w:val="en-US" w:eastAsia="zh-CN"/>
        </w:rPr>
      </w:pPr>
      <w:bookmarkStart w:id="15" w:name="_Toc11833833"/>
      <w:r>
        <w:rPr>
          <w:rFonts w:hint="eastAsia" w:ascii="宋体" w:hAnsi="宋体" w:eastAsia="宋体" w:cs="宋体"/>
          <w:b/>
          <w:bCs/>
          <w:spacing w:val="-1"/>
          <w:sz w:val="24"/>
          <w:szCs w:val="24"/>
          <w:lang w:val="en-US" w:eastAsia="zh-CN"/>
        </w:rPr>
        <w:t>驻场人员要求</w:t>
      </w:r>
      <w:bookmarkEnd w:id="15"/>
    </w:p>
    <w:p>
      <w:pPr>
        <w:spacing w:line="440" w:lineRule="exact"/>
        <w:ind w:firstLine="478" w:firstLineChars="200"/>
        <w:jc w:val="both"/>
        <w:rPr>
          <w:rFonts w:hint="eastAsia" w:ascii="宋体" w:hAnsi="宋体" w:eastAsia="宋体" w:cs="宋体"/>
          <w:spacing w:val="-1"/>
          <w:sz w:val="24"/>
          <w:szCs w:val="24"/>
          <w:lang w:val="en-US" w:eastAsia="zh-CN"/>
        </w:rPr>
      </w:pPr>
      <w:r>
        <w:rPr>
          <w:rFonts w:hint="eastAsia" w:ascii="宋体" w:hAnsi="宋体" w:eastAsia="宋体" w:cs="宋体"/>
          <w:b/>
          <w:bCs/>
          <w:spacing w:val="-1"/>
          <w:sz w:val="24"/>
          <w:szCs w:val="24"/>
          <w:lang w:val="en-US" w:eastAsia="zh-CN"/>
        </w:rPr>
        <w:t>1.要求 4 人驻场，提供 7*24 小时技术服务；</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2.供应商项目人员需具备以下资质：安防系统集成项目经理证书或具有弱电系统集成项目经理证书或具有网络工程师中级证书或具有网络安全高级证书。</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3.要求公司人员提供 7*24 小时技术支持（网络、存储、系统、</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强电等）不用驻场（4 名驻场人员除外）。</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4.投标书里须注明驻场人员详细信息，且与后期实际驻场人员</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身份一致。</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5.在库尔勒市设立固定工作地点，随时提供本地化运维服务及</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技术支持。</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维护</w:t>
      </w:r>
      <w:bookmarkStart w:id="16" w:name="_Toc153735725"/>
      <w:bookmarkStart w:id="17" w:name="_Toc145785379"/>
      <w:r>
        <w:rPr>
          <w:rFonts w:hint="eastAsia" w:ascii="宋体" w:hAnsi="宋体" w:eastAsia="宋体" w:cs="宋体"/>
          <w:spacing w:val="-1"/>
          <w:sz w:val="24"/>
          <w:szCs w:val="24"/>
          <w:lang w:val="en-US" w:eastAsia="zh-CN"/>
        </w:rPr>
        <w:t>项目范围</w:t>
      </w:r>
    </w:p>
    <w:bookmarkEnd w:id="16"/>
    <w:bookmarkEnd w:id="17"/>
    <w:p>
      <w:pPr>
        <w:spacing w:line="440" w:lineRule="exact"/>
        <w:ind w:firstLine="476" w:firstLineChars="200"/>
        <w:jc w:val="both"/>
        <w:rPr>
          <w:rFonts w:hint="eastAsia" w:ascii="宋体" w:hAnsi="宋体" w:eastAsia="宋体" w:cs="宋体"/>
          <w:spacing w:val="-1"/>
          <w:sz w:val="24"/>
          <w:szCs w:val="24"/>
        </w:rPr>
      </w:pPr>
      <w:bookmarkStart w:id="18" w:name="_Toc153735726"/>
      <w:bookmarkStart w:id="19" w:name="_Toc341962193"/>
      <w:bookmarkStart w:id="20" w:name="_Toc153907577"/>
      <w:r>
        <w:rPr>
          <w:rFonts w:hint="eastAsia" w:ascii="宋体" w:hAnsi="宋体" w:eastAsia="宋体" w:cs="宋体"/>
          <w:spacing w:val="-1"/>
          <w:sz w:val="24"/>
          <w:szCs w:val="24"/>
        </w:rPr>
        <w:t>一般信息化设备服务范围</w:t>
      </w:r>
      <w:bookmarkEnd w:id="18"/>
      <w:bookmarkEnd w:id="19"/>
      <w:bookmarkEnd w:id="20"/>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本次项目的服务范围包括</w:t>
      </w:r>
      <w:r>
        <w:rPr>
          <w:rFonts w:hint="eastAsia" w:ascii="宋体" w:hAnsi="宋体" w:eastAsia="宋体" w:cs="宋体"/>
          <w:spacing w:val="-1"/>
          <w:sz w:val="24"/>
          <w:szCs w:val="24"/>
          <w:lang w:eastAsia="zh-CN"/>
        </w:rPr>
        <w:t>校方目前运行的六大类</w:t>
      </w:r>
      <w:r>
        <w:rPr>
          <w:rFonts w:hint="eastAsia" w:ascii="宋体" w:hAnsi="宋体" w:eastAsia="宋体" w:cs="宋体"/>
          <w:spacing w:val="-1"/>
          <w:sz w:val="24"/>
          <w:szCs w:val="24"/>
        </w:rPr>
        <w:t>信息化</w:t>
      </w:r>
      <w:r>
        <w:rPr>
          <w:rFonts w:hint="eastAsia" w:ascii="宋体" w:hAnsi="宋体" w:eastAsia="宋体" w:cs="宋体"/>
          <w:spacing w:val="-1"/>
          <w:sz w:val="24"/>
          <w:szCs w:val="24"/>
          <w:lang w:eastAsia="zh-CN"/>
        </w:rPr>
        <w:t>设施、</w:t>
      </w:r>
      <w:r>
        <w:rPr>
          <w:rFonts w:hint="eastAsia" w:ascii="宋体" w:hAnsi="宋体" w:eastAsia="宋体" w:cs="宋体"/>
          <w:spacing w:val="-1"/>
          <w:sz w:val="24"/>
          <w:szCs w:val="24"/>
        </w:rPr>
        <w:t>设备</w:t>
      </w:r>
      <w:r>
        <w:rPr>
          <w:rFonts w:hint="eastAsia" w:ascii="宋体" w:hAnsi="宋体" w:eastAsia="宋体" w:cs="宋体"/>
          <w:spacing w:val="-1"/>
          <w:sz w:val="24"/>
          <w:szCs w:val="24"/>
          <w:lang w:eastAsia="zh-CN"/>
        </w:rPr>
        <w:t>（包括</w:t>
      </w:r>
      <w:r>
        <w:rPr>
          <w:rFonts w:hint="eastAsia" w:ascii="宋体" w:hAnsi="宋体" w:eastAsia="宋体" w:cs="宋体"/>
          <w:spacing w:val="-1"/>
          <w:sz w:val="24"/>
          <w:szCs w:val="24"/>
        </w:rPr>
        <w:t>校园</w:t>
      </w:r>
      <w:r>
        <w:rPr>
          <w:rFonts w:hint="eastAsia" w:ascii="宋体" w:hAnsi="宋体" w:eastAsia="宋体" w:cs="宋体"/>
          <w:spacing w:val="-1"/>
          <w:sz w:val="24"/>
          <w:szCs w:val="24"/>
          <w:lang w:eastAsia="zh-CN"/>
        </w:rPr>
        <w:t>核心机房、学生机房、办公自动化设备、班班通教学系统、校园监控系统及校园业务系统）</w:t>
      </w:r>
      <w:r>
        <w:rPr>
          <w:rFonts w:hint="eastAsia" w:ascii="宋体" w:hAnsi="宋体" w:eastAsia="宋体" w:cs="宋体"/>
          <w:spacing w:val="-1"/>
          <w:sz w:val="24"/>
          <w:szCs w:val="24"/>
        </w:rPr>
        <w:t>。</w:t>
      </w:r>
    </w:p>
    <w:p>
      <w:pPr>
        <w:spacing w:line="440" w:lineRule="exact"/>
        <w:ind w:firstLine="476" w:firstLineChars="200"/>
        <w:jc w:val="both"/>
        <w:rPr>
          <w:rFonts w:hint="eastAsia" w:ascii="宋体" w:hAnsi="宋体" w:eastAsia="宋体" w:cs="宋体"/>
          <w:spacing w:val="-1"/>
          <w:sz w:val="24"/>
          <w:szCs w:val="24"/>
        </w:rPr>
      </w:pPr>
      <w:bookmarkStart w:id="21" w:name="_Toc341962194"/>
      <w:bookmarkStart w:id="22" w:name="_Toc153735729"/>
      <w:bookmarkStart w:id="23" w:name="_Toc153907578"/>
      <w:r>
        <w:rPr>
          <w:rFonts w:hint="eastAsia" w:ascii="宋体" w:hAnsi="宋体" w:eastAsia="宋体" w:cs="宋体"/>
          <w:spacing w:val="-1"/>
          <w:sz w:val="24"/>
          <w:szCs w:val="24"/>
        </w:rPr>
        <w:t>一般信息化</w:t>
      </w:r>
      <w:r>
        <w:rPr>
          <w:rFonts w:hint="eastAsia" w:ascii="宋体" w:hAnsi="宋体" w:eastAsia="宋体" w:cs="宋体"/>
          <w:spacing w:val="-1"/>
          <w:sz w:val="24"/>
          <w:szCs w:val="24"/>
          <w:lang w:val="en-US" w:eastAsia="zh-CN"/>
        </w:rPr>
        <w:t>服务</w:t>
      </w:r>
      <w:r>
        <w:rPr>
          <w:rFonts w:hint="eastAsia" w:ascii="宋体" w:hAnsi="宋体" w:eastAsia="宋体" w:cs="宋体"/>
          <w:spacing w:val="-1"/>
          <w:sz w:val="24"/>
          <w:szCs w:val="24"/>
        </w:rPr>
        <w:t>运维</w:t>
      </w:r>
      <w:bookmarkEnd w:id="21"/>
      <w:bookmarkEnd w:id="22"/>
      <w:bookmarkEnd w:id="23"/>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1、 根据实际需要，经</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同意准备相应数量的维护零配件，协助</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进行备件库的管理，并在零配件不足时及时补仓。</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2、定期对</w:t>
      </w:r>
      <w:r>
        <w:rPr>
          <w:rFonts w:hint="eastAsia" w:ascii="宋体" w:hAnsi="宋体" w:eastAsia="宋体" w:cs="宋体"/>
          <w:spacing w:val="-1"/>
          <w:sz w:val="24"/>
          <w:szCs w:val="24"/>
          <w:lang w:val="en-US" w:eastAsia="zh-CN"/>
        </w:rPr>
        <w:t>IT</w:t>
      </w:r>
      <w:r>
        <w:rPr>
          <w:rFonts w:hint="eastAsia" w:ascii="宋体" w:hAnsi="宋体" w:eastAsia="宋体" w:cs="宋体"/>
          <w:spacing w:val="-1"/>
          <w:sz w:val="24"/>
          <w:szCs w:val="24"/>
        </w:rPr>
        <w:t>设备进行保养维护，定期进行用户满意度调查；</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对一般信息化设备硬件进行定期巡检、保养，以保障设备运行正常；</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按照</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要求进行硬件设备普查工作，建设可实现动态维护的硬件设备档案库，并实现与</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的资产管理系统的衔接。</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定期对公用信息化设备消毒除尘；</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检查硬件实际配置与设备登记表是否相符。</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3、对故障设备的维修</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在响应时间内完成故障设备的维修，维修人员应严格遵守维修规程。</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建立硬件应急维修小组，对关键重点岗位及紧急的故障及时响应并及时汇报，对于故障设备的维修由</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指定的具体技术人员组织监督进行；</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对处于保修期内的故障设备，在</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授权的范围内代表</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协调产品供货商予以维修，并监督维修时效和质量；</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对处于保修期外的故障设备维修，如需更换零配件，可由供应商提供多家的报价，经用户选择审核确认后，方可进行更换；</w:t>
      </w:r>
    </w:p>
    <w:p>
      <w:pPr>
        <w:spacing w:line="440" w:lineRule="exact"/>
        <w:ind w:firstLine="476" w:firstLineChars="200"/>
        <w:jc w:val="both"/>
        <w:rPr>
          <w:rFonts w:hint="eastAsia" w:ascii="宋体" w:hAnsi="宋体" w:eastAsia="宋体" w:cs="宋体"/>
          <w:spacing w:val="-1"/>
          <w:sz w:val="24"/>
          <w:szCs w:val="24"/>
        </w:rPr>
      </w:pPr>
      <w:bookmarkStart w:id="24" w:name="_Toc153704382"/>
      <w:bookmarkEnd w:id="24"/>
      <w:bookmarkStart w:id="25" w:name="_Toc153704375"/>
      <w:bookmarkEnd w:id="25"/>
      <w:bookmarkStart w:id="26" w:name="_Toc153703743"/>
      <w:bookmarkEnd w:id="26"/>
      <w:bookmarkStart w:id="27" w:name="_Toc153703751"/>
      <w:bookmarkEnd w:id="27"/>
      <w:bookmarkStart w:id="28" w:name="_Toc153703118"/>
      <w:bookmarkEnd w:id="28"/>
      <w:bookmarkStart w:id="29" w:name="_Toc153704372"/>
      <w:bookmarkEnd w:id="29"/>
      <w:bookmarkStart w:id="30" w:name="_Toc153703744"/>
      <w:bookmarkEnd w:id="30"/>
      <w:bookmarkStart w:id="31" w:name="_Toc153704385"/>
      <w:bookmarkEnd w:id="31"/>
      <w:bookmarkStart w:id="32" w:name="_Toc153704376"/>
      <w:bookmarkEnd w:id="32"/>
      <w:bookmarkStart w:id="33" w:name="_Toc153703740"/>
      <w:bookmarkEnd w:id="33"/>
      <w:bookmarkStart w:id="34" w:name="_Toc153704373"/>
      <w:bookmarkEnd w:id="34"/>
      <w:bookmarkStart w:id="35" w:name="_Toc153703112"/>
      <w:bookmarkEnd w:id="35"/>
      <w:bookmarkStart w:id="36" w:name="_Toc153703116"/>
      <w:bookmarkEnd w:id="36"/>
      <w:bookmarkStart w:id="37" w:name="_Toc153704384"/>
      <w:bookmarkEnd w:id="37"/>
      <w:bookmarkStart w:id="38" w:name="_Toc153704379"/>
      <w:bookmarkEnd w:id="38"/>
      <w:bookmarkStart w:id="39" w:name="_Toc153704386"/>
      <w:bookmarkEnd w:id="39"/>
      <w:bookmarkStart w:id="40" w:name="_Toc153703119"/>
      <w:bookmarkEnd w:id="40"/>
      <w:bookmarkStart w:id="41" w:name="_Toc153703745"/>
      <w:bookmarkEnd w:id="41"/>
      <w:bookmarkStart w:id="42" w:name="_Toc153703746"/>
      <w:bookmarkEnd w:id="42"/>
      <w:bookmarkStart w:id="43" w:name="_Toc153703738"/>
      <w:bookmarkEnd w:id="43"/>
      <w:bookmarkStart w:id="44" w:name="_Toc153703114"/>
      <w:bookmarkEnd w:id="44"/>
      <w:bookmarkStart w:id="45" w:name="_Toc153703739"/>
      <w:bookmarkEnd w:id="45"/>
      <w:bookmarkStart w:id="46" w:name="_Toc153704383"/>
      <w:bookmarkEnd w:id="46"/>
      <w:bookmarkStart w:id="47" w:name="_Toc153703113"/>
      <w:bookmarkEnd w:id="47"/>
      <w:bookmarkStart w:id="48" w:name="_Toc153703109"/>
      <w:bookmarkEnd w:id="48"/>
      <w:bookmarkStart w:id="49" w:name="_Toc153704378"/>
      <w:bookmarkEnd w:id="49"/>
      <w:bookmarkStart w:id="50" w:name="_Toc153703753"/>
      <w:bookmarkEnd w:id="50"/>
      <w:bookmarkStart w:id="51" w:name="_Toc153703748"/>
      <w:bookmarkEnd w:id="51"/>
      <w:bookmarkStart w:id="52" w:name="_Toc153704387"/>
      <w:bookmarkEnd w:id="52"/>
      <w:bookmarkStart w:id="53" w:name="_Toc153703742"/>
      <w:bookmarkEnd w:id="53"/>
      <w:bookmarkStart w:id="54" w:name="_Toc153704377"/>
      <w:bookmarkEnd w:id="54"/>
      <w:bookmarkStart w:id="55" w:name="_Toc153703750"/>
      <w:bookmarkEnd w:id="55"/>
      <w:bookmarkStart w:id="56" w:name="_Toc153703106"/>
      <w:bookmarkEnd w:id="56"/>
      <w:bookmarkStart w:id="57" w:name="_Toc153703117"/>
      <w:bookmarkEnd w:id="57"/>
      <w:bookmarkStart w:id="58" w:name="_Toc153703110"/>
      <w:bookmarkEnd w:id="58"/>
      <w:bookmarkStart w:id="59" w:name="_Toc153703752"/>
      <w:bookmarkEnd w:id="59"/>
      <w:bookmarkStart w:id="60" w:name="_Toc153703121"/>
      <w:bookmarkEnd w:id="60"/>
      <w:bookmarkStart w:id="61" w:name="_Toc153703105"/>
      <w:bookmarkEnd w:id="61"/>
      <w:bookmarkStart w:id="62" w:name="_Toc153703749"/>
      <w:bookmarkEnd w:id="62"/>
      <w:bookmarkStart w:id="63" w:name="_Toc153703111"/>
      <w:bookmarkEnd w:id="63"/>
      <w:bookmarkStart w:id="64" w:name="_Toc153703120"/>
      <w:bookmarkEnd w:id="64"/>
      <w:bookmarkStart w:id="65" w:name="_Toc153703747"/>
      <w:bookmarkEnd w:id="65"/>
      <w:bookmarkStart w:id="66" w:name="_Toc153703754"/>
      <w:bookmarkEnd w:id="66"/>
      <w:bookmarkStart w:id="67" w:name="_Toc153703115"/>
      <w:bookmarkEnd w:id="67"/>
      <w:bookmarkStart w:id="68" w:name="_Toc153704380"/>
      <w:bookmarkEnd w:id="68"/>
      <w:bookmarkStart w:id="69" w:name="_Toc153703107"/>
      <w:bookmarkEnd w:id="69"/>
      <w:bookmarkStart w:id="70" w:name="_Toc153704381"/>
      <w:bookmarkEnd w:id="70"/>
      <w:bookmarkStart w:id="71" w:name="_Toc153704371"/>
      <w:bookmarkEnd w:id="71"/>
      <w:bookmarkStart w:id="72" w:name="_Toc153735730"/>
      <w:bookmarkStart w:id="73" w:name="_Toc341962196"/>
      <w:bookmarkStart w:id="74" w:name="_Toc153907580"/>
      <w:r>
        <w:rPr>
          <w:rFonts w:hint="eastAsia" w:ascii="宋体" w:hAnsi="宋体" w:eastAsia="宋体" w:cs="宋体"/>
          <w:spacing w:val="-1"/>
          <w:sz w:val="24"/>
          <w:szCs w:val="24"/>
        </w:rPr>
        <w:t>一般设备服务</w:t>
      </w:r>
      <w:bookmarkEnd w:id="72"/>
      <w:bookmarkEnd w:id="73"/>
      <w:bookmarkEnd w:id="74"/>
    </w:p>
    <w:p>
      <w:pPr>
        <w:spacing w:line="440" w:lineRule="exact"/>
        <w:ind w:firstLine="476" w:firstLineChars="200"/>
        <w:jc w:val="both"/>
        <w:rPr>
          <w:rFonts w:hint="eastAsia" w:ascii="宋体" w:hAnsi="宋体" w:eastAsia="宋体" w:cs="宋体"/>
          <w:spacing w:val="-1"/>
          <w:sz w:val="24"/>
          <w:szCs w:val="24"/>
        </w:rPr>
      </w:pPr>
      <w:bookmarkStart w:id="75" w:name="_Toc153735731"/>
      <w:bookmarkStart w:id="76" w:name="_Toc153907581"/>
      <w:r>
        <w:rPr>
          <w:rFonts w:hint="eastAsia" w:ascii="宋体" w:hAnsi="宋体" w:eastAsia="宋体" w:cs="宋体"/>
          <w:spacing w:val="-1"/>
          <w:sz w:val="24"/>
          <w:szCs w:val="24"/>
        </w:rPr>
        <w:t>信息化设备资产调查及管理</w:t>
      </w:r>
      <w:bookmarkEnd w:id="75"/>
      <w:bookmarkEnd w:id="76"/>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资产标签应含有上图所注所有信息，包括资产名称、合同采购号、产品序列号、保修期限、IP地址、系统序列号以及供应商、联系人名称、电话，使用条形编码统一进行资产记录。条形码记录号应与数据库中记录对应，关联使用人、资产配件（如显示器、键盘、鼠标、打印机、音箱等型号信息），所有资产应落实到具体责任人，共用设备按照编码顺序先后指定责任人。</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设备封条统一为纯白色易碎贴，使用设备封条将有效的保障客户设备的完整性，明确区分设备保管的责任性。服务工程师上门服务时一旦发现设备封条破损，将现场进行设备现状与资产清单的对比，避免出现保管责任不清的状况发生。</w:t>
      </w:r>
    </w:p>
    <w:p>
      <w:pPr>
        <w:spacing w:line="440" w:lineRule="exact"/>
        <w:ind w:firstLine="476" w:firstLineChars="200"/>
        <w:jc w:val="both"/>
        <w:rPr>
          <w:rFonts w:hint="eastAsia" w:ascii="宋体" w:hAnsi="宋体" w:eastAsia="宋体" w:cs="宋体"/>
          <w:spacing w:val="-1"/>
          <w:sz w:val="24"/>
          <w:szCs w:val="24"/>
        </w:rPr>
      </w:pPr>
      <w:bookmarkStart w:id="77" w:name="_Toc153907582"/>
      <w:bookmarkStart w:id="78" w:name="_Toc153735732"/>
      <w:r>
        <w:rPr>
          <w:rFonts w:hint="eastAsia" w:ascii="宋体" w:hAnsi="宋体" w:eastAsia="宋体" w:cs="宋体"/>
          <w:spacing w:val="-1"/>
          <w:sz w:val="24"/>
          <w:szCs w:val="24"/>
        </w:rPr>
        <w:t>一般设备软件安装及维护</w:t>
      </w:r>
      <w:bookmarkEnd w:id="77"/>
      <w:bookmarkEnd w:id="78"/>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此部分主要解决在用户使用当中遇到的软件各种问题，在进行软件维护时应做好用户数据的备份，建立软件维护流程，通过现场解决及用户培训的多种方式提高用户的使用水平和解决一般问题的能力。</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软件维护主要内容包括：</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对WINDOWS操作系统的安装、调试及升级；</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外设（打印机、扫描仪等设备）的相关驱动程序及软件的安装调试；</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经</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授权进行软件安装、升级并排除软件使用过程中的故障；</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解决软件冲突造成的系统故障；</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对计算机进行病毒检测和清除，防止病毒扩散；</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计算机标配的软件备份，包括随机恢复光盘，附带赠送软件、驱动程序等；</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计算机外设的软件备份。</w:t>
      </w:r>
    </w:p>
    <w:p>
      <w:pPr>
        <w:spacing w:line="440" w:lineRule="exact"/>
        <w:ind w:firstLine="476" w:firstLineChars="200"/>
        <w:jc w:val="both"/>
        <w:rPr>
          <w:rFonts w:hint="eastAsia" w:ascii="宋体" w:hAnsi="宋体" w:eastAsia="宋体" w:cs="宋体"/>
          <w:spacing w:val="-1"/>
          <w:sz w:val="24"/>
          <w:szCs w:val="24"/>
        </w:rPr>
      </w:pPr>
    </w:p>
    <w:p>
      <w:pPr>
        <w:spacing w:line="440" w:lineRule="exact"/>
        <w:ind w:firstLine="476" w:firstLineChars="200"/>
        <w:jc w:val="both"/>
        <w:rPr>
          <w:rFonts w:hint="eastAsia" w:ascii="宋体" w:hAnsi="宋体" w:eastAsia="宋体" w:cs="宋体"/>
          <w:spacing w:val="-1"/>
          <w:sz w:val="24"/>
          <w:szCs w:val="24"/>
        </w:rPr>
      </w:pPr>
      <w:bookmarkStart w:id="79" w:name="_Toc153725911"/>
      <w:bookmarkEnd w:id="79"/>
      <w:bookmarkStart w:id="80" w:name="_Toc153725910"/>
      <w:bookmarkEnd w:id="80"/>
      <w:bookmarkStart w:id="81" w:name="_Toc153730274"/>
      <w:bookmarkEnd w:id="81"/>
      <w:bookmarkStart w:id="82" w:name="_Toc153724720"/>
      <w:bookmarkEnd w:id="82"/>
      <w:bookmarkStart w:id="83" w:name="_Toc153735733"/>
      <w:bookmarkEnd w:id="83"/>
      <w:bookmarkStart w:id="84" w:name="_Toc153725552"/>
      <w:bookmarkEnd w:id="84"/>
      <w:bookmarkStart w:id="85" w:name="_Toc153735734"/>
      <w:bookmarkEnd w:id="85"/>
      <w:bookmarkStart w:id="86" w:name="_Toc153730273"/>
      <w:bookmarkEnd w:id="86"/>
      <w:bookmarkStart w:id="87" w:name="_Toc153725553"/>
      <w:bookmarkEnd w:id="87"/>
      <w:bookmarkStart w:id="88" w:name="_Toc153727019"/>
      <w:bookmarkEnd w:id="88"/>
      <w:bookmarkStart w:id="89" w:name="_Toc153727020"/>
      <w:bookmarkEnd w:id="89"/>
      <w:bookmarkStart w:id="90" w:name="_Toc153724721"/>
      <w:bookmarkEnd w:id="90"/>
      <w:bookmarkStart w:id="91" w:name="_Toc153735735"/>
      <w:bookmarkStart w:id="92" w:name="_Toc153907583"/>
      <w:r>
        <w:rPr>
          <w:rFonts w:hint="eastAsia" w:ascii="宋体" w:hAnsi="宋体" w:eastAsia="宋体" w:cs="宋体"/>
          <w:spacing w:val="-1"/>
          <w:sz w:val="24"/>
          <w:szCs w:val="24"/>
        </w:rPr>
        <w:t>一般设备硬件日常保养及维修</w:t>
      </w:r>
      <w:bookmarkEnd w:id="91"/>
      <w:bookmarkEnd w:id="92"/>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计算机硬件维护：包括主机、硬盘、驱动器、显示适配卡及服务器等安装、调试和配置，充分利用现有设备，进行系统优化配置；对使用中的计算机存在或将要出现的故障进行及时的诊断、维修、替换，对客户原厂保修的机器（如计算机及配件、服务器等），我们代为联络维修，并跟踪维修情况。并根据校方需要，对设备进行升级或更新，保证设备正常运行。</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周边设备的维护：包括打印机、扫描仪、显示器等使用过程中出现的故障或不稳定因素排除，必要时对校方原厂保修期内的机器，我们代为联络维修，跟踪维修情况，并根据客户需要，对设备进行升级或更新，保证工作任务的正常进行；</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系统硬件设备(计算机、服务器，路由器，交换机、备份设备等)、计算机线路连接、各种设备工作状态例行检查和维护;</w:t>
      </w:r>
    </w:p>
    <w:p>
      <w:pPr>
        <w:spacing w:line="440" w:lineRule="exact"/>
        <w:ind w:firstLine="476" w:firstLineChars="200"/>
        <w:jc w:val="both"/>
        <w:rPr>
          <w:rFonts w:hint="eastAsia" w:ascii="宋体" w:hAnsi="宋体" w:eastAsia="宋体" w:cs="宋体"/>
          <w:spacing w:val="-1"/>
          <w:sz w:val="24"/>
          <w:szCs w:val="24"/>
          <w:lang w:val="en-US" w:eastAsia="zh-CN"/>
        </w:rPr>
      </w:pPr>
      <w:bookmarkStart w:id="93" w:name="_Toc153735794"/>
      <w:bookmarkStart w:id="94" w:name="_Toc341962204"/>
      <w:bookmarkStart w:id="95" w:name="_Toc153907605"/>
      <w:bookmarkStart w:id="96" w:name="_Hlt56399025"/>
      <w:r>
        <w:rPr>
          <w:rFonts w:hint="eastAsia" w:ascii="宋体" w:hAnsi="宋体" w:eastAsia="宋体" w:cs="宋体"/>
          <w:spacing w:val="-1"/>
          <w:sz w:val="24"/>
          <w:szCs w:val="24"/>
          <w:lang w:val="en-US" w:eastAsia="zh-CN"/>
        </w:rPr>
        <w:t>信息资产巡检及普查服务</w:t>
      </w:r>
      <w:bookmarkEnd w:id="93"/>
      <w:bookmarkEnd w:id="94"/>
      <w:bookmarkEnd w:id="95"/>
    </w:p>
    <w:p>
      <w:pPr>
        <w:spacing w:line="440" w:lineRule="exact"/>
        <w:ind w:firstLine="476" w:firstLineChars="200"/>
        <w:jc w:val="both"/>
        <w:rPr>
          <w:rFonts w:hint="eastAsia" w:ascii="宋体" w:hAnsi="宋体" w:eastAsia="宋体" w:cs="宋体"/>
          <w:spacing w:val="-1"/>
          <w:sz w:val="24"/>
          <w:szCs w:val="24"/>
        </w:rPr>
      </w:pPr>
      <w:bookmarkStart w:id="97" w:name="_Toc153907606"/>
      <w:bookmarkStart w:id="98" w:name="_Toc341962205"/>
      <w:r>
        <w:rPr>
          <w:rFonts w:hint="eastAsia" w:ascii="宋体" w:hAnsi="宋体" w:eastAsia="宋体" w:cs="宋体"/>
          <w:spacing w:val="-1"/>
          <w:sz w:val="24"/>
          <w:szCs w:val="24"/>
        </w:rPr>
        <w:t>主动巡检</w:t>
      </w:r>
      <w:bookmarkEnd w:id="97"/>
      <w:bookmarkEnd w:id="98"/>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为了确保校方IT资产长期、稳定的工作，最大限度和降低计算机的运行故障及延长计算机设备的使用寿命，为校方管理人员提供辅助决策的有效数据，项目组服务工程师对校方的计算机设备提供定期的巡查及保养服务。</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项目IT设备维护工程师在日常工作中，除了处理日常维护工作以外，由被动服务变主动服务，主动到进行日常巡检巡查服务，通过日常巡检巡查服务排除故障隐患，降低故障率。并通过以往校方维护数据分析，详细总结校方各使用部门的具体故障情况，并及时对故障多发和高发地点进行预防性巡查。</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日常巡查主要包括以下内容：</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应用</w:t>
      </w:r>
      <w:r>
        <w:rPr>
          <w:rFonts w:hint="eastAsia" w:ascii="宋体" w:hAnsi="宋体" w:eastAsia="宋体" w:cs="宋体"/>
          <w:spacing w:val="-1"/>
          <w:sz w:val="24"/>
          <w:szCs w:val="24"/>
        </w:rPr>
        <w:t>系统的优化、数据的整理、常见故障的排除。</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升级防病毒软件，检查系统软件补丁情况。</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协助用户备份重要资料，对用户进行指导。</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系统软件补丁升级，数据备份与恢复。</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计算机病毒的查杀与升级。</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调</w:t>
      </w:r>
      <w:r>
        <w:rPr>
          <w:rFonts w:hint="eastAsia" w:ascii="宋体" w:hAnsi="宋体" w:eastAsia="宋体" w:cs="宋体"/>
          <w:spacing w:val="-1"/>
          <w:sz w:val="24"/>
          <w:szCs w:val="24"/>
          <w:lang w:eastAsia="zh-CN"/>
        </w:rPr>
        <w:t>试计算机，将设备调试到最佳状态。</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设备清洁保养：通过清洁保养服务，最大限度降低设备的故障率，延长设备的使用寿命，同时为校方的工作人员提供一个整洁、干净的工作环境。</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硬件设备运行情况巡检：了解和记录校方计算机设备的最新使用情况（包括新增设备情况、已有设备的维修情况、耗材的使用情况、关键设备的运行情况等），检测设备的运行情况，排除故障发生隐患，最大限度的降低计算机硬件设备的故障发生率，对一些经常出现故障的设备和关键设备要进行重点的检查。同时对一些已老化需淘汰的计算机设备进行记录并向校方信息主管部门进行反映、提出备机建议。</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 系统及软件运行情况巡查：系统的优化、数据的整理、常见故障的排除；计算机病毒的查、杀、防毒软件的定期升级；根据使用人员的要求、提供系统软件的升级。系统数据的备份与恢复。服务小组的工程师将利用母盘克隆、网络备份、存储备份等方法把重要部门的系统和数据安全备份，出现故障时在最短时间内进行数据的恢复。</w:t>
      </w:r>
    </w:p>
    <w:p>
      <w:pPr>
        <w:spacing w:line="440" w:lineRule="exact"/>
        <w:ind w:firstLine="476" w:firstLineChars="200"/>
        <w:jc w:val="both"/>
        <w:rPr>
          <w:rFonts w:hint="eastAsia" w:ascii="宋体" w:hAnsi="宋体" w:eastAsia="宋体" w:cs="宋体"/>
          <w:spacing w:val="-1"/>
          <w:sz w:val="24"/>
          <w:szCs w:val="24"/>
        </w:rPr>
      </w:pPr>
      <w:bookmarkStart w:id="99" w:name="_Toc153907607"/>
      <w:bookmarkStart w:id="100" w:name="_Toc341962206"/>
      <w:r>
        <w:rPr>
          <w:rFonts w:hint="eastAsia" w:ascii="宋体" w:hAnsi="宋体" w:eastAsia="宋体" w:cs="宋体"/>
          <w:spacing w:val="-1"/>
          <w:sz w:val="24"/>
          <w:szCs w:val="24"/>
        </w:rPr>
        <w:t>信息资产普查</w:t>
      </w:r>
      <w:bookmarkEnd w:id="99"/>
      <w:bookmarkEnd w:id="100"/>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为全面掌握校方的信息资产情况，每半年进行一次资产普查工作，并提交资产清单。包括硬件的配置、数量、使用人、保修期限、软件类型、软件系统序列号、软件授权、软件光盘及说明书等。</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在运维服务的日常工作中，采用《服务工作单》记录资产变更情况，汇总变更情况，更新资产记录。</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在服务期满前应再协助采购人进行一次资产普查工作，并核对资产记录，提交最终资产清单。</w:t>
      </w:r>
    </w:p>
    <w:p>
      <w:pPr>
        <w:spacing w:line="440" w:lineRule="exact"/>
        <w:ind w:firstLine="476" w:firstLineChars="200"/>
        <w:jc w:val="both"/>
        <w:rPr>
          <w:rFonts w:hint="eastAsia" w:ascii="宋体" w:hAnsi="宋体" w:eastAsia="宋体" w:cs="宋体"/>
          <w:spacing w:val="-1"/>
          <w:sz w:val="24"/>
          <w:szCs w:val="24"/>
        </w:rPr>
      </w:pPr>
    </w:p>
    <w:bookmarkEnd w:id="96"/>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业务系统维护</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维护工程师每月的对校方</w:t>
      </w:r>
      <w:r>
        <w:rPr>
          <w:rFonts w:hint="eastAsia" w:ascii="宋体" w:hAnsi="宋体" w:eastAsia="宋体" w:cs="宋体"/>
          <w:spacing w:val="-1"/>
          <w:sz w:val="24"/>
          <w:szCs w:val="24"/>
          <w:lang w:val="en-US" w:eastAsia="zh-CN"/>
        </w:rPr>
        <w:t>IT</w:t>
      </w:r>
      <w:r>
        <w:rPr>
          <w:rFonts w:hint="eastAsia" w:ascii="宋体" w:hAnsi="宋体" w:eastAsia="宋体" w:cs="宋体"/>
          <w:spacing w:val="-1"/>
          <w:sz w:val="24"/>
          <w:szCs w:val="24"/>
          <w:lang w:eastAsia="zh-CN"/>
        </w:rPr>
        <w:t>设备的巡检服务，了解和记录最新的使用情况，对各在用</w:t>
      </w:r>
      <w:r>
        <w:rPr>
          <w:rFonts w:hint="eastAsia" w:ascii="宋体" w:hAnsi="宋体" w:eastAsia="宋体" w:cs="宋体"/>
          <w:spacing w:val="-1"/>
          <w:sz w:val="24"/>
          <w:szCs w:val="24"/>
          <w:lang w:val="en-US" w:eastAsia="zh-CN"/>
        </w:rPr>
        <w:t>业务</w:t>
      </w:r>
      <w:r>
        <w:rPr>
          <w:rFonts w:hint="eastAsia" w:ascii="宋体" w:hAnsi="宋体" w:eastAsia="宋体" w:cs="宋体"/>
          <w:spacing w:val="-1"/>
          <w:sz w:val="24"/>
          <w:szCs w:val="24"/>
          <w:lang w:eastAsia="zh-CN"/>
        </w:rPr>
        <w:t>软件</w:t>
      </w:r>
      <w:r>
        <w:rPr>
          <w:rFonts w:hint="eastAsia" w:ascii="宋体" w:hAnsi="宋体" w:eastAsia="宋体" w:cs="宋体"/>
          <w:spacing w:val="-1"/>
          <w:sz w:val="24"/>
          <w:szCs w:val="24"/>
          <w:lang w:val="en-US" w:eastAsia="zh-CN"/>
        </w:rPr>
        <w:t>的服务器硬件、软件、操作系统、数据库等</w:t>
      </w:r>
      <w:r>
        <w:rPr>
          <w:rFonts w:hint="eastAsia" w:ascii="宋体" w:hAnsi="宋体" w:eastAsia="宋体" w:cs="宋体"/>
          <w:spacing w:val="-1"/>
          <w:sz w:val="24"/>
          <w:szCs w:val="24"/>
          <w:lang w:eastAsia="zh-CN"/>
        </w:rPr>
        <w:t>予以普查并核对运维软件资产记录，通过月服务报告上报校方普查情况；对经常出现问题的设备进行登记和记录，并且制定知识库，对常出现的设备要重点检查、消除隐患，最大限度降低</w:t>
      </w:r>
      <w:r>
        <w:rPr>
          <w:rFonts w:hint="eastAsia" w:ascii="宋体" w:hAnsi="宋体" w:eastAsia="宋体" w:cs="宋体"/>
          <w:spacing w:val="-1"/>
          <w:sz w:val="24"/>
          <w:szCs w:val="24"/>
          <w:lang w:val="en-US" w:eastAsia="zh-CN"/>
        </w:rPr>
        <w:t>业务系统</w:t>
      </w:r>
      <w:r>
        <w:rPr>
          <w:rFonts w:hint="eastAsia" w:ascii="宋体" w:hAnsi="宋体" w:eastAsia="宋体" w:cs="宋体"/>
          <w:spacing w:val="-1"/>
          <w:sz w:val="24"/>
          <w:szCs w:val="24"/>
          <w:lang w:eastAsia="zh-CN"/>
        </w:rPr>
        <w:t>的故障率。</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维护工程师在对用户维护的时候，必须按照服务流程来进行，给用户提供快速、标准、满意的服务。对保内的</w:t>
      </w:r>
      <w:r>
        <w:rPr>
          <w:rFonts w:hint="eastAsia" w:ascii="宋体" w:hAnsi="宋体" w:eastAsia="宋体" w:cs="宋体"/>
          <w:spacing w:val="-1"/>
          <w:sz w:val="24"/>
          <w:szCs w:val="24"/>
          <w:lang w:val="en-US" w:eastAsia="zh-CN"/>
        </w:rPr>
        <w:t>IT</w:t>
      </w:r>
      <w:r>
        <w:rPr>
          <w:rFonts w:hint="eastAsia" w:ascii="宋体" w:hAnsi="宋体" w:eastAsia="宋体" w:cs="宋体"/>
          <w:spacing w:val="-1"/>
          <w:sz w:val="24"/>
          <w:szCs w:val="24"/>
          <w:lang w:eastAsia="zh-CN"/>
        </w:rPr>
        <w:t>硬件进行免费的更换，时间方面按照原厂商的服务标准时间来进行。对保外的设备，由校方申请须更换的设备，有校方提供硬件费，维修费情况按照合同约定执行。</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对经过维修或已更换配件的设备，根据具体情况延长保修期并更新资产库记录，更新配置库记录。</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对终端用户的在用办公软件、资产使用情况普查,并汇总巡检报告提交给校方。</w:t>
      </w:r>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一般信息化设备硬件服务还包括：</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供应商根据实际需要，经</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同意准备相应数量的维护零配件，协助</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进行备件库的管理，并在零配件不足时及时补仓。</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定期对计算机设备进行保养维护，定期进行用户满意度调查；</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对一般信息化设备硬件进行定期巡检、保养，以保障设备运行正常；</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按照</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要求进行硬件设备普查工作，建设可实现动态维护的硬件设备档案库，并实现与</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的资产管理系统的衔接。</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定期对公用信息化设备消毒除尘；</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检查硬件实际配置与设备登记表是否相符。</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对故障设备的维修</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在响应时间内完成故障设备的维修，维修人员应严格遵守维修规程。</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建立硬件应急维修小组，对关键重点岗位及紧急的故障及时响应并及时汇报，对于故障设备的维修由</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指定的具体技术人员组织监督进行；</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对处于保修期内的故障设备，供应商在</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授权的范围内代表</w:t>
      </w:r>
      <w:r>
        <w:rPr>
          <w:rFonts w:hint="eastAsia" w:ascii="宋体" w:hAnsi="宋体" w:eastAsia="宋体" w:cs="宋体"/>
          <w:spacing w:val="-1"/>
          <w:sz w:val="24"/>
          <w:szCs w:val="24"/>
          <w:lang w:eastAsia="zh-CN"/>
        </w:rPr>
        <w:t>校方</w:t>
      </w:r>
      <w:r>
        <w:rPr>
          <w:rFonts w:hint="eastAsia" w:ascii="宋体" w:hAnsi="宋体" w:eastAsia="宋体" w:cs="宋体"/>
          <w:spacing w:val="-1"/>
          <w:sz w:val="24"/>
          <w:szCs w:val="24"/>
        </w:rPr>
        <w:t>协调产品供货商予以维修，并监督维修时效和质量；</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对处于保修期外的故障设备维修，如需更换零配件，可由供应商提供多家的报价，经用户选择审核确认后，方可进行更换；</w:t>
      </w:r>
    </w:p>
    <w:p>
      <w:pPr>
        <w:spacing w:line="440" w:lineRule="exact"/>
        <w:ind w:firstLine="476" w:firstLineChars="200"/>
        <w:jc w:val="both"/>
        <w:rPr>
          <w:rFonts w:hint="eastAsia" w:ascii="宋体" w:hAnsi="宋体" w:eastAsia="宋体" w:cs="宋体"/>
          <w:spacing w:val="-1"/>
          <w:sz w:val="24"/>
          <w:szCs w:val="24"/>
        </w:rPr>
      </w:pPr>
      <w:bookmarkStart w:id="101" w:name="_Toc153727026"/>
      <w:bookmarkEnd w:id="101"/>
      <w:bookmarkStart w:id="102" w:name="_Toc153727028"/>
      <w:bookmarkEnd w:id="102"/>
      <w:bookmarkStart w:id="103" w:name="_Toc153725918"/>
      <w:bookmarkEnd w:id="103"/>
      <w:bookmarkStart w:id="104" w:name="_Toc153730282"/>
      <w:bookmarkEnd w:id="104"/>
      <w:bookmarkStart w:id="105" w:name="_Toc153724728"/>
      <w:bookmarkEnd w:id="105"/>
      <w:bookmarkStart w:id="106" w:name="_Toc153725560"/>
      <w:bookmarkEnd w:id="106"/>
      <w:bookmarkStart w:id="107" w:name="_Toc153727027"/>
      <w:bookmarkEnd w:id="107"/>
      <w:bookmarkStart w:id="108" w:name="_Toc153725919"/>
      <w:bookmarkEnd w:id="108"/>
      <w:bookmarkStart w:id="109" w:name="_Toc153724727"/>
      <w:bookmarkEnd w:id="109"/>
      <w:bookmarkStart w:id="110" w:name="_Toc153735742"/>
      <w:bookmarkEnd w:id="110"/>
      <w:bookmarkStart w:id="111" w:name="_Toc153725559"/>
      <w:bookmarkEnd w:id="111"/>
      <w:bookmarkStart w:id="112" w:name="_Toc153725917"/>
      <w:bookmarkEnd w:id="112"/>
      <w:bookmarkStart w:id="113" w:name="_Toc153735740"/>
      <w:bookmarkEnd w:id="113"/>
      <w:bookmarkStart w:id="114" w:name="_Toc153735741"/>
      <w:bookmarkEnd w:id="114"/>
      <w:bookmarkStart w:id="115" w:name="_Toc153730280"/>
      <w:bookmarkEnd w:id="115"/>
      <w:bookmarkStart w:id="116" w:name="_Toc153724729"/>
      <w:bookmarkEnd w:id="116"/>
      <w:bookmarkStart w:id="117" w:name="_Toc153730281"/>
      <w:bookmarkEnd w:id="117"/>
      <w:bookmarkStart w:id="118" w:name="_Toc153725561"/>
      <w:bookmarkEnd w:id="118"/>
      <w:bookmarkStart w:id="119" w:name="_Toc153907585"/>
      <w:bookmarkStart w:id="120" w:name="_Toc153735737"/>
      <w:bookmarkStart w:id="121" w:name="_Toc153907586"/>
      <w:bookmarkStart w:id="122" w:name="_Toc153735743"/>
      <w:r>
        <w:rPr>
          <w:rFonts w:hint="eastAsia" w:ascii="宋体" w:hAnsi="宋体" w:eastAsia="宋体" w:cs="宋体"/>
          <w:spacing w:val="-1"/>
          <w:sz w:val="24"/>
          <w:szCs w:val="24"/>
        </w:rPr>
        <w:t>客户端病毒处理</w:t>
      </w:r>
      <w:bookmarkEnd w:id="119"/>
      <w:bookmarkEnd w:id="120"/>
    </w:p>
    <w:p>
      <w:pPr>
        <w:spacing w:line="440" w:lineRule="exact"/>
        <w:ind w:firstLine="476" w:firstLineChars="20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在校方授权下，使用校方已有的防病毒软件，对存在病毒的终端予以隔离，生成事件安排工程师予以处理。</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其他临时工作安排</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按照学院信息化建设和管理的实际工作需要，开展其他的信息化建设工作。</w:t>
      </w:r>
    </w:p>
    <w:bookmarkEnd w:id="121"/>
    <w:bookmarkEnd w:id="122"/>
    <w:p>
      <w:pPr>
        <w:spacing w:line="440" w:lineRule="exact"/>
        <w:ind w:firstLine="476" w:firstLineChars="200"/>
        <w:jc w:val="both"/>
        <w:rPr>
          <w:rFonts w:hint="eastAsia" w:ascii="宋体" w:hAnsi="宋体" w:eastAsia="宋体" w:cs="宋体"/>
          <w:spacing w:val="-1"/>
          <w:sz w:val="24"/>
          <w:szCs w:val="24"/>
          <w:lang w:val="en-US" w:eastAsia="zh-CN"/>
        </w:rPr>
      </w:pPr>
      <w:bookmarkStart w:id="123" w:name="_Toc5441"/>
      <w:r>
        <w:rPr>
          <w:rFonts w:hint="eastAsia" w:ascii="宋体" w:hAnsi="宋体" w:eastAsia="宋体" w:cs="宋体"/>
          <w:spacing w:val="-1"/>
          <w:sz w:val="24"/>
          <w:szCs w:val="24"/>
          <w:lang w:val="en-US" w:eastAsia="zh-CN"/>
        </w:rPr>
        <w:t>项目考核办法</w:t>
      </w:r>
      <w:bookmarkEnd w:id="123"/>
    </w:p>
    <w:p>
      <w:pPr>
        <w:spacing w:line="440" w:lineRule="exact"/>
        <w:ind w:firstLine="476" w:firstLineChars="200"/>
        <w:jc w:val="both"/>
        <w:rPr>
          <w:rFonts w:hint="eastAsia" w:ascii="宋体" w:hAnsi="宋体" w:eastAsia="宋体" w:cs="宋体"/>
          <w:spacing w:val="-1"/>
          <w:sz w:val="24"/>
          <w:szCs w:val="24"/>
          <w:lang w:val="en-US" w:eastAsia="zh-CN"/>
        </w:rPr>
      </w:pPr>
      <w:bookmarkStart w:id="124" w:name="_Toc4195"/>
      <w:r>
        <w:rPr>
          <w:rFonts w:hint="eastAsia" w:ascii="宋体" w:hAnsi="宋体" w:eastAsia="宋体" w:cs="宋体"/>
          <w:spacing w:val="-1"/>
          <w:sz w:val="24"/>
          <w:szCs w:val="24"/>
          <w:lang w:val="en-US" w:eastAsia="zh-CN"/>
        </w:rPr>
        <w:t>3.1 运维服务流程：</w:t>
      </w:r>
      <w:bookmarkEnd w:id="124"/>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（1）驻场服务：运维人员常驻服务现场，确保在校方工作时间内随时响应服务要求。</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（2）文档管理：为学校建立设备维护档案，并对每次设备维护情况进行记录，方便学校查阅。</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（3）根据学院现有资产管理平台建立日常维修、资产、库房等管理平台，提供全电子化的管理。提供各种手段、例如教师办公软件报修、短信、微信、电话等一站式的服务。</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（4）巡检管理：定期对维护的设备进行巡查，如发现隐患或故障，及时排除，属于厂家维修的部分应在发现隐患后或故障后1小时内联系保修厂家及时维修。</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（5）设备报修：通过一站式服务进行报修，接到学校用户报修后，在15分钟内响应。非工作时间报修，电话或常用的即时通讯工具及时进行远程指导解决；工作时间内报修，在60分钟内到达现场处理。</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（6）重大支持：如果学校设备出现重大的难以解决问题，及时派出公司高级工程师，主持或组织力量制定解决方案、应急方案并确定解决问题的时间。</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（7）巡检、保修、支持工作完毕后，及时填写设备巡查、保修、重大支持工作报告。</w:t>
      </w:r>
    </w:p>
    <w:p>
      <w:pPr>
        <w:spacing w:line="440" w:lineRule="exact"/>
        <w:ind w:firstLine="476" w:firstLineChars="200"/>
        <w:jc w:val="both"/>
        <w:rPr>
          <w:rFonts w:hint="eastAsia" w:ascii="宋体" w:hAnsi="宋体" w:eastAsia="宋体" w:cs="宋体"/>
          <w:spacing w:val="-1"/>
          <w:sz w:val="24"/>
          <w:szCs w:val="24"/>
          <w:lang w:val="en-US" w:eastAsia="zh-CN"/>
        </w:rPr>
      </w:pPr>
      <w:bookmarkStart w:id="125" w:name="_Toc24782"/>
      <w:r>
        <w:rPr>
          <w:rFonts w:hint="eastAsia" w:ascii="宋体" w:hAnsi="宋体" w:eastAsia="宋体" w:cs="宋体"/>
          <w:spacing w:val="-1"/>
          <w:sz w:val="24"/>
          <w:szCs w:val="24"/>
          <w:lang w:val="en-US" w:eastAsia="zh-CN"/>
        </w:rPr>
        <w:t>3.2运维服务标准</w:t>
      </w:r>
      <w:bookmarkEnd w:id="125"/>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3.2.1运维人员工作</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（1）明确运维团队组织、人员、岗位职责、工作流程等，建立详细的运维保障体系，并提供方案。</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（2）运维团队熟练的掌握网络安全配置技术。</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（3）运维团队精通各种系统设备、平台、视频监控设备维护。</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（4）提供服务期内运行维护保障服务方案，包括服务内容、服务形式和服务保障措施。</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3.2.2巡检排故工作</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（1）重点设备的维护工作，采取分工负责措施；节假日期间，或有重要会议及有关活动期间，有专门值班运维人员，提前作好应急工作准备，确保系统正常运行。</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运维人员围绕系功能、系统各项技术指标及操作运行情况，按点、台逐项进行检测，边检边进行记录，并排除发现的故障。</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3.2.3行为规范</w:t>
      </w:r>
    </w:p>
    <w:p>
      <w:pPr>
        <w:spacing w:line="440" w:lineRule="exact"/>
        <w:ind w:firstLine="476" w:firstLineChars="200"/>
        <w:jc w:val="both"/>
        <w:rPr>
          <w:rFonts w:hint="eastAsia" w:ascii="宋体" w:hAnsi="宋体" w:eastAsia="宋体" w:cs="宋体"/>
          <w:spacing w:val="-1"/>
          <w:sz w:val="24"/>
          <w:szCs w:val="24"/>
          <w:lang w:val="en-US" w:eastAsia="zh-CN"/>
        </w:rPr>
      </w:pPr>
      <w:bookmarkStart w:id="126" w:name="_Toc176762929"/>
      <w:bookmarkEnd w:id="126"/>
      <w:bookmarkStart w:id="127" w:name="_Toc176762926"/>
      <w:bookmarkEnd w:id="127"/>
      <w:bookmarkStart w:id="128" w:name="_Toc177376261"/>
      <w:bookmarkEnd w:id="128"/>
      <w:bookmarkStart w:id="129" w:name="_Toc177376265"/>
      <w:bookmarkEnd w:id="129"/>
      <w:bookmarkStart w:id="130" w:name="_Toc176762816"/>
      <w:bookmarkEnd w:id="130"/>
      <w:bookmarkStart w:id="131" w:name="_Toc176762808"/>
      <w:bookmarkEnd w:id="131"/>
      <w:bookmarkStart w:id="132" w:name="_Toc176762922"/>
      <w:bookmarkEnd w:id="132"/>
      <w:bookmarkStart w:id="133" w:name="_Toc176762925"/>
      <w:bookmarkEnd w:id="133"/>
      <w:bookmarkStart w:id="134" w:name="_Toc177376357"/>
      <w:bookmarkEnd w:id="134"/>
      <w:bookmarkStart w:id="135" w:name="_Toc176762812"/>
      <w:bookmarkEnd w:id="135"/>
      <w:bookmarkStart w:id="136" w:name="_Toc177376364"/>
      <w:bookmarkEnd w:id="136"/>
      <w:bookmarkStart w:id="137" w:name="_Toc176762933"/>
      <w:bookmarkEnd w:id="137"/>
      <w:bookmarkStart w:id="138" w:name="_Toc177376365"/>
      <w:bookmarkEnd w:id="138"/>
      <w:bookmarkStart w:id="139" w:name="_Toc177376257"/>
      <w:bookmarkEnd w:id="139"/>
      <w:bookmarkStart w:id="140" w:name="_Toc176762928"/>
      <w:bookmarkEnd w:id="140"/>
      <w:bookmarkStart w:id="141" w:name="_Toc177376360"/>
      <w:bookmarkEnd w:id="141"/>
      <w:bookmarkStart w:id="142" w:name="_Toc176762814"/>
      <w:bookmarkEnd w:id="142"/>
      <w:bookmarkStart w:id="143" w:name="_Toc177376266"/>
      <w:bookmarkEnd w:id="143"/>
      <w:bookmarkStart w:id="144" w:name="_Toc176762924"/>
      <w:bookmarkEnd w:id="144"/>
      <w:bookmarkStart w:id="145" w:name="_Toc176762817"/>
      <w:bookmarkEnd w:id="145"/>
      <w:bookmarkStart w:id="146" w:name="_Toc177376264"/>
      <w:bookmarkEnd w:id="146"/>
      <w:bookmarkStart w:id="147" w:name="_Toc177376267"/>
      <w:bookmarkEnd w:id="147"/>
      <w:bookmarkStart w:id="148" w:name="_Toc177376260"/>
      <w:bookmarkEnd w:id="148"/>
      <w:bookmarkStart w:id="149" w:name="_Toc176762818"/>
      <w:bookmarkEnd w:id="149"/>
      <w:bookmarkStart w:id="150" w:name="_Toc177376258"/>
      <w:bookmarkEnd w:id="150"/>
      <w:bookmarkStart w:id="151" w:name="_Toc176762811"/>
      <w:bookmarkEnd w:id="151"/>
      <w:bookmarkStart w:id="152" w:name="_Toc177376262"/>
      <w:bookmarkEnd w:id="152"/>
      <w:bookmarkStart w:id="153" w:name="_Toc177376263"/>
      <w:bookmarkEnd w:id="153"/>
      <w:bookmarkStart w:id="154" w:name="_Toc177376354"/>
      <w:bookmarkEnd w:id="154"/>
      <w:bookmarkStart w:id="155" w:name="_Toc177376362"/>
      <w:bookmarkEnd w:id="155"/>
      <w:bookmarkStart w:id="156" w:name="_Toc176762927"/>
      <w:bookmarkEnd w:id="156"/>
      <w:bookmarkStart w:id="157" w:name="_Toc176762932"/>
      <w:bookmarkEnd w:id="157"/>
      <w:bookmarkStart w:id="158" w:name="_Toc177376358"/>
      <w:bookmarkEnd w:id="158"/>
      <w:bookmarkStart w:id="159" w:name="_Toc177376355"/>
      <w:bookmarkEnd w:id="159"/>
      <w:bookmarkStart w:id="160" w:name="_Toc177376361"/>
      <w:bookmarkEnd w:id="160"/>
      <w:bookmarkStart w:id="161" w:name="_Toc176762923"/>
      <w:bookmarkEnd w:id="161"/>
      <w:bookmarkStart w:id="162" w:name="_Toc176762809"/>
      <w:bookmarkEnd w:id="162"/>
      <w:bookmarkStart w:id="163" w:name="_Toc177376259"/>
      <w:bookmarkEnd w:id="163"/>
      <w:bookmarkStart w:id="164" w:name="_Toc176762815"/>
      <w:bookmarkEnd w:id="164"/>
      <w:bookmarkStart w:id="165" w:name="_Toc176762931"/>
      <w:bookmarkEnd w:id="165"/>
      <w:bookmarkStart w:id="166" w:name="_Toc176762930"/>
      <w:bookmarkEnd w:id="166"/>
      <w:bookmarkStart w:id="167" w:name="_Toc177376356"/>
      <w:bookmarkEnd w:id="167"/>
      <w:bookmarkStart w:id="168" w:name="_Toc177376268"/>
      <w:bookmarkEnd w:id="168"/>
      <w:bookmarkStart w:id="169" w:name="_Toc176762813"/>
      <w:bookmarkEnd w:id="169"/>
      <w:bookmarkStart w:id="170" w:name="_Toc177376359"/>
      <w:bookmarkEnd w:id="170"/>
      <w:bookmarkStart w:id="171" w:name="_Toc176762807"/>
      <w:bookmarkEnd w:id="171"/>
      <w:bookmarkStart w:id="172" w:name="_Toc176762810"/>
      <w:bookmarkEnd w:id="172"/>
      <w:bookmarkStart w:id="173" w:name="_Toc177376363"/>
      <w:bookmarkEnd w:id="173"/>
      <w:r>
        <w:rPr>
          <w:rFonts w:hint="eastAsia" w:ascii="宋体" w:hAnsi="宋体" w:eastAsia="宋体" w:cs="宋体"/>
          <w:spacing w:val="-1"/>
          <w:sz w:val="24"/>
          <w:szCs w:val="24"/>
          <w:lang w:val="en-US" w:eastAsia="zh-CN"/>
        </w:rPr>
        <w:t>（1）遵守用户的各项规章制度，严格按照用户相应的规章制度办事。</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（2）与用户运行维护体系其他部门和环节协同工作，密切配合，共同开展技术支持工作。</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（3）出现疑难技术、业务问题和重大紧急情况时，及时向负责人报告。</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（4）现场技术支持时要精神饱满，穿着得体，谈吐文明，举止庄重。接听电话时要文明礼貌，语言清晰明了，语气和善。</w:t>
      </w:r>
    </w:p>
    <w:p>
      <w:pPr>
        <w:spacing w:line="440" w:lineRule="exact"/>
        <w:ind w:firstLine="476" w:firstLineChars="200"/>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（5）遵守保密原则。对被技术支持单位的网络、主机、系统软件、业务平台、管理后台、应用软件等的密码、核心参数、业务数据等负有保密责任，不得随意复制和传播。</w:t>
      </w:r>
    </w:p>
    <w:p>
      <w:pPr>
        <w:spacing w:line="440" w:lineRule="exact"/>
        <w:ind w:firstLine="476" w:firstLineChars="200"/>
        <w:jc w:val="both"/>
        <w:rPr>
          <w:rFonts w:hint="eastAsia" w:ascii="宋体" w:hAnsi="宋体" w:eastAsia="宋体" w:cs="宋体"/>
          <w:spacing w:val="-1"/>
          <w:sz w:val="24"/>
          <w:szCs w:val="24"/>
          <w:lang w:val="en-US" w:eastAsia="zh-CN"/>
        </w:rPr>
      </w:pPr>
      <w:bookmarkStart w:id="174" w:name="_Toc180554337"/>
      <w:bookmarkStart w:id="175" w:name="_Toc1760"/>
      <w:bookmarkStart w:id="176" w:name="_Toc31773"/>
      <w:bookmarkStart w:id="177" w:name="_Toc270496128"/>
      <w:bookmarkStart w:id="178" w:name="_Toc231627122"/>
      <w:bookmarkStart w:id="179" w:name="_Toc21659"/>
      <w:r>
        <w:rPr>
          <w:rFonts w:hint="eastAsia" w:ascii="宋体" w:hAnsi="宋体" w:eastAsia="宋体" w:cs="宋体"/>
          <w:spacing w:val="-1"/>
          <w:sz w:val="24"/>
          <w:szCs w:val="24"/>
          <w:lang w:val="en-US" w:eastAsia="zh-CN"/>
        </w:rPr>
        <w:t>3.2.4现场服务支持规范</w:t>
      </w:r>
      <w:bookmarkEnd w:id="174"/>
      <w:bookmarkEnd w:id="175"/>
      <w:bookmarkEnd w:id="176"/>
      <w:bookmarkEnd w:id="177"/>
      <w:bookmarkEnd w:id="178"/>
      <w:bookmarkEnd w:id="179"/>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运维服务人员要做到耐心、细心、热心的服务。工作要做到事事有记录、事事有反馈、重大问题及时汇报。严格遵守工作作息时间，严格按照服务工作流程操作。</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现场支持工程师应着装整洁、言行礼貌大方，技术专业，操作熟练、严谨、规范；现场支持时必须遵守用户单位的相关规章制度。</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 xml:space="preserve">现场支持工程师在进行现场支持工作时必须在保证数据和系统安全的前提下开展工作。 </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现场支持时出现暂时无法解决的故障或其他新的故障时，应告知用户并及时上报负责人</w:t>
      </w:r>
      <w:r>
        <w:rPr>
          <w:rFonts w:hint="eastAsia" w:ascii="宋体" w:hAnsi="宋体" w:eastAsia="宋体" w:cs="宋体"/>
          <w:spacing w:val="-1"/>
          <w:sz w:val="24"/>
          <w:szCs w:val="24"/>
          <w:lang w:val="en-US" w:eastAsia="zh-CN"/>
        </w:rPr>
        <w:t>及平台后台运维厂家</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快速</w:t>
      </w:r>
      <w:r>
        <w:rPr>
          <w:rFonts w:hint="eastAsia" w:ascii="宋体" w:hAnsi="宋体" w:eastAsia="宋体" w:cs="宋体"/>
          <w:spacing w:val="-1"/>
          <w:sz w:val="24"/>
          <w:szCs w:val="24"/>
        </w:rPr>
        <w:t>寻找解决途径。</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故障解决后，现场支持工程师要详细记录问题的发生时间、地点、提出人和问题描述，并形成书面文档，必要时应向用户介绍故障出现的原因及预防方法和解决技巧。</w:t>
      </w:r>
    </w:p>
    <w:p>
      <w:pPr>
        <w:spacing w:line="440" w:lineRule="exact"/>
        <w:ind w:firstLine="476" w:firstLineChars="200"/>
        <w:jc w:val="both"/>
        <w:rPr>
          <w:rFonts w:hint="eastAsia" w:ascii="宋体" w:hAnsi="宋体" w:eastAsia="宋体" w:cs="宋体"/>
          <w:spacing w:val="-1"/>
          <w:sz w:val="24"/>
          <w:szCs w:val="24"/>
          <w:lang w:val="en-US" w:eastAsia="zh-CN"/>
        </w:rPr>
      </w:pPr>
      <w:bookmarkStart w:id="180" w:name="_Toc30019"/>
      <w:bookmarkStart w:id="181" w:name="_Toc3795"/>
      <w:bookmarkStart w:id="182" w:name="_Toc231627123"/>
      <w:bookmarkStart w:id="183" w:name="_Toc180554338"/>
      <w:bookmarkStart w:id="184" w:name="_Toc270496129"/>
      <w:bookmarkStart w:id="185" w:name="_Toc15857"/>
      <w:r>
        <w:rPr>
          <w:rFonts w:hint="eastAsia" w:ascii="宋体" w:hAnsi="宋体" w:eastAsia="宋体" w:cs="宋体"/>
          <w:spacing w:val="-1"/>
          <w:sz w:val="24"/>
          <w:szCs w:val="24"/>
          <w:lang w:val="en-US" w:eastAsia="zh-CN"/>
        </w:rPr>
        <w:t>3.2.5问题记录规范</w:t>
      </w:r>
      <w:bookmarkEnd w:id="180"/>
      <w:bookmarkEnd w:id="181"/>
      <w:bookmarkEnd w:id="182"/>
      <w:bookmarkEnd w:id="183"/>
      <w:bookmarkEnd w:id="184"/>
      <w:bookmarkEnd w:id="185"/>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rPr>
        <w:t>根据使用人员提出问题的类别，将问题分为咨询类问题和系统缺陷类问题二类：咨询类问题是指通过服务热线或现场解疑等方式能够当场解决用户提出的问题，具有问题解答直接、快速和实时的特点，该问题到现场支持人员处即可中止，对于该类问题的记录可使用咨询类问题记录模版进行记录。系统缺陷类问题是指使用人员提出的问题涉及到系统相应环节的确认修改，需要经过逐级提交、诊断、确认、处理和回复等环节，处理解决需要</w:t>
      </w:r>
      <w:r>
        <w:rPr>
          <w:rFonts w:hint="eastAsia" w:ascii="宋体" w:hAnsi="宋体" w:eastAsia="宋体" w:cs="宋体"/>
          <w:spacing w:val="-1"/>
          <w:sz w:val="24"/>
          <w:szCs w:val="24"/>
          <w:lang w:eastAsia="zh-CN"/>
        </w:rPr>
        <w:t>运维服务</w:t>
      </w:r>
      <w:r>
        <w:rPr>
          <w:rFonts w:hint="eastAsia" w:ascii="宋体" w:hAnsi="宋体" w:eastAsia="宋体" w:cs="宋体"/>
          <w:spacing w:val="-1"/>
          <w:sz w:val="24"/>
          <w:szCs w:val="24"/>
        </w:rPr>
        <w:t>组的分析确认，问题有解决方案后，将解决方案反馈给用户。具体提交流程如下：</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问题提交。应用信息系统的用户发现属于系统缺陷类的问题时，填写系统缺陷类问题提交单，提交服务支持中心。</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问题分析。服务中心接到用户提交的问题单，要组织相应人员对问题单中描述的问题进行分析研判，确定问题的类型(技术问题、业务问题或者操作问题)。属于技术问题，提交服务中心技术人员对存在的问题提出具体的处理意见和建议；属于业务问题，提交服务中心业务人员进行处理；属于操作问题，可安排相关人员对问题提出人进行解释，并将系统缺陷类问题提交单转为系统咨询类问题提交单。</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问题确认、解决。服务中心的技术人员和业务人员收到系统缺陷类问题提交单后，对提交的问题进行归类汇总和分析、确认。可以解决的，明确问题解决的具体处理建议和措施，经主管领导签字同意后，交实施人员进行解决方案的实施。服务人员确认是否解决，并将解决方法附在系统缺陷类问题提交单上反馈给问题提出人员。</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问题上报。服务人员收到经业务或技术人员确认的系统缺陷类问题提交单后，上报服务中心。</w:t>
      </w:r>
    </w:p>
    <w:p>
      <w:pPr>
        <w:spacing w:line="440" w:lineRule="exact"/>
        <w:ind w:firstLine="476" w:firstLineChars="200"/>
        <w:jc w:val="both"/>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问题回复。服务中心根据提交问题的进行分析，制定解决方案并进行实施的解决，同时做好变更记录。将解决方案汇总后及时向问题提交单位或问题交办单位作出回复，并将分析过程和问题产生原因一并提交。</w:t>
      </w:r>
    </w:p>
    <w:p>
      <w:pPr>
        <w:spacing w:line="440" w:lineRule="exact"/>
        <w:ind w:firstLine="476" w:firstLineChars="200"/>
        <w:jc w:val="both"/>
        <w:rPr>
          <w:rFonts w:hint="eastAsia" w:ascii="宋体" w:hAnsi="宋体" w:eastAsia="宋体" w:cs="宋体"/>
          <w:spacing w:val="-1"/>
          <w:sz w:val="24"/>
          <w:szCs w:val="24"/>
        </w:rPr>
      </w:pPr>
    </w:p>
    <w:p>
      <w:pPr>
        <w:jc w:val="center"/>
        <w:rPr>
          <w:rFonts w:ascii="MVGMWE+ËÎÌå" w:hAnsi="MVGMWE+ËÎÌå" w:cs="MVGMWE+ËÎÌå"/>
          <w:sz w:val="52"/>
          <w:szCs w:val="52"/>
        </w:rPr>
      </w:pPr>
    </w:p>
    <w:p>
      <w:pPr>
        <w:pStyle w:val="6"/>
        <w:rPr>
          <w:rFonts w:ascii="MVGMWE+ËÎÌå" w:hAnsi="MVGMWE+ËÎÌå" w:cs="MVGMWE+ËÎÌå"/>
          <w:sz w:val="52"/>
          <w:szCs w:val="52"/>
        </w:rPr>
      </w:pPr>
    </w:p>
    <w:p>
      <w:pPr>
        <w:rPr>
          <w:rFonts w:ascii="MVGMWE+ËÎÌå" w:hAnsi="MVGMWE+ËÎÌå" w:cs="MVGMWE+ËÎÌå"/>
          <w:sz w:val="52"/>
          <w:szCs w:val="52"/>
        </w:rPr>
      </w:pPr>
    </w:p>
    <w:p>
      <w:pPr>
        <w:pStyle w:val="2"/>
        <w:rPr>
          <w:rFonts w:ascii="MVGMWE+ËÎÌå" w:hAnsi="MVGMWE+ËÎÌå" w:cs="MVGMWE+ËÎÌå"/>
          <w:sz w:val="52"/>
          <w:szCs w:val="52"/>
        </w:rPr>
      </w:pPr>
    </w:p>
    <w:p>
      <w:pPr>
        <w:pStyle w:val="3"/>
        <w:rPr>
          <w:rFonts w:ascii="MVGMWE+ËÎÌå" w:hAnsi="MVGMWE+ËÎÌå" w:cs="MVGMWE+ËÎÌå"/>
          <w:sz w:val="52"/>
          <w:szCs w:val="52"/>
        </w:rPr>
      </w:pPr>
    </w:p>
    <w:p>
      <w:pPr>
        <w:rPr>
          <w:rFonts w:ascii="MVGMWE+ËÎÌå" w:hAnsi="MVGMWE+ËÎÌå" w:cs="MVGMWE+ËÎÌå"/>
          <w:sz w:val="52"/>
          <w:szCs w:val="52"/>
        </w:rPr>
      </w:pPr>
    </w:p>
    <w:p>
      <w:pPr>
        <w:pStyle w:val="2"/>
        <w:rPr>
          <w:rFonts w:ascii="MVGMWE+ËÎÌå" w:hAnsi="MVGMWE+ËÎÌå" w:cs="MVGMWE+ËÎÌå"/>
          <w:sz w:val="52"/>
          <w:szCs w:val="52"/>
        </w:rPr>
      </w:pPr>
    </w:p>
    <w:p>
      <w:pPr>
        <w:pStyle w:val="3"/>
      </w:pPr>
    </w:p>
    <w:p>
      <w:pPr>
        <w:pStyle w:val="6"/>
        <w:ind w:left="0" w:leftChars="0" w:firstLine="0" w:firstLineChars="0"/>
        <w:jc w:val="both"/>
      </w:pPr>
    </w:p>
    <w:p>
      <w:pPr>
        <w:jc w:val="center"/>
        <w:rPr>
          <w:rFonts w:ascii="TMBCOU+ËÎÌå" w:hAnsi="TMBCOU+ËÎÌå" w:cs="TMBCOU+ËÎÌå"/>
          <w:spacing w:val="-1"/>
          <w:sz w:val="52"/>
          <w:szCs w:val="52"/>
        </w:rPr>
      </w:pPr>
      <w:r>
        <w:rPr>
          <w:rFonts w:ascii="MVGMWE+ËÎÌå" w:hAnsi="MVGMWE+ËÎÌå" w:cs="MVGMWE+ËÎÌå"/>
          <w:sz w:val="52"/>
          <w:szCs w:val="52"/>
        </w:rPr>
        <w:t>竞争性磋商响应文件</w:t>
      </w:r>
    </w:p>
    <w:p>
      <w:pPr>
        <w:spacing w:line="440" w:lineRule="exact"/>
        <w:ind w:firstLine="556" w:firstLineChars="200"/>
        <w:jc w:val="center"/>
        <w:rPr>
          <w:rFonts w:ascii="TMBCOU+ËÎÌå" w:hAnsi="TMBCOU+ËÎÌå" w:cs="TMBCOU+ËÎÌå"/>
          <w:spacing w:val="-1"/>
        </w:rPr>
      </w:pPr>
      <w:r>
        <w:rPr>
          <w:rFonts w:hint="eastAsia" w:ascii="MVGMWE+ËÎÌå" w:hAnsi="MVGMWE+ËÎÌå" w:cs="MVGMWE+ËÎÌå"/>
          <w:spacing w:val="-1"/>
          <w:sz w:val="28"/>
        </w:rPr>
        <w:t>项目编号</w:t>
      </w:r>
      <w:r>
        <w:rPr>
          <w:rFonts w:ascii="MVGMWE+ËÎÌå" w:hAnsi="MVGMWE+ËÎÌå" w:cs="MVGMWE+ËÎÌå"/>
          <w:spacing w:val="-1"/>
          <w:sz w:val="28"/>
        </w:rPr>
        <w:t>：</w:t>
      </w:r>
    </w:p>
    <w:p>
      <w:pPr>
        <w:spacing w:line="440" w:lineRule="exact"/>
        <w:ind w:firstLine="416" w:firstLineChars="200"/>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hint="eastAsia" w:ascii="TMBCOU+ËÎÌå" w:hAnsi="TMBCOU+ËÎÌå" w:eastAsia="宋体" w:cs="TMBCOU+ËÎÌå"/>
          <w:spacing w:val="-1"/>
          <w:lang w:eastAsia="zh-CN"/>
        </w:rPr>
      </w:pPr>
      <w:r>
        <w:rPr>
          <w:rFonts w:hint="eastAsia" w:ascii="TMBCOU+ËÎÌå" w:hAnsi="TMBCOU+ËÎÌå" w:cs="TMBCOU+ËÎÌå"/>
          <w:spacing w:val="-1"/>
          <w:lang w:eastAsia="zh-CN"/>
        </w:rPr>
        <w:t>、</w:t>
      </w: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pStyle w:val="13"/>
        <w:rPr>
          <w:rFonts w:ascii="TMBCOU+ËÎÌå" w:hAnsi="TMBCOU+ËÎÌå" w:cs="TMBCOU+ËÎÌå"/>
          <w:spacing w:val="-1"/>
        </w:rPr>
      </w:pPr>
    </w:p>
    <w:p>
      <w:pPr>
        <w:spacing w:line="360" w:lineRule="auto"/>
        <w:ind w:firstLine="556" w:firstLineChars="200"/>
        <w:rPr>
          <w:rFonts w:ascii="TMBCOU+ËÎÌå" w:hAnsi="TMBCOU+ËÎÌå" w:cs="TMBCOU+ËÎÌå"/>
          <w:spacing w:val="-1"/>
        </w:rPr>
      </w:pPr>
      <w:r>
        <w:rPr>
          <w:rFonts w:hint="eastAsia" w:ascii="MVGMWE+ËÎÌå" w:hAnsi="MVGMWE+ËÎÌå" w:cs="MVGMWE+ËÎÌå"/>
          <w:spacing w:val="-1"/>
          <w:sz w:val="28"/>
        </w:rPr>
        <w:t>供应商</w:t>
      </w:r>
      <w:r>
        <w:rPr>
          <w:rFonts w:ascii="MVGMWE+ËÎÌå" w:hAnsi="MVGMWE+ËÎÌå" w:cs="MVGMWE+ËÎÌå"/>
          <w:spacing w:val="-1"/>
          <w:sz w:val="28"/>
          <w:u w:val="single"/>
        </w:rPr>
        <w:t>：</w:t>
      </w:r>
      <w:r>
        <w:rPr>
          <w:rFonts w:ascii="MVGMWE+ËÎÌå" w:hAnsi="MVGMWE+ËÎÌå" w:cs="MVGMWE+ËÎÌå"/>
          <w:sz w:val="28"/>
          <w:u w:val="single"/>
        </w:rPr>
        <w:t>（盖单位章）</w:t>
      </w:r>
    </w:p>
    <w:p>
      <w:pPr>
        <w:spacing w:line="360" w:lineRule="auto"/>
        <w:ind w:firstLine="556" w:firstLineChars="200"/>
        <w:rPr>
          <w:rFonts w:ascii="TMBCOU+ËÎÌå" w:hAnsi="TMBCOU+ËÎÌå" w:cs="TMBCOU+ËÎÌå"/>
          <w:spacing w:val="-1"/>
        </w:rPr>
      </w:pPr>
      <w:r>
        <w:rPr>
          <w:rFonts w:ascii="MVGMWE+ËÎÌå" w:hAnsi="MVGMWE+ËÎÌå" w:cs="MVGMWE+ËÎÌå"/>
          <w:spacing w:val="-1"/>
          <w:sz w:val="28"/>
        </w:rPr>
        <w:t>法定代表人或其委托代理人</w:t>
      </w:r>
      <w:r>
        <w:rPr>
          <w:rFonts w:ascii="MVGMWE+ËÎÌå" w:hAnsi="MVGMWE+ËÎÌå" w:cs="MVGMWE+ËÎÌå"/>
          <w:spacing w:val="-1"/>
          <w:sz w:val="28"/>
          <w:u w:val="single"/>
        </w:rPr>
        <w:t>：（签字</w:t>
      </w:r>
      <w:r>
        <w:rPr>
          <w:rFonts w:hint="eastAsia" w:ascii="MVGMWE+ËÎÌå" w:hAnsi="MVGMWE+ËÎÌå" w:cs="MVGMWE+ËÎÌå"/>
          <w:spacing w:val="-1"/>
          <w:sz w:val="28"/>
          <w:u w:val="single"/>
        </w:rPr>
        <w:t>或盖章</w:t>
      </w:r>
      <w:r>
        <w:rPr>
          <w:rFonts w:ascii="MVGMWE+ËÎÌå" w:hAnsi="MVGMWE+ËÎÌå" w:cs="MVGMWE+ËÎÌå"/>
          <w:spacing w:val="-1"/>
          <w:sz w:val="28"/>
          <w:u w:val="single"/>
        </w:rPr>
        <w:t>）</w:t>
      </w:r>
    </w:p>
    <w:p>
      <w:pPr>
        <w:spacing w:line="360" w:lineRule="auto"/>
        <w:ind w:firstLine="3892" w:firstLineChars="1400"/>
        <w:rPr>
          <w:rFonts w:ascii="TMBCOU+ËÎÌå" w:hAnsi="TMBCOU+ËÎÌå" w:cs="TMBCOU+ËÎÌå"/>
          <w:spacing w:val="-1"/>
          <w:sz w:val="28"/>
          <w:szCs w:val="28"/>
        </w:rPr>
      </w:pPr>
      <w:r>
        <w:rPr>
          <w:rFonts w:hint="eastAsia" w:ascii="TMBCOU+ËÎÌå" w:hAnsi="TMBCOU+ËÎÌå" w:cs="TMBCOU+ËÎÌå"/>
          <w:spacing w:val="-1"/>
          <w:sz w:val="28"/>
          <w:szCs w:val="28"/>
        </w:rPr>
        <w:t>年</w:t>
      </w:r>
      <w:r>
        <w:rPr>
          <w:rFonts w:hint="eastAsia" w:ascii="TMBCOU+ËÎÌå" w:hAnsi="TMBCOU+ËÎÌå" w:cs="TMBCOU+ËÎÌå"/>
          <w:spacing w:val="-1"/>
          <w:sz w:val="28"/>
          <w:szCs w:val="28"/>
          <w:lang w:val="en-US" w:eastAsia="zh-CN"/>
        </w:rPr>
        <w:t xml:space="preserve">    </w:t>
      </w:r>
      <w:r>
        <w:rPr>
          <w:rFonts w:hint="eastAsia" w:ascii="TMBCOU+ËÎÌå" w:hAnsi="TMBCOU+ËÎÌå" w:cs="TMBCOU+ËÎÌå"/>
          <w:spacing w:val="-1"/>
          <w:sz w:val="28"/>
          <w:szCs w:val="28"/>
        </w:rPr>
        <w:t>月</w:t>
      </w:r>
      <w:r>
        <w:rPr>
          <w:rFonts w:hint="eastAsia" w:ascii="TMBCOU+ËÎÌå" w:hAnsi="TMBCOU+ËÎÌå" w:cs="TMBCOU+ËÎÌå"/>
          <w:spacing w:val="-1"/>
          <w:sz w:val="28"/>
          <w:szCs w:val="28"/>
          <w:lang w:val="en-US" w:eastAsia="zh-CN"/>
        </w:rPr>
        <w:t xml:space="preserve">    </w:t>
      </w:r>
      <w:r>
        <w:rPr>
          <w:rFonts w:hint="eastAsia" w:ascii="TMBCOU+ËÎÌå" w:hAnsi="TMBCOU+ËÎÌå" w:cs="TMBCOU+ËÎÌå"/>
          <w:spacing w:val="-1"/>
          <w:sz w:val="28"/>
          <w:szCs w:val="28"/>
        </w:rPr>
        <w:t>日</w:t>
      </w:r>
    </w:p>
    <w:p>
      <w:pPr>
        <w:spacing w:line="440" w:lineRule="exact"/>
        <w:ind w:firstLine="416" w:firstLineChars="200"/>
        <w:rPr>
          <w:rFonts w:ascii="TMBCOU+ËÎÌå" w:hAnsi="TMBCOU+ËÎÌå" w:cs="TMBCOU+ËÎÌå"/>
          <w:spacing w:val="-1"/>
        </w:rPr>
      </w:pPr>
    </w:p>
    <w:p>
      <w:pPr>
        <w:pStyle w:val="2"/>
        <w:rPr>
          <w:rFonts w:ascii="TMBCOU+ËÎÌå" w:hAnsi="TMBCOU+ËÎÌå" w:cs="TMBCOU+ËÎÌå"/>
          <w:spacing w:val="-1"/>
        </w:rPr>
      </w:pPr>
    </w:p>
    <w:p>
      <w:pPr>
        <w:pStyle w:val="3"/>
        <w:rPr>
          <w:rFonts w:ascii="TMBCOU+ËÎÌå" w:hAnsi="TMBCOU+ËÎÌå" w:cs="TMBCOU+ËÎÌå"/>
          <w:spacing w:val="-1"/>
        </w:rPr>
      </w:pPr>
    </w:p>
    <w:p>
      <w:pPr>
        <w:rPr>
          <w:rFonts w:ascii="TMBCOU+ËÎÌå" w:hAnsi="TMBCOU+ËÎÌå" w:cs="TMBCOU+ËÎÌå"/>
          <w:spacing w:val="-1"/>
        </w:rPr>
      </w:pPr>
    </w:p>
    <w:p>
      <w:pPr>
        <w:pStyle w:val="2"/>
        <w:rPr>
          <w:rFonts w:ascii="TMBCOU+ËÎÌå" w:hAnsi="TMBCOU+ËÎÌå" w:cs="TMBCOU+ËÎÌå"/>
          <w:spacing w:val="-1"/>
        </w:rPr>
      </w:pPr>
    </w:p>
    <w:p>
      <w:pPr>
        <w:pStyle w:val="3"/>
      </w:pPr>
    </w:p>
    <w:p>
      <w:pPr>
        <w:spacing w:line="440" w:lineRule="exact"/>
        <w:jc w:val="both"/>
        <w:rPr>
          <w:rFonts w:hint="eastAsia" w:ascii="宋体" w:hAnsi="宋体" w:eastAsia="宋体" w:cs="宋体"/>
          <w:spacing w:val="-1"/>
          <w:sz w:val="24"/>
          <w:szCs w:val="24"/>
        </w:rPr>
      </w:pPr>
    </w:p>
    <w:p>
      <w:pPr>
        <w:spacing w:line="480" w:lineRule="auto"/>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录</w:t>
      </w:r>
    </w:p>
    <w:p>
      <w:pPr>
        <w:spacing w:line="48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一、投标函；</w:t>
      </w:r>
    </w:p>
    <w:p>
      <w:pPr>
        <w:spacing w:line="48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、开标一览表；</w:t>
      </w:r>
    </w:p>
    <w:p>
      <w:pPr>
        <w:spacing w:line="48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法定代表人身份证明书</w:t>
      </w:r>
      <w:r>
        <w:rPr>
          <w:rFonts w:hint="eastAsia" w:ascii="宋体" w:hAnsi="宋体" w:eastAsia="宋体" w:cs="宋体"/>
          <w:color w:val="auto"/>
          <w:sz w:val="24"/>
          <w:szCs w:val="24"/>
          <w:highlight w:val="none"/>
          <w:lang w:eastAsia="zh-CN"/>
        </w:rPr>
        <w:t>；</w:t>
      </w:r>
    </w:p>
    <w:p>
      <w:pPr>
        <w:spacing w:line="48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供应商概况</w:t>
      </w:r>
    </w:p>
    <w:p>
      <w:pPr>
        <w:spacing w:line="48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、人员配备方案</w:t>
      </w:r>
    </w:p>
    <w:p>
      <w:pPr>
        <w:spacing w:line="48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投标保证金凭证</w:t>
      </w:r>
    </w:p>
    <w:p>
      <w:pPr>
        <w:spacing w:line="48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反商业贿赂承诺书</w:t>
      </w:r>
    </w:p>
    <w:p>
      <w:pPr>
        <w:spacing w:line="48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企业信誉信息截图</w:t>
      </w:r>
    </w:p>
    <w:p>
      <w:pPr>
        <w:spacing w:line="48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商务、技术偏差表</w:t>
      </w:r>
    </w:p>
    <w:p>
      <w:pPr>
        <w:spacing w:line="48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十、厂家项目授权</w:t>
      </w:r>
    </w:p>
    <w:p>
      <w:pPr>
        <w:spacing w:line="48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十一、服务需求响应</w:t>
      </w:r>
    </w:p>
    <w:p>
      <w:pPr>
        <w:spacing w:line="48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十二、</w:t>
      </w:r>
      <w:r>
        <w:rPr>
          <w:rFonts w:hint="default" w:ascii="宋体" w:hAnsi="宋体" w:eastAsia="宋体" w:cs="宋体"/>
          <w:color w:val="auto"/>
          <w:sz w:val="24"/>
          <w:szCs w:val="24"/>
          <w:highlight w:val="none"/>
          <w:lang w:val="en-US" w:eastAsia="zh-CN"/>
        </w:rPr>
        <w:t>运维服务</w:t>
      </w:r>
      <w:r>
        <w:rPr>
          <w:rFonts w:hint="eastAsia" w:ascii="宋体" w:hAnsi="宋体" w:eastAsia="宋体" w:cs="宋体"/>
          <w:color w:val="auto"/>
          <w:sz w:val="24"/>
          <w:szCs w:val="24"/>
          <w:highlight w:val="none"/>
          <w:lang w:val="en-US" w:eastAsia="zh-CN"/>
        </w:rPr>
        <w:t>方案</w:t>
      </w:r>
    </w:p>
    <w:p>
      <w:pPr>
        <w:spacing w:line="48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十三、合理化方案</w:t>
      </w:r>
    </w:p>
    <w:p>
      <w:pPr>
        <w:spacing w:line="48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十四、</w:t>
      </w:r>
      <w:r>
        <w:rPr>
          <w:rFonts w:hint="eastAsia" w:ascii="宋体" w:hAnsi="宋体" w:eastAsia="宋体" w:cs="宋体"/>
          <w:color w:val="auto"/>
          <w:sz w:val="24"/>
          <w:szCs w:val="24"/>
          <w:highlight w:val="none"/>
          <w:lang w:eastAsia="zh-CN"/>
        </w:rPr>
        <w:t>维护保养服务</w:t>
      </w:r>
    </w:p>
    <w:p>
      <w:pPr>
        <w:spacing w:line="48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十五、</w:t>
      </w:r>
      <w:r>
        <w:rPr>
          <w:rFonts w:hint="eastAsia" w:ascii="宋体" w:hAnsi="宋体" w:eastAsia="宋体" w:cs="宋体"/>
          <w:color w:val="auto"/>
          <w:sz w:val="24"/>
          <w:szCs w:val="24"/>
          <w:highlight w:val="none"/>
          <w:lang w:eastAsia="zh-CN"/>
        </w:rPr>
        <w:t>应急预案</w:t>
      </w:r>
    </w:p>
    <w:p>
      <w:pPr>
        <w:spacing w:line="48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十六、</w:t>
      </w:r>
      <w:r>
        <w:rPr>
          <w:rFonts w:hint="eastAsia" w:ascii="宋体" w:hAnsi="宋体" w:eastAsia="宋体" w:cs="宋体"/>
          <w:color w:val="auto"/>
          <w:sz w:val="24"/>
          <w:szCs w:val="24"/>
          <w:highlight w:val="none"/>
          <w:lang w:eastAsia="zh-CN"/>
        </w:rPr>
        <w:t>整体服务解决方案</w:t>
      </w:r>
    </w:p>
    <w:p>
      <w:pPr>
        <w:spacing w:line="48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十七、</w:t>
      </w:r>
      <w:r>
        <w:rPr>
          <w:rFonts w:hint="eastAsia" w:ascii="宋体" w:hAnsi="宋体" w:eastAsia="宋体" w:cs="宋体"/>
          <w:color w:val="auto"/>
          <w:sz w:val="24"/>
          <w:szCs w:val="24"/>
          <w:highlight w:val="none"/>
          <w:lang w:eastAsia="zh-CN"/>
        </w:rPr>
        <w:t>企业实力</w:t>
      </w:r>
    </w:p>
    <w:p>
      <w:pPr>
        <w:spacing w:line="480" w:lineRule="auto"/>
        <w:ind w:firstLine="240" w:firstLineChars="1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十八、中、小微企业声明函</w:t>
      </w:r>
    </w:p>
    <w:p>
      <w:pPr>
        <w:spacing w:line="48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十九、供应商认为有必要提供的其他证明材料</w:t>
      </w:r>
    </w:p>
    <w:p>
      <w:pPr>
        <w:spacing w:line="480" w:lineRule="auto"/>
        <w:ind w:firstLine="235" w:firstLineChars="100"/>
        <w:rPr>
          <w:rFonts w:hint="eastAsia" w:ascii="宋体" w:hAnsi="宋体" w:eastAsia="宋体" w:cs="宋体"/>
          <w:color w:val="auto"/>
          <w:sz w:val="24"/>
          <w:szCs w:val="24"/>
          <w:highlight w:val="none"/>
          <w:lang w:eastAsia="zh-CN"/>
        </w:rPr>
      </w:pPr>
      <w:r>
        <w:rPr>
          <w:rFonts w:hint="eastAsia" w:ascii="宋体" w:hAnsi="宋体" w:eastAsia="宋体" w:cs="宋体"/>
          <w:b/>
          <w:spacing w:val="-3"/>
          <w:sz w:val="24"/>
          <w:szCs w:val="24"/>
          <w:lang w:eastAsia="zh-CN"/>
        </w:rPr>
        <w:t>响应文件格式范本（磋商文件未做出明确要求的，供应商格式自拟）</w:t>
      </w:r>
    </w:p>
    <w:p>
      <w:pPr>
        <w:pStyle w:val="68"/>
        <w:spacing w:line="360" w:lineRule="auto"/>
        <w:jc w:val="center"/>
        <w:rPr>
          <w:rFonts w:hint="eastAsia" w:ascii="宋体" w:hAnsi="宋体" w:eastAsia="宋体" w:cs="宋体"/>
          <w:color w:val="auto"/>
          <w:szCs w:val="28"/>
          <w:highlight w:val="none"/>
        </w:rPr>
      </w:pPr>
      <w:r>
        <w:rPr>
          <w:rFonts w:hint="eastAsia" w:ascii="宋体" w:hAnsi="宋体" w:eastAsia="宋体" w:cs="宋体"/>
          <w:color w:val="auto"/>
          <w:highlight w:val="none"/>
        </w:rPr>
        <w:br w:type="page"/>
      </w:r>
      <w:bookmarkStart w:id="186" w:name="_Toc27930"/>
      <w:bookmarkStart w:id="187" w:name="_Toc9597"/>
      <w:r>
        <w:rPr>
          <w:rFonts w:hint="eastAsia" w:ascii="宋体" w:hAnsi="宋体" w:eastAsia="宋体" w:cs="宋体"/>
          <w:b/>
          <w:bCs/>
          <w:color w:val="auto"/>
          <w:szCs w:val="28"/>
          <w:highlight w:val="none"/>
        </w:rPr>
        <w:t>一</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8"/>
          <w:highlight w:val="none"/>
        </w:rPr>
        <w:t>投标</w:t>
      </w:r>
      <w:r>
        <w:rPr>
          <w:rFonts w:hint="eastAsia" w:ascii="宋体" w:hAnsi="宋体" w:eastAsia="宋体" w:cs="宋体"/>
          <w:b/>
          <w:color w:val="auto"/>
          <w:szCs w:val="28"/>
          <w:highlight w:val="none"/>
        </w:rPr>
        <w:t>函</w:t>
      </w:r>
      <w:bookmarkEnd w:id="186"/>
      <w:bookmarkEnd w:id="187"/>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采购人名称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根据贵方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项目的招标公告（项目编号）: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，本签字代表</w:t>
      </w:r>
      <w:r>
        <w:rPr>
          <w:rFonts w:hint="eastAsia" w:ascii="宋体" w:hAnsi="宋体" w:eastAsia="宋体" w:cs="宋体"/>
          <w:color w:val="auto"/>
          <w:sz w:val="21"/>
          <w:szCs w:val="21"/>
          <w:highlight w:val="none"/>
          <w:u w:val="single"/>
        </w:rPr>
        <w:t xml:space="preserve">    （全名、职务）    </w:t>
      </w:r>
      <w:r>
        <w:rPr>
          <w:rFonts w:hint="eastAsia" w:ascii="宋体" w:hAnsi="宋体" w:eastAsia="宋体" w:cs="宋体"/>
          <w:color w:val="auto"/>
          <w:sz w:val="21"/>
          <w:szCs w:val="21"/>
          <w:highlight w:val="none"/>
        </w:rPr>
        <w:t>正式授权并代表投标供应商</w:t>
      </w:r>
      <w:r>
        <w:rPr>
          <w:rFonts w:hint="eastAsia" w:ascii="宋体" w:hAnsi="宋体" w:eastAsia="宋体" w:cs="宋体"/>
          <w:color w:val="auto"/>
          <w:sz w:val="21"/>
          <w:szCs w:val="21"/>
          <w:highlight w:val="none"/>
          <w:u w:val="single"/>
        </w:rPr>
        <w:t xml:space="preserve">        （供应商名称、地址）         </w:t>
      </w:r>
      <w:r>
        <w:rPr>
          <w:rFonts w:hint="eastAsia" w:ascii="宋体" w:hAnsi="宋体" w:eastAsia="宋体" w:cs="宋体"/>
          <w:color w:val="auto"/>
          <w:sz w:val="21"/>
          <w:szCs w:val="21"/>
          <w:highlight w:val="none"/>
        </w:rPr>
        <w:t>提交下述文件正本一份和副本四份。</w:t>
      </w:r>
      <w:r>
        <w:rPr>
          <w:rFonts w:hint="eastAsia" w:ascii="宋体" w:hAnsi="宋体" w:eastAsia="宋体" w:cs="宋体"/>
          <w:color w:val="auto"/>
          <w:kern w:val="0"/>
          <w:sz w:val="21"/>
          <w:szCs w:val="21"/>
          <w:highlight w:val="none"/>
        </w:rPr>
        <w:t>愿意以人民币（大写）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元（小写）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的投标价，服务期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据此函，签字代表宣布同意并承诺如下：</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1、所附投标报价表中的报价为规定的应提供和服务期及服务内容。</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2、供应商已详细审查全部招标文件，包括修改文件（如有的话）和有关附件，将自行承担因对全部招标文件理解不正确或误解而产生的相应后果。</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3、供应商保证遵守招标文件的全部规定，投标供应商所提交的材料中所含的信息均为真实、准确、完整，且不具有任何误导性。</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4、供应商将按招标文件的规定履行合同责任和义务。</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5、本投标文件自开标日起投标有效期为：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内保持有效。</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6、如果发生招标文件第二章供应商须知所述情况，则同意不予退还投标保证金。</w:t>
      </w:r>
    </w:p>
    <w:p>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7、我方同意提供按照招标人可能要求的与其投标有关的一切数据或资料，完全理解贵方不一定要接受我方最低的报价，而是由评标委员会依据招标文件规定的评审要素所作出的评定。</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8、与本次投标有关的一切正式往来通讯请寄：</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地址：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 </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电话：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 </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ind w:firstLine="3990" w:firstLineChars="1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投标供应商代表签字： </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投标供应商（加盖公章）：</w:t>
      </w:r>
      <w:r>
        <w:rPr>
          <w:rFonts w:hint="eastAsia" w:ascii="宋体" w:hAnsi="宋体" w:eastAsia="宋体" w:cs="宋体"/>
          <w:color w:val="auto"/>
          <w:sz w:val="21"/>
          <w:szCs w:val="21"/>
          <w:highlight w:val="none"/>
          <w:u w:val="single"/>
        </w:rPr>
        <w:t xml:space="preserve">                     </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rPr>
          <w:rFonts w:hint="eastAsia" w:ascii="宋体" w:hAnsi="宋体" w:eastAsia="宋体" w:cs="宋体"/>
          <w:color w:val="auto"/>
          <w:sz w:val="24"/>
          <w:szCs w:val="24"/>
          <w:highlight w:val="none"/>
        </w:rPr>
        <w:sectPr>
          <w:headerReference r:id="rId4" w:type="default"/>
          <w:footerReference r:id="rId5" w:type="default"/>
          <w:pgSz w:w="11850" w:h="16783"/>
          <w:pgMar w:top="1440" w:right="1440" w:bottom="1440" w:left="1440" w:header="720" w:footer="720" w:gutter="0"/>
          <w:cols w:space="720" w:num="1"/>
          <w:docGrid w:linePitch="323" w:charSpace="0"/>
        </w:sectPr>
      </w:pPr>
    </w:p>
    <w:p>
      <w:pPr>
        <w:pStyle w:val="68"/>
        <w:spacing w:line="360" w:lineRule="auto"/>
        <w:jc w:val="center"/>
        <w:rPr>
          <w:rFonts w:hint="eastAsia" w:ascii="宋体" w:hAnsi="宋体" w:eastAsia="宋体" w:cs="宋体"/>
          <w:b/>
          <w:bCs/>
          <w:color w:val="auto"/>
          <w:szCs w:val="28"/>
          <w:highlight w:val="none"/>
        </w:rPr>
      </w:pPr>
      <w:bookmarkStart w:id="188" w:name="_Toc21326"/>
      <w:bookmarkStart w:id="189" w:name="_Toc27467"/>
      <w:r>
        <w:rPr>
          <w:rFonts w:hint="eastAsia" w:ascii="宋体" w:hAnsi="宋体" w:eastAsia="宋体" w:cs="宋体"/>
          <w:b/>
          <w:bCs/>
          <w:color w:val="auto"/>
          <w:szCs w:val="28"/>
          <w:highlight w:val="none"/>
          <w:lang w:val="en-US" w:eastAsia="zh-CN"/>
        </w:rPr>
        <w:t>二</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bCs/>
          <w:color w:val="auto"/>
          <w:szCs w:val="28"/>
          <w:highlight w:val="none"/>
        </w:rPr>
        <w:t>开标一览表</w:t>
      </w:r>
      <w:bookmarkEnd w:id="188"/>
      <w:bookmarkEnd w:id="189"/>
    </w:p>
    <w:p>
      <w:pPr>
        <w:numPr>
          <w:ilvl w:val="0"/>
          <w:numId w:val="0"/>
        </w:numPr>
        <w:jc w:val="both"/>
        <w:outlineLvl w:val="9"/>
        <w:rPr>
          <w:rFonts w:hint="eastAsia" w:ascii="宋体" w:hAnsi="宋体" w:eastAsia="宋体" w:cs="宋体"/>
          <w:color w:val="auto"/>
          <w:highlight w:val="none"/>
        </w:rPr>
      </w:pPr>
      <w:r>
        <w:rPr>
          <w:rFonts w:hint="eastAsia" w:ascii="宋体" w:hAnsi="宋体" w:eastAsia="宋体" w:cs="宋体"/>
          <w:bCs/>
          <w:color w:val="auto"/>
          <w:sz w:val="28"/>
          <w:szCs w:val="28"/>
          <w:highlight w:val="none"/>
        </w:rPr>
        <w:t>项目</w:t>
      </w:r>
      <w:r>
        <w:rPr>
          <w:rFonts w:hint="eastAsia" w:ascii="宋体" w:hAnsi="宋体" w:eastAsia="宋体" w:cs="宋体"/>
          <w:color w:val="auto"/>
          <w:sz w:val="28"/>
          <w:szCs w:val="28"/>
          <w:highlight w:val="none"/>
        </w:rPr>
        <w:t xml:space="preserve">名称：     </w:t>
      </w:r>
      <w:r>
        <w:rPr>
          <w:rFonts w:hint="eastAsia" w:ascii="宋体" w:hAnsi="宋体" w:eastAsia="宋体" w:cs="宋体"/>
          <w:color w:val="auto"/>
          <w:szCs w:val="21"/>
          <w:highlight w:val="none"/>
        </w:rPr>
        <w:t xml:space="preserve">                                                                                     </w:t>
      </w:r>
    </w:p>
    <w:tbl>
      <w:tblPr>
        <w:tblStyle w:val="3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6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743" w:type="dxa"/>
            <w:noWrap w:val="0"/>
            <w:tcMar>
              <w:top w:w="0" w:type="dxa"/>
              <w:left w:w="108" w:type="dxa"/>
              <w:bottom w:w="0" w:type="dxa"/>
              <w:right w:w="108" w:type="dxa"/>
            </w:tcMar>
            <w:vAlign w:val="center"/>
          </w:tcPr>
          <w:p>
            <w:pPr>
              <w:widowControl/>
              <w:autoSpaceDN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项目名称</w:t>
            </w:r>
          </w:p>
        </w:tc>
        <w:tc>
          <w:tcPr>
            <w:tcW w:w="6536" w:type="dxa"/>
            <w:noWrap w:val="0"/>
            <w:tcMar>
              <w:top w:w="0" w:type="dxa"/>
              <w:left w:w="108" w:type="dxa"/>
              <w:bottom w:w="0" w:type="dxa"/>
              <w:right w:w="108" w:type="dxa"/>
            </w:tcMar>
            <w:vAlign w:val="center"/>
          </w:tcPr>
          <w:p>
            <w:pPr>
              <w:widowControl/>
              <w:autoSpaceDN w:val="0"/>
              <w:spacing w:line="560" w:lineRule="exact"/>
              <w:jc w:val="left"/>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2743" w:type="dxa"/>
            <w:noWrap w:val="0"/>
            <w:tcMar>
              <w:top w:w="0" w:type="dxa"/>
              <w:left w:w="108" w:type="dxa"/>
              <w:bottom w:w="0" w:type="dxa"/>
              <w:right w:w="108" w:type="dxa"/>
            </w:tcMar>
            <w:vAlign w:val="center"/>
          </w:tcPr>
          <w:p>
            <w:pPr>
              <w:widowControl/>
              <w:autoSpaceDN w:val="0"/>
              <w:spacing w:line="5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投标总价</w:t>
            </w:r>
          </w:p>
          <w:p>
            <w:pPr>
              <w:widowControl/>
              <w:autoSpaceDN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（人民币）</w:t>
            </w:r>
          </w:p>
        </w:tc>
        <w:tc>
          <w:tcPr>
            <w:tcW w:w="6536" w:type="dxa"/>
            <w:noWrap w:val="0"/>
            <w:tcMar>
              <w:top w:w="0" w:type="dxa"/>
              <w:left w:w="108" w:type="dxa"/>
              <w:bottom w:w="0" w:type="dxa"/>
              <w:right w:w="108" w:type="dxa"/>
            </w:tcMar>
            <w:vAlign w:val="center"/>
          </w:tcPr>
          <w:p>
            <w:pPr>
              <w:widowControl/>
              <w:autoSpaceDN w:val="0"/>
              <w:spacing w:line="5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小写：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p>
          <w:p>
            <w:pPr>
              <w:widowControl/>
              <w:autoSpaceDN w:val="0"/>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43" w:type="dxa"/>
            <w:noWrap w:val="0"/>
            <w:tcMar>
              <w:top w:w="0" w:type="dxa"/>
              <w:left w:w="108" w:type="dxa"/>
              <w:bottom w:w="0" w:type="dxa"/>
              <w:right w:w="108" w:type="dxa"/>
            </w:tcMar>
            <w:vAlign w:val="center"/>
          </w:tcPr>
          <w:p>
            <w:pPr>
              <w:widowControl/>
              <w:autoSpaceDN w:val="0"/>
              <w:spacing w:line="5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服务期</w:t>
            </w:r>
          </w:p>
        </w:tc>
        <w:tc>
          <w:tcPr>
            <w:tcW w:w="6536" w:type="dxa"/>
            <w:noWrap w:val="0"/>
            <w:tcMar>
              <w:top w:w="0" w:type="dxa"/>
              <w:left w:w="108" w:type="dxa"/>
              <w:bottom w:w="0" w:type="dxa"/>
              <w:right w:w="108" w:type="dxa"/>
            </w:tcMar>
            <w:vAlign w:val="center"/>
          </w:tcPr>
          <w:p>
            <w:pPr>
              <w:widowControl/>
              <w:autoSpaceDN w:val="0"/>
              <w:spacing w:line="560" w:lineRule="exact"/>
              <w:rPr>
                <w:rFonts w:hint="default" w:ascii="宋体" w:hAnsi="宋体" w:eastAsia="宋体" w:cs="宋体"/>
                <w:color w:val="auto"/>
                <w:sz w:val="21"/>
                <w:szCs w:val="21"/>
                <w:highlight w:val="none"/>
                <w:lang w:val="en-US"/>
              </w:rPr>
            </w:pPr>
            <w:r>
              <w:rPr>
                <w:rFonts w:hint="eastAsia" w:ascii="宋体" w:hAnsi="宋体" w:eastAsia="宋体" w:cs="宋体"/>
                <w:b/>
                <w:bCs/>
                <w:sz w:val="24"/>
                <w:szCs w:val="24"/>
                <w:lang w:val="en-US" w:eastAsia="zh-CN"/>
              </w:rPr>
              <w:t>自合同签订之日起</w:t>
            </w: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2743" w:type="dxa"/>
            <w:noWrap w:val="0"/>
            <w:tcMar>
              <w:top w:w="0" w:type="dxa"/>
              <w:left w:w="108" w:type="dxa"/>
              <w:bottom w:w="0" w:type="dxa"/>
              <w:right w:w="108" w:type="dxa"/>
            </w:tcMar>
            <w:vAlign w:val="center"/>
          </w:tcPr>
          <w:p>
            <w:pPr>
              <w:widowControl/>
              <w:autoSpaceDN w:val="0"/>
              <w:spacing w:line="5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c>
          <w:tcPr>
            <w:tcW w:w="6536" w:type="dxa"/>
            <w:noWrap w:val="0"/>
            <w:tcMar>
              <w:top w:w="0" w:type="dxa"/>
              <w:left w:w="108" w:type="dxa"/>
              <w:bottom w:w="0" w:type="dxa"/>
              <w:right w:w="108" w:type="dxa"/>
            </w:tcMar>
            <w:vAlign w:val="center"/>
          </w:tcPr>
          <w:p>
            <w:pPr>
              <w:widowControl/>
              <w:autoSpaceDN w:val="0"/>
              <w:spacing w:line="560" w:lineRule="exact"/>
              <w:rPr>
                <w:rFonts w:hint="eastAsia" w:ascii="宋体" w:hAnsi="宋体" w:eastAsia="宋体" w:cs="宋体"/>
                <w:color w:val="auto"/>
                <w:kern w:val="0"/>
                <w:sz w:val="21"/>
                <w:szCs w:val="21"/>
                <w:highlight w:val="none"/>
              </w:rPr>
            </w:pPr>
          </w:p>
          <w:p>
            <w:pPr>
              <w:widowControl/>
              <w:autoSpaceDN w:val="0"/>
              <w:spacing w:line="560" w:lineRule="exact"/>
              <w:rPr>
                <w:rFonts w:hint="eastAsia" w:ascii="宋体" w:hAnsi="宋体" w:eastAsia="宋体" w:cs="宋体"/>
                <w:color w:val="auto"/>
                <w:kern w:val="0"/>
                <w:sz w:val="21"/>
                <w:szCs w:val="21"/>
                <w:highlight w:val="none"/>
              </w:rPr>
            </w:pPr>
          </w:p>
        </w:tc>
      </w:tr>
    </w:tbl>
    <w:p>
      <w:pPr>
        <w:spacing w:line="320" w:lineRule="atLeast"/>
        <w:ind w:firstLine="316" w:firstLineChars="150"/>
        <w:rPr>
          <w:rFonts w:hint="eastAsia" w:ascii="宋体" w:hAnsi="宋体" w:eastAsia="宋体" w:cs="宋体"/>
          <w:b/>
          <w:color w:val="auto"/>
          <w:highlight w:val="none"/>
        </w:rPr>
      </w:pPr>
      <w:r>
        <w:rPr>
          <w:rFonts w:hint="eastAsia" w:ascii="宋体" w:hAnsi="宋体" w:eastAsia="宋体" w:cs="宋体"/>
          <w:b/>
          <w:color w:val="auto"/>
          <w:highlight w:val="none"/>
        </w:rPr>
        <w:t>1、若投标函中的投标总价与《开标一览表》不一致的，以《开标一览表》中的投标总报价大写为准。</w:t>
      </w:r>
    </w:p>
    <w:p>
      <w:pPr>
        <w:spacing w:line="320" w:lineRule="atLeast"/>
        <w:ind w:firstLine="314" w:firstLineChars="149"/>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、服务期：是指供应商必须对本表中的“服务期”作出实质性响应并满足招标文件的规定，不得简单的以“响应招标文件要求”或 “按合同约定”等类似内容填报，否则给供应商带来的不利</w:t>
      </w:r>
      <w:r>
        <w:rPr>
          <w:rFonts w:hint="eastAsia" w:ascii="宋体" w:hAnsi="宋体" w:eastAsia="宋体" w:cs="宋体"/>
          <w:b/>
          <w:color w:val="auto"/>
          <w:szCs w:val="21"/>
          <w:highlight w:val="none"/>
        </w:rPr>
        <w:t>或导致投标被拒绝</w:t>
      </w:r>
      <w:r>
        <w:rPr>
          <w:rFonts w:hint="eastAsia" w:ascii="宋体" w:hAnsi="宋体" w:eastAsia="宋体" w:cs="宋体"/>
          <w:b/>
          <w:color w:val="auto"/>
          <w:highlight w:val="none"/>
        </w:rPr>
        <w:t>，由供应商自行承担。</w:t>
      </w:r>
      <w:bookmarkStart w:id="190" w:name="_Hlk37865140"/>
    </w:p>
    <w:p>
      <w:pPr>
        <w:spacing w:line="320" w:lineRule="atLeast"/>
        <w:ind w:firstLine="314" w:firstLineChars="149"/>
        <w:rPr>
          <w:rFonts w:hint="default" w:eastAsia="宋体"/>
          <w:color w:val="auto"/>
          <w:lang w:val="en-US" w:eastAsia="zh-CN"/>
        </w:rPr>
      </w:pPr>
      <w:r>
        <w:rPr>
          <w:rFonts w:hint="eastAsia"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上述表格为格式，供应商根据需要可以进行扩展和补充。</w:t>
      </w:r>
    </w:p>
    <w:p>
      <w:pPr>
        <w:spacing w:line="320" w:lineRule="atLeast"/>
        <w:ind w:firstLine="314" w:firstLineChars="14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4、报价包含成本、利润、相关人员培训费用和设施设备的购买、制作、运输、包装、装卸、税金、风险以及所有伴随的一切费用；</w:t>
      </w:r>
    </w:p>
    <w:bookmarkEnd w:id="190"/>
    <w:p>
      <w:pPr>
        <w:spacing w:line="380" w:lineRule="exact"/>
        <w:ind w:firstLine="7350" w:firstLineChars="3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exact"/>
        <w:ind w:firstLine="3990" w:firstLineChars="1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投标供应商代表签字： </w:t>
      </w:r>
      <w:r>
        <w:rPr>
          <w:rFonts w:hint="eastAsia" w:ascii="宋体" w:hAnsi="宋体" w:eastAsia="宋体" w:cs="宋体"/>
          <w:color w:val="auto"/>
          <w:sz w:val="21"/>
          <w:szCs w:val="21"/>
          <w:highlight w:val="none"/>
          <w:u w:val="single"/>
        </w:rPr>
        <w:t xml:space="preserve">                       </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exact"/>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投标供应商（加盖公章）：</w:t>
      </w:r>
      <w:r>
        <w:rPr>
          <w:rFonts w:hint="eastAsia" w:ascii="宋体" w:hAnsi="宋体" w:eastAsia="宋体" w:cs="宋体"/>
          <w:color w:val="auto"/>
          <w:sz w:val="21"/>
          <w:szCs w:val="21"/>
          <w:highlight w:val="none"/>
          <w:u w:val="single"/>
        </w:rPr>
        <w:t xml:space="preserve">                     </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exact"/>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pStyle w:val="11"/>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Cs w:val="21"/>
          <w:highlight w:val="none"/>
        </w:rPr>
      </w:pPr>
    </w:p>
    <w:p>
      <w:pPr>
        <w:rPr>
          <w:rFonts w:hint="eastAsia" w:ascii="宋体" w:hAnsi="宋体" w:eastAsia="宋体" w:cs="宋体"/>
          <w:color w:val="auto"/>
          <w:highlight w:val="none"/>
        </w:rPr>
        <w:sectPr>
          <w:footerReference r:id="rId6" w:type="default"/>
          <w:pgSz w:w="11850" w:h="16783"/>
          <w:pgMar w:top="1440" w:right="1440" w:bottom="1440" w:left="1440" w:header="720" w:footer="720" w:gutter="0"/>
          <w:cols w:space="720" w:num="1"/>
          <w:docGrid w:linePitch="323" w:charSpace="0"/>
        </w:sectPr>
      </w:pPr>
    </w:p>
    <w:p>
      <w:pPr>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三、法定代表人身份证明书</w:t>
      </w:r>
    </w:p>
    <w:p>
      <w:pPr>
        <w:jc w:val="center"/>
        <w:rPr>
          <w:rFonts w:hint="eastAsia" w:ascii="宋体" w:hAnsi="宋体" w:eastAsia="宋体" w:cs="宋体"/>
          <w:b/>
          <w:bCs/>
          <w:color w:val="auto"/>
          <w:sz w:val="24"/>
          <w:szCs w:val="24"/>
          <w:highlight w:val="none"/>
        </w:rPr>
      </w:pPr>
    </w:p>
    <w:p>
      <w:pPr>
        <w:spacing w:line="480" w:lineRule="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lang w:val="en-US" w:eastAsia="zh-CN"/>
        </w:rPr>
        <w:t xml:space="preserve">                                                </w:t>
      </w:r>
    </w:p>
    <w:p>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企业类型：</w:t>
      </w:r>
      <w:r>
        <w:rPr>
          <w:rFonts w:hint="eastAsia" w:ascii="宋体" w:hAnsi="宋体" w:eastAsia="宋体" w:cs="宋体"/>
          <w:color w:val="auto"/>
          <w:sz w:val="21"/>
          <w:szCs w:val="21"/>
          <w:highlight w:val="none"/>
          <w:u w:val="single"/>
          <w:lang w:val="en-US" w:eastAsia="zh-CN"/>
        </w:rPr>
        <w:t xml:space="preserve">                                                </w:t>
      </w:r>
    </w:p>
    <w:p>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p>
    <w:p>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营业期限：</w:t>
      </w:r>
      <w:r>
        <w:rPr>
          <w:rFonts w:hint="eastAsia" w:ascii="宋体" w:hAnsi="宋体" w:eastAsia="宋体" w:cs="宋体"/>
          <w:color w:val="auto"/>
          <w:sz w:val="21"/>
          <w:szCs w:val="21"/>
          <w:highlight w:val="none"/>
          <w:u w:val="single"/>
          <w:lang w:val="en-US" w:eastAsia="zh-CN"/>
        </w:rPr>
        <w:t xml:space="preserve">                                                </w:t>
      </w:r>
    </w:p>
    <w:p>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r>
        <w:rPr>
          <w:rFonts w:hint="eastAsia" w:ascii="宋体" w:hAnsi="宋体" w:eastAsia="宋体" w:cs="宋体"/>
          <w:color w:val="auto"/>
          <w:sz w:val="21"/>
          <w:szCs w:val="21"/>
          <w:highlight w:val="none"/>
          <w:u w:val="single"/>
          <w:lang w:val="en-US" w:eastAsia="zh-CN"/>
        </w:rPr>
        <w:t xml:space="preserve">                                                </w:t>
      </w:r>
    </w:p>
    <w:p>
      <w:pPr>
        <w:spacing w:line="480" w:lineRule="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性别：</w:t>
      </w:r>
      <w:r>
        <w:rPr>
          <w:rFonts w:hint="eastAsia" w:ascii="宋体" w:hAnsi="宋体" w:eastAsia="宋体" w:cs="宋体"/>
          <w:color w:val="auto"/>
          <w:sz w:val="21"/>
          <w:szCs w:val="21"/>
          <w:highlight w:val="none"/>
          <w:u w:val="single"/>
          <w:lang w:val="en-US" w:eastAsia="zh-CN"/>
        </w:rPr>
        <w:t xml:space="preserve">                     </w:t>
      </w:r>
    </w:p>
    <w:p>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w:t>
      </w:r>
    </w:p>
    <w:p>
      <w:pPr>
        <w:spacing w:line="48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系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（投标人名称）的法定代表人。</w:t>
      </w:r>
    </w:p>
    <w:p>
      <w:pPr>
        <w:spacing w:line="48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2846705</wp:posOffset>
                </wp:positionH>
                <wp:positionV relativeFrom="paragraph">
                  <wp:posOffset>318770</wp:posOffset>
                </wp:positionV>
                <wp:extent cx="3162300" cy="1908810"/>
                <wp:effectExtent l="4445" t="4445" r="8255" b="1714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800000"/>
                        </a:ln>
                        <a:effectLst/>
                      </wps:spPr>
                      <wps:txbx>
                        <w:txbxContent>
                          <w:p/>
                          <w:p/>
                          <w:p/>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法人身份证复印件</w:t>
                            </w:r>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4.15pt;margin-top:25.1pt;height:150.3pt;width:249pt;z-index:251660288;mso-width-relative:page;mso-height-relative:page;" fillcolor="#FFFFFF" filled="t" stroked="t" coordsize="21600,21600" o:gfxdata="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hclx69oAAAAKAQAADwAAAAAA&#10;AAABACAAAAAiAAAAZHJzL2Rvd25yZXYueG1sUEsBAhQAFAAAAAgAh07iQHz1E1JKAgAAlgQAAA4A&#10;AAAAAAAAAQAgAAAAKQEAAGRycy9lMm9Eb2MueG1sUEsFBgAAAAAGAAYAWQEAAOUFAAAAAA==&#10;">
                <v:fill on="t" focussize="0,0"/>
                <v:stroke color="#000000" miterlimit="8" joinstyle="miter"/>
                <v:imagedata o:title=""/>
                <o:lock v:ext="edit" aspectratio="f"/>
                <v:textbox>
                  <w:txbxContent>
                    <w:p/>
                    <w:p/>
                    <w:p/>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法人身份证复印件</w:t>
                      </w:r>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（背面）</w:t>
                      </w:r>
                    </w:p>
                    <w:p/>
                    <w:p/>
                    <w:p/>
                    <w:p/>
                    <w:p/>
                    <w:p/>
                    <w:p>
                      <w:pPr>
                        <w:rPr>
                          <w:sz w:val="32"/>
                          <w:szCs w:val="32"/>
                        </w:rPr>
                      </w:pPr>
                    </w:p>
                  </w:txbxContent>
                </v:textbox>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-389255</wp:posOffset>
                </wp:positionH>
                <wp:positionV relativeFrom="paragraph">
                  <wp:posOffset>309880</wp:posOffset>
                </wp:positionV>
                <wp:extent cx="2971800" cy="1895475"/>
                <wp:effectExtent l="4445" t="4445" r="825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800000"/>
                        </a:ln>
                        <a:effectLst/>
                      </wps:spPr>
                      <wps:txbx>
                        <w:txbxContent>
                          <w:p/>
                          <w:p/>
                          <w:p/>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法人身份证复印件</w:t>
                            </w:r>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w:t>
                            </w:r>
                          </w:p>
                          <w:p/>
                          <w:p/>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65pt;margin-top:24.4pt;height:149.25pt;width:234pt;z-index:251659264;mso-width-relative:page;mso-height-relative:page;" fillcolor="#FFFFFF" filled="t" stroked="t" coordsize="21600,21600" o:gfxdata="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vZvL22QAAAAoBAAAPAAAAAAAA&#10;AAEAIAAAACIAAABkcnMvZG93bnJldi54bWxQSwECFAAUAAAACACHTuJA4/8L30oCAACWBAAADgAA&#10;AAAAAAABACAAAAAoAQAAZHJzL2Uyb0RvYy54bWxQSwUGAAAAAAYABgBZAQAA5AUAAAAA&#10;">
                <v:fill on="t" focussize="0,0"/>
                <v:stroke color="#000000" miterlimit="8" joinstyle="miter"/>
                <v:imagedata o:title=""/>
                <o:lock v:ext="edit" aspectratio="f"/>
                <v:textbox>
                  <w:txbxContent>
                    <w:p/>
                    <w:p/>
                    <w:p/>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法人身份证复印件</w:t>
                      </w:r>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w:t>
                      </w:r>
                    </w:p>
                    <w:p/>
                    <w:p/>
                    <w:p/>
                    <w:p/>
                    <w:p/>
                    <w:p/>
                    <w:p/>
                    <w:p/>
                    <w:p/>
                    <w:p>
                      <w:pPr>
                        <w:rPr>
                          <w:sz w:val="32"/>
                          <w:szCs w:val="32"/>
                        </w:rPr>
                      </w:pPr>
                    </w:p>
                  </w:txbxContent>
                </v:textbox>
              </v:shape>
            </w:pict>
          </mc:Fallback>
        </mc:AlternateContent>
      </w:r>
      <w:r>
        <w:rPr>
          <w:rFonts w:hint="eastAsia" w:ascii="宋体" w:hAnsi="宋体" w:eastAsia="宋体" w:cs="宋体"/>
          <w:bCs/>
          <w:color w:val="auto"/>
          <w:sz w:val="21"/>
          <w:szCs w:val="21"/>
          <w:highlight w:val="none"/>
        </w:rPr>
        <w:t>（附身份证正反面）</w:t>
      </w:r>
    </w:p>
    <w:p>
      <w:pPr>
        <w:spacing w:line="480" w:lineRule="auto"/>
        <w:rPr>
          <w:rFonts w:hint="eastAsia" w:ascii="宋体" w:hAnsi="宋体" w:eastAsia="宋体" w:cs="宋体"/>
          <w:bCs/>
          <w:color w:val="auto"/>
          <w:sz w:val="21"/>
          <w:szCs w:val="21"/>
          <w:highlight w:val="none"/>
        </w:rPr>
      </w:pPr>
    </w:p>
    <w:p>
      <w:pPr>
        <w:spacing w:line="480" w:lineRule="auto"/>
        <w:rPr>
          <w:rFonts w:hint="eastAsia" w:ascii="宋体" w:hAnsi="宋体" w:eastAsia="宋体" w:cs="宋体"/>
          <w:bCs/>
          <w:color w:val="auto"/>
          <w:sz w:val="21"/>
          <w:szCs w:val="21"/>
          <w:highlight w:val="none"/>
        </w:rPr>
      </w:pPr>
    </w:p>
    <w:p>
      <w:pPr>
        <w:spacing w:line="480" w:lineRule="auto"/>
        <w:rPr>
          <w:rFonts w:hint="eastAsia" w:ascii="宋体" w:hAnsi="宋体" w:eastAsia="宋体" w:cs="宋体"/>
          <w:bCs/>
          <w:color w:val="auto"/>
          <w:sz w:val="21"/>
          <w:szCs w:val="21"/>
          <w:highlight w:val="none"/>
        </w:rPr>
      </w:pPr>
    </w:p>
    <w:p>
      <w:pPr>
        <w:spacing w:line="480" w:lineRule="auto"/>
        <w:rPr>
          <w:rFonts w:hint="eastAsia" w:ascii="宋体" w:hAnsi="宋体" w:eastAsia="宋体" w:cs="宋体"/>
          <w:bCs/>
          <w:color w:val="auto"/>
          <w:sz w:val="21"/>
          <w:szCs w:val="21"/>
          <w:highlight w:val="none"/>
        </w:rPr>
      </w:pP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特此证明。</w:t>
      </w:r>
    </w:p>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spacing w:line="360" w:lineRule="exact"/>
        <w:ind w:firstLine="3990" w:firstLineChars="1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投标供应商代表签字： </w:t>
      </w:r>
      <w:r>
        <w:rPr>
          <w:rFonts w:hint="eastAsia" w:ascii="宋体" w:hAnsi="宋体" w:eastAsia="宋体" w:cs="宋体"/>
          <w:color w:val="auto"/>
          <w:sz w:val="21"/>
          <w:szCs w:val="21"/>
          <w:highlight w:val="none"/>
          <w:u w:val="single"/>
        </w:rPr>
        <w:t xml:space="preserve">                       </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exact"/>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投标供应商（加盖公章）：</w:t>
      </w:r>
      <w:r>
        <w:rPr>
          <w:rFonts w:hint="eastAsia" w:ascii="宋体" w:hAnsi="宋体" w:eastAsia="宋体" w:cs="宋体"/>
          <w:color w:val="auto"/>
          <w:sz w:val="21"/>
          <w:szCs w:val="21"/>
          <w:highlight w:val="none"/>
          <w:u w:val="single"/>
        </w:rPr>
        <w:t xml:space="preserve">                     </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exact"/>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期：          年      月      日  </w:t>
      </w:r>
    </w:p>
    <w:p>
      <w:pPr>
        <w:spacing w:line="48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4"/>
          <w:szCs w:val="32"/>
          <w:highlight w:val="none"/>
        </w:rPr>
        <w:br w:type="page"/>
      </w:r>
      <w:r>
        <w:rPr>
          <w:rFonts w:hint="eastAsia" w:ascii="宋体" w:hAnsi="宋体" w:eastAsia="宋体" w:cs="宋体"/>
          <w:b/>
          <w:bCs/>
          <w:color w:val="auto"/>
          <w:kern w:val="2"/>
          <w:sz w:val="28"/>
          <w:szCs w:val="28"/>
          <w:highlight w:val="none"/>
          <w:lang w:val="en-US" w:eastAsia="zh-CN" w:bidi="ar-SA"/>
        </w:rPr>
        <w:t>法定代表人授权委托书</w:t>
      </w:r>
    </w:p>
    <w:p>
      <w:pPr>
        <w:spacing w:line="480" w:lineRule="auto"/>
        <w:ind w:firstLine="396" w:firstLineChars="18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本授权委托书声明：我系</w:t>
      </w:r>
      <w:r>
        <w:rPr>
          <w:rFonts w:hint="eastAsia" w:ascii="宋体" w:hAnsi="宋体" w:eastAsia="宋体" w:cs="宋体"/>
          <w:bCs/>
          <w:color w:val="auto"/>
          <w:sz w:val="21"/>
          <w:szCs w:val="21"/>
          <w:highlight w:val="none"/>
          <w:u w:val="single"/>
        </w:rPr>
        <w:t xml:space="preserve">             （投标人全称）</w:t>
      </w:r>
      <w:r>
        <w:rPr>
          <w:rFonts w:hint="eastAsia" w:ascii="宋体" w:hAnsi="宋体" w:eastAsia="宋体" w:cs="宋体"/>
          <w:bCs/>
          <w:color w:val="auto"/>
          <w:sz w:val="21"/>
          <w:szCs w:val="21"/>
          <w:highlight w:val="none"/>
        </w:rPr>
        <w:t>的法定代表人，现授权委托为我公司的代理人，以本单位的名义参加</w:t>
      </w:r>
      <w:r>
        <w:rPr>
          <w:rFonts w:hint="eastAsia" w:ascii="宋体" w:hAnsi="宋体" w:eastAsia="宋体" w:cs="宋体"/>
          <w:bCs/>
          <w:color w:val="auto"/>
          <w:sz w:val="21"/>
          <w:szCs w:val="21"/>
          <w:highlight w:val="none"/>
          <w:u w:val="single"/>
        </w:rPr>
        <w:t xml:space="preserve">           （项目名称）  </w:t>
      </w:r>
      <w:r>
        <w:rPr>
          <w:rFonts w:hint="eastAsia" w:ascii="宋体" w:hAnsi="宋体" w:eastAsia="宋体" w:cs="宋体"/>
          <w:bCs/>
          <w:color w:val="auto"/>
          <w:sz w:val="21"/>
          <w:szCs w:val="21"/>
          <w:highlight w:val="none"/>
        </w:rPr>
        <w:t>招标工程的投标活动。代理人在参加整个招标投标活动、合同谈判过程中所签署的一切文件和处理与之相关的一切事物，我均予承认。</w:t>
      </w:r>
    </w:p>
    <w:p>
      <w:pPr>
        <w:spacing w:line="480" w:lineRule="auto"/>
        <w:ind w:firstLine="420" w:firstLineChars="200"/>
        <w:rPr>
          <w:rFonts w:hint="default"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rPr>
        <w:t>代理人：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性别：</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年龄：</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pPr>
        <w:spacing w:line="480" w:lineRule="auto"/>
        <w:ind w:firstLine="396" w:firstLineChars="189"/>
        <w:rPr>
          <w:rFonts w:hint="default"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rPr>
        <w:t>部  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职务：</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pPr>
        <w:spacing w:line="48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（附身份证正反面）</w:t>
      </w:r>
    </w:p>
    <w:p>
      <w:pPr>
        <w:pStyle w:val="13"/>
        <w:rPr>
          <w:rFonts w:hint="eastAsia" w:ascii="宋体" w:hAnsi="宋体" w:eastAsia="宋体" w:cs="宋体"/>
          <w:color w:val="auto"/>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2937510</wp:posOffset>
                </wp:positionH>
                <wp:positionV relativeFrom="paragraph">
                  <wp:posOffset>53340</wp:posOffset>
                </wp:positionV>
                <wp:extent cx="3039745" cy="1882775"/>
                <wp:effectExtent l="4445" t="4445" r="16510" b="508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800000"/>
                        </a:ln>
                        <a:effectLst/>
                      </wps:spPr>
                      <wps:txbx>
                        <w:txbxContent>
                          <w:p/>
                          <w:p/>
                          <w:p/>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代理人身份证复印件</w:t>
                            </w:r>
                          </w:p>
                          <w:p>
                            <w:pPr>
                              <w:spacing w:line="480" w:lineRule="auto"/>
                              <w:jc w:val="center"/>
                              <w:rPr>
                                <w:rFonts w:hint="eastAsia" w:ascii="仿宋" w:hAnsi="仿宋" w:eastAsia="仿宋" w:cs="Times New Roman"/>
                                <w:sz w:val="32"/>
                                <w:szCs w:val="32"/>
                              </w:rPr>
                            </w:pPr>
                            <w:r>
                              <w:rPr>
                                <w:rFonts w:hint="eastAsia" w:ascii="宋体" w:hAnsi="宋体" w:eastAsia="宋体" w:cs="宋体"/>
                                <w:color w:val="auto"/>
                                <w:sz w:val="21"/>
                                <w:szCs w:val="21"/>
                                <w:highlight w:val="none"/>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3pt;margin-top:4.2pt;height:148.25pt;width:239.35pt;z-index:251662336;mso-width-relative:page;mso-height-relative:page;" fillcolor="#FFFFFF" filled="t" stroked="t" coordsize="21600,21600" o:gfxdata="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2lwqfYAAAACQEAAA8AAAAAAAAAAQAg&#10;AAAAIgAAAGRycy9kb3ducmV2LnhtbFBLAQIUABQAAAAIAIdO4kC9lAa4RwIAAJYEAAAOAAAAAAAA&#10;AAEAIAAAACcBAABkcnMvZTJvRG9jLnhtbFBLBQYAAAAABgAGAFkBAADgBQAAAAA=&#10;">
                <v:fill on="t" focussize="0,0"/>
                <v:stroke color="#000000" miterlimit="8" joinstyle="miter"/>
                <v:imagedata o:title=""/>
                <o:lock v:ext="edit" aspectratio="f"/>
                <v:textbox>
                  <w:txbxContent>
                    <w:p/>
                    <w:p/>
                    <w:p/>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代理人身份证复印件</w:t>
                      </w:r>
                    </w:p>
                    <w:p>
                      <w:pPr>
                        <w:spacing w:line="480" w:lineRule="auto"/>
                        <w:jc w:val="center"/>
                        <w:rPr>
                          <w:rFonts w:hint="eastAsia" w:ascii="仿宋" w:hAnsi="仿宋" w:eastAsia="仿宋" w:cs="Times New Roman"/>
                          <w:sz w:val="32"/>
                          <w:szCs w:val="32"/>
                        </w:rPr>
                      </w:pPr>
                      <w:r>
                        <w:rPr>
                          <w:rFonts w:hint="eastAsia" w:ascii="宋体" w:hAnsi="宋体" w:eastAsia="宋体" w:cs="宋体"/>
                          <w:color w:val="auto"/>
                          <w:sz w:val="21"/>
                          <w:szCs w:val="21"/>
                          <w:highlight w:val="none"/>
                        </w:rPr>
                        <w:t>（背面）</w:t>
                      </w:r>
                    </w:p>
                    <w:p/>
                    <w:p/>
                    <w:p/>
                    <w:p/>
                    <w:p/>
                    <w:p/>
                    <w:p>
                      <w:pPr>
                        <w:rPr>
                          <w:sz w:val="32"/>
                          <w:szCs w:val="32"/>
                        </w:rPr>
                      </w:pPr>
                    </w:p>
                  </w:txbxContent>
                </v:textbox>
              </v:shape>
            </w:pict>
          </mc:Fallback>
        </mc:AlternateContent>
      </w:r>
      <w:r>
        <w:rPr>
          <w:rFonts w:hint="eastAsia" w:ascii="宋体" w:hAnsi="宋体" w:eastAsia="宋体" w:cs="宋体"/>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-329565</wp:posOffset>
                </wp:positionH>
                <wp:positionV relativeFrom="paragraph">
                  <wp:posOffset>54610</wp:posOffset>
                </wp:positionV>
                <wp:extent cx="3067050" cy="1868170"/>
                <wp:effectExtent l="4445" t="4445" r="14605" b="69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800000"/>
                        </a:ln>
                        <a:effectLst/>
                      </wps:spPr>
                      <wps:txbx>
                        <w:txbxContent>
                          <w:p/>
                          <w:p/>
                          <w:p/>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代理人身份证复印件</w:t>
                            </w:r>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w:t>
                            </w:r>
                          </w:p>
                          <w:p/>
                          <w:p/>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95pt;margin-top:4.3pt;height:147.1pt;width:241.5pt;z-index:251661312;mso-width-relative:page;mso-height-relative:page;" fillcolor="#FFFFFF" filled="t" stroked="t" coordsize="21600,21600" o:gfxdata="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VhZOM2QAAAAkBAAAPAAAAAAAA&#10;AAEAIAAAACIAAABkcnMvZG93bnJldi54bWxQSwECFAAUAAAACACHTuJAvMahykoCAACWBAAADgAA&#10;AAAAAAABACAAAAAoAQAAZHJzL2Uyb0RvYy54bWxQSwUGAAAAAAYABgBZAQAA5AUAAAAA&#10;">
                <v:fill on="t" focussize="0,0"/>
                <v:stroke color="#000000" miterlimit="8" joinstyle="miter"/>
                <v:imagedata o:title=""/>
                <o:lock v:ext="edit" aspectratio="f"/>
                <v:textbox>
                  <w:txbxContent>
                    <w:p/>
                    <w:p/>
                    <w:p/>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代理人身份证复印件</w:t>
                      </w:r>
                    </w:p>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w:t>
                      </w:r>
                    </w:p>
                    <w:p/>
                    <w:p/>
                    <w:p/>
                    <w:p/>
                    <w:p/>
                    <w:p/>
                    <w:p/>
                    <w:p/>
                    <w:p/>
                    <w:p>
                      <w:pPr>
                        <w:rPr>
                          <w:sz w:val="32"/>
                          <w:szCs w:val="32"/>
                        </w:rPr>
                      </w:pPr>
                    </w:p>
                  </w:txbxContent>
                </v:textbox>
              </v:shape>
            </w:pict>
          </mc:Fallback>
        </mc:AlternateContent>
      </w:r>
    </w:p>
    <w:p>
      <w:pPr>
        <w:spacing w:line="480" w:lineRule="auto"/>
        <w:rPr>
          <w:rFonts w:hint="eastAsia" w:ascii="宋体" w:hAnsi="宋体" w:eastAsia="宋体" w:cs="宋体"/>
          <w:bCs/>
          <w:color w:val="auto"/>
          <w:sz w:val="21"/>
          <w:szCs w:val="21"/>
          <w:highlight w:val="none"/>
        </w:rPr>
      </w:pPr>
    </w:p>
    <w:p>
      <w:pPr>
        <w:spacing w:line="480" w:lineRule="auto"/>
        <w:rPr>
          <w:rFonts w:hint="eastAsia" w:ascii="宋体" w:hAnsi="宋体" w:eastAsia="宋体" w:cs="宋体"/>
          <w:bCs/>
          <w:color w:val="auto"/>
          <w:sz w:val="21"/>
          <w:szCs w:val="21"/>
          <w:highlight w:val="none"/>
        </w:rPr>
      </w:pPr>
    </w:p>
    <w:p>
      <w:pPr>
        <w:spacing w:line="480" w:lineRule="auto"/>
        <w:rPr>
          <w:rFonts w:hint="eastAsia" w:ascii="宋体" w:hAnsi="宋体" w:eastAsia="宋体" w:cs="宋体"/>
          <w:bCs/>
          <w:color w:val="auto"/>
          <w:sz w:val="21"/>
          <w:szCs w:val="21"/>
          <w:highlight w:val="none"/>
        </w:rPr>
      </w:pPr>
    </w:p>
    <w:p>
      <w:pPr>
        <w:spacing w:line="480" w:lineRule="auto"/>
        <w:rPr>
          <w:rFonts w:hint="eastAsia" w:ascii="宋体" w:hAnsi="宋体" w:eastAsia="宋体" w:cs="宋体"/>
          <w:bCs/>
          <w:color w:val="auto"/>
          <w:sz w:val="21"/>
          <w:szCs w:val="21"/>
          <w:highlight w:val="none"/>
        </w:rPr>
      </w:pPr>
    </w:p>
    <w:p>
      <w:pPr>
        <w:spacing w:line="480" w:lineRule="auto"/>
        <w:rPr>
          <w:rFonts w:hint="eastAsia" w:ascii="宋体" w:hAnsi="宋体" w:eastAsia="宋体" w:cs="宋体"/>
          <w:bCs/>
          <w:color w:val="auto"/>
          <w:sz w:val="21"/>
          <w:szCs w:val="21"/>
          <w:highlight w:val="none"/>
        </w:rPr>
      </w:pPr>
    </w:p>
    <w:p>
      <w:pPr>
        <w:spacing w:line="480" w:lineRule="auto"/>
        <w:ind w:firstLine="420" w:firstLineChars="200"/>
        <w:rPr>
          <w:rFonts w:hint="eastAsia" w:ascii="宋体" w:hAnsi="宋体" w:eastAsia="宋体" w:cs="宋体"/>
          <w:color w:val="auto"/>
          <w:sz w:val="21"/>
          <w:szCs w:val="21"/>
          <w:highlight w:val="none"/>
        </w:rPr>
      </w:pPr>
    </w:p>
    <w:p>
      <w:pPr>
        <w:spacing w:line="360" w:lineRule="exact"/>
        <w:ind w:firstLine="3990" w:firstLineChars="1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投标供应商代表签字： </w:t>
      </w:r>
      <w:r>
        <w:rPr>
          <w:rFonts w:hint="eastAsia" w:ascii="宋体" w:hAnsi="宋体" w:eastAsia="宋体" w:cs="宋体"/>
          <w:color w:val="auto"/>
          <w:sz w:val="21"/>
          <w:szCs w:val="21"/>
          <w:highlight w:val="none"/>
          <w:u w:val="single"/>
        </w:rPr>
        <w:t xml:space="preserve">                       </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exact"/>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投标供应商（加盖公章）：</w:t>
      </w:r>
      <w:r>
        <w:rPr>
          <w:rFonts w:hint="eastAsia" w:ascii="宋体" w:hAnsi="宋体" w:eastAsia="宋体" w:cs="宋体"/>
          <w:color w:val="auto"/>
          <w:sz w:val="21"/>
          <w:szCs w:val="21"/>
          <w:highlight w:val="none"/>
          <w:u w:val="single"/>
        </w:rPr>
        <w:t xml:space="preserve">                     </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jc w:val="center"/>
        <w:rPr>
          <w:rFonts w:hint="eastAsia" w:ascii="宋体" w:hAnsi="宋体" w:eastAsia="宋体" w:cs="宋体"/>
          <w:color w:val="auto"/>
          <w:sz w:val="21"/>
          <w:szCs w:val="21"/>
          <w:highlight w:val="none"/>
        </w:rPr>
        <w:sectPr>
          <w:footerReference r:id="rId7" w:type="default"/>
          <w:pgSz w:w="11850" w:h="16783"/>
          <w:pgMar w:top="1440" w:right="1440" w:bottom="1440" w:left="1440" w:header="720" w:footer="720" w:gutter="0"/>
          <w:cols w:space="720" w:num="1"/>
          <w:docGrid w:linePitch="323" w:charSpace="0"/>
        </w:sect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期：      年      月      日  </w:t>
      </w:r>
    </w:p>
    <w:p>
      <w:pPr>
        <w:spacing w:line="480" w:lineRule="auto"/>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四、供应商概况</w:t>
      </w:r>
    </w:p>
    <w:p>
      <w:pPr>
        <w:pStyle w:val="3"/>
        <w:spacing w:line="360" w:lineRule="auto"/>
        <w:ind w:firstLine="480" w:firstLineChars="200"/>
        <w:rPr>
          <w:rFonts w:hAnsi="宋体" w:cs="Times New Roman"/>
          <w:color w:val="auto"/>
          <w:sz w:val="24"/>
          <w:szCs w:val="24"/>
        </w:rPr>
      </w:pPr>
      <w:r>
        <w:rPr>
          <w:rFonts w:hint="eastAsia" w:hAnsi="宋体" w:cs="Times New Roman"/>
          <w:color w:val="auto"/>
          <w:sz w:val="24"/>
          <w:szCs w:val="24"/>
        </w:rPr>
        <w:t>　供应商：</w:t>
      </w:r>
      <w:r>
        <w:rPr>
          <w:rFonts w:hAnsi="宋体" w:cs="Times New Roman"/>
          <w:color w:val="auto"/>
          <w:sz w:val="24"/>
          <w:szCs w:val="24"/>
        </w:rPr>
        <w:t>(</w:t>
      </w:r>
      <w:r>
        <w:rPr>
          <w:rFonts w:hint="eastAsia" w:hAnsi="宋体" w:cs="Times New Roman"/>
          <w:color w:val="auto"/>
          <w:sz w:val="24"/>
          <w:szCs w:val="24"/>
        </w:rPr>
        <w:t>公章</w:t>
      </w:r>
      <w:r>
        <w:rPr>
          <w:rFonts w:hAnsi="宋体" w:cs="Times New Roman"/>
          <w:color w:val="auto"/>
          <w:sz w:val="24"/>
          <w:szCs w:val="24"/>
        </w:rPr>
        <w:t>)</w:t>
      </w:r>
    </w:p>
    <w:tbl>
      <w:tblPr>
        <w:tblStyle w:val="36"/>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792"/>
        <w:gridCol w:w="2063"/>
        <w:gridCol w:w="240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51"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供应商名称</w:t>
            </w:r>
          </w:p>
        </w:tc>
        <w:tc>
          <w:tcPr>
            <w:tcW w:w="2855" w:type="dxa"/>
            <w:gridSpan w:val="2"/>
            <w:noWrap w:val="0"/>
            <w:vAlign w:val="center"/>
          </w:tcPr>
          <w:p>
            <w:pPr>
              <w:pStyle w:val="3"/>
              <w:spacing w:line="360" w:lineRule="auto"/>
              <w:jc w:val="center"/>
              <w:rPr>
                <w:rFonts w:hAnsi="宋体" w:cs="Times New Roman"/>
                <w:color w:val="auto"/>
                <w:sz w:val="21"/>
                <w:szCs w:val="21"/>
              </w:rPr>
            </w:pPr>
          </w:p>
        </w:tc>
        <w:tc>
          <w:tcPr>
            <w:tcW w:w="2405"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法定代表人</w:t>
            </w:r>
          </w:p>
        </w:tc>
        <w:tc>
          <w:tcPr>
            <w:tcW w:w="1706" w:type="dxa"/>
            <w:noWrap w:val="0"/>
            <w:vAlign w:val="center"/>
          </w:tcPr>
          <w:p>
            <w:pPr>
              <w:pStyle w:val="3"/>
              <w:spacing w:line="360" w:lineRule="auto"/>
              <w:jc w:val="center"/>
              <w:rPr>
                <w:rFonts w:hAnsi="宋体" w:cs="MingLiU_HKS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51"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统一社会信用代码</w:t>
            </w:r>
          </w:p>
        </w:tc>
        <w:tc>
          <w:tcPr>
            <w:tcW w:w="2855" w:type="dxa"/>
            <w:gridSpan w:val="2"/>
            <w:noWrap w:val="0"/>
            <w:vAlign w:val="center"/>
          </w:tcPr>
          <w:p>
            <w:pPr>
              <w:pStyle w:val="3"/>
              <w:spacing w:line="360" w:lineRule="auto"/>
              <w:jc w:val="center"/>
              <w:rPr>
                <w:rFonts w:hAnsi="宋体" w:cs="Times New Roman"/>
                <w:color w:val="auto"/>
                <w:sz w:val="21"/>
                <w:szCs w:val="21"/>
              </w:rPr>
            </w:pPr>
          </w:p>
        </w:tc>
        <w:tc>
          <w:tcPr>
            <w:tcW w:w="2405"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邮政编码</w:t>
            </w:r>
          </w:p>
        </w:tc>
        <w:tc>
          <w:tcPr>
            <w:tcW w:w="1706" w:type="dxa"/>
            <w:noWrap w:val="0"/>
            <w:vAlign w:val="center"/>
          </w:tcPr>
          <w:p>
            <w:pPr>
              <w:pStyle w:val="3"/>
              <w:spacing w:line="360" w:lineRule="auto"/>
              <w:jc w:val="center"/>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51"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授权代表</w:t>
            </w:r>
          </w:p>
        </w:tc>
        <w:tc>
          <w:tcPr>
            <w:tcW w:w="2855" w:type="dxa"/>
            <w:gridSpan w:val="2"/>
            <w:noWrap w:val="0"/>
            <w:vAlign w:val="center"/>
          </w:tcPr>
          <w:p>
            <w:pPr>
              <w:pStyle w:val="3"/>
              <w:spacing w:line="360" w:lineRule="auto"/>
              <w:jc w:val="center"/>
              <w:rPr>
                <w:rFonts w:hAnsi="宋体" w:cs="Times New Roman"/>
                <w:color w:val="auto"/>
                <w:sz w:val="21"/>
                <w:szCs w:val="21"/>
              </w:rPr>
            </w:pPr>
          </w:p>
        </w:tc>
        <w:tc>
          <w:tcPr>
            <w:tcW w:w="2405"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联系电话</w:t>
            </w:r>
          </w:p>
        </w:tc>
        <w:tc>
          <w:tcPr>
            <w:tcW w:w="1706" w:type="dxa"/>
            <w:noWrap w:val="0"/>
            <w:vAlign w:val="center"/>
          </w:tcPr>
          <w:p>
            <w:pPr>
              <w:pStyle w:val="3"/>
              <w:spacing w:line="360" w:lineRule="auto"/>
              <w:jc w:val="center"/>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51"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电子邮箱</w:t>
            </w:r>
          </w:p>
        </w:tc>
        <w:tc>
          <w:tcPr>
            <w:tcW w:w="2855" w:type="dxa"/>
            <w:gridSpan w:val="2"/>
            <w:noWrap w:val="0"/>
            <w:vAlign w:val="center"/>
          </w:tcPr>
          <w:p>
            <w:pPr>
              <w:pStyle w:val="3"/>
              <w:spacing w:line="360" w:lineRule="auto"/>
              <w:jc w:val="center"/>
              <w:rPr>
                <w:rFonts w:hAnsi="宋体" w:cs="Times New Roman"/>
                <w:color w:val="auto"/>
                <w:sz w:val="21"/>
                <w:szCs w:val="21"/>
              </w:rPr>
            </w:pPr>
          </w:p>
        </w:tc>
        <w:tc>
          <w:tcPr>
            <w:tcW w:w="2405"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传真</w:t>
            </w:r>
          </w:p>
        </w:tc>
        <w:tc>
          <w:tcPr>
            <w:tcW w:w="1706" w:type="dxa"/>
            <w:noWrap w:val="0"/>
            <w:vAlign w:val="center"/>
          </w:tcPr>
          <w:p>
            <w:pPr>
              <w:pStyle w:val="3"/>
              <w:spacing w:line="360" w:lineRule="auto"/>
              <w:jc w:val="center"/>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51"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上年营业收入</w:t>
            </w:r>
          </w:p>
        </w:tc>
        <w:tc>
          <w:tcPr>
            <w:tcW w:w="2855" w:type="dxa"/>
            <w:gridSpan w:val="2"/>
            <w:noWrap w:val="0"/>
            <w:vAlign w:val="center"/>
          </w:tcPr>
          <w:p>
            <w:pPr>
              <w:pStyle w:val="3"/>
              <w:spacing w:line="360" w:lineRule="auto"/>
              <w:jc w:val="center"/>
              <w:rPr>
                <w:rFonts w:hAnsi="宋体" w:cs="Times New Roman"/>
                <w:color w:val="auto"/>
                <w:sz w:val="21"/>
                <w:szCs w:val="21"/>
              </w:rPr>
            </w:pPr>
          </w:p>
        </w:tc>
        <w:tc>
          <w:tcPr>
            <w:tcW w:w="2405"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员工总人数</w:t>
            </w:r>
          </w:p>
        </w:tc>
        <w:tc>
          <w:tcPr>
            <w:tcW w:w="1706" w:type="dxa"/>
            <w:noWrap w:val="0"/>
            <w:vAlign w:val="center"/>
          </w:tcPr>
          <w:p>
            <w:pPr>
              <w:pStyle w:val="3"/>
              <w:spacing w:line="360" w:lineRule="auto"/>
              <w:jc w:val="center"/>
              <w:rPr>
                <w:rFonts w:hAnsi="宋体" w:cs="MingLiU_HKS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443" w:type="dxa"/>
            <w:gridSpan w:val="2"/>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基本账户开户行及账号</w:t>
            </w:r>
          </w:p>
        </w:tc>
        <w:tc>
          <w:tcPr>
            <w:tcW w:w="6174" w:type="dxa"/>
            <w:gridSpan w:val="3"/>
            <w:noWrap w:val="0"/>
            <w:vAlign w:val="center"/>
          </w:tcPr>
          <w:p>
            <w:pPr>
              <w:pStyle w:val="3"/>
              <w:spacing w:line="360" w:lineRule="auto"/>
              <w:jc w:val="center"/>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443" w:type="dxa"/>
            <w:gridSpan w:val="2"/>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税务登记机关</w:t>
            </w:r>
          </w:p>
        </w:tc>
        <w:tc>
          <w:tcPr>
            <w:tcW w:w="6174" w:type="dxa"/>
            <w:gridSpan w:val="3"/>
            <w:noWrap w:val="0"/>
            <w:vAlign w:val="center"/>
          </w:tcPr>
          <w:p>
            <w:pPr>
              <w:pStyle w:val="3"/>
              <w:spacing w:line="360" w:lineRule="auto"/>
              <w:jc w:val="center"/>
              <w:rPr>
                <w:rFonts w:hAnsi="宋体" w:cs="MingLiU_HKS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443" w:type="dxa"/>
            <w:gridSpan w:val="2"/>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资质名称（如有）</w:t>
            </w:r>
          </w:p>
        </w:tc>
        <w:tc>
          <w:tcPr>
            <w:tcW w:w="2063"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等级</w:t>
            </w:r>
          </w:p>
        </w:tc>
        <w:tc>
          <w:tcPr>
            <w:tcW w:w="2405"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发证机关</w:t>
            </w:r>
          </w:p>
        </w:tc>
        <w:tc>
          <w:tcPr>
            <w:tcW w:w="1706"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443" w:type="dxa"/>
            <w:gridSpan w:val="2"/>
            <w:noWrap w:val="0"/>
            <w:vAlign w:val="center"/>
          </w:tcPr>
          <w:p>
            <w:pPr>
              <w:pStyle w:val="3"/>
              <w:spacing w:line="360" w:lineRule="auto"/>
              <w:jc w:val="center"/>
              <w:rPr>
                <w:rFonts w:hAnsi="宋体" w:cs="Times New Roman"/>
                <w:color w:val="auto"/>
                <w:sz w:val="21"/>
                <w:szCs w:val="21"/>
              </w:rPr>
            </w:pPr>
          </w:p>
        </w:tc>
        <w:tc>
          <w:tcPr>
            <w:tcW w:w="2063" w:type="dxa"/>
            <w:noWrap w:val="0"/>
            <w:vAlign w:val="center"/>
          </w:tcPr>
          <w:p>
            <w:pPr>
              <w:pStyle w:val="3"/>
              <w:spacing w:line="360" w:lineRule="auto"/>
              <w:jc w:val="center"/>
              <w:rPr>
                <w:rFonts w:hAnsi="宋体" w:cs="Times New Roman"/>
                <w:color w:val="auto"/>
                <w:sz w:val="21"/>
                <w:szCs w:val="21"/>
              </w:rPr>
            </w:pPr>
          </w:p>
        </w:tc>
        <w:tc>
          <w:tcPr>
            <w:tcW w:w="2405" w:type="dxa"/>
            <w:noWrap w:val="0"/>
            <w:vAlign w:val="center"/>
          </w:tcPr>
          <w:p>
            <w:pPr>
              <w:pStyle w:val="3"/>
              <w:spacing w:line="360" w:lineRule="auto"/>
              <w:jc w:val="center"/>
              <w:rPr>
                <w:rFonts w:hAnsi="宋体" w:cs="Times New Roman"/>
                <w:color w:val="auto"/>
                <w:sz w:val="21"/>
                <w:szCs w:val="21"/>
              </w:rPr>
            </w:pPr>
          </w:p>
        </w:tc>
        <w:tc>
          <w:tcPr>
            <w:tcW w:w="1706" w:type="dxa"/>
            <w:noWrap w:val="0"/>
            <w:vAlign w:val="center"/>
          </w:tcPr>
          <w:p>
            <w:pPr>
              <w:pStyle w:val="3"/>
              <w:spacing w:line="360" w:lineRule="auto"/>
              <w:jc w:val="center"/>
              <w:rPr>
                <w:rFonts w:hAnsi="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443" w:type="dxa"/>
            <w:gridSpan w:val="2"/>
            <w:noWrap w:val="0"/>
            <w:vAlign w:val="center"/>
          </w:tcPr>
          <w:p>
            <w:pPr>
              <w:pStyle w:val="3"/>
              <w:spacing w:line="360" w:lineRule="auto"/>
              <w:jc w:val="center"/>
              <w:rPr>
                <w:rFonts w:hAnsi="宋体" w:cs="Times New Roman"/>
                <w:color w:val="auto"/>
                <w:sz w:val="21"/>
                <w:szCs w:val="21"/>
              </w:rPr>
            </w:pPr>
          </w:p>
        </w:tc>
        <w:tc>
          <w:tcPr>
            <w:tcW w:w="2063" w:type="dxa"/>
            <w:noWrap w:val="0"/>
            <w:vAlign w:val="center"/>
          </w:tcPr>
          <w:p>
            <w:pPr>
              <w:pStyle w:val="3"/>
              <w:spacing w:line="360" w:lineRule="auto"/>
              <w:jc w:val="center"/>
              <w:rPr>
                <w:rFonts w:hAnsi="宋体" w:cs="Times New Roman"/>
                <w:color w:val="auto"/>
                <w:sz w:val="21"/>
                <w:szCs w:val="21"/>
              </w:rPr>
            </w:pPr>
          </w:p>
        </w:tc>
        <w:tc>
          <w:tcPr>
            <w:tcW w:w="2405" w:type="dxa"/>
            <w:noWrap w:val="0"/>
            <w:vAlign w:val="center"/>
          </w:tcPr>
          <w:p>
            <w:pPr>
              <w:pStyle w:val="3"/>
              <w:spacing w:line="360" w:lineRule="auto"/>
              <w:jc w:val="center"/>
              <w:rPr>
                <w:rFonts w:hAnsi="宋体" w:cs="Times New Roman"/>
                <w:color w:val="auto"/>
                <w:sz w:val="21"/>
                <w:szCs w:val="21"/>
              </w:rPr>
            </w:pPr>
          </w:p>
        </w:tc>
        <w:tc>
          <w:tcPr>
            <w:tcW w:w="1706" w:type="dxa"/>
            <w:noWrap w:val="0"/>
            <w:vAlign w:val="center"/>
          </w:tcPr>
          <w:p>
            <w:pPr>
              <w:pStyle w:val="3"/>
              <w:spacing w:line="360" w:lineRule="auto"/>
              <w:jc w:val="center"/>
              <w:rPr>
                <w:rFonts w:hAnsi="宋体" w:cs="MingLiU_HKS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51" w:type="dxa"/>
            <w:noWrap w:val="0"/>
            <w:vAlign w:val="center"/>
          </w:tcPr>
          <w:p>
            <w:pPr>
              <w:pStyle w:val="3"/>
              <w:spacing w:line="360" w:lineRule="auto"/>
              <w:jc w:val="center"/>
              <w:rPr>
                <w:rFonts w:hAnsi="宋体" w:cs="Times New Roman"/>
                <w:color w:val="auto"/>
                <w:sz w:val="21"/>
                <w:szCs w:val="21"/>
              </w:rPr>
            </w:pPr>
            <w:r>
              <w:rPr>
                <w:rFonts w:hint="eastAsia" w:hAnsi="宋体" w:cs="Times New Roman"/>
                <w:color w:val="auto"/>
                <w:sz w:val="21"/>
                <w:szCs w:val="21"/>
              </w:rPr>
              <w:t>备注</w:t>
            </w:r>
          </w:p>
        </w:tc>
        <w:tc>
          <w:tcPr>
            <w:tcW w:w="6966" w:type="dxa"/>
            <w:gridSpan w:val="4"/>
            <w:noWrap w:val="0"/>
            <w:vAlign w:val="center"/>
          </w:tcPr>
          <w:p>
            <w:pPr>
              <w:pStyle w:val="3"/>
              <w:spacing w:line="360" w:lineRule="auto"/>
              <w:jc w:val="center"/>
              <w:rPr>
                <w:rFonts w:hAnsi="宋体" w:cs="Times New Roman"/>
                <w:color w:val="auto"/>
                <w:sz w:val="21"/>
                <w:szCs w:val="21"/>
              </w:rPr>
            </w:pPr>
          </w:p>
        </w:tc>
      </w:tr>
    </w:tbl>
    <w:p>
      <w:pPr>
        <w:spacing w:line="360" w:lineRule="auto"/>
        <w:ind w:firstLine="280"/>
        <w:rPr>
          <w:rFonts w:hint="eastAsia" w:ascii="宋体" w:hAnsi="宋体" w:eastAsia="宋体" w:cs="宋体"/>
          <w:color w:val="auto"/>
          <w:sz w:val="21"/>
          <w:szCs w:val="21"/>
          <w:highlight w:val="none"/>
        </w:rPr>
      </w:pPr>
    </w:p>
    <w:p>
      <w:pPr>
        <w:spacing w:line="360" w:lineRule="auto"/>
        <w:ind w:firstLine="28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我们保证上述声明中的资料和数据是真实的、正确的，我们同意如贵方要求，可以出示相关证明文件。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lang w:val="en-US" w:eastAsia="zh-CN"/>
        </w:rPr>
        <w:t>注：</w:t>
      </w:r>
      <w:r>
        <w:rPr>
          <w:rFonts w:hint="eastAsia" w:ascii="宋体" w:hAnsi="宋体" w:eastAsia="宋体" w:cs="宋体"/>
          <w:b/>
          <w:bCs/>
          <w:color w:val="auto"/>
          <w:spacing w:val="-6"/>
          <w:sz w:val="24"/>
          <w:szCs w:val="24"/>
          <w:highlight w:val="none"/>
        </w:rPr>
        <w:t>附相关证明材料</w:t>
      </w:r>
      <w:r>
        <w:rPr>
          <w:rFonts w:hint="eastAsia" w:ascii="宋体" w:hAnsi="宋体" w:eastAsia="宋体" w:cs="宋体"/>
          <w:b/>
          <w:bCs/>
          <w:color w:val="auto"/>
          <w:spacing w:val="-6"/>
          <w:sz w:val="24"/>
          <w:szCs w:val="24"/>
          <w:highlight w:val="none"/>
          <w:lang w:eastAsia="zh-CN"/>
        </w:rPr>
        <w:t>、</w:t>
      </w:r>
      <w:r>
        <w:rPr>
          <w:rFonts w:hint="eastAsia" w:ascii="宋体" w:hAnsi="宋体" w:eastAsia="宋体" w:cs="宋体"/>
          <w:b/>
          <w:bCs/>
          <w:color w:val="auto"/>
          <w:spacing w:val="-6"/>
          <w:sz w:val="24"/>
          <w:szCs w:val="24"/>
          <w:highlight w:val="none"/>
          <w:lang w:val="en-US" w:eastAsia="zh-CN"/>
        </w:rPr>
        <w:t>拟投入设施设备清单等相关材料。</w:t>
      </w:r>
    </w:p>
    <w:p>
      <w:pPr>
        <w:spacing w:line="360" w:lineRule="exact"/>
        <w:ind w:firstLine="4560" w:firstLineChars="19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投标供应商代表签字： </w:t>
      </w:r>
      <w:r>
        <w:rPr>
          <w:rFonts w:hint="eastAsia" w:ascii="宋体" w:hAnsi="宋体" w:eastAsia="宋体" w:cs="宋体"/>
          <w:color w:val="auto"/>
          <w:sz w:val="24"/>
          <w:szCs w:val="24"/>
          <w:highlight w:val="none"/>
          <w:u w:val="single"/>
        </w:rPr>
        <w:t xml:space="preserve">                       </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exact"/>
        <w:ind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投标供应商（加盖公章）：</w:t>
      </w:r>
      <w:r>
        <w:rPr>
          <w:rFonts w:hint="eastAsia" w:ascii="宋体" w:hAnsi="宋体" w:eastAsia="宋体" w:cs="宋体"/>
          <w:color w:val="auto"/>
          <w:sz w:val="24"/>
          <w:szCs w:val="24"/>
          <w:highlight w:val="none"/>
          <w:u w:val="single"/>
        </w:rPr>
        <w:t xml:space="preserve">                     </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right="105" w:right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          年      月      日</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pacing w:line="480" w:lineRule="auto"/>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五、人员配备方案</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095"/>
        <w:gridCol w:w="1093"/>
        <w:gridCol w:w="1094"/>
        <w:gridCol w:w="1093"/>
        <w:gridCol w:w="1094"/>
        <w:gridCol w:w="1617"/>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r>
              <w:rPr>
                <w:rFonts w:hint="eastAsia" w:ascii="宋体" w:hAnsi="宋体" w:cs="宋体"/>
                <w:color w:val="auto"/>
                <w:szCs w:val="21"/>
              </w:rPr>
              <w:t>序号</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r>
              <w:rPr>
                <w:rFonts w:hint="eastAsia" w:ascii="宋体" w:hAnsi="宋体" w:cs="宋体"/>
                <w:color w:val="auto"/>
                <w:szCs w:val="21"/>
              </w:rPr>
              <w:t>姓名</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r>
              <w:rPr>
                <w:rFonts w:hint="eastAsia" w:ascii="宋体" w:hAnsi="宋体" w:cs="宋体"/>
                <w:color w:val="auto"/>
                <w:szCs w:val="21"/>
              </w:rPr>
              <w:t>职称（或学历）</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r>
              <w:rPr>
                <w:rFonts w:hint="eastAsia" w:ascii="宋体" w:hAnsi="宋体" w:cs="宋体"/>
                <w:color w:val="auto"/>
                <w:szCs w:val="21"/>
              </w:rPr>
              <w:t>证书名称</w:t>
            </w:r>
          </w:p>
        </w:tc>
        <w:tc>
          <w:tcPr>
            <w:tcW w:w="10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r>
              <w:rPr>
                <w:rFonts w:hint="eastAsia" w:ascii="宋体" w:hAnsi="宋体" w:cs="宋体"/>
                <w:color w:val="auto"/>
                <w:szCs w:val="21"/>
              </w:rPr>
              <w:t>证号</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r>
              <w:rPr>
                <w:rFonts w:hint="eastAsia" w:ascii="宋体" w:hAnsi="宋体" w:cs="宋体"/>
                <w:color w:val="auto"/>
                <w:szCs w:val="21"/>
              </w:rPr>
              <w:t>专业</w:t>
            </w:r>
          </w:p>
        </w:tc>
        <w:tc>
          <w:tcPr>
            <w:tcW w:w="161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color w:val="auto"/>
                <w:szCs w:val="21"/>
              </w:rPr>
            </w:pPr>
            <w:r>
              <w:rPr>
                <w:rFonts w:hint="eastAsia" w:ascii="宋体" w:hAnsi="宋体" w:cs="宋体"/>
                <w:color w:val="auto"/>
                <w:szCs w:val="21"/>
              </w:rPr>
              <w:t>拟在本项目中担任工作</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ascii="宋体" w:hAnsi="宋体" w:cs="宋体"/>
                <w:color w:val="auto"/>
                <w:kern w:val="0"/>
                <w:szCs w:val="21"/>
              </w:rPr>
            </w:pP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Cs w:val="21"/>
              </w:rPr>
            </w:pPr>
          </w:p>
        </w:tc>
      </w:tr>
    </w:tbl>
    <w:p>
      <w:pPr>
        <w:spacing w:line="320" w:lineRule="atLeast"/>
        <w:rPr>
          <w:rFonts w:ascii="宋体" w:hAnsi="宋体" w:cs="宋体"/>
          <w:color w:val="auto"/>
        </w:rPr>
      </w:pPr>
      <w:r>
        <w:rPr>
          <w:rFonts w:hint="eastAsia" w:ascii="宋体" w:hAnsi="宋体" w:cs="宋体"/>
          <w:color w:val="auto"/>
        </w:rPr>
        <w:t>注：项目管理人员配备应满足以下要求：</w:t>
      </w:r>
    </w:p>
    <w:p>
      <w:pPr>
        <w:spacing w:line="320" w:lineRule="atLeast"/>
        <w:rPr>
          <w:rFonts w:ascii="宋体" w:hAnsi="宋体" w:cs="宋体"/>
          <w:color w:val="auto"/>
        </w:rPr>
      </w:pPr>
      <w:r>
        <w:rPr>
          <w:rFonts w:hint="eastAsia" w:ascii="宋体" w:hAnsi="宋体" w:cs="宋体"/>
          <w:color w:val="auto"/>
        </w:rPr>
        <w:t>1）本项目一旦我单位中标，将配备上述主要管理人员、技术人员（包括项目负责人、主要参与人等），资格符合招标文件规定。上述填报内容真实，如不真实，将按照有关规定接受处罚。</w:t>
      </w:r>
    </w:p>
    <w:p>
      <w:pPr>
        <w:spacing w:line="320" w:lineRule="atLeast"/>
        <w:rPr>
          <w:rFonts w:ascii="宋体" w:hAnsi="宋体" w:cs="宋体"/>
          <w:color w:val="auto"/>
        </w:rPr>
      </w:pPr>
      <w:r>
        <w:rPr>
          <w:rFonts w:hint="eastAsia" w:ascii="宋体" w:hAnsi="宋体" w:cs="宋体"/>
          <w:color w:val="auto"/>
        </w:rPr>
        <w:t>2）表中的项目负责人应附身份证、职称证（或学历证）复印件；其他主要人员应附职称证（或学历证）复印件。</w:t>
      </w:r>
    </w:p>
    <w:p>
      <w:pPr>
        <w:pStyle w:val="34"/>
        <w:rPr>
          <w:rFonts w:hint="eastAsia" w:ascii="宋体" w:hAnsi="宋体" w:eastAsia="宋体" w:cs="宋体"/>
          <w:color w:val="auto"/>
          <w:highlight w:val="none"/>
          <w:lang w:val="en-US" w:eastAsia="zh-CN"/>
        </w:rPr>
      </w:pPr>
      <w:r>
        <w:rPr>
          <w:rFonts w:hint="eastAsia" w:ascii="宋体" w:hAnsi="宋体" w:cs="宋体"/>
          <w:color w:val="auto"/>
        </w:rPr>
        <w:t>3）上述附表应标明序号，如表格栏不够时，投标人可根据需要进行扩展、补充添加并标明序号。</w:t>
      </w:r>
    </w:p>
    <w:p>
      <w:pPr>
        <w:pStyle w:val="34"/>
        <w:ind w:left="0" w:leftChars="0" w:firstLine="0" w:firstLineChars="0"/>
        <w:rPr>
          <w:rFonts w:hint="eastAsia" w:ascii="宋体" w:hAnsi="宋体" w:eastAsia="宋体" w:cs="宋体"/>
          <w:b/>
          <w:bCs/>
          <w:color w:val="auto"/>
          <w:sz w:val="24"/>
          <w:szCs w:val="24"/>
          <w:highlight w:val="none"/>
          <w:lang w:val="en-US" w:eastAsia="zh-CN"/>
        </w:rPr>
      </w:pPr>
    </w:p>
    <w:p>
      <w:pPr>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rPr>
        <w:br w:type="page"/>
      </w:r>
    </w:p>
    <w:p>
      <w:pPr>
        <w:pStyle w:val="34"/>
        <w:jc w:val="center"/>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六、投标保证金凭证</w:t>
      </w:r>
    </w:p>
    <w:p>
      <w:pPr>
        <w:jc w:val="center"/>
        <w:rPr>
          <w:rFonts w:ascii="宋体" w:hAnsi="宋体" w:cs="宋体"/>
          <w:b/>
          <w:bCs/>
          <w:color w:val="auto"/>
          <w:sz w:val="28"/>
          <w:szCs w:val="28"/>
        </w:rPr>
      </w:pPr>
    </w:p>
    <w:p>
      <w:pPr>
        <w:widowControl/>
        <w:shd w:val="clear" w:color="auto" w:fill="FFFFFF"/>
        <w:snapToGrid w:val="0"/>
        <w:spacing w:line="360" w:lineRule="auto"/>
        <w:jc w:val="left"/>
        <w:rPr>
          <w:rFonts w:ascii="宋体" w:hAnsi="宋体" w:cs="宋体"/>
          <w:color w:val="auto"/>
          <w:kern w:val="0"/>
          <w:sz w:val="24"/>
          <w:szCs w:val="21"/>
          <w:u w:val="single"/>
        </w:rPr>
      </w:pPr>
    </w:p>
    <w:p>
      <w:pPr>
        <w:widowControl/>
        <w:shd w:val="clear" w:color="auto" w:fill="FFFFFF"/>
        <w:snapToGrid w:val="0"/>
        <w:spacing w:line="400" w:lineRule="exact"/>
        <w:jc w:val="left"/>
        <w:rPr>
          <w:rFonts w:ascii="宋体" w:hAnsi="宋体" w:cs="宋体"/>
          <w:color w:val="auto"/>
          <w:kern w:val="0"/>
          <w:szCs w:val="21"/>
        </w:rPr>
      </w:pPr>
      <w:r>
        <w:rPr>
          <w:rFonts w:hint="eastAsia" w:ascii="宋体" w:hAnsi="宋体" w:cs="宋体"/>
          <w:color w:val="auto"/>
          <w:kern w:val="0"/>
          <w:szCs w:val="21"/>
        </w:rPr>
        <w:t>致：</w:t>
      </w:r>
      <w:r>
        <w:rPr>
          <w:rFonts w:hint="eastAsia" w:ascii="宋体" w:hAnsi="宋体" w:cs="宋体"/>
          <w:color w:val="auto"/>
          <w:kern w:val="0"/>
          <w:szCs w:val="21"/>
          <w:u w:val="single"/>
        </w:rPr>
        <w:t xml:space="preserve">       （采购方名称）        .</w:t>
      </w:r>
    </w:p>
    <w:p>
      <w:pPr>
        <w:widowControl/>
        <w:shd w:val="clear" w:color="auto" w:fill="FFFFFF"/>
        <w:snapToGrid w:val="0"/>
        <w:spacing w:line="400" w:lineRule="exact"/>
        <w:ind w:firstLine="420" w:firstLineChars="200"/>
        <w:jc w:val="left"/>
        <w:rPr>
          <w:rFonts w:ascii="宋体" w:hAnsi="宋体" w:cs="宋体"/>
          <w:color w:val="auto"/>
          <w:kern w:val="0"/>
          <w:szCs w:val="21"/>
        </w:rPr>
      </w:pPr>
    </w:p>
    <w:p>
      <w:pPr>
        <w:widowControl/>
        <w:shd w:val="clear" w:color="auto" w:fill="FFFFFF"/>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鉴于</w:t>
      </w:r>
      <w:r>
        <w:rPr>
          <w:rFonts w:hint="eastAsia" w:ascii="宋体" w:hAnsi="宋体" w:cs="宋体"/>
          <w:color w:val="auto"/>
          <w:kern w:val="0"/>
          <w:szCs w:val="21"/>
          <w:u w:val="single"/>
        </w:rPr>
        <w:t xml:space="preserve">       （投标人名称）       </w:t>
      </w:r>
      <w:r>
        <w:rPr>
          <w:rFonts w:hint="eastAsia" w:ascii="宋体" w:hAnsi="宋体" w:cs="宋体"/>
          <w:color w:val="auto"/>
          <w:kern w:val="0"/>
          <w:szCs w:val="21"/>
        </w:rPr>
        <w:t>（以下称“我方”）于</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日参加</w:t>
      </w:r>
      <w:r>
        <w:rPr>
          <w:rFonts w:hint="eastAsia" w:ascii="宋体" w:hAnsi="宋体" w:cs="宋体"/>
          <w:color w:val="auto"/>
          <w:kern w:val="0"/>
          <w:szCs w:val="21"/>
          <w:u w:val="single"/>
        </w:rPr>
        <w:t xml:space="preserve">         （项目名称、项目编号）        </w:t>
      </w:r>
      <w:r>
        <w:rPr>
          <w:rFonts w:hint="eastAsia" w:ascii="宋体" w:hAnsi="宋体" w:cs="宋体"/>
          <w:color w:val="auto"/>
          <w:kern w:val="0"/>
          <w:szCs w:val="21"/>
        </w:rPr>
        <w:t>的投标，已按投标人须知前附表规定的形式和金额提交了投标保证金，我方无条件地、不可撤销地保证：在招标文件规定的有效期内撤销或修改其投标文件的，或者我方在收到成交通知书后无正当理由拒签合同或拒交规定履约担保的</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如需提供履约保证金</w:t>
      </w:r>
      <w:r>
        <w:rPr>
          <w:rFonts w:hint="eastAsia" w:ascii="宋体" w:hAnsi="宋体" w:cs="宋体"/>
          <w:color w:val="auto"/>
          <w:kern w:val="0"/>
          <w:szCs w:val="21"/>
          <w:lang w:eastAsia="zh-CN"/>
        </w:rPr>
        <w:t>）</w:t>
      </w:r>
      <w:r>
        <w:rPr>
          <w:rFonts w:hint="eastAsia" w:ascii="宋体" w:hAnsi="宋体" w:cs="宋体"/>
          <w:color w:val="auto"/>
          <w:kern w:val="0"/>
          <w:szCs w:val="21"/>
        </w:rPr>
        <w:t>，我方承担保证责任。在收到你方书面通知后，我方无条件同意你方没收我方已提交的投标保证金人民币（大写）</w:t>
      </w:r>
      <w:r>
        <w:rPr>
          <w:rFonts w:hint="eastAsia" w:ascii="宋体" w:hAnsi="宋体" w:cs="宋体"/>
          <w:color w:val="auto"/>
          <w:kern w:val="0"/>
          <w:szCs w:val="21"/>
          <w:u w:val="single"/>
        </w:rPr>
        <w:t xml:space="preserve">             </w:t>
      </w:r>
      <w:r>
        <w:rPr>
          <w:rFonts w:hint="eastAsia" w:ascii="宋体" w:hAnsi="宋体" w:cs="宋体"/>
          <w:color w:val="auto"/>
          <w:kern w:val="0"/>
          <w:szCs w:val="21"/>
        </w:rPr>
        <w:t>元。</w:t>
      </w:r>
    </w:p>
    <w:p>
      <w:pPr>
        <w:widowControl/>
        <w:shd w:val="clear" w:color="auto" w:fill="FFFFFF"/>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本保证在投标有效期内保持有效。要求我方承担保证责任的通知应在投标有效期内送达我方。</w:t>
      </w:r>
    </w:p>
    <w:p>
      <w:pPr>
        <w:rPr>
          <w:rFonts w:ascii="宋体" w:hAnsi="宋体" w:cs="宋体"/>
          <w:b/>
          <w:bCs/>
          <w:color w:val="auto"/>
          <w:szCs w:val="21"/>
        </w:rPr>
      </w:pPr>
    </w:p>
    <w:p>
      <w:pPr>
        <w:rPr>
          <w:rFonts w:ascii="宋体" w:hAnsi="宋体" w:cs="宋体"/>
          <w:b/>
          <w:bCs/>
          <w:color w:val="auto"/>
          <w:szCs w:val="21"/>
        </w:rPr>
      </w:pPr>
    </w:p>
    <w:p>
      <w:pPr>
        <w:spacing w:line="380" w:lineRule="exact"/>
        <w:rPr>
          <w:rFonts w:ascii="宋体" w:hAnsi="宋体" w:cs="宋体"/>
          <w:color w:val="auto"/>
          <w:szCs w:val="21"/>
          <w:u w:val="single"/>
        </w:rPr>
      </w:pPr>
      <w:r>
        <w:rPr>
          <w:rFonts w:hint="eastAsia" w:ascii="宋体" w:hAnsi="宋体" w:cs="宋体"/>
          <w:color w:val="auto"/>
          <w:szCs w:val="21"/>
        </w:rPr>
        <w:t xml:space="preserve">                            投标人（加盖公章）： </w:t>
      </w:r>
      <w:r>
        <w:rPr>
          <w:rFonts w:hint="eastAsia" w:ascii="宋体" w:hAnsi="宋体" w:cs="宋体"/>
          <w:color w:val="auto"/>
          <w:szCs w:val="21"/>
          <w:u w:val="single"/>
        </w:rPr>
        <w:t xml:space="preserve">                          .</w:t>
      </w:r>
    </w:p>
    <w:p>
      <w:pPr>
        <w:spacing w:line="380" w:lineRule="exact"/>
        <w:rPr>
          <w:rFonts w:ascii="宋体" w:hAnsi="宋体" w:cs="宋体"/>
          <w:color w:val="auto"/>
          <w:szCs w:val="21"/>
        </w:rPr>
      </w:pPr>
      <w:r>
        <w:rPr>
          <w:rFonts w:hint="eastAsia" w:ascii="宋体" w:hAnsi="宋体" w:cs="宋体"/>
          <w:color w:val="auto"/>
          <w:szCs w:val="21"/>
        </w:rPr>
        <w:t xml:space="preserve">                            </w:t>
      </w:r>
    </w:p>
    <w:p>
      <w:pPr>
        <w:spacing w:line="380" w:lineRule="exact"/>
        <w:rPr>
          <w:rFonts w:ascii="宋体" w:hAnsi="宋体" w:cs="宋体"/>
          <w:color w:val="auto"/>
          <w:szCs w:val="21"/>
        </w:rPr>
      </w:pPr>
      <w:r>
        <w:rPr>
          <w:rFonts w:hint="eastAsia" w:ascii="宋体" w:hAnsi="宋体" w:cs="宋体"/>
          <w:color w:val="auto"/>
          <w:szCs w:val="21"/>
        </w:rPr>
        <w:t xml:space="preserve">                            投标人代表签字：</w:t>
      </w:r>
      <w:r>
        <w:rPr>
          <w:rFonts w:hint="eastAsia" w:ascii="宋体" w:hAnsi="宋体" w:cs="宋体"/>
          <w:color w:val="auto"/>
          <w:szCs w:val="21"/>
          <w:u w:val="single"/>
        </w:rPr>
        <w:t xml:space="preserve">                              .</w:t>
      </w:r>
    </w:p>
    <w:p>
      <w:pPr>
        <w:spacing w:line="380" w:lineRule="exact"/>
        <w:ind w:firstLine="2940" w:firstLineChars="1400"/>
        <w:rPr>
          <w:rFonts w:ascii="宋体" w:hAnsi="宋体" w:cs="宋体"/>
          <w:color w:val="auto"/>
          <w:szCs w:val="21"/>
        </w:rPr>
      </w:pPr>
    </w:p>
    <w:p>
      <w:pPr>
        <w:spacing w:line="380" w:lineRule="exact"/>
        <w:ind w:firstLine="2940" w:firstLineChars="1400"/>
        <w:rPr>
          <w:rFonts w:ascii="宋体" w:hAnsi="宋体" w:cs="宋体"/>
          <w:color w:val="auto"/>
          <w:szCs w:val="21"/>
          <w:u w:val="single"/>
        </w:rPr>
      </w:pPr>
      <w:r>
        <w:rPr>
          <w:rFonts w:hint="eastAsia" w:ascii="宋体" w:hAnsi="宋体" w:cs="宋体"/>
          <w:color w:val="auto"/>
          <w:szCs w:val="21"/>
        </w:rPr>
        <w:t>邮 编：</w:t>
      </w:r>
      <w:r>
        <w:rPr>
          <w:rFonts w:hint="eastAsia" w:ascii="宋体" w:hAnsi="宋体" w:cs="宋体"/>
          <w:color w:val="auto"/>
          <w:szCs w:val="21"/>
          <w:u w:val="single"/>
        </w:rPr>
        <w:t xml:space="preserve">                 </w:t>
      </w:r>
      <w:r>
        <w:rPr>
          <w:rFonts w:hint="eastAsia" w:ascii="宋体" w:hAnsi="宋体" w:cs="宋体"/>
          <w:color w:val="auto"/>
          <w:szCs w:val="21"/>
        </w:rPr>
        <w:t>电 话：</w:t>
      </w:r>
      <w:r>
        <w:rPr>
          <w:rFonts w:hint="eastAsia" w:ascii="宋体" w:hAnsi="宋体" w:cs="宋体"/>
          <w:color w:val="auto"/>
          <w:szCs w:val="21"/>
          <w:u w:val="single"/>
        </w:rPr>
        <w:t xml:space="preserve">               .</w:t>
      </w:r>
    </w:p>
    <w:p>
      <w:pPr>
        <w:spacing w:line="380" w:lineRule="exact"/>
        <w:rPr>
          <w:rFonts w:ascii="宋体" w:hAnsi="宋体" w:cs="宋体"/>
          <w:color w:val="auto"/>
          <w:szCs w:val="21"/>
        </w:rPr>
      </w:pPr>
      <w:r>
        <w:rPr>
          <w:rFonts w:hint="eastAsia" w:ascii="宋体" w:hAnsi="宋体" w:cs="宋体"/>
          <w:color w:val="auto"/>
          <w:szCs w:val="21"/>
        </w:rPr>
        <w:t xml:space="preserve">                            </w:t>
      </w:r>
    </w:p>
    <w:p>
      <w:pPr>
        <w:spacing w:line="380" w:lineRule="exact"/>
        <w:rPr>
          <w:rFonts w:ascii="宋体" w:hAnsi="宋体" w:cs="宋体"/>
          <w:color w:val="auto"/>
          <w:szCs w:val="21"/>
          <w:u w:val="single"/>
        </w:rPr>
      </w:pPr>
      <w:r>
        <w:rPr>
          <w:rFonts w:hint="eastAsia" w:ascii="宋体" w:hAnsi="宋体" w:cs="宋体"/>
          <w:color w:val="auto"/>
          <w:szCs w:val="21"/>
        </w:rPr>
        <w:t xml:space="preserve">                            传 真：</w:t>
      </w:r>
      <w:r>
        <w:rPr>
          <w:rFonts w:hint="eastAsia" w:ascii="宋体" w:hAnsi="宋体" w:cs="宋体"/>
          <w:color w:val="auto"/>
          <w:szCs w:val="21"/>
          <w:u w:val="single"/>
        </w:rPr>
        <w:t xml:space="preserve">                 </w:t>
      </w:r>
      <w:r>
        <w:rPr>
          <w:rFonts w:hint="eastAsia" w:ascii="宋体" w:hAnsi="宋体" w:cs="宋体"/>
          <w:color w:val="auto"/>
          <w:szCs w:val="21"/>
        </w:rPr>
        <w:t>日 期：</w:t>
      </w:r>
      <w:r>
        <w:rPr>
          <w:rFonts w:hint="eastAsia" w:ascii="宋体" w:hAnsi="宋体" w:cs="宋体"/>
          <w:color w:val="auto"/>
          <w:szCs w:val="21"/>
          <w:u w:val="single"/>
        </w:rPr>
        <w:t xml:space="preserve">               .</w:t>
      </w:r>
    </w:p>
    <w:tbl>
      <w:tblPr>
        <w:tblStyle w:val="3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32"/>
              </w:rPr>
            </w:pPr>
            <w:r>
              <w:rPr>
                <w:rFonts w:hint="eastAsia" w:ascii="宋体" w:hAnsi="宋体" w:cs="宋体"/>
                <w:b/>
                <w:bCs/>
                <w:color w:val="auto"/>
                <w:sz w:val="32"/>
              </w:rPr>
              <w:t>投标保证金汇款凭证粘贴处</w:t>
            </w:r>
          </w:p>
        </w:tc>
      </w:tr>
    </w:tbl>
    <w:p>
      <w:pPr>
        <w:spacing w:line="440" w:lineRule="exact"/>
        <w:rPr>
          <w:rFonts w:hint="eastAsia" w:ascii="宋体" w:hAnsi="宋体" w:cs="宋体"/>
          <w:color w:val="auto"/>
          <w:sz w:val="24"/>
          <w:szCs w:val="21"/>
        </w:rPr>
      </w:pPr>
    </w:p>
    <w:p>
      <w:pPr>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color w:val="auto"/>
          <w:sz w:val="28"/>
          <w:szCs w:val="28"/>
          <w:highlight w:val="none"/>
          <w:lang w:val="en-US" w:eastAsia="zh-CN"/>
        </w:rPr>
        <w:br w:type="page"/>
      </w:r>
      <w:r>
        <w:rPr>
          <w:rFonts w:hint="eastAsia" w:ascii="宋体" w:hAnsi="宋体" w:eastAsia="宋体" w:cs="宋体"/>
          <w:b/>
          <w:bCs/>
          <w:color w:val="auto"/>
          <w:kern w:val="2"/>
          <w:sz w:val="28"/>
          <w:szCs w:val="28"/>
          <w:highlight w:val="none"/>
          <w:lang w:val="en-US" w:eastAsia="zh-CN" w:bidi="ar-SA"/>
        </w:rPr>
        <w:t>七、反商业贿赂承诺书</w:t>
      </w:r>
    </w:p>
    <w:p>
      <w:pPr>
        <w:spacing w:line="360" w:lineRule="exact"/>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为了从源头上防治腐败，杜绝商业贿赂行为的发生，更好地配合采购的工作，我们</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承诺如下：</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1、不以各种名义给采购人或采购代理机构借或送现金、有价证券及物品;</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2、不以个人名义邀请采购人或采购代理机构工作人员参与考察旅游活动和宴请活动；</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3、不发生与采购事项有关的其他违规违纪行为。</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如违反其中一项，采购人或采购代理机构将向新疆维吾尔自治区采购办反映将其列入政府采购黑名单并终止投标资格，今后不得参与新疆维吾尔自治区政府采购招投标活动，触犯法律由司法部门处理。</w:t>
      </w:r>
    </w:p>
    <w:p>
      <w:pPr>
        <w:pStyle w:val="105"/>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p>
    <w:p>
      <w:pPr>
        <w:spacing w:line="360" w:lineRule="exact"/>
        <w:ind w:firstLine="3990" w:firstLineChars="19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投标供应商代表签字： </w:t>
      </w:r>
      <w:r>
        <w:rPr>
          <w:rFonts w:hint="eastAsia" w:ascii="宋体" w:hAnsi="宋体" w:eastAsia="宋体" w:cs="宋体"/>
          <w:color w:val="auto"/>
          <w:sz w:val="21"/>
          <w:szCs w:val="21"/>
          <w:highlight w:val="none"/>
          <w:u w:val="single"/>
        </w:rPr>
        <w:t xml:space="preserve">                       </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exact"/>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投标供应商（加盖公章）：</w:t>
      </w:r>
      <w:r>
        <w:rPr>
          <w:rFonts w:hint="eastAsia" w:ascii="宋体" w:hAnsi="宋体" w:eastAsia="宋体" w:cs="宋体"/>
          <w:color w:val="auto"/>
          <w:sz w:val="21"/>
          <w:szCs w:val="21"/>
          <w:highlight w:val="none"/>
          <w:u w:val="single"/>
        </w:rPr>
        <w:t xml:space="preserve">                     </w:t>
      </w:r>
    </w:p>
    <w:p>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0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SA"/>
        </w:rPr>
        <w:t>日  期：          年      月      日</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pPr>
        <w:spacing w:line="360" w:lineRule="auto"/>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八、企业信誉信息截图</w:t>
      </w:r>
    </w:p>
    <w:p>
      <w:pPr>
        <w:jc w:val="center"/>
        <w:rPr>
          <w:rFonts w:hint="eastAsia" w:ascii="宋体" w:hAnsi="宋体" w:eastAsia="宋体" w:cs="宋体"/>
          <w:color w:val="auto"/>
          <w:szCs w:val="21"/>
          <w:highlight w:val="none"/>
          <w:lang w:val="en-US" w:eastAsia="zh-CN"/>
        </w:rPr>
      </w:pPr>
    </w:p>
    <w:p>
      <w:pPr>
        <w:spacing w:line="360" w:lineRule="auto"/>
        <w:ind w:firstLine="420" w:firstLineChars="2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信用中国、中国政府采购网、查询结果网页截图并加盖单位公章（查询时间：开标前10天内的）。</w:t>
      </w:r>
    </w:p>
    <w:p>
      <w:pPr>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val="0"/>
          <w:bCs/>
          <w:color w:val="auto"/>
          <w:sz w:val="28"/>
          <w:szCs w:val="28"/>
          <w:highlight w:val="none"/>
          <w:lang w:val="en-US" w:eastAsia="zh-CN"/>
        </w:rPr>
        <w:br w:type="page"/>
      </w:r>
      <w:r>
        <w:rPr>
          <w:rFonts w:hint="eastAsia" w:ascii="宋体" w:hAnsi="宋体" w:eastAsia="宋体" w:cs="宋体"/>
          <w:b/>
          <w:bCs/>
          <w:color w:val="auto"/>
          <w:kern w:val="2"/>
          <w:sz w:val="28"/>
          <w:szCs w:val="28"/>
          <w:highlight w:val="none"/>
          <w:lang w:val="en-US" w:eastAsia="zh-CN" w:bidi="ar-SA"/>
        </w:rPr>
        <w:t>九、商务、技术偏离表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2"/>
          <w:sz w:val="28"/>
          <w:szCs w:val="28"/>
          <w:highlight w:val="none"/>
          <w:lang w:val="en-US" w:eastAsia="zh-CN" w:bidi="ar-SA"/>
        </w:rPr>
        <w:t xml:space="preserve"> 商 务 偏 离 表</w:t>
      </w:r>
    </w:p>
    <w:tbl>
      <w:tblPr>
        <w:tblStyle w:val="36"/>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19"/>
        <w:gridCol w:w="1867"/>
        <w:gridCol w:w="1825"/>
        <w:gridCol w:w="168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619" w:type="dxa"/>
            <w:noWrap w:val="0"/>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文件条目号</w:t>
            </w:r>
          </w:p>
        </w:tc>
        <w:tc>
          <w:tcPr>
            <w:tcW w:w="1867" w:type="dxa"/>
            <w:noWrap w:val="0"/>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招标文件条款</w:t>
            </w:r>
          </w:p>
        </w:tc>
        <w:tc>
          <w:tcPr>
            <w:tcW w:w="1825" w:type="dxa"/>
            <w:noWrap w:val="0"/>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投标文件条款</w:t>
            </w:r>
          </w:p>
        </w:tc>
        <w:tc>
          <w:tcPr>
            <w:tcW w:w="1685" w:type="dxa"/>
            <w:noWrap w:val="0"/>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响应与偏离</w:t>
            </w:r>
          </w:p>
        </w:tc>
        <w:tc>
          <w:tcPr>
            <w:tcW w:w="1763" w:type="dxa"/>
            <w:noWrap w:val="0"/>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jc w:val="center"/>
              <w:rPr>
                <w:rFonts w:hint="eastAsia" w:ascii="宋体" w:hAnsi="宋体" w:eastAsia="宋体" w:cs="宋体"/>
                <w:color w:val="auto"/>
                <w:szCs w:val="21"/>
                <w:highlight w:val="none"/>
              </w:rPr>
            </w:pPr>
          </w:p>
        </w:tc>
        <w:tc>
          <w:tcPr>
            <w:tcW w:w="1619" w:type="dxa"/>
            <w:noWrap w:val="0"/>
            <w:vAlign w:val="center"/>
          </w:tcPr>
          <w:p>
            <w:pPr>
              <w:spacing w:line="240" w:lineRule="auto"/>
              <w:jc w:val="center"/>
              <w:rPr>
                <w:rFonts w:hint="eastAsia" w:ascii="宋体" w:hAnsi="宋体" w:eastAsia="宋体" w:cs="宋体"/>
                <w:color w:val="auto"/>
                <w:szCs w:val="21"/>
                <w:highlight w:val="none"/>
              </w:rPr>
            </w:pPr>
          </w:p>
        </w:tc>
        <w:tc>
          <w:tcPr>
            <w:tcW w:w="1867" w:type="dxa"/>
            <w:noWrap w:val="0"/>
            <w:vAlign w:val="center"/>
          </w:tcPr>
          <w:p>
            <w:pPr>
              <w:spacing w:line="240" w:lineRule="auto"/>
              <w:jc w:val="center"/>
              <w:rPr>
                <w:rFonts w:hint="eastAsia" w:ascii="宋体" w:hAnsi="宋体" w:eastAsia="宋体" w:cs="宋体"/>
                <w:color w:val="auto"/>
                <w:szCs w:val="21"/>
                <w:highlight w:val="none"/>
              </w:rPr>
            </w:pPr>
          </w:p>
        </w:tc>
        <w:tc>
          <w:tcPr>
            <w:tcW w:w="1825" w:type="dxa"/>
            <w:noWrap w:val="0"/>
            <w:vAlign w:val="center"/>
          </w:tcPr>
          <w:p>
            <w:pPr>
              <w:spacing w:line="240" w:lineRule="auto"/>
              <w:jc w:val="center"/>
              <w:rPr>
                <w:rFonts w:hint="eastAsia" w:ascii="宋体" w:hAnsi="宋体" w:eastAsia="宋体" w:cs="宋体"/>
                <w:color w:val="auto"/>
                <w:szCs w:val="21"/>
                <w:highlight w:val="none"/>
              </w:rPr>
            </w:pPr>
          </w:p>
        </w:tc>
        <w:tc>
          <w:tcPr>
            <w:tcW w:w="1685" w:type="dxa"/>
            <w:noWrap w:val="0"/>
            <w:vAlign w:val="center"/>
          </w:tcPr>
          <w:p>
            <w:pPr>
              <w:spacing w:line="240" w:lineRule="auto"/>
              <w:jc w:val="center"/>
              <w:rPr>
                <w:rFonts w:hint="eastAsia" w:ascii="宋体" w:hAnsi="宋体" w:eastAsia="宋体" w:cs="宋体"/>
                <w:color w:val="auto"/>
                <w:szCs w:val="21"/>
                <w:highlight w:val="none"/>
              </w:rPr>
            </w:pPr>
          </w:p>
        </w:tc>
        <w:tc>
          <w:tcPr>
            <w:tcW w:w="1763" w:type="dxa"/>
            <w:noWrap w:val="0"/>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jc w:val="center"/>
              <w:rPr>
                <w:rFonts w:hint="eastAsia" w:ascii="宋体" w:hAnsi="宋体" w:eastAsia="宋体" w:cs="宋体"/>
                <w:color w:val="auto"/>
                <w:szCs w:val="21"/>
                <w:highlight w:val="none"/>
              </w:rPr>
            </w:pPr>
          </w:p>
        </w:tc>
        <w:tc>
          <w:tcPr>
            <w:tcW w:w="1619" w:type="dxa"/>
            <w:noWrap w:val="0"/>
            <w:vAlign w:val="center"/>
          </w:tcPr>
          <w:p>
            <w:pPr>
              <w:spacing w:line="240" w:lineRule="auto"/>
              <w:jc w:val="center"/>
              <w:rPr>
                <w:rFonts w:hint="eastAsia" w:ascii="宋体" w:hAnsi="宋体" w:eastAsia="宋体" w:cs="宋体"/>
                <w:color w:val="auto"/>
                <w:szCs w:val="21"/>
                <w:highlight w:val="none"/>
              </w:rPr>
            </w:pPr>
          </w:p>
        </w:tc>
        <w:tc>
          <w:tcPr>
            <w:tcW w:w="1867" w:type="dxa"/>
            <w:noWrap w:val="0"/>
            <w:vAlign w:val="center"/>
          </w:tcPr>
          <w:p>
            <w:pPr>
              <w:spacing w:line="240" w:lineRule="auto"/>
              <w:jc w:val="center"/>
              <w:rPr>
                <w:rFonts w:hint="eastAsia" w:ascii="宋体" w:hAnsi="宋体" w:eastAsia="宋体" w:cs="宋体"/>
                <w:color w:val="auto"/>
                <w:szCs w:val="21"/>
                <w:highlight w:val="none"/>
              </w:rPr>
            </w:pPr>
          </w:p>
        </w:tc>
        <w:tc>
          <w:tcPr>
            <w:tcW w:w="1825" w:type="dxa"/>
            <w:noWrap w:val="0"/>
            <w:vAlign w:val="center"/>
          </w:tcPr>
          <w:p>
            <w:pPr>
              <w:spacing w:line="240" w:lineRule="auto"/>
              <w:jc w:val="center"/>
              <w:rPr>
                <w:rFonts w:hint="eastAsia" w:ascii="宋体" w:hAnsi="宋体" w:eastAsia="宋体" w:cs="宋体"/>
                <w:color w:val="auto"/>
                <w:szCs w:val="21"/>
                <w:highlight w:val="none"/>
              </w:rPr>
            </w:pPr>
          </w:p>
        </w:tc>
        <w:tc>
          <w:tcPr>
            <w:tcW w:w="1685" w:type="dxa"/>
            <w:noWrap w:val="0"/>
            <w:vAlign w:val="center"/>
          </w:tcPr>
          <w:p>
            <w:pPr>
              <w:spacing w:line="240" w:lineRule="auto"/>
              <w:jc w:val="center"/>
              <w:rPr>
                <w:rFonts w:hint="eastAsia" w:ascii="宋体" w:hAnsi="宋体" w:eastAsia="宋体" w:cs="宋体"/>
                <w:color w:val="auto"/>
                <w:szCs w:val="21"/>
                <w:highlight w:val="none"/>
              </w:rPr>
            </w:pPr>
          </w:p>
        </w:tc>
        <w:tc>
          <w:tcPr>
            <w:tcW w:w="1763" w:type="dxa"/>
            <w:noWrap w:val="0"/>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rPr>
                <w:rFonts w:hint="eastAsia" w:ascii="宋体" w:hAnsi="宋体" w:eastAsia="宋体" w:cs="宋体"/>
                <w:color w:val="auto"/>
                <w:szCs w:val="21"/>
                <w:highlight w:val="none"/>
              </w:rPr>
            </w:pPr>
          </w:p>
        </w:tc>
        <w:tc>
          <w:tcPr>
            <w:tcW w:w="1619"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rPr>
                <w:rFonts w:hint="eastAsia" w:ascii="宋体" w:hAnsi="宋体" w:eastAsia="宋体" w:cs="宋体"/>
                <w:color w:val="auto"/>
                <w:szCs w:val="21"/>
                <w:highlight w:val="none"/>
              </w:rPr>
            </w:pPr>
          </w:p>
        </w:tc>
        <w:tc>
          <w:tcPr>
            <w:tcW w:w="1619"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rPr>
                <w:rFonts w:hint="eastAsia" w:ascii="宋体" w:hAnsi="宋体" w:eastAsia="宋体" w:cs="宋体"/>
                <w:color w:val="auto"/>
                <w:szCs w:val="21"/>
                <w:highlight w:val="none"/>
              </w:rPr>
            </w:pPr>
          </w:p>
        </w:tc>
        <w:tc>
          <w:tcPr>
            <w:tcW w:w="1619"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rPr>
                <w:rFonts w:hint="eastAsia" w:ascii="宋体" w:hAnsi="宋体" w:eastAsia="宋体" w:cs="宋体"/>
                <w:color w:val="auto"/>
                <w:szCs w:val="21"/>
                <w:highlight w:val="none"/>
              </w:rPr>
            </w:pPr>
          </w:p>
        </w:tc>
        <w:tc>
          <w:tcPr>
            <w:tcW w:w="1619"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rPr>
                <w:rFonts w:hint="eastAsia" w:ascii="宋体" w:hAnsi="宋体" w:eastAsia="宋体" w:cs="宋体"/>
                <w:color w:val="auto"/>
                <w:szCs w:val="21"/>
                <w:highlight w:val="none"/>
              </w:rPr>
            </w:pPr>
          </w:p>
        </w:tc>
        <w:tc>
          <w:tcPr>
            <w:tcW w:w="1619"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rPr>
                <w:rFonts w:hint="eastAsia" w:ascii="宋体" w:hAnsi="宋体" w:eastAsia="宋体" w:cs="宋体"/>
                <w:color w:val="auto"/>
                <w:szCs w:val="21"/>
                <w:highlight w:val="none"/>
              </w:rPr>
            </w:pPr>
          </w:p>
        </w:tc>
        <w:tc>
          <w:tcPr>
            <w:tcW w:w="1619"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rPr>
                <w:rFonts w:hint="eastAsia" w:ascii="宋体" w:hAnsi="宋体" w:eastAsia="宋体" w:cs="宋体"/>
                <w:color w:val="auto"/>
                <w:szCs w:val="21"/>
                <w:highlight w:val="none"/>
              </w:rPr>
            </w:pPr>
          </w:p>
        </w:tc>
        <w:tc>
          <w:tcPr>
            <w:tcW w:w="1619"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rPr>
                <w:rFonts w:hint="eastAsia" w:ascii="宋体" w:hAnsi="宋体" w:eastAsia="宋体" w:cs="宋体"/>
                <w:color w:val="auto"/>
                <w:szCs w:val="21"/>
                <w:highlight w:val="none"/>
              </w:rPr>
            </w:pPr>
          </w:p>
        </w:tc>
        <w:tc>
          <w:tcPr>
            <w:tcW w:w="1619"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6" w:type="dxa"/>
            <w:noWrap w:val="0"/>
            <w:vAlign w:val="center"/>
          </w:tcPr>
          <w:p>
            <w:pPr>
              <w:spacing w:line="240" w:lineRule="auto"/>
              <w:rPr>
                <w:rFonts w:hint="eastAsia" w:ascii="宋体" w:hAnsi="宋体" w:eastAsia="宋体" w:cs="宋体"/>
                <w:color w:val="auto"/>
                <w:szCs w:val="21"/>
                <w:highlight w:val="none"/>
              </w:rPr>
            </w:pPr>
          </w:p>
        </w:tc>
        <w:tc>
          <w:tcPr>
            <w:tcW w:w="1619"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注：凡</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中商务条款（包括</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期、付款、合同条款以及其它所有商务内容）与</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有偏差的，均应在此表中列出（内容较多的可以标注见</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第几页，偏差包括正偏差和负偏差）。未在本表中列明的偏差视同响应</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规定。</w:t>
      </w:r>
    </w:p>
    <w:p>
      <w:pPr>
        <w:spacing w:line="360" w:lineRule="auto"/>
        <w:ind w:right="105" w:rightChars="50"/>
        <w:rPr>
          <w:rFonts w:hint="eastAsia" w:ascii="宋体" w:hAnsi="宋体" w:eastAsia="宋体" w:cs="宋体"/>
          <w:color w:val="auto"/>
          <w:sz w:val="24"/>
          <w:szCs w:val="24"/>
          <w:highlight w:val="none"/>
        </w:rPr>
      </w:pPr>
    </w:p>
    <w:p>
      <w:pPr>
        <w:spacing w:line="360" w:lineRule="exact"/>
        <w:ind w:firstLine="3990" w:firstLineChars="1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投标供应商代表签字： </w:t>
      </w:r>
      <w:r>
        <w:rPr>
          <w:rFonts w:hint="eastAsia" w:ascii="宋体" w:hAnsi="宋体" w:eastAsia="宋体" w:cs="宋体"/>
          <w:color w:val="auto"/>
          <w:szCs w:val="21"/>
          <w:highlight w:val="none"/>
          <w:u w:val="single"/>
        </w:rPr>
        <w:t xml:space="preserve">                       </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exact"/>
        <w:ind w:firstLine="3990" w:firstLineChars="1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投标供应商（加盖公章）：</w:t>
      </w:r>
      <w:r>
        <w:rPr>
          <w:rFonts w:hint="eastAsia" w:ascii="宋体" w:hAnsi="宋体" w:eastAsia="宋体" w:cs="宋体"/>
          <w:color w:val="auto"/>
          <w:szCs w:val="21"/>
          <w:highlight w:val="none"/>
          <w:u w:val="single"/>
        </w:rPr>
        <w:t xml:space="preserve">                     </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spacing w:line="360" w:lineRule="auto"/>
        <w:ind w:right="105" w:rightChars="50"/>
        <w:rPr>
          <w:rFonts w:hint="eastAsia" w:ascii="宋体" w:hAnsi="宋体" w:eastAsia="宋体" w:cs="宋体"/>
          <w:color w:val="auto"/>
          <w:sz w:val="24"/>
          <w:szCs w:val="24"/>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  期：          年      月      日</w:t>
      </w:r>
    </w:p>
    <w:p>
      <w:pPr>
        <w:spacing w:after="100" w:line="265" w:lineRule="auto"/>
        <w:ind w:right="103"/>
        <w:jc w:val="center"/>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rPr>
      </w:pPr>
    </w:p>
    <w:p>
      <w:pPr>
        <w:pStyle w:val="105"/>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2"/>
          <w:sz w:val="28"/>
          <w:szCs w:val="28"/>
          <w:highlight w:val="none"/>
          <w:lang w:val="en-US" w:eastAsia="zh-CN" w:bidi="ar-SA"/>
        </w:rPr>
        <w:t>技 术 偏 离 表</w:t>
      </w:r>
    </w:p>
    <w:tbl>
      <w:tblPr>
        <w:tblStyle w:val="36"/>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96"/>
        <w:gridCol w:w="1867"/>
        <w:gridCol w:w="1825"/>
        <w:gridCol w:w="168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596" w:type="dxa"/>
            <w:noWrap w:val="0"/>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文件条目号</w:t>
            </w:r>
          </w:p>
        </w:tc>
        <w:tc>
          <w:tcPr>
            <w:tcW w:w="1867" w:type="dxa"/>
            <w:noWrap w:val="0"/>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招标文件条款</w:t>
            </w:r>
          </w:p>
        </w:tc>
        <w:tc>
          <w:tcPr>
            <w:tcW w:w="1825" w:type="dxa"/>
            <w:noWrap w:val="0"/>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投标文件条款</w:t>
            </w:r>
          </w:p>
        </w:tc>
        <w:tc>
          <w:tcPr>
            <w:tcW w:w="1685" w:type="dxa"/>
            <w:noWrap w:val="0"/>
            <w:vAlign w:val="center"/>
          </w:tcPr>
          <w:p>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响应与偏离</w:t>
            </w:r>
          </w:p>
        </w:tc>
        <w:tc>
          <w:tcPr>
            <w:tcW w:w="1763" w:type="dxa"/>
            <w:noWrap w:val="0"/>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jc w:val="center"/>
              <w:rPr>
                <w:rFonts w:hint="eastAsia" w:ascii="宋体" w:hAnsi="宋体" w:eastAsia="宋体" w:cs="宋体"/>
                <w:color w:val="auto"/>
                <w:szCs w:val="21"/>
                <w:highlight w:val="none"/>
              </w:rPr>
            </w:pPr>
          </w:p>
        </w:tc>
        <w:tc>
          <w:tcPr>
            <w:tcW w:w="1596" w:type="dxa"/>
            <w:noWrap w:val="0"/>
            <w:vAlign w:val="center"/>
          </w:tcPr>
          <w:p>
            <w:pPr>
              <w:spacing w:line="240" w:lineRule="auto"/>
              <w:jc w:val="center"/>
              <w:rPr>
                <w:rFonts w:hint="eastAsia" w:ascii="宋体" w:hAnsi="宋体" w:eastAsia="宋体" w:cs="宋体"/>
                <w:color w:val="auto"/>
                <w:szCs w:val="21"/>
                <w:highlight w:val="none"/>
              </w:rPr>
            </w:pPr>
          </w:p>
        </w:tc>
        <w:tc>
          <w:tcPr>
            <w:tcW w:w="1867" w:type="dxa"/>
            <w:noWrap w:val="0"/>
            <w:vAlign w:val="center"/>
          </w:tcPr>
          <w:p>
            <w:pPr>
              <w:spacing w:line="240" w:lineRule="auto"/>
              <w:jc w:val="center"/>
              <w:rPr>
                <w:rFonts w:hint="eastAsia" w:ascii="宋体" w:hAnsi="宋体" w:eastAsia="宋体" w:cs="宋体"/>
                <w:color w:val="auto"/>
                <w:szCs w:val="21"/>
                <w:highlight w:val="none"/>
              </w:rPr>
            </w:pPr>
          </w:p>
        </w:tc>
        <w:tc>
          <w:tcPr>
            <w:tcW w:w="1825" w:type="dxa"/>
            <w:noWrap w:val="0"/>
            <w:vAlign w:val="center"/>
          </w:tcPr>
          <w:p>
            <w:pPr>
              <w:spacing w:line="240" w:lineRule="auto"/>
              <w:jc w:val="center"/>
              <w:rPr>
                <w:rFonts w:hint="eastAsia" w:ascii="宋体" w:hAnsi="宋体" w:eastAsia="宋体" w:cs="宋体"/>
                <w:color w:val="auto"/>
                <w:szCs w:val="21"/>
                <w:highlight w:val="none"/>
              </w:rPr>
            </w:pPr>
          </w:p>
        </w:tc>
        <w:tc>
          <w:tcPr>
            <w:tcW w:w="1685" w:type="dxa"/>
            <w:noWrap w:val="0"/>
            <w:vAlign w:val="center"/>
          </w:tcPr>
          <w:p>
            <w:pPr>
              <w:spacing w:line="240" w:lineRule="auto"/>
              <w:jc w:val="center"/>
              <w:rPr>
                <w:rFonts w:hint="eastAsia" w:ascii="宋体" w:hAnsi="宋体" w:eastAsia="宋体" w:cs="宋体"/>
                <w:color w:val="auto"/>
                <w:szCs w:val="21"/>
                <w:highlight w:val="none"/>
              </w:rPr>
            </w:pPr>
          </w:p>
        </w:tc>
        <w:tc>
          <w:tcPr>
            <w:tcW w:w="1763" w:type="dxa"/>
            <w:noWrap w:val="0"/>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jc w:val="center"/>
              <w:rPr>
                <w:rFonts w:hint="eastAsia" w:ascii="宋体" w:hAnsi="宋体" w:eastAsia="宋体" w:cs="宋体"/>
                <w:color w:val="auto"/>
                <w:szCs w:val="21"/>
                <w:highlight w:val="none"/>
              </w:rPr>
            </w:pPr>
          </w:p>
        </w:tc>
        <w:tc>
          <w:tcPr>
            <w:tcW w:w="1596" w:type="dxa"/>
            <w:noWrap w:val="0"/>
            <w:vAlign w:val="center"/>
          </w:tcPr>
          <w:p>
            <w:pPr>
              <w:spacing w:line="240" w:lineRule="auto"/>
              <w:jc w:val="center"/>
              <w:rPr>
                <w:rFonts w:hint="eastAsia" w:ascii="宋体" w:hAnsi="宋体" w:eastAsia="宋体" w:cs="宋体"/>
                <w:color w:val="auto"/>
                <w:szCs w:val="21"/>
                <w:highlight w:val="none"/>
              </w:rPr>
            </w:pPr>
          </w:p>
        </w:tc>
        <w:tc>
          <w:tcPr>
            <w:tcW w:w="1867" w:type="dxa"/>
            <w:noWrap w:val="0"/>
            <w:vAlign w:val="center"/>
          </w:tcPr>
          <w:p>
            <w:pPr>
              <w:spacing w:line="240" w:lineRule="auto"/>
              <w:jc w:val="center"/>
              <w:rPr>
                <w:rFonts w:hint="eastAsia" w:ascii="宋体" w:hAnsi="宋体" w:eastAsia="宋体" w:cs="宋体"/>
                <w:color w:val="auto"/>
                <w:szCs w:val="21"/>
                <w:highlight w:val="none"/>
              </w:rPr>
            </w:pPr>
          </w:p>
        </w:tc>
        <w:tc>
          <w:tcPr>
            <w:tcW w:w="1825" w:type="dxa"/>
            <w:noWrap w:val="0"/>
            <w:vAlign w:val="center"/>
          </w:tcPr>
          <w:p>
            <w:pPr>
              <w:spacing w:line="240" w:lineRule="auto"/>
              <w:jc w:val="center"/>
              <w:rPr>
                <w:rFonts w:hint="eastAsia" w:ascii="宋体" w:hAnsi="宋体" w:eastAsia="宋体" w:cs="宋体"/>
                <w:color w:val="auto"/>
                <w:szCs w:val="21"/>
                <w:highlight w:val="none"/>
              </w:rPr>
            </w:pPr>
          </w:p>
        </w:tc>
        <w:tc>
          <w:tcPr>
            <w:tcW w:w="1685" w:type="dxa"/>
            <w:noWrap w:val="0"/>
            <w:vAlign w:val="center"/>
          </w:tcPr>
          <w:p>
            <w:pPr>
              <w:spacing w:line="240" w:lineRule="auto"/>
              <w:jc w:val="center"/>
              <w:rPr>
                <w:rFonts w:hint="eastAsia" w:ascii="宋体" w:hAnsi="宋体" w:eastAsia="宋体" w:cs="宋体"/>
                <w:color w:val="auto"/>
                <w:szCs w:val="21"/>
                <w:highlight w:val="none"/>
              </w:rPr>
            </w:pPr>
          </w:p>
        </w:tc>
        <w:tc>
          <w:tcPr>
            <w:tcW w:w="1763" w:type="dxa"/>
            <w:noWrap w:val="0"/>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rPr>
                <w:rFonts w:hint="eastAsia" w:ascii="宋体" w:hAnsi="宋体" w:eastAsia="宋体" w:cs="宋体"/>
                <w:color w:val="auto"/>
                <w:szCs w:val="21"/>
                <w:highlight w:val="none"/>
              </w:rPr>
            </w:pPr>
          </w:p>
        </w:tc>
        <w:tc>
          <w:tcPr>
            <w:tcW w:w="1596"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rPr>
                <w:rFonts w:hint="eastAsia" w:ascii="宋体" w:hAnsi="宋体" w:eastAsia="宋体" w:cs="宋体"/>
                <w:color w:val="auto"/>
                <w:szCs w:val="21"/>
                <w:highlight w:val="none"/>
              </w:rPr>
            </w:pPr>
          </w:p>
        </w:tc>
        <w:tc>
          <w:tcPr>
            <w:tcW w:w="1596"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rPr>
                <w:rFonts w:hint="eastAsia" w:ascii="宋体" w:hAnsi="宋体" w:eastAsia="宋体" w:cs="宋体"/>
                <w:color w:val="auto"/>
                <w:szCs w:val="21"/>
                <w:highlight w:val="none"/>
              </w:rPr>
            </w:pPr>
          </w:p>
        </w:tc>
        <w:tc>
          <w:tcPr>
            <w:tcW w:w="1596"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rPr>
                <w:rFonts w:hint="eastAsia" w:ascii="宋体" w:hAnsi="宋体" w:eastAsia="宋体" w:cs="宋体"/>
                <w:color w:val="auto"/>
                <w:szCs w:val="21"/>
                <w:highlight w:val="none"/>
              </w:rPr>
            </w:pPr>
          </w:p>
        </w:tc>
        <w:tc>
          <w:tcPr>
            <w:tcW w:w="1596"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rPr>
                <w:rFonts w:hint="eastAsia" w:ascii="宋体" w:hAnsi="宋体" w:eastAsia="宋体" w:cs="宋体"/>
                <w:color w:val="auto"/>
                <w:szCs w:val="21"/>
                <w:highlight w:val="none"/>
              </w:rPr>
            </w:pPr>
          </w:p>
        </w:tc>
        <w:tc>
          <w:tcPr>
            <w:tcW w:w="1596"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rPr>
                <w:rFonts w:hint="eastAsia" w:ascii="宋体" w:hAnsi="宋体" w:eastAsia="宋体" w:cs="宋体"/>
                <w:color w:val="auto"/>
                <w:szCs w:val="21"/>
                <w:highlight w:val="none"/>
              </w:rPr>
            </w:pPr>
          </w:p>
        </w:tc>
        <w:tc>
          <w:tcPr>
            <w:tcW w:w="1596"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rPr>
                <w:rFonts w:hint="eastAsia" w:ascii="宋体" w:hAnsi="宋体" w:eastAsia="宋体" w:cs="宋体"/>
                <w:color w:val="auto"/>
                <w:szCs w:val="21"/>
                <w:highlight w:val="none"/>
              </w:rPr>
            </w:pPr>
          </w:p>
        </w:tc>
        <w:tc>
          <w:tcPr>
            <w:tcW w:w="1596"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rPr>
                <w:rFonts w:hint="eastAsia" w:ascii="宋体" w:hAnsi="宋体" w:eastAsia="宋体" w:cs="宋体"/>
                <w:color w:val="auto"/>
                <w:szCs w:val="21"/>
                <w:highlight w:val="none"/>
              </w:rPr>
            </w:pPr>
          </w:p>
        </w:tc>
        <w:tc>
          <w:tcPr>
            <w:tcW w:w="1596"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9" w:type="dxa"/>
            <w:noWrap w:val="0"/>
            <w:vAlign w:val="center"/>
          </w:tcPr>
          <w:p>
            <w:pPr>
              <w:spacing w:line="240" w:lineRule="auto"/>
              <w:rPr>
                <w:rFonts w:hint="eastAsia" w:ascii="宋体" w:hAnsi="宋体" w:eastAsia="宋体" w:cs="宋体"/>
                <w:color w:val="auto"/>
                <w:szCs w:val="21"/>
                <w:highlight w:val="none"/>
              </w:rPr>
            </w:pPr>
          </w:p>
        </w:tc>
        <w:tc>
          <w:tcPr>
            <w:tcW w:w="1596" w:type="dxa"/>
            <w:noWrap w:val="0"/>
            <w:vAlign w:val="center"/>
          </w:tcPr>
          <w:p>
            <w:pPr>
              <w:spacing w:line="240" w:lineRule="auto"/>
              <w:rPr>
                <w:rFonts w:hint="eastAsia" w:ascii="宋体" w:hAnsi="宋体" w:eastAsia="宋体" w:cs="宋体"/>
                <w:color w:val="auto"/>
                <w:szCs w:val="21"/>
                <w:highlight w:val="none"/>
              </w:rPr>
            </w:pPr>
          </w:p>
        </w:tc>
        <w:tc>
          <w:tcPr>
            <w:tcW w:w="1867" w:type="dxa"/>
            <w:noWrap w:val="0"/>
            <w:vAlign w:val="center"/>
          </w:tcPr>
          <w:p>
            <w:pPr>
              <w:spacing w:line="240" w:lineRule="auto"/>
              <w:rPr>
                <w:rFonts w:hint="eastAsia" w:ascii="宋体" w:hAnsi="宋体" w:eastAsia="宋体" w:cs="宋体"/>
                <w:color w:val="auto"/>
                <w:szCs w:val="21"/>
                <w:highlight w:val="none"/>
              </w:rPr>
            </w:pPr>
          </w:p>
        </w:tc>
        <w:tc>
          <w:tcPr>
            <w:tcW w:w="1825" w:type="dxa"/>
            <w:noWrap w:val="0"/>
            <w:vAlign w:val="center"/>
          </w:tcPr>
          <w:p>
            <w:pPr>
              <w:spacing w:line="240" w:lineRule="auto"/>
              <w:rPr>
                <w:rFonts w:hint="eastAsia" w:ascii="宋体" w:hAnsi="宋体" w:eastAsia="宋体" w:cs="宋体"/>
                <w:color w:val="auto"/>
                <w:szCs w:val="21"/>
                <w:highlight w:val="none"/>
              </w:rPr>
            </w:pPr>
          </w:p>
        </w:tc>
        <w:tc>
          <w:tcPr>
            <w:tcW w:w="1685" w:type="dxa"/>
            <w:noWrap w:val="0"/>
            <w:vAlign w:val="center"/>
          </w:tcPr>
          <w:p>
            <w:pPr>
              <w:spacing w:line="240" w:lineRule="auto"/>
              <w:rPr>
                <w:rFonts w:hint="eastAsia" w:ascii="宋体" w:hAnsi="宋体" w:eastAsia="宋体" w:cs="宋体"/>
                <w:color w:val="auto"/>
                <w:szCs w:val="21"/>
                <w:highlight w:val="none"/>
              </w:rPr>
            </w:pPr>
          </w:p>
        </w:tc>
        <w:tc>
          <w:tcPr>
            <w:tcW w:w="1763" w:type="dxa"/>
            <w:noWrap w:val="0"/>
            <w:vAlign w:val="center"/>
          </w:tcPr>
          <w:p>
            <w:pPr>
              <w:spacing w:line="240" w:lineRule="auto"/>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注：凡</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中技术条款（包括投标技术参数等所有技术内容）与</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有偏差的，均应在此表中列出（内容较多的可以标注见</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第几页，偏差包括正偏</w:t>
      </w:r>
      <w:r>
        <w:rPr>
          <w:rFonts w:hint="eastAsia" w:ascii="宋体" w:hAnsi="宋体" w:eastAsia="宋体" w:cs="宋体"/>
          <w:color w:val="auto"/>
          <w:sz w:val="24"/>
          <w:szCs w:val="24"/>
          <w:highlight w:val="none"/>
          <w:lang w:val="en-US" w:eastAsia="zh-CN"/>
        </w:rPr>
        <w:t>离</w:t>
      </w:r>
      <w:r>
        <w:rPr>
          <w:rFonts w:hint="eastAsia" w:ascii="宋体" w:hAnsi="宋体" w:eastAsia="宋体" w:cs="宋体"/>
          <w:color w:val="auto"/>
          <w:sz w:val="24"/>
          <w:szCs w:val="24"/>
          <w:highlight w:val="none"/>
        </w:rPr>
        <w:t>和负偏</w:t>
      </w:r>
      <w:r>
        <w:rPr>
          <w:rFonts w:hint="eastAsia" w:ascii="宋体" w:hAnsi="宋体" w:eastAsia="宋体" w:cs="宋体"/>
          <w:color w:val="auto"/>
          <w:sz w:val="24"/>
          <w:szCs w:val="24"/>
          <w:highlight w:val="none"/>
          <w:lang w:val="en-US" w:eastAsia="zh-CN"/>
        </w:rPr>
        <w:t>离</w:t>
      </w:r>
      <w:r>
        <w:rPr>
          <w:rFonts w:hint="eastAsia" w:ascii="宋体" w:hAnsi="宋体" w:eastAsia="宋体" w:cs="宋体"/>
          <w:color w:val="auto"/>
          <w:sz w:val="24"/>
          <w:szCs w:val="24"/>
          <w:highlight w:val="none"/>
        </w:rPr>
        <w:t>）。未在本表中列明的偏差视同响应</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规定。</w:t>
      </w:r>
    </w:p>
    <w:p>
      <w:pPr>
        <w:spacing w:line="360" w:lineRule="exact"/>
        <w:ind w:firstLine="4560" w:firstLineChars="1900"/>
        <w:rPr>
          <w:rFonts w:hint="eastAsia" w:ascii="宋体" w:hAnsi="宋体" w:eastAsia="宋体" w:cs="宋体"/>
          <w:color w:val="auto"/>
          <w:sz w:val="24"/>
          <w:szCs w:val="24"/>
          <w:highlight w:val="none"/>
        </w:rPr>
      </w:pPr>
    </w:p>
    <w:p>
      <w:pPr>
        <w:spacing w:line="360" w:lineRule="exact"/>
        <w:ind w:firstLine="4560" w:firstLineChars="19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投标供应商代表签字： </w:t>
      </w:r>
      <w:r>
        <w:rPr>
          <w:rFonts w:hint="eastAsia" w:ascii="宋体" w:hAnsi="宋体" w:eastAsia="宋体" w:cs="宋体"/>
          <w:color w:val="auto"/>
          <w:sz w:val="24"/>
          <w:szCs w:val="24"/>
          <w:highlight w:val="none"/>
          <w:u w:val="single"/>
        </w:rPr>
        <w:t xml:space="preserve">                       </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exact"/>
        <w:ind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投标供应商（加盖公章）：</w:t>
      </w:r>
      <w:r>
        <w:rPr>
          <w:rFonts w:hint="eastAsia" w:ascii="宋体" w:hAnsi="宋体" w:eastAsia="宋体" w:cs="宋体"/>
          <w:color w:val="auto"/>
          <w:sz w:val="24"/>
          <w:szCs w:val="24"/>
          <w:highlight w:val="none"/>
          <w:u w:val="single"/>
        </w:rPr>
        <w:t xml:space="preserve">                     </w:t>
      </w:r>
    </w:p>
    <w:p>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right="105" w:right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          年      月      日</w:t>
      </w:r>
    </w:p>
    <w:p>
      <w:pPr>
        <w:rPr>
          <w:rFonts w:hint="eastAsia" w:ascii="宋体" w:hAnsi="宋体" w:eastAsia="宋体" w:cs="宋体"/>
          <w:color w:val="auto"/>
          <w:sz w:val="24"/>
          <w:szCs w:val="24"/>
          <w:highlight w:val="none"/>
          <w:u w:val="single"/>
        </w:rPr>
      </w:pPr>
    </w:p>
    <w:p>
      <w:pPr>
        <w:pStyle w:val="34"/>
        <w:numPr>
          <w:ilvl w:val="0"/>
          <w:numId w:val="0"/>
        </w:numPr>
        <w:jc w:val="center"/>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br w:type="page"/>
      </w:r>
      <w:r>
        <w:rPr>
          <w:rFonts w:hint="eastAsia" w:ascii="宋体" w:hAnsi="宋体" w:eastAsia="宋体" w:cs="宋体"/>
          <w:b/>
          <w:bCs/>
          <w:color w:val="auto"/>
          <w:kern w:val="2"/>
          <w:sz w:val="28"/>
          <w:szCs w:val="28"/>
          <w:highlight w:val="none"/>
          <w:lang w:val="en-US" w:eastAsia="zh-CN" w:bidi="ar-SA"/>
        </w:rPr>
        <w:t>十、厂家项目授权</w:t>
      </w:r>
    </w:p>
    <w:p>
      <w:pPr>
        <w:pStyle w:val="34"/>
        <w:numPr>
          <w:ilvl w:val="0"/>
          <w:numId w:val="0"/>
        </w:numPr>
        <w:jc w:val="center"/>
        <w:rPr>
          <w:rFonts w:hint="default" w:ascii="宋体" w:hAnsi="宋体" w:eastAsia="宋体" w:cs="宋体"/>
          <w:b/>
          <w:bCs/>
          <w:color w:val="auto"/>
          <w:kern w:val="2"/>
          <w:sz w:val="28"/>
          <w:szCs w:val="28"/>
          <w:highlight w:val="none"/>
          <w:lang w:val="en-US" w:eastAsia="zh-CN" w:bidi="ar-SA"/>
        </w:rPr>
      </w:pPr>
      <w:r>
        <w:rPr>
          <w:rFonts w:hint="eastAsia" w:ascii="宋体" w:hAnsi="宋体"/>
          <w:color w:val="auto"/>
          <w:sz w:val="18"/>
          <w:szCs w:val="18"/>
        </w:rPr>
        <w:t>附</w:t>
      </w:r>
      <w:r>
        <w:rPr>
          <w:rFonts w:hint="eastAsia" w:ascii="宋体" w:hAnsi="宋体"/>
          <w:color w:val="auto"/>
          <w:sz w:val="18"/>
          <w:szCs w:val="18"/>
          <w:lang w:val="en-US" w:eastAsia="zh-CN"/>
        </w:rPr>
        <w:t>授权书原件扫描件加盖公章</w:t>
      </w:r>
      <w:r>
        <w:rPr>
          <w:rFonts w:hint="eastAsia" w:ascii="宋体" w:hAnsi="宋体" w:eastAsia="宋体" w:cs="宋体"/>
          <w:color w:val="auto"/>
          <w:szCs w:val="21"/>
          <w:highlight w:val="none"/>
          <w:lang w:val="en-US" w:eastAsia="zh-CN"/>
        </w:rPr>
        <w:br w:type="page"/>
      </w:r>
      <w:r>
        <w:rPr>
          <w:rFonts w:hint="eastAsia" w:ascii="宋体" w:hAnsi="宋体" w:eastAsia="宋体" w:cs="宋体"/>
          <w:b/>
          <w:bCs/>
          <w:color w:val="auto"/>
          <w:kern w:val="2"/>
          <w:sz w:val="28"/>
          <w:szCs w:val="28"/>
          <w:highlight w:val="none"/>
          <w:lang w:val="en-US" w:eastAsia="zh-CN" w:bidi="ar-SA"/>
        </w:rPr>
        <w:t>十一、服务需求响应</w:t>
      </w:r>
    </w:p>
    <w:p>
      <w:pPr>
        <w:pStyle w:val="34"/>
        <w:numPr>
          <w:ilvl w:val="0"/>
          <w:numId w:val="0"/>
        </w:numPr>
        <w:ind w:left="240" w:hanging="210" w:hangingChars="1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pPr>
        <w:pStyle w:val="34"/>
        <w:jc w:val="center"/>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 xml:space="preserve">格式自拟 </w:t>
      </w:r>
      <w:r>
        <w:rPr>
          <w:rFonts w:hint="eastAsia" w:ascii="宋体" w:hAnsi="宋体" w:eastAsia="宋体" w:cs="宋体"/>
          <w:b/>
          <w:bCs/>
          <w:color w:val="auto"/>
          <w:kern w:val="2"/>
          <w:sz w:val="28"/>
          <w:szCs w:val="28"/>
          <w:highlight w:val="none"/>
          <w:lang w:val="en-US" w:eastAsia="zh-CN" w:bidi="ar-SA"/>
        </w:rPr>
        <w:t xml:space="preserve">    </w:t>
      </w:r>
    </w:p>
    <w:p>
      <w:pPr>
        <w:pStyle w:val="34"/>
        <w:jc w:val="center"/>
        <w:rPr>
          <w:rFonts w:hint="eastAsia" w:ascii="宋体" w:hAnsi="宋体" w:eastAsia="宋体" w:cs="宋体"/>
          <w:color w:val="auto"/>
          <w:kern w:val="2"/>
          <w:sz w:val="22"/>
          <w:szCs w:val="22"/>
          <w:highlight w:val="none"/>
          <w:lang w:val="en-US" w:eastAsia="zh-CN" w:bidi="ar-SA"/>
        </w:rPr>
      </w:pPr>
    </w:p>
    <w:p>
      <w:pPr>
        <w:rPr>
          <w:rFonts w:hint="eastAsia" w:ascii="宋体" w:hAnsi="宋体" w:eastAsia="宋体" w:cs="宋体"/>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jc w:val="left"/>
        <w:rPr>
          <w:rFonts w:hint="eastAsia"/>
          <w:color w:val="auto"/>
          <w:highlight w:val="none"/>
          <w:lang w:val="en-US" w:eastAsia="zh-CN"/>
        </w:rPr>
      </w:pPr>
    </w:p>
    <w:p>
      <w:pPr>
        <w:spacing w:line="360" w:lineRule="auto"/>
        <w:ind w:right="-97"/>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十二、运维服务方案</w:t>
      </w:r>
    </w:p>
    <w:p>
      <w:pPr>
        <w:pStyle w:val="105"/>
        <w:rPr>
          <w:rFonts w:hint="eastAsia"/>
          <w:color w:val="auto"/>
          <w:highlight w:val="none"/>
          <w:lang w:val="en-US" w:eastAsia="zh-CN"/>
        </w:rPr>
      </w:pPr>
    </w:p>
    <w:p>
      <w:pPr>
        <w:numPr>
          <w:ilvl w:val="0"/>
          <w:numId w:val="0"/>
        </w:numPr>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格式自拟</w:t>
      </w:r>
    </w:p>
    <w:p>
      <w:pPr>
        <w:bidi w:val="0"/>
        <w:rPr>
          <w:rFonts w:hint="eastAsia" w:ascii="宋体" w:hAnsi="宋体" w:eastAsia="宋体" w:cs="宋体"/>
          <w:b/>
          <w:bCs/>
          <w:color w:val="auto"/>
          <w:kern w:val="2"/>
          <w:sz w:val="28"/>
          <w:szCs w:val="28"/>
          <w:highlight w:val="none"/>
          <w:lang w:val="en-US" w:eastAsia="zh-CN" w:bidi="ar-SA"/>
        </w:rPr>
      </w:pPr>
    </w:p>
    <w:p>
      <w:pPr>
        <w:bidi w:val="0"/>
        <w:rPr>
          <w:rFonts w:hint="eastAsia" w:ascii="宋体" w:hAnsi="宋体" w:eastAsia="宋体" w:cs="宋体"/>
          <w:b/>
          <w:bCs/>
          <w:color w:val="auto"/>
          <w:kern w:val="2"/>
          <w:sz w:val="28"/>
          <w:szCs w:val="28"/>
          <w:highlight w:val="none"/>
          <w:lang w:val="en-US" w:eastAsia="zh-CN" w:bidi="ar-SA"/>
        </w:rPr>
      </w:pPr>
    </w:p>
    <w:p>
      <w:pPr>
        <w:bidi w:val="0"/>
        <w:rPr>
          <w:rFonts w:hint="eastAsia" w:ascii="宋体" w:hAnsi="宋体" w:eastAsia="宋体" w:cs="宋体"/>
          <w:b/>
          <w:bCs/>
          <w:color w:val="auto"/>
          <w:kern w:val="2"/>
          <w:sz w:val="28"/>
          <w:szCs w:val="28"/>
          <w:highlight w:val="none"/>
          <w:lang w:val="en-US" w:eastAsia="zh-CN" w:bidi="ar-SA"/>
        </w:rPr>
      </w:pPr>
    </w:p>
    <w:p>
      <w:pPr>
        <w:bidi w:val="0"/>
        <w:rPr>
          <w:rFonts w:hint="eastAsia" w:ascii="宋体" w:hAnsi="宋体" w:eastAsia="宋体" w:cs="宋体"/>
          <w:b/>
          <w:bCs/>
          <w:color w:val="auto"/>
          <w:kern w:val="2"/>
          <w:sz w:val="28"/>
          <w:szCs w:val="28"/>
          <w:highlight w:val="none"/>
          <w:lang w:val="en-US" w:eastAsia="zh-CN" w:bidi="ar-SA"/>
        </w:rPr>
      </w:pPr>
    </w:p>
    <w:p>
      <w:pPr>
        <w:spacing w:line="360" w:lineRule="auto"/>
        <w:ind w:right="-97"/>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十三、合理化方案</w:t>
      </w:r>
    </w:p>
    <w:p>
      <w:pPr>
        <w:numPr>
          <w:ilvl w:val="0"/>
          <w:numId w:val="0"/>
        </w:numPr>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格式自拟</w:t>
      </w:r>
    </w:p>
    <w:p>
      <w:pPr>
        <w:spacing w:line="360" w:lineRule="auto"/>
        <w:ind w:right="-97"/>
        <w:jc w:val="both"/>
        <w:rPr>
          <w:rFonts w:hint="eastAsia" w:hAnsi="宋体"/>
          <w:b/>
          <w:color w:val="auto"/>
          <w:sz w:val="28"/>
          <w:szCs w:val="28"/>
        </w:rPr>
      </w:pPr>
    </w:p>
    <w:p>
      <w:pPr>
        <w:spacing w:line="360" w:lineRule="auto"/>
        <w:ind w:right="-97"/>
        <w:jc w:val="center"/>
        <w:rPr>
          <w:rFonts w:hint="eastAsia" w:hAnsi="宋体"/>
          <w:b/>
          <w:color w:val="auto"/>
          <w:sz w:val="28"/>
          <w:szCs w:val="28"/>
        </w:rPr>
      </w:pPr>
    </w:p>
    <w:p>
      <w:pPr>
        <w:spacing w:line="360" w:lineRule="auto"/>
        <w:ind w:right="-97"/>
        <w:jc w:val="center"/>
        <w:rPr>
          <w:rFonts w:hint="eastAsia" w:hAnsi="宋体"/>
          <w:b/>
          <w:color w:val="auto"/>
          <w:sz w:val="28"/>
          <w:szCs w:val="28"/>
        </w:rPr>
      </w:pPr>
    </w:p>
    <w:p>
      <w:pPr>
        <w:pStyle w:val="13"/>
        <w:numPr>
          <w:ilvl w:val="0"/>
          <w:numId w:val="7"/>
        </w:numPr>
        <w:jc w:val="center"/>
        <w:rPr>
          <w:rFonts w:hint="eastAsia" w:ascii="Times New Roman" w:hAnsi="宋体" w:eastAsia="宋体" w:cs="Times New Roman"/>
          <w:b/>
          <w:color w:val="auto"/>
          <w:kern w:val="2"/>
          <w:sz w:val="28"/>
          <w:szCs w:val="28"/>
          <w:lang w:val="en-US" w:eastAsia="zh-CN" w:bidi="ar-SA"/>
        </w:rPr>
      </w:pPr>
      <w:r>
        <w:rPr>
          <w:rFonts w:hint="eastAsia" w:ascii="Times New Roman" w:hAnsi="宋体" w:eastAsia="宋体" w:cs="Times New Roman"/>
          <w:b/>
          <w:color w:val="auto"/>
          <w:kern w:val="2"/>
          <w:sz w:val="28"/>
          <w:szCs w:val="28"/>
          <w:lang w:val="en-US" w:eastAsia="zh-CN" w:bidi="ar-SA"/>
        </w:rPr>
        <w:t>维护保养服务方案</w:t>
      </w:r>
    </w:p>
    <w:p>
      <w:pPr>
        <w:pStyle w:val="13"/>
        <w:numPr>
          <w:ilvl w:val="0"/>
          <w:numId w:val="0"/>
        </w:numPr>
        <w:jc w:val="center"/>
        <w:rPr>
          <w:rFonts w:hint="default"/>
          <w:color w:val="auto"/>
          <w:lang w:val="en-US" w:eastAsia="zh-CN"/>
        </w:rPr>
      </w:pPr>
      <w:r>
        <w:rPr>
          <w:rFonts w:hint="eastAsia"/>
          <w:color w:val="auto"/>
          <w:lang w:val="en-US" w:eastAsia="zh-CN"/>
        </w:rPr>
        <w:t>格式自拟</w:t>
      </w:r>
    </w:p>
    <w:p>
      <w:pPr>
        <w:numPr>
          <w:ilvl w:val="0"/>
          <w:numId w:val="0"/>
        </w:numPr>
        <w:spacing w:line="360" w:lineRule="auto"/>
        <w:ind w:leftChars="0" w:right="-97" w:rightChars="0"/>
        <w:jc w:val="center"/>
        <w:rPr>
          <w:rFonts w:hint="eastAsia" w:ascii="Times New Roman" w:hAnsi="宋体" w:eastAsia="宋体" w:cs="Times New Roman"/>
          <w:b/>
          <w:color w:val="auto"/>
          <w:sz w:val="28"/>
          <w:szCs w:val="28"/>
          <w:lang w:val="en-US" w:eastAsia="zh-CN"/>
        </w:rPr>
      </w:pPr>
    </w:p>
    <w:p>
      <w:pPr>
        <w:numPr>
          <w:ilvl w:val="0"/>
          <w:numId w:val="0"/>
        </w:numPr>
        <w:spacing w:line="360" w:lineRule="auto"/>
        <w:ind w:leftChars="0" w:right="-97" w:rightChars="0"/>
        <w:jc w:val="center"/>
        <w:rPr>
          <w:rFonts w:hint="eastAsia" w:ascii="Times New Roman" w:hAnsi="宋体" w:eastAsia="宋体" w:cs="Times New Roman"/>
          <w:b/>
          <w:color w:val="auto"/>
          <w:sz w:val="28"/>
          <w:szCs w:val="28"/>
          <w:lang w:val="en-US" w:eastAsia="zh-CN"/>
        </w:rPr>
      </w:pPr>
    </w:p>
    <w:p>
      <w:pPr>
        <w:numPr>
          <w:ilvl w:val="0"/>
          <w:numId w:val="0"/>
        </w:numPr>
        <w:spacing w:line="360" w:lineRule="auto"/>
        <w:ind w:leftChars="0" w:right="-97" w:rightChars="0"/>
        <w:jc w:val="center"/>
        <w:rPr>
          <w:rFonts w:hint="eastAsia" w:ascii="Times New Roman" w:hAnsi="宋体" w:eastAsia="宋体" w:cs="Times New Roman"/>
          <w:b/>
          <w:color w:val="auto"/>
          <w:sz w:val="28"/>
          <w:szCs w:val="28"/>
          <w:lang w:val="en-US" w:eastAsia="zh-CN"/>
        </w:rPr>
      </w:pPr>
      <w:r>
        <w:rPr>
          <w:rFonts w:hint="eastAsia" w:ascii="Times New Roman" w:hAnsi="宋体" w:eastAsia="宋体" w:cs="Times New Roman"/>
          <w:b/>
          <w:color w:val="auto"/>
          <w:sz w:val="28"/>
          <w:szCs w:val="28"/>
          <w:lang w:val="en-US" w:eastAsia="zh-CN"/>
        </w:rPr>
        <w:t>十五、应急预案</w:t>
      </w:r>
    </w:p>
    <w:p>
      <w:pPr>
        <w:pStyle w:val="13"/>
        <w:numPr>
          <w:ilvl w:val="0"/>
          <w:numId w:val="0"/>
        </w:numPr>
        <w:jc w:val="center"/>
        <w:rPr>
          <w:rFonts w:hint="default"/>
          <w:color w:val="auto"/>
          <w:lang w:val="en-US" w:eastAsia="zh-CN"/>
        </w:rPr>
      </w:pPr>
      <w:r>
        <w:rPr>
          <w:rFonts w:hint="eastAsia"/>
          <w:color w:val="auto"/>
          <w:lang w:val="en-US" w:eastAsia="zh-CN"/>
        </w:rPr>
        <w:t>格式自拟</w:t>
      </w:r>
    </w:p>
    <w:p>
      <w:pPr>
        <w:pStyle w:val="13"/>
        <w:numPr>
          <w:ilvl w:val="0"/>
          <w:numId w:val="0"/>
        </w:numPr>
        <w:ind w:leftChars="0"/>
        <w:rPr>
          <w:rFonts w:hint="eastAsia"/>
          <w:color w:val="auto"/>
          <w:lang w:val="en-US" w:eastAsia="zh-CN"/>
        </w:rPr>
      </w:pPr>
    </w:p>
    <w:p>
      <w:pPr>
        <w:pStyle w:val="14"/>
        <w:rPr>
          <w:rFonts w:hint="eastAsia"/>
          <w:color w:val="auto"/>
          <w:lang w:val="en-US" w:eastAsia="zh-CN"/>
        </w:rPr>
      </w:pPr>
    </w:p>
    <w:p>
      <w:pPr>
        <w:pStyle w:val="13"/>
        <w:rPr>
          <w:rFonts w:hint="eastAsia"/>
          <w:color w:val="auto"/>
          <w:lang w:val="en-US" w:eastAsia="zh-CN"/>
        </w:rPr>
      </w:pPr>
    </w:p>
    <w:p>
      <w:pPr>
        <w:pStyle w:val="13"/>
        <w:numPr>
          <w:ilvl w:val="0"/>
          <w:numId w:val="0"/>
        </w:numPr>
        <w:jc w:val="center"/>
        <w:rPr>
          <w:rFonts w:hint="eastAsia" w:ascii="Times New Roman" w:hAnsi="宋体" w:eastAsia="宋体" w:cs="Times New Roman"/>
          <w:b/>
          <w:color w:val="auto"/>
          <w:sz w:val="28"/>
          <w:szCs w:val="28"/>
          <w:lang w:val="en-US" w:eastAsia="zh-CN"/>
        </w:rPr>
      </w:pPr>
      <w:r>
        <w:rPr>
          <w:rFonts w:hint="eastAsia" w:ascii="Times New Roman" w:hAnsi="宋体" w:eastAsia="宋体" w:cs="Times New Roman"/>
          <w:b/>
          <w:color w:val="auto"/>
          <w:sz w:val="28"/>
          <w:szCs w:val="28"/>
          <w:lang w:val="en-US" w:eastAsia="zh-CN"/>
        </w:rPr>
        <w:t>十六、整体服务解决方案</w:t>
      </w:r>
    </w:p>
    <w:p>
      <w:pPr>
        <w:pStyle w:val="13"/>
        <w:numPr>
          <w:ilvl w:val="0"/>
          <w:numId w:val="0"/>
        </w:numPr>
        <w:ind w:leftChars="0"/>
        <w:jc w:val="center"/>
        <w:rPr>
          <w:rFonts w:hint="default"/>
          <w:color w:val="auto"/>
          <w:lang w:val="en-US" w:eastAsia="zh-CN"/>
        </w:rPr>
      </w:pPr>
      <w:r>
        <w:rPr>
          <w:rFonts w:hint="eastAsia"/>
          <w:color w:val="auto"/>
          <w:lang w:val="en-US" w:eastAsia="zh-CN"/>
        </w:rPr>
        <w:t>格式自拟</w:t>
      </w:r>
    </w:p>
    <w:p>
      <w:pPr>
        <w:pStyle w:val="13"/>
        <w:numPr>
          <w:ilvl w:val="0"/>
          <w:numId w:val="0"/>
        </w:numPr>
        <w:ind w:leftChars="0"/>
        <w:rPr>
          <w:rFonts w:hint="eastAsia"/>
          <w:color w:val="auto"/>
          <w:lang w:val="en-US" w:eastAsia="zh-CN"/>
        </w:rPr>
      </w:pPr>
    </w:p>
    <w:p>
      <w:pPr>
        <w:numPr>
          <w:ilvl w:val="0"/>
          <w:numId w:val="0"/>
        </w:numPr>
        <w:spacing w:line="360" w:lineRule="auto"/>
        <w:ind w:leftChars="0" w:right="-97" w:rightChars="0"/>
        <w:jc w:val="center"/>
        <w:rPr>
          <w:rFonts w:hint="eastAsia" w:ascii="Times New Roman" w:hAnsi="宋体" w:eastAsia="宋体" w:cs="Times New Roman"/>
          <w:b/>
          <w:color w:val="auto"/>
          <w:sz w:val="28"/>
          <w:szCs w:val="28"/>
          <w:lang w:val="en-US" w:eastAsia="zh-CN"/>
        </w:rPr>
      </w:pPr>
    </w:p>
    <w:p>
      <w:pPr>
        <w:numPr>
          <w:ilvl w:val="0"/>
          <w:numId w:val="0"/>
        </w:numPr>
        <w:spacing w:line="360" w:lineRule="auto"/>
        <w:ind w:leftChars="0" w:right="-97" w:rightChars="0"/>
        <w:jc w:val="center"/>
        <w:rPr>
          <w:rFonts w:hint="eastAsia" w:ascii="Times New Roman" w:hAnsi="宋体" w:eastAsia="宋体" w:cs="Times New Roman"/>
          <w:b/>
          <w:color w:val="auto"/>
          <w:sz w:val="28"/>
          <w:szCs w:val="28"/>
          <w:lang w:val="en-US" w:eastAsia="zh-CN"/>
        </w:rPr>
      </w:pPr>
    </w:p>
    <w:p>
      <w:pPr>
        <w:numPr>
          <w:ilvl w:val="0"/>
          <w:numId w:val="0"/>
        </w:numPr>
        <w:spacing w:line="360" w:lineRule="auto"/>
        <w:ind w:leftChars="0" w:right="-97" w:rightChars="0"/>
        <w:jc w:val="center"/>
        <w:rPr>
          <w:rFonts w:hint="default" w:ascii="Times New Roman" w:hAnsi="宋体" w:eastAsia="宋体" w:cs="Times New Roman"/>
          <w:b/>
          <w:color w:val="auto"/>
          <w:sz w:val="28"/>
          <w:szCs w:val="28"/>
          <w:lang w:val="en-US" w:eastAsia="zh-CN"/>
        </w:rPr>
      </w:pPr>
      <w:r>
        <w:rPr>
          <w:rFonts w:hint="eastAsia" w:ascii="Times New Roman" w:hAnsi="宋体" w:eastAsia="宋体" w:cs="Times New Roman"/>
          <w:b/>
          <w:color w:val="auto"/>
          <w:sz w:val="28"/>
          <w:szCs w:val="28"/>
          <w:lang w:val="en-US" w:eastAsia="zh-CN"/>
        </w:rPr>
        <w:t>十七、企业实力</w:t>
      </w:r>
    </w:p>
    <w:p>
      <w:pPr>
        <w:pStyle w:val="13"/>
        <w:numPr>
          <w:ilvl w:val="0"/>
          <w:numId w:val="0"/>
        </w:numPr>
        <w:ind w:leftChars="0"/>
        <w:jc w:val="center"/>
        <w:rPr>
          <w:rFonts w:hint="default"/>
          <w:color w:val="auto"/>
          <w:lang w:val="en-US" w:eastAsia="zh-CN"/>
        </w:rPr>
      </w:pPr>
      <w:r>
        <w:rPr>
          <w:rFonts w:hint="eastAsia"/>
          <w:color w:val="auto"/>
          <w:lang w:val="en-US" w:eastAsia="zh-CN"/>
        </w:rPr>
        <w:t>格式自拟</w:t>
      </w:r>
    </w:p>
    <w:p>
      <w:pPr>
        <w:pStyle w:val="13"/>
        <w:numPr>
          <w:ilvl w:val="0"/>
          <w:numId w:val="0"/>
        </w:numPr>
        <w:rPr>
          <w:rFonts w:hint="default"/>
          <w:color w:val="auto"/>
          <w:lang w:val="en-US" w:eastAsia="zh-CN"/>
        </w:rPr>
      </w:pPr>
    </w:p>
    <w:p>
      <w:pPr>
        <w:pStyle w:val="14"/>
        <w:rPr>
          <w:rFonts w:hint="eastAsia"/>
          <w:color w:val="auto"/>
          <w:lang w:val="zh-CN" w:eastAsia="zh-CN"/>
        </w:rPr>
      </w:pPr>
    </w:p>
    <w:p>
      <w:pPr>
        <w:spacing w:line="360" w:lineRule="auto"/>
        <w:ind w:right="-97"/>
        <w:jc w:val="center"/>
        <w:rPr>
          <w:rFonts w:hint="default" w:ascii="Times New Roman" w:hAnsi="宋体" w:eastAsia="宋体" w:cs="Times New Roman"/>
          <w:b/>
          <w:color w:val="auto"/>
          <w:sz w:val="28"/>
          <w:szCs w:val="28"/>
          <w:lang w:val="en-US" w:eastAsia="zh-CN"/>
        </w:rPr>
      </w:pPr>
      <w:r>
        <w:rPr>
          <w:rFonts w:hint="eastAsia" w:ascii="Times New Roman" w:hAnsi="宋体" w:eastAsia="宋体" w:cs="Times New Roman"/>
          <w:b/>
          <w:color w:val="auto"/>
          <w:sz w:val="28"/>
          <w:szCs w:val="28"/>
          <w:lang w:val="en-US" w:eastAsia="zh-CN"/>
        </w:rPr>
        <w:t>十八、中、小微企业声明函</w:t>
      </w:r>
    </w:p>
    <w:p>
      <w:pPr>
        <w:spacing w:line="360" w:lineRule="auto"/>
        <w:ind w:right="-97"/>
        <w:jc w:val="both"/>
        <w:rPr>
          <w:rFonts w:ascii="宋体" w:hAnsi="宋体"/>
          <w:b/>
          <w:color w:val="auto"/>
          <w:sz w:val="28"/>
          <w:szCs w:val="28"/>
        </w:rPr>
      </w:pPr>
    </w:p>
    <w:p>
      <w:pPr>
        <w:pStyle w:val="15"/>
        <w:spacing w:line="360" w:lineRule="auto"/>
        <w:rPr>
          <w:rFonts w:ascii="宋体" w:hAnsi="宋体"/>
          <w:color w:val="auto"/>
        </w:rPr>
      </w:pPr>
    </w:p>
    <w:p>
      <w:pPr>
        <w:pStyle w:val="15"/>
        <w:spacing w:line="360" w:lineRule="auto"/>
        <w:rPr>
          <w:rFonts w:ascii="宋体" w:hAnsi="宋体"/>
          <w:bCs/>
          <w:color w:val="auto"/>
          <w:sz w:val="21"/>
          <w:szCs w:val="21"/>
          <w:u w:val="single"/>
        </w:rPr>
      </w:pP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项目名称：</w:t>
      </w:r>
      <w:r>
        <w:rPr>
          <w:rFonts w:hint="eastAsia" w:ascii="宋体" w:hAnsi="宋体"/>
          <w:bCs/>
          <w:color w:val="auto"/>
          <w:sz w:val="21"/>
          <w:szCs w:val="21"/>
          <w:u w:val="single"/>
        </w:rPr>
        <w:t xml:space="preserve">          </w:t>
      </w:r>
    </w:p>
    <w:p>
      <w:pPr>
        <w:pStyle w:val="15"/>
        <w:spacing w:line="360" w:lineRule="auto"/>
        <w:rPr>
          <w:rFonts w:ascii="宋体" w:hAnsi="宋体"/>
          <w:color w:val="auto"/>
          <w:spacing w:val="6"/>
          <w:sz w:val="21"/>
          <w:szCs w:val="21"/>
        </w:rPr>
      </w:pPr>
      <w:r>
        <w:rPr>
          <w:rFonts w:hint="eastAsia" w:ascii="宋体" w:hAnsi="宋体"/>
          <w:color w:val="auto"/>
          <w:spacing w:val="6"/>
          <w:sz w:val="21"/>
          <w:szCs w:val="21"/>
        </w:rPr>
        <w:t>本公司郑重声明，根据《政府采购促进中小企业发展暂行办法》（财库[2011]181号）的规定，本公司为</w:t>
      </w:r>
      <w:r>
        <w:rPr>
          <w:rFonts w:hint="eastAsia" w:ascii="宋体" w:hAnsi="宋体"/>
          <w:color w:val="auto"/>
          <w:spacing w:val="6"/>
          <w:sz w:val="21"/>
          <w:szCs w:val="21"/>
          <w:u w:val="single"/>
        </w:rPr>
        <w:t xml:space="preserve">     </w:t>
      </w:r>
      <w:r>
        <w:rPr>
          <w:rFonts w:hint="eastAsia" w:ascii="宋体" w:hAnsi="宋体"/>
          <w:color w:val="auto"/>
          <w:spacing w:val="6"/>
          <w:sz w:val="21"/>
          <w:szCs w:val="21"/>
        </w:rPr>
        <w:t>（请填写：中型、小型、微型）企业。即，本公司同时满足以下条件：</w:t>
      </w:r>
    </w:p>
    <w:p>
      <w:pPr>
        <w:spacing w:line="360" w:lineRule="auto"/>
        <w:ind w:firstLine="444" w:firstLineChars="200"/>
        <w:rPr>
          <w:rFonts w:ascii="宋体" w:hAnsi="宋体"/>
          <w:color w:val="auto"/>
          <w:spacing w:val="6"/>
          <w:sz w:val="21"/>
          <w:szCs w:val="21"/>
        </w:rPr>
      </w:pPr>
      <w:r>
        <w:rPr>
          <w:rFonts w:hint="eastAsia" w:ascii="宋体" w:hAnsi="宋体"/>
          <w:color w:val="auto"/>
          <w:spacing w:val="6"/>
          <w:sz w:val="21"/>
          <w:szCs w:val="21"/>
        </w:rPr>
        <w:t>1.根据《工业和信息化部、国家统计局、国家发展和改革委员会、财政部关于印发中小企业划型标准规定的通知》（工信部联企业[2011]300号）规定的划分标准，本公司为</w:t>
      </w:r>
      <w:r>
        <w:rPr>
          <w:rFonts w:hint="eastAsia" w:ascii="宋体" w:hAnsi="宋体"/>
          <w:color w:val="auto"/>
          <w:spacing w:val="6"/>
          <w:sz w:val="21"/>
          <w:szCs w:val="21"/>
          <w:u w:val="single"/>
        </w:rPr>
        <w:t xml:space="preserve">  中型 </w:t>
      </w:r>
      <w:r>
        <w:rPr>
          <w:rFonts w:hint="eastAsia" w:ascii="宋体" w:hAnsi="宋体"/>
          <w:color w:val="auto"/>
          <w:spacing w:val="6"/>
          <w:sz w:val="21"/>
          <w:szCs w:val="21"/>
        </w:rPr>
        <w:t>（请填写：中型、小型、微型）企业。</w:t>
      </w:r>
    </w:p>
    <w:p>
      <w:pPr>
        <w:spacing w:line="360" w:lineRule="auto"/>
        <w:ind w:firstLine="444" w:firstLineChars="200"/>
        <w:rPr>
          <w:rFonts w:ascii="宋体" w:hAnsi="宋体"/>
          <w:color w:val="auto"/>
          <w:spacing w:val="6"/>
          <w:sz w:val="21"/>
          <w:szCs w:val="21"/>
        </w:rPr>
      </w:pPr>
      <w:r>
        <w:rPr>
          <w:rFonts w:hint="eastAsia" w:ascii="宋体" w:hAnsi="宋体"/>
          <w:color w:val="auto"/>
          <w:spacing w:val="6"/>
          <w:sz w:val="21"/>
          <w:szCs w:val="21"/>
        </w:rPr>
        <w:t>2.本公司参加</w:t>
      </w:r>
      <w:r>
        <w:rPr>
          <w:rFonts w:hint="eastAsia" w:ascii="宋体" w:hAnsi="宋体"/>
          <w:color w:val="auto"/>
          <w:spacing w:val="6"/>
          <w:sz w:val="21"/>
          <w:szCs w:val="21"/>
          <w:u w:val="single"/>
        </w:rPr>
        <w:t>（采购人）</w:t>
      </w:r>
      <w:r>
        <w:rPr>
          <w:rFonts w:hint="eastAsia" w:ascii="宋体" w:hAnsi="宋体"/>
          <w:color w:val="auto"/>
          <w:spacing w:val="6"/>
          <w:sz w:val="21"/>
          <w:szCs w:val="21"/>
        </w:rPr>
        <w:t>单位的</w:t>
      </w:r>
      <w:r>
        <w:rPr>
          <w:rFonts w:hint="eastAsia" w:ascii="宋体" w:hAnsi="宋体"/>
          <w:color w:val="auto"/>
          <w:spacing w:val="6"/>
          <w:sz w:val="21"/>
          <w:szCs w:val="21"/>
          <w:u w:val="single"/>
        </w:rPr>
        <w:t>（项目名称）</w:t>
      </w:r>
      <w:r>
        <w:rPr>
          <w:rFonts w:hint="eastAsia" w:ascii="宋体" w:hAnsi="宋体"/>
          <w:color w:val="auto"/>
          <w:spacing w:val="6"/>
          <w:sz w:val="21"/>
          <w:szCs w:val="21"/>
        </w:rPr>
        <w:t xml:space="preserve">项目采购活动提供本企业制造的货物，由本企业承担工程、提供服务，或者提供其他 </w:t>
      </w:r>
      <w:r>
        <w:rPr>
          <w:rFonts w:hint="eastAsia" w:ascii="宋体" w:hAnsi="宋体"/>
          <w:color w:val="auto"/>
          <w:spacing w:val="6"/>
          <w:sz w:val="21"/>
          <w:szCs w:val="21"/>
          <w:u w:val="single"/>
        </w:rPr>
        <w:t xml:space="preserve">    </w:t>
      </w:r>
      <w:r>
        <w:rPr>
          <w:rFonts w:hint="eastAsia" w:ascii="宋体" w:hAnsi="宋体"/>
          <w:color w:val="auto"/>
          <w:spacing w:val="6"/>
          <w:sz w:val="21"/>
          <w:szCs w:val="21"/>
        </w:rPr>
        <w:t>（请填写：中型、小型、微型）企业制造的货物。本条所称货物不包括使用大型企业注册商标的货物。</w:t>
      </w:r>
    </w:p>
    <w:p>
      <w:pPr>
        <w:spacing w:line="360" w:lineRule="auto"/>
        <w:ind w:firstLine="444" w:firstLineChars="200"/>
        <w:rPr>
          <w:rFonts w:ascii="宋体" w:hAnsi="宋体"/>
          <w:color w:val="auto"/>
          <w:spacing w:val="6"/>
          <w:sz w:val="21"/>
          <w:szCs w:val="21"/>
        </w:rPr>
      </w:pPr>
      <w:r>
        <w:rPr>
          <w:rFonts w:hint="eastAsia" w:ascii="宋体" w:hAnsi="宋体"/>
          <w:color w:val="auto"/>
          <w:spacing w:val="6"/>
          <w:sz w:val="21"/>
          <w:szCs w:val="21"/>
        </w:rPr>
        <w:t>本公司对上述声明的真实性负责。如有虚假，将依法承担相应责任。</w:t>
      </w:r>
    </w:p>
    <w:p>
      <w:pPr>
        <w:pStyle w:val="3"/>
        <w:ind w:firstLine="1470" w:firstLineChars="700"/>
        <w:rPr>
          <w:rFonts w:hAnsi="宋体" w:cs="Times New Roman"/>
          <w:color w:val="auto"/>
          <w:sz w:val="21"/>
          <w:szCs w:val="21"/>
        </w:rPr>
      </w:pPr>
      <w:r>
        <w:rPr>
          <w:rFonts w:hint="eastAsia" w:hAnsi="宋体" w:cs="Times New Roman"/>
          <w:color w:val="auto"/>
          <w:sz w:val="21"/>
          <w:szCs w:val="21"/>
        </w:rPr>
        <w:t xml:space="preserve">供应商名称（盖章）： </w:t>
      </w:r>
      <w:r>
        <w:rPr>
          <w:rFonts w:hint="eastAsia" w:hAnsi="宋体" w:cs="Times New Roman"/>
          <w:color w:val="auto"/>
          <w:sz w:val="21"/>
          <w:szCs w:val="21"/>
          <w:u w:val="single"/>
        </w:rPr>
        <w:t xml:space="preserve">                           </w:t>
      </w:r>
    </w:p>
    <w:p>
      <w:pPr>
        <w:pStyle w:val="3"/>
        <w:ind w:firstLine="1470" w:firstLineChars="700"/>
        <w:rPr>
          <w:rFonts w:hAnsi="宋体" w:cs="Times New Roman"/>
          <w:color w:val="auto"/>
          <w:sz w:val="21"/>
          <w:szCs w:val="21"/>
        </w:rPr>
      </w:pPr>
      <w:r>
        <w:rPr>
          <w:rFonts w:hint="eastAsia" w:hAnsi="宋体" w:cs="Times New Roman"/>
          <w:color w:val="auto"/>
          <w:sz w:val="21"/>
          <w:szCs w:val="21"/>
        </w:rPr>
        <w:t xml:space="preserve">法定代表人或委托代理人（签字或盖章）：  </w:t>
      </w:r>
      <w:r>
        <w:rPr>
          <w:rFonts w:hint="eastAsia" w:hAnsi="宋体" w:cs="Times New Roman"/>
          <w:color w:val="auto"/>
          <w:sz w:val="21"/>
          <w:szCs w:val="21"/>
          <w:u w:val="single"/>
        </w:rPr>
        <w:t xml:space="preserve">                      </w:t>
      </w:r>
      <w:r>
        <w:rPr>
          <w:rFonts w:hint="eastAsia" w:hAnsi="宋体" w:cs="Times New Roman"/>
          <w:color w:val="auto"/>
          <w:sz w:val="21"/>
          <w:szCs w:val="21"/>
        </w:rPr>
        <w:t xml:space="preserve">                     </w:t>
      </w:r>
    </w:p>
    <w:p>
      <w:pPr>
        <w:pStyle w:val="3"/>
        <w:ind w:firstLine="420" w:firstLineChars="200"/>
        <w:rPr>
          <w:rFonts w:hAnsi="宋体" w:cs="Times New Roman"/>
          <w:color w:val="auto"/>
          <w:sz w:val="21"/>
          <w:szCs w:val="21"/>
        </w:rPr>
      </w:pPr>
      <w:r>
        <w:rPr>
          <w:rFonts w:hint="eastAsia" w:hAnsi="宋体" w:cs="Times New Roman"/>
          <w:color w:val="auto"/>
          <w:sz w:val="21"/>
          <w:szCs w:val="21"/>
        </w:rPr>
        <w:t xml:space="preserve">          日 期： </w:t>
      </w:r>
      <w:r>
        <w:rPr>
          <w:rFonts w:hint="eastAsia" w:hAnsi="宋体" w:cs="Times New Roman"/>
          <w:color w:val="auto"/>
          <w:sz w:val="21"/>
          <w:szCs w:val="21"/>
          <w:u w:val="single"/>
        </w:rPr>
        <w:t xml:space="preserve">           </w:t>
      </w:r>
      <w:r>
        <w:rPr>
          <w:rFonts w:hint="eastAsia" w:hAnsi="宋体" w:cs="Times New Roman"/>
          <w:color w:val="auto"/>
          <w:sz w:val="21"/>
          <w:szCs w:val="21"/>
        </w:rPr>
        <w:t>年</w:t>
      </w:r>
      <w:r>
        <w:rPr>
          <w:rFonts w:hint="eastAsia" w:hAnsi="宋体" w:cs="Times New Roman"/>
          <w:color w:val="auto"/>
          <w:sz w:val="21"/>
          <w:szCs w:val="21"/>
          <w:u w:val="single"/>
        </w:rPr>
        <w:t xml:space="preserve">      </w:t>
      </w:r>
      <w:r>
        <w:rPr>
          <w:rFonts w:hint="eastAsia" w:hAnsi="宋体" w:cs="Times New Roman"/>
          <w:color w:val="auto"/>
          <w:sz w:val="21"/>
          <w:szCs w:val="21"/>
        </w:rPr>
        <w:t>月</w:t>
      </w:r>
      <w:r>
        <w:rPr>
          <w:rFonts w:hint="eastAsia" w:hAnsi="宋体" w:cs="Times New Roman"/>
          <w:color w:val="auto"/>
          <w:sz w:val="21"/>
          <w:szCs w:val="21"/>
          <w:u w:val="single"/>
        </w:rPr>
        <w:t xml:space="preserve">      </w:t>
      </w:r>
      <w:r>
        <w:rPr>
          <w:rFonts w:hint="eastAsia" w:hAnsi="宋体" w:cs="Times New Roman"/>
          <w:color w:val="auto"/>
          <w:sz w:val="21"/>
          <w:szCs w:val="21"/>
        </w:rPr>
        <w:t>日</w:t>
      </w:r>
    </w:p>
    <w:p>
      <w:pPr>
        <w:bidi w:val="0"/>
        <w:jc w:val="center"/>
        <w:rPr>
          <w:rFonts w:hint="eastAsia" w:ascii="宋体" w:hAnsi="宋体" w:eastAsia="宋体" w:cs="宋体"/>
          <w:b/>
          <w:bCs/>
          <w:color w:val="auto"/>
          <w:kern w:val="2"/>
          <w:sz w:val="28"/>
          <w:szCs w:val="28"/>
          <w:highlight w:val="none"/>
          <w:lang w:val="en-US" w:eastAsia="zh-CN" w:bidi="ar-SA"/>
        </w:rPr>
      </w:pPr>
    </w:p>
    <w:p>
      <w:pPr>
        <w:pStyle w:val="13"/>
        <w:rPr>
          <w:rFonts w:hint="eastAsia" w:ascii="宋体" w:hAnsi="宋体" w:eastAsia="宋体" w:cs="宋体"/>
          <w:b/>
          <w:bCs/>
          <w:color w:val="auto"/>
          <w:kern w:val="2"/>
          <w:sz w:val="28"/>
          <w:szCs w:val="28"/>
          <w:highlight w:val="none"/>
          <w:lang w:val="en-US" w:eastAsia="zh-CN" w:bidi="ar-SA"/>
        </w:rPr>
      </w:pPr>
    </w:p>
    <w:p>
      <w:pPr>
        <w:pStyle w:val="14"/>
        <w:rPr>
          <w:rFonts w:hint="eastAsia" w:ascii="宋体" w:hAnsi="宋体" w:eastAsia="宋体" w:cs="宋体"/>
          <w:b/>
          <w:bCs/>
          <w:color w:val="auto"/>
          <w:kern w:val="2"/>
          <w:sz w:val="28"/>
          <w:szCs w:val="28"/>
          <w:highlight w:val="none"/>
          <w:lang w:val="en-US" w:eastAsia="zh-CN" w:bidi="ar-SA"/>
        </w:rPr>
      </w:pPr>
    </w:p>
    <w:p>
      <w:pPr>
        <w:pStyle w:val="14"/>
        <w:rPr>
          <w:rFonts w:hint="eastAsia" w:ascii="宋体" w:hAnsi="宋体" w:eastAsia="宋体" w:cs="宋体"/>
          <w:b/>
          <w:bCs/>
          <w:color w:val="auto"/>
          <w:kern w:val="2"/>
          <w:sz w:val="28"/>
          <w:szCs w:val="28"/>
          <w:highlight w:val="none"/>
          <w:lang w:val="en-US" w:eastAsia="zh-CN" w:bidi="ar-SA"/>
        </w:rPr>
      </w:pPr>
    </w:p>
    <w:p>
      <w:pPr>
        <w:pStyle w:val="13"/>
        <w:rPr>
          <w:rFonts w:hint="eastAsia" w:ascii="宋体" w:hAnsi="宋体" w:eastAsia="宋体" w:cs="宋体"/>
          <w:b/>
          <w:bCs/>
          <w:color w:val="auto"/>
          <w:kern w:val="2"/>
          <w:sz w:val="28"/>
          <w:szCs w:val="28"/>
          <w:highlight w:val="none"/>
          <w:lang w:val="en-US" w:eastAsia="zh-CN" w:bidi="ar-SA"/>
        </w:rPr>
      </w:pPr>
    </w:p>
    <w:p>
      <w:pPr>
        <w:pStyle w:val="14"/>
        <w:rPr>
          <w:rFonts w:hint="eastAsia"/>
          <w:color w:val="auto"/>
          <w:lang w:val="en-US" w:eastAsia="zh-CN"/>
        </w:rPr>
      </w:pPr>
    </w:p>
    <w:p>
      <w:pPr>
        <w:pStyle w:val="14"/>
        <w:jc w:val="center"/>
        <w:rPr>
          <w:rFonts w:hint="eastAsia"/>
          <w:color w:val="auto"/>
          <w:lang w:val="en-US" w:eastAsia="zh-CN"/>
        </w:rPr>
      </w:pPr>
      <w:r>
        <w:rPr>
          <w:rFonts w:hint="eastAsia" w:ascii="Times New Roman" w:hAnsi="宋体" w:eastAsia="宋体" w:cs="Times New Roman"/>
          <w:b/>
          <w:color w:val="auto"/>
          <w:sz w:val="28"/>
          <w:szCs w:val="28"/>
          <w:lang w:val="en-US" w:eastAsia="zh-CN"/>
        </w:rPr>
        <w:t>十九、供应商认为有必要提供的其他证明材料</w:t>
      </w:r>
    </w:p>
    <w:p>
      <w:pPr>
        <w:pStyle w:val="3"/>
        <w:ind w:firstLine="482" w:firstLineChars="200"/>
        <w:jc w:val="both"/>
        <w:rPr>
          <w:rFonts w:hint="eastAsia" w:ascii="宋体" w:hAnsi="宋体" w:eastAsia="宋体" w:cs="宋体"/>
          <w:b/>
          <w:sz w:val="24"/>
          <w:szCs w:val="24"/>
        </w:rPr>
      </w:pPr>
    </w:p>
    <w:sectPr>
      <w:headerReference r:id="rId8" w:type="default"/>
      <w:footerReference r:id="rId9" w:type="default"/>
      <w:pgSz w:w="11900" w:h="16838"/>
      <w:pgMar w:top="1440" w:right="966" w:bottom="448" w:left="1080" w:header="0" w:footer="0" w:gutter="0"/>
      <w:cols w:equalWidth="0" w:num="1">
        <w:col w:w="98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MBCOU+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2"/>
                          </w:pPr>
                          <w:r>
                            <w:rPr>
                              <w:rFonts w:ascii="Tahoma" w:hAnsi="Tahoma" w:cs="Tahoma"/>
                              <w:kern w:val="0"/>
                              <w:szCs w:val="21"/>
                            </w:rPr>
                            <w:fldChar w:fldCharType="begin"/>
                          </w:r>
                          <w:r>
                            <w:rPr>
                              <w:rStyle w:val="40"/>
                              <w:rFonts w:ascii="Tahoma" w:hAnsi="Tahoma" w:cs="Tahoma"/>
                              <w:kern w:val="0"/>
                            </w:rPr>
                            <w:instrText xml:space="preserve"> PAGE  </w:instrText>
                          </w:r>
                          <w:r>
                            <w:rPr>
                              <w:rFonts w:ascii="Tahoma" w:hAnsi="Tahoma" w:cs="Tahoma"/>
                              <w:kern w:val="0"/>
                              <w:szCs w:val="21"/>
                            </w:rPr>
                            <w:fldChar w:fldCharType="separate"/>
                          </w:r>
                          <w:r>
                            <w:rPr>
                              <w:rStyle w:val="40"/>
                              <w:rFonts w:ascii="Tahoma" w:hAnsi="Tahoma" w:cs="Tahoma"/>
                              <w:kern w:val="0"/>
                            </w:rPr>
                            <w:t>45</w:t>
                          </w:r>
                          <w:r>
                            <w:rPr>
                              <w:rFonts w:ascii="Tahoma" w:hAnsi="Tahoma" w:cs="Tahoma"/>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22"/>
                    </w:pPr>
                    <w:r>
                      <w:rPr>
                        <w:rFonts w:ascii="Tahoma" w:hAnsi="Tahoma" w:cs="Tahoma"/>
                        <w:kern w:val="0"/>
                        <w:szCs w:val="21"/>
                      </w:rPr>
                      <w:fldChar w:fldCharType="begin"/>
                    </w:r>
                    <w:r>
                      <w:rPr>
                        <w:rStyle w:val="40"/>
                        <w:rFonts w:ascii="Tahoma" w:hAnsi="Tahoma" w:cs="Tahoma"/>
                        <w:kern w:val="0"/>
                      </w:rPr>
                      <w:instrText xml:space="preserve"> PAGE  </w:instrText>
                    </w:r>
                    <w:r>
                      <w:rPr>
                        <w:rFonts w:ascii="Tahoma" w:hAnsi="Tahoma" w:cs="Tahoma"/>
                        <w:kern w:val="0"/>
                        <w:szCs w:val="21"/>
                      </w:rPr>
                      <w:fldChar w:fldCharType="separate"/>
                    </w:r>
                    <w:r>
                      <w:rPr>
                        <w:rStyle w:val="40"/>
                        <w:rFonts w:ascii="Tahoma" w:hAnsi="Tahoma" w:cs="Tahoma"/>
                        <w:kern w:val="0"/>
                      </w:rPr>
                      <w:t>45</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2"/>
                          </w:pPr>
                          <w:r>
                            <w:rPr>
                              <w:rFonts w:ascii="Tahoma" w:hAnsi="Tahoma" w:cs="Tahoma"/>
                              <w:kern w:val="0"/>
                              <w:szCs w:val="21"/>
                            </w:rPr>
                            <w:fldChar w:fldCharType="begin"/>
                          </w:r>
                          <w:r>
                            <w:rPr>
                              <w:rStyle w:val="40"/>
                              <w:rFonts w:ascii="Tahoma" w:hAnsi="Tahoma" w:cs="Tahoma"/>
                              <w:kern w:val="0"/>
                            </w:rPr>
                            <w:instrText xml:space="preserve"> PAGE  </w:instrText>
                          </w:r>
                          <w:r>
                            <w:rPr>
                              <w:rFonts w:ascii="Tahoma" w:hAnsi="Tahoma" w:cs="Tahoma"/>
                              <w:kern w:val="0"/>
                              <w:szCs w:val="21"/>
                            </w:rPr>
                            <w:fldChar w:fldCharType="separate"/>
                          </w:r>
                          <w:r>
                            <w:rPr>
                              <w:rStyle w:val="40"/>
                              <w:rFonts w:ascii="Tahoma" w:hAnsi="Tahoma" w:cs="Tahoma"/>
                              <w:kern w:val="0"/>
                            </w:rPr>
                            <w:t>59</w:t>
                          </w:r>
                          <w:r>
                            <w:rPr>
                              <w:rFonts w:ascii="Tahoma" w:hAnsi="Tahoma" w:cs="Tahoma"/>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22"/>
                    </w:pPr>
                    <w:r>
                      <w:rPr>
                        <w:rFonts w:ascii="Tahoma" w:hAnsi="Tahoma" w:cs="Tahoma"/>
                        <w:kern w:val="0"/>
                        <w:szCs w:val="21"/>
                      </w:rPr>
                      <w:fldChar w:fldCharType="begin"/>
                    </w:r>
                    <w:r>
                      <w:rPr>
                        <w:rStyle w:val="40"/>
                        <w:rFonts w:ascii="Tahoma" w:hAnsi="Tahoma" w:cs="Tahoma"/>
                        <w:kern w:val="0"/>
                      </w:rPr>
                      <w:instrText xml:space="preserve"> PAGE  </w:instrText>
                    </w:r>
                    <w:r>
                      <w:rPr>
                        <w:rFonts w:ascii="Tahoma" w:hAnsi="Tahoma" w:cs="Tahoma"/>
                        <w:kern w:val="0"/>
                        <w:szCs w:val="21"/>
                      </w:rPr>
                      <w:fldChar w:fldCharType="separate"/>
                    </w:r>
                    <w:r>
                      <w:rPr>
                        <w:rStyle w:val="40"/>
                        <w:rFonts w:ascii="Tahoma" w:hAnsi="Tahoma" w:cs="Tahoma"/>
                        <w:kern w:val="0"/>
                      </w:rPr>
                      <w:t>59</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2"/>
                          </w:pPr>
                          <w:r>
                            <w:rPr>
                              <w:rFonts w:ascii="Tahoma" w:hAnsi="Tahoma" w:cs="Tahoma"/>
                              <w:kern w:val="0"/>
                              <w:szCs w:val="21"/>
                            </w:rPr>
                            <w:fldChar w:fldCharType="begin"/>
                          </w:r>
                          <w:r>
                            <w:rPr>
                              <w:rStyle w:val="40"/>
                              <w:rFonts w:ascii="Tahoma" w:hAnsi="Tahoma" w:cs="Tahoma"/>
                              <w:kern w:val="0"/>
                            </w:rPr>
                            <w:instrText xml:space="preserve"> PAGE  </w:instrText>
                          </w:r>
                          <w:r>
                            <w:rPr>
                              <w:rFonts w:ascii="Tahoma" w:hAnsi="Tahoma" w:cs="Tahoma"/>
                              <w:kern w:val="0"/>
                              <w:szCs w:val="21"/>
                            </w:rPr>
                            <w:fldChar w:fldCharType="separate"/>
                          </w:r>
                          <w:r>
                            <w:rPr>
                              <w:rStyle w:val="40"/>
                              <w:rFonts w:ascii="Tahoma" w:hAnsi="Tahoma" w:cs="Tahoma"/>
                              <w:kern w:val="0"/>
                            </w:rPr>
                            <w:t>60</w:t>
                          </w:r>
                          <w:r>
                            <w:rPr>
                              <w:rFonts w:ascii="Tahoma" w:hAnsi="Tahoma" w:cs="Tahoma"/>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2"/>
                    </w:pPr>
                    <w:r>
                      <w:rPr>
                        <w:rFonts w:ascii="Tahoma" w:hAnsi="Tahoma" w:cs="Tahoma"/>
                        <w:kern w:val="0"/>
                        <w:szCs w:val="21"/>
                      </w:rPr>
                      <w:fldChar w:fldCharType="begin"/>
                    </w:r>
                    <w:r>
                      <w:rPr>
                        <w:rStyle w:val="40"/>
                        <w:rFonts w:ascii="Tahoma" w:hAnsi="Tahoma" w:cs="Tahoma"/>
                        <w:kern w:val="0"/>
                      </w:rPr>
                      <w:instrText xml:space="preserve"> PAGE  </w:instrText>
                    </w:r>
                    <w:r>
                      <w:rPr>
                        <w:rFonts w:ascii="Tahoma" w:hAnsi="Tahoma" w:cs="Tahoma"/>
                        <w:kern w:val="0"/>
                        <w:szCs w:val="21"/>
                      </w:rPr>
                      <w:fldChar w:fldCharType="separate"/>
                    </w:r>
                    <w:r>
                      <w:rPr>
                        <w:rStyle w:val="40"/>
                        <w:rFonts w:ascii="Tahoma" w:hAnsi="Tahoma" w:cs="Tahoma"/>
                        <w:kern w:val="0"/>
                      </w:rPr>
                      <w:t>60</w:t>
                    </w:r>
                    <w:r>
                      <w:rPr>
                        <w:rFonts w:ascii="Tahoma" w:hAnsi="Tahoma" w:cs="Tahoma"/>
                        <w:kern w:val="0"/>
                        <w:szCs w:val="21"/>
                      </w:rPr>
                      <w:fldChar w:fldCharType="end"/>
                    </w:r>
                    <w:r>
                      <w:rPr>
                        <w:kern w:val="0"/>
                        <w:szCs w:val="21"/>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720"/>
    </w:pPr>
  </w:p>
  <w:p>
    <w:pPr>
      <w:pStyle w:val="22"/>
      <w:ind w:right="720"/>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wp:posOffset>
              </wp:positionV>
              <wp:extent cx="6172200" cy="0"/>
              <wp:effectExtent l="0" t="0" r="0" b="0"/>
              <wp:wrapNone/>
              <wp:docPr id="7" name="直线 6"/>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0.1pt;height:0pt;width:486pt;z-index:251660288;mso-width-relative:page;mso-height-relative:page;" filled="f" stroked="t" coordsize="21600,21600" o:gfxdata="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sQ1hdIA&#10;AAAEAQAADwAAAAAAAAABACAAAAAiAAAAZHJzL2Rvd25yZXYueG1sUEsBAhQAFAAAAAgAh07iQA03&#10;5ArsAQAA6QMAAA4AAAAAAAAAAQAgAAAAIQEAAGRycy9lMm9Eb2MueG1sUEsFBgAAAAAGAAYAWQEA&#10;AH8FA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right"/>
    </w:pPr>
  </w:p>
  <w:p>
    <w:pPr>
      <w:pStyle w:val="23"/>
      <w:pBdr>
        <w:bottom w:val="single" w:color="auto" w:sz="4" w:space="1"/>
      </w:pBd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hAnsi="宋体"/>
        <w:b/>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07B7"/>
    <w:multiLevelType w:val="singleLevel"/>
    <w:tmpl w:val="874907B7"/>
    <w:lvl w:ilvl="0" w:tentative="0">
      <w:start w:val="2"/>
      <w:numFmt w:val="decimal"/>
      <w:lvlText w:val="%1."/>
      <w:lvlJc w:val="left"/>
      <w:pPr>
        <w:tabs>
          <w:tab w:val="left" w:pos="312"/>
        </w:tabs>
      </w:pPr>
    </w:lvl>
  </w:abstractNum>
  <w:abstractNum w:abstractNumId="1">
    <w:nsid w:val="A59F970F"/>
    <w:multiLevelType w:val="singleLevel"/>
    <w:tmpl w:val="A59F970F"/>
    <w:lvl w:ilvl="0" w:tentative="0">
      <w:start w:val="1"/>
      <w:numFmt w:val="decimal"/>
      <w:suff w:val="nothing"/>
      <w:lvlText w:val="%1、"/>
      <w:lvlJc w:val="left"/>
    </w:lvl>
  </w:abstractNum>
  <w:abstractNum w:abstractNumId="2">
    <w:nsid w:val="131B6204"/>
    <w:multiLevelType w:val="singleLevel"/>
    <w:tmpl w:val="131B6204"/>
    <w:lvl w:ilvl="0" w:tentative="0">
      <w:start w:val="6"/>
      <w:numFmt w:val="chineseCounting"/>
      <w:suff w:val="nothing"/>
      <w:lvlText w:val="%1、"/>
      <w:lvlJc w:val="left"/>
      <w:rPr>
        <w:rFonts w:hint="eastAsia"/>
      </w:rPr>
    </w:lvl>
  </w:abstractNum>
  <w:abstractNum w:abstractNumId="3">
    <w:nsid w:val="243AB011"/>
    <w:multiLevelType w:val="singleLevel"/>
    <w:tmpl w:val="243AB011"/>
    <w:lvl w:ilvl="0" w:tentative="0">
      <w:start w:val="14"/>
      <w:numFmt w:val="chineseCounting"/>
      <w:suff w:val="nothing"/>
      <w:lvlText w:val="%1、"/>
      <w:lvlJc w:val="left"/>
      <w:rPr>
        <w:rFonts w:hint="eastAsia"/>
      </w:rPr>
    </w:lvl>
  </w:abstractNum>
  <w:abstractNum w:abstractNumId="4">
    <w:nsid w:val="488B2ED6"/>
    <w:multiLevelType w:val="singleLevel"/>
    <w:tmpl w:val="488B2ED6"/>
    <w:lvl w:ilvl="0" w:tentative="0">
      <w:start w:val="1"/>
      <w:numFmt w:val="decimal"/>
      <w:suff w:val="nothing"/>
      <w:lvlText w:val="%1、"/>
      <w:lvlJc w:val="left"/>
    </w:lvl>
  </w:abstractNum>
  <w:abstractNum w:abstractNumId="5">
    <w:nsid w:val="6BC59829"/>
    <w:multiLevelType w:val="singleLevel"/>
    <w:tmpl w:val="6BC59829"/>
    <w:lvl w:ilvl="0" w:tentative="0">
      <w:start w:val="4"/>
      <w:numFmt w:val="chineseCounting"/>
      <w:suff w:val="nothing"/>
      <w:lvlText w:val="%1、"/>
      <w:lvlJc w:val="left"/>
      <w:rPr>
        <w:rFonts w:hint="eastAsia"/>
      </w:rPr>
    </w:lvl>
  </w:abstractNum>
  <w:abstractNum w:abstractNumId="6">
    <w:nsid w:val="749BED4F"/>
    <w:multiLevelType w:val="singleLevel"/>
    <w:tmpl w:val="749BED4F"/>
    <w:lvl w:ilvl="0" w:tentative="0">
      <w:start w:val="1"/>
      <w:numFmt w:val="chineseCounting"/>
      <w:suff w:val="nothing"/>
      <w:lvlText w:val="%1、"/>
      <w:lvlJc w:val="left"/>
      <w:rPr>
        <w:rFonts w:hint="eastAsia"/>
      </w:r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420"/>
  <w:drawingGridVerticalSpacing w:val="37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NmNjNTU4ZDc4MjJjYzdmNzk2Y2JhZTRiMmM4MTIifQ=="/>
  </w:docVars>
  <w:rsids>
    <w:rsidRoot w:val="005633EE"/>
    <w:rsid w:val="00000414"/>
    <w:rsid w:val="000019BF"/>
    <w:rsid w:val="0000253D"/>
    <w:rsid w:val="000035EC"/>
    <w:rsid w:val="00004D14"/>
    <w:rsid w:val="00005728"/>
    <w:rsid w:val="0000592C"/>
    <w:rsid w:val="000072B6"/>
    <w:rsid w:val="000073D8"/>
    <w:rsid w:val="00011E4C"/>
    <w:rsid w:val="00013228"/>
    <w:rsid w:val="000134CB"/>
    <w:rsid w:val="000134F3"/>
    <w:rsid w:val="00013EE5"/>
    <w:rsid w:val="00013F7D"/>
    <w:rsid w:val="000140F5"/>
    <w:rsid w:val="00014BCD"/>
    <w:rsid w:val="000158C8"/>
    <w:rsid w:val="00016A51"/>
    <w:rsid w:val="00016C4C"/>
    <w:rsid w:val="00016E7D"/>
    <w:rsid w:val="00017554"/>
    <w:rsid w:val="00017668"/>
    <w:rsid w:val="000176FE"/>
    <w:rsid w:val="00017A0F"/>
    <w:rsid w:val="0002110E"/>
    <w:rsid w:val="00021330"/>
    <w:rsid w:val="00022854"/>
    <w:rsid w:val="00022FD6"/>
    <w:rsid w:val="00023467"/>
    <w:rsid w:val="00024881"/>
    <w:rsid w:val="00024916"/>
    <w:rsid w:val="000249D0"/>
    <w:rsid w:val="0002533F"/>
    <w:rsid w:val="00025480"/>
    <w:rsid w:val="00025C52"/>
    <w:rsid w:val="000268AB"/>
    <w:rsid w:val="00026ACF"/>
    <w:rsid w:val="00026E22"/>
    <w:rsid w:val="00027955"/>
    <w:rsid w:val="00027983"/>
    <w:rsid w:val="00030E8F"/>
    <w:rsid w:val="00030FA7"/>
    <w:rsid w:val="00032222"/>
    <w:rsid w:val="00032FBA"/>
    <w:rsid w:val="000340A0"/>
    <w:rsid w:val="000341B7"/>
    <w:rsid w:val="000348A5"/>
    <w:rsid w:val="00035836"/>
    <w:rsid w:val="00035971"/>
    <w:rsid w:val="00035CE6"/>
    <w:rsid w:val="00035E54"/>
    <w:rsid w:val="00036717"/>
    <w:rsid w:val="0003764C"/>
    <w:rsid w:val="0003794F"/>
    <w:rsid w:val="00037ED3"/>
    <w:rsid w:val="0004071A"/>
    <w:rsid w:val="000410FA"/>
    <w:rsid w:val="0004190A"/>
    <w:rsid w:val="000420B0"/>
    <w:rsid w:val="0004261F"/>
    <w:rsid w:val="00042FF8"/>
    <w:rsid w:val="00043C0E"/>
    <w:rsid w:val="000446D4"/>
    <w:rsid w:val="00044A72"/>
    <w:rsid w:val="00044FB0"/>
    <w:rsid w:val="0005102B"/>
    <w:rsid w:val="00051EE0"/>
    <w:rsid w:val="000529DC"/>
    <w:rsid w:val="00052D9D"/>
    <w:rsid w:val="0005309D"/>
    <w:rsid w:val="00053872"/>
    <w:rsid w:val="00053C6A"/>
    <w:rsid w:val="00055009"/>
    <w:rsid w:val="00055F1B"/>
    <w:rsid w:val="000614AC"/>
    <w:rsid w:val="00061539"/>
    <w:rsid w:val="00061556"/>
    <w:rsid w:val="00064589"/>
    <w:rsid w:val="0006468D"/>
    <w:rsid w:val="00064C87"/>
    <w:rsid w:val="000658F8"/>
    <w:rsid w:val="0006711A"/>
    <w:rsid w:val="000703AA"/>
    <w:rsid w:val="00071483"/>
    <w:rsid w:val="00071680"/>
    <w:rsid w:val="00071EB4"/>
    <w:rsid w:val="0007319E"/>
    <w:rsid w:val="00073316"/>
    <w:rsid w:val="00073A23"/>
    <w:rsid w:val="00073B74"/>
    <w:rsid w:val="00073C1B"/>
    <w:rsid w:val="00073F6A"/>
    <w:rsid w:val="0007509E"/>
    <w:rsid w:val="00077339"/>
    <w:rsid w:val="000804B3"/>
    <w:rsid w:val="000817E0"/>
    <w:rsid w:val="00081B53"/>
    <w:rsid w:val="000828D9"/>
    <w:rsid w:val="0008311F"/>
    <w:rsid w:val="00083273"/>
    <w:rsid w:val="000832C9"/>
    <w:rsid w:val="0008333B"/>
    <w:rsid w:val="00084956"/>
    <w:rsid w:val="00086F6C"/>
    <w:rsid w:val="00087FEA"/>
    <w:rsid w:val="0009089F"/>
    <w:rsid w:val="0009097A"/>
    <w:rsid w:val="00090BC5"/>
    <w:rsid w:val="00090D47"/>
    <w:rsid w:val="00091CA6"/>
    <w:rsid w:val="00091EC5"/>
    <w:rsid w:val="000920AC"/>
    <w:rsid w:val="0009256B"/>
    <w:rsid w:val="00094923"/>
    <w:rsid w:val="00095861"/>
    <w:rsid w:val="00095878"/>
    <w:rsid w:val="00097142"/>
    <w:rsid w:val="00097702"/>
    <w:rsid w:val="000A002F"/>
    <w:rsid w:val="000A128A"/>
    <w:rsid w:val="000A1F73"/>
    <w:rsid w:val="000A274E"/>
    <w:rsid w:val="000A2DF6"/>
    <w:rsid w:val="000A5B93"/>
    <w:rsid w:val="000A6E3A"/>
    <w:rsid w:val="000A7BC4"/>
    <w:rsid w:val="000B033E"/>
    <w:rsid w:val="000B24FA"/>
    <w:rsid w:val="000B2831"/>
    <w:rsid w:val="000B34AE"/>
    <w:rsid w:val="000B42F6"/>
    <w:rsid w:val="000B51A3"/>
    <w:rsid w:val="000B55EB"/>
    <w:rsid w:val="000B5733"/>
    <w:rsid w:val="000B6132"/>
    <w:rsid w:val="000B691F"/>
    <w:rsid w:val="000B6E96"/>
    <w:rsid w:val="000B7473"/>
    <w:rsid w:val="000C029D"/>
    <w:rsid w:val="000C08E7"/>
    <w:rsid w:val="000C0FFC"/>
    <w:rsid w:val="000C1AF7"/>
    <w:rsid w:val="000C2048"/>
    <w:rsid w:val="000C384A"/>
    <w:rsid w:val="000C4102"/>
    <w:rsid w:val="000C4B65"/>
    <w:rsid w:val="000C4DC1"/>
    <w:rsid w:val="000C6F1D"/>
    <w:rsid w:val="000D0979"/>
    <w:rsid w:val="000D0B9D"/>
    <w:rsid w:val="000D0D90"/>
    <w:rsid w:val="000D11A9"/>
    <w:rsid w:val="000D3345"/>
    <w:rsid w:val="000D37D0"/>
    <w:rsid w:val="000D44ED"/>
    <w:rsid w:val="000D4F98"/>
    <w:rsid w:val="000D5068"/>
    <w:rsid w:val="000D541D"/>
    <w:rsid w:val="000D658D"/>
    <w:rsid w:val="000D7228"/>
    <w:rsid w:val="000D72AD"/>
    <w:rsid w:val="000D794D"/>
    <w:rsid w:val="000D7FE7"/>
    <w:rsid w:val="000E0E9C"/>
    <w:rsid w:val="000E1236"/>
    <w:rsid w:val="000E1EAF"/>
    <w:rsid w:val="000E4341"/>
    <w:rsid w:val="000E44E7"/>
    <w:rsid w:val="000E5901"/>
    <w:rsid w:val="000E597B"/>
    <w:rsid w:val="000E5A7D"/>
    <w:rsid w:val="000E7982"/>
    <w:rsid w:val="000F0FB0"/>
    <w:rsid w:val="000F120B"/>
    <w:rsid w:val="000F1578"/>
    <w:rsid w:val="000F19B4"/>
    <w:rsid w:val="000F24D3"/>
    <w:rsid w:val="000F4B48"/>
    <w:rsid w:val="000F657A"/>
    <w:rsid w:val="000F6755"/>
    <w:rsid w:val="000F6E6A"/>
    <w:rsid w:val="00102902"/>
    <w:rsid w:val="00102BE0"/>
    <w:rsid w:val="00103158"/>
    <w:rsid w:val="001032F1"/>
    <w:rsid w:val="001040D5"/>
    <w:rsid w:val="00104314"/>
    <w:rsid w:val="0010484B"/>
    <w:rsid w:val="00104853"/>
    <w:rsid w:val="00104CB4"/>
    <w:rsid w:val="00106046"/>
    <w:rsid w:val="00110E26"/>
    <w:rsid w:val="001110AC"/>
    <w:rsid w:val="00111C95"/>
    <w:rsid w:val="00111F0E"/>
    <w:rsid w:val="0011222B"/>
    <w:rsid w:val="00112573"/>
    <w:rsid w:val="00112F32"/>
    <w:rsid w:val="0011452A"/>
    <w:rsid w:val="00116CEB"/>
    <w:rsid w:val="00117198"/>
    <w:rsid w:val="00120DA7"/>
    <w:rsid w:val="001212BB"/>
    <w:rsid w:val="00122103"/>
    <w:rsid w:val="0012231A"/>
    <w:rsid w:val="00122CC6"/>
    <w:rsid w:val="00123BCE"/>
    <w:rsid w:val="001240BD"/>
    <w:rsid w:val="00124FF0"/>
    <w:rsid w:val="00125280"/>
    <w:rsid w:val="001257E0"/>
    <w:rsid w:val="00125B95"/>
    <w:rsid w:val="00126282"/>
    <w:rsid w:val="001270AB"/>
    <w:rsid w:val="00130214"/>
    <w:rsid w:val="00131D37"/>
    <w:rsid w:val="00132EC8"/>
    <w:rsid w:val="00133210"/>
    <w:rsid w:val="001337D0"/>
    <w:rsid w:val="00133A47"/>
    <w:rsid w:val="00134CF8"/>
    <w:rsid w:val="001351F5"/>
    <w:rsid w:val="00135BA8"/>
    <w:rsid w:val="001378F2"/>
    <w:rsid w:val="0013793D"/>
    <w:rsid w:val="00137BE3"/>
    <w:rsid w:val="001418E9"/>
    <w:rsid w:val="00141EB0"/>
    <w:rsid w:val="00143992"/>
    <w:rsid w:val="00144D84"/>
    <w:rsid w:val="00145084"/>
    <w:rsid w:val="00145F02"/>
    <w:rsid w:val="00146CC5"/>
    <w:rsid w:val="00146E20"/>
    <w:rsid w:val="00147B73"/>
    <w:rsid w:val="00150152"/>
    <w:rsid w:val="00150362"/>
    <w:rsid w:val="00150B75"/>
    <w:rsid w:val="0015298F"/>
    <w:rsid w:val="001530DD"/>
    <w:rsid w:val="00153465"/>
    <w:rsid w:val="00155E29"/>
    <w:rsid w:val="00162023"/>
    <w:rsid w:val="001628FC"/>
    <w:rsid w:val="0016348A"/>
    <w:rsid w:val="00164053"/>
    <w:rsid w:val="0016450A"/>
    <w:rsid w:val="00164ACD"/>
    <w:rsid w:val="001655F3"/>
    <w:rsid w:val="00166196"/>
    <w:rsid w:val="00167207"/>
    <w:rsid w:val="00167E1D"/>
    <w:rsid w:val="001702BB"/>
    <w:rsid w:val="0017085C"/>
    <w:rsid w:val="001718CD"/>
    <w:rsid w:val="00171D09"/>
    <w:rsid w:val="00172122"/>
    <w:rsid w:val="00172986"/>
    <w:rsid w:val="00172AB8"/>
    <w:rsid w:val="00173093"/>
    <w:rsid w:val="001738FE"/>
    <w:rsid w:val="00174F6E"/>
    <w:rsid w:val="00175F53"/>
    <w:rsid w:val="00176571"/>
    <w:rsid w:val="0017662A"/>
    <w:rsid w:val="00176D32"/>
    <w:rsid w:val="00177468"/>
    <w:rsid w:val="00177674"/>
    <w:rsid w:val="00177724"/>
    <w:rsid w:val="00181703"/>
    <w:rsid w:val="00181D6A"/>
    <w:rsid w:val="00181F5C"/>
    <w:rsid w:val="001830F6"/>
    <w:rsid w:val="0018400D"/>
    <w:rsid w:val="00184C18"/>
    <w:rsid w:val="00184C40"/>
    <w:rsid w:val="001850B3"/>
    <w:rsid w:val="00185241"/>
    <w:rsid w:val="001857FF"/>
    <w:rsid w:val="00186B8D"/>
    <w:rsid w:val="00186C3D"/>
    <w:rsid w:val="00186DF2"/>
    <w:rsid w:val="00186E98"/>
    <w:rsid w:val="001873C9"/>
    <w:rsid w:val="00190079"/>
    <w:rsid w:val="001901D6"/>
    <w:rsid w:val="00190FFC"/>
    <w:rsid w:val="001910E2"/>
    <w:rsid w:val="0019219E"/>
    <w:rsid w:val="00192274"/>
    <w:rsid w:val="001923F2"/>
    <w:rsid w:val="00192762"/>
    <w:rsid w:val="00192D86"/>
    <w:rsid w:val="00193274"/>
    <w:rsid w:val="00193603"/>
    <w:rsid w:val="00193849"/>
    <w:rsid w:val="001943B8"/>
    <w:rsid w:val="00195ED3"/>
    <w:rsid w:val="0019644D"/>
    <w:rsid w:val="00196764"/>
    <w:rsid w:val="001A0498"/>
    <w:rsid w:val="001A0964"/>
    <w:rsid w:val="001A1769"/>
    <w:rsid w:val="001A21E2"/>
    <w:rsid w:val="001A240D"/>
    <w:rsid w:val="001A3659"/>
    <w:rsid w:val="001A40E7"/>
    <w:rsid w:val="001A5038"/>
    <w:rsid w:val="001A7AE2"/>
    <w:rsid w:val="001A7ED7"/>
    <w:rsid w:val="001B0C06"/>
    <w:rsid w:val="001B15E8"/>
    <w:rsid w:val="001B2648"/>
    <w:rsid w:val="001B297B"/>
    <w:rsid w:val="001B38F5"/>
    <w:rsid w:val="001B4782"/>
    <w:rsid w:val="001B4A76"/>
    <w:rsid w:val="001B5051"/>
    <w:rsid w:val="001B6C51"/>
    <w:rsid w:val="001B7950"/>
    <w:rsid w:val="001B79F1"/>
    <w:rsid w:val="001C0289"/>
    <w:rsid w:val="001C02AF"/>
    <w:rsid w:val="001C1542"/>
    <w:rsid w:val="001C1551"/>
    <w:rsid w:val="001C226E"/>
    <w:rsid w:val="001C247E"/>
    <w:rsid w:val="001C2911"/>
    <w:rsid w:val="001C36AA"/>
    <w:rsid w:val="001C371D"/>
    <w:rsid w:val="001C4607"/>
    <w:rsid w:val="001C5C12"/>
    <w:rsid w:val="001C6318"/>
    <w:rsid w:val="001C7EF3"/>
    <w:rsid w:val="001D08C1"/>
    <w:rsid w:val="001D111C"/>
    <w:rsid w:val="001D23CC"/>
    <w:rsid w:val="001D4215"/>
    <w:rsid w:val="001D438A"/>
    <w:rsid w:val="001D6301"/>
    <w:rsid w:val="001D7DED"/>
    <w:rsid w:val="001E02C0"/>
    <w:rsid w:val="001E07C9"/>
    <w:rsid w:val="001E0B61"/>
    <w:rsid w:val="001E0CC8"/>
    <w:rsid w:val="001E1319"/>
    <w:rsid w:val="001E1710"/>
    <w:rsid w:val="001E22F0"/>
    <w:rsid w:val="001E38EC"/>
    <w:rsid w:val="001E5D92"/>
    <w:rsid w:val="001F0E2B"/>
    <w:rsid w:val="001F1315"/>
    <w:rsid w:val="001F18AC"/>
    <w:rsid w:val="001F1EC5"/>
    <w:rsid w:val="001F229D"/>
    <w:rsid w:val="001F25FC"/>
    <w:rsid w:val="001F2B43"/>
    <w:rsid w:val="001F36CF"/>
    <w:rsid w:val="001F4AFF"/>
    <w:rsid w:val="001F4C9E"/>
    <w:rsid w:val="001F511C"/>
    <w:rsid w:val="001F535E"/>
    <w:rsid w:val="001F5568"/>
    <w:rsid w:val="001F6292"/>
    <w:rsid w:val="001F7CE9"/>
    <w:rsid w:val="001F7D3C"/>
    <w:rsid w:val="00201410"/>
    <w:rsid w:val="002025E4"/>
    <w:rsid w:val="002034B6"/>
    <w:rsid w:val="00203B67"/>
    <w:rsid w:val="00203CDD"/>
    <w:rsid w:val="00203D31"/>
    <w:rsid w:val="00204A4C"/>
    <w:rsid w:val="00204C6B"/>
    <w:rsid w:val="00204CDE"/>
    <w:rsid w:val="00204FE9"/>
    <w:rsid w:val="002050A7"/>
    <w:rsid w:val="00205287"/>
    <w:rsid w:val="00206C69"/>
    <w:rsid w:val="00206F6E"/>
    <w:rsid w:val="002112F8"/>
    <w:rsid w:val="0021404E"/>
    <w:rsid w:val="00214559"/>
    <w:rsid w:val="002157EB"/>
    <w:rsid w:val="00215994"/>
    <w:rsid w:val="00216400"/>
    <w:rsid w:val="00216B16"/>
    <w:rsid w:val="00216C20"/>
    <w:rsid w:val="00216DDA"/>
    <w:rsid w:val="00217427"/>
    <w:rsid w:val="002202F2"/>
    <w:rsid w:val="00220418"/>
    <w:rsid w:val="002206B8"/>
    <w:rsid w:val="002207CB"/>
    <w:rsid w:val="00220CFF"/>
    <w:rsid w:val="00221D25"/>
    <w:rsid w:val="002224C9"/>
    <w:rsid w:val="00223F30"/>
    <w:rsid w:val="0022501A"/>
    <w:rsid w:val="002264DB"/>
    <w:rsid w:val="00226759"/>
    <w:rsid w:val="00227A8E"/>
    <w:rsid w:val="0023094B"/>
    <w:rsid w:val="00230B8A"/>
    <w:rsid w:val="002311C7"/>
    <w:rsid w:val="0023231F"/>
    <w:rsid w:val="002332F0"/>
    <w:rsid w:val="00233F68"/>
    <w:rsid w:val="00235625"/>
    <w:rsid w:val="002362D9"/>
    <w:rsid w:val="002363E5"/>
    <w:rsid w:val="00237C5F"/>
    <w:rsid w:val="00240368"/>
    <w:rsid w:val="00241859"/>
    <w:rsid w:val="00241B10"/>
    <w:rsid w:val="00241B46"/>
    <w:rsid w:val="00242CCA"/>
    <w:rsid w:val="00242E2F"/>
    <w:rsid w:val="002446BC"/>
    <w:rsid w:val="00244819"/>
    <w:rsid w:val="00244EC5"/>
    <w:rsid w:val="002450FB"/>
    <w:rsid w:val="00245926"/>
    <w:rsid w:val="00246263"/>
    <w:rsid w:val="0025000A"/>
    <w:rsid w:val="002500B7"/>
    <w:rsid w:val="0025017B"/>
    <w:rsid w:val="00250528"/>
    <w:rsid w:val="002506A1"/>
    <w:rsid w:val="00250BF7"/>
    <w:rsid w:val="00250CD4"/>
    <w:rsid w:val="0025145E"/>
    <w:rsid w:val="002517EC"/>
    <w:rsid w:val="00251E00"/>
    <w:rsid w:val="00252079"/>
    <w:rsid w:val="00253197"/>
    <w:rsid w:val="00253DBB"/>
    <w:rsid w:val="002545D7"/>
    <w:rsid w:val="00256D80"/>
    <w:rsid w:val="00256E4F"/>
    <w:rsid w:val="00257721"/>
    <w:rsid w:val="00257F5B"/>
    <w:rsid w:val="00260372"/>
    <w:rsid w:val="00260683"/>
    <w:rsid w:val="00260A0B"/>
    <w:rsid w:val="00260F20"/>
    <w:rsid w:val="00261100"/>
    <w:rsid w:val="00262BA5"/>
    <w:rsid w:val="002632EB"/>
    <w:rsid w:val="0026333E"/>
    <w:rsid w:val="00264282"/>
    <w:rsid w:val="0026448E"/>
    <w:rsid w:val="00265A15"/>
    <w:rsid w:val="00265D46"/>
    <w:rsid w:val="002664CA"/>
    <w:rsid w:val="002668F5"/>
    <w:rsid w:val="002677EA"/>
    <w:rsid w:val="00270390"/>
    <w:rsid w:val="00270A37"/>
    <w:rsid w:val="00270DD4"/>
    <w:rsid w:val="00272248"/>
    <w:rsid w:val="00273962"/>
    <w:rsid w:val="002747AE"/>
    <w:rsid w:val="002747C6"/>
    <w:rsid w:val="00274A8C"/>
    <w:rsid w:val="00276061"/>
    <w:rsid w:val="0027773A"/>
    <w:rsid w:val="002801F2"/>
    <w:rsid w:val="002813C4"/>
    <w:rsid w:val="002835B3"/>
    <w:rsid w:val="00285435"/>
    <w:rsid w:val="00285EA9"/>
    <w:rsid w:val="00286CA8"/>
    <w:rsid w:val="002902C4"/>
    <w:rsid w:val="00290459"/>
    <w:rsid w:val="0029046C"/>
    <w:rsid w:val="002908A8"/>
    <w:rsid w:val="00291605"/>
    <w:rsid w:val="0029233D"/>
    <w:rsid w:val="002926AF"/>
    <w:rsid w:val="002929DC"/>
    <w:rsid w:val="00293354"/>
    <w:rsid w:val="002941BD"/>
    <w:rsid w:val="00294B1B"/>
    <w:rsid w:val="00295126"/>
    <w:rsid w:val="00295925"/>
    <w:rsid w:val="002960D0"/>
    <w:rsid w:val="0029664C"/>
    <w:rsid w:val="00297012"/>
    <w:rsid w:val="002A0157"/>
    <w:rsid w:val="002A0C65"/>
    <w:rsid w:val="002A16CF"/>
    <w:rsid w:val="002A1B9A"/>
    <w:rsid w:val="002A3F50"/>
    <w:rsid w:val="002A6D32"/>
    <w:rsid w:val="002B0223"/>
    <w:rsid w:val="002B3464"/>
    <w:rsid w:val="002B4F7F"/>
    <w:rsid w:val="002B5D43"/>
    <w:rsid w:val="002B69D4"/>
    <w:rsid w:val="002C068C"/>
    <w:rsid w:val="002C09FE"/>
    <w:rsid w:val="002C13C1"/>
    <w:rsid w:val="002C21C8"/>
    <w:rsid w:val="002C3F21"/>
    <w:rsid w:val="002C4E51"/>
    <w:rsid w:val="002C52C8"/>
    <w:rsid w:val="002C54BD"/>
    <w:rsid w:val="002C5953"/>
    <w:rsid w:val="002D1808"/>
    <w:rsid w:val="002D1987"/>
    <w:rsid w:val="002D1CC6"/>
    <w:rsid w:val="002D22FA"/>
    <w:rsid w:val="002D2DE3"/>
    <w:rsid w:val="002D35E9"/>
    <w:rsid w:val="002D492C"/>
    <w:rsid w:val="002D49AA"/>
    <w:rsid w:val="002D49E2"/>
    <w:rsid w:val="002D59A2"/>
    <w:rsid w:val="002D69C9"/>
    <w:rsid w:val="002E0190"/>
    <w:rsid w:val="002E1A35"/>
    <w:rsid w:val="002E2542"/>
    <w:rsid w:val="002E4122"/>
    <w:rsid w:val="002E4979"/>
    <w:rsid w:val="002E5850"/>
    <w:rsid w:val="002E5D3E"/>
    <w:rsid w:val="002E6A34"/>
    <w:rsid w:val="002F0C20"/>
    <w:rsid w:val="002F100A"/>
    <w:rsid w:val="002F13F9"/>
    <w:rsid w:val="002F1BB2"/>
    <w:rsid w:val="002F2425"/>
    <w:rsid w:val="002F2BC3"/>
    <w:rsid w:val="002F4D58"/>
    <w:rsid w:val="002F5449"/>
    <w:rsid w:val="002F775A"/>
    <w:rsid w:val="0030017E"/>
    <w:rsid w:val="00301C29"/>
    <w:rsid w:val="003026A0"/>
    <w:rsid w:val="00304927"/>
    <w:rsid w:val="00304ABE"/>
    <w:rsid w:val="00304FF0"/>
    <w:rsid w:val="003050BC"/>
    <w:rsid w:val="003062F1"/>
    <w:rsid w:val="0031027C"/>
    <w:rsid w:val="0031036F"/>
    <w:rsid w:val="00311F15"/>
    <w:rsid w:val="0031235E"/>
    <w:rsid w:val="00312549"/>
    <w:rsid w:val="003128AE"/>
    <w:rsid w:val="00312AA6"/>
    <w:rsid w:val="00313A67"/>
    <w:rsid w:val="00314227"/>
    <w:rsid w:val="00314C30"/>
    <w:rsid w:val="00314FC9"/>
    <w:rsid w:val="00315769"/>
    <w:rsid w:val="0031586B"/>
    <w:rsid w:val="00316F53"/>
    <w:rsid w:val="0031793A"/>
    <w:rsid w:val="003179F4"/>
    <w:rsid w:val="00317E0A"/>
    <w:rsid w:val="00317F22"/>
    <w:rsid w:val="0032139A"/>
    <w:rsid w:val="0032305E"/>
    <w:rsid w:val="0032305F"/>
    <w:rsid w:val="00323074"/>
    <w:rsid w:val="00323B8E"/>
    <w:rsid w:val="003245E8"/>
    <w:rsid w:val="0032460B"/>
    <w:rsid w:val="00324B92"/>
    <w:rsid w:val="00325715"/>
    <w:rsid w:val="00326F50"/>
    <w:rsid w:val="00327526"/>
    <w:rsid w:val="00327C90"/>
    <w:rsid w:val="003314CD"/>
    <w:rsid w:val="00332FCA"/>
    <w:rsid w:val="003332A7"/>
    <w:rsid w:val="00333B01"/>
    <w:rsid w:val="00333E17"/>
    <w:rsid w:val="003354C0"/>
    <w:rsid w:val="00336D01"/>
    <w:rsid w:val="00337C17"/>
    <w:rsid w:val="00337EB6"/>
    <w:rsid w:val="00340C93"/>
    <w:rsid w:val="003426CD"/>
    <w:rsid w:val="003428B4"/>
    <w:rsid w:val="00343251"/>
    <w:rsid w:val="00343523"/>
    <w:rsid w:val="00343A29"/>
    <w:rsid w:val="00343FB9"/>
    <w:rsid w:val="003442E8"/>
    <w:rsid w:val="00344409"/>
    <w:rsid w:val="0034510B"/>
    <w:rsid w:val="00345AE7"/>
    <w:rsid w:val="003467D9"/>
    <w:rsid w:val="00346916"/>
    <w:rsid w:val="00347165"/>
    <w:rsid w:val="00347268"/>
    <w:rsid w:val="0034767A"/>
    <w:rsid w:val="00347835"/>
    <w:rsid w:val="00350896"/>
    <w:rsid w:val="00350ECB"/>
    <w:rsid w:val="00351932"/>
    <w:rsid w:val="00351BD1"/>
    <w:rsid w:val="00352730"/>
    <w:rsid w:val="00352CE3"/>
    <w:rsid w:val="00353508"/>
    <w:rsid w:val="00353D2A"/>
    <w:rsid w:val="003550C3"/>
    <w:rsid w:val="003550F2"/>
    <w:rsid w:val="003552F6"/>
    <w:rsid w:val="003577A9"/>
    <w:rsid w:val="0036137E"/>
    <w:rsid w:val="00361C3B"/>
    <w:rsid w:val="0036252A"/>
    <w:rsid w:val="003625C6"/>
    <w:rsid w:val="00366F63"/>
    <w:rsid w:val="003707C6"/>
    <w:rsid w:val="00372921"/>
    <w:rsid w:val="00373ADE"/>
    <w:rsid w:val="003744EF"/>
    <w:rsid w:val="00374A47"/>
    <w:rsid w:val="00374DCD"/>
    <w:rsid w:val="00375085"/>
    <w:rsid w:val="00375260"/>
    <w:rsid w:val="003761F9"/>
    <w:rsid w:val="0037674F"/>
    <w:rsid w:val="00376870"/>
    <w:rsid w:val="003778CC"/>
    <w:rsid w:val="003779D9"/>
    <w:rsid w:val="00377F56"/>
    <w:rsid w:val="003815ED"/>
    <w:rsid w:val="00381C7F"/>
    <w:rsid w:val="00382911"/>
    <w:rsid w:val="00382980"/>
    <w:rsid w:val="00382A78"/>
    <w:rsid w:val="0038508D"/>
    <w:rsid w:val="003864BA"/>
    <w:rsid w:val="00387131"/>
    <w:rsid w:val="00387F08"/>
    <w:rsid w:val="00390556"/>
    <w:rsid w:val="003918B6"/>
    <w:rsid w:val="00392AAF"/>
    <w:rsid w:val="00392D78"/>
    <w:rsid w:val="00395285"/>
    <w:rsid w:val="00395734"/>
    <w:rsid w:val="003961C2"/>
    <w:rsid w:val="00396585"/>
    <w:rsid w:val="00397D61"/>
    <w:rsid w:val="003A1141"/>
    <w:rsid w:val="003A2139"/>
    <w:rsid w:val="003A2B6E"/>
    <w:rsid w:val="003A3D81"/>
    <w:rsid w:val="003A40EE"/>
    <w:rsid w:val="003A48D6"/>
    <w:rsid w:val="003A60C6"/>
    <w:rsid w:val="003A6BC1"/>
    <w:rsid w:val="003B00A0"/>
    <w:rsid w:val="003B0983"/>
    <w:rsid w:val="003B0A70"/>
    <w:rsid w:val="003B0CCE"/>
    <w:rsid w:val="003B155C"/>
    <w:rsid w:val="003B3D0D"/>
    <w:rsid w:val="003B4487"/>
    <w:rsid w:val="003B5462"/>
    <w:rsid w:val="003B58AE"/>
    <w:rsid w:val="003B61A0"/>
    <w:rsid w:val="003B633D"/>
    <w:rsid w:val="003B661F"/>
    <w:rsid w:val="003B7161"/>
    <w:rsid w:val="003B745F"/>
    <w:rsid w:val="003C0457"/>
    <w:rsid w:val="003C1159"/>
    <w:rsid w:val="003C18E2"/>
    <w:rsid w:val="003C1924"/>
    <w:rsid w:val="003C2F5B"/>
    <w:rsid w:val="003C3F15"/>
    <w:rsid w:val="003C41F8"/>
    <w:rsid w:val="003C59A7"/>
    <w:rsid w:val="003C71F4"/>
    <w:rsid w:val="003D0605"/>
    <w:rsid w:val="003D0E96"/>
    <w:rsid w:val="003D1489"/>
    <w:rsid w:val="003D28DA"/>
    <w:rsid w:val="003D343B"/>
    <w:rsid w:val="003D4FD5"/>
    <w:rsid w:val="003D5768"/>
    <w:rsid w:val="003D5B9F"/>
    <w:rsid w:val="003D7D62"/>
    <w:rsid w:val="003E0452"/>
    <w:rsid w:val="003E076C"/>
    <w:rsid w:val="003E09DC"/>
    <w:rsid w:val="003E1E81"/>
    <w:rsid w:val="003E2503"/>
    <w:rsid w:val="003E326D"/>
    <w:rsid w:val="003E467F"/>
    <w:rsid w:val="003E5102"/>
    <w:rsid w:val="003E5E17"/>
    <w:rsid w:val="003E5FDC"/>
    <w:rsid w:val="003E60C5"/>
    <w:rsid w:val="003F1685"/>
    <w:rsid w:val="003F2F5F"/>
    <w:rsid w:val="003F3A13"/>
    <w:rsid w:val="003F3F7D"/>
    <w:rsid w:val="003F490B"/>
    <w:rsid w:val="003F5E4A"/>
    <w:rsid w:val="003F5FF1"/>
    <w:rsid w:val="003F6607"/>
    <w:rsid w:val="003F74EE"/>
    <w:rsid w:val="003F7629"/>
    <w:rsid w:val="003F7D60"/>
    <w:rsid w:val="00400F4E"/>
    <w:rsid w:val="00401C89"/>
    <w:rsid w:val="00401D2B"/>
    <w:rsid w:val="00402F90"/>
    <w:rsid w:val="00403060"/>
    <w:rsid w:val="00403AB4"/>
    <w:rsid w:val="00403DFE"/>
    <w:rsid w:val="0040405F"/>
    <w:rsid w:val="00404758"/>
    <w:rsid w:val="00404886"/>
    <w:rsid w:val="004050F0"/>
    <w:rsid w:val="00405A1D"/>
    <w:rsid w:val="00405CD7"/>
    <w:rsid w:val="00407423"/>
    <w:rsid w:val="00407F32"/>
    <w:rsid w:val="00410397"/>
    <w:rsid w:val="00411300"/>
    <w:rsid w:val="00411ACC"/>
    <w:rsid w:val="00411BB4"/>
    <w:rsid w:val="00413A5C"/>
    <w:rsid w:val="0041515B"/>
    <w:rsid w:val="00417568"/>
    <w:rsid w:val="00417E08"/>
    <w:rsid w:val="00417ED8"/>
    <w:rsid w:val="004200DD"/>
    <w:rsid w:val="00420334"/>
    <w:rsid w:val="00422A9D"/>
    <w:rsid w:val="00422BF0"/>
    <w:rsid w:val="004243BD"/>
    <w:rsid w:val="00424F73"/>
    <w:rsid w:val="00425529"/>
    <w:rsid w:val="00426ED0"/>
    <w:rsid w:val="00427145"/>
    <w:rsid w:val="00427AC9"/>
    <w:rsid w:val="004300B5"/>
    <w:rsid w:val="004308BC"/>
    <w:rsid w:val="00431542"/>
    <w:rsid w:val="00431803"/>
    <w:rsid w:val="00431B67"/>
    <w:rsid w:val="0043306B"/>
    <w:rsid w:val="004342A5"/>
    <w:rsid w:val="00435D64"/>
    <w:rsid w:val="0043663F"/>
    <w:rsid w:val="0044092E"/>
    <w:rsid w:val="00441369"/>
    <w:rsid w:val="004416A0"/>
    <w:rsid w:val="00443A7E"/>
    <w:rsid w:val="00443D9B"/>
    <w:rsid w:val="004441EA"/>
    <w:rsid w:val="0044618E"/>
    <w:rsid w:val="00446C05"/>
    <w:rsid w:val="00450550"/>
    <w:rsid w:val="004519F3"/>
    <w:rsid w:val="00451E67"/>
    <w:rsid w:val="00452471"/>
    <w:rsid w:val="0045383B"/>
    <w:rsid w:val="0045438F"/>
    <w:rsid w:val="004547B4"/>
    <w:rsid w:val="00454CAF"/>
    <w:rsid w:val="00454CDD"/>
    <w:rsid w:val="004554C7"/>
    <w:rsid w:val="00456182"/>
    <w:rsid w:val="004571B4"/>
    <w:rsid w:val="004579F0"/>
    <w:rsid w:val="00461708"/>
    <w:rsid w:val="00461DEC"/>
    <w:rsid w:val="00463864"/>
    <w:rsid w:val="0046495B"/>
    <w:rsid w:val="00464C4F"/>
    <w:rsid w:val="00465F33"/>
    <w:rsid w:val="00466040"/>
    <w:rsid w:val="004663A3"/>
    <w:rsid w:val="0046647B"/>
    <w:rsid w:val="0047081F"/>
    <w:rsid w:val="004723D2"/>
    <w:rsid w:val="00472D65"/>
    <w:rsid w:val="00473564"/>
    <w:rsid w:val="00474CDC"/>
    <w:rsid w:val="00476AE8"/>
    <w:rsid w:val="00477DC1"/>
    <w:rsid w:val="004800C0"/>
    <w:rsid w:val="00480E23"/>
    <w:rsid w:val="0048157C"/>
    <w:rsid w:val="00481D05"/>
    <w:rsid w:val="00482B40"/>
    <w:rsid w:val="004830B7"/>
    <w:rsid w:val="004834C2"/>
    <w:rsid w:val="00483501"/>
    <w:rsid w:val="004838AA"/>
    <w:rsid w:val="00484F2B"/>
    <w:rsid w:val="0048611A"/>
    <w:rsid w:val="0048613F"/>
    <w:rsid w:val="00486EE1"/>
    <w:rsid w:val="00487259"/>
    <w:rsid w:val="00487A17"/>
    <w:rsid w:val="00490850"/>
    <w:rsid w:val="004912CD"/>
    <w:rsid w:val="00491A46"/>
    <w:rsid w:val="00491CFC"/>
    <w:rsid w:val="00491ECA"/>
    <w:rsid w:val="0049537C"/>
    <w:rsid w:val="004961EF"/>
    <w:rsid w:val="00497C9A"/>
    <w:rsid w:val="004A007E"/>
    <w:rsid w:val="004A0D3B"/>
    <w:rsid w:val="004A2A7A"/>
    <w:rsid w:val="004A4849"/>
    <w:rsid w:val="004A56AC"/>
    <w:rsid w:val="004A6D71"/>
    <w:rsid w:val="004A74BA"/>
    <w:rsid w:val="004A74DB"/>
    <w:rsid w:val="004A758D"/>
    <w:rsid w:val="004B04AB"/>
    <w:rsid w:val="004B1B19"/>
    <w:rsid w:val="004B28E1"/>
    <w:rsid w:val="004B3978"/>
    <w:rsid w:val="004B3A21"/>
    <w:rsid w:val="004B48D6"/>
    <w:rsid w:val="004B4CAC"/>
    <w:rsid w:val="004B5D87"/>
    <w:rsid w:val="004B6A6E"/>
    <w:rsid w:val="004B6AC5"/>
    <w:rsid w:val="004B6B83"/>
    <w:rsid w:val="004B6E0C"/>
    <w:rsid w:val="004C1282"/>
    <w:rsid w:val="004C3812"/>
    <w:rsid w:val="004C44A2"/>
    <w:rsid w:val="004C6433"/>
    <w:rsid w:val="004C7689"/>
    <w:rsid w:val="004C7C2B"/>
    <w:rsid w:val="004D1076"/>
    <w:rsid w:val="004D19C4"/>
    <w:rsid w:val="004D468C"/>
    <w:rsid w:val="004D508C"/>
    <w:rsid w:val="004D58A8"/>
    <w:rsid w:val="004D66B0"/>
    <w:rsid w:val="004D7097"/>
    <w:rsid w:val="004E06E0"/>
    <w:rsid w:val="004E10E4"/>
    <w:rsid w:val="004E1989"/>
    <w:rsid w:val="004E33A3"/>
    <w:rsid w:val="004E4256"/>
    <w:rsid w:val="004E43DF"/>
    <w:rsid w:val="004E45CB"/>
    <w:rsid w:val="004E68D6"/>
    <w:rsid w:val="004E72EB"/>
    <w:rsid w:val="004F0749"/>
    <w:rsid w:val="004F099F"/>
    <w:rsid w:val="004F1677"/>
    <w:rsid w:val="004F1B7A"/>
    <w:rsid w:val="004F1E0A"/>
    <w:rsid w:val="004F29CF"/>
    <w:rsid w:val="004F3415"/>
    <w:rsid w:val="004F405E"/>
    <w:rsid w:val="004F43F9"/>
    <w:rsid w:val="004F4E53"/>
    <w:rsid w:val="004F54DF"/>
    <w:rsid w:val="004F79BF"/>
    <w:rsid w:val="00500441"/>
    <w:rsid w:val="005005E0"/>
    <w:rsid w:val="005016B8"/>
    <w:rsid w:val="00504B2B"/>
    <w:rsid w:val="00505ADF"/>
    <w:rsid w:val="00507419"/>
    <w:rsid w:val="00510223"/>
    <w:rsid w:val="00510E4F"/>
    <w:rsid w:val="00511B17"/>
    <w:rsid w:val="00511EAA"/>
    <w:rsid w:val="0051200E"/>
    <w:rsid w:val="0051223D"/>
    <w:rsid w:val="005140D1"/>
    <w:rsid w:val="005148C6"/>
    <w:rsid w:val="00514F16"/>
    <w:rsid w:val="00515A81"/>
    <w:rsid w:val="00515E3B"/>
    <w:rsid w:val="0051694A"/>
    <w:rsid w:val="005176A0"/>
    <w:rsid w:val="00520857"/>
    <w:rsid w:val="00521C3E"/>
    <w:rsid w:val="00521E06"/>
    <w:rsid w:val="005230F1"/>
    <w:rsid w:val="0052320E"/>
    <w:rsid w:val="0052339C"/>
    <w:rsid w:val="00523695"/>
    <w:rsid w:val="00524303"/>
    <w:rsid w:val="00524BCB"/>
    <w:rsid w:val="00525E2A"/>
    <w:rsid w:val="005263C5"/>
    <w:rsid w:val="00526DCE"/>
    <w:rsid w:val="00527CC5"/>
    <w:rsid w:val="00530D67"/>
    <w:rsid w:val="005311A4"/>
    <w:rsid w:val="00531810"/>
    <w:rsid w:val="0053228D"/>
    <w:rsid w:val="00532826"/>
    <w:rsid w:val="0053338B"/>
    <w:rsid w:val="00533556"/>
    <w:rsid w:val="005339B5"/>
    <w:rsid w:val="0053709E"/>
    <w:rsid w:val="00537362"/>
    <w:rsid w:val="00537BA4"/>
    <w:rsid w:val="00537DF9"/>
    <w:rsid w:val="0054095C"/>
    <w:rsid w:val="005421EA"/>
    <w:rsid w:val="005431EB"/>
    <w:rsid w:val="00543384"/>
    <w:rsid w:val="00543574"/>
    <w:rsid w:val="00544523"/>
    <w:rsid w:val="00546044"/>
    <w:rsid w:val="00546292"/>
    <w:rsid w:val="00547C10"/>
    <w:rsid w:val="00550702"/>
    <w:rsid w:val="00554003"/>
    <w:rsid w:val="005540CA"/>
    <w:rsid w:val="005543BD"/>
    <w:rsid w:val="00554A7F"/>
    <w:rsid w:val="00554BC2"/>
    <w:rsid w:val="00554E37"/>
    <w:rsid w:val="00555A51"/>
    <w:rsid w:val="00555F11"/>
    <w:rsid w:val="0055605F"/>
    <w:rsid w:val="005602A5"/>
    <w:rsid w:val="005607B3"/>
    <w:rsid w:val="005609B8"/>
    <w:rsid w:val="00560BE0"/>
    <w:rsid w:val="00560DD2"/>
    <w:rsid w:val="0056134A"/>
    <w:rsid w:val="005618C6"/>
    <w:rsid w:val="00561EA4"/>
    <w:rsid w:val="005630AF"/>
    <w:rsid w:val="005633EE"/>
    <w:rsid w:val="00564315"/>
    <w:rsid w:val="00564951"/>
    <w:rsid w:val="00566068"/>
    <w:rsid w:val="005665B3"/>
    <w:rsid w:val="00566650"/>
    <w:rsid w:val="005667DD"/>
    <w:rsid w:val="00566A33"/>
    <w:rsid w:val="00566ADE"/>
    <w:rsid w:val="005675F2"/>
    <w:rsid w:val="005717EE"/>
    <w:rsid w:val="00571869"/>
    <w:rsid w:val="00571E58"/>
    <w:rsid w:val="00572259"/>
    <w:rsid w:val="00572590"/>
    <w:rsid w:val="00572F3F"/>
    <w:rsid w:val="00573504"/>
    <w:rsid w:val="00573A53"/>
    <w:rsid w:val="00574EAF"/>
    <w:rsid w:val="00576116"/>
    <w:rsid w:val="00576A9C"/>
    <w:rsid w:val="00576ED1"/>
    <w:rsid w:val="00577A11"/>
    <w:rsid w:val="00580A5C"/>
    <w:rsid w:val="00580A81"/>
    <w:rsid w:val="005812EE"/>
    <w:rsid w:val="005813BA"/>
    <w:rsid w:val="00582CA3"/>
    <w:rsid w:val="00582E77"/>
    <w:rsid w:val="00583C02"/>
    <w:rsid w:val="00585094"/>
    <w:rsid w:val="005859EC"/>
    <w:rsid w:val="00585B45"/>
    <w:rsid w:val="005861D7"/>
    <w:rsid w:val="005874D6"/>
    <w:rsid w:val="00587ADE"/>
    <w:rsid w:val="00587F6B"/>
    <w:rsid w:val="00587FBF"/>
    <w:rsid w:val="005906B3"/>
    <w:rsid w:val="0059070C"/>
    <w:rsid w:val="00591136"/>
    <w:rsid w:val="00592011"/>
    <w:rsid w:val="005923D7"/>
    <w:rsid w:val="0059328E"/>
    <w:rsid w:val="00593CEC"/>
    <w:rsid w:val="00595610"/>
    <w:rsid w:val="00595981"/>
    <w:rsid w:val="00595E03"/>
    <w:rsid w:val="00596031"/>
    <w:rsid w:val="005975AE"/>
    <w:rsid w:val="00597C6A"/>
    <w:rsid w:val="005A02B6"/>
    <w:rsid w:val="005A077F"/>
    <w:rsid w:val="005A0F9C"/>
    <w:rsid w:val="005A2160"/>
    <w:rsid w:val="005A246C"/>
    <w:rsid w:val="005A293C"/>
    <w:rsid w:val="005A2D4D"/>
    <w:rsid w:val="005A2E83"/>
    <w:rsid w:val="005A386A"/>
    <w:rsid w:val="005A3B29"/>
    <w:rsid w:val="005A5389"/>
    <w:rsid w:val="005A6056"/>
    <w:rsid w:val="005A6582"/>
    <w:rsid w:val="005A6C36"/>
    <w:rsid w:val="005B13A7"/>
    <w:rsid w:val="005B35CC"/>
    <w:rsid w:val="005B39AB"/>
    <w:rsid w:val="005B5332"/>
    <w:rsid w:val="005B5D13"/>
    <w:rsid w:val="005B6DB7"/>
    <w:rsid w:val="005B7EE5"/>
    <w:rsid w:val="005C0B9E"/>
    <w:rsid w:val="005C4C80"/>
    <w:rsid w:val="005D024F"/>
    <w:rsid w:val="005D28BE"/>
    <w:rsid w:val="005D39B7"/>
    <w:rsid w:val="005D400A"/>
    <w:rsid w:val="005D4232"/>
    <w:rsid w:val="005D44F8"/>
    <w:rsid w:val="005D458D"/>
    <w:rsid w:val="005D4CD5"/>
    <w:rsid w:val="005D4E18"/>
    <w:rsid w:val="005D62B2"/>
    <w:rsid w:val="005E04D0"/>
    <w:rsid w:val="005E0BF8"/>
    <w:rsid w:val="005E0DA7"/>
    <w:rsid w:val="005E0E36"/>
    <w:rsid w:val="005E0E9D"/>
    <w:rsid w:val="005E0F9D"/>
    <w:rsid w:val="005E16E6"/>
    <w:rsid w:val="005E18DD"/>
    <w:rsid w:val="005E1DF0"/>
    <w:rsid w:val="005E2292"/>
    <w:rsid w:val="005E25E5"/>
    <w:rsid w:val="005E2FD5"/>
    <w:rsid w:val="005E302A"/>
    <w:rsid w:val="005E3516"/>
    <w:rsid w:val="005E485B"/>
    <w:rsid w:val="005E4903"/>
    <w:rsid w:val="005E5468"/>
    <w:rsid w:val="005E5CCA"/>
    <w:rsid w:val="005E63E3"/>
    <w:rsid w:val="005E6C0A"/>
    <w:rsid w:val="005E7537"/>
    <w:rsid w:val="005F0250"/>
    <w:rsid w:val="005F08D8"/>
    <w:rsid w:val="005F0C11"/>
    <w:rsid w:val="005F0FEF"/>
    <w:rsid w:val="005F10E6"/>
    <w:rsid w:val="005F11AE"/>
    <w:rsid w:val="005F1470"/>
    <w:rsid w:val="005F1D10"/>
    <w:rsid w:val="005F249A"/>
    <w:rsid w:val="005F2553"/>
    <w:rsid w:val="005F28E6"/>
    <w:rsid w:val="005F2959"/>
    <w:rsid w:val="005F2D02"/>
    <w:rsid w:val="005F38AE"/>
    <w:rsid w:val="005F3B21"/>
    <w:rsid w:val="005F4462"/>
    <w:rsid w:val="005F45EB"/>
    <w:rsid w:val="005F4A35"/>
    <w:rsid w:val="005F6408"/>
    <w:rsid w:val="005F74A5"/>
    <w:rsid w:val="00600160"/>
    <w:rsid w:val="006003CC"/>
    <w:rsid w:val="006026DF"/>
    <w:rsid w:val="0060302B"/>
    <w:rsid w:val="00604283"/>
    <w:rsid w:val="00605B37"/>
    <w:rsid w:val="00606651"/>
    <w:rsid w:val="0060694D"/>
    <w:rsid w:val="00606FCC"/>
    <w:rsid w:val="00607D98"/>
    <w:rsid w:val="006107F6"/>
    <w:rsid w:val="00610A9D"/>
    <w:rsid w:val="00610C1F"/>
    <w:rsid w:val="006115E6"/>
    <w:rsid w:val="00612798"/>
    <w:rsid w:val="00612F89"/>
    <w:rsid w:val="006133B2"/>
    <w:rsid w:val="00615016"/>
    <w:rsid w:val="00615019"/>
    <w:rsid w:val="0061692B"/>
    <w:rsid w:val="006176DB"/>
    <w:rsid w:val="006179DF"/>
    <w:rsid w:val="006205AF"/>
    <w:rsid w:val="00620BB5"/>
    <w:rsid w:val="006218D2"/>
    <w:rsid w:val="00621B1F"/>
    <w:rsid w:val="00621BA6"/>
    <w:rsid w:val="00622722"/>
    <w:rsid w:val="00623BFD"/>
    <w:rsid w:val="006248D4"/>
    <w:rsid w:val="00626349"/>
    <w:rsid w:val="0062693D"/>
    <w:rsid w:val="00627E30"/>
    <w:rsid w:val="00630F2B"/>
    <w:rsid w:val="00631261"/>
    <w:rsid w:val="00631933"/>
    <w:rsid w:val="006328A5"/>
    <w:rsid w:val="0063366A"/>
    <w:rsid w:val="00634176"/>
    <w:rsid w:val="00634BF5"/>
    <w:rsid w:val="0063532D"/>
    <w:rsid w:val="0063587C"/>
    <w:rsid w:val="00635D29"/>
    <w:rsid w:val="00636ABD"/>
    <w:rsid w:val="00636ECD"/>
    <w:rsid w:val="00637803"/>
    <w:rsid w:val="00637916"/>
    <w:rsid w:val="00641081"/>
    <w:rsid w:val="006434F1"/>
    <w:rsid w:val="0064446C"/>
    <w:rsid w:val="00644E6D"/>
    <w:rsid w:val="0064581F"/>
    <w:rsid w:val="00646E20"/>
    <w:rsid w:val="0064734E"/>
    <w:rsid w:val="00647D57"/>
    <w:rsid w:val="00652AD0"/>
    <w:rsid w:val="00654B81"/>
    <w:rsid w:val="0065564D"/>
    <w:rsid w:val="006559D0"/>
    <w:rsid w:val="00655D9E"/>
    <w:rsid w:val="00655E9C"/>
    <w:rsid w:val="00657370"/>
    <w:rsid w:val="00657A57"/>
    <w:rsid w:val="00661802"/>
    <w:rsid w:val="00661B44"/>
    <w:rsid w:val="00661F02"/>
    <w:rsid w:val="00662564"/>
    <w:rsid w:val="00664776"/>
    <w:rsid w:val="00664A32"/>
    <w:rsid w:val="00665B65"/>
    <w:rsid w:val="006661C6"/>
    <w:rsid w:val="0066663F"/>
    <w:rsid w:val="00667675"/>
    <w:rsid w:val="00667D2C"/>
    <w:rsid w:val="006723BD"/>
    <w:rsid w:val="00672428"/>
    <w:rsid w:val="00672686"/>
    <w:rsid w:val="00672782"/>
    <w:rsid w:val="00672871"/>
    <w:rsid w:val="006731D3"/>
    <w:rsid w:val="00673EA5"/>
    <w:rsid w:val="006745F5"/>
    <w:rsid w:val="00675826"/>
    <w:rsid w:val="0067618B"/>
    <w:rsid w:val="00676301"/>
    <w:rsid w:val="006767C4"/>
    <w:rsid w:val="00680F65"/>
    <w:rsid w:val="006815B7"/>
    <w:rsid w:val="00683337"/>
    <w:rsid w:val="00683468"/>
    <w:rsid w:val="006846C1"/>
    <w:rsid w:val="006848C0"/>
    <w:rsid w:val="0068515C"/>
    <w:rsid w:val="00685CFA"/>
    <w:rsid w:val="00686B4E"/>
    <w:rsid w:val="00687850"/>
    <w:rsid w:val="00687EF1"/>
    <w:rsid w:val="00690A40"/>
    <w:rsid w:val="00690A53"/>
    <w:rsid w:val="006910FD"/>
    <w:rsid w:val="00691BE9"/>
    <w:rsid w:val="006921ED"/>
    <w:rsid w:val="006922C1"/>
    <w:rsid w:val="0069260D"/>
    <w:rsid w:val="006928BB"/>
    <w:rsid w:val="00692FE7"/>
    <w:rsid w:val="0069352D"/>
    <w:rsid w:val="00694742"/>
    <w:rsid w:val="00695690"/>
    <w:rsid w:val="00695A19"/>
    <w:rsid w:val="00696061"/>
    <w:rsid w:val="006966BB"/>
    <w:rsid w:val="00697830"/>
    <w:rsid w:val="006979E2"/>
    <w:rsid w:val="006A4EC2"/>
    <w:rsid w:val="006A5E75"/>
    <w:rsid w:val="006B0435"/>
    <w:rsid w:val="006B1880"/>
    <w:rsid w:val="006B1AB7"/>
    <w:rsid w:val="006B1D13"/>
    <w:rsid w:val="006B267B"/>
    <w:rsid w:val="006B2CF1"/>
    <w:rsid w:val="006B3E9A"/>
    <w:rsid w:val="006B5227"/>
    <w:rsid w:val="006B6315"/>
    <w:rsid w:val="006B6721"/>
    <w:rsid w:val="006B685A"/>
    <w:rsid w:val="006B7FF9"/>
    <w:rsid w:val="006C0949"/>
    <w:rsid w:val="006C2CF7"/>
    <w:rsid w:val="006C2D86"/>
    <w:rsid w:val="006C2E27"/>
    <w:rsid w:val="006C3B10"/>
    <w:rsid w:val="006C4066"/>
    <w:rsid w:val="006C5411"/>
    <w:rsid w:val="006C5CAE"/>
    <w:rsid w:val="006C5F01"/>
    <w:rsid w:val="006C625A"/>
    <w:rsid w:val="006C686B"/>
    <w:rsid w:val="006C6C52"/>
    <w:rsid w:val="006C6FDC"/>
    <w:rsid w:val="006C6FE6"/>
    <w:rsid w:val="006D02F2"/>
    <w:rsid w:val="006D03D5"/>
    <w:rsid w:val="006D0BF1"/>
    <w:rsid w:val="006D27B5"/>
    <w:rsid w:val="006D2858"/>
    <w:rsid w:val="006D29ED"/>
    <w:rsid w:val="006D57DE"/>
    <w:rsid w:val="006D5A9D"/>
    <w:rsid w:val="006D68E6"/>
    <w:rsid w:val="006D7021"/>
    <w:rsid w:val="006D737C"/>
    <w:rsid w:val="006D7AD2"/>
    <w:rsid w:val="006E119E"/>
    <w:rsid w:val="006E2B58"/>
    <w:rsid w:val="006E2E15"/>
    <w:rsid w:val="006E3B5A"/>
    <w:rsid w:val="006E3D47"/>
    <w:rsid w:val="006E48C9"/>
    <w:rsid w:val="006E4A7E"/>
    <w:rsid w:val="006E4DA4"/>
    <w:rsid w:val="006E528D"/>
    <w:rsid w:val="006E7580"/>
    <w:rsid w:val="006E7753"/>
    <w:rsid w:val="006F147F"/>
    <w:rsid w:val="006F2F5A"/>
    <w:rsid w:val="006F44BA"/>
    <w:rsid w:val="006F56F2"/>
    <w:rsid w:val="006F5D74"/>
    <w:rsid w:val="006F6005"/>
    <w:rsid w:val="006F61DE"/>
    <w:rsid w:val="006F72D2"/>
    <w:rsid w:val="006F74DC"/>
    <w:rsid w:val="007019CD"/>
    <w:rsid w:val="007021BD"/>
    <w:rsid w:val="007026A5"/>
    <w:rsid w:val="007035A3"/>
    <w:rsid w:val="00703906"/>
    <w:rsid w:val="00704ABF"/>
    <w:rsid w:val="00704E04"/>
    <w:rsid w:val="00704ECF"/>
    <w:rsid w:val="00705977"/>
    <w:rsid w:val="00705C55"/>
    <w:rsid w:val="0070606A"/>
    <w:rsid w:val="007068A3"/>
    <w:rsid w:val="00707898"/>
    <w:rsid w:val="00711C77"/>
    <w:rsid w:val="00714B30"/>
    <w:rsid w:val="00714BA1"/>
    <w:rsid w:val="007165C4"/>
    <w:rsid w:val="00716893"/>
    <w:rsid w:val="00716F9D"/>
    <w:rsid w:val="00720AA0"/>
    <w:rsid w:val="00720F16"/>
    <w:rsid w:val="007216E9"/>
    <w:rsid w:val="00722120"/>
    <w:rsid w:val="00723019"/>
    <w:rsid w:val="007234AA"/>
    <w:rsid w:val="00723A59"/>
    <w:rsid w:val="007250D8"/>
    <w:rsid w:val="00727014"/>
    <w:rsid w:val="007270AC"/>
    <w:rsid w:val="00730891"/>
    <w:rsid w:val="007316C1"/>
    <w:rsid w:val="0073249C"/>
    <w:rsid w:val="0073260F"/>
    <w:rsid w:val="00732941"/>
    <w:rsid w:val="00732FC8"/>
    <w:rsid w:val="007342CE"/>
    <w:rsid w:val="00734F76"/>
    <w:rsid w:val="0073785A"/>
    <w:rsid w:val="00737CA0"/>
    <w:rsid w:val="00737D8E"/>
    <w:rsid w:val="00740259"/>
    <w:rsid w:val="00740F3A"/>
    <w:rsid w:val="00742174"/>
    <w:rsid w:val="007429E8"/>
    <w:rsid w:val="00743105"/>
    <w:rsid w:val="007451D7"/>
    <w:rsid w:val="00745E9B"/>
    <w:rsid w:val="00746620"/>
    <w:rsid w:val="00746A8B"/>
    <w:rsid w:val="00746BB9"/>
    <w:rsid w:val="00746EFC"/>
    <w:rsid w:val="007472F0"/>
    <w:rsid w:val="00747468"/>
    <w:rsid w:val="00747A18"/>
    <w:rsid w:val="007502F1"/>
    <w:rsid w:val="0075030C"/>
    <w:rsid w:val="00750DB4"/>
    <w:rsid w:val="00751282"/>
    <w:rsid w:val="00752293"/>
    <w:rsid w:val="007534FA"/>
    <w:rsid w:val="00754C79"/>
    <w:rsid w:val="00754CB8"/>
    <w:rsid w:val="0075690E"/>
    <w:rsid w:val="00757917"/>
    <w:rsid w:val="00757A78"/>
    <w:rsid w:val="00760446"/>
    <w:rsid w:val="00760584"/>
    <w:rsid w:val="00760D1D"/>
    <w:rsid w:val="00761AFB"/>
    <w:rsid w:val="00762106"/>
    <w:rsid w:val="00762284"/>
    <w:rsid w:val="00762573"/>
    <w:rsid w:val="00762798"/>
    <w:rsid w:val="00762BEB"/>
    <w:rsid w:val="00764DC5"/>
    <w:rsid w:val="00764F7F"/>
    <w:rsid w:val="0076575D"/>
    <w:rsid w:val="007664DD"/>
    <w:rsid w:val="0076699D"/>
    <w:rsid w:val="00770CD2"/>
    <w:rsid w:val="007713E5"/>
    <w:rsid w:val="0077159E"/>
    <w:rsid w:val="00771DF1"/>
    <w:rsid w:val="00771F82"/>
    <w:rsid w:val="007720B0"/>
    <w:rsid w:val="00773012"/>
    <w:rsid w:val="00773F94"/>
    <w:rsid w:val="00774EB2"/>
    <w:rsid w:val="0077535B"/>
    <w:rsid w:val="00776392"/>
    <w:rsid w:val="007769C6"/>
    <w:rsid w:val="00776C36"/>
    <w:rsid w:val="00776D4A"/>
    <w:rsid w:val="00777441"/>
    <w:rsid w:val="0078174E"/>
    <w:rsid w:val="00781A9C"/>
    <w:rsid w:val="00781B98"/>
    <w:rsid w:val="0078422A"/>
    <w:rsid w:val="00784B96"/>
    <w:rsid w:val="0078594A"/>
    <w:rsid w:val="00785DF6"/>
    <w:rsid w:val="0078622A"/>
    <w:rsid w:val="00786403"/>
    <w:rsid w:val="0078732E"/>
    <w:rsid w:val="00790D79"/>
    <w:rsid w:val="0079130D"/>
    <w:rsid w:val="0079185D"/>
    <w:rsid w:val="0079268D"/>
    <w:rsid w:val="00793A6A"/>
    <w:rsid w:val="00793F20"/>
    <w:rsid w:val="00794549"/>
    <w:rsid w:val="00794841"/>
    <w:rsid w:val="007960BA"/>
    <w:rsid w:val="0079672A"/>
    <w:rsid w:val="007A3026"/>
    <w:rsid w:val="007A3969"/>
    <w:rsid w:val="007A3FE0"/>
    <w:rsid w:val="007A5159"/>
    <w:rsid w:val="007A5342"/>
    <w:rsid w:val="007A7021"/>
    <w:rsid w:val="007A7CA9"/>
    <w:rsid w:val="007A7D15"/>
    <w:rsid w:val="007B1762"/>
    <w:rsid w:val="007B25D7"/>
    <w:rsid w:val="007B2F38"/>
    <w:rsid w:val="007B3302"/>
    <w:rsid w:val="007B3EF9"/>
    <w:rsid w:val="007B3FC9"/>
    <w:rsid w:val="007B4904"/>
    <w:rsid w:val="007B4A71"/>
    <w:rsid w:val="007B4F5F"/>
    <w:rsid w:val="007B565C"/>
    <w:rsid w:val="007B569E"/>
    <w:rsid w:val="007B6AD9"/>
    <w:rsid w:val="007B6B4D"/>
    <w:rsid w:val="007B6CD0"/>
    <w:rsid w:val="007B7099"/>
    <w:rsid w:val="007C2237"/>
    <w:rsid w:val="007C2FBB"/>
    <w:rsid w:val="007C4D8A"/>
    <w:rsid w:val="007C65EA"/>
    <w:rsid w:val="007D0199"/>
    <w:rsid w:val="007D057C"/>
    <w:rsid w:val="007D06A6"/>
    <w:rsid w:val="007D185E"/>
    <w:rsid w:val="007D2344"/>
    <w:rsid w:val="007D2B46"/>
    <w:rsid w:val="007D3C84"/>
    <w:rsid w:val="007D4CB2"/>
    <w:rsid w:val="007D556A"/>
    <w:rsid w:val="007D6A1A"/>
    <w:rsid w:val="007D73D3"/>
    <w:rsid w:val="007D78E0"/>
    <w:rsid w:val="007D7B47"/>
    <w:rsid w:val="007D7B49"/>
    <w:rsid w:val="007E0515"/>
    <w:rsid w:val="007E0C76"/>
    <w:rsid w:val="007E0DBE"/>
    <w:rsid w:val="007E1081"/>
    <w:rsid w:val="007E12F8"/>
    <w:rsid w:val="007E1A12"/>
    <w:rsid w:val="007E1C43"/>
    <w:rsid w:val="007E214C"/>
    <w:rsid w:val="007E28A8"/>
    <w:rsid w:val="007E2B59"/>
    <w:rsid w:val="007E2F57"/>
    <w:rsid w:val="007E461E"/>
    <w:rsid w:val="007E5BC0"/>
    <w:rsid w:val="007E680C"/>
    <w:rsid w:val="007E73DE"/>
    <w:rsid w:val="007E7BBB"/>
    <w:rsid w:val="007E7CBF"/>
    <w:rsid w:val="007F0DE4"/>
    <w:rsid w:val="007F17C9"/>
    <w:rsid w:val="007F2162"/>
    <w:rsid w:val="007F256D"/>
    <w:rsid w:val="007F3A66"/>
    <w:rsid w:val="007F4E31"/>
    <w:rsid w:val="007F589E"/>
    <w:rsid w:val="007F5B87"/>
    <w:rsid w:val="007F5C86"/>
    <w:rsid w:val="007F602F"/>
    <w:rsid w:val="007F78EE"/>
    <w:rsid w:val="0080112F"/>
    <w:rsid w:val="0080116E"/>
    <w:rsid w:val="00802342"/>
    <w:rsid w:val="008026F3"/>
    <w:rsid w:val="0080272C"/>
    <w:rsid w:val="00802814"/>
    <w:rsid w:val="00802980"/>
    <w:rsid w:val="00803889"/>
    <w:rsid w:val="00805F17"/>
    <w:rsid w:val="00810CC8"/>
    <w:rsid w:val="00811078"/>
    <w:rsid w:val="0081161D"/>
    <w:rsid w:val="008119AC"/>
    <w:rsid w:val="00811FA8"/>
    <w:rsid w:val="00813006"/>
    <w:rsid w:val="008131CC"/>
    <w:rsid w:val="008134F2"/>
    <w:rsid w:val="0081364D"/>
    <w:rsid w:val="008139B6"/>
    <w:rsid w:val="008140A8"/>
    <w:rsid w:val="0081523E"/>
    <w:rsid w:val="008153EF"/>
    <w:rsid w:val="00815567"/>
    <w:rsid w:val="0081640E"/>
    <w:rsid w:val="00816C00"/>
    <w:rsid w:val="00817172"/>
    <w:rsid w:val="00817351"/>
    <w:rsid w:val="00817468"/>
    <w:rsid w:val="00817AFD"/>
    <w:rsid w:val="00820E87"/>
    <w:rsid w:val="0082236B"/>
    <w:rsid w:val="00823F38"/>
    <w:rsid w:val="008242E3"/>
    <w:rsid w:val="00826882"/>
    <w:rsid w:val="00826CBF"/>
    <w:rsid w:val="00827DFF"/>
    <w:rsid w:val="00827EA5"/>
    <w:rsid w:val="00827ED9"/>
    <w:rsid w:val="008306BA"/>
    <w:rsid w:val="0083110F"/>
    <w:rsid w:val="008316B4"/>
    <w:rsid w:val="008318B5"/>
    <w:rsid w:val="00831B77"/>
    <w:rsid w:val="00832ABB"/>
    <w:rsid w:val="00832B54"/>
    <w:rsid w:val="008332A8"/>
    <w:rsid w:val="00834D84"/>
    <w:rsid w:val="00835BC8"/>
    <w:rsid w:val="00836CA0"/>
    <w:rsid w:val="00836E00"/>
    <w:rsid w:val="008404CC"/>
    <w:rsid w:val="0084097B"/>
    <w:rsid w:val="00840AD4"/>
    <w:rsid w:val="008416BC"/>
    <w:rsid w:val="008418EC"/>
    <w:rsid w:val="00842639"/>
    <w:rsid w:val="00842F79"/>
    <w:rsid w:val="00843429"/>
    <w:rsid w:val="00844902"/>
    <w:rsid w:val="00845E13"/>
    <w:rsid w:val="0084643E"/>
    <w:rsid w:val="00852E54"/>
    <w:rsid w:val="0085439C"/>
    <w:rsid w:val="008544D0"/>
    <w:rsid w:val="00854617"/>
    <w:rsid w:val="00854EA1"/>
    <w:rsid w:val="00856681"/>
    <w:rsid w:val="008568CB"/>
    <w:rsid w:val="0085729A"/>
    <w:rsid w:val="00860583"/>
    <w:rsid w:val="00864128"/>
    <w:rsid w:val="0086447D"/>
    <w:rsid w:val="008673BA"/>
    <w:rsid w:val="008673E0"/>
    <w:rsid w:val="00871CAD"/>
    <w:rsid w:val="008733B8"/>
    <w:rsid w:val="00873D39"/>
    <w:rsid w:val="0087589B"/>
    <w:rsid w:val="00876164"/>
    <w:rsid w:val="00881069"/>
    <w:rsid w:val="00881B82"/>
    <w:rsid w:val="00882233"/>
    <w:rsid w:val="00885501"/>
    <w:rsid w:val="008855B4"/>
    <w:rsid w:val="008856C8"/>
    <w:rsid w:val="00886CA0"/>
    <w:rsid w:val="008875E8"/>
    <w:rsid w:val="00887624"/>
    <w:rsid w:val="00890E53"/>
    <w:rsid w:val="008926FA"/>
    <w:rsid w:val="008933FB"/>
    <w:rsid w:val="00893D30"/>
    <w:rsid w:val="008940B6"/>
    <w:rsid w:val="008942FE"/>
    <w:rsid w:val="008947EC"/>
    <w:rsid w:val="00895126"/>
    <w:rsid w:val="008960AD"/>
    <w:rsid w:val="008966E7"/>
    <w:rsid w:val="00896700"/>
    <w:rsid w:val="008967D0"/>
    <w:rsid w:val="008969A3"/>
    <w:rsid w:val="00896D10"/>
    <w:rsid w:val="0089769D"/>
    <w:rsid w:val="008A1381"/>
    <w:rsid w:val="008A273D"/>
    <w:rsid w:val="008A2DE1"/>
    <w:rsid w:val="008A39D6"/>
    <w:rsid w:val="008A43A5"/>
    <w:rsid w:val="008A4DC4"/>
    <w:rsid w:val="008A546B"/>
    <w:rsid w:val="008A6C3F"/>
    <w:rsid w:val="008A6E4E"/>
    <w:rsid w:val="008A7336"/>
    <w:rsid w:val="008B1485"/>
    <w:rsid w:val="008B2B13"/>
    <w:rsid w:val="008B2B7D"/>
    <w:rsid w:val="008B45D5"/>
    <w:rsid w:val="008B46FF"/>
    <w:rsid w:val="008B5629"/>
    <w:rsid w:val="008B5EB9"/>
    <w:rsid w:val="008B633B"/>
    <w:rsid w:val="008C149C"/>
    <w:rsid w:val="008C1707"/>
    <w:rsid w:val="008C1E13"/>
    <w:rsid w:val="008C2218"/>
    <w:rsid w:val="008C221B"/>
    <w:rsid w:val="008C277C"/>
    <w:rsid w:val="008C29DE"/>
    <w:rsid w:val="008C408C"/>
    <w:rsid w:val="008C68FF"/>
    <w:rsid w:val="008C735B"/>
    <w:rsid w:val="008C7973"/>
    <w:rsid w:val="008D07F9"/>
    <w:rsid w:val="008D10AF"/>
    <w:rsid w:val="008D134D"/>
    <w:rsid w:val="008D13F9"/>
    <w:rsid w:val="008D1882"/>
    <w:rsid w:val="008D2014"/>
    <w:rsid w:val="008D2D72"/>
    <w:rsid w:val="008D33E7"/>
    <w:rsid w:val="008D355F"/>
    <w:rsid w:val="008D3F03"/>
    <w:rsid w:val="008D5062"/>
    <w:rsid w:val="008D55C7"/>
    <w:rsid w:val="008D6348"/>
    <w:rsid w:val="008D64D9"/>
    <w:rsid w:val="008E21B7"/>
    <w:rsid w:val="008E26A1"/>
    <w:rsid w:val="008E287E"/>
    <w:rsid w:val="008E3BDB"/>
    <w:rsid w:val="008E4C95"/>
    <w:rsid w:val="008E6044"/>
    <w:rsid w:val="008E7247"/>
    <w:rsid w:val="008E7FF0"/>
    <w:rsid w:val="008F0581"/>
    <w:rsid w:val="008F2591"/>
    <w:rsid w:val="008F2E76"/>
    <w:rsid w:val="008F3145"/>
    <w:rsid w:val="008F3CA0"/>
    <w:rsid w:val="008F4606"/>
    <w:rsid w:val="008F5A34"/>
    <w:rsid w:val="008F5F5A"/>
    <w:rsid w:val="008F7B56"/>
    <w:rsid w:val="009004DF"/>
    <w:rsid w:val="00903D90"/>
    <w:rsid w:val="00904385"/>
    <w:rsid w:val="00904EB8"/>
    <w:rsid w:val="00904EF0"/>
    <w:rsid w:val="00904F43"/>
    <w:rsid w:val="00904F9B"/>
    <w:rsid w:val="0090531C"/>
    <w:rsid w:val="0090659C"/>
    <w:rsid w:val="00906BFB"/>
    <w:rsid w:val="0091016F"/>
    <w:rsid w:val="0091071F"/>
    <w:rsid w:val="0091250E"/>
    <w:rsid w:val="009125CE"/>
    <w:rsid w:val="009125D6"/>
    <w:rsid w:val="00912781"/>
    <w:rsid w:val="00912CB1"/>
    <w:rsid w:val="00914547"/>
    <w:rsid w:val="009145B9"/>
    <w:rsid w:val="00914D32"/>
    <w:rsid w:val="00914E6C"/>
    <w:rsid w:val="00915FFA"/>
    <w:rsid w:val="00916827"/>
    <w:rsid w:val="0091687C"/>
    <w:rsid w:val="00917997"/>
    <w:rsid w:val="009216F6"/>
    <w:rsid w:val="00923066"/>
    <w:rsid w:val="00923B19"/>
    <w:rsid w:val="00923B5E"/>
    <w:rsid w:val="00924F5D"/>
    <w:rsid w:val="00925155"/>
    <w:rsid w:val="00925A91"/>
    <w:rsid w:val="00925F7F"/>
    <w:rsid w:val="00926115"/>
    <w:rsid w:val="0092677D"/>
    <w:rsid w:val="009270A8"/>
    <w:rsid w:val="00927AB1"/>
    <w:rsid w:val="00927BBE"/>
    <w:rsid w:val="0093105C"/>
    <w:rsid w:val="00931F52"/>
    <w:rsid w:val="009327B8"/>
    <w:rsid w:val="00932A56"/>
    <w:rsid w:val="00932BD2"/>
    <w:rsid w:val="00932EDD"/>
    <w:rsid w:val="009336FC"/>
    <w:rsid w:val="00934CB9"/>
    <w:rsid w:val="009355A8"/>
    <w:rsid w:val="00936065"/>
    <w:rsid w:val="00936A47"/>
    <w:rsid w:val="00937D96"/>
    <w:rsid w:val="0094077E"/>
    <w:rsid w:val="00940CCF"/>
    <w:rsid w:val="00940DDF"/>
    <w:rsid w:val="00940F63"/>
    <w:rsid w:val="00941189"/>
    <w:rsid w:val="00941602"/>
    <w:rsid w:val="00941759"/>
    <w:rsid w:val="00941D74"/>
    <w:rsid w:val="009421F7"/>
    <w:rsid w:val="00942267"/>
    <w:rsid w:val="00942B24"/>
    <w:rsid w:val="00942DA1"/>
    <w:rsid w:val="009440F1"/>
    <w:rsid w:val="0094601C"/>
    <w:rsid w:val="009471B8"/>
    <w:rsid w:val="0094725B"/>
    <w:rsid w:val="0094734E"/>
    <w:rsid w:val="00947779"/>
    <w:rsid w:val="00950C2A"/>
    <w:rsid w:val="00951E78"/>
    <w:rsid w:val="00952672"/>
    <w:rsid w:val="00952AC2"/>
    <w:rsid w:val="00954CB8"/>
    <w:rsid w:val="00954F28"/>
    <w:rsid w:val="00960653"/>
    <w:rsid w:val="00960AB2"/>
    <w:rsid w:val="009615B6"/>
    <w:rsid w:val="00962CAC"/>
    <w:rsid w:val="009640DE"/>
    <w:rsid w:val="009642AB"/>
    <w:rsid w:val="009643C0"/>
    <w:rsid w:val="00964A1F"/>
    <w:rsid w:val="0096587B"/>
    <w:rsid w:val="009678E8"/>
    <w:rsid w:val="009701B5"/>
    <w:rsid w:val="009711B6"/>
    <w:rsid w:val="009717D1"/>
    <w:rsid w:val="00971D67"/>
    <w:rsid w:val="0097258C"/>
    <w:rsid w:val="00972782"/>
    <w:rsid w:val="00972F85"/>
    <w:rsid w:val="00973402"/>
    <w:rsid w:val="009745B0"/>
    <w:rsid w:val="00974BA6"/>
    <w:rsid w:val="009751BA"/>
    <w:rsid w:val="0097571C"/>
    <w:rsid w:val="00975866"/>
    <w:rsid w:val="0097613D"/>
    <w:rsid w:val="0097689C"/>
    <w:rsid w:val="00980410"/>
    <w:rsid w:val="009804C4"/>
    <w:rsid w:val="00981A84"/>
    <w:rsid w:val="00981D5B"/>
    <w:rsid w:val="00981FAF"/>
    <w:rsid w:val="00982DF8"/>
    <w:rsid w:val="0098382F"/>
    <w:rsid w:val="00983F59"/>
    <w:rsid w:val="009844F6"/>
    <w:rsid w:val="0098479C"/>
    <w:rsid w:val="00984E16"/>
    <w:rsid w:val="0098658F"/>
    <w:rsid w:val="00987A3C"/>
    <w:rsid w:val="00987AE7"/>
    <w:rsid w:val="00987F4A"/>
    <w:rsid w:val="009914F7"/>
    <w:rsid w:val="00991F88"/>
    <w:rsid w:val="009920AB"/>
    <w:rsid w:val="009932E0"/>
    <w:rsid w:val="00993F3C"/>
    <w:rsid w:val="00995F75"/>
    <w:rsid w:val="00996C04"/>
    <w:rsid w:val="00997642"/>
    <w:rsid w:val="00997C57"/>
    <w:rsid w:val="009A131D"/>
    <w:rsid w:val="009A2745"/>
    <w:rsid w:val="009A27A8"/>
    <w:rsid w:val="009A2CC3"/>
    <w:rsid w:val="009A30B7"/>
    <w:rsid w:val="009A3AD7"/>
    <w:rsid w:val="009A3F42"/>
    <w:rsid w:val="009A424B"/>
    <w:rsid w:val="009A4F1C"/>
    <w:rsid w:val="009A5BF3"/>
    <w:rsid w:val="009A678F"/>
    <w:rsid w:val="009A75AE"/>
    <w:rsid w:val="009A773F"/>
    <w:rsid w:val="009A79A9"/>
    <w:rsid w:val="009B0F5F"/>
    <w:rsid w:val="009B14E5"/>
    <w:rsid w:val="009B27D5"/>
    <w:rsid w:val="009B2A7F"/>
    <w:rsid w:val="009B57C9"/>
    <w:rsid w:val="009B5BB4"/>
    <w:rsid w:val="009B636B"/>
    <w:rsid w:val="009B644A"/>
    <w:rsid w:val="009B67F3"/>
    <w:rsid w:val="009B6C31"/>
    <w:rsid w:val="009C1FB5"/>
    <w:rsid w:val="009C2548"/>
    <w:rsid w:val="009C26A0"/>
    <w:rsid w:val="009C3FCF"/>
    <w:rsid w:val="009C551E"/>
    <w:rsid w:val="009C5B7E"/>
    <w:rsid w:val="009C5F5F"/>
    <w:rsid w:val="009C747A"/>
    <w:rsid w:val="009D00BA"/>
    <w:rsid w:val="009D069E"/>
    <w:rsid w:val="009D07C2"/>
    <w:rsid w:val="009D108F"/>
    <w:rsid w:val="009D1E60"/>
    <w:rsid w:val="009D2BF8"/>
    <w:rsid w:val="009D3B38"/>
    <w:rsid w:val="009D402C"/>
    <w:rsid w:val="009D4740"/>
    <w:rsid w:val="009D5044"/>
    <w:rsid w:val="009D5A96"/>
    <w:rsid w:val="009D5CF0"/>
    <w:rsid w:val="009E0331"/>
    <w:rsid w:val="009E048A"/>
    <w:rsid w:val="009E050A"/>
    <w:rsid w:val="009E088E"/>
    <w:rsid w:val="009E1005"/>
    <w:rsid w:val="009E28B5"/>
    <w:rsid w:val="009E2ADB"/>
    <w:rsid w:val="009E3721"/>
    <w:rsid w:val="009E4218"/>
    <w:rsid w:val="009E473D"/>
    <w:rsid w:val="009E497B"/>
    <w:rsid w:val="009E4B5A"/>
    <w:rsid w:val="009E52D8"/>
    <w:rsid w:val="009E5325"/>
    <w:rsid w:val="009E5389"/>
    <w:rsid w:val="009E7CCB"/>
    <w:rsid w:val="009F0B76"/>
    <w:rsid w:val="009F123D"/>
    <w:rsid w:val="009F226E"/>
    <w:rsid w:val="009F239C"/>
    <w:rsid w:val="009F33CA"/>
    <w:rsid w:val="009F48F7"/>
    <w:rsid w:val="009F57F6"/>
    <w:rsid w:val="009F5BDD"/>
    <w:rsid w:val="009F6280"/>
    <w:rsid w:val="009F77A5"/>
    <w:rsid w:val="009F7FCA"/>
    <w:rsid w:val="00A00ED4"/>
    <w:rsid w:val="00A0136A"/>
    <w:rsid w:val="00A02914"/>
    <w:rsid w:val="00A02944"/>
    <w:rsid w:val="00A03251"/>
    <w:rsid w:val="00A03AE2"/>
    <w:rsid w:val="00A03B11"/>
    <w:rsid w:val="00A0507E"/>
    <w:rsid w:val="00A05837"/>
    <w:rsid w:val="00A06548"/>
    <w:rsid w:val="00A075D3"/>
    <w:rsid w:val="00A122A6"/>
    <w:rsid w:val="00A122BA"/>
    <w:rsid w:val="00A1272C"/>
    <w:rsid w:val="00A13E04"/>
    <w:rsid w:val="00A14774"/>
    <w:rsid w:val="00A148E9"/>
    <w:rsid w:val="00A14BF6"/>
    <w:rsid w:val="00A159B4"/>
    <w:rsid w:val="00A162E0"/>
    <w:rsid w:val="00A16F8D"/>
    <w:rsid w:val="00A20278"/>
    <w:rsid w:val="00A2032F"/>
    <w:rsid w:val="00A20F91"/>
    <w:rsid w:val="00A2141D"/>
    <w:rsid w:val="00A2459E"/>
    <w:rsid w:val="00A24930"/>
    <w:rsid w:val="00A25FFE"/>
    <w:rsid w:val="00A26001"/>
    <w:rsid w:val="00A2621E"/>
    <w:rsid w:val="00A30926"/>
    <w:rsid w:val="00A332AD"/>
    <w:rsid w:val="00A34561"/>
    <w:rsid w:val="00A35820"/>
    <w:rsid w:val="00A35C60"/>
    <w:rsid w:val="00A36011"/>
    <w:rsid w:val="00A36C0B"/>
    <w:rsid w:val="00A371A9"/>
    <w:rsid w:val="00A37E7B"/>
    <w:rsid w:val="00A4087C"/>
    <w:rsid w:val="00A40984"/>
    <w:rsid w:val="00A40CF3"/>
    <w:rsid w:val="00A4178B"/>
    <w:rsid w:val="00A421A5"/>
    <w:rsid w:val="00A42334"/>
    <w:rsid w:val="00A42384"/>
    <w:rsid w:val="00A428B0"/>
    <w:rsid w:val="00A456E7"/>
    <w:rsid w:val="00A47BD2"/>
    <w:rsid w:val="00A5019B"/>
    <w:rsid w:val="00A50352"/>
    <w:rsid w:val="00A509BC"/>
    <w:rsid w:val="00A51B27"/>
    <w:rsid w:val="00A5202F"/>
    <w:rsid w:val="00A52A57"/>
    <w:rsid w:val="00A52F21"/>
    <w:rsid w:val="00A5326C"/>
    <w:rsid w:val="00A538FF"/>
    <w:rsid w:val="00A541DE"/>
    <w:rsid w:val="00A54923"/>
    <w:rsid w:val="00A549D1"/>
    <w:rsid w:val="00A54EBC"/>
    <w:rsid w:val="00A550BE"/>
    <w:rsid w:val="00A5536D"/>
    <w:rsid w:val="00A5622F"/>
    <w:rsid w:val="00A56FD5"/>
    <w:rsid w:val="00A57833"/>
    <w:rsid w:val="00A57AAB"/>
    <w:rsid w:val="00A57D10"/>
    <w:rsid w:val="00A6016D"/>
    <w:rsid w:val="00A60C49"/>
    <w:rsid w:val="00A6161E"/>
    <w:rsid w:val="00A6163E"/>
    <w:rsid w:val="00A62366"/>
    <w:rsid w:val="00A623C8"/>
    <w:rsid w:val="00A6421E"/>
    <w:rsid w:val="00A643F5"/>
    <w:rsid w:val="00A644B2"/>
    <w:rsid w:val="00A64826"/>
    <w:rsid w:val="00A65F17"/>
    <w:rsid w:val="00A6693A"/>
    <w:rsid w:val="00A67292"/>
    <w:rsid w:val="00A70785"/>
    <w:rsid w:val="00A708BF"/>
    <w:rsid w:val="00A71151"/>
    <w:rsid w:val="00A71812"/>
    <w:rsid w:val="00A71C1D"/>
    <w:rsid w:val="00A731C8"/>
    <w:rsid w:val="00A73385"/>
    <w:rsid w:val="00A73970"/>
    <w:rsid w:val="00A73E61"/>
    <w:rsid w:val="00A74002"/>
    <w:rsid w:val="00A74D7C"/>
    <w:rsid w:val="00A76EF2"/>
    <w:rsid w:val="00A80B54"/>
    <w:rsid w:val="00A80D8C"/>
    <w:rsid w:val="00A811B3"/>
    <w:rsid w:val="00A81352"/>
    <w:rsid w:val="00A81503"/>
    <w:rsid w:val="00A81946"/>
    <w:rsid w:val="00A81C01"/>
    <w:rsid w:val="00A82DB7"/>
    <w:rsid w:val="00A8306B"/>
    <w:rsid w:val="00A8310D"/>
    <w:rsid w:val="00A831AF"/>
    <w:rsid w:val="00A83246"/>
    <w:rsid w:val="00A83271"/>
    <w:rsid w:val="00A8426B"/>
    <w:rsid w:val="00A8477D"/>
    <w:rsid w:val="00A84854"/>
    <w:rsid w:val="00A85143"/>
    <w:rsid w:val="00A856AB"/>
    <w:rsid w:val="00A86F52"/>
    <w:rsid w:val="00A90051"/>
    <w:rsid w:val="00A90184"/>
    <w:rsid w:val="00A905FA"/>
    <w:rsid w:val="00A90A70"/>
    <w:rsid w:val="00A916E7"/>
    <w:rsid w:val="00A9280C"/>
    <w:rsid w:val="00A9331D"/>
    <w:rsid w:val="00A95A73"/>
    <w:rsid w:val="00A95DFC"/>
    <w:rsid w:val="00A963B4"/>
    <w:rsid w:val="00A96497"/>
    <w:rsid w:val="00A96C26"/>
    <w:rsid w:val="00A979F5"/>
    <w:rsid w:val="00A97B50"/>
    <w:rsid w:val="00A97C4F"/>
    <w:rsid w:val="00AA0AE5"/>
    <w:rsid w:val="00AA12DF"/>
    <w:rsid w:val="00AA44CE"/>
    <w:rsid w:val="00AA4F10"/>
    <w:rsid w:val="00AA51F5"/>
    <w:rsid w:val="00AA52EE"/>
    <w:rsid w:val="00AA58E2"/>
    <w:rsid w:val="00AA5AC4"/>
    <w:rsid w:val="00AA6CF6"/>
    <w:rsid w:val="00AB0360"/>
    <w:rsid w:val="00AB0F92"/>
    <w:rsid w:val="00AB1043"/>
    <w:rsid w:val="00AB1490"/>
    <w:rsid w:val="00AB19F7"/>
    <w:rsid w:val="00AB2849"/>
    <w:rsid w:val="00AB3649"/>
    <w:rsid w:val="00AB6F4C"/>
    <w:rsid w:val="00AB7BB5"/>
    <w:rsid w:val="00AC0698"/>
    <w:rsid w:val="00AC0EA9"/>
    <w:rsid w:val="00AC1836"/>
    <w:rsid w:val="00AC1AE5"/>
    <w:rsid w:val="00AC2F10"/>
    <w:rsid w:val="00AC2F3A"/>
    <w:rsid w:val="00AC31BB"/>
    <w:rsid w:val="00AC4B13"/>
    <w:rsid w:val="00AC4D8B"/>
    <w:rsid w:val="00AC5533"/>
    <w:rsid w:val="00AC57F3"/>
    <w:rsid w:val="00AC62B4"/>
    <w:rsid w:val="00AC63F5"/>
    <w:rsid w:val="00AC6A38"/>
    <w:rsid w:val="00AC75D0"/>
    <w:rsid w:val="00AC7954"/>
    <w:rsid w:val="00AD0807"/>
    <w:rsid w:val="00AD0B96"/>
    <w:rsid w:val="00AD0C98"/>
    <w:rsid w:val="00AD0FEE"/>
    <w:rsid w:val="00AD1277"/>
    <w:rsid w:val="00AD138C"/>
    <w:rsid w:val="00AD2C2F"/>
    <w:rsid w:val="00AD3B0C"/>
    <w:rsid w:val="00AD44B3"/>
    <w:rsid w:val="00AD4E44"/>
    <w:rsid w:val="00AD5B32"/>
    <w:rsid w:val="00AD6338"/>
    <w:rsid w:val="00AD66C4"/>
    <w:rsid w:val="00AE173E"/>
    <w:rsid w:val="00AE3539"/>
    <w:rsid w:val="00AE42BE"/>
    <w:rsid w:val="00AE5CB1"/>
    <w:rsid w:val="00AF0C73"/>
    <w:rsid w:val="00AF26E7"/>
    <w:rsid w:val="00AF29FB"/>
    <w:rsid w:val="00AF4027"/>
    <w:rsid w:val="00AF4621"/>
    <w:rsid w:val="00AF51A9"/>
    <w:rsid w:val="00AF5F5A"/>
    <w:rsid w:val="00AF6669"/>
    <w:rsid w:val="00AF6834"/>
    <w:rsid w:val="00AF6C26"/>
    <w:rsid w:val="00AF71AD"/>
    <w:rsid w:val="00AF7F40"/>
    <w:rsid w:val="00B0070D"/>
    <w:rsid w:val="00B02388"/>
    <w:rsid w:val="00B03795"/>
    <w:rsid w:val="00B046FC"/>
    <w:rsid w:val="00B048F0"/>
    <w:rsid w:val="00B05541"/>
    <w:rsid w:val="00B0759C"/>
    <w:rsid w:val="00B12A80"/>
    <w:rsid w:val="00B1379E"/>
    <w:rsid w:val="00B14B33"/>
    <w:rsid w:val="00B14F9E"/>
    <w:rsid w:val="00B15102"/>
    <w:rsid w:val="00B16464"/>
    <w:rsid w:val="00B16606"/>
    <w:rsid w:val="00B171F8"/>
    <w:rsid w:val="00B17519"/>
    <w:rsid w:val="00B17AAB"/>
    <w:rsid w:val="00B21886"/>
    <w:rsid w:val="00B236B2"/>
    <w:rsid w:val="00B246C2"/>
    <w:rsid w:val="00B24E9E"/>
    <w:rsid w:val="00B24FF3"/>
    <w:rsid w:val="00B2560A"/>
    <w:rsid w:val="00B2560C"/>
    <w:rsid w:val="00B26458"/>
    <w:rsid w:val="00B26B23"/>
    <w:rsid w:val="00B26C02"/>
    <w:rsid w:val="00B30A3A"/>
    <w:rsid w:val="00B31F7B"/>
    <w:rsid w:val="00B32717"/>
    <w:rsid w:val="00B32B47"/>
    <w:rsid w:val="00B32E9E"/>
    <w:rsid w:val="00B33936"/>
    <w:rsid w:val="00B3440C"/>
    <w:rsid w:val="00B34CF7"/>
    <w:rsid w:val="00B34D1B"/>
    <w:rsid w:val="00B35651"/>
    <w:rsid w:val="00B356F9"/>
    <w:rsid w:val="00B361DB"/>
    <w:rsid w:val="00B36206"/>
    <w:rsid w:val="00B37642"/>
    <w:rsid w:val="00B37BAF"/>
    <w:rsid w:val="00B40590"/>
    <w:rsid w:val="00B41565"/>
    <w:rsid w:val="00B41638"/>
    <w:rsid w:val="00B43EF2"/>
    <w:rsid w:val="00B461CC"/>
    <w:rsid w:val="00B463D4"/>
    <w:rsid w:val="00B46DB0"/>
    <w:rsid w:val="00B471F1"/>
    <w:rsid w:val="00B47A29"/>
    <w:rsid w:val="00B50DE2"/>
    <w:rsid w:val="00B51A5B"/>
    <w:rsid w:val="00B52929"/>
    <w:rsid w:val="00B52BDC"/>
    <w:rsid w:val="00B57E43"/>
    <w:rsid w:val="00B61E4E"/>
    <w:rsid w:val="00B61EDA"/>
    <w:rsid w:val="00B620F3"/>
    <w:rsid w:val="00B6319F"/>
    <w:rsid w:val="00B6374E"/>
    <w:rsid w:val="00B64B24"/>
    <w:rsid w:val="00B650BB"/>
    <w:rsid w:val="00B65AD7"/>
    <w:rsid w:val="00B65BC5"/>
    <w:rsid w:val="00B65E2C"/>
    <w:rsid w:val="00B66DEE"/>
    <w:rsid w:val="00B700B2"/>
    <w:rsid w:val="00B7012A"/>
    <w:rsid w:val="00B7048A"/>
    <w:rsid w:val="00B70A6A"/>
    <w:rsid w:val="00B736D5"/>
    <w:rsid w:val="00B738F0"/>
    <w:rsid w:val="00B73A53"/>
    <w:rsid w:val="00B74305"/>
    <w:rsid w:val="00B74815"/>
    <w:rsid w:val="00B74874"/>
    <w:rsid w:val="00B75469"/>
    <w:rsid w:val="00B755FE"/>
    <w:rsid w:val="00B766A7"/>
    <w:rsid w:val="00B767ED"/>
    <w:rsid w:val="00B80384"/>
    <w:rsid w:val="00B817F5"/>
    <w:rsid w:val="00B81C51"/>
    <w:rsid w:val="00B82350"/>
    <w:rsid w:val="00B828DA"/>
    <w:rsid w:val="00B82F58"/>
    <w:rsid w:val="00B83709"/>
    <w:rsid w:val="00B83762"/>
    <w:rsid w:val="00B83D90"/>
    <w:rsid w:val="00B848D9"/>
    <w:rsid w:val="00B8496D"/>
    <w:rsid w:val="00B85ECB"/>
    <w:rsid w:val="00B90911"/>
    <w:rsid w:val="00B90FBA"/>
    <w:rsid w:val="00B93A12"/>
    <w:rsid w:val="00B946D0"/>
    <w:rsid w:val="00B9508F"/>
    <w:rsid w:val="00B97871"/>
    <w:rsid w:val="00BA015F"/>
    <w:rsid w:val="00BA0D96"/>
    <w:rsid w:val="00BA2192"/>
    <w:rsid w:val="00BA33DF"/>
    <w:rsid w:val="00BA416B"/>
    <w:rsid w:val="00BA445B"/>
    <w:rsid w:val="00BA46C2"/>
    <w:rsid w:val="00BA6A48"/>
    <w:rsid w:val="00BB0121"/>
    <w:rsid w:val="00BB09FB"/>
    <w:rsid w:val="00BB211F"/>
    <w:rsid w:val="00BB2E01"/>
    <w:rsid w:val="00BB325A"/>
    <w:rsid w:val="00BB4378"/>
    <w:rsid w:val="00BB532A"/>
    <w:rsid w:val="00BB5DB4"/>
    <w:rsid w:val="00BB5F69"/>
    <w:rsid w:val="00BB6CC5"/>
    <w:rsid w:val="00BC06A2"/>
    <w:rsid w:val="00BC218A"/>
    <w:rsid w:val="00BC26A1"/>
    <w:rsid w:val="00BC418D"/>
    <w:rsid w:val="00BC463C"/>
    <w:rsid w:val="00BC6A30"/>
    <w:rsid w:val="00BD046D"/>
    <w:rsid w:val="00BD0FC3"/>
    <w:rsid w:val="00BD1023"/>
    <w:rsid w:val="00BD12A1"/>
    <w:rsid w:val="00BD152D"/>
    <w:rsid w:val="00BD20FD"/>
    <w:rsid w:val="00BD24DF"/>
    <w:rsid w:val="00BD2E05"/>
    <w:rsid w:val="00BD30F7"/>
    <w:rsid w:val="00BD36C0"/>
    <w:rsid w:val="00BD5386"/>
    <w:rsid w:val="00BD54BB"/>
    <w:rsid w:val="00BD6B16"/>
    <w:rsid w:val="00BD6B36"/>
    <w:rsid w:val="00BD6B8B"/>
    <w:rsid w:val="00BD75AC"/>
    <w:rsid w:val="00BD76A7"/>
    <w:rsid w:val="00BD78BF"/>
    <w:rsid w:val="00BE0C0C"/>
    <w:rsid w:val="00BE12C7"/>
    <w:rsid w:val="00BE1A39"/>
    <w:rsid w:val="00BE22F8"/>
    <w:rsid w:val="00BE2A33"/>
    <w:rsid w:val="00BE2BE1"/>
    <w:rsid w:val="00BE4676"/>
    <w:rsid w:val="00BE58A4"/>
    <w:rsid w:val="00BE5ED5"/>
    <w:rsid w:val="00BE65A5"/>
    <w:rsid w:val="00BE6709"/>
    <w:rsid w:val="00BE68C3"/>
    <w:rsid w:val="00BF0F76"/>
    <w:rsid w:val="00BF2707"/>
    <w:rsid w:val="00BF2BC5"/>
    <w:rsid w:val="00BF3285"/>
    <w:rsid w:val="00BF47B6"/>
    <w:rsid w:val="00BF485D"/>
    <w:rsid w:val="00BF4886"/>
    <w:rsid w:val="00BF5C1D"/>
    <w:rsid w:val="00BF5C2F"/>
    <w:rsid w:val="00BF5E8E"/>
    <w:rsid w:val="00BF605B"/>
    <w:rsid w:val="00BF743A"/>
    <w:rsid w:val="00BF7CF1"/>
    <w:rsid w:val="00C00FF1"/>
    <w:rsid w:val="00C05E11"/>
    <w:rsid w:val="00C063A2"/>
    <w:rsid w:val="00C078B3"/>
    <w:rsid w:val="00C07E80"/>
    <w:rsid w:val="00C102DE"/>
    <w:rsid w:val="00C10C69"/>
    <w:rsid w:val="00C10E20"/>
    <w:rsid w:val="00C11BF4"/>
    <w:rsid w:val="00C1271F"/>
    <w:rsid w:val="00C135C7"/>
    <w:rsid w:val="00C13698"/>
    <w:rsid w:val="00C14979"/>
    <w:rsid w:val="00C14D82"/>
    <w:rsid w:val="00C1588A"/>
    <w:rsid w:val="00C176FE"/>
    <w:rsid w:val="00C2054C"/>
    <w:rsid w:val="00C205AF"/>
    <w:rsid w:val="00C20C00"/>
    <w:rsid w:val="00C211E7"/>
    <w:rsid w:val="00C21468"/>
    <w:rsid w:val="00C214AE"/>
    <w:rsid w:val="00C229B6"/>
    <w:rsid w:val="00C22EA9"/>
    <w:rsid w:val="00C23B75"/>
    <w:rsid w:val="00C23FDB"/>
    <w:rsid w:val="00C248F7"/>
    <w:rsid w:val="00C249B7"/>
    <w:rsid w:val="00C24B65"/>
    <w:rsid w:val="00C2564E"/>
    <w:rsid w:val="00C268F6"/>
    <w:rsid w:val="00C26B55"/>
    <w:rsid w:val="00C26D40"/>
    <w:rsid w:val="00C26E2D"/>
    <w:rsid w:val="00C27B4F"/>
    <w:rsid w:val="00C30F2F"/>
    <w:rsid w:val="00C31F19"/>
    <w:rsid w:val="00C324E0"/>
    <w:rsid w:val="00C33695"/>
    <w:rsid w:val="00C34E9D"/>
    <w:rsid w:val="00C35370"/>
    <w:rsid w:val="00C377E5"/>
    <w:rsid w:val="00C40441"/>
    <w:rsid w:val="00C40F02"/>
    <w:rsid w:val="00C43471"/>
    <w:rsid w:val="00C43C2B"/>
    <w:rsid w:val="00C43CC3"/>
    <w:rsid w:val="00C444DB"/>
    <w:rsid w:val="00C4542F"/>
    <w:rsid w:val="00C45B09"/>
    <w:rsid w:val="00C46203"/>
    <w:rsid w:val="00C46B5C"/>
    <w:rsid w:val="00C476D5"/>
    <w:rsid w:val="00C5038C"/>
    <w:rsid w:val="00C51BC9"/>
    <w:rsid w:val="00C51D54"/>
    <w:rsid w:val="00C53904"/>
    <w:rsid w:val="00C53E68"/>
    <w:rsid w:val="00C53EA2"/>
    <w:rsid w:val="00C549CB"/>
    <w:rsid w:val="00C552E3"/>
    <w:rsid w:val="00C56538"/>
    <w:rsid w:val="00C5657F"/>
    <w:rsid w:val="00C565B7"/>
    <w:rsid w:val="00C569D1"/>
    <w:rsid w:val="00C5767B"/>
    <w:rsid w:val="00C609B8"/>
    <w:rsid w:val="00C60DDE"/>
    <w:rsid w:val="00C6233E"/>
    <w:rsid w:val="00C63D13"/>
    <w:rsid w:val="00C63E55"/>
    <w:rsid w:val="00C649A7"/>
    <w:rsid w:val="00C65741"/>
    <w:rsid w:val="00C66AF7"/>
    <w:rsid w:val="00C6702C"/>
    <w:rsid w:val="00C673C7"/>
    <w:rsid w:val="00C67B47"/>
    <w:rsid w:val="00C67F35"/>
    <w:rsid w:val="00C70998"/>
    <w:rsid w:val="00C70AF7"/>
    <w:rsid w:val="00C71A52"/>
    <w:rsid w:val="00C71D4E"/>
    <w:rsid w:val="00C72110"/>
    <w:rsid w:val="00C750D1"/>
    <w:rsid w:val="00C76557"/>
    <w:rsid w:val="00C77A08"/>
    <w:rsid w:val="00C77F49"/>
    <w:rsid w:val="00C80903"/>
    <w:rsid w:val="00C811EC"/>
    <w:rsid w:val="00C81A40"/>
    <w:rsid w:val="00C8258B"/>
    <w:rsid w:val="00C84276"/>
    <w:rsid w:val="00C84C01"/>
    <w:rsid w:val="00C856D5"/>
    <w:rsid w:val="00C86DE9"/>
    <w:rsid w:val="00C87107"/>
    <w:rsid w:val="00C8762B"/>
    <w:rsid w:val="00C90C54"/>
    <w:rsid w:val="00C9255A"/>
    <w:rsid w:val="00C92690"/>
    <w:rsid w:val="00C93690"/>
    <w:rsid w:val="00C947AA"/>
    <w:rsid w:val="00C95AFE"/>
    <w:rsid w:val="00C968A8"/>
    <w:rsid w:val="00C96C40"/>
    <w:rsid w:val="00C975DF"/>
    <w:rsid w:val="00CA084E"/>
    <w:rsid w:val="00CA17B7"/>
    <w:rsid w:val="00CA18BF"/>
    <w:rsid w:val="00CA2A34"/>
    <w:rsid w:val="00CA2DDB"/>
    <w:rsid w:val="00CA323A"/>
    <w:rsid w:val="00CA3A99"/>
    <w:rsid w:val="00CA49E3"/>
    <w:rsid w:val="00CA64B1"/>
    <w:rsid w:val="00CA72B4"/>
    <w:rsid w:val="00CA737C"/>
    <w:rsid w:val="00CB016B"/>
    <w:rsid w:val="00CB13BA"/>
    <w:rsid w:val="00CB2395"/>
    <w:rsid w:val="00CB2E92"/>
    <w:rsid w:val="00CB3E01"/>
    <w:rsid w:val="00CB4CF8"/>
    <w:rsid w:val="00CB6A34"/>
    <w:rsid w:val="00CB791B"/>
    <w:rsid w:val="00CB7A9A"/>
    <w:rsid w:val="00CC059F"/>
    <w:rsid w:val="00CC2557"/>
    <w:rsid w:val="00CC399A"/>
    <w:rsid w:val="00CC3FC6"/>
    <w:rsid w:val="00CC556F"/>
    <w:rsid w:val="00CC5B86"/>
    <w:rsid w:val="00CC6043"/>
    <w:rsid w:val="00CC6544"/>
    <w:rsid w:val="00CC70AA"/>
    <w:rsid w:val="00CD01A7"/>
    <w:rsid w:val="00CD070B"/>
    <w:rsid w:val="00CD087A"/>
    <w:rsid w:val="00CD4835"/>
    <w:rsid w:val="00CD487C"/>
    <w:rsid w:val="00CD5190"/>
    <w:rsid w:val="00CD6AC6"/>
    <w:rsid w:val="00CD6B14"/>
    <w:rsid w:val="00CD777A"/>
    <w:rsid w:val="00CE03BB"/>
    <w:rsid w:val="00CE0782"/>
    <w:rsid w:val="00CE0D88"/>
    <w:rsid w:val="00CE1728"/>
    <w:rsid w:val="00CE1932"/>
    <w:rsid w:val="00CE2026"/>
    <w:rsid w:val="00CE2188"/>
    <w:rsid w:val="00CE2BBF"/>
    <w:rsid w:val="00CE4533"/>
    <w:rsid w:val="00CE5DD4"/>
    <w:rsid w:val="00CE6575"/>
    <w:rsid w:val="00CE6C62"/>
    <w:rsid w:val="00CE7636"/>
    <w:rsid w:val="00CE7FC6"/>
    <w:rsid w:val="00CE7FEB"/>
    <w:rsid w:val="00CF0383"/>
    <w:rsid w:val="00CF03D9"/>
    <w:rsid w:val="00CF0A99"/>
    <w:rsid w:val="00CF1CA4"/>
    <w:rsid w:val="00CF28C6"/>
    <w:rsid w:val="00CF62B2"/>
    <w:rsid w:val="00CF63E9"/>
    <w:rsid w:val="00CF6707"/>
    <w:rsid w:val="00CF675A"/>
    <w:rsid w:val="00CF6A3A"/>
    <w:rsid w:val="00D00C73"/>
    <w:rsid w:val="00D02B61"/>
    <w:rsid w:val="00D03D18"/>
    <w:rsid w:val="00D04281"/>
    <w:rsid w:val="00D04848"/>
    <w:rsid w:val="00D05652"/>
    <w:rsid w:val="00D05C76"/>
    <w:rsid w:val="00D06B90"/>
    <w:rsid w:val="00D06EFF"/>
    <w:rsid w:val="00D070FD"/>
    <w:rsid w:val="00D07F36"/>
    <w:rsid w:val="00D10A07"/>
    <w:rsid w:val="00D119D8"/>
    <w:rsid w:val="00D11ACC"/>
    <w:rsid w:val="00D1216E"/>
    <w:rsid w:val="00D12463"/>
    <w:rsid w:val="00D124DE"/>
    <w:rsid w:val="00D13408"/>
    <w:rsid w:val="00D13A2F"/>
    <w:rsid w:val="00D13CCB"/>
    <w:rsid w:val="00D15803"/>
    <w:rsid w:val="00D164C4"/>
    <w:rsid w:val="00D16554"/>
    <w:rsid w:val="00D17F40"/>
    <w:rsid w:val="00D20889"/>
    <w:rsid w:val="00D20C60"/>
    <w:rsid w:val="00D20CCA"/>
    <w:rsid w:val="00D21384"/>
    <w:rsid w:val="00D224F8"/>
    <w:rsid w:val="00D22E76"/>
    <w:rsid w:val="00D2412E"/>
    <w:rsid w:val="00D2448E"/>
    <w:rsid w:val="00D24829"/>
    <w:rsid w:val="00D24EA7"/>
    <w:rsid w:val="00D24F88"/>
    <w:rsid w:val="00D250AB"/>
    <w:rsid w:val="00D26838"/>
    <w:rsid w:val="00D30316"/>
    <w:rsid w:val="00D304E9"/>
    <w:rsid w:val="00D339EA"/>
    <w:rsid w:val="00D33A59"/>
    <w:rsid w:val="00D34798"/>
    <w:rsid w:val="00D34EE6"/>
    <w:rsid w:val="00D36146"/>
    <w:rsid w:val="00D37B45"/>
    <w:rsid w:val="00D40885"/>
    <w:rsid w:val="00D40960"/>
    <w:rsid w:val="00D40AA6"/>
    <w:rsid w:val="00D40E3B"/>
    <w:rsid w:val="00D415BF"/>
    <w:rsid w:val="00D41686"/>
    <w:rsid w:val="00D41BBD"/>
    <w:rsid w:val="00D42F56"/>
    <w:rsid w:val="00D43B59"/>
    <w:rsid w:val="00D447E1"/>
    <w:rsid w:val="00D44E0E"/>
    <w:rsid w:val="00D450F5"/>
    <w:rsid w:val="00D45292"/>
    <w:rsid w:val="00D45CC3"/>
    <w:rsid w:val="00D4619A"/>
    <w:rsid w:val="00D47DA2"/>
    <w:rsid w:val="00D47E16"/>
    <w:rsid w:val="00D47FB5"/>
    <w:rsid w:val="00D501B2"/>
    <w:rsid w:val="00D506EA"/>
    <w:rsid w:val="00D50A1B"/>
    <w:rsid w:val="00D514AF"/>
    <w:rsid w:val="00D51DB6"/>
    <w:rsid w:val="00D53A95"/>
    <w:rsid w:val="00D560D8"/>
    <w:rsid w:val="00D56855"/>
    <w:rsid w:val="00D57E85"/>
    <w:rsid w:val="00D60073"/>
    <w:rsid w:val="00D60F96"/>
    <w:rsid w:val="00D61422"/>
    <w:rsid w:val="00D6291D"/>
    <w:rsid w:val="00D6475F"/>
    <w:rsid w:val="00D65251"/>
    <w:rsid w:val="00D65DBF"/>
    <w:rsid w:val="00D66546"/>
    <w:rsid w:val="00D67734"/>
    <w:rsid w:val="00D707AE"/>
    <w:rsid w:val="00D70948"/>
    <w:rsid w:val="00D72F8F"/>
    <w:rsid w:val="00D7307A"/>
    <w:rsid w:val="00D74C0D"/>
    <w:rsid w:val="00D75C9C"/>
    <w:rsid w:val="00D76015"/>
    <w:rsid w:val="00D762F7"/>
    <w:rsid w:val="00D765BE"/>
    <w:rsid w:val="00D8044A"/>
    <w:rsid w:val="00D8168C"/>
    <w:rsid w:val="00D81FDF"/>
    <w:rsid w:val="00D82041"/>
    <w:rsid w:val="00D82ABF"/>
    <w:rsid w:val="00D8320D"/>
    <w:rsid w:val="00D84972"/>
    <w:rsid w:val="00D856E6"/>
    <w:rsid w:val="00D863A8"/>
    <w:rsid w:val="00D879C1"/>
    <w:rsid w:val="00D87D62"/>
    <w:rsid w:val="00D900C4"/>
    <w:rsid w:val="00D90D68"/>
    <w:rsid w:val="00D90FDC"/>
    <w:rsid w:val="00D92477"/>
    <w:rsid w:val="00D936EA"/>
    <w:rsid w:val="00D93A64"/>
    <w:rsid w:val="00D94A3D"/>
    <w:rsid w:val="00D950FD"/>
    <w:rsid w:val="00D95792"/>
    <w:rsid w:val="00D95A1A"/>
    <w:rsid w:val="00D95FE9"/>
    <w:rsid w:val="00D9658A"/>
    <w:rsid w:val="00D96713"/>
    <w:rsid w:val="00D968F4"/>
    <w:rsid w:val="00D96959"/>
    <w:rsid w:val="00D9704E"/>
    <w:rsid w:val="00D9726E"/>
    <w:rsid w:val="00DA0C2E"/>
    <w:rsid w:val="00DA19FE"/>
    <w:rsid w:val="00DA2325"/>
    <w:rsid w:val="00DA28E5"/>
    <w:rsid w:val="00DA321D"/>
    <w:rsid w:val="00DA459E"/>
    <w:rsid w:val="00DA4A94"/>
    <w:rsid w:val="00DA5245"/>
    <w:rsid w:val="00DA5E12"/>
    <w:rsid w:val="00DA737C"/>
    <w:rsid w:val="00DB0BFD"/>
    <w:rsid w:val="00DB0E58"/>
    <w:rsid w:val="00DB0F53"/>
    <w:rsid w:val="00DB28F4"/>
    <w:rsid w:val="00DB406F"/>
    <w:rsid w:val="00DB4C2E"/>
    <w:rsid w:val="00DB539F"/>
    <w:rsid w:val="00DB5403"/>
    <w:rsid w:val="00DB5A70"/>
    <w:rsid w:val="00DB6401"/>
    <w:rsid w:val="00DB64BF"/>
    <w:rsid w:val="00DB71C6"/>
    <w:rsid w:val="00DB78CA"/>
    <w:rsid w:val="00DB7E9D"/>
    <w:rsid w:val="00DC089A"/>
    <w:rsid w:val="00DC09C3"/>
    <w:rsid w:val="00DC246F"/>
    <w:rsid w:val="00DC2D48"/>
    <w:rsid w:val="00DC3104"/>
    <w:rsid w:val="00DC403F"/>
    <w:rsid w:val="00DC5981"/>
    <w:rsid w:val="00DC703A"/>
    <w:rsid w:val="00DC756D"/>
    <w:rsid w:val="00DC7EB7"/>
    <w:rsid w:val="00DC7F6C"/>
    <w:rsid w:val="00DD29A5"/>
    <w:rsid w:val="00DD2F8F"/>
    <w:rsid w:val="00DD3821"/>
    <w:rsid w:val="00DD3C0D"/>
    <w:rsid w:val="00DD467C"/>
    <w:rsid w:val="00DD5012"/>
    <w:rsid w:val="00DD5D97"/>
    <w:rsid w:val="00DD6E57"/>
    <w:rsid w:val="00DD79DE"/>
    <w:rsid w:val="00DE15E7"/>
    <w:rsid w:val="00DE1EBB"/>
    <w:rsid w:val="00DE262D"/>
    <w:rsid w:val="00DE2AAE"/>
    <w:rsid w:val="00DE3272"/>
    <w:rsid w:val="00DE4526"/>
    <w:rsid w:val="00DE5B0C"/>
    <w:rsid w:val="00DE5E6A"/>
    <w:rsid w:val="00DE7775"/>
    <w:rsid w:val="00DE78EB"/>
    <w:rsid w:val="00DE7A35"/>
    <w:rsid w:val="00DE7A44"/>
    <w:rsid w:val="00DE7B9C"/>
    <w:rsid w:val="00DF0F88"/>
    <w:rsid w:val="00DF14BE"/>
    <w:rsid w:val="00DF1FBA"/>
    <w:rsid w:val="00DF23BA"/>
    <w:rsid w:val="00DF2BCF"/>
    <w:rsid w:val="00DF3657"/>
    <w:rsid w:val="00DF3EA3"/>
    <w:rsid w:val="00DF42F9"/>
    <w:rsid w:val="00DF4BA8"/>
    <w:rsid w:val="00DF5704"/>
    <w:rsid w:val="00DF5F14"/>
    <w:rsid w:val="00DF6473"/>
    <w:rsid w:val="00DF66F3"/>
    <w:rsid w:val="00DF6C92"/>
    <w:rsid w:val="00DF74DE"/>
    <w:rsid w:val="00E020D3"/>
    <w:rsid w:val="00E04B47"/>
    <w:rsid w:val="00E051F0"/>
    <w:rsid w:val="00E1047A"/>
    <w:rsid w:val="00E1104D"/>
    <w:rsid w:val="00E1226B"/>
    <w:rsid w:val="00E12877"/>
    <w:rsid w:val="00E12F83"/>
    <w:rsid w:val="00E17239"/>
    <w:rsid w:val="00E22C9B"/>
    <w:rsid w:val="00E2462D"/>
    <w:rsid w:val="00E24844"/>
    <w:rsid w:val="00E24EAF"/>
    <w:rsid w:val="00E24FBA"/>
    <w:rsid w:val="00E253D1"/>
    <w:rsid w:val="00E26D29"/>
    <w:rsid w:val="00E26F46"/>
    <w:rsid w:val="00E3013B"/>
    <w:rsid w:val="00E3128C"/>
    <w:rsid w:val="00E3204C"/>
    <w:rsid w:val="00E33545"/>
    <w:rsid w:val="00E33686"/>
    <w:rsid w:val="00E35A20"/>
    <w:rsid w:val="00E36AB2"/>
    <w:rsid w:val="00E372D4"/>
    <w:rsid w:val="00E376A2"/>
    <w:rsid w:val="00E37BA2"/>
    <w:rsid w:val="00E406E4"/>
    <w:rsid w:val="00E42CFD"/>
    <w:rsid w:val="00E42EBA"/>
    <w:rsid w:val="00E4305F"/>
    <w:rsid w:val="00E4332E"/>
    <w:rsid w:val="00E43E46"/>
    <w:rsid w:val="00E43FEF"/>
    <w:rsid w:val="00E46055"/>
    <w:rsid w:val="00E5260F"/>
    <w:rsid w:val="00E52C5B"/>
    <w:rsid w:val="00E52F5D"/>
    <w:rsid w:val="00E537AF"/>
    <w:rsid w:val="00E54889"/>
    <w:rsid w:val="00E55270"/>
    <w:rsid w:val="00E55417"/>
    <w:rsid w:val="00E55806"/>
    <w:rsid w:val="00E55AAC"/>
    <w:rsid w:val="00E55B39"/>
    <w:rsid w:val="00E57C83"/>
    <w:rsid w:val="00E600BD"/>
    <w:rsid w:val="00E60142"/>
    <w:rsid w:val="00E63193"/>
    <w:rsid w:val="00E632A1"/>
    <w:rsid w:val="00E641BF"/>
    <w:rsid w:val="00E65D9C"/>
    <w:rsid w:val="00E66233"/>
    <w:rsid w:val="00E6684E"/>
    <w:rsid w:val="00E670C4"/>
    <w:rsid w:val="00E67BCA"/>
    <w:rsid w:val="00E67C32"/>
    <w:rsid w:val="00E70CCC"/>
    <w:rsid w:val="00E7104D"/>
    <w:rsid w:val="00E71447"/>
    <w:rsid w:val="00E7151E"/>
    <w:rsid w:val="00E71BC6"/>
    <w:rsid w:val="00E7207A"/>
    <w:rsid w:val="00E721F2"/>
    <w:rsid w:val="00E736BC"/>
    <w:rsid w:val="00E74438"/>
    <w:rsid w:val="00E74C0D"/>
    <w:rsid w:val="00E74E3B"/>
    <w:rsid w:val="00E753D0"/>
    <w:rsid w:val="00E7784E"/>
    <w:rsid w:val="00E778AB"/>
    <w:rsid w:val="00E811BC"/>
    <w:rsid w:val="00E8149F"/>
    <w:rsid w:val="00E81C6D"/>
    <w:rsid w:val="00E829C2"/>
    <w:rsid w:val="00E846D8"/>
    <w:rsid w:val="00E84AA6"/>
    <w:rsid w:val="00E862EF"/>
    <w:rsid w:val="00E87C07"/>
    <w:rsid w:val="00E87F73"/>
    <w:rsid w:val="00E90505"/>
    <w:rsid w:val="00E90716"/>
    <w:rsid w:val="00E915CF"/>
    <w:rsid w:val="00E9200A"/>
    <w:rsid w:val="00E9264B"/>
    <w:rsid w:val="00E93DA3"/>
    <w:rsid w:val="00E94544"/>
    <w:rsid w:val="00E94A50"/>
    <w:rsid w:val="00E94EF4"/>
    <w:rsid w:val="00E96D9F"/>
    <w:rsid w:val="00E97086"/>
    <w:rsid w:val="00E970D7"/>
    <w:rsid w:val="00EA35AB"/>
    <w:rsid w:val="00EA5591"/>
    <w:rsid w:val="00EA5EDC"/>
    <w:rsid w:val="00EA6246"/>
    <w:rsid w:val="00EA6C57"/>
    <w:rsid w:val="00EA7DA4"/>
    <w:rsid w:val="00EB1B9B"/>
    <w:rsid w:val="00EB223A"/>
    <w:rsid w:val="00EB55F4"/>
    <w:rsid w:val="00EB5A50"/>
    <w:rsid w:val="00EB60AD"/>
    <w:rsid w:val="00EB6CBE"/>
    <w:rsid w:val="00EB7230"/>
    <w:rsid w:val="00EC134B"/>
    <w:rsid w:val="00EC1489"/>
    <w:rsid w:val="00EC19EE"/>
    <w:rsid w:val="00EC48DB"/>
    <w:rsid w:val="00EC4FC9"/>
    <w:rsid w:val="00EC59B1"/>
    <w:rsid w:val="00EC61CA"/>
    <w:rsid w:val="00EC63AC"/>
    <w:rsid w:val="00EC65BF"/>
    <w:rsid w:val="00EC67F2"/>
    <w:rsid w:val="00EC687A"/>
    <w:rsid w:val="00EC68EA"/>
    <w:rsid w:val="00EC780D"/>
    <w:rsid w:val="00EC7A12"/>
    <w:rsid w:val="00EC7FE7"/>
    <w:rsid w:val="00ED059A"/>
    <w:rsid w:val="00ED07BD"/>
    <w:rsid w:val="00ED07D6"/>
    <w:rsid w:val="00ED1C6B"/>
    <w:rsid w:val="00ED3B4F"/>
    <w:rsid w:val="00ED4150"/>
    <w:rsid w:val="00ED4A3F"/>
    <w:rsid w:val="00ED53C0"/>
    <w:rsid w:val="00ED5E59"/>
    <w:rsid w:val="00ED5FC0"/>
    <w:rsid w:val="00ED636D"/>
    <w:rsid w:val="00ED6930"/>
    <w:rsid w:val="00EE1A6D"/>
    <w:rsid w:val="00EE2B21"/>
    <w:rsid w:val="00EE2BA4"/>
    <w:rsid w:val="00EE35F0"/>
    <w:rsid w:val="00EE3D6A"/>
    <w:rsid w:val="00EE6520"/>
    <w:rsid w:val="00EF23B4"/>
    <w:rsid w:val="00EF2ADD"/>
    <w:rsid w:val="00EF2B31"/>
    <w:rsid w:val="00EF41E0"/>
    <w:rsid w:val="00EF454D"/>
    <w:rsid w:val="00EF45C6"/>
    <w:rsid w:val="00EF5361"/>
    <w:rsid w:val="00EF5BA5"/>
    <w:rsid w:val="00EF782B"/>
    <w:rsid w:val="00F0061E"/>
    <w:rsid w:val="00F0129F"/>
    <w:rsid w:val="00F012F1"/>
    <w:rsid w:val="00F01A3D"/>
    <w:rsid w:val="00F02D4B"/>
    <w:rsid w:val="00F030A9"/>
    <w:rsid w:val="00F0322E"/>
    <w:rsid w:val="00F037C7"/>
    <w:rsid w:val="00F03B37"/>
    <w:rsid w:val="00F0599B"/>
    <w:rsid w:val="00F063CB"/>
    <w:rsid w:val="00F06415"/>
    <w:rsid w:val="00F070CE"/>
    <w:rsid w:val="00F07424"/>
    <w:rsid w:val="00F07B38"/>
    <w:rsid w:val="00F106FD"/>
    <w:rsid w:val="00F11E72"/>
    <w:rsid w:val="00F122A4"/>
    <w:rsid w:val="00F12CB8"/>
    <w:rsid w:val="00F13A76"/>
    <w:rsid w:val="00F14141"/>
    <w:rsid w:val="00F14DAD"/>
    <w:rsid w:val="00F159D5"/>
    <w:rsid w:val="00F15FBD"/>
    <w:rsid w:val="00F16F6C"/>
    <w:rsid w:val="00F1710F"/>
    <w:rsid w:val="00F17BE6"/>
    <w:rsid w:val="00F20E58"/>
    <w:rsid w:val="00F227B7"/>
    <w:rsid w:val="00F233E9"/>
    <w:rsid w:val="00F23618"/>
    <w:rsid w:val="00F24228"/>
    <w:rsid w:val="00F24378"/>
    <w:rsid w:val="00F2504F"/>
    <w:rsid w:val="00F258CD"/>
    <w:rsid w:val="00F25C5A"/>
    <w:rsid w:val="00F27D47"/>
    <w:rsid w:val="00F27F77"/>
    <w:rsid w:val="00F30274"/>
    <w:rsid w:val="00F32D68"/>
    <w:rsid w:val="00F338F5"/>
    <w:rsid w:val="00F33964"/>
    <w:rsid w:val="00F35564"/>
    <w:rsid w:val="00F36A5D"/>
    <w:rsid w:val="00F36C3A"/>
    <w:rsid w:val="00F370CA"/>
    <w:rsid w:val="00F37959"/>
    <w:rsid w:val="00F42BB1"/>
    <w:rsid w:val="00F42C2D"/>
    <w:rsid w:val="00F43243"/>
    <w:rsid w:val="00F435C7"/>
    <w:rsid w:val="00F443CC"/>
    <w:rsid w:val="00F4472A"/>
    <w:rsid w:val="00F44AF9"/>
    <w:rsid w:val="00F46024"/>
    <w:rsid w:val="00F466F9"/>
    <w:rsid w:val="00F4696A"/>
    <w:rsid w:val="00F50246"/>
    <w:rsid w:val="00F50582"/>
    <w:rsid w:val="00F50612"/>
    <w:rsid w:val="00F51550"/>
    <w:rsid w:val="00F525CD"/>
    <w:rsid w:val="00F5332A"/>
    <w:rsid w:val="00F54C50"/>
    <w:rsid w:val="00F55FB1"/>
    <w:rsid w:val="00F56413"/>
    <w:rsid w:val="00F56A42"/>
    <w:rsid w:val="00F57B8D"/>
    <w:rsid w:val="00F60C32"/>
    <w:rsid w:val="00F6284C"/>
    <w:rsid w:val="00F63A81"/>
    <w:rsid w:val="00F63AE6"/>
    <w:rsid w:val="00F64007"/>
    <w:rsid w:val="00F66ED3"/>
    <w:rsid w:val="00F6720E"/>
    <w:rsid w:val="00F67786"/>
    <w:rsid w:val="00F67B2F"/>
    <w:rsid w:val="00F67BCD"/>
    <w:rsid w:val="00F67ED4"/>
    <w:rsid w:val="00F700DB"/>
    <w:rsid w:val="00F706DE"/>
    <w:rsid w:val="00F71BD3"/>
    <w:rsid w:val="00F72AE8"/>
    <w:rsid w:val="00F73CA5"/>
    <w:rsid w:val="00F74998"/>
    <w:rsid w:val="00F75CF3"/>
    <w:rsid w:val="00F7732B"/>
    <w:rsid w:val="00F77637"/>
    <w:rsid w:val="00F77869"/>
    <w:rsid w:val="00F801A1"/>
    <w:rsid w:val="00F8043F"/>
    <w:rsid w:val="00F80C33"/>
    <w:rsid w:val="00F81CD0"/>
    <w:rsid w:val="00F82E01"/>
    <w:rsid w:val="00F82F90"/>
    <w:rsid w:val="00F83FCE"/>
    <w:rsid w:val="00F840C6"/>
    <w:rsid w:val="00F84B6A"/>
    <w:rsid w:val="00F84BC9"/>
    <w:rsid w:val="00F8665D"/>
    <w:rsid w:val="00F87431"/>
    <w:rsid w:val="00F878F1"/>
    <w:rsid w:val="00F87BB8"/>
    <w:rsid w:val="00F87EF0"/>
    <w:rsid w:val="00F906BA"/>
    <w:rsid w:val="00F90BD2"/>
    <w:rsid w:val="00F96ABD"/>
    <w:rsid w:val="00F97593"/>
    <w:rsid w:val="00F97A9A"/>
    <w:rsid w:val="00FA0044"/>
    <w:rsid w:val="00FA2B8A"/>
    <w:rsid w:val="00FA364D"/>
    <w:rsid w:val="00FA413B"/>
    <w:rsid w:val="00FA4388"/>
    <w:rsid w:val="00FA43DF"/>
    <w:rsid w:val="00FA4BE7"/>
    <w:rsid w:val="00FA5738"/>
    <w:rsid w:val="00FA65D6"/>
    <w:rsid w:val="00FA667C"/>
    <w:rsid w:val="00FA66BE"/>
    <w:rsid w:val="00FB0166"/>
    <w:rsid w:val="00FB1FEF"/>
    <w:rsid w:val="00FB2790"/>
    <w:rsid w:val="00FB3F72"/>
    <w:rsid w:val="00FB417F"/>
    <w:rsid w:val="00FB41A9"/>
    <w:rsid w:val="00FB7812"/>
    <w:rsid w:val="00FB7A6C"/>
    <w:rsid w:val="00FC0131"/>
    <w:rsid w:val="00FC0B52"/>
    <w:rsid w:val="00FC0E7B"/>
    <w:rsid w:val="00FC1601"/>
    <w:rsid w:val="00FC16ED"/>
    <w:rsid w:val="00FC330D"/>
    <w:rsid w:val="00FC699B"/>
    <w:rsid w:val="00FD03DF"/>
    <w:rsid w:val="00FD0DEE"/>
    <w:rsid w:val="00FD2B0E"/>
    <w:rsid w:val="00FD2C9C"/>
    <w:rsid w:val="00FD3625"/>
    <w:rsid w:val="00FD4026"/>
    <w:rsid w:val="00FD64C2"/>
    <w:rsid w:val="00FD7441"/>
    <w:rsid w:val="00FD74E4"/>
    <w:rsid w:val="00FD7DE4"/>
    <w:rsid w:val="00FD7E59"/>
    <w:rsid w:val="00FE0AB6"/>
    <w:rsid w:val="00FE2E33"/>
    <w:rsid w:val="00FE3534"/>
    <w:rsid w:val="00FE7A6F"/>
    <w:rsid w:val="00FF0068"/>
    <w:rsid w:val="00FF134D"/>
    <w:rsid w:val="00FF1EA6"/>
    <w:rsid w:val="00FF25A8"/>
    <w:rsid w:val="00FF3C5E"/>
    <w:rsid w:val="00FF4735"/>
    <w:rsid w:val="011C0377"/>
    <w:rsid w:val="02114E03"/>
    <w:rsid w:val="03463DC5"/>
    <w:rsid w:val="0464666D"/>
    <w:rsid w:val="053B2DAE"/>
    <w:rsid w:val="05E477A2"/>
    <w:rsid w:val="06F16028"/>
    <w:rsid w:val="08033AFB"/>
    <w:rsid w:val="08D805C4"/>
    <w:rsid w:val="08E67228"/>
    <w:rsid w:val="099C7697"/>
    <w:rsid w:val="0B4573FC"/>
    <w:rsid w:val="0B4F1DA6"/>
    <w:rsid w:val="0CDB2FB2"/>
    <w:rsid w:val="0DD442FF"/>
    <w:rsid w:val="0E3B0654"/>
    <w:rsid w:val="0ECF7C04"/>
    <w:rsid w:val="0EEF0F63"/>
    <w:rsid w:val="0F1E6288"/>
    <w:rsid w:val="0F4E7FFF"/>
    <w:rsid w:val="0FC35A90"/>
    <w:rsid w:val="135E5AB6"/>
    <w:rsid w:val="1611379D"/>
    <w:rsid w:val="165827A3"/>
    <w:rsid w:val="17F033FD"/>
    <w:rsid w:val="18E93D12"/>
    <w:rsid w:val="1CF75CF5"/>
    <w:rsid w:val="1D9769A3"/>
    <w:rsid w:val="1DCA3AEA"/>
    <w:rsid w:val="1DDC5CCA"/>
    <w:rsid w:val="22436236"/>
    <w:rsid w:val="22490CAD"/>
    <w:rsid w:val="229E1D40"/>
    <w:rsid w:val="23DD28F3"/>
    <w:rsid w:val="24107506"/>
    <w:rsid w:val="246A60FD"/>
    <w:rsid w:val="24A23DAC"/>
    <w:rsid w:val="25022BD9"/>
    <w:rsid w:val="25542E0B"/>
    <w:rsid w:val="27CE1F07"/>
    <w:rsid w:val="28304B2D"/>
    <w:rsid w:val="28967914"/>
    <w:rsid w:val="295C7DC4"/>
    <w:rsid w:val="29856EF6"/>
    <w:rsid w:val="2A286672"/>
    <w:rsid w:val="2B6652CE"/>
    <w:rsid w:val="2BA764E3"/>
    <w:rsid w:val="2E4B1564"/>
    <w:rsid w:val="2EB424FD"/>
    <w:rsid w:val="2EB93D1A"/>
    <w:rsid w:val="304370CA"/>
    <w:rsid w:val="3049279C"/>
    <w:rsid w:val="30C24391"/>
    <w:rsid w:val="347A1489"/>
    <w:rsid w:val="35CE267A"/>
    <w:rsid w:val="35FC78A0"/>
    <w:rsid w:val="37D310C1"/>
    <w:rsid w:val="38B1690F"/>
    <w:rsid w:val="39425225"/>
    <w:rsid w:val="39C71A26"/>
    <w:rsid w:val="3A955A71"/>
    <w:rsid w:val="3B6A3E92"/>
    <w:rsid w:val="3D6E277F"/>
    <w:rsid w:val="3DB74F6A"/>
    <w:rsid w:val="3FC64952"/>
    <w:rsid w:val="40116A83"/>
    <w:rsid w:val="401822C8"/>
    <w:rsid w:val="408F7C53"/>
    <w:rsid w:val="42845B8C"/>
    <w:rsid w:val="44247F9A"/>
    <w:rsid w:val="445005F6"/>
    <w:rsid w:val="46E634C3"/>
    <w:rsid w:val="47A001B3"/>
    <w:rsid w:val="4ABD5F72"/>
    <w:rsid w:val="4B9B03F5"/>
    <w:rsid w:val="4C333D78"/>
    <w:rsid w:val="4CC700DC"/>
    <w:rsid w:val="4D292976"/>
    <w:rsid w:val="4D8A1FF9"/>
    <w:rsid w:val="4EA97915"/>
    <w:rsid w:val="50CB236D"/>
    <w:rsid w:val="50DA54C2"/>
    <w:rsid w:val="50E554D3"/>
    <w:rsid w:val="517D68B7"/>
    <w:rsid w:val="51E8289A"/>
    <w:rsid w:val="526A680B"/>
    <w:rsid w:val="53520A9A"/>
    <w:rsid w:val="53755060"/>
    <w:rsid w:val="54760B5E"/>
    <w:rsid w:val="5529646D"/>
    <w:rsid w:val="556B530F"/>
    <w:rsid w:val="56D435AE"/>
    <w:rsid w:val="56EB1A4A"/>
    <w:rsid w:val="57AF17F2"/>
    <w:rsid w:val="57C31503"/>
    <w:rsid w:val="58375D60"/>
    <w:rsid w:val="589962E6"/>
    <w:rsid w:val="5A0E5EE8"/>
    <w:rsid w:val="5A1355F8"/>
    <w:rsid w:val="5B3F517D"/>
    <w:rsid w:val="5B6E0F17"/>
    <w:rsid w:val="5E020CB4"/>
    <w:rsid w:val="5EBB23CD"/>
    <w:rsid w:val="5FB2759F"/>
    <w:rsid w:val="608A6F53"/>
    <w:rsid w:val="60D30408"/>
    <w:rsid w:val="645A464B"/>
    <w:rsid w:val="6485099B"/>
    <w:rsid w:val="64EC73AF"/>
    <w:rsid w:val="6512344F"/>
    <w:rsid w:val="651A72DE"/>
    <w:rsid w:val="654A565C"/>
    <w:rsid w:val="656B1B61"/>
    <w:rsid w:val="675F608D"/>
    <w:rsid w:val="68D85B1F"/>
    <w:rsid w:val="68D873A6"/>
    <w:rsid w:val="69F62A1B"/>
    <w:rsid w:val="6A5662E4"/>
    <w:rsid w:val="6B300599"/>
    <w:rsid w:val="6C24544A"/>
    <w:rsid w:val="6E17748E"/>
    <w:rsid w:val="6F153EC1"/>
    <w:rsid w:val="70566A2B"/>
    <w:rsid w:val="7092788A"/>
    <w:rsid w:val="70E62888"/>
    <w:rsid w:val="723865C7"/>
    <w:rsid w:val="72E24202"/>
    <w:rsid w:val="73380D46"/>
    <w:rsid w:val="750C4CA1"/>
    <w:rsid w:val="757D0F87"/>
    <w:rsid w:val="788059D5"/>
    <w:rsid w:val="789E0C35"/>
    <w:rsid w:val="7A7F4D9A"/>
    <w:rsid w:val="7B0E2605"/>
    <w:rsid w:val="7C1F1F32"/>
    <w:rsid w:val="7D344890"/>
    <w:rsid w:val="7D6D1DBB"/>
    <w:rsid w:val="7FB93AFF"/>
    <w:rsid w:val="7FEC5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9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5"/>
    <w:qFormat/>
    <w:uiPriority w:val="0"/>
    <w:pPr>
      <w:keepNext/>
      <w:keepLines/>
      <w:spacing w:before="260" w:after="260" w:line="416" w:lineRule="auto"/>
      <w:outlineLvl w:val="1"/>
    </w:pPr>
    <w:rPr>
      <w:rFonts w:ascii="Arial Black" w:hAnsi="Arial Black" w:eastAsia="黑体"/>
      <w:b/>
      <w:bCs/>
      <w:sz w:val="32"/>
      <w:szCs w:val="32"/>
    </w:rPr>
  </w:style>
  <w:style w:type="paragraph" w:styleId="6">
    <w:name w:val="heading 3"/>
    <w:basedOn w:val="1"/>
    <w:next w:val="1"/>
    <w:qFormat/>
    <w:uiPriority w:val="0"/>
    <w:pPr>
      <w:keepNext/>
      <w:keepLines/>
      <w:tabs>
        <w:tab w:val="left" w:pos="1080"/>
      </w:tabs>
      <w:spacing w:before="260" w:after="260" w:line="416" w:lineRule="auto"/>
      <w:ind w:left="1080" w:hanging="1080"/>
      <w:jc w:val="center"/>
      <w:outlineLvl w:val="2"/>
    </w:pPr>
    <w:rPr>
      <w:rFonts w:ascii="宋体" w:hAnsi="宋体"/>
      <w:sz w:val="28"/>
      <w:szCs w:val="32"/>
    </w:rPr>
  </w:style>
  <w:style w:type="paragraph" w:styleId="7">
    <w:name w:val="heading 4"/>
    <w:basedOn w:val="1"/>
    <w:next w:val="1"/>
    <w:qFormat/>
    <w:uiPriority w:val="0"/>
    <w:pPr>
      <w:keepNext/>
      <w:keepLines/>
      <w:tabs>
        <w:tab w:val="left" w:pos="851"/>
      </w:tabs>
      <w:spacing w:before="280" w:after="290" w:line="377" w:lineRule="auto"/>
      <w:ind w:left="851" w:hanging="851"/>
      <w:outlineLvl w:val="3"/>
    </w:pPr>
    <w:rPr>
      <w:rFonts w:ascii="Arial" w:hAnsi="Arial"/>
      <w:b/>
      <w:bCs/>
      <w:sz w:val="30"/>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rPr>
      <w:rFonts w:ascii="Times New Roman" w:hAnsi="Times New Roman" w:eastAsia="宋体" w:cs="Times New Roman"/>
    </w:rPr>
  </w:style>
  <w:style w:type="paragraph" w:styleId="3">
    <w:name w:val="Plain Text"/>
    <w:basedOn w:val="1"/>
    <w:next w:val="1"/>
    <w:link w:val="46"/>
    <w:qFormat/>
    <w:uiPriority w:val="0"/>
    <w:rPr>
      <w:rFonts w:ascii="宋体" w:hAnsi="Courier New"/>
      <w:szCs w:val="20"/>
    </w:rPr>
  </w:style>
  <w:style w:type="paragraph" w:styleId="8">
    <w:name w:val="toc 7"/>
    <w:basedOn w:val="1"/>
    <w:next w:val="1"/>
    <w:qFormat/>
    <w:uiPriority w:val="0"/>
    <w:pPr>
      <w:ind w:left="1260"/>
      <w:jc w:val="left"/>
    </w:pPr>
    <w:rPr>
      <w:rFonts w:ascii="等线" w:eastAsia="等线"/>
      <w:sz w:val="18"/>
      <w:szCs w:val="18"/>
    </w:rPr>
  </w:style>
  <w:style w:type="paragraph" w:styleId="9">
    <w:name w:val="Normal Indent"/>
    <w:basedOn w:val="1"/>
    <w:qFormat/>
    <w:uiPriority w:val="0"/>
    <w:pPr>
      <w:ind w:firstLine="420" w:firstLineChars="200"/>
    </w:pPr>
  </w:style>
  <w:style w:type="paragraph" w:styleId="10">
    <w:name w:val="Document Map"/>
    <w:basedOn w:val="1"/>
    <w:link w:val="92"/>
    <w:qFormat/>
    <w:uiPriority w:val="0"/>
    <w:pPr>
      <w:shd w:val="clear" w:color="auto" w:fill="000080"/>
    </w:pPr>
  </w:style>
  <w:style w:type="paragraph" w:styleId="11">
    <w:name w:val="toa heading"/>
    <w:basedOn w:val="1"/>
    <w:next w:val="1"/>
    <w:qFormat/>
    <w:uiPriority w:val="0"/>
    <w:pPr>
      <w:spacing w:before="120"/>
    </w:pPr>
    <w:rPr>
      <w:rFonts w:ascii="Arial" w:hAnsi="Arial" w:cs="Arial"/>
      <w:sz w:val="24"/>
    </w:rPr>
  </w:style>
  <w:style w:type="paragraph" w:styleId="12">
    <w:name w:val="Body Text 3"/>
    <w:basedOn w:val="1"/>
    <w:link w:val="61"/>
    <w:qFormat/>
    <w:uiPriority w:val="0"/>
    <w:pPr>
      <w:autoSpaceDE w:val="0"/>
      <w:autoSpaceDN w:val="0"/>
      <w:adjustRightInd w:val="0"/>
      <w:jc w:val="center"/>
    </w:pPr>
    <w:rPr>
      <w:rFonts w:ascii="宋体" w:hAnsi="宋体"/>
      <w:b/>
      <w:bCs/>
      <w:color w:val="000000"/>
      <w:kern w:val="0"/>
      <w:sz w:val="48"/>
      <w:szCs w:val="44"/>
    </w:rPr>
  </w:style>
  <w:style w:type="paragraph" w:styleId="13">
    <w:name w:val="Body Text"/>
    <w:basedOn w:val="1"/>
    <w:next w:val="14"/>
    <w:link w:val="56"/>
    <w:qFormat/>
    <w:uiPriority w:val="0"/>
    <w:pPr>
      <w:spacing w:after="120"/>
    </w:pPr>
  </w:style>
  <w:style w:type="paragraph" w:styleId="14">
    <w:name w:val="Body Text 2"/>
    <w:basedOn w:val="1"/>
    <w:next w:val="13"/>
    <w:qFormat/>
    <w:uiPriority w:val="0"/>
    <w:pPr>
      <w:spacing w:line="480" w:lineRule="auto"/>
    </w:pPr>
    <w:rPr>
      <w:rFonts w:ascii="Calibri" w:hAnsi="Calibri"/>
      <w:sz w:val="21"/>
    </w:rPr>
  </w:style>
  <w:style w:type="paragraph" w:styleId="15">
    <w:name w:val="Body Text Indent"/>
    <w:basedOn w:val="1"/>
    <w:next w:val="1"/>
    <w:qFormat/>
    <w:uiPriority w:val="0"/>
    <w:pPr>
      <w:ind w:firstLine="570"/>
    </w:pPr>
    <w:rPr>
      <w:rFonts w:ascii="宋体" w:hAnsi="宋体"/>
      <w:sz w:val="28"/>
    </w:rPr>
  </w:style>
  <w:style w:type="paragraph" w:styleId="16">
    <w:name w:val="toc 5"/>
    <w:basedOn w:val="1"/>
    <w:next w:val="1"/>
    <w:qFormat/>
    <w:uiPriority w:val="0"/>
    <w:pPr>
      <w:ind w:left="840"/>
      <w:jc w:val="left"/>
    </w:pPr>
    <w:rPr>
      <w:rFonts w:ascii="等线" w:eastAsia="等线"/>
      <w:sz w:val="18"/>
      <w:szCs w:val="18"/>
    </w:rPr>
  </w:style>
  <w:style w:type="paragraph" w:styleId="17">
    <w:name w:val="toc 3"/>
    <w:basedOn w:val="1"/>
    <w:next w:val="1"/>
    <w:qFormat/>
    <w:uiPriority w:val="0"/>
    <w:pPr>
      <w:ind w:left="420"/>
      <w:jc w:val="left"/>
    </w:pPr>
    <w:rPr>
      <w:rFonts w:ascii="等线" w:eastAsia="等线"/>
      <w:i/>
      <w:iCs/>
      <w:sz w:val="20"/>
      <w:szCs w:val="20"/>
    </w:rPr>
  </w:style>
  <w:style w:type="paragraph" w:styleId="18">
    <w:name w:val="toc 8"/>
    <w:basedOn w:val="1"/>
    <w:next w:val="1"/>
    <w:qFormat/>
    <w:uiPriority w:val="0"/>
    <w:pPr>
      <w:ind w:left="1470"/>
      <w:jc w:val="left"/>
    </w:pPr>
    <w:rPr>
      <w:rFonts w:ascii="等线" w:eastAsia="等线"/>
      <w:sz w:val="18"/>
      <w:szCs w:val="18"/>
    </w:rPr>
  </w:style>
  <w:style w:type="paragraph" w:styleId="19">
    <w:name w:val="Date"/>
    <w:basedOn w:val="1"/>
    <w:next w:val="1"/>
    <w:qFormat/>
    <w:uiPriority w:val="0"/>
    <w:rPr>
      <w:szCs w:val="20"/>
    </w:rPr>
  </w:style>
  <w:style w:type="paragraph" w:styleId="20">
    <w:name w:val="Body Text Indent 2"/>
    <w:basedOn w:val="1"/>
    <w:qFormat/>
    <w:uiPriority w:val="0"/>
    <w:pPr>
      <w:spacing w:after="120" w:line="480" w:lineRule="auto"/>
      <w:ind w:left="420" w:leftChars="200"/>
    </w:pPr>
  </w:style>
  <w:style w:type="paragraph" w:styleId="21">
    <w:name w:val="Balloon Text"/>
    <w:basedOn w:val="1"/>
    <w:semiHidden/>
    <w:qFormat/>
    <w:uiPriority w:val="0"/>
    <w:rPr>
      <w:sz w:val="18"/>
      <w:szCs w:val="18"/>
    </w:rPr>
  </w:style>
  <w:style w:type="paragraph" w:styleId="22">
    <w:name w:val="footer"/>
    <w:basedOn w:val="1"/>
    <w:link w:val="50"/>
    <w:qFormat/>
    <w:uiPriority w:val="99"/>
    <w:pPr>
      <w:tabs>
        <w:tab w:val="center" w:pos="4153"/>
        <w:tab w:val="right" w:pos="8306"/>
      </w:tabs>
      <w:snapToGrid w:val="0"/>
      <w:jc w:val="left"/>
    </w:pPr>
    <w:rPr>
      <w:sz w:val="18"/>
      <w:szCs w:val="18"/>
    </w:rPr>
  </w:style>
  <w:style w:type="paragraph" w:styleId="23">
    <w:name w:val="header"/>
    <w:basedOn w:val="1"/>
    <w:next w:val="1"/>
    <w:link w:val="93"/>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等线" w:eastAsia="等线"/>
      <w:b/>
      <w:bCs/>
      <w:caps/>
      <w:sz w:val="20"/>
      <w:szCs w:val="20"/>
    </w:rPr>
  </w:style>
  <w:style w:type="paragraph" w:styleId="25">
    <w:name w:val="toc 4"/>
    <w:basedOn w:val="1"/>
    <w:next w:val="1"/>
    <w:qFormat/>
    <w:uiPriority w:val="0"/>
    <w:pPr>
      <w:ind w:left="630"/>
      <w:jc w:val="left"/>
    </w:pPr>
    <w:rPr>
      <w:rFonts w:ascii="等线" w:eastAsia="等线"/>
      <w:sz w:val="18"/>
      <w:szCs w:val="18"/>
    </w:rPr>
  </w:style>
  <w:style w:type="paragraph" w:styleId="26">
    <w:name w:val="Subtitle"/>
    <w:basedOn w:val="1"/>
    <w:next w:val="1"/>
    <w:link w:val="44"/>
    <w:qFormat/>
    <w:uiPriority w:val="0"/>
    <w:pPr>
      <w:spacing w:before="200" w:after="200"/>
      <w:jc w:val="center"/>
      <w:outlineLvl w:val="1"/>
    </w:pPr>
    <w:rPr>
      <w:rFonts w:ascii="Cambria" w:hAnsi="Cambria" w:eastAsia="仿宋_GB2312"/>
      <w:b/>
      <w:bCs/>
      <w:kern w:val="28"/>
      <w:sz w:val="32"/>
      <w:szCs w:val="32"/>
    </w:rPr>
  </w:style>
  <w:style w:type="paragraph" w:styleId="27">
    <w:name w:val="List"/>
    <w:basedOn w:val="1"/>
    <w:qFormat/>
    <w:uiPriority w:val="0"/>
    <w:pPr>
      <w:ind w:left="200" w:hanging="200" w:hangingChars="200"/>
    </w:pPr>
  </w:style>
  <w:style w:type="paragraph" w:styleId="28">
    <w:name w:val="toc 6"/>
    <w:basedOn w:val="1"/>
    <w:next w:val="1"/>
    <w:qFormat/>
    <w:uiPriority w:val="0"/>
    <w:pPr>
      <w:ind w:left="1050"/>
      <w:jc w:val="left"/>
    </w:pPr>
    <w:rPr>
      <w:rFonts w:ascii="等线" w:eastAsia="等线"/>
      <w:sz w:val="18"/>
      <w:szCs w:val="18"/>
    </w:rPr>
  </w:style>
  <w:style w:type="paragraph" w:styleId="29">
    <w:name w:val="Body Text Indent 3"/>
    <w:basedOn w:val="1"/>
    <w:qFormat/>
    <w:uiPriority w:val="0"/>
    <w:pPr>
      <w:spacing w:after="120"/>
      <w:ind w:left="420" w:leftChars="200"/>
    </w:pPr>
    <w:rPr>
      <w:sz w:val="16"/>
      <w:szCs w:val="16"/>
    </w:rPr>
  </w:style>
  <w:style w:type="paragraph" w:styleId="30">
    <w:name w:val="toc 2"/>
    <w:basedOn w:val="1"/>
    <w:next w:val="1"/>
    <w:qFormat/>
    <w:uiPriority w:val="39"/>
    <w:pPr>
      <w:ind w:left="210"/>
      <w:jc w:val="left"/>
    </w:pPr>
    <w:rPr>
      <w:rFonts w:ascii="等线" w:eastAsia="等线"/>
      <w:smallCaps/>
      <w:sz w:val="20"/>
      <w:szCs w:val="20"/>
    </w:rPr>
  </w:style>
  <w:style w:type="paragraph" w:styleId="31">
    <w:name w:val="toc 9"/>
    <w:basedOn w:val="1"/>
    <w:next w:val="1"/>
    <w:qFormat/>
    <w:uiPriority w:val="0"/>
    <w:pPr>
      <w:ind w:left="1680"/>
      <w:jc w:val="left"/>
    </w:pPr>
    <w:rPr>
      <w:rFonts w:ascii="等线" w:eastAsia="等线"/>
      <w:sz w:val="18"/>
      <w:szCs w:val="18"/>
    </w:rPr>
  </w:style>
  <w:style w:type="paragraph" w:styleId="32">
    <w:name w:val="List 4"/>
    <w:basedOn w:val="1"/>
    <w:qFormat/>
    <w:uiPriority w:val="0"/>
    <w:pPr>
      <w:ind w:left="100" w:leftChars="600" w:hanging="200" w:hangingChars="2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Body Text First Indent"/>
    <w:basedOn w:val="13"/>
    <w:qFormat/>
    <w:uiPriority w:val="0"/>
    <w:pPr>
      <w:tabs>
        <w:tab w:val="left" w:pos="9214"/>
      </w:tabs>
      <w:spacing w:after="0"/>
      <w:ind w:firstLine="200" w:firstLineChars="200"/>
    </w:pPr>
  </w:style>
  <w:style w:type="paragraph" w:styleId="35">
    <w:name w:val="Body Text First Indent 2"/>
    <w:basedOn w:val="15"/>
    <w:qFormat/>
    <w:uiPriority w:val="0"/>
    <w:pPr>
      <w:tabs>
        <w:tab w:val="left" w:pos="615"/>
      </w:tabs>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99"/>
    <w:rPr>
      <w:color w:val="262626"/>
      <w:u w:val="none"/>
    </w:rPr>
  </w:style>
  <w:style w:type="character" w:customStyle="1" w:styleId="43">
    <w:name w:val="正文文本 3 Char1"/>
    <w:qFormat/>
    <w:uiPriority w:val="0"/>
    <w:rPr>
      <w:kern w:val="2"/>
      <w:sz w:val="16"/>
      <w:szCs w:val="16"/>
    </w:rPr>
  </w:style>
  <w:style w:type="character" w:customStyle="1" w:styleId="44">
    <w:name w:val="副标题 Char"/>
    <w:link w:val="26"/>
    <w:qFormat/>
    <w:uiPriority w:val="0"/>
    <w:rPr>
      <w:rFonts w:ascii="Cambria" w:hAnsi="Cambria" w:eastAsia="仿宋_GB2312"/>
      <w:b/>
      <w:bCs/>
      <w:kern w:val="28"/>
      <w:sz w:val="32"/>
      <w:szCs w:val="32"/>
    </w:rPr>
  </w:style>
  <w:style w:type="character" w:customStyle="1" w:styleId="45">
    <w:name w:val="标题 2 Char"/>
    <w:link w:val="5"/>
    <w:semiHidden/>
    <w:qFormat/>
    <w:uiPriority w:val="0"/>
    <w:rPr>
      <w:rFonts w:ascii="Arial Black" w:hAnsi="Arial Black" w:eastAsia="黑体"/>
      <w:b/>
      <w:bCs/>
      <w:kern w:val="2"/>
      <w:sz w:val="32"/>
      <w:szCs w:val="32"/>
      <w:lang w:val="en-US" w:eastAsia="zh-CN" w:bidi="ar-SA"/>
    </w:rPr>
  </w:style>
  <w:style w:type="character" w:customStyle="1" w:styleId="46">
    <w:name w:val="纯文本 Char"/>
    <w:link w:val="3"/>
    <w:qFormat/>
    <w:uiPriority w:val="0"/>
    <w:rPr>
      <w:rFonts w:ascii="宋体" w:hAnsi="Courier New"/>
      <w:kern w:val="2"/>
      <w:sz w:val="21"/>
    </w:rPr>
  </w:style>
  <w:style w:type="character" w:customStyle="1" w:styleId="47">
    <w:name w:val="h53 Char"/>
    <w:qFormat/>
    <w:uiPriority w:val="0"/>
    <w:rPr>
      <w:rFonts w:eastAsia="宋体" w:cs="Times New Roman"/>
      <w:b/>
      <w:kern w:val="2"/>
      <w:sz w:val="24"/>
      <w:lang w:val="en-US" w:eastAsia="zh-CN"/>
    </w:rPr>
  </w:style>
  <w:style w:type="character" w:customStyle="1" w:styleId="48">
    <w:name w:val="bookmark-item"/>
    <w:qFormat/>
    <w:uiPriority w:val="0"/>
  </w:style>
  <w:style w:type="character" w:customStyle="1" w:styleId="49">
    <w:name w:val="hs14"/>
    <w:basedOn w:val="38"/>
    <w:qFormat/>
    <w:uiPriority w:val="0"/>
  </w:style>
  <w:style w:type="character" w:customStyle="1" w:styleId="50">
    <w:name w:val="页脚 Char"/>
    <w:link w:val="22"/>
    <w:qFormat/>
    <w:locked/>
    <w:uiPriority w:val="99"/>
    <w:rPr>
      <w:rFonts w:eastAsia="宋体"/>
      <w:kern w:val="2"/>
      <w:sz w:val="18"/>
      <w:szCs w:val="18"/>
      <w:lang w:val="en-US" w:eastAsia="zh-CN" w:bidi="ar-SA"/>
    </w:rPr>
  </w:style>
  <w:style w:type="character" w:customStyle="1" w:styleId="51">
    <w:name w:val="样式 正文首行缩进 + 首行缩进:  2 字符 Char Char Char"/>
    <w:qFormat/>
    <w:uiPriority w:val="0"/>
    <w:rPr>
      <w:rFonts w:ascii="Arial" w:eastAsia="宋体" w:cs="Times New Roman"/>
      <w:kern w:val="2"/>
      <w:sz w:val="21"/>
      <w:lang w:val="en-US" w:eastAsia="zh-CN"/>
    </w:rPr>
  </w:style>
  <w:style w:type="character" w:customStyle="1" w:styleId="52">
    <w:name w:val="NormalCharacter"/>
    <w:qFormat/>
    <w:uiPriority w:val="0"/>
  </w:style>
  <w:style w:type="character" w:customStyle="1" w:styleId="53">
    <w:name w:val="样式 标题 5h5heading 5Heading5h51heading 51Heading51h52h53 +... Char Char Char Char Char Char Char Char Char Char Char Char Char Char Char Char Char Char Char Char Char Char Char Char Char Char Char Char Char Char Char Char Char Char Char Char Char Char C"/>
    <w:qFormat/>
    <w:uiPriority w:val="0"/>
    <w:rPr>
      <w:rFonts w:ascii="宋体" w:eastAsia="宋体" w:cs="Times New Roman"/>
      <w:b/>
      <w:kern w:val="2"/>
      <w:sz w:val="24"/>
      <w:lang w:val="en-US" w:eastAsia="zh-CN"/>
    </w:rPr>
  </w:style>
  <w:style w:type="character" w:customStyle="1" w:styleId="54">
    <w:name w:val="apple-converted-space"/>
    <w:qFormat/>
    <w:uiPriority w:val="0"/>
    <w:rPr>
      <w:rFonts w:ascii="Times New Roman" w:hAnsi="Times New Roman" w:eastAsia="宋体" w:cs="Times New Roman"/>
    </w:rPr>
  </w:style>
  <w:style w:type="character" w:customStyle="1" w:styleId="55">
    <w:name w:val="副标题 Char1"/>
    <w:qFormat/>
    <w:uiPriority w:val="0"/>
    <w:rPr>
      <w:rFonts w:ascii="Cambria" w:hAnsi="Cambria" w:cs="Times New Roman"/>
      <w:b/>
      <w:bCs/>
      <w:kern w:val="28"/>
      <w:sz w:val="32"/>
      <w:szCs w:val="32"/>
    </w:rPr>
  </w:style>
  <w:style w:type="character" w:customStyle="1" w:styleId="56">
    <w:name w:val="正文文本 Char"/>
    <w:link w:val="13"/>
    <w:semiHidden/>
    <w:qFormat/>
    <w:uiPriority w:val="0"/>
    <w:rPr>
      <w:rFonts w:eastAsia="宋体"/>
      <w:kern w:val="2"/>
      <w:sz w:val="21"/>
      <w:szCs w:val="24"/>
      <w:lang w:val="en-US" w:eastAsia="zh-CN" w:bidi="ar-SA"/>
    </w:rPr>
  </w:style>
  <w:style w:type="character" w:customStyle="1" w:styleId="57">
    <w:name w:val="本正文 Char"/>
    <w:qFormat/>
    <w:uiPriority w:val="0"/>
    <w:rPr>
      <w:rFonts w:ascii="长城仿宋" w:eastAsia="长城仿宋" w:cs="Times New Roman"/>
      <w:spacing w:val="10"/>
      <w:sz w:val="28"/>
      <w:lang w:val="en-US" w:eastAsia="zh-CN"/>
    </w:rPr>
  </w:style>
  <w:style w:type="character" w:customStyle="1" w:styleId="58">
    <w:name w:val="标题 2 Char Char Char Char Char Char Char Char Char Char Char Char Char Char Char Char Char Char Char Char Char"/>
    <w:basedOn w:val="38"/>
    <w:qFormat/>
    <w:uiPriority w:val="0"/>
  </w:style>
  <w:style w:type="character" w:customStyle="1" w:styleId="59">
    <w:name w:val="p2"/>
    <w:basedOn w:val="38"/>
    <w:qFormat/>
    <w:uiPriority w:val="0"/>
  </w:style>
  <w:style w:type="character" w:customStyle="1" w:styleId="60">
    <w:name w:val="标题 4 Char"/>
    <w:qFormat/>
    <w:uiPriority w:val="0"/>
    <w:rPr>
      <w:rFonts w:cs="Times New Roman"/>
    </w:rPr>
  </w:style>
  <w:style w:type="character" w:customStyle="1" w:styleId="61">
    <w:name w:val="正文文本 3 Char"/>
    <w:link w:val="12"/>
    <w:qFormat/>
    <w:uiPriority w:val="0"/>
    <w:rPr>
      <w:rFonts w:ascii="宋体" w:hAnsi="宋体"/>
      <w:b/>
      <w:bCs/>
      <w:color w:val="000000"/>
      <w:sz w:val="48"/>
      <w:szCs w:val="44"/>
    </w:rPr>
  </w:style>
  <w:style w:type="character" w:customStyle="1" w:styleId="62">
    <w:name w:val="6 Char"/>
    <w:qFormat/>
    <w:uiPriority w:val="0"/>
    <w:rPr>
      <w:rFonts w:ascii="宋体" w:eastAsia="宋体" w:cs="Times New Roman"/>
      <w:sz w:val="21"/>
      <w:lang w:val="en-US" w:eastAsia="zh-CN"/>
    </w:rPr>
  </w:style>
  <w:style w:type="character" w:customStyle="1" w:styleId="63">
    <w:name w:val="正文缩进 Char1"/>
    <w:qFormat/>
    <w:uiPriority w:val="0"/>
    <w:rPr>
      <w:rFonts w:cs="Times New Roman"/>
      <w:kern w:val="2"/>
      <w:sz w:val="21"/>
    </w:rPr>
  </w:style>
  <w:style w:type="character" w:customStyle="1" w:styleId="64">
    <w:name w:val="文档正文 Char"/>
    <w:qFormat/>
    <w:uiPriority w:val="0"/>
    <w:rPr>
      <w:rFonts w:ascii="长城仿宋" w:eastAsia="长城仿宋" w:cs="Times New Roman"/>
      <w:sz w:val="28"/>
      <w:lang w:val="en-US" w:eastAsia="zh-CN"/>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detail-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68">
    <w:name w:val="样式3"/>
    <w:basedOn w:val="3"/>
    <w:qFormat/>
    <w:uiPriority w:val="0"/>
    <w:pPr>
      <w:spacing w:line="0" w:lineRule="atLeast"/>
      <w:outlineLvl w:val="0"/>
    </w:pPr>
    <w:rPr>
      <w:sz w:val="28"/>
      <w:szCs w:val="24"/>
    </w:rPr>
  </w:style>
  <w:style w:type="paragraph" w:customStyle="1" w:styleId="69">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71">
    <w:name w:val="列出段落1"/>
    <w:basedOn w:val="1"/>
    <w:qFormat/>
    <w:uiPriority w:val="0"/>
    <w:pPr>
      <w:ind w:firstLine="420" w:firstLineChars="200"/>
    </w:pPr>
    <w:rPr>
      <w:rFonts w:ascii="等线" w:hAnsi="等线" w:eastAsia="等线"/>
      <w:szCs w:val="22"/>
    </w:rPr>
  </w:style>
  <w:style w:type="paragraph" w:customStyle="1" w:styleId="72">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73">
    <w:name w:val="列出段落2"/>
    <w:basedOn w:val="1"/>
    <w:qFormat/>
    <w:uiPriority w:val="34"/>
    <w:pPr>
      <w:ind w:firstLine="420" w:firstLineChars="200"/>
    </w:pPr>
    <w:rPr>
      <w:szCs w:val="20"/>
    </w:rPr>
  </w:style>
  <w:style w:type="paragraph" w:customStyle="1" w:styleId="7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5">
    <w:name w:val="正文文字2"/>
    <w:basedOn w:val="13"/>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76">
    <w:name w:val="Default Text:1"/>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0"/>
    </w:rPr>
  </w:style>
  <w:style w:type="paragraph" w:customStyle="1" w:styleId="77">
    <w:name w:val="Char1"/>
    <w:basedOn w:val="1"/>
    <w:qFormat/>
    <w:uiPriority w:val="0"/>
    <w:rPr>
      <w:rFonts w:ascii="Tahoma" w:hAnsi="Tahoma"/>
      <w:sz w:val="24"/>
      <w:szCs w:val="20"/>
    </w:rPr>
  </w:style>
  <w:style w:type="paragraph" w:customStyle="1" w:styleId="78">
    <w:name w:val="正文_0"/>
    <w:qFormat/>
    <w:uiPriority w:val="0"/>
    <w:pPr>
      <w:widowControl w:val="0"/>
      <w:jc w:val="both"/>
    </w:pPr>
    <w:rPr>
      <w:rFonts w:ascii="Calibri" w:hAnsi="Calibri" w:eastAsia="宋体" w:cs="Times New Roman"/>
      <w:kern w:val="2"/>
      <w:sz w:val="21"/>
      <w:lang w:val="en-US" w:eastAsia="zh-CN" w:bidi="ar-SA"/>
    </w:rPr>
  </w:style>
  <w:style w:type="paragraph" w:customStyle="1" w:styleId="79">
    <w:name w:val="正文（大成天下）"/>
    <w:basedOn w:val="1"/>
    <w:qFormat/>
    <w:uiPriority w:val="0"/>
    <w:pPr>
      <w:spacing w:afterLines="50"/>
      <w:ind w:firstLine="200" w:firstLineChars="200"/>
    </w:pPr>
    <w:rPr>
      <w:rFonts w:eastAsia="等线"/>
      <w:szCs w:val="21"/>
    </w:rPr>
  </w:style>
  <w:style w:type="paragraph" w:customStyle="1" w:styleId="80">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81">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82">
    <w:name w:val="Blockquote"/>
    <w:basedOn w:val="1"/>
    <w:qFormat/>
    <w:uiPriority w:val="0"/>
    <w:pPr>
      <w:autoSpaceDE w:val="0"/>
      <w:autoSpaceDN w:val="0"/>
      <w:adjustRightInd w:val="0"/>
      <w:spacing w:before="100" w:after="100" w:line="400" w:lineRule="exact"/>
      <w:ind w:left="250" w:right="720" w:firstLine="315"/>
      <w:jc w:val="left"/>
    </w:pPr>
    <w:rPr>
      <w:rFonts w:cs="宋体"/>
      <w:color w:val="000000"/>
      <w:kern w:val="0"/>
      <w:szCs w:val="21"/>
    </w:rPr>
  </w:style>
  <w:style w:type="paragraph" w:customStyle="1" w:styleId="8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8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85">
    <w:name w:val="列出段落11"/>
    <w:basedOn w:val="1"/>
    <w:qFormat/>
    <w:uiPriority w:val="0"/>
    <w:pPr>
      <w:ind w:firstLine="420" w:firstLineChars="200"/>
    </w:pPr>
    <w:rPr>
      <w:szCs w:val="22"/>
    </w:rPr>
  </w:style>
  <w:style w:type="paragraph" w:customStyle="1" w:styleId="86">
    <w:name w:val="标题 3_0_0"/>
    <w:basedOn w:val="87"/>
    <w:next w:val="87"/>
    <w:unhideWhenUsed/>
    <w:qFormat/>
    <w:uiPriority w:val="9"/>
    <w:pPr>
      <w:keepNext/>
      <w:keepLines/>
      <w:spacing w:before="260" w:after="260" w:line="416" w:lineRule="auto"/>
      <w:outlineLvl w:val="2"/>
    </w:pPr>
    <w:rPr>
      <w:b/>
      <w:bCs/>
      <w:sz w:val="32"/>
      <w:szCs w:val="32"/>
    </w:rPr>
  </w:style>
  <w:style w:type="paragraph" w:customStyle="1" w:styleId="87">
    <w:name w:val="正文_4_0"/>
    <w:qFormat/>
    <w:uiPriority w:val="0"/>
    <w:pPr>
      <w:widowControl w:val="0"/>
      <w:jc w:val="both"/>
    </w:pPr>
    <w:rPr>
      <w:rFonts w:ascii="Calibri" w:hAnsi="Calibri" w:eastAsia="宋体" w:cs="Calibri"/>
      <w:kern w:val="2"/>
      <w:sz w:val="21"/>
      <w:szCs w:val="22"/>
      <w:lang w:val="en-US" w:eastAsia="zh-CN" w:bidi="ar-SA"/>
    </w:rPr>
  </w:style>
  <w:style w:type="paragraph" w:customStyle="1" w:styleId="8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正文文本缩进_1_0_0"/>
    <w:basedOn w:val="90"/>
    <w:qFormat/>
    <w:uiPriority w:val="0"/>
    <w:pPr>
      <w:spacing w:before="100" w:beforeAutospacing="1" w:after="100" w:afterAutospacing="1" w:line="500" w:lineRule="exact"/>
      <w:ind w:left="1588" w:leftChars="832" w:firstLine="433" w:firstLineChars="196"/>
    </w:pPr>
    <w:rPr>
      <w:rFonts w:ascii="Calibri" w:hAnsi="Calibri"/>
      <w:kern w:val="0"/>
      <w:sz w:val="24"/>
      <w:szCs w:val="24"/>
    </w:rPr>
  </w:style>
  <w:style w:type="paragraph" w:customStyle="1" w:styleId="90">
    <w:name w:val="正文_8"/>
    <w:basedOn w:val="87"/>
    <w:qFormat/>
    <w:uiPriority w:val="0"/>
    <w:rPr>
      <w:rFonts w:ascii="Times New Roman" w:hAnsi="Times New Roman"/>
      <w:szCs w:val="21"/>
    </w:rPr>
  </w:style>
  <w:style w:type="paragraph" w:customStyle="1" w:styleId="91">
    <w:name w:val="正文_0_0_2"/>
    <w:basedOn w:val="87"/>
    <w:qFormat/>
    <w:uiPriority w:val="0"/>
    <w:rPr>
      <w:sz w:val="28"/>
      <w:szCs w:val="28"/>
    </w:rPr>
  </w:style>
  <w:style w:type="character" w:customStyle="1" w:styleId="92">
    <w:name w:val="文档结构图 Char"/>
    <w:basedOn w:val="38"/>
    <w:link w:val="10"/>
    <w:qFormat/>
    <w:uiPriority w:val="0"/>
    <w:rPr>
      <w:kern w:val="2"/>
      <w:sz w:val="21"/>
      <w:szCs w:val="24"/>
      <w:shd w:val="clear" w:color="auto" w:fill="000080"/>
    </w:rPr>
  </w:style>
  <w:style w:type="character" w:customStyle="1" w:styleId="93">
    <w:name w:val="页眉 Char"/>
    <w:basedOn w:val="38"/>
    <w:link w:val="23"/>
    <w:qFormat/>
    <w:uiPriority w:val="0"/>
    <w:rPr>
      <w:kern w:val="2"/>
      <w:sz w:val="18"/>
      <w:szCs w:val="18"/>
    </w:rPr>
  </w:style>
  <w:style w:type="character" w:customStyle="1" w:styleId="94">
    <w:name w:val="标题 1 Char"/>
    <w:basedOn w:val="38"/>
    <w:link w:val="4"/>
    <w:qFormat/>
    <w:uiPriority w:val="0"/>
    <w:rPr>
      <w:b/>
      <w:bCs/>
      <w:kern w:val="44"/>
      <w:sz w:val="44"/>
      <w:szCs w:val="44"/>
    </w:rPr>
  </w:style>
  <w:style w:type="paragraph" w:customStyle="1" w:styleId="95">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6">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7">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8">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9">
    <w:name w:val="p15"/>
    <w:basedOn w:val="1"/>
    <w:qFormat/>
    <w:uiPriority w:val="0"/>
    <w:pPr>
      <w:widowControl/>
      <w:spacing w:before="100" w:beforeAutospacing="1" w:after="100" w:afterAutospacing="1"/>
      <w:jc w:val="left"/>
    </w:pPr>
    <w:rPr>
      <w:rFonts w:ascii="宋体" w:hAnsi="宋体" w:cs="宋体"/>
      <w:kern w:val="0"/>
      <w:sz w:val="24"/>
    </w:rPr>
  </w:style>
  <w:style w:type="character" w:customStyle="1" w:styleId="100">
    <w:name w:val="font31"/>
    <w:basedOn w:val="38"/>
    <w:qFormat/>
    <w:uiPriority w:val="0"/>
    <w:rPr>
      <w:rFonts w:hint="default" w:ascii="仿宋_GB2312" w:eastAsia="仿宋_GB2312" w:cs="仿宋_GB2312"/>
      <w:color w:val="000000"/>
      <w:sz w:val="28"/>
      <w:szCs w:val="28"/>
      <w:u w:val="none"/>
    </w:rPr>
  </w:style>
  <w:style w:type="character" w:customStyle="1" w:styleId="101">
    <w:name w:val="font01"/>
    <w:basedOn w:val="38"/>
    <w:qFormat/>
    <w:uiPriority w:val="0"/>
    <w:rPr>
      <w:rFonts w:hint="default" w:ascii="Times New Roman" w:hAnsi="Times New Roman" w:cs="Times New Roman"/>
      <w:color w:val="000000"/>
      <w:sz w:val="28"/>
      <w:szCs w:val="28"/>
      <w:u w:val="none"/>
    </w:rPr>
  </w:style>
  <w:style w:type="character" w:customStyle="1" w:styleId="102">
    <w:name w:val="font11"/>
    <w:basedOn w:val="38"/>
    <w:qFormat/>
    <w:uiPriority w:val="0"/>
    <w:rPr>
      <w:rFonts w:hint="eastAsia" w:ascii="宋体" w:hAnsi="宋体" w:eastAsia="宋体" w:cs="宋体"/>
      <w:b/>
      <w:color w:val="000000"/>
      <w:sz w:val="22"/>
      <w:szCs w:val="22"/>
      <w:u w:val="none"/>
    </w:rPr>
  </w:style>
  <w:style w:type="paragraph" w:customStyle="1" w:styleId="103">
    <w:name w:val="Default"/>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customStyle="1" w:styleId="104">
    <w:name w:val="List Paragraph"/>
    <w:basedOn w:val="1"/>
    <w:qFormat/>
    <w:uiPriority w:val="1"/>
    <w:pPr>
      <w:ind w:left="960" w:firstLine="480"/>
    </w:pPr>
    <w:rPr>
      <w:rFonts w:ascii="宋体" w:hAnsi="宋体" w:eastAsia="宋体" w:cs="宋体"/>
      <w:lang w:val="zh-CN" w:eastAsia="zh-CN" w:bidi="zh-CN"/>
    </w:rPr>
  </w:style>
  <w:style w:type="paragraph" w:customStyle="1" w:styleId="105">
    <w:name w:val="BodyText"/>
    <w:basedOn w:val="1"/>
    <w:next w:val="1"/>
    <w:qFormat/>
    <w:uiPriority w:val="0"/>
    <w:pPr>
      <w:tabs>
        <w:tab w:val="left" w:pos="9214"/>
      </w:tabs>
      <w:spacing w:after="120" w:line="400" w:lineRule="atLeast"/>
      <w:ind w:right="-58" w:firstLine="600"/>
      <w:textAlignment w:val="bottom"/>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C9C141-7424-4065-A2E4-A5104716D19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27419</Words>
  <Characters>28551</Characters>
  <Lines>148</Lines>
  <Paragraphs>41</Paragraphs>
  <TotalTime>1</TotalTime>
  <ScaleCrop>false</ScaleCrop>
  <LinksUpToDate>false</LinksUpToDate>
  <CharactersWithSpaces>32134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2021-01-07T03:03:00Z</dcterms:created>
  <dc:creator>h</dc:creator>
  <cp:lastModifiedBy>win10</cp:lastModifiedBy>
  <cp:lastPrinted>2022-06-28T11:19:00Z</cp:lastPrinted>
  <dcterms:modified xsi:type="dcterms:W3CDTF">2022-08-25T10:17:50Z</dcterms:modified>
  <dc:title>自治区政府采购印刷品招标技术规范书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242F7390E5FC42B9A900E568A99D1D24</vt:lpwstr>
  </property>
</Properties>
</file>