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72"/>
          <w:szCs w:val="72"/>
          <w:shd w:val="clear" w:color="auto" w:fill="FFFFFF"/>
        </w:rPr>
      </w:pPr>
    </w:p>
    <w:p>
      <w:pPr>
        <w:spacing w:line="360" w:lineRule="auto"/>
        <w:jc w:val="center"/>
        <w:rPr>
          <w:rFonts w:hint="eastAsia" w:ascii="宋体"/>
          <w:b/>
          <w:bCs/>
          <w:sz w:val="44"/>
        </w:rPr>
      </w:pPr>
      <w:r>
        <w:rPr>
          <w:rFonts w:hint="eastAsia" w:ascii="宋体"/>
          <w:b/>
          <w:bCs/>
          <w:w w:val="90"/>
          <w:sz w:val="44"/>
        </w:rPr>
        <w:t>新疆准东经济技术开发区安全生产监督管理局</w:t>
      </w:r>
      <w:r>
        <w:rPr>
          <w:rFonts w:hint="eastAsia" w:ascii="宋体"/>
          <w:b/>
          <w:bCs/>
          <w:sz w:val="44"/>
        </w:rPr>
        <w:t>指挥中心提升改造及工业互联网及安全</w:t>
      </w:r>
    </w:p>
    <w:p>
      <w:pPr>
        <w:spacing w:line="360" w:lineRule="auto"/>
        <w:jc w:val="center"/>
        <w:rPr>
          <w:rFonts w:ascii="宋体" w:hAnsi="宋体"/>
          <w:b/>
          <w:sz w:val="72"/>
          <w:szCs w:val="56"/>
          <w:shd w:val="clear" w:color="auto" w:fill="FFFFFF"/>
        </w:rPr>
      </w:pPr>
      <w:r>
        <w:rPr>
          <w:rFonts w:hint="eastAsia" w:ascii="宋体"/>
          <w:b/>
          <w:bCs/>
          <w:sz w:val="44"/>
        </w:rPr>
        <w:t>生产信息化平台建设项目</w:t>
      </w:r>
    </w:p>
    <w:p>
      <w:pPr>
        <w:rPr>
          <w:rFonts w:ascii="宋体" w:hAnsi="宋体"/>
          <w:b/>
          <w:sz w:val="72"/>
          <w:szCs w:val="56"/>
          <w:shd w:val="clear" w:color="auto" w:fill="FFFFFF"/>
        </w:rPr>
      </w:pPr>
    </w:p>
    <w:p>
      <w:pPr>
        <w:pStyle w:val="18"/>
        <w:rPr>
          <w:rFonts w:ascii="宋体" w:hAnsi="宋体"/>
          <w:b/>
          <w:sz w:val="72"/>
          <w:szCs w:val="56"/>
          <w:shd w:val="clear" w:color="auto" w:fill="FFFFFF"/>
        </w:rPr>
      </w:pPr>
    </w:p>
    <w:p/>
    <w:p>
      <w:pPr>
        <w:pStyle w:val="18"/>
      </w:pPr>
    </w:p>
    <w:p>
      <w:pPr>
        <w:jc w:val="center"/>
        <w:rPr>
          <w:rFonts w:ascii="宋体" w:hAnsi="宋体"/>
          <w:b/>
          <w:sz w:val="72"/>
          <w:szCs w:val="72"/>
          <w:shd w:val="clear" w:color="auto" w:fill="FFFFFF"/>
        </w:rPr>
      </w:pPr>
      <w:r>
        <w:rPr>
          <w:rFonts w:hint="eastAsia" w:ascii="宋体" w:hAnsi="宋体"/>
          <w:b/>
          <w:sz w:val="52"/>
          <w:szCs w:val="52"/>
          <w:shd w:val="clear" w:color="auto" w:fill="FFFFFF"/>
        </w:rPr>
        <w:t>招标文件</w:t>
      </w:r>
    </w:p>
    <w:p>
      <w:pPr>
        <w:jc w:val="center"/>
        <w:rPr>
          <w:rFonts w:hint="default" w:ascii="宋体" w:hAnsi="宋体"/>
          <w:b/>
          <w:sz w:val="28"/>
          <w:szCs w:val="28"/>
          <w:shd w:val="clear" w:color="auto" w:fill="FFFFFF"/>
        </w:rPr>
      </w:pPr>
      <w:r>
        <w:rPr>
          <w:rFonts w:hint="eastAsia" w:ascii="宋体" w:hAnsi="宋体"/>
          <w:b/>
          <w:sz w:val="28"/>
          <w:szCs w:val="28"/>
          <w:shd w:val="clear" w:color="auto" w:fill="FFFFFF"/>
        </w:rPr>
        <w:t>招标编号：</w:t>
      </w:r>
      <w:r>
        <w:rPr>
          <w:rFonts w:hint="eastAsia" w:ascii="宋体" w:hAnsi="宋体"/>
          <w:b/>
          <w:sz w:val="28"/>
          <w:szCs w:val="28"/>
          <w:shd w:val="clear" w:color="auto" w:fill="FFFFFF"/>
          <w:lang w:val="en-US" w:eastAsia="zh-CN"/>
        </w:rPr>
        <w:t>[2022]1215号</w:t>
      </w:r>
      <w:r>
        <w:rPr>
          <w:rFonts w:hint="default" w:ascii="宋体" w:hAnsi="宋体"/>
          <w:b/>
          <w:sz w:val="28"/>
          <w:szCs w:val="28"/>
          <w:shd w:val="clear" w:color="auto" w:fill="FFFFFF"/>
          <w:lang w:eastAsia="zh-CN"/>
        </w:rPr>
        <w:t>-02</w:t>
      </w:r>
    </w:p>
    <w:p>
      <w:pPr>
        <w:jc w:val="center"/>
        <w:rPr>
          <w:rFonts w:ascii="宋体" w:hAnsi="宋体"/>
          <w:b/>
          <w:color w:val="FF0000"/>
          <w:sz w:val="28"/>
          <w:szCs w:val="28"/>
          <w:shd w:val="clear" w:color="auto" w:fill="FFFFFF"/>
        </w:rPr>
      </w:pPr>
    </w:p>
    <w:p>
      <w:pPr>
        <w:jc w:val="center"/>
        <w:rPr>
          <w:rFonts w:ascii="宋体" w:hAnsi="宋体"/>
          <w:b/>
          <w:color w:val="FF0000"/>
          <w:sz w:val="96"/>
          <w:szCs w:val="72"/>
          <w:shd w:val="clear" w:color="auto" w:fill="FFFFFF"/>
        </w:rPr>
      </w:pPr>
    </w:p>
    <w:p>
      <w:pPr>
        <w:rPr>
          <w:rFonts w:ascii="宋体" w:hAnsi="宋体"/>
          <w:b/>
          <w:sz w:val="96"/>
          <w:szCs w:val="72"/>
          <w:shd w:val="clear" w:color="auto" w:fill="FFFFFF"/>
        </w:rPr>
      </w:pPr>
    </w:p>
    <w:p>
      <w:pPr>
        <w:pStyle w:val="18"/>
      </w:pPr>
    </w:p>
    <w:p>
      <w:pPr>
        <w:pStyle w:val="18"/>
      </w:pPr>
    </w:p>
    <w:p>
      <w:pPr>
        <w:rPr>
          <w:rFonts w:ascii="宋体" w:hAnsi="宋体"/>
          <w:b/>
          <w:sz w:val="96"/>
          <w:szCs w:val="72"/>
          <w:shd w:val="clear" w:color="auto" w:fill="FFFFFF"/>
        </w:rPr>
      </w:pPr>
    </w:p>
    <w:p>
      <w:pPr>
        <w:ind w:left="2240" w:hanging="2240" w:hangingChars="700"/>
        <w:rPr>
          <w:rFonts w:ascii="宋体" w:hAnsi="宋体"/>
          <w:bCs/>
          <w:sz w:val="32"/>
          <w:szCs w:val="28"/>
          <w:shd w:val="clear" w:color="auto" w:fill="FFFFFF"/>
        </w:rPr>
      </w:pPr>
      <w:r>
        <w:rPr>
          <w:rFonts w:hint="eastAsia" w:ascii="宋体" w:hAnsi="宋体"/>
          <w:bCs/>
          <w:sz w:val="32"/>
          <w:szCs w:val="28"/>
          <w:shd w:val="clear" w:color="auto" w:fill="FFFFFF"/>
        </w:rPr>
        <w:t>招  标  人：</w:t>
      </w:r>
      <w:r>
        <w:rPr>
          <w:rFonts w:ascii="宋体" w:hAnsi="宋体"/>
          <w:bCs/>
          <w:sz w:val="32"/>
          <w:szCs w:val="28"/>
          <w:shd w:val="clear" w:color="auto" w:fill="FFFFFF"/>
        </w:rPr>
        <w:t>新疆准东经济技术开发区安全生产监督管理局</w:t>
      </w:r>
    </w:p>
    <w:p>
      <w:pPr>
        <w:rPr>
          <w:rFonts w:ascii="宋体" w:hAnsi="宋体"/>
          <w:bCs/>
          <w:sz w:val="32"/>
          <w:szCs w:val="28"/>
          <w:shd w:val="clear" w:color="auto" w:fill="FFFFFF"/>
        </w:rPr>
      </w:pPr>
      <w:r>
        <w:rPr>
          <w:rFonts w:hint="eastAsia" w:ascii="宋体" w:hAnsi="宋体"/>
          <w:bCs/>
          <w:sz w:val="32"/>
          <w:szCs w:val="28"/>
          <w:shd w:val="clear" w:color="auto" w:fill="FFFFFF"/>
        </w:rPr>
        <w:t>招标代理机构：新疆千思跃建设工程项目管理有限责任公司</w:t>
      </w:r>
    </w:p>
    <w:p>
      <w:pPr>
        <w:jc w:val="center"/>
        <w:rPr>
          <w:rFonts w:ascii="宋体" w:hAnsi="宋体"/>
          <w:bCs/>
          <w:sz w:val="32"/>
          <w:szCs w:val="28"/>
          <w:shd w:val="clear" w:color="auto" w:fill="FFFFFF"/>
        </w:rPr>
      </w:pPr>
      <w:r>
        <w:rPr>
          <w:rFonts w:hint="eastAsia" w:ascii="宋体" w:hAnsi="宋体"/>
          <w:bCs/>
          <w:sz w:val="32"/>
          <w:szCs w:val="28"/>
          <w:shd w:val="clear" w:color="auto" w:fill="FFFFFF"/>
        </w:rPr>
        <w:t>2022年</w:t>
      </w:r>
      <w:r>
        <w:rPr>
          <w:rFonts w:ascii="宋体" w:hAnsi="宋体"/>
          <w:bCs/>
          <w:sz w:val="32"/>
          <w:szCs w:val="28"/>
          <w:shd w:val="clear" w:color="auto" w:fill="FFFFFF"/>
        </w:rPr>
        <w:t>10</w:t>
      </w:r>
      <w:r>
        <w:rPr>
          <w:rFonts w:hint="eastAsia" w:ascii="宋体" w:hAnsi="宋体"/>
          <w:bCs/>
          <w:sz w:val="32"/>
          <w:szCs w:val="28"/>
          <w:shd w:val="clear" w:color="auto" w:fill="FFFFFF"/>
        </w:rPr>
        <w:t>月</w:t>
      </w:r>
    </w:p>
    <w:p>
      <w:pPr>
        <w:pStyle w:val="9"/>
      </w:pPr>
    </w:p>
    <w:p>
      <w:pPr>
        <w:pStyle w:val="18"/>
        <w:tabs>
          <w:tab w:val="right" w:leader="dot" w:pos="8306"/>
        </w:tabs>
        <w:jc w:val="center"/>
        <w:rPr>
          <w:rFonts w:ascii="宋体" w:hAnsi="宋体"/>
          <w:b/>
          <w:sz w:val="36"/>
          <w:szCs w:val="32"/>
          <w:shd w:val="clear" w:color="auto" w:fill="FFFFFF"/>
        </w:rPr>
      </w:pPr>
      <w:r>
        <w:rPr>
          <w:rFonts w:hint="eastAsia" w:ascii="宋体" w:hAnsi="宋体"/>
          <w:b/>
          <w:sz w:val="36"/>
          <w:szCs w:val="32"/>
          <w:shd w:val="clear" w:color="auto" w:fill="FFFFFF"/>
        </w:rPr>
        <w:t>目   录</w:t>
      </w:r>
    </w:p>
    <w:p>
      <w:pPr>
        <w:pStyle w:val="18"/>
        <w:tabs>
          <w:tab w:val="right" w:leader="dot" w:pos="8306"/>
        </w:tabs>
        <w:spacing w:line="720" w:lineRule="auto"/>
        <w:rPr>
          <w:rFonts w:ascii="宋体" w:hAnsi="宋体" w:eastAsia="宋体" w:cs="宋体"/>
          <w:sz w:val="28"/>
          <w:szCs w:val="28"/>
        </w:rPr>
      </w:pPr>
      <w:r>
        <w:rPr>
          <w:rFonts w:hint="eastAsia" w:ascii="宋体" w:hAnsi="宋体" w:eastAsia="宋体" w:cs="宋体"/>
          <w:bCs/>
          <w:sz w:val="28"/>
          <w:szCs w:val="28"/>
          <w:shd w:val="clear" w:color="auto" w:fill="FFFFFF"/>
        </w:rPr>
        <w:fldChar w:fldCharType="begin"/>
      </w:r>
      <w:r>
        <w:rPr>
          <w:rFonts w:hint="eastAsia" w:ascii="宋体" w:hAnsi="宋体" w:eastAsia="宋体" w:cs="宋体"/>
          <w:bCs/>
          <w:sz w:val="28"/>
          <w:szCs w:val="28"/>
          <w:shd w:val="clear" w:color="auto" w:fill="FFFFFF"/>
        </w:rPr>
        <w:instrText xml:space="preserve">TOC \o "1-2" \h \u </w:instrText>
      </w:r>
      <w:r>
        <w:rPr>
          <w:rFonts w:hint="eastAsia" w:ascii="宋体" w:hAnsi="宋体" w:eastAsia="宋体" w:cs="宋体"/>
          <w:bCs/>
          <w:sz w:val="28"/>
          <w:szCs w:val="28"/>
          <w:shd w:val="clear" w:color="auto" w:fill="FFFFFF"/>
        </w:rPr>
        <w:fldChar w:fldCharType="separate"/>
      </w:r>
      <w:r>
        <w:fldChar w:fldCharType="begin"/>
      </w:r>
      <w:r>
        <w:instrText xml:space="preserve"> HYPERLINK \l "_Toc16734" </w:instrText>
      </w:r>
      <w:r>
        <w:fldChar w:fldCharType="separate"/>
      </w:r>
      <w:r>
        <w:rPr>
          <w:rFonts w:hint="eastAsia" w:ascii="宋体" w:hAnsi="宋体" w:eastAsia="宋体" w:cs="宋体"/>
          <w:sz w:val="28"/>
          <w:szCs w:val="28"/>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_Toc16734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8"/>
        <w:tabs>
          <w:tab w:val="right" w:leader="dot" w:pos="8306"/>
        </w:tabs>
        <w:spacing w:line="720" w:lineRule="auto"/>
        <w:rPr>
          <w:rFonts w:ascii="宋体" w:hAnsi="宋体" w:eastAsia="宋体" w:cs="宋体"/>
          <w:sz w:val="28"/>
          <w:szCs w:val="28"/>
        </w:rPr>
      </w:pPr>
      <w:r>
        <w:fldChar w:fldCharType="begin"/>
      </w:r>
      <w:r>
        <w:instrText xml:space="preserve"> HYPERLINK \l "_Toc30824" </w:instrText>
      </w:r>
      <w:r>
        <w:fldChar w:fldCharType="separate"/>
      </w:r>
      <w:r>
        <w:rPr>
          <w:rFonts w:hint="eastAsia" w:ascii="宋体" w:hAnsi="宋体" w:eastAsia="宋体" w:cs="宋体"/>
          <w:sz w:val="28"/>
          <w:szCs w:val="28"/>
        </w:rPr>
        <w:t>第二章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_Toc30824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8"/>
        <w:tabs>
          <w:tab w:val="right" w:leader="dot" w:pos="8306"/>
        </w:tabs>
        <w:spacing w:line="720" w:lineRule="auto"/>
        <w:rPr>
          <w:rFonts w:ascii="宋体" w:hAnsi="宋体" w:eastAsia="宋体" w:cs="宋体"/>
          <w:sz w:val="28"/>
          <w:szCs w:val="28"/>
        </w:rPr>
      </w:pPr>
      <w:r>
        <w:fldChar w:fldCharType="begin"/>
      </w:r>
      <w:r>
        <w:instrText xml:space="preserve"> HYPERLINK \l "_Toc8865" </w:instrText>
      </w:r>
      <w:r>
        <w:fldChar w:fldCharType="separate"/>
      </w:r>
      <w:r>
        <w:rPr>
          <w:rFonts w:hint="eastAsia" w:ascii="宋体" w:hAnsi="宋体" w:eastAsia="宋体" w:cs="宋体"/>
          <w:sz w:val="28"/>
          <w:szCs w:val="28"/>
        </w:rPr>
        <w:t>第三章 评标方法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_Toc8865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1"/>
        <w:tabs>
          <w:tab w:val="right" w:leader="dot" w:pos="8306"/>
        </w:tabs>
        <w:spacing w:line="720" w:lineRule="auto"/>
        <w:ind w:left="0" w:leftChars="0"/>
        <w:rPr>
          <w:rFonts w:ascii="宋体" w:hAnsi="宋体" w:eastAsia="宋体" w:cs="宋体"/>
          <w:sz w:val="28"/>
          <w:szCs w:val="28"/>
        </w:rPr>
      </w:pPr>
      <w:r>
        <w:fldChar w:fldCharType="begin"/>
      </w:r>
      <w:r>
        <w:instrText xml:space="preserve"> HYPERLINK \l "_Toc20567" </w:instrText>
      </w:r>
      <w:r>
        <w:fldChar w:fldCharType="separate"/>
      </w:r>
      <w:r>
        <w:rPr>
          <w:rFonts w:hint="eastAsia" w:ascii="宋体" w:hAnsi="宋体" w:eastAsia="宋体" w:cs="宋体"/>
          <w:sz w:val="28"/>
          <w:szCs w:val="28"/>
        </w:rPr>
        <w:t>第四章 合同条款格式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_Toc20567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8"/>
        <w:tabs>
          <w:tab w:val="right" w:leader="dot" w:pos="8306"/>
        </w:tabs>
        <w:spacing w:line="720" w:lineRule="auto"/>
        <w:rPr>
          <w:rFonts w:ascii="宋体" w:hAnsi="宋体" w:eastAsia="宋体" w:cs="宋体"/>
          <w:sz w:val="28"/>
          <w:szCs w:val="28"/>
        </w:rPr>
      </w:pPr>
      <w:r>
        <w:fldChar w:fldCharType="begin"/>
      </w:r>
      <w:r>
        <w:instrText xml:space="preserve"> HYPERLINK \l "_Toc16778" </w:instrText>
      </w:r>
      <w:r>
        <w:fldChar w:fldCharType="separate"/>
      </w:r>
      <w:r>
        <w:rPr>
          <w:rFonts w:hint="eastAsia" w:ascii="宋体" w:hAnsi="宋体" w:eastAsia="宋体" w:cs="宋体"/>
          <w:sz w:val="28"/>
          <w:szCs w:val="28"/>
        </w:rPr>
        <w:t>第五章  技术标准和要求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_Toc16778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8"/>
        <w:tabs>
          <w:tab w:val="right" w:leader="dot" w:pos="8306"/>
        </w:tabs>
        <w:spacing w:line="720" w:lineRule="auto"/>
        <w:rPr>
          <w:rFonts w:ascii="宋体" w:hAnsi="宋体" w:eastAsia="宋体" w:cs="宋体"/>
          <w:sz w:val="28"/>
          <w:szCs w:val="28"/>
        </w:rPr>
      </w:pPr>
      <w:r>
        <w:fldChar w:fldCharType="begin"/>
      </w:r>
      <w:r>
        <w:instrText xml:space="preserve"> HYPERLINK \l "_Toc4602" </w:instrText>
      </w:r>
      <w:r>
        <w:fldChar w:fldCharType="separate"/>
      </w:r>
      <w:r>
        <w:rPr>
          <w:rFonts w:hint="eastAsia" w:ascii="宋体" w:hAnsi="宋体" w:eastAsia="宋体" w:cs="宋体"/>
          <w:sz w:val="28"/>
          <w:szCs w:val="28"/>
        </w:rPr>
        <w:t>第六章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_Toc4602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spacing w:line="720" w:lineRule="auto"/>
        <w:jc w:val="center"/>
        <w:rPr>
          <w:rFonts w:ascii="宋体" w:hAnsi="宋体" w:eastAsia="宋体" w:cs="宋体"/>
        </w:rPr>
        <w:sectPr>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Cs/>
          <w:sz w:val="28"/>
          <w:szCs w:val="28"/>
          <w:shd w:val="clear" w:color="auto" w:fill="FFFFFF"/>
        </w:rPr>
        <w:fldChar w:fldCharType="end"/>
      </w:r>
    </w:p>
    <w:p/>
    <w:p>
      <w:pPr>
        <w:pStyle w:val="5"/>
        <w:rPr>
          <w:rFonts w:ascii="宋体" w:hAnsi="宋体" w:eastAsia="宋体" w:cs="宋体"/>
        </w:rPr>
      </w:pPr>
    </w:p>
    <w:p>
      <w:pPr>
        <w:pStyle w:val="5"/>
        <w:rPr>
          <w:rFonts w:ascii="宋体" w:hAnsi="宋体" w:eastAsia="宋体" w:cs="宋体"/>
        </w:rPr>
      </w:pPr>
    </w:p>
    <w:p>
      <w:pPr>
        <w:pStyle w:val="5"/>
        <w:rPr>
          <w:rFonts w:ascii="宋体" w:hAnsi="宋体" w:eastAsia="宋体" w:cs="宋体"/>
        </w:rPr>
      </w:pPr>
    </w:p>
    <w:p>
      <w:pPr>
        <w:pStyle w:val="5"/>
        <w:rPr>
          <w:rFonts w:ascii="宋体" w:hAnsi="宋体" w:eastAsia="宋体" w:cs="宋体"/>
        </w:rPr>
      </w:pPr>
    </w:p>
    <w:p>
      <w:pPr>
        <w:pStyle w:val="5"/>
        <w:rPr>
          <w:rFonts w:ascii="宋体" w:hAnsi="宋体" w:eastAsia="宋体" w:cs="宋体"/>
        </w:rPr>
      </w:pPr>
    </w:p>
    <w:p>
      <w:pPr>
        <w:pStyle w:val="5"/>
        <w:rPr>
          <w:rFonts w:ascii="宋体" w:hAnsi="宋体" w:eastAsia="宋体" w:cs="宋体"/>
          <w:sz w:val="72"/>
          <w:szCs w:val="40"/>
        </w:rPr>
      </w:pPr>
      <w:bookmarkStart w:id="0" w:name="_Toc16734"/>
      <w:r>
        <w:rPr>
          <w:rFonts w:hint="eastAsia" w:ascii="宋体" w:hAnsi="宋体" w:eastAsia="宋体" w:cs="宋体"/>
          <w:sz w:val="72"/>
          <w:szCs w:val="40"/>
        </w:rPr>
        <w:t>第一章  招标公告</w:t>
      </w:r>
      <w:bookmarkEnd w:id="0"/>
    </w:p>
    <w:p>
      <w:pPr>
        <w:shd w:val="solid" w:color="FFFFFF" w:fill="auto"/>
        <w:autoSpaceDN w:val="0"/>
        <w:spacing w:line="480" w:lineRule="auto"/>
        <w:jc w:val="center"/>
        <w:rPr>
          <w:rFonts w:ascii="宋体" w:hAnsi="宋体"/>
          <w:bCs/>
          <w:sz w:val="28"/>
          <w:shd w:val="clear" w:color="auto" w:fill="FFFFFF"/>
        </w:rPr>
      </w:pPr>
    </w:p>
    <w:p>
      <w:pPr>
        <w:shd w:val="solid" w:color="FFFFFF" w:fill="auto"/>
        <w:autoSpaceDN w:val="0"/>
        <w:spacing w:line="480" w:lineRule="auto"/>
        <w:jc w:val="center"/>
        <w:rPr>
          <w:rFonts w:ascii="宋体" w:hAnsi="宋体"/>
          <w:bCs/>
          <w:sz w:val="28"/>
          <w:shd w:val="clear" w:color="auto" w:fill="FFFFFF"/>
        </w:rPr>
      </w:pPr>
    </w:p>
    <w:p>
      <w:pPr>
        <w:shd w:val="solid" w:color="FFFFFF" w:fill="auto"/>
        <w:autoSpaceDN w:val="0"/>
        <w:spacing w:line="480" w:lineRule="auto"/>
        <w:jc w:val="center"/>
        <w:rPr>
          <w:rFonts w:ascii="宋体" w:hAnsi="宋体"/>
          <w:bCs/>
          <w:sz w:val="28"/>
          <w:shd w:val="clear" w:color="auto" w:fill="FFFFFF"/>
        </w:rPr>
      </w:pPr>
    </w:p>
    <w:p>
      <w:pPr>
        <w:shd w:val="solid" w:color="FFFFFF" w:fill="auto"/>
        <w:autoSpaceDN w:val="0"/>
        <w:spacing w:line="480" w:lineRule="auto"/>
        <w:jc w:val="center"/>
        <w:rPr>
          <w:rFonts w:ascii="宋体" w:hAnsi="宋体"/>
          <w:bCs/>
          <w:sz w:val="28"/>
          <w:shd w:val="clear" w:color="auto" w:fill="FFFFFF"/>
        </w:rPr>
      </w:pPr>
    </w:p>
    <w:p>
      <w:pPr>
        <w:shd w:val="solid" w:color="FFFFFF" w:fill="auto"/>
        <w:autoSpaceDN w:val="0"/>
        <w:spacing w:line="480" w:lineRule="auto"/>
        <w:jc w:val="center"/>
        <w:rPr>
          <w:rFonts w:ascii="宋体" w:hAnsi="宋体"/>
          <w:bCs/>
          <w:sz w:val="28"/>
          <w:shd w:val="clear" w:color="auto" w:fill="FFFFFF"/>
        </w:rPr>
      </w:pPr>
    </w:p>
    <w:p>
      <w:pPr>
        <w:shd w:val="solid" w:color="FFFFFF" w:fill="auto"/>
        <w:autoSpaceDN w:val="0"/>
        <w:spacing w:line="480" w:lineRule="auto"/>
        <w:jc w:val="center"/>
        <w:rPr>
          <w:rFonts w:ascii="宋体" w:hAnsi="宋体"/>
          <w:bCs/>
          <w:sz w:val="28"/>
          <w:shd w:val="clear" w:color="auto" w:fill="FFFFFF"/>
        </w:rPr>
      </w:pPr>
    </w:p>
    <w:p>
      <w:pPr>
        <w:shd w:val="solid" w:color="FFFFFF" w:fill="auto"/>
        <w:autoSpaceDN w:val="0"/>
        <w:spacing w:line="480" w:lineRule="auto"/>
        <w:jc w:val="center"/>
        <w:rPr>
          <w:rFonts w:ascii="宋体" w:hAnsi="宋体"/>
          <w:bCs/>
          <w:sz w:val="28"/>
          <w:shd w:val="clear" w:color="auto" w:fill="FFFFFF"/>
        </w:rPr>
      </w:pPr>
    </w:p>
    <w:p>
      <w:pPr>
        <w:shd w:val="solid" w:color="FFFFFF" w:fill="auto"/>
        <w:autoSpaceDN w:val="0"/>
        <w:spacing w:line="480" w:lineRule="auto"/>
        <w:jc w:val="center"/>
        <w:rPr>
          <w:rFonts w:ascii="宋体" w:hAnsi="宋体"/>
          <w:bCs/>
          <w:sz w:val="28"/>
          <w:shd w:val="clear" w:color="auto" w:fill="FFFFFF"/>
        </w:rPr>
      </w:pPr>
    </w:p>
    <w:p>
      <w:pPr>
        <w:shd w:val="solid" w:color="FFFFFF" w:fill="auto"/>
        <w:autoSpaceDN w:val="0"/>
        <w:spacing w:line="480" w:lineRule="auto"/>
        <w:jc w:val="center"/>
        <w:rPr>
          <w:rFonts w:ascii="宋体" w:hAnsi="宋体"/>
          <w:bCs/>
          <w:sz w:val="28"/>
          <w:shd w:val="clear" w:color="auto" w:fill="FFFFFF"/>
        </w:rPr>
      </w:pPr>
    </w:p>
    <w:p>
      <w:pPr>
        <w:pStyle w:val="13"/>
        <w:rPr>
          <w:rFonts w:ascii="宋体" w:hAnsi="宋体"/>
          <w:bCs/>
          <w:sz w:val="28"/>
          <w:shd w:val="clear" w:color="auto" w:fill="FFFFFF"/>
        </w:rPr>
      </w:pPr>
    </w:p>
    <w:p/>
    <w:p>
      <w:pPr>
        <w:shd w:val="solid" w:color="FFFFFF" w:fill="auto"/>
        <w:autoSpaceDN w:val="0"/>
        <w:spacing w:line="480" w:lineRule="auto"/>
        <w:rPr>
          <w:rFonts w:ascii="宋体" w:hAnsi="宋体"/>
          <w:bCs/>
          <w:sz w:val="28"/>
          <w:shd w:val="clear" w:color="auto" w:fill="FFFFFF"/>
        </w:rPr>
      </w:pPr>
    </w:p>
    <w:p>
      <w:pPr>
        <w:keepNext w:val="0"/>
        <w:keepLines w:val="0"/>
        <w:pageBreakBefore w:val="0"/>
        <w:widowControl w:val="0"/>
        <w:shd w:val="solid" w:color="FFFFFF" w:fill="auto"/>
        <w:kinsoku/>
        <w:wordWrap/>
        <w:overflowPunct/>
        <w:topLinePunct w:val="0"/>
        <w:autoSpaceDE/>
        <w:autoSpaceDN w:val="0"/>
        <w:bidi w:val="0"/>
        <w:spacing w:line="560" w:lineRule="exact"/>
        <w:ind w:left="-15" w:leftChars="-7" w:right="-92" w:rightChars="-44" w:firstLine="14" w:firstLineChars="5"/>
        <w:jc w:val="center"/>
        <w:textAlignment w:val="auto"/>
        <w:rPr>
          <w:rFonts w:ascii="宋体" w:hAnsi="宋体" w:cs="宋体"/>
          <w:sz w:val="24"/>
        </w:rPr>
      </w:pPr>
      <w:r>
        <w:rPr>
          <w:rFonts w:hint="eastAsia" w:ascii="方正小标宋简体" w:hAnsi="方正小标宋简体" w:eastAsia="方正小标宋简体" w:cs="方正小标宋简体"/>
          <w:b/>
          <w:sz w:val="28"/>
          <w:szCs w:val="28"/>
          <w:shd w:val="clear" w:color="auto" w:fill="FFFFFF"/>
        </w:rPr>
        <w:t>新疆准东经济技术开发区安全生产监督管理局指挥中心提升改造及工业互联网及安全生产信息化平台建设项目招标公告</w:t>
      </w:r>
    </w:p>
    <w:p>
      <w:pPr>
        <w:keepNext w:val="0"/>
        <w:keepLines w:val="0"/>
        <w:pageBreakBefore w:val="0"/>
        <w:widowControl w:val="0"/>
        <w:kinsoku/>
        <w:wordWrap/>
        <w:overflowPunct/>
        <w:topLinePunct w:val="0"/>
        <w:autoSpaceDE/>
        <w:bidi w:val="0"/>
        <w:spacing w:line="560" w:lineRule="exact"/>
        <w:ind w:left="-15" w:leftChars="-7" w:right="-92" w:rightChars="-44" w:firstLine="487" w:firstLineChars="203"/>
        <w:textAlignment w:val="auto"/>
        <w:rPr>
          <w:rFonts w:ascii="宋体" w:cs="宋体"/>
          <w:sz w:val="24"/>
        </w:rPr>
      </w:pPr>
      <w:r>
        <w:rPr>
          <w:rFonts w:ascii="宋体" w:hAnsi="宋体" w:cs="宋体"/>
          <w:sz w:val="24"/>
        </w:rPr>
        <w:t>新疆千思跃建设工程项目管理有限责任公司</w:t>
      </w:r>
      <w:r>
        <w:rPr>
          <w:rFonts w:hint="eastAsia" w:ascii="宋体" w:hAnsi="宋体" w:cs="宋体"/>
          <w:sz w:val="24"/>
          <w:shd w:val="clear" w:color="auto" w:fill="FFFFFF"/>
        </w:rPr>
        <w:t>受</w:t>
      </w:r>
      <w:r>
        <w:rPr>
          <w:rFonts w:ascii="宋体" w:hAnsi="宋体" w:cs="宋体"/>
          <w:sz w:val="24"/>
          <w:shd w:val="clear" w:color="auto" w:fill="FFFFFF"/>
        </w:rPr>
        <w:t>新疆准东经济技术开发区安全生产监督管理局</w:t>
      </w:r>
      <w:r>
        <w:rPr>
          <w:rFonts w:hint="eastAsia" w:ascii="宋体" w:hAnsi="宋体" w:cs="宋体"/>
          <w:sz w:val="24"/>
          <w:shd w:val="clear" w:color="auto" w:fill="FFFFFF"/>
        </w:rPr>
        <w:t>的委托，根据《中华人民共和国政府采购法》《中华人民共和国政府采购法实施条例》《政府采购货物和服务招标投标管理办法》等有关法律法规的</w:t>
      </w:r>
      <w:r>
        <w:rPr>
          <w:rFonts w:hint="eastAsia" w:ascii="宋体" w:hAnsi="宋体" w:cs="宋体"/>
          <w:sz w:val="24"/>
        </w:rPr>
        <w:t>规定对新疆准东经济技术开发区安全生产监督管理局指挥中心提升改造及工业互联网及安全生产信息化平台建设项目</w:t>
      </w:r>
      <w:r>
        <w:rPr>
          <w:rFonts w:hint="eastAsia" w:ascii="宋体" w:hAnsi="宋体" w:cs="宋体"/>
          <w:sz w:val="24"/>
          <w:shd w:val="clear" w:color="auto" w:fill="FFFFFF"/>
        </w:rPr>
        <w:t>进行招标</w:t>
      </w:r>
      <w:r>
        <w:rPr>
          <w:rFonts w:hint="eastAsia" w:ascii="宋体" w:hAnsi="宋体" w:cs="宋体"/>
          <w:sz w:val="24"/>
        </w:rPr>
        <w:t>，招标方式为公开招标，现欢迎符合要求的投标人参与本次招标活动。</w:t>
      </w:r>
    </w:p>
    <w:p>
      <w:pPr>
        <w:keepNext w:val="0"/>
        <w:keepLines w:val="0"/>
        <w:pageBreakBefore w:val="0"/>
        <w:widowControl w:val="0"/>
        <w:numPr>
          <w:ilvl w:val="0"/>
          <w:numId w:val="2"/>
        </w:numPr>
        <w:kinsoku/>
        <w:wordWrap/>
        <w:overflowPunct/>
        <w:topLinePunct w:val="0"/>
        <w:autoSpaceDE/>
        <w:bidi w:val="0"/>
        <w:spacing w:line="560" w:lineRule="exact"/>
        <w:ind w:left="-67" w:right="-92" w:rightChars="-44" w:firstLine="67"/>
        <w:textAlignment w:val="auto"/>
        <w:rPr>
          <w:rFonts w:ascii="宋体" w:hAnsi="宋体" w:cs="宋体"/>
          <w:b/>
          <w:bCs/>
          <w:sz w:val="28"/>
          <w:szCs w:val="28"/>
          <w:shd w:val="clear" w:color="auto" w:fill="FFFFFF"/>
        </w:rPr>
      </w:pPr>
      <w:r>
        <w:rPr>
          <w:rFonts w:hint="eastAsia" w:ascii="宋体" w:hAnsi="宋体" w:cs="宋体"/>
          <w:b/>
          <w:bCs/>
          <w:sz w:val="28"/>
          <w:szCs w:val="28"/>
          <w:shd w:val="clear" w:color="auto" w:fill="FFFFFF"/>
        </w:rPr>
        <w:t>项目基本情况</w:t>
      </w:r>
    </w:p>
    <w:p>
      <w:pPr>
        <w:keepNext w:val="0"/>
        <w:keepLines w:val="0"/>
        <w:pageBreakBefore w:val="0"/>
        <w:widowControl w:val="0"/>
        <w:numPr>
          <w:ilvl w:val="0"/>
          <w:numId w:val="3"/>
        </w:numPr>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招标项目名称：新疆准东经济技术开发区安全生产监督管理局指挥中心提升改造及工业互联网及安全生产信息化平台建设项目</w:t>
      </w:r>
    </w:p>
    <w:p>
      <w:pPr>
        <w:keepNext w:val="0"/>
        <w:keepLines w:val="0"/>
        <w:pageBreakBefore w:val="0"/>
        <w:widowControl w:val="0"/>
        <w:numPr>
          <w:ilvl w:val="0"/>
          <w:numId w:val="3"/>
        </w:numPr>
        <w:kinsoku/>
        <w:wordWrap/>
        <w:overflowPunct/>
        <w:topLinePunct w:val="0"/>
        <w:autoSpaceDE/>
        <w:bidi w:val="0"/>
        <w:spacing w:line="560" w:lineRule="exact"/>
        <w:ind w:right="-92" w:rightChars="-44"/>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项目编号</w:t>
      </w:r>
      <w:r>
        <w:rPr>
          <w:rFonts w:hint="default" w:ascii="宋体" w:hAnsi="宋体" w:cs="宋体"/>
          <w:color w:val="auto"/>
          <w:sz w:val="24"/>
          <w:highlight w:val="none"/>
          <w:shd w:val="clear" w:color="auto" w:fill="FFFFFF"/>
        </w:rPr>
        <w:t>：</w:t>
      </w:r>
      <w:r>
        <w:rPr>
          <w:rFonts w:hint="default" w:ascii="宋体" w:hAnsi="宋体" w:cs="宋体"/>
          <w:color w:val="auto"/>
          <w:sz w:val="24"/>
          <w:highlight w:val="none"/>
          <w:shd w:val="clear" w:color="auto" w:fill="FFFFFF"/>
          <w:lang w:eastAsia="zh-CN"/>
        </w:rPr>
        <w:t>[2022]1215号-02</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3.招标内容：安监局指挥系统提升改造。一是对现有应急指挥中心</w:t>
      </w:r>
      <w:r>
        <w:rPr>
          <w:rFonts w:hint="eastAsia" w:ascii="宋体" w:hAnsi="宋体" w:cs="宋体"/>
          <w:sz w:val="24"/>
          <w:shd w:val="clear" w:color="auto" w:fill="FFFFFF"/>
          <w:lang w:eastAsia="zh-CN"/>
        </w:rPr>
        <w:t>、</w:t>
      </w:r>
      <w:r>
        <w:rPr>
          <w:rFonts w:hint="eastAsia" w:ascii="宋体" w:hAnsi="宋体" w:cs="宋体"/>
          <w:sz w:val="24"/>
          <w:shd w:val="clear" w:color="auto" w:fill="FFFFFF"/>
          <w:lang w:val="en-US" w:eastAsia="zh-CN"/>
        </w:rPr>
        <w:t>会议室</w:t>
      </w:r>
      <w:r>
        <w:rPr>
          <w:rFonts w:hint="eastAsia" w:ascii="宋体" w:hAnsi="宋体" w:cs="宋体"/>
          <w:sz w:val="24"/>
          <w:shd w:val="clear" w:color="auto" w:fill="FFFFFF"/>
        </w:rPr>
        <w:t>进行升级改造，主要是对现有大屏及相应视频矩阵、会控系统、音频系统等进行升级改造，保证指挥中心稳定有效运行；二是对特殊作业图传平台进行升级改造，提升视频清晰度、对讲功能、存储回放、电脑客户端、手机客户端、视频接入等功能进行提升改造，将准东各个企业的特殊作业视频接入指挥中心，进行统一监看与调度</w:t>
      </w:r>
      <w:r>
        <w:rPr>
          <w:rFonts w:hint="eastAsia" w:ascii="宋体" w:hAnsi="宋体" w:cs="宋体"/>
          <w:sz w:val="24"/>
          <w:shd w:val="clear" w:color="auto" w:fill="FFFFFF"/>
          <w:lang w:val="en-US" w:eastAsia="zh-CN"/>
        </w:rPr>
        <w:t>指</w:t>
      </w:r>
      <w:r>
        <w:rPr>
          <w:rFonts w:hint="eastAsia" w:ascii="宋体" w:hAnsi="宋体" w:cs="宋体"/>
          <w:sz w:val="24"/>
          <w:shd w:val="clear" w:color="auto" w:fill="FFFFFF"/>
        </w:rPr>
        <w:t>挥；</w:t>
      </w:r>
      <w:r>
        <w:rPr>
          <w:rFonts w:hint="eastAsia" w:ascii="宋体" w:hAnsi="宋体" w:cs="宋体"/>
          <w:color w:val="auto"/>
          <w:sz w:val="24"/>
          <w:shd w:val="clear" w:color="auto" w:fill="FFFFFF"/>
        </w:rPr>
        <w:t>三是建立视频监控及关键点位视频智能分析系统（视频AI），对关键点位违章情况进行实时监控，自动报警；</w:t>
      </w:r>
      <w:r>
        <w:rPr>
          <w:rFonts w:hint="eastAsia" w:ascii="宋体" w:hAnsi="宋体" w:cs="宋体"/>
          <w:color w:val="auto"/>
          <w:sz w:val="24"/>
          <w:shd w:val="clear" w:color="auto" w:fill="FFFFFF"/>
          <w:lang w:val="en-US" w:eastAsia="zh-Hans"/>
        </w:rPr>
        <w:t>四是</w:t>
      </w:r>
      <w:r>
        <w:rPr>
          <w:rFonts w:hint="eastAsia" w:ascii="宋体" w:hAnsi="宋体" w:cs="宋体"/>
          <w:color w:val="auto"/>
          <w:sz w:val="24"/>
          <w:shd w:val="clear" w:color="auto" w:fill="FFFFFF"/>
        </w:rPr>
        <w:t>综</w:t>
      </w:r>
      <w:r>
        <w:rPr>
          <w:rFonts w:hint="eastAsia" w:ascii="宋体" w:hAnsi="宋体" w:cs="宋体"/>
          <w:sz w:val="24"/>
          <w:shd w:val="clear" w:color="auto" w:fill="FFFFFF"/>
        </w:rPr>
        <w:t>合集成危化企业固定视频、移动视频、GDS数据、GIS地图、安全承诺风险研判数据及政府端重大危险源系统、煤矿风险监测系统、边坡治理监测系统，实现安全监管一张图功能（具体详见招标文件技术参数）。</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4.资金来源：</w:t>
      </w:r>
      <w:r>
        <w:rPr>
          <w:rFonts w:hint="eastAsia" w:ascii="宋体" w:hAnsi="宋体" w:cs="宋体"/>
          <w:sz w:val="24"/>
          <w:shd w:val="clear" w:color="auto" w:fill="FFFFFF"/>
          <w:lang w:eastAsia="zh-Hans"/>
        </w:rPr>
        <w:t>财政</w:t>
      </w:r>
      <w:r>
        <w:rPr>
          <w:rFonts w:hint="eastAsia" w:ascii="宋体" w:hAnsi="宋体" w:cs="宋体"/>
          <w:sz w:val="24"/>
          <w:shd w:val="clear" w:color="auto" w:fill="FFFFFF"/>
        </w:rPr>
        <w:t>资金 。</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cs="宋体"/>
          <w:sz w:val="24"/>
        </w:rPr>
      </w:pPr>
      <w:r>
        <w:rPr>
          <w:rFonts w:hint="eastAsia" w:ascii="宋体" w:hAnsi="宋体" w:cs="宋体"/>
          <w:sz w:val="24"/>
        </w:rPr>
        <w:t>5.预算金额：</w:t>
      </w:r>
      <w:r>
        <w:rPr>
          <w:rFonts w:ascii="宋体" w:hAnsi="宋体" w:cs="宋体"/>
          <w:sz w:val="24"/>
        </w:rPr>
        <w:t>1</w:t>
      </w:r>
      <w:r>
        <w:rPr>
          <w:rFonts w:hint="eastAsia" w:ascii="宋体" w:hAnsi="宋体" w:cs="宋体"/>
          <w:sz w:val="24"/>
        </w:rPr>
        <w:t>00万元。</w:t>
      </w:r>
    </w:p>
    <w:p>
      <w:pPr>
        <w:pStyle w:val="11"/>
        <w:keepNext w:val="0"/>
        <w:keepLines w:val="0"/>
        <w:pageBreakBefore w:val="0"/>
        <w:widowControl w:val="0"/>
        <w:kinsoku/>
        <w:wordWrap/>
        <w:overflowPunct/>
        <w:topLinePunct w:val="0"/>
        <w:autoSpaceDE/>
        <w:bidi w:val="0"/>
        <w:spacing w:before="0" w:line="560" w:lineRule="exact"/>
        <w:textAlignment w:val="auto"/>
        <w:rPr>
          <w:rFonts w:hint="eastAsia" w:ascii="宋体" w:hAnsi="宋体" w:cs="宋体" w:eastAsiaTheme="minorEastAsia"/>
          <w:lang w:eastAsia="zh-CN"/>
        </w:rPr>
      </w:pPr>
      <w:r>
        <w:rPr>
          <w:rFonts w:hint="eastAsia" w:ascii="宋体" w:hAnsi="宋体" w:cs="宋体"/>
        </w:rPr>
        <w:t>6.</w:t>
      </w:r>
      <w:r>
        <w:rPr>
          <w:rFonts w:hint="eastAsia" w:ascii="宋体" w:hAnsi="宋体" w:cs="宋体"/>
          <w:lang w:eastAsia="zh-Hans"/>
        </w:rPr>
        <w:t>供货期</w:t>
      </w:r>
      <w:r>
        <w:rPr>
          <w:rFonts w:hint="eastAsia" w:ascii="宋体" w:hAnsi="宋体" w:cs="宋体"/>
        </w:rPr>
        <w:t>：项目时间为合同签订之日起30个工作日内完成</w:t>
      </w:r>
      <w:r>
        <w:rPr>
          <w:rFonts w:hint="eastAsia" w:ascii="宋体" w:hAnsi="宋体" w:cs="宋体"/>
          <w:lang w:eastAsia="zh-CN"/>
        </w:rPr>
        <w:t>。</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b/>
          <w:bCs/>
          <w:sz w:val="28"/>
          <w:szCs w:val="28"/>
          <w:shd w:val="clear" w:color="auto" w:fill="FFFFFF"/>
        </w:rPr>
      </w:pPr>
      <w:r>
        <w:rPr>
          <w:rFonts w:hint="eastAsia" w:ascii="宋体" w:hAnsi="宋体" w:cs="宋体"/>
          <w:b/>
          <w:bCs/>
          <w:sz w:val="28"/>
          <w:szCs w:val="28"/>
          <w:shd w:val="clear" w:color="auto" w:fill="FFFFFF"/>
        </w:rPr>
        <w:t>二、申请人的资格要求</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1.投标人应符合《中华人民共和国政府采购法》第二十二条规定的条件；</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①具有独立承担民事责任的能力；</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②具有良好的商业信誉和健全的财务会计制度；</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③具有履行合同所必须的设备和专业技术能力；</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④有依法缴纳税收和社会保障资金的良好记录；</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⑤参加政府采购活动前三年内，在经营活动中没有重大违法、犯罪记录；</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⑥法律法规规定的其他条件。</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2.遵守国家法律、法规有关招标的规定。</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3.与采购人就本次招标的项目委托的咨询机构、招标代理机构、以及上述机构的附属机构没有行政或经济关联。</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hint="eastAsia" w:ascii="宋体" w:hAnsi="宋体" w:cs="宋体"/>
          <w:sz w:val="24"/>
          <w:shd w:val="clear" w:color="auto" w:fill="FFFFFF"/>
        </w:rPr>
        <w:t>5.具有有效的营业执照。</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ascii="宋体" w:hAnsi="宋体" w:cs="宋体"/>
          <w:sz w:val="24"/>
          <w:shd w:val="clear" w:color="auto" w:fill="FFFFFF"/>
        </w:rPr>
        <w:t>6</w:t>
      </w:r>
      <w:r>
        <w:rPr>
          <w:rFonts w:hint="eastAsia" w:ascii="宋体" w:hAnsi="宋体" w:cs="宋体"/>
          <w:sz w:val="24"/>
          <w:shd w:val="clear" w:color="auto" w:fill="FFFFFF"/>
        </w:rPr>
        <w:t>.须具备近一年财务审计报告或银行提供的资信证明（新公司从成立之日起算）。</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shd w:val="clear" w:color="auto" w:fill="FFFFFF"/>
        </w:rPr>
      </w:pPr>
      <w:r>
        <w:rPr>
          <w:rFonts w:ascii="宋体" w:hAnsi="宋体" w:cs="宋体"/>
          <w:sz w:val="24"/>
          <w:shd w:val="clear" w:color="auto" w:fill="FFFFFF"/>
        </w:rPr>
        <w:t>7</w:t>
      </w:r>
      <w:r>
        <w:rPr>
          <w:rFonts w:hint="eastAsia" w:ascii="宋体" w:hAnsi="宋体" w:cs="宋体"/>
          <w:sz w:val="24"/>
          <w:shd w:val="clear" w:color="auto" w:fill="FFFFFF"/>
        </w:rPr>
        <w:t>.须具有近一年任意月纳税证明（新公司从成立之日起算）。</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cs="宋体"/>
          <w:sz w:val="24"/>
        </w:rPr>
      </w:pPr>
      <w:r>
        <w:rPr>
          <w:rFonts w:ascii="宋体" w:cs="宋体"/>
          <w:sz w:val="24"/>
        </w:rPr>
        <w:t>8</w:t>
      </w:r>
      <w:r>
        <w:rPr>
          <w:rFonts w:hint="eastAsia" w:ascii="宋体" w:cs="宋体"/>
          <w:sz w:val="24"/>
        </w:rPr>
        <w:t xml:space="preserve">.须具有履行合同所必须的设备和专业技术能力的承诺函。         </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cs="宋体"/>
          <w:sz w:val="24"/>
        </w:rPr>
      </w:pPr>
      <w:r>
        <w:rPr>
          <w:rFonts w:ascii="宋体" w:cs="宋体"/>
          <w:sz w:val="24"/>
        </w:rPr>
        <w:t>9</w:t>
      </w:r>
      <w:r>
        <w:rPr>
          <w:rFonts w:hint="eastAsia" w:ascii="宋体" w:cs="宋体"/>
          <w:sz w:val="24"/>
        </w:rPr>
        <w:t>.参加政府采购活动前3年内在经营活动中没有重大违法记录的书面声明。</w:t>
      </w:r>
    </w:p>
    <w:p>
      <w:pPr>
        <w:keepNext w:val="0"/>
        <w:keepLines w:val="0"/>
        <w:pageBreakBefore w:val="0"/>
        <w:widowControl w:val="0"/>
        <w:kinsoku/>
        <w:wordWrap/>
        <w:overflowPunct/>
        <w:topLinePunct w:val="0"/>
        <w:autoSpaceDE/>
        <w:bidi w:val="0"/>
        <w:spacing w:line="560" w:lineRule="exact"/>
        <w:ind w:right="-92" w:rightChars="-44"/>
        <w:textAlignment w:val="auto"/>
        <w:rPr>
          <w:highlight w:val="yellow"/>
        </w:rPr>
      </w:pPr>
      <w:r>
        <w:rPr>
          <w:rFonts w:hint="eastAsia" w:ascii="宋体" w:cs="宋体"/>
          <w:sz w:val="24"/>
        </w:rPr>
        <w:t>1</w:t>
      </w:r>
      <w:r>
        <w:rPr>
          <w:rFonts w:ascii="宋体" w:cs="宋体"/>
          <w:sz w:val="24"/>
        </w:rPr>
        <w:t>0</w:t>
      </w:r>
      <w:r>
        <w:rPr>
          <w:rFonts w:hint="eastAsia" w:ascii="宋体" w:cs="宋体"/>
          <w:sz w:val="24"/>
        </w:rPr>
        <w:t>.凡拟参加本次招标项目的投标人，如在“信用中国”网站（www.creditchina.gov.cn）和中国政府采购网（www.ccgp.gov.cn）被列入失信被执行人、</w:t>
      </w:r>
      <w:r>
        <w:rPr>
          <w:rFonts w:hint="eastAsia"/>
          <w:sz w:val="24"/>
        </w:rPr>
        <w:t>税收违法黑名单、</w:t>
      </w:r>
      <w:r>
        <w:rPr>
          <w:rFonts w:hint="eastAsia" w:ascii="宋体" w:cs="宋体"/>
          <w:sz w:val="24"/>
        </w:rPr>
        <w:t>政府采购严重违法失信行为记录名单的（尚在处罚期内的），将拒绝其参本次采购活动。</w:t>
      </w:r>
    </w:p>
    <w:p>
      <w:pPr>
        <w:keepNext w:val="0"/>
        <w:keepLines w:val="0"/>
        <w:pageBreakBefore w:val="0"/>
        <w:widowControl w:val="0"/>
        <w:kinsoku/>
        <w:wordWrap/>
        <w:overflowPunct/>
        <w:topLinePunct w:val="0"/>
        <w:autoSpaceDE/>
        <w:bidi w:val="0"/>
        <w:spacing w:line="560" w:lineRule="exact"/>
        <w:ind w:right="-92" w:rightChars="-44"/>
        <w:textAlignment w:val="auto"/>
        <w:rPr>
          <w:rFonts w:hint="eastAsia" w:ascii="宋体" w:cs="宋体"/>
          <w:sz w:val="24"/>
        </w:rPr>
      </w:pPr>
      <w:r>
        <w:rPr>
          <w:rFonts w:hint="eastAsia" w:ascii="宋体" w:cs="宋体"/>
          <w:sz w:val="24"/>
        </w:rPr>
        <w:t>1</w:t>
      </w:r>
      <w:r>
        <w:rPr>
          <w:rFonts w:ascii="宋体" w:cs="宋体"/>
          <w:sz w:val="24"/>
        </w:rPr>
        <w:t>1</w:t>
      </w:r>
      <w:r>
        <w:rPr>
          <w:rFonts w:hint="eastAsia" w:ascii="宋体" w:cs="宋体"/>
          <w:sz w:val="24"/>
        </w:rPr>
        <w:t>.</w:t>
      </w:r>
      <w:r>
        <w:rPr>
          <w:rFonts w:hint="eastAsia" w:ascii="宋体" w:hAnsi="宋体" w:eastAsia="宋体" w:cs="宋体"/>
          <w:color w:val="000000"/>
          <w:kern w:val="0"/>
          <w:sz w:val="24"/>
          <w:szCs w:val="24"/>
          <w:lang w:val="en-US" w:eastAsia="zh-CN" w:bidi="ar-SA"/>
        </w:rPr>
        <w:t>投标单位须为中小企业，</w:t>
      </w:r>
      <w:r>
        <w:rPr>
          <w:rFonts w:hint="eastAsia" w:ascii="宋体" w:hAnsi="宋体" w:eastAsia="宋体" w:cs="宋体"/>
          <w:color w:val="000000"/>
          <w:kern w:val="0"/>
          <w:sz w:val="24"/>
          <w:szCs w:val="24"/>
          <w:lang w:val="en-US" w:eastAsia="zh-Hans" w:bidi="ar-SA"/>
        </w:rPr>
        <w:t>提供</w:t>
      </w:r>
      <w:r>
        <w:rPr>
          <w:rFonts w:hint="default" w:ascii="宋体" w:hAnsi="宋体" w:eastAsia="宋体" w:cs="宋体"/>
          <w:color w:val="000000"/>
          <w:kern w:val="0"/>
          <w:sz w:val="24"/>
          <w:szCs w:val="24"/>
          <w:lang w:val="en-US" w:eastAsia="zh-Hans" w:bidi="ar-SA"/>
        </w:rPr>
        <w:t>《</w:t>
      </w:r>
      <w:r>
        <w:rPr>
          <w:rFonts w:hint="eastAsia" w:ascii="宋体" w:hAnsi="宋体" w:eastAsia="宋体" w:cs="宋体"/>
          <w:color w:val="000000"/>
          <w:kern w:val="0"/>
          <w:sz w:val="24"/>
          <w:szCs w:val="24"/>
          <w:lang w:val="en-US" w:eastAsia="zh-Hans" w:bidi="ar-SA"/>
        </w:rPr>
        <w:t>中小企业声明函</w:t>
      </w:r>
      <w:r>
        <w:rPr>
          <w:rFonts w:hint="default" w:ascii="宋体" w:hAnsi="宋体" w:eastAsia="宋体" w:cs="宋体"/>
          <w:color w:val="000000"/>
          <w:kern w:val="0"/>
          <w:sz w:val="24"/>
          <w:szCs w:val="24"/>
          <w:lang w:val="en-US" w:eastAsia="zh-Hans" w:bidi="ar-SA"/>
        </w:rPr>
        <w:t>》</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cs="宋体"/>
          <w:sz w:val="24"/>
        </w:rPr>
      </w:pPr>
      <w:r>
        <w:rPr>
          <w:rFonts w:hint="default" w:ascii="宋体" w:cs="宋体"/>
          <w:sz w:val="24"/>
        </w:rPr>
        <w:t>12</w:t>
      </w:r>
      <w:r>
        <w:rPr>
          <w:rFonts w:hint="eastAsia" w:ascii="宋体" w:cs="宋体"/>
          <w:sz w:val="24"/>
          <w:lang w:val="en-US" w:eastAsia="zh-Hans"/>
        </w:rPr>
        <w:t>.</w:t>
      </w:r>
      <w:r>
        <w:rPr>
          <w:rFonts w:hint="eastAsia" w:ascii="宋体" w:cs="宋体"/>
          <w:sz w:val="24"/>
        </w:rPr>
        <w:t>落实政府采购政策需满足的资格要求：</w:t>
      </w:r>
      <w:r>
        <w:rPr>
          <w:rFonts w:hint="default" w:ascii="宋体" w:hAnsi="宋体" w:eastAsia="宋体" w:cs="宋体"/>
          <w:color w:val="000000"/>
          <w:kern w:val="0"/>
          <w:sz w:val="24"/>
          <w:szCs w:val="24"/>
          <w:lang w:val="en-US" w:eastAsia="zh-CN" w:bidi="ar-SA"/>
        </w:rPr>
        <w:t>本项目专门面向中小微企业</w:t>
      </w:r>
      <w:r>
        <w:rPr>
          <w:rFonts w:hint="eastAsia" w:ascii="宋体" w:cs="宋体"/>
          <w:sz w:val="24"/>
        </w:rPr>
        <w:t>。</w:t>
      </w:r>
    </w:p>
    <w:p>
      <w:pPr>
        <w:keepNext w:val="0"/>
        <w:keepLines w:val="0"/>
        <w:pageBreakBefore w:val="0"/>
        <w:widowControl w:val="0"/>
        <w:kinsoku/>
        <w:wordWrap/>
        <w:overflowPunct/>
        <w:topLinePunct w:val="0"/>
        <w:autoSpaceDE/>
        <w:bidi w:val="0"/>
        <w:spacing w:line="560" w:lineRule="exact"/>
        <w:ind w:right="-92" w:rightChars="-44"/>
        <w:textAlignment w:val="auto"/>
        <w:rPr>
          <w:rFonts w:hint="eastAsia" w:ascii="宋体" w:hAnsi="宋体" w:cs="宋体"/>
          <w:b/>
          <w:bCs/>
          <w:sz w:val="28"/>
          <w:szCs w:val="28"/>
          <w:shd w:val="clear" w:color="auto" w:fill="FFFFFF"/>
        </w:rPr>
      </w:pP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b/>
          <w:bCs/>
          <w:sz w:val="28"/>
          <w:szCs w:val="28"/>
          <w:shd w:val="clear" w:color="auto" w:fill="FFFFFF"/>
        </w:rPr>
      </w:pPr>
      <w:r>
        <w:rPr>
          <w:rFonts w:hint="eastAsia" w:ascii="宋体" w:hAnsi="宋体" w:cs="宋体"/>
          <w:b/>
          <w:bCs/>
          <w:sz w:val="28"/>
          <w:szCs w:val="28"/>
          <w:shd w:val="clear" w:color="auto" w:fill="FFFFFF"/>
        </w:rPr>
        <w:t>三、获取招标文件</w:t>
      </w:r>
    </w:p>
    <w:p>
      <w:pPr>
        <w:pStyle w:val="13"/>
        <w:keepNext w:val="0"/>
        <w:keepLines w:val="0"/>
        <w:pageBreakBefore w:val="0"/>
        <w:widowControl w:val="0"/>
        <w:kinsoku/>
        <w:wordWrap/>
        <w:overflowPunct/>
        <w:topLinePunct w:val="0"/>
        <w:autoSpaceDE/>
        <w:bidi w:val="0"/>
        <w:spacing w:line="560" w:lineRule="exact"/>
        <w:ind w:left="0"/>
        <w:textAlignment w:val="auto"/>
        <w:rPr>
          <w:rFonts w:ascii="宋体" w:cs="宋体"/>
          <w:sz w:val="24"/>
        </w:rPr>
      </w:pPr>
      <w:r>
        <w:rPr>
          <w:rFonts w:hint="eastAsia" w:ascii="宋体" w:cs="宋体"/>
          <w:sz w:val="24"/>
        </w:rPr>
        <w:t>1.时间：</w:t>
      </w:r>
      <w:r>
        <w:rPr>
          <w:rFonts w:hint="eastAsia" w:ascii="宋体" w:cs="宋体"/>
          <w:color w:val="000000" w:themeColor="text1"/>
          <w:sz w:val="24"/>
          <w14:textFill>
            <w14:solidFill>
              <w14:schemeClr w14:val="tx1"/>
            </w14:solidFill>
          </w14:textFill>
        </w:rPr>
        <w:t>2022年</w:t>
      </w:r>
      <w:r>
        <w:rPr>
          <w:rFonts w:ascii="宋体" w:cs="宋体"/>
          <w:color w:val="000000" w:themeColor="text1"/>
          <w:sz w:val="24"/>
          <w14:textFill>
            <w14:solidFill>
              <w14:schemeClr w14:val="tx1"/>
            </w14:solidFill>
          </w14:textFill>
        </w:rPr>
        <w:t>1</w:t>
      </w:r>
      <w:r>
        <w:rPr>
          <w:rFonts w:hint="default" w:ascii="宋体" w:cs="宋体"/>
          <w:color w:val="000000" w:themeColor="text1"/>
          <w:sz w:val="24"/>
          <w14:textFill>
            <w14:solidFill>
              <w14:schemeClr w14:val="tx1"/>
            </w14:solidFill>
          </w14:textFill>
        </w:rPr>
        <w:t>1</w:t>
      </w:r>
      <w:r>
        <w:rPr>
          <w:rFonts w:hint="eastAsia" w:ascii="宋体" w:cs="宋体"/>
          <w:color w:val="000000" w:themeColor="text1"/>
          <w:sz w:val="24"/>
          <w14:textFill>
            <w14:solidFill>
              <w14:schemeClr w14:val="tx1"/>
            </w14:solidFill>
          </w14:textFill>
        </w:rPr>
        <w:t>月</w:t>
      </w:r>
      <w:r>
        <w:rPr>
          <w:rFonts w:hint="default" w:ascii="宋体" w:cs="宋体"/>
          <w:color w:val="000000" w:themeColor="text1"/>
          <w:sz w:val="24"/>
          <w14:textFill>
            <w14:solidFill>
              <w14:schemeClr w14:val="tx1"/>
            </w14:solidFill>
          </w14:textFill>
        </w:rPr>
        <w:t>1</w:t>
      </w:r>
      <w:r>
        <w:rPr>
          <w:rFonts w:hint="default" w:ascii="宋体" w:cs="宋体"/>
          <w:color w:val="000000" w:themeColor="text1"/>
          <w:sz w:val="24"/>
          <w14:textFill>
            <w14:solidFill>
              <w14:schemeClr w14:val="tx1"/>
            </w14:solidFill>
          </w14:textFill>
        </w:rPr>
        <w:t>1</w:t>
      </w:r>
      <w:r>
        <w:rPr>
          <w:rFonts w:hint="eastAsia" w:ascii="宋体" w:cs="宋体"/>
          <w:color w:val="000000" w:themeColor="text1"/>
          <w:sz w:val="24"/>
          <w14:textFill>
            <w14:solidFill>
              <w14:schemeClr w14:val="tx1"/>
            </w14:solidFill>
          </w14:textFill>
        </w:rPr>
        <w:t>日至2022年</w:t>
      </w:r>
      <w:r>
        <w:rPr>
          <w:rFonts w:ascii="宋体" w:cs="宋体"/>
          <w:color w:val="000000" w:themeColor="text1"/>
          <w:sz w:val="24"/>
          <w14:textFill>
            <w14:solidFill>
              <w14:schemeClr w14:val="tx1"/>
            </w14:solidFill>
          </w14:textFill>
        </w:rPr>
        <w:t>11</w:t>
      </w:r>
      <w:r>
        <w:rPr>
          <w:rFonts w:hint="eastAsia" w:ascii="宋体" w:cs="宋体"/>
          <w:color w:val="000000" w:themeColor="text1"/>
          <w:sz w:val="24"/>
          <w14:textFill>
            <w14:solidFill>
              <w14:schemeClr w14:val="tx1"/>
            </w14:solidFill>
          </w14:textFill>
        </w:rPr>
        <w:t>月</w:t>
      </w:r>
      <w:r>
        <w:rPr>
          <w:rFonts w:hint="default" w:ascii="宋体" w:cs="宋体"/>
          <w:color w:val="000000" w:themeColor="text1"/>
          <w:sz w:val="24"/>
          <w14:textFill>
            <w14:solidFill>
              <w14:schemeClr w14:val="tx1"/>
            </w14:solidFill>
          </w14:textFill>
        </w:rPr>
        <w:t>1</w:t>
      </w:r>
      <w:r>
        <w:rPr>
          <w:rFonts w:hint="default" w:ascii="宋体" w:cs="宋体"/>
          <w:color w:val="000000" w:themeColor="text1"/>
          <w:sz w:val="24"/>
          <w14:textFill>
            <w14:solidFill>
              <w14:schemeClr w14:val="tx1"/>
            </w14:solidFill>
          </w14:textFill>
        </w:rPr>
        <w:t>8</w:t>
      </w:r>
      <w:bookmarkStart w:id="82" w:name="_GoBack"/>
      <w:bookmarkEnd w:id="82"/>
      <w:r>
        <w:rPr>
          <w:rFonts w:hint="eastAsia" w:ascii="宋体" w:cs="宋体"/>
          <w:color w:val="000000" w:themeColor="text1"/>
          <w:sz w:val="24"/>
          <w14:textFill>
            <w14:solidFill>
              <w14:schemeClr w14:val="tx1"/>
            </w14:solidFill>
          </w14:textFill>
        </w:rPr>
        <w:t>日（北京时间</w:t>
      </w:r>
      <w:r>
        <w:rPr>
          <w:rFonts w:hint="default" w:ascii="宋体" w:cs="宋体"/>
          <w:color w:val="000000" w:themeColor="text1"/>
          <w:sz w:val="24"/>
          <w14:textFill>
            <w14:solidFill>
              <w14:schemeClr w14:val="tx1"/>
            </w14:solidFill>
          </w14:textFill>
        </w:rPr>
        <w:t>00</w:t>
      </w:r>
      <w:r>
        <w:rPr>
          <w:rFonts w:hint="eastAsia" w:ascii="宋体" w:cs="宋体"/>
          <w:color w:val="000000" w:themeColor="text1"/>
          <w:sz w:val="24"/>
          <w14:textFill>
            <w14:solidFill>
              <w14:schemeClr w14:val="tx1"/>
            </w14:solidFill>
          </w14:textFill>
        </w:rPr>
        <w:t>:00-1</w:t>
      </w:r>
      <w:r>
        <w:rPr>
          <w:rFonts w:hint="default" w:ascii="宋体" w:cs="宋体"/>
          <w:color w:val="000000" w:themeColor="text1"/>
          <w:sz w:val="24"/>
          <w14:textFill>
            <w14:solidFill>
              <w14:schemeClr w14:val="tx1"/>
            </w14:solidFill>
          </w14:textFill>
        </w:rPr>
        <w:t>2</w:t>
      </w:r>
      <w:r>
        <w:rPr>
          <w:rFonts w:hint="eastAsia" w:ascii="宋体" w:cs="宋体"/>
          <w:color w:val="000000" w:themeColor="text1"/>
          <w:sz w:val="24"/>
          <w14:textFill>
            <w14:solidFill>
              <w14:schemeClr w14:val="tx1"/>
            </w14:solidFill>
          </w14:textFill>
        </w:rPr>
        <w:t>:00,1</w:t>
      </w:r>
      <w:r>
        <w:rPr>
          <w:rFonts w:hint="default" w:ascii="宋体" w:cs="宋体"/>
          <w:color w:val="000000" w:themeColor="text1"/>
          <w:sz w:val="24"/>
          <w14:textFill>
            <w14:solidFill>
              <w14:schemeClr w14:val="tx1"/>
            </w14:solidFill>
          </w14:textFill>
        </w:rPr>
        <w:t>2</w:t>
      </w:r>
      <w:r>
        <w:rPr>
          <w:rFonts w:hint="eastAsia" w:ascii="宋体" w:cs="宋体"/>
          <w:color w:val="000000" w:themeColor="text1"/>
          <w:sz w:val="24"/>
          <w14:textFill>
            <w14:solidFill>
              <w14:schemeClr w14:val="tx1"/>
            </w14:solidFill>
          </w14:textFill>
        </w:rPr>
        <w:t>:00-</w:t>
      </w:r>
      <w:r>
        <w:rPr>
          <w:rFonts w:hint="default" w:ascii="宋体" w:cs="宋体"/>
          <w:color w:val="000000" w:themeColor="text1"/>
          <w:sz w:val="24"/>
          <w14:textFill>
            <w14:solidFill>
              <w14:schemeClr w14:val="tx1"/>
            </w14:solidFill>
          </w14:textFill>
        </w:rPr>
        <w:t>23</w:t>
      </w:r>
      <w:r>
        <w:rPr>
          <w:rFonts w:hint="eastAsia" w:ascii="宋体" w:cs="宋体"/>
          <w:color w:val="000000" w:themeColor="text1"/>
          <w:sz w:val="24"/>
          <w14:textFill>
            <w14:solidFill>
              <w14:schemeClr w14:val="tx1"/>
            </w14:solidFill>
          </w14:textFill>
        </w:rPr>
        <w:t>:</w:t>
      </w:r>
      <w:r>
        <w:rPr>
          <w:rFonts w:hint="default" w:ascii="宋体" w:cs="宋体"/>
          <w:color w:val="000000" w:themeColor="text1"/>
          <w:sz w:val="24"/>
          <w14:textFill>
            <w14:solidFill>
              <w14:schemeClr w14:val="tx1"/>
            </w14:solidFill>
          </w14:textFill>
        </w:rPr>
        <w:t>59</w:t>
      </w:r>
      <w:r>
        <w:rPr>
          <w:rFonts w:hint="eastAsia" w:ascii="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bidi w:val="0"/>
        <w:spacing w:line="560" w:lineRule="exact"/>
        <w:ind w:right="-92" w:rightChars="-44"/>
        <w:textAlignment w:val="auto"/>
        <w:rPr>
          <w:rFonts w:hint="eastAsia" w:ascii="宋体" w:cs="宋体"/>
          <w:sz w:val="24"/>
        </w:rPr>
      </w:pPr>
      <w:r>
        <w:rPr>
          <w:rFonts w:hint="eastAsia" w:ascii="宋体" w:cs="宋体"/>
          <w:sz w:val="24"/>
        </w:rPr>
        <w:t>2.供应商登录政采云平台https://www.zcygov.cn/在线申请获取采购文件（进入“项目采购”应用，在获取采购文件菜单中选择项目，申请获取采购文件）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cs="宋体"/>
          <w:sz w:val="24"/>
        </w:rPr>
      </w:pPr>
      <w:r>
        <w:rPr>
          <w:rFonts w:hint="eastAsia" w:ascii="宋体" w:cs="宋体"/>
          <w:sz w:val="24"/>
        </w:rPr>
        <w:t>3.招标文件费</w:t>
      </w:r>
      <w:r>
        <w:rPr>
          <w:rFonts w:hint="default" w:ascii="宋体" w:cs="宋体"/>
          <w:sz w:val="24"/>
        </w:rPr>
        <w:t>2</w:t>
      </w:r>
      <w:r>
        <w:rPr>
          <w:rFonts w:hint="eastAsia" w:ascii="宋体" w:cs="宋体"/>
          <w:sz w:val="24"/>
        </w:rPr>
        <w:t>00元/套，售后不退。</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b/>
          <w:bCs/>
          <w:sz w:val="28"/>
          <w:szCs w:val="28"/>
          <w:shd w:val="clear" w:color="auto" w:fill="FFFFFF"/>
        </w:rPr>
      </w:pPr>
      <w:r>
        <w:rPr>
          <w:rFonts w:hint="eastAsia" w:ascii="宋体" w:hAnsi="宋体" w:cs="宋体"/>
          <w:b/>
          <w:bCs/>
          <w:sz w:val="28"/>
          <w:szCs w:val="28"/>
          <w:shd w:val="clear" w:color="auto" w:fill="FFFFFF"/>
        </w:rPr>
        <w:t>四、提交投标文件截止时间、开标时间和地点</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cs="宋体"/>
          <w:color w:val="FF0000"/>
          <w:sz w:val="24"/>
        </w:rPr>
      </w:pPr>
      <w:r>
        <w:rPr>
          <w:rFonts w:hint="eastAsia" w:ascii="宋体" w:hAnsi="宋体" w:cs="宋体"/>
          <w:sz w:val="24"/>
        </w:rPr>
        <w:t>1.投标截止时间及开标日期：</w:t>
      </w:r>
      <w:r>
        <w:rPr>
          <w:rFonts w:hint="eastAsia" w:ascii="宋体" w:hAnsi="宋体" w:cs="宋体"/>
          <w:color w:val="000000" w:themeColor="text1"/>
          <w:sz w:val="24"/>
          <w14:textFill>
            <w14:solidFill>
              <w14:schemeClr w14:val="tx1"/>
            </w14:solidFill>
          </w14:textFill>
        </w:rPr>
        <w:t>2022年</w:t>
      </w:r>
      <w:r>
        <w:rPr>
          <w:rFonts w:hint="default" w:ascii="宋体" w:hAnsi="宋体" w:cs="宋体"/>
          <w:color w:val="000000" w:themeColor="text1"/>
          <w:sz w:val="24"/>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default" w:ascii="宋体" w:hAnsi="宋体" w:cs="宋体"/>
          <w:color w:val="000000" w:themeColor="text1"/>
          <w:sz w:val="24"/>
          <w14:textFill>
            <w14:solidFill>
              <w14:schemeClr w14:val="tx1"/>
            </w14:solidFill>
          </w14:textFill>
        </w:rPr>
        <w:t>01</w:t>
      </w:r>
      <w:r>
        <w:rPr>
          <w:rFonts w:hint="eastAsia" w:ascii="宋体" w:hAnsi="宋体" w:cs="宋体"/>
          <w:color w:val="000000" w:themeColor="text1"/>
          <w:sz w:val="24"/>
          <w14:textFill>
            <w14:solidFill>
              <w14:schemeClr w14:val="tx1"/>
            </w14:solidFill>
          </w14:textFill>
        </w:rPr>
        <w:t>日1</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hint="eastAsia" w:ascii="宋体" w:cs="宋体"/>
          <w:color w:val="000000" w:themeColor="text1"/>
          <w:sz w:val="24"/>
          <w14:textFill>
            <w14:solidFill>
              <w14:schemeClr w14:val="tx1"/>
            </w14:solidFill>
          </w14:textFill>
        </w:rPr>
        <w:t>0</w:t>
      </w:r>
      <w:r>
        <w:rPr>
          <w:rFonts w:asci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时（北京时间）（过期不予受理）。</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sz w:val="24"/>
        </w:rPr>
      </w:pPr>
      <w:r>
        <w:rPr>
          <w:rFonts w:hint="eastAsia" w:ascii="宋体" w:hAnsi="宋体" w:cs="宋体"/>
          <w:sz w:val="24"/>
        </w:rPr>
        <w:t>2.开标地点：</w:t>
      </w:r>
      <w:r>
        <w:rPr>
          <w:rFonts w:hint="eastAsia" w:ascii="宋体" w:hAnsi="宋体"/>
          <w:sz w:val="24"/>
        </w:rPr>
        <w:t>乌鲁木齐市鲤鱼山北路领世广场3号楼904室</w:t>
      </w:r>
      <w:r>
        <w:rPr>
          <w:rFonts w:hint="eastAsia" w:ascii="宋体" w:hAnsi="宋体" w:cs="宋体"/>
          <w:sz w:val="24"/>
        </w:rPr>
        <w:t>。</w:t>
      </w:r>
    </w:p>
    <w:p>
      <w:pPr>
        <w:keepNext w:val="0"/>
        <w:keepLines w:val="0"/>
        <w:pageBreakBefore w:val="0"/>
        <w:widowControl w:val="0"/>
        <w:kinsoku/>
        <w:wordWrap/>
        <w:overflowPunct/>
        <w:topLinePunct w:val="0"/>
        <w:autoSpaceDE/>
        <w:bidi w:val="0"/>
        <w:spacing w:line="560" w:lineRule="exact"/>
        <w:ind w:right="-92" w:rightChars="-44"/>
        <w:textAlignment w:val="auto"/>
        <w:rPr>
          <w:rFonts w:ascii="宋体" w:hAnsi="宋体" w:cs="宋体"/>
          <w:b/>
          <w:bCs/>
          <w:sz w:val="28"/>
          <w:szCs w:val="28"/>
          <w:shd w:val="clear" w:color="auto" w:fill="FFFFFF"/>
        </w:rPr>
      </w:pPr>
      <w:r>
        <w:rPr>
          <w:rFonts w:hint="eastAsia" w:ascii="宋体" w:hAnsi="宋体" w:cs="宋体"/>
          <w:b/>
          <w:bCs/>
          <w:sz w:val="28"/>
          <w:szCs w:val="28"/>
          <w:shd w:val="clear" w:color="auto" w:fill="FFFFFF"/>
        </w:rPr>
        <w:t>五、联系事项</w:t>
      </w:r>
    </w:p>
    <w:p>
      <w:pPr>
        <w:pStyle w:val="18"/>
        <w:keepNext w:val="0"/>
        <w:keepLines w:val="0"/>
        <w:pageBreakBefore w:val="0"/>
        <w:widowControl w:val="0"/>
        <w:kinsoku/>
        <w:wordWrap/>
        <w:overflowPunct/>
        <w:topLinePunct w:val="0"/>
        <w:autoSpaceDE/>
        <w:bidi w:val="0"/>
        <w:spacing w:line="560" w:lineRule="exact"/>
        <w:textAlignment w:val="auto"/>
      </w:pPr>
      <w:r>
        <w:rPr>
          <w:rFonts w:hint="eastAsia" w:ascii="宋体" w:hAnsi="宋体" w:cs="宋体"/>
          <w:sz w:val="24"/>
        </w:rPr>
        <w:t>1.采购人信息：</w:t>
      </w:r>
    </w:p>
    <w:p>
      <w:pPr>
        <w:keepNext w:val="0"/>
        <w:keepLines w:val="0"/>
        <w:pageBreakBefore w:val="0"/>
        <w:widowControl w:val="0"/>
        <w:kinsoku/>
        <w:wordWrap/>
        <w:overflowPunct/>
        <w:topLinePunct w:val="0"/>
        <w:autoSpaceDE/>
        <w:bidi w:val="0"/>
        <w:spacing w:line="560" w:lineRule="exact"/>
        <w:ind w:firstLine="480" w:firstLineChars="200"/>
        <w:jc w:val="left"/>
        <w:textAlignment w:val="auto"/>
        <w:rPr>
          <w:rFonts w:ascii="宋体" w:hAnsi="宋体"/>
          <w:sz w:val="24"/>
        </w:rPr>
      </w:pPr>
      <w:r>
        <w:rPr>
          <w:rFonts w:hint="eastAsia" w:ascii="宋体" w:hAnsi="宋体"/>
          <w:sz w:val="24"/>
        </w:rPr>
        <w:t>名 称：</w:t>
      </w:r>
      <w:r>
        <w:rPr>
          <w:rFonts w:ascii="宋体" w:hAnsi="宋体"/>
          <w:sz w:val="24"/>
        </w:rPr>
        <w:t>新疆准东经济技术开发区安全生产监督管理局</w:t>
      </w:r>
      <w:r>
        <w:rPr>
          <w:rFonts w:hint="eastAsia" w:ascii="宋体" w:hAnsi="宋体"/>
          <w:sz w:val="24"/>
        </w:rPr>
        <w:t xml:space="preserve"> </w:t>
      </w:r>
    </w:p>
    <w:p>
      <w:pPr>
        <w:keepNext w:val="0"/>
        <w:keepLines w:val="0"/>
        <w:pageBreakBefore w:val="0"/>
        <w:widowControl w:val="0"/>
        <w:kinsoku/>
        <w:wordWrap/>
        <w:overflowPunct/>
        <w:topLinePunct w:val="0"/>
        <w:autoSpaceDE/>
        <w:bidi w:val="0"/>
        <w:spacing w:line="560" w:lineRule="exact"/>
        <w:ind w:firstLine="480" w:firstLineChars="200"/>
        <w:jc w:val="left"/>
        <w:textAlignment w:val="auto"/>
        <w:rPr>
          <w:rFonts w:ascii="宋体" w:hAnsi="宋体" w:eastAsia="宋体"/>
          <w:sz w:val="24"/>
        </w:rPr>
      </w:pPr>
      <w:r>
        <w:rPr>
          <w:rFonts w:hint="eastAsia" w:ascii="宋体" w:hAnsi="宋体"/>
          <w:sz w:val="24"/>
        </w:rPr>
        <w:t>联系人：</w:t>
      </w:r>
      <w:r>
        <w:rPr>
          <w:rFonts w:hint="eastAsia" w:ascii="宋体" w:hAnsi="宋体"/>
          <w:sz w:val="24"/>
          <w:lang w:eastAsia="zh-Hans"/>
        </w:rPr>
        <w:t>刘欢</w:t>
      </w:r>
    </w:p>
    <w:p>
      <w:pPr>
        <w:keepNext w:val="0"/>
        <w:keepLines w:val="0"/>
        <w:pageBreakBefore w:val="0"/>
        <w:widowControl w:val="0"/>
        <w:kinsoku/>
        <w:wordWrap/>
        <w:overflowPunct/>
        <w:topLinePunct w:val="0"/>
        <w:autoSpaceDE/>
        <w:bidi w:val="0"/>
        <w:adjustRightInd w:val="0"/>
        <w:snapToGrid w:val="0"/>
        <w:spacing w:line="560" w:lineRule="exact"/>
        <w:ind w:firstLine="480" w:firstLineChars="200"/>
        <w:textAlignment w:val="auto"/>
        <w:rPr>
          <w:rFonts w:ascii="宋体" w:hAnsi="宋体"/>
          <w:sz w:val="24"/>
        </w:rPr>
      </w:pPr>
      <w:r>
        <w:rPr>
          <w:rFonts w:hint="eastAsia" w:ascii="宋体" w:hAnsi="宋体"/>
          <w:sz w:val="24"/>
        </w:rPr>
        <w:t>联系电话：</w:t>
      </w:r>
      <w:r>
        <w:rPr>
          <w:rFonts w:ascii="宋体" w:hAnsi="宋体"/>
          <w:sz w:val="24"/>
        </w:rPr>
        <w:t>13040550907</w:t>
      </w:r>
    </w:p>
    <w:p>
      <w:pPr>
        <w:keepNext w:val="0"/>
        <w:keepLines w:val="0"/>
        <w:pageBreakBefore w:val="0"/>
        <w:widowControl w:val="0"/>
        <w:kinsoku/>
        <w:wordWrap/>
        <w:overflowPunct/>
        <w:topLinePunct w:val="0"/>
        <w:autoSpaceDE/>
        <w:bidi w:val="0"/>
        <w:spacing w:line="560" w:lineRule="exact"/>
        <w:jc w:val="left"/>
        <w:textAlignment w:val="auto"/>
        <w:rPr>
          <w:rFonts w:ascii="宋体" w:hAnsi="宋体"/>
          <w:sz w:val="24"/>
        </w:rPr>
      </w:pPr>
      <w:r>
        <w:rPr>
          <w:rFonts w:hint="eastAsia" w:ascii="宋体" w:hAnsi="宋体"/>
          <w:sz w:val="24"/>
        </w:rPr>
        <w:t>2.招标代理机构：</w:t>
      </w:r>
    </w:p>
    <w:p>
      <w:pPr>
        <w:keepNext w:val="0"/>
        <w:keepLines w:val="0"/>
        <w:pageBreakBefore w:val="0"/>
        <w:widowControl w:val="0"/>
        <w:kinsoku/>
        <w:wordWrap/>
        <w:overflowPunct/>
        <w:topLinePunct w:val="0"/>
        <w:autoSpaceDE/>
        <w:bidi w:val="0"/>
        <w:spacing w:line="560" w:lineRule="exact"/>
        <w:ind w:firstLine="480" w:firstLineChars="200"/>
        <w:jc w:val="left"/>
        <w:textAlignment w:val="auto"/>
        <w:rPr>
          <w:rFonts w:ascii="宋体" w:hAnsi="宋体"/>
          <w:sz w:val="24"/>
        </w:rPr>
      </w:pPr>
      <w:r>
        <w:rPr>
          <w:rFonts w:hint="eastAsia" w:ascii="宋体" w:hAnsi="宋体"/>
          <w:sz w:val="24"/>
        </w:rPr>
        <w:t>招标代理机构：</w:t>
      </w:r>
      <w:r>
        <w:rPr>
          <w:rFonts w:ascii="宋体" w:hAnsi="宋体"/>
          <w:sz w:val="24"/>
        </w:rPr>
        <w:t>新疆千思跃建设工程项目管理有限责任公司</w:t>
      </w:r>
    </w:p>
    <w:p>
      <w:pPr>
        <w:keepNext w:val="0"/>
        <w:keepLines w:val="0"/>
        <w:pageBreakBefore w:val="0"/>
        <w:widowControl w:val="0"/>
        <w:kinsoku/>
        <w:wordWrap/>
        <w:overflowPunct/>
        <w:topLinePunct w:val="0"/>
        <w:autoSpaceDE/>
        <w:bidi w:val="0"/>
        <w:spacing w:line="560" w:lineRule="exact"/>
        <w:ind w:firstLine="480" w:firstLineChars="200"/>
        <w:jc w:val="left"/>
        <w:textAlignment w:val="auto"/>
        <w:rPr>
          <w:rFonts w:ascii="宋体" w:hAnsi="宋体"/>
          <w:sz w:val="24"/>
        </w:rPr>
      </w:pPr>
      <w:r>
        <w:rPr>
          <w:rFonts w:hint="eastAsia" w:ascii="宋体" w:hAnsi="宋体"/>
          <w:sz w:val="24"/>
        </w:rPr>
        <w:t>地址：乌鲁木齐市鲤鱼山北路领世广场3号楼904室</w:t>
      </w:r>
    </w:p>
    <w:p>
      <w:pPr>
        <w:keepNext w:val="0"/>
        <w:keepLines w:val="0"/>
        <w:pageBreakBefore w:val="0"/>
        <w:widowControl w:val="0"/>
        <w:kinsoku/>
        <w:wordWrap/>
        <w:overflowPunct/>
        <w:topLinePunct w:val="0"/>
        <w:autoSpaceDE/>
        <w:bidi w:val="0"/>
        <w:spacing w:line="560" w:lineRule="exact"/>
        <w:ind w:firstLine="480" w:firstLineChars="200"/>
        <w:jc w:val="left"/>
        <w:textAlignment w:val="auto"/>
        <w:rPr>
          <w:rFonts w:ascii="宋体" w:hAnsi="宋体"/>
          <w:sz w:val="24"/>
        </w:rPr>
      </w:pPr>
      <w:r>
        <w:rPr>
          <w:rFonts w:hint="eastAsia" w:ascii="宋体" w:hAnsi="宋体"/>
          <w:sz w:val="24"/>
        </w:rPr>
        <w:t>联系人：</w:t>
      </w:r>
      <w:r>
        <w:rPr>
          <w:rFonts w:hint="eastAsia" w:ascii="宋体" w:hAnsi="宋体"/>
          <w:sz w:val="24"/>
          <w:lang w:eastAsia="zh-Hans"/>
        </w:rPr>
        <w:t>张蕾</w:t>
      </w:r>
      <w:r>
        <w:rPr>
          <w:rFonts w:hint="eastAsia" w:ascii="宋体" w:hAnsi="宋体"/>
          <w:sz w:val="24"/>
        </w:rPr>
        <w:t xml:space="preserve">      </w:t>
      </w:r>
    </w:p>
    <w:p>
      <w:pPr>
        <w:keepNext w:val="0"/>
        <w:keepLines w:val="0"/>
        <w:pageBreakBefore w:val="0"/>
        <w:widowControl w:val="0"/>
        <w:kinsoku/>
        <w:wordWrap/>
        <w:overflowPunct/>
        <w:topLinePunct w:val="0"/>
        <w:autoSpaceDE/>
        <w:bidi w:val="0"/>
        <w:spacing w:line="560" w:lineRule="exact"/>
        <w:ind w:firstLine="480" w:firstLineChars="200"/>
        <w:jc w:val="left"/>
        <w:textAlignment w:val="auto"/>
        <w:rPr>
          <w:rFonts w:ascii="宋体" w:hAnsi="宋体"/>
          <w:bCs/>
          <w:sz w:val="24"/>
          <w:shd w:val="clear" w:color="auto" w:fill="FFFFFF"/>
        </w:rPr>
      </w:pPr>
      <w:r>
        <w:rPr>
          <w:rFonts w:hint="eastAsia" w:ascii="宋体" w:hAnsi="宋体"/>
          <w:sz w:val="24"/>
        </w:rPr>
        <w:t xml:space="preserve">联系电话: </w:t>
      </w:r>
      <w:r>
        <w:rPr>
          <w:rFonts w:ascii="宋体" w:hAnsi="宋体"/>
          <w:sz w:val="24"/>
        </w:rPr>
        <w:t>13109910603</w:t>
      </w:r>
      <w:r>
        <w:rPr>
          <w:rFonts w:hint="eastAsia" w:ascii="宋体" w:hAnsi="宋体" w:cs="宋体"/>
          <w:sz w:val="24"/>
        </w:rPr>
        <w:t xml:space="preserve">     </w:t>
      </w:r>
    </w:p>
    <w:p>
      <w:pPr>
        <w:pStyle w:val="22"/>
        <w:jc w:val="both"/>
        <w:rPr>
          <w:rFonts w:ascii="宋体" w:hAnsi="宋体" w:eastAsia="宋体" w:cs="宋体"/>
          <w:sz w:val="72"/>
          <w:szCs w:val="40"/>
        </w:rPr>
      </w:pPr>
    </w:p>
    <w:p>
      <w:pPr>
        <w:pStyle w:val="22"/>
        <w:jc w:val="both"/>
        <w:rPr>
          <w:rFonts w:ascii="宋体" w:hAnsi="宋体" w:eastAsia="宋体" w:cs="宋体"/>
          <w:sz w:val="72"/>
          <w:szCs w:val="40"/>
        </w:rPr>
      </w:pPr>
    </w:p>
    <w:p>
      <w:pPr>
        <w:pStyle w:val="22"/>
        <w:jc w:val="both"/>
        <w:rPr>
          <w:rFonts w:ascii="宋体" w:hAnsi="宋体" w:eastAsia="宋体" w:cs="宋体"/>
          <w:sz w:val="72"/>
          <w:szCs w:val="40"/>
        </w:rPr>
      </w:pPr>
    </w:p>
    <w:p>
      <w:pPr>
        <w:pStyle w:val="22"/>
        <w:rPr>
          <w:rFonts w:ascii="宋体" w:hAnsi="宋体" w:eastAsia="宋体" w:cs="宋体"/>
          <w:sz w:val="72"/>
          <w:szCs w:val="40"/>
        </w:rPr>
      </w:pPr>
    </w:p>
    <w:p>
      <w:pPr>
        <w:pStyle w:val="22"/>
        <w:rPr>
          <w:rFonts w:ascii="宋体" w:hAnsi="宋体" w:eastAsia="宋体" w:cs="宋体"/>
          <w:sz w:val="72"/>
          <w:szCs w:val="40"/>
        </w:rPr>
      </w:pPr>
    </w:p>
    <w:p>
      <w:pPr>
        <w:pStyle w:val="22"/>
        <w:rPr>
          <w:rFonts w:ascii="宋体" w:hAnsi="宋体" w:eastAsia="宋体" w:cs="宋体"/>
          <w:sz w:val="72"/>
          <w:szCs w:val="40"/>
        </w:rPr>
      </w:pPr>
    </w:p>
    <w:p>
      <w:pPr>
        <w:pStyle w:val="22"/>
        <w:rPr>
          <w:rFonts w:ascii="宋体" w:hAnsi="宋体" w:eastAsia="宋体" w:cs="宋体"/>
          <w:sz w:val="72"/>
          <w:szCs w:val="40"/>
        </w:rPr>
      </w:pPr>
    </w:p>
    <w:p>
      <w:pPr>
        <w:pStyle w:val="5"/>
        <w:numPr>
          <w:ilvl w:val="0"/>
          <w:numId w:val="4"/>
        </w:numPr>
        <w:rPr>
          <w:rFonts w:ascii="宋体" w:hAnsi="宋体" w:eastAsia="宋体" w:cs="宋体"/>
          <w:sz w:val="72"/>
          <w:szCs w:val="40"/>
        </w:rPr>
      </w:pPr>
      <w:r>
        <w:rPr>
          <w:rFonts w:hint="eastAsia" w:ascii="宋体" w:hAnsi="宋体" w:eastAsia="宋体" w:cs="宋体"/>
          <w:sz w:val="72"/>
          <w:szCs w:val="40"/>
        </w:rPr>
        <w:t xml:space="preserve"> </w:t>
      </w:r>
      <w:bookmarkStart w:id="1" w:name="_Toc30824"/>
      <w:r>
        <w:rPr>
          <w:rFonts w:hint="eastAsia" w:ascii="宋体" w:hAnsi="宋体" w:eastAsia="宋体" w:cs="宋体"/>
          <w:sz w:val="72"/>
          <w:szCs w:val="40"/>
        </w:rPr>
        <w:t>投标人须知</w:t>
      </w:r>
      <w:bookmarkEnd w:id="1"/>
    </w:p>
    <w:p/>
    <w:p/>
    <w:p/>
    <w:p/>
    <w:p/>
    <w:p>
      <w:pPr>
        <w:pStyle w:val="13"/>
      </w:pPr>
    </w:p>
    <w:p/>
    <w:p>
      <w:pPr>
        <w:pStyle w:val="13"/>
      </w:pPr>
    </w:p>
    <w:p/>
    <w:p>
      <w:pPr>
        <w:pStyle w:val="13"/>
      </w:pPr>
    </w:p>
    <w:p/>
    <w:p>
      <w:pPr>
        <w:pStyle w:val="13"/>
      </w:pPr>
    </w:p>
    <w:p/>
    <w:p>
      <w:pPr>
        <w:pStyle w:val="13"/>
      </w:pPr>
    </w:p>
    <w:p/>
    <w:p>
      <w:pPr>
        <w:pStyle w:val="13"/>
      </w:pPr>
    </w:p>
    <w:p/>
    <w:p/>
    <w:p/>
    <w:p/>
    <w:p>
      <w:pPr>
        <w:pStyle w:val="7"/>
        <w:jc w:val="center"/>
      </w:pPr>
      <w:bookmarkStart w:id="2" w:name="_Toc1339"/>
      <w:bookmarkStart w:id="3" w:name="_Toc12488"/>
      <w:bookmarkStart w:id="4" w:name="_Toc384277093"/>
      <w:r>
        <w:rPr>
          <w:rFonts w:hint="eastAsia" w:asciiTheme="majorEastAsia" w:hAnsiTheme="majorEastAsia" w:eastAsiaTheme="majorEastAsia" w:cstheme="majorEastAsia"/>
        </w:rPr>
        <w:t>投标人须知前附表</w:t>
      </w:r>
      <w:bookmarkEnd w:id="2"/>
      <w:bookmarkEnd w:id="3"/>
      <w:bookmarkEnd w:id="4"/>
    </w:p>
    <w:tbl>
      <w:tblPr>
        <w:tblStyle w:val="25"/>
        <w:tblW w:w="102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04"/>
        <w:gridCol w:w="1888"/>
        <w:gridCol w:w="7653"/>
      </w:tblGrid>
      <w:tr>
        <w:trPr>
          <w:trHeight w:val="347" w:hRule="atLeast"/>
          <w:jc w:val="center"/>
        </w:trPr>
        <w:tc>
          <w:tcPr>
            <w:tcW w:w="704" w:type="dxa"/>
            <w:tcBorders>
              <w:top w:val="single" w:color="000000" w:sz="12"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b/>
                <w:sz w:val="24"/>
              </w:rPr>
            </w:pPr>
            <w:r>
              <w:rPr>
                <w:b/>
                <w:sz w:val="24"/>
              </w:rPr>
              <w:t>条款号</w:t>
            </w:r>
          </w:p>
        </w:tc>
        <w:tc>
          <w:tcPr>
            <w:tcW w:w="1888" w:type="dxa"/>
            <w:tcBorders>
              <w:top w:val="single" w:color="000000" w:sz="12"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b/>
                <w:sz w:val="24"/>
              </w:rPr>
            </w:pPr>
            <w:r>
              <w:rPr>
                <w:b/>
                <w:sz w:val="24"/>
              </w:rPr>
              <w:t>条 款 名 称</w:t>
            </w:r>
          </w:p>
        </w:tc>
        <w:tc>
          <w:tcPr>
            <w:tcW w:w="7653" w:type="dxa"/>
            <w:tcBorders>
              <w:top w:val="single" w:color="000000" w:sz="12"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jc w:val="center"/>
              <w:rPr>
                <w:b/>
                <w:sz w:val="24"/>
              </w:rPr>
            </w:pPr>
            <w:r>
              <w:rPr>
                <w:b/>
                <w:sz w:val="24"/>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06" w:hRule="atLeast"/>
          <w:jc w:val="center"/>
        </w:trPr>
        <w:tc>
          <w:tcPr>
            <w:tcW w:w="704" w:type="dxa"/>
            <w:tcBorders>
              <w:top w:val="single" w:color="000000" w:sz="6" w:space="0"/>
              <w:left w:val="single" w:color="000000" w:sz="12" w:space="0"/>
              <w:right w:val="single" w:color="000000" w:sz="6" w:space="0"/>
            </w:tcBorders>
            <w:vAlign w:val="center"/>
          </w:tcPr>
          <w:p>
            <w:pPr>
              <w:pStyle w:val="32"/>
              <w:snapToGrid w:val="0"/>
              <w:spacing w:line="360" w:lineRule="auto"/>
              <w:ind w:right="105" w:rightChars="50"/>
              <w:jc w:val="center"/>
              <w:rPr>
                <w:sz w:val="24"/>
              </w:rPr>
            </w:pPr>
            <w:r>
              <w:rPr>
                <w:sz w:val="24"/>
              </w:rPr>
              <w:t>1.1</w:t>
            </w:r>
            <w:r>
              <w:rPr>
                <w:rFonts w:hint="eastAsia"/>
                <w:sz w:val="24"/>
              </w:rPr>
              <w:t>.2</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rFonts w:eastAsia="宋体"/>
                <w:sz w:val="24"/>
              </w:rPr>
            </w:pPr>
            <w:r>
              <w:rPr>
                <w:rFonts w:hint="eastAsia"/>
                <w:sz w:val="24"/>
              </w:rPr>
              <w:t>招标人</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14"/>
              <w:topLinePunct/>
              <w:ind w:right="105" w:rightChars="50"/>
              <w:rPr>
                <w:rFonts w:hAnsi="宋体" w:cs="宋体"/>
                <w:shd w:val="clear" w:color="auto" w:fill="FFFFFF"/>
              </w:rPr>
            </w:pPr>
            <w:r>
              <w:rPr>
                <w:rFonts w:hint="eastAsia" w:ascii="Calibri"/>
                <w:szCs w:val="24"/>
              </w:rPr>
              <w:t>名  称：</w:t>
            </w:r>
            <w:r>
              <w:rPr>
                <w:rFonts w:ascii="Calibri"/>
              </w:rPr>
              <w:t>新疆准东经济技术开发区安全生产监督管理局</w:t>
            </w:r>
          </w:p>
          <w:p>
            <w:pPr>
              <w:spacing w:line="360" w:lineRule="auto"/>
              <w:ind w:right="105" w:rightChars="50"/>
              <w:rPr>
                <w:rFonts w:ascii="宋体" w:hAnsi="宋体" w:cs="宋体"/>
                <w:sz w:val="24"/>
                <w:shd w:val="clear" w:color="auto" w:fill="FFFFFF"/>
              </w:rPr>
            </w:pPr>
            <w:r>
              <w:rPr>
                <w:rFonts w:hint="eastAsia" w:ascii="宋体" w:hAnsi="宋体" w:cs="宋体"/>
                <w:sz w:val="24"/>
                <w:shd w:val="clear" w:color="auto" w:fill="FFFFFF"/>
              </w:rPr>
              <w:t>联系人：</w:t>
            </w:r>
            <w:r>
              <w:rPr>
                <w:rFonts w:hint="eastAsia" w:ascii="宋体" w:hAnsi="宋体" w:cs="宋体"/>
                <w:sz w:val="24"/>
                <w:shd w:val="clear" w:color="auto" w:fill="FFFFFF"/>
                <w:lang w:eastAsia="zh-Hans"/>
              </w:rPr>
              <w:t>刘欢</w:t>
            </w:r>
          </w:p>
          <w:p>
            <w:pPr>
              <w:spacing w:line="360" w:lineRule="auto"/>
              <w:ind w:right="105" w:rightChars="50"/>
              <w:rPr>
                <w:rFonts w:ascii="宋体" w:hAnsi="宋体" w:cs="宋体"/>
                <w:sz w:val="24"/>
              </w:rPr>
            </w:pPr>
            <w:r>
              <w:rPr>
                <w:rFonts w:hint="eastAsia" w:ascii="宋体" w:hAnsi="宋体" w:cs="宋体"/>
                <w:sz w:val="24"/>
                <w:shd w:val="clear" w:color="auto" w:fill="FFFFFF"/>
              </w:rPr>
              <w:t>联系电话：</w:t>
            </w:r>
            <w:r>
              <w:rPr>
                <w:rFonts w:ascii="宋体" w:hAnsi="宋体" w:cs="宋体"/>
                <w:sz w:val="24"/>
                <w:shd w:val="clear" w:color="auto" w:fill="FFFFFF"/>
              </w:rPr>
              <w:t>13040550907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00" w:hRule="atLeast"/>
          <w:jc w:val="center"/>
        </w:trPr>
        <w:tc>
          <w:tcPr>
            <w:tcW w:w="704" w:type="dxa"/>
            <w:tcBorders>
              <w:left w:val="single" w:color="000000" w:sz="12"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1.1.3</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kern w:val="0"/>
                <w:sz w:val="24"/>
              </w:rPr>
            </w:pPr>
            <w:r>
              <w:rPr>
                <w:kern w:val="0"/>
                <w:sz w:val="24"/>
              </w:rPr>
              <w:t>招标代理机构</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14"/>
              <w:topLinePunct/>
              <w:ind w:right="105" w:rightChars="50"/>
              <w:rPr>
                <w:rFonts w:ascii="Calibri"/>
                <w:szCs w:val="24"/>
              </w:rPr>
            </w:pPr>
            <w:r>
              <w:rPr>
                <w:rFonts w:hint="eastAsia" w:ascii="Calibri"/>
                <w:szCs w:val="24"/>
              </w:rPr>
              <w:t>名  称：</w:t>
            </w:r>
            <w:r>
              <w:rPr>
                <w:rFonts w:ascii="Calibri"/>
                <w:szCs w:val="24"/>
              </w:rPr>
              <w:t>新疆千思跃建设工程项目管理有限责任公司</w:t>
            </w:r>
            <w:r>
              <w:rPr>
                <w:rFonts w:hint="eastAsia" w:ascii="Calibri"/>
                <w:szCs w:val="24"/>
              </w:rPr>
              <w:t xml:space="preserve"> </w:t>
            </w:r>
          </w:p>
          <w:p>
            <w:pPr>
              <w:pStyle w:val="14"/>
              <w:topLinePunct/>
              <w:ind w:right="105" w:rightChars="50"/>
              <w:rPr>
                <w:rFonts w:ascii="Calibri"/>
                <w:szCs w:val="24"/>
              </w:rPr>
            </w:pPr>
            <w:r>
              <w:rPr>
                <w:rFonts w:hint="eastAsia" w:ascii="Calibri"/>
                <w:szCs w:val="24"/>
              </w:rPr>
              <w:t>联系人：</w:t>
            </w:r>
            <w:r>
              <w:rPr>
                <w:rFonts w:hint="eastAsia" w:ascii="Calibri"/>
                <w:szCs w:val="24"/>
                <w:lang w:eastAsia="zh-Hans"/>
              </w:rPr>
              <w:t>张蕾</w:t>
            </w:r>
          </w:p>
          <w:p>
            <w:pPr>
              <w:pStyle w:val="14"/>
              <w:topLinePunct/>
              <w:ind w:right="105" w:rightChars="50"/>
              <w:rPr>
                <w:rFonts w:ascii="Calibri"/>
                <w:szCs w:val="24"/>
              </w:rPr>
            </w:pPr>
            <w:r>
              <w:rPr>
                <w:rFonts w:hint="eastAsia" w:ascii="Calibri"/>
                <w:szCs w:val="24"/>
              </w:rPr>
              <w:t>电  话：</w:t>
            </w:r>
            <w:r>
              <w:rPr>
                <w:rFonts w:ascii="Calibri"/>
                <w:szCs w:val="24"/>
              </w:rPr>
              <w:t>13109910603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68" w:hRule="atLeast"/>
          <w:jc w:val="center"/>
        </w:trPr>
        <w:tc>
          <w:tcPr>
            <w:tcW w:w="704" w:type="dxa"/>
            <w:tcBorders>
              <w:left w:val="single" w:color="000000" w:sz="12"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1.1.4</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14"/>
              <w:topLinePunct/>
              <w:ind w:right="105" w:rightChars="50"/>
              <w:jc w:val="center"/>
              <w:rPr>
                <w:rFonts w:ascii="Calibri"/>
                <w:szCs w:val="24"/>
              </w:rPr>
            </w:pPr>
            <w:r>
              <w:rPr>
                <w:rFonts w:hint="eastAsia" w:ascii="Calibri"/>
                <w:szCs w:val="24"/>
              </w:rPr>
              <w:t>项目名称</w:t>
            </w:r>
          </w:p>
        </w:tc>
        <w:tc>
          <w:tcPr>
            <w:tcW w:w="7653" w:type="dxa"/>
            <w:tcBorders>
              <w:top w:val="single" w:color="000000" w:sz="6" w:space="0"/>
              <w:left w:val="single" w:color="000000" w:sz="6" w:space="0"/>
              <w:bottom w:val="single" w:color="000000" w:sz="6" w:space="0"/>
              <w:right w:val="single" w:color="000000" w:sz="12" w:space="0"/>
            </w:tcBorders>
            <w:vAlign w:val="center"/>
          </w:tcPr>
          <w:p>
            <w:pPr>
              <w:ind w:right="105" w:rightChars="50"/>
              <w:jc w:val="left"/>
              <w:rPr>
                <w:rFonts w:ascii="Calibri"/>
                <w:sz w:val="24"/>
              </w:rPr>
            </w:pPr>
            <w:r>
              <w:rPr>
                <w:rFonts w:hint="eastAsia" w:ascii="宋体" w:hAnsi="宋体" w:cs="宋体"/>
                <w:sz w:val="24"/>
                <w:shd w:val="clear" w:color="auto" w:fill="FFFFFF"/>
              </w:rPr>
              <w:t>新疆准东经济技术开发区安全生产监督管理局指挥中心提升改造及工业互联网及安全生产信息化平台建设项目</w:t>
            </w:r>
          </w:p>
        </w:tc>
      </w:tr>
      <w:tr>
        <w:trPr>
          <w:trHeight w:val="438" w:hRule="atLeast"/>
          <w:jc w:val="center"/>
        </w:trPr>
        <w:tc>
          <w:tcPr>
            <w:tcW w:w="704" w:type="dxa"/>
            <w:tcBorders>
              <w:top w:val="single" w:color="000000" w:sz="6" w:space="0"/>
              <w:left w:val="single" w:color="000000" w:sz="12" w:space="0"/>
              <w:right w:val="single" w:color="000000" w:sz="6" w:space="0"/>
            </w:tcBorders>
            <w:vAlign w:val="center"/>
          </w:tcPr>
          <w:p>
            <w:pPr>
              <w:pStyle w:val="32"/>
              <w:snapToGrid w:val="0"/>
              <w:spacing w:line="360" w:lineRule="auto"/>
              <w:ind w:right="105" w:rightChars="50"/>
              <w:jc w:val="center"/>
              <w:rPr>
                <w:sz w:val="24"/>
              </w:rPr>
            </w:pPr>
            <w:r>
              <w:rPr>
                <w:sz w:val="24"/>
              </w:rPr>
              <w:t>1.</w:t>
            </w:r>
            <w:r>
              <w:rPr>
                <w:rFonts w:hint="eastAsia"/>
                <w:sz w:val="24"/>
              </w:rPr>
              <w:t>1.5</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14"/>
              <w:topLinePunct/>
              <w:ind w:right="105" w:rightChars="50"/>
              <w:jc w:val="center"/>
              <w:rPr>
                <w:rFonts w:ascii="Calibri"/>
                <w:szCs w:val="24"/>
              </w:rPr>
            </w:pPr>
            <w:r>
              <w:rPr>
                <w:rFonts w:hint="eastAsia" w:ascii="Calibri"/>
                <w:szCs w:val="24"/>
              </w:rPr>
              <w:t>资金来源</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14"/>
              <w:topLinePunct/>
              <w:ind w:right="105" w:rightChars="50"/>
              <w:jc w:val="left"/>
              <w:rPr>
                <w:rFonts w:ascii="Calibri"/>
                <w:szCs w:val="24"/>
              </w:rPr>
            </w:pPr>
            <w:r>
              <w:rPr>
                <w:rFonts w:hint="eastAsia" w:ascii="Calibri"/>
                <w:szCs w:val="24"/>
                <w:lang w:eastAsia="zh-Hans"/>
              </w:rPr>
              <w:t>财政</w:t>
            </w:r>
            <w:r>
              <w:rPr>
                <w:rFonts w:hint="eastAsia" w:ascii="Calibri"/>
                <w:szCs w:val="24"/>
              </w:rPr>
              <w:t>资金</w:t>
            </w:r>
          </w:p>
        </w:tc>
      </w:tr>
      <w:tr>
        <w:trPr>
          <w:trHeight w:val="90" w:hRule="atLeast"/>
          <w:jc w:val="center"/>
        </w:trPr>
        <w:tc>
          <w:tcPr>
            <w:tcW w:w="704" w:type="dxa"/>
            <w:tcBorders>
              <w:top w:val="single" w:color="000000" w:sz="6" w:space="0"/>
              <w:left w:val="single" w:color="000000" w:sz="12"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1.1.6</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14"/>
              <w:topLinePunct/>
              <w:ind w:right="105" w:rightChars="50"/>
              <w:jc w:val="center"/>
              <w:rPr>
                <w:rFonts w:ascii="Calibri"/>
                <w:szCs w:val="24"/>
              </w:rPr>
            </w:pPr>
            <w:r>
              <w:rPr>
                <w:rFonts w:hint="eastAsia" w:ascii="Calibri"/>
                <w:szCs w:val="24"/>
              </w:rPr>
              <w:t>总投资</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14"/>
              <w:topLinePunct/>
              <w:ind w:right="105" w:rightChars="50"/>
              <w:rPr>
                <w:rFonts w:ascii="Calibri"/>
                <w:szCs w:val="24"/>
              </w:rPr>
            </w:pPr>
            <w:r>
              <w:rPr>
                <w:rFonts w:hAnsi="宋体" w:cs="宋体"/>
              </w:rPr>
              <w:t>100</w:t>
            </w:r>
            <w:r>
              <w:rPr>
                <w:rFonts w:hint="eastAsia" w:hAnsi="宋体" w:cs="宋体"/>
              </w:rPr>
              <w:t>万元</w:t>
            </w:r>
            <w:r>
              <w:rPr>
                <w:rFonts w:hint="eastAsia" w:ascii="Calibri"/>
                <w:szCs w:val="24"/>
              </w:rPr>
              <w:t>（</w:t>
            </w:r>
            <w:r>
              <w:rPr>
                <w:rFonts w:hint="eastAsia" w:ascii="Calibri"/>
                <w:szCs w:val="24"/>
                <w:lang w:eastAsia="zh-Hans"/>
              </w:rPr>
              <w:t>壹</w:t>
            </w:r>
            <w:r>
              <w:rPr>
                <w:rFonts w:hint="eastAsia" w:ascii="Calibri"/>
                <w:szCs w:val="24"/>
              </w:rPr>
              <w:t>佰万元整）</w:t>
            </w:r>
          </w:p>
        </w:tc>
      </w:tr>
      <w:tr>
        <w:trPr>
          <w:trHeight w:val="438" w:hRule="atLeast"/>
          <w:jc w:val="center"/>
        </w:trPr>
        <w:tc>
          <w:tcPr>
            <w:tcW w:w="704" w:type="dxa"/>
            <w:tcBorders>
              <w:top w:val="single" w:color="000000" w:sz="6" w:space="0"/>
              <w:left w:val="single" w:color="000000" w:sz="12"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1.1.7</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14"/>
              <w:topLinePunct/>
              <w:ind w:right="105" w:rightChars="50"/>
              <w:jc w:val="center"/>
              <w:rPr>
                <w:rFonts w:hint="eastAsia" w:hAnsi="宋体" w:cs="宋体"/>
              </w:rPr>
            </w:pPr>
            <w:r>
              <w:rPr>
                <w:rFonts w:hint="eastAsia" w:hAnsi="宋体" w:cs="宋体"/>
                <w:lang w:val="zh-CN"/>
              </w:rPr>
              <w:t>招标控制价</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14"/>
              <w:topLinePunct/>
              <w:ind w:right="105" w:rightChars="50"/>
              <w:rPr>
                <w:rFonts w:hint="eastAsia" w:hAnsi="宋体" w:cs="宋体"/>
              </w:rPr>
            </w:pPr>
            <w:r>
              <w:rPr>
                <w:rFonts w:hint="eastAsia" w:hAnsi="宋体" w:cs="宋体"/>
                <w:lang w:eastAsia="zh-CN"/>
              </w:rPr>
              <w:t>100</w:t>
            </w:r>
            <w:r>
              <w:rPr>
                <w:rFonts w:hint="eastAsia" w:hAnsi="宋体" w:cs="宋体"/>
                <w:lang w:val="en-US" w:eastAsia="zh-Hans"/>
              </w:rPr>
              <w:t>万元</w:t>
            </w:r>
            <w:r>
              <w:rPr>
                <w:rFonts w:hint="eastAsia" w:hAnsi="宋体" w:cs="宋体"/>
                <w:lang w:eastAsia="zh-Hans"/>
              </w:rPr>
              <w:t>（</w:t>
            </w:r>
            <w:r>
              <w:rPr>
                <w:rFonts w:hint="eastAsia" w:hAnsi="宋体" w:cs="宋体"/>
                <w:lang w:val="en-US" w:eastAsia="zh-Hans"/>
              </w:rPr>
              <w:t>壹佰万元整</w:t>
            </w:r>
            <w:r>
              <w:rPr>
                <w:rFonts w:hint="eastAsia" w:hAnsi="宋体" w:cs="宋体"/>
                <w:lang w:eastAsia="zh-Hans"/>
              </w:rPr>
              <w:t>）</w:t>
            </w:r>
          </w:p>
        </w:tc>
      </w:tr>
      <w:tr>
        <w:trPr>
          <w:trHeight w:val="438" w:hRule="atLeast"/>
          <w:jc w:val="center"/>
        </w:trPr>
        <w:tc>
          <w:tcPr>
            <w:tcW w:w="704" w:type="dxa"/>
            <w:tcBorders>
              <w:top w:val="single" w:color="000000" w:sz="6" w:space="0"/>
              <w:left w:val="single" w:color="000000" w:sz="12"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1.1.8</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bCs/>
                <w:kern w:val="11"/>
                <w:sz w:val="24"/>
                <w:lang w:val="zh-CN"/>
              </w:rPr>
            </w:pPr>
            <w:r>
              <w:rPr>
                <w:rFonts w:hint="eastAsia"/>
                <w:bCs/>
                <w:kern w:val="11"/>
                <w:sz w:val="24"/>
              </w:rPr>
              <w:t>质量要求</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jc w:val="left"/>
              <w:rPr>
                <w:bCs/>
                <w:kern w:val="11"/>
                <w:sz w:val="24"/>
              </w:rPr>
            </w:pPr>
            <w:r>
              <w:rPr>
                <w:rFonts w:hint="eastAsia"/>
                <w:bCs/>
                <w:kern w:val="11"/>
                <w:sz w:val="24"/>
              </w:rPr>
              <w:t>合格及以上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38" w:hRule="atLeast"/>
          <w:jc w:val="center"/>
        </w:trPr>
        <w:tc>
          <w:tcPr>
            <w:tcW w:w="704" w:type="dxa"/>
            <w:tcBorders>
              <w:top w:val="single" w:color="000000" w:sz="6" w:space="0"/>
              <w:left w:val="single" w:color="000000" w:sz="12"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1.1.9</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bCs/>
                <w:kern w:val="11"/>
                <w:sz w:val="24"/>
                <w:lang w:eastAsia="zh-Hans"/>
              </w:rPr>
            </w:pPr>
            <w:r>
              <w:rPr>
                <w:rFonts w:hint="eastAsia"/>
                <w:bCs/>
                <w:kern w:val="11"/>
                <w:sz w:val="24"/>
                <w:lang w:eastAsia="zh-Hans"/>
              </w:rPr>
              <w:t>供货期</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jc w:val="left"/>
              <w:rPr>
                <w:bCs/>
                <w:kern w:val="11"/>
                <w:sz w:val="24"/>
                <w:lang w:eastAsia="zh-Hans"/>
              </w:rPr>
            </w:pPr>
            <w:r>
              <w:rPr>
                <w:rFonts w:hint="eastAsia"/>
                <w:bCs/>
                <w:kern w:val="11"/>
                <w:sz w:val="24"/>
                <w:lang w:eastAsia="zh-Hans"/>
              </w:rPr>
              <w:t>项目时间为合同签订之日起30个工作日内完成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38" w:hRule="atLeast"/>
          <w:jc w:val="center"/>
        </w:trPr>
        <w:tc>
          <w:tcPr>
            <w:tcW w:w="704" w:type="dxa"/>
            <w:tcBorders>
              <w:top w:val="single" w:color="000000" w:sz="6" w:space="0"/>
              <w:left w:val="single" w:color="000000" w:sz="12"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1.2.1</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14"/>
              <w:topLinePunct/>
              <w:ind w:right="105" w:rightChars="50"/>
              <w:jc w:val="center"/>
              <w:rPr>
                <w:rFonts w:ascii="Calibri"/>
                <w:szCs w:val="24"/>
              </w:rPr>
            </w:pPr>
            <w:r>
              <w:rPr>
                <w:rFonts w:hint="eastAsia" w:ascii="Calibri"/>
                <w:szCs w:val="24"/>
              </w:rPr>
              <w:t>招标方式</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14"/>
              <w:topLinePunct/>
              <w:ind w:right="105" w:rightChars="50"/>
              <w:rPr>
                <w:rFonts w:ascii="Calibri"/>
                <w:szCs w:val="24"/>
              </w:rPr>
            </w:pPr>
            <w:r>
              <w:rPr>
                <w:rFonts w:hint="eastAsia" w:ascii="Calibri"/>
                <w:szCs w:val="24"/>
              </w:rPr>
              <w:t>公开招标</w:t>
            </w:r>
          </w:p>
        </w:tc>
      </w:tr>
      <w:tr>
        <w:trPr>
          <w:trHeight w:val="363" w:hRule="atLeast"/>
          <w:jc w:val="center"/>
        </w:trPr>
        <w:tc>
          <w:tcPr>
            <w:tcW w:w="704" w:type="dxa"/>
            <w:tcBorders>
              <w:top w:val="single" w:color="000000" w:sz="6" w:space="0"/>
              <w:left w:val="single" w:color="000000" w:sz="12"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1.2.2</w:t>
            </w:r>
          </w:p>
        </w:tc>
        <w:tc>
          <w:tcPr>
            <w:tcW w:w="1888" w:type="dxa"/>
            <w:tcBorders>
              <w:top w:val="single" w:color="000000" w:sz="6" w:space="0"/>
              <w:left w:val="single" w:color="000000" w:sz="6" w:space="0"/>
              <w:bottom w:val="single" w:color="000000" w:sz="6" w:space="0"/>
              <w:right w:val="single" w:color="000000" w:sz="6" w:space="0"/>
            </w:tcBorders>
            <w:vAlign w:val="center"/>
          </w:tcPr>
          <w:p>
            <w:pPr>
              <w:ind w:right="105" w:rightChars="50"/>
              <w:jc w:val="center"/>
              <w:rPr>
                <w:rFonts w:ascii="Calibri"/>
                <w:sz w:val="24"/>
              </w:rPr>
            </w:pPr>
            <w:r>
              <w:rPr>
                <w:rFonts w:hint="eastAsia" w:ascii="Calibri"/>
                <w:sz w:val="24"/>
              </w:rPr>
              <w:t>资格审查方式</w:t>
            </w:r>
          </w:p>
        </w:tc>
        <w:tc>
          <w:tcPr>
            <w:tcW w:w="7653" w:type="dxa"/>
            <w:tcBorders>
              <w:top w:val="single" w:color="000000" w:sz="6" w:space="0"/>
              <w:left w:val="single" w:color="000000" w:sz="6" w:space="0"/>
              <w:bottom w:val="single" w:color="000000" w:sz="6" w:space="0"/>
              <w:right w:val="single" w:color="000000" w:sz="12" w:space="0"/>
            </w:tcBorders>
            <w:vAlign w:val="center"/>
          </w:tcPr>
          <w:p>
            <w:pPr>
              <w:widowControl/>
              <w:ind w:right="105" w:rightChars="50"/>
              <w:rPr>
                <w:rFonts w:ascii="Calibri"/>
                <w:sz w:val="24"/>
              </w:rPr>
            </w:pPr>
            <w:r>
              <w:rPr>
                <w:rFonts w:hint="eastAsia" w:ascii="Calibri"/>
                <w:sz w:val="24"/>
              </w:rPr>
              <w:t>资格后审</w:t>
            </w:r>
          </w:p>
        </w:tc>
      </w:tr>
      <w:tr>
        <w:trPr>
          <w:trHeight w:val="553" w:hRule="atLeast"/>
          <w:jc w:val="center"/>
        </w:trPr>
        <w:tc>
          <w:tcPr>
            <w:tcW w:w="704" w:type="dxa"/>
            <w:vMerge w:val="restart"/>
            <w:tcBorders>
              <w:top w:val="single" w:color="000000" w:sz="6" w:space="0"/>
              <w:left w:val="single" w:color="000000" w:sz="12" w:space="0"/>
              <w:right w:val="single" w:color="000000" w:sz="6" w:space="0"/>
            </w:tcBorders>
            <w:vAlign w:val="center"/>
          </w:tcPr>
          <w:p>
            <w:pPr>
              <w:pStyle w:val="32"/>
              <w:snapToGrid w:val="0"/>
              <w:spacing w:line="360" w:lineRule="auto"/>
              <w:ind w:right="105" w:rightChars="50"/>
              <w:jc w:val="center"/>
              <w:rPr>
                <w:sz w:val="24"/>
              </w:rPr>
            </w:pPr>
            <w:r>
              <w:rPr>
                <w:sz w:val="24"/>
              </w:rPr>
              <w:t>1.3</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rFonts w:ascii="Calibri"/>
                <w:sz w:val="24"/>
              </w:rPr>
            </w:pPr>
            <w:r>
              <w:rPr>
                <w:rFonts w:hint="eastAsia" w:ascii="Calibri"/>
                <w:sz w:val="24"/>
              </w:rPr>
              <w:t>招标范围</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49"/>
              <w:tabs>
                <w:tab w:val="left" w:pos="2520"/>
              </w:tabs>
              <w:spacing w:line="503" w:lineRule="exact"/>
              <w:ind w:right="105" w:rightChars="50" w:firstLine="0"/>
              <w:rPr>
                <w:rFonts w:ascii="Calibri" w:hAnsiTheme="minorHAnsi" w:eastAsiaTheme="minorEastAsia" w:cstheme="minorBidi"/>
                <w:sz w:val="24"/>
                <w:szCs w:val="24"/>
                <w:lang w:val="en-US" w:eastAsia="zh-CN" w:bidi="ar-SA"/>
              </w:rPr>
            </w:pPr>
            <w:r>
              <w:rPr>
                <w:rFonts w:hint="eastAsia"/>
                <w:sz w:val="24"/>
                <w:shd w:val="clear" w:color="auto" w:fill="FFFFFF"/>
              </w:rPr>
              <w:t>一是对现有应急指挥中心进行升级改造，包括应急指挥中心及大会议室两个场所，主要是对现有大屏及相应视频矩阵、会控系统、音频系统等进行升级改造，保证指挥中心稳定有效运行；二是对特殊作业图传平台进行升级改造，提升视频清晰度、对讲功能、存储回放、电脑客户端、手机客户端、视频接入等功能进行提升改造，将准东各个企业的特殊作业视频接入指挥中心，进行统一监看与调度挥；</w:t>
            </w:r>
            <w:r>
              <w:rPr>
                <w:rFonts w:hint="eastAsia"/>
                <w:color w:val="auto"/>
                <w:sz w:val="24"/>
                <w:shd w:val="clear" w:color="auto" w:fill="FFFFFF"/>
              </w:rPr>
              <w:t>三是建立视频监控及关键点位视频智能分析系统（视频AI），对关键点位违章情况进行实时监控，自动报警；四是综</w:t>
            </w:r>
            <w:r>
              <w:rPr>
                <w:rFonts w:hint="eastAsia"/>
                <w:sz w:val="24"/>
                <w:shd w:val="clear" w:color="auto" w:fill="FFFFFF"/>
              </w:rPr>
              <w:t>合集成危化企业固定视频、移动视频、GDS数据、GIS地图、安全承诺风险研判数据及政府端重大危险源系统、煤矿风险监测系统、边坡治理监测系统，实现安全监管一张图功能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704" w:type="dxa"/>
            <w:vMerge w:val="continue"/>
            <w:tcBorders>
              <w:left w:val="single" w:color="000000" w:sz="12" w:space="0"/>
              <w:right w:val="single" w:color="000000" w:sz="6" w:space="0"/>
            </w:tcBorders>
            <w:vAlign w:val="center"/>
          </w:tcPr>
          <w:p>
            <w:pPr>
              <w:pStyle w:val="32"/>
              <w:snapToGrid w:val="0"/>
              <w:spacing w:line="360" w:lineRule="auto"/>
              <w:ind w:right="105" w:rightChars="50"/>
              <w:jc w:val="center"/>
              <w:rPr>
                <w:sz w:val="24"/>
              </w:rPr>
            </w:pP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bCs/>
                <w:kern w:val="11"/>
                <w:sz w:val="24"/>
              </w:rPr>
            </w:pPr>
            <w:r>
              <w:rPr>
                <w:rFonts w:hint="eastAsia"/>
                <w:bCs/>
                <w:kern w:val="11"/>
                <w:sz w:val="24"/>
              </w:rPr>
              <w:t>地点</w:t>
            </w:r>
          </w:p>
        </w:tc>
        <w:tc>
          <w:tcPr>
            <w:tcW w:w="7653" w:type="dxa"/>
            <w:tcBorders>
              <w:top w:val="single" w:color="000000" w:sz="6" w:space="0"/>
              <w:left w:val="single" w:color="000000" w:sz="6" w:space="0"/>
              <w:bottom w:val="single" w:color="000000" w:sz="6" w:space="0"/>
              <w:right w:val="single" w:color="000000" w:sz="12" w:space="0"/>
            </w:tcBorders>
            <w:vAlign w:val="center"/>
          </w:tcPr>
          <w:p>
            <w:pPr>
              <w:tabs>
                <w:tab w:val="left" w:pos="220"/>
                <w:tab w:val="left" w:pos="5940"/>
              </w:tabs>
              <w:snapToGrid w:val="0"/>
              <w:spacing w:line="360" w:lineRule="auto"/>
              <w:ind w:right="105" w:rightChars="50"/>
              <w:rPr>
                <w:sz w:val="24"/>
              </w:rPr>
            </w:pPr>
            <w:r>
              <w:rPr>
                <w:rFonts w:ascii="宋体" w:hAnsi="宋体" w:cs="宋体"/>
                <w:sz w:val="24"/>
                <w:shd w:val="clear" w:color="auto" w:fill="FFFFFF"/>
              </w:rPr>
              <w:t>新疆准东经济技术开发区安全生产监督管理局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rFonts w:eastAsia="宋体"/>
                <w:sz w:val="24"/>
              </w:rPr>
            </w:pPr>
            <w:r>
              <w:rPr>
                <w:rFonts w:hint="eastAsia"/>
                <w:sz w:val="24"/>
              </w:rPr>
              <w:t>1.4</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firstLine="218" w:firstLineChars="91"/>
              <w:jc w:val="center"/>
              <w:rPr>
                <w:sz w:val="24"/>
              </w:rPr>
            </w:pPr>
          </w:p>
          <w:p>
            <w:pPr>
              <w:pStyle w:val="32"/>
              <w:tabs>
                <w:tab w:val="left" w:pos="220"/>
              </w:tabs>
              <w:snapToGrid w:val="0"/>
              <w:spacing w:line="360" w:lineRule="auto"/>
              <w:ind w:right="105" w:rightChars="50"/>
              <w:jc w:val="center"/>
              <w:rPr>
                <w:sz w:val="24"/>
              </w:rPr>
            </w:pPr>
            <w:r>
              <w:rPr>
                <w:rFonts w:hint="eastAsia"/>
                <w:sz w:val="24"/>
              </w:rPr>
              <w:t>投标人资质条件</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ind w:right="105" w:rightChars="50"/>
              <w:rPr>
                <w:bCs/>
                <w:kern w:val="11"/>
                <w:sz w:val="24"/>
              </w:rPr>
            </w:pPr>
            <w:r>
              <w:rPr>
                <w:rFonts w:hint="eastAsia"/>
                <w:bCs/>
                <w:kern w:val="11"/>
                <w:sz w:val="24"/>
              </w:rPr>
              <w:t>1.投标人应符合《中华人民共和国政府采购法》第二十二条规定的条件；</w:t>
            </w:r>
          </w:p>
          <w:p>
            <w:pPr>
              <w:pStyle w:val="32"/>
              <w:snapToGrid w:val="0"/>
              <w:spacing w:line="360" w:lineRule="auto"/>
              <w:ind w:right="105" w:rightChars="50"/>
              <w:rPr>
                <w:bCs/>
                <w:kern w:val="11"/>
                <w:sz w:val="24"/>
              </w:rPr>
            </w:pPr>
            <w:r>
              <w:rPr>
                <w:rFonts w:hint="eastAsia"/>
                <w:bCs/>
                <w:kern w:val="11"/>
                <w:sz w:val="24"/>
              </w:rPr>
              <w:t>①具有独立承担民事责任的能力；</w:t>
            </w:r>
          </w:p>
          <w:p>
            <w:pPr>
              <w:pStyle w:val="32"/>
              <w:snapToGrid w:val="0"/>
              <w:spacing w:line="360" w:lineRule="auto"/>
              <w:ind w:right="105" w:rightChars="50"/>
              <w:rPr>
                <w:bCs/>
                <w:kern w:val="11"/>
                <w:sz w:val="24"/>
              </w:rPr>
            </w:pPr>
            <w:r>
              <w:rPr>
                <w:rFonts w:hint="eastAsia"/>
                <w:bCs/>
                <w:kern w:val="11"/>
                <w:sz w:val="24"/>
              </w:rPr>
              <w:t>②具有良好的商业信誉和健全的财务会计制度；</w:t>
            </w:r>
          </w:p>
          <w:p>
            <w:pPr>
              <w:pStyle w:val="32"/>
              <w:snapToGrid w:val="0"/>
              <w:spacing w:line="360" w:lineRule="auto"/>
              <w:ind w:right="105" w:rightChars="50"/>
              <w:rPr>
                <w:bCs/>
                <w:kern w:val="11"/>
                <w:sz w:val="24"/>
              </w:rPr>
            </w:pPr>
            <w:r>
              <w:rPr>
                <w:rFonts w:hint="eastAsia"/>
                <w:bCs/>
                <w:kern w:val="11"/>
                <w:sz w:val="24"/>
              </w:rPr>
              <w:t>③具有履行合同所必须的设备和专业技术能力；</w:t>
            </w:r>
          </w:p>
          <w:p>
            <w:pPr>
              <w:pStyle w:val="32"/>
              <w:snapToGrid w:val="0"/>
              <w:spacing w:line="360" w:lineRule="auto"/>
              <w:ind w:right="105" w:rightChars="50"/>
              <w:rPr>
                <w:bCs/>
                <w:kern w:val="11"/>
                <w:sz w:val="24"/>
              </w:rPr>
            </w:pPr>
            <w:r>
              <w:rPr>
                <w:rFonts w:hint="eastAsia"/>
                <w:bCs/>
                <w:kern w:val="11"/>
                <w:sz w:val="24"/>
              </w:rPr>
              <w:t>④有依法缴纳税收和社会保障资金的良好记录；</w:t>
            </w:r>
          </w:p>
          <w:p>
            <w:pPr>
              <w:pStyle w:val="32"/>
              <w:snapToGrid w:val="0"/>
              <w:spacing w:line="360" w:lineRule="auto"/>
              <w:ind w:right="105" w:rightChars="50"/>
              <w:rPr>
                <w:bCs/>
                <w:kern w:val="11"/>
                <w:sz w:val="24"/>
              </w:rPr>
            </w:pPr>
            <w:r>
              <w:rPr>
                <w:rFonts w:hint="eastAsia"/>
                <w:bCs/>
                <w:kern w:val="11"/>
                <w:sz w:val="24"/>
              </w:rPr>
              <w:t>⑤参加政府采购活动前三年内，在经营活动中没有重大违法、犯罪记录；</w:t>
            </w:r>
          </w:p>
          <w:p>
            <w:pPr>
              <w:pStyle w:val="32"/>
              <w:snapToGrid w:val="0"/>
              <w:spacing w:line="360" w:lineRule="auto"/>
              <w:ind w:right="105" w:rightChars="50"/>
              <w:rPr>
                <w:bCs/>
                <w:kern w:val="11"/>
                <w:sz w:val="24"/>
              </w:rPr>
            </w:pPr>
            <w:r>
              <w:rPr>
                <w:rFonts w:hint="eastAsia"/>
                <w:bCs/>
                <w:kern w:val="11"/>
                <w:sz w:val="24"/>
              </w:rPr>
              <w:t>⑥法律法规规定的其他条件。</w:t>
            </w:r>
          </w:p>
          <w:p>
            <w:pPr>
              <w:pStyle w:val="32"/>
              <w:snapToGrid w:val="0"/>
              <w:spacing w:line="360" w:lineRule="auto"/>
              <w:ind w:right="105" w:rightChars="50"/>
              <w:rPr>
                <w:bCs/>
                <w:kern w:val="11"/>
                <w:sz w:val="24"/>
              </w:rPr>
            </w:pPr>
            <w:r>
              <w:rPr>
                <w:rFonts w:hint="eastAsia"/>
                <w:bCs/>
                <w:kern w:val="11"/>
                <w:sz w:val="24"/>
              </w:rPr>
              <w:t>2.遵守国家法律、法规有关招标的规定。</w:t>
            </w:r>
          </w:p>
          <w:p>
            <w:pPr>
              <w:pStyle w:val="32"/>
              <w:snapToGrid w:val="0"/>
              <w:spacing w:line="360" w:lineRule="auto"/>
              <w:ind w:right="105" w:rightChars="50"/>
              <w:rPr>
                <w:bCs/>
                <w:kern w:val="11"/>
                <w:sz w:val="24"/>
              </w:rPr>
            </w:pPr>
            <w:r>
              <w:rPr>
                <w:rFonts w:hint="eastAsia"/>
                <w:bCs/>
                <w:kern w:val="11"/>
                <w:sz w:val="24"/>
              </w:rPr>
              <w:t>3.与采购人就本次招标的项目委托的咨询机构、招标代理机构、以及上述机构的附属机构没有行政或经济关联。</w:t>
            </w:r>
          </w:p>
          <w:p>
            <w:pPr>
              <w:pStyle w:val="32"/>
              <w:snapToGrid w:val="0"/>
              <w:spacing w:line="360" w:lineRule="auto"/>
              <w:ind w:right="105" w:rightChars="50"/>
              <w:rPr>
                <w:bCs/>
                <w:kern w:val="11"/>
                <w:sz w:val="24"/>
              </w:rPr>
            </w:pPr>
            <w:r>
              <w:rPr>
                <w:rFonts w:hint="eastAsia"/>
                <w:bCs/>
                <w:kern w:val="11"/>
                <w:sz w:val="24"/>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spacing w:line="360" w:lineRule="auto"/>
              <w:ind w:right="-92" w:rightChars="-44"/>
              <w:rPr>
                <w:rFonts w:ascii="宋体" w:hAnsi="宋体" w:cs="宋体"/>
                <w:sz w:val="24"/>
                <w:shd w:val="clear" w:color="auto" w:fill="FFFFFF"/>
              </w:rPr>
            </w:pPr>
            <w:r>
              <w:rPr>
                <w:rFonts w:hint="eastAsia" w:ascii="宋体" w:hAnsi="宋体" w:cs="宋体"/>
                <w:sz w:val="24"/>
                <w:shd w:val="clear" w:color="auto" w:fill="FFFFFF"/>
              </w:rPr>
              <w:t>5.具有有效的营业执照。</w:t>
            </w:r>
          </w:p>
          <w:p>
            <w:pPr>
              <w:spacing w:line="360" w:lineRule="auto"/>
              <w:ind w:right="-92" w:rightChars="-44"/>
              <w:rPr>
                <w:rFonts w:ascii="宋体" w:hAnsi="宋体" w:cs="宋体"/>
                <w:sz w:val="24"/>
                <w:shd w:val="clear" w:color="auto" w:fill="FFFFFF"/>
              </w:rPr>
            </w:pPr>
            <w:r>
              <w:rPr>
                <w:rFonts w:ascii="宋体" w:hAnsi="宋体" w:cs="宋体"/>
                <w:sz w:val="24"/>
                <w:shd w:val="clear" w:color="auto" w:fill="FFFFFF"/>
              </w:rPr>
              <w:t>6</w:t>
            </w:r>
            <w:r>
              <w:rPr>
                <w:rFonts w:hint="eastAsia" w:ascii="宋体" w:hAnsi="宋体" w:cs="宋体"/>
                <w:sz w:val="24"/>
                <w:shd w:val="clear" w:color="auto" w:fill="FFFFFF"/>
              </w:rPr>
              <w:t>.须具备近一年财务审计报告或银行提供的资信证明（新公司从成立之日起算）。</w:t>
            </w:r>
          </w:p>
          <w:p>
            <w:pPr>
              <w:spacing w:line="360" w:lineRule="auto"/>
              <w:ind w:right="-92" w:rightChars="-44"/>
              <w:rPr>
                <w:rFonts w:ascii="宋体" w:hAnsi="宋体" w:cs="宋体"/>
                <w:sz w:val="24"/>
                <w:shd w:val="clear" w:color="auto" w:fill="FFFFFF"/>
              </w:rPr>
            </w:pPr>
            <w:r>
              <w:rPr>
                <w:rFonts w:ascii="宋体" w:hAnsi="宋体" w:cs="宋体"/>
                <w:sz w:val="24"/>
                <w:shd w:val="clear" w:color="auto" w:fill="FFFFFF"/>
              </w:rPr>
              <w:t>7</w:t>
            </w:r>
            <w:r>
              <w:rPr>
                <w:rFonts w:hint="eastAsia" w:ascii="宋体" w:hAnsi="宋体" w:cs="宋体"/>
                <w:sz w:val="24"/>
                <w:shd w:val="clear" w:color="auto" w:fill="FFFFFF"/>
              </w:rPr>
              <w:t>.须具有近一年任意月纳税证明（新公司从成立之日起算）。</w:t>
            </w:r>
          </w:p>
          <w:p>
            <w:pPr>
              <w:spacing w:line="360" w:lineRule="auto"/>
              <w:ind w:right="-92" w:rightChars="-44"/>
              <w:rPr>
                <w:rFonts w:ascii="宋体" w:cs="宋体"/>
                <w:sz w:val="24"/>
              </w:rPr>
            </w:pPr>
            <w:r>
              <w:rPr>
                <w:rFonts w:ascii="宋体" w:cs="宋体"/>
                <w:sz w:val="24"/>
              </w:rPr>
              <w:t>8</w:t>
            </w:r>
            <w:r>
              <w:rPr>
                <w:rFonts w:hint="eastAsia" w:ascii="宋体" w:cs="宋体"/>
                <w:sz w:val="24"/>
              </w:rPr>
              <w:t xml:space="preserve">.须具有履行合同所必须的设备和专业技术能力的承诺函。         </w:t>
            </w:r>
          </w:p>
          <w:p>
            <w:pPr>
              <w:spacing w:line="360" w:lineRule="auto"/>
              <w:ind w:right="-92" w:rightChars="-44"/>
              <w:rPr>
                <w:rFonts w:ascii="宋体" w:cs="宋体"/>
                <w:sz w:val="24"/>
              </w:rPr>
            </w:pPr>
            <w:r>
              <w:rPr>
                <w:rFonts w:ascii="宋体" w:cs="宋体"/>
                <w:sz w:val="24"/>
              </w:rPr>
              <w:t>9</w:t>
            </w:r>
            <w:r>
              <w:rPr>
                <w:rFonts w:hint="eastAsia" w:ascii="宋体" w:cs="宋体"/>
                <w:sz w:val="24"/>
              </w:rPr>
              <w:t>.参加政府采购活动前3年内在经营活动中没有重大违法记录的书面声明。</w:t>
            </w:r>
          </w:p>
          <w:p>
            <w:pPr>
              <w:spacing w:line="360" w:lineRule="auto"/>
              <w:ind w:right="-92" w:rightChars="-44"/>
              <w:rPr>
                <w:highlight w:val="yellow"/>
              </w:rPr>
            </w:pPr>
            <w:r>
              <w:rPr>
                <w:rFonts w:hint="eastAsia" w:ascii="宋体" w:cs="宋体"/>
                <w:sz w:val="24"/>
              </w:rPr>
              <w:t>1</w:t>
            </w:r>
            <w:r>
              <w:rPr>
                <w:rFonts w:ascii="宋体" w:cs="宋体"/>
                <w:sz w:val="24"/>
              </w:rPr>
              <w:t>0</w:t>
            </w:r>
            <w:r>
              <w:rPr>
                <w:rFonts w:hint="eastAsia" w:ascii="宋体" w:cs="宋体"/>
                <w:sz w:val="24"/>
              </w:rPr>
              <w:t>.凡拟参加本次招标项目的投标人，如在“信用中国”网站（www.creditchina.gov.cn）和中国政府采购网（www.ccgp.gov.cn）被列入失信被执行人、</w:t>
            </w:r>
            <w:r>
              <w:rPr>
                <w:rFonts w:hint="eastAsia"/>
                <w:sz w:val="24"/>
              </w:rPr>
              <w:t>税收违法黑名单、</w:t>
            </w:r>
            <w:r>
              <w:rPr>
                <w:rFonts w:hint="eastAsia" w:ascii="宋体" w:cs="宋体"/>
                <w:sz w:val="24"/>
              </w:rPr>
              <w:t>政府采购严重违法失信行为记录名单的（尚在处罚期内的），将拒绝其参本次采购活动。</w:t>
            </w:r>
          </w:p>
          <w:p>
            <w:pPr>
              <w:keepNext w:val="0"/>
              <w:keepLines w:val="0"/>
              <w:pageBreakBefore w:val="0"/>
              <w:widowControl w:val="0"/>
              <w:kinsoku/>
              <w:wordWrap/>
              <w:overflowPunct/>
              <w:topLinePunct w:val="0"/>
              <w:autoSpaceDE/>
              <w:bidi w:val="0"/>
              <w:spacing w:line="560" w:lineRule="exact"/>
              <w:ind w:right="-92" w:rightChars="-44"/>
              <w:textAlignment w:val="auto"/>
              <w:rPr>
                <w:rFonts w:hint="eastAsia" w:ascii="宋体" w:cs="宋体"/>
                <w:sz w:val="24"/>
              </w:rPr>
            </w:pPr>
            <w:r>
              <w:rPr>
                <w:rFonts w:hint="eastAsia" w:ascii="宋体" w:cs="宋体"/>
                <w:sz w:val="24"/>
              </w:rPr>
              <w:t>1</w:t>
            </w:r>
            <w:r>
              <w:rPr>
                <w:rFonts w:ascii="宋体" w:cs="宋体"/>
                <w:sz w:val="24"/>
              </w:rPr>
              <w:t>1</w:t>
            </w:r>
            <w:r>
              <w:rPr>
                <w:rFonts w:hint="eastAsia" w:ascii="宋体" w:cs="宋体"/>
                <w:sz w:val="24"/>
              </w:rPr>
              <w:t>.</w:t>
            </w:r>
            <w:r>
              <w:rPr>
                <w:rFonts w:hint="eastAsia" w:ascii="宋体" w:hAnsi="宋体" w:eastAsia="宋体" w:cs="宋体"/>
                <w:color w:val="000000"/>
                <w:kern w:val="0"/>
                <w:sz w:val="24"/>
                <w:szCs w:val="24"/>
                <w:lang w:val="en-US" w:eastAsia="zh-CN" w:bidi="ar-SA"/>
              </w:rPr>
              <w:t>投标单位须为中小企业，</w:t>
            </w:r>
            <w:r>
              <w:rPr>
                <w:rFonts w:hint="eastAsia" w:ascii="宋体" w:hAnsi="宋体" w:eastAsia="宋体" w:cs="宋体"/>
                <w:color w:val="000000"/>
                <w:kern w:val="0"/>
                <w:sz w:val="24"/>
                <w:szCs w:val="24"/>
                <w:lang w:val="en-US" w:eastAsia="zh-Hans" w:bidi="ar-SA"/>
              </w:rPr>
              <w:t>提供</w:t>
            </w:r>
            <w:r>
              <w:rPr>
                <w:rFonts w:hint="default" w:ascii="宋体" w:hAnsi="宋体" w:eastAsia="宋体" w:cs="宋体"/>
                <w:color w:val="000000"/>
                <w:kern w:val="0"/>
                <w:sz w:val="24"/>
                <w:szCs w:val="24"/>
                <w:lang w:val="en-US" w:eastAsia="zh-Hans" w:bidi="ar-SA"/>
              </w:rPr>
              <w:t>《</w:t>
            </w:r>
            <w:r>
              <w:rPr>
                <w:rFonts w:hint="eastAsia" w:ascii="宋体" w:hAnsi="宋体" w:eastAsia="宋体" w:cs="宋体"/>
                <w:color w:val="000000"/>
                <w:kern w:val="0"/>
                <w:sz w:val="24"/>
                <w:szCs w:val="24"/>
                <w:lang w:val="en-US" w:eastAsia="zh-Hans" w:bidi="ar-SA"/>
              </w:rPr>
              <w:t>中小企业声明函</w:t>
            </w:r>
            <w:r>
              <w:rPr>
                <w:rFonts w:hint="default" w:ascii="宋体" w:hAnsi="宋体" w:eastAsia="宋体" w:cs="宋体"/>
                <w:color w:val="000000"/>
                <w:kern w:val="0"/>
                <w:sz w:val="24"/>
                <w:szCs w:val="24"/>
                <w:lang w:val="en-US" w:eastAsia="zh-Hans" w:bidi="ar-SA"/>
              </w:rPr>
              <w:t>》</w:t>
            </w:r>
          </w:p>
          <w:p>
            <w:pPr>
              <w:spacing w:line="360" w:lineRule="auto"/>
              <w:ind w:right="105" w:rightChars="50"/>
              <w:rPr>
                <w:sz w:val="24"/>
              </w:rPr>
            </w:pPr>
            <w:r>
              <w:rPr>
                <w:rFonts w:hint="default" w:ascii="宋体" w:cs="宋体"/>
                <w:sz w:val="24"/>
              </w:rPr>
              <w:t>12</w:t>
            </w:r>
            <w:r>
              <w:rPr>
                <w:rFonts w:hint="eastAsia" w:ascii="宋体" w:cs="宋体"/>
                <w:sz w:val="24"/>
                <w:lang w:val="en-US" w:eastAsia="zh-Hans"/>
              </w:rPr>
              <w:t>.</w:t>
            </w:r>
            <w:r>
              <w:rPr>
                <w:rFonts w:hint="eastAsia" w:ascii="宋体" w:cs="宋体"/>
                <w:sz w:val="24"/>
              </w:rPr>
              <w:t>落实政府采购政策需满足的资格要求：</w:t>
            </w:r>
            <w:r>
              <w:rPr>
                <w:rFonts w:hint="default" w:ascii="宋体" w:hAnsi="宋体" w:eastAsia="宋体" w:cs="宋体"/>
                <w:color w:val="000000"/>
                <w:kern w:val="0"/>
                <w:sz w:val="24"/>
                <w:szCs w:val="24"/>
                <w:lang w:val="en-US" w:eastAsia="zh-CN" w:bidi="ar-SA"/>
              </w:rPr>
              <w:t>本项目专门面向中小微企业</w:t>
            </w:r>
          </w:p>
        </w:tc>
      </w:tr>
      <w:tr>
        <w:trPr>
          <w:trHeight w:val="90"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1.4.2</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是否接受联合体投标</w:t>
            </w:r>
          </w:p>
        </w:tc>
        <w:tc>
          <w:tcPr>
            <w:tcW w:w="7653" w:type="dxa"/>
            <w:tcBorders>
              <w:top w:val="single" w:color="000000" w:sz="6" w:space="0"/>
              <w:left w:val="single" w:color="000000" w:sz="6" w:space="0"/>
              <w:bottom w:val="single" w:color="000000" w:sz="6" w:space="0"/>
              <w:right w:val="single" w:color="000000" w:sz="12" w:space="0"/>
            </w:tcBorders>
            <w:vAlign w:val="center"/>
          </w:tcPr>
          <w:p>
            <w:pPr>
              <w:tabs>
                <w:tab w:val="left" w:pos="1300"/>
                <w:tab w:val="left" w:pos="5480"/>
                <w:tab w:val="left" w:pos="7500"/>
              </w:tabs>
              <w:autoSpaceDE w:val="0"/>
              <w:autoSpaceDN w:val="0"/>
              <w:adjustRightInd w:val="0"/>
              <w:snapToGrid w:val="0"/>
              <w:spacing w:line="360" w:lineRule="auto"/>
              <w:ind w:right="105" w:rightChars="50"/>
              <w:rPr>
                <w:b/>
                <w:sz w:val="24"/>
              </w:rPr>
            </w:pPr>
            <w:r>
              <w:rPr>
                <w:rFonts w:hint="eastAsia"/>
                <w:sz w:val="24"/>
              </w:rPr>
              <w:t>不</w:t>
            </w:r>
            <w:r>
              <w:rPr>
                <w:sz w:val="24"/>
              </w:rPr>
              <w:t>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1.</w:t>
            </w:r>
            <w:r>
              <w:rPr>
                <w:rFonts w:hint="eastAsia"/>
                <w:sz w:val="24"/>
              </w:rPr>
              <w:t>9</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踏勘现场</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rPr>
                <w:rFonts w:eastAsia="宋体"/>
                <w:sz w:val="24"/>
                <w:u w:val="single"/>
              </w:rPr>
            </w:pPr>
            <w:r>
              <w:rPr>
                <w:rFonts w:hint="eastAsia"/>
                <w:sz w:val="24"/>
              </w:rPr>
              <w:t>视情况而定，如需组织踏勘，时间和地点将以补遗书的形式发出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0"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1.1</w:t>
            </w:r>
            <w:r>
              <w:rPr>
                <w:rFonts w:hint="eastAsia"/>
                <w:sz w:val="24"/>
              </w:rPr>
              <w:t>0</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分  包</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rPr>
                <w:sz w:val="24"/>
              </w:rPr>
            </w:pPr>
            <w:r>
              <w:rPr>
                <w:spacing w:val="1"/>
                <w:position w:val="-1"/>
                <w:sz w:val="24"/>
              </w:rPr>
              <w:t>严禁转包和违规分包</w:t>
            </w:r>
            <w:r>
              <w:rPr>
                <w:rFonts w:hint="eastAsia"/>
                <w:spacing w:val="1"/>
                <w:position w:val="-1"/>
                <w:sz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13"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2.1</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构成招标文件的其他材料</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rPr>
                <w:rFonts w:eastAsia="宋体"/>
                <w:sz w:val="24"/>
              </w:rPr>
            </w:pPr>
            <w:r>
              <w:rPr>
                <w:rFonts w:hint="eastAsia"/>
                <w:sz w:val="24"/>
              </w:rPr>
              <w:t>补遗书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2.2</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投标人要求澄清</w:t>
            </w:r>
          </w:p>
          <w:p>
            <w:pPr>
              <w:pStyle w:val="32"/>
              <w:snapToGrid w:val="0"/>
              <w:spacing w:line="360" w:lineRule="auto"/>
              <w:ind w:right="105" w:rightChars="50"/>
              <w:jc w:val="center"/>
              <w:rPr>
                <w:sz w:val="24"/>
              </w:rPr>
            </w:pPr>
            <w:r>
              <w:rPr>
                <w:sz w:val="24"/>
              </w:rPr>
              <w:t>招标文件的截止时间</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rPr>
                <w:sz w:val="24"/>
              </w:rPr>
            </w:pPr>
            <w:r>
              <w:rPr>
                <w:sz w:val="24"/>
              </w:rPr>
              <w:t>递交投标文件截止之日</w:t>
            </w:r>
            <w:r>
              <w:rPr>
                <w:rFonts w:hint="eastAsia"/>
                <w:sz w:val="24"/>
              </w:rPr>
              <w:t>15</w:t>
            </w:r>
            <w:r>
              <w:rPr>
                <w:sz w:val="24"/>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2.2.3</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投标人确认收到</w:t>
            </w:r>
          </w:p>
          <w:p>
            <w:pPr>
              <w:pStyle w:val="32"/>
              <w:snapToGrid w:val="0"/>
              <w:spacing w:line="360" w:lineRule="auto"/>
              <w:ind w:right="105" w:rightChars="50"/>
              <w:jc w:val="center"/>
              <w:rPr>
                <w:sz w:val="24"/>
              </w:rPr>
            </w:pPr>
            <w:r>
              <w:rPr>
                <w:sz w:val="24"/>
              </w:rPr>
              <w:t>招标文件澄清的时间</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rPr>
                <w:sz w:val="24"/>
              </w:rPr>
            </w:pPr>
            <w:r>
              <w:rPr>
                <w:sz w:val="24"/>
              </w:rPr>
              <w:t>收到澄清后24小时内（以发出时间为准）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68"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2.3.2</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投标人确认收到</w:t>
            </w:r>
          </w:p>
          <w:p>
            <w:pPr>
              <w:pStyle w:val="32"/>
              <w:snapToGrid w:val="0"/>
              <w:spacing w:line="360" w:lineRule="auto"/>
              <w:ind w:right="105" w:rightChars="50"/>
              <w:jc w:val="center"/>
              <w:rPr>
                <w:sz w:val="24"/>
              </w:rPr>
            </w:pPr>
            <w:r>
              <w:rPr>
                <w:sz w:val="24"/>
              </w:rPr>
              <w:t>招标文件修改的时间</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rPr>
                <w:sz w:val="24"/>
              </w:rPr>
            </w:pPr>
            <w:r>
              <w:rPr>
                <w:sz w:val="24"/>
              </w:rPr>
              <w:t>收到修改后24小时内（以发出时间为准）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1"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3.3.1</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投标有效期</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rPr>
                <w:sz w:val="24"/>
              </w:rPr>
            </w:pPr>
            <w:r>
              <w:rPr>
                <w:sz w:val="24"/>
              </w:rPr>
              <w:t>自投标人提交投标文件截止之日起</w:t>
            </w:r>
            <w:r>
              <w:rPr>
                <w:rFonts w:hint="eastAsia"/>
                <w:sz w:val="24"/>
              </w:rPr>
              <w:t>9</w:t>
            </w:r>
            <w:r>
              <w:rPr>
                <w:sz w:val="24"/>
              </w:rPr>
              <w:t>0日历天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pPr>
            <w:r>
              <w:rPr>
                <w:sz w:val="24"/>
              </w:rPr>
              <w:t>3.4</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pPr>
            <w:r>
              <w:rPr>
                <w:sz w:val="24"/>
              </w:rPr>
              <w:t>投标保证金</w:t>
            </w:r>
          </w:p>
        </w:tc>
        <w:tc>
          <w:tcPr>
            <w:tcW w:w="7653"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ind w:right="105" w:rightChars="50"/>
              <w:rPr>
                <w:sz w:val="24"/>
              </w:rPr>
            </w:pPr>
            <w:r>
              <w:rPr>
                <w:sz w:val="24"/>
              </w:rPr>
              <w:t>投标保证金金额：</w:t>
            </w:r>
            <w:r>
              <w:rPr>
                <w:rFonts w:hint="eastAsia"/>
                <w:sz w:val="24"/>
                <w:lang w:eastAsia="zh-Hans"/>
              </w:rPr>
              <w:t>壹</w:t>
            </w:r>
            <w:r>
              <w:rPr>
                <w:rFonts w:hint="eastAsia"/>
                <w:sz w:val="24"/>
              </w:rPr>
              <w:t>万元整</w:t>
            </w:r>
            <w:r>
              <w:rPr>
                <w:sz w:val="24"/>
              </w:rPr>
              <w:t>（¥</w:t>
            </w:r>
            <w:r>
              <w:rPr>
                <w:rFonts w:hint="default"/>
                <w:sz w:val="24"/>
              </w:rPr>
              <w:t>1</w:t>
            </w:r>
            <w:r>
              <w:rPr>
                <w:rFonts w:hint="eastAsia"/>
                <w:sz w:val="24"/>
              </w:rPr>
              <w:t>0000</w:t>
            </w:r>
            <w:r>
              <w:rPr>
                <w:sz w:val="24"/>
              </w:rPr>
              <w:t>元）</w:t>
            </w:r>
          </w:p>
          <w:p>
            <w:pPr>
              <w:overflowPunct w:val="0"/>
              <w:spacing w:line="288" w:lineRule="auto"/>
              <w:ind w:right="105" w:rightChars="50"/>
              <w:rPr>
                <w:rFonts w:ascii="宋体" w:hAnsi="宋体" w:eastAsia="宋体" w:cs="宋体"/>
                <w:sz w:val="24"/>
              </w:rPr>
            </w:pPr>
            <w:r>
              <w:rPr>
                <w:rFonts w:hint="eastAsia" w:ascii="宋体" w:hAnsi="宋体" w:eastAsia="宋体" w:cs="宋体"/>
                <w:sz w:val="24"/>
              </w:rPr>
              <w:t>投标保证金的缴纳形式：</w:t>
            </w:r>
            <w:r>
              <w:rPr>
                <w:color w:val="000000" w:themeColor="text1"/>
                <w:sz w:val="24"/>
                <w14:textFill>
                  <w14:solidFill>
                    <w14:schemeClr w14:val="tx1"/>
                  </w14:solidFill>
                </w14:textFill>
              </w:rPr>
              <w:t>应在</w:t>
            </w:r>
            <w:r>
              <w:rPr>
                <w:rFonts w:hint="eastAsia"/>
                <w:color w:val="000000" w:themeColor="text1"/>
                <w:sz w:val="24"/>
                <w14:textFill>
                  <w14:solidFill>
                    <w14:schemeClr w14:val="tx1"/>
                  </w14:solidFill>
                </w14:textFill>
              </w:rPr>
              <w:t>2022年</w:t>
            </w:r>
            <w:r>
              <w:rPr>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月</w:t>
            </w:r>
            <w:r>
              <w:rPr>
                <w:rFonts w:hint="default"/>
                <w:color w:val="000000" w:themeColor="text1"/>
                <w:sz w:val="24"/>
                <w14:textFill>
                  <w14:solidFill>
                    <w14:schemeClr w14:val="tx1"/>
                  </w14:solidFill>
                </w14:textFill>
              </w:rPr>
              <w:t>01</w:t>
            </w:r>
            <w:r>
              <w:rPr>
                <w:rFonts w:hint="eastAsia"/>
                <w:color w:val="000000" w:themeColor="text1"/>
                <w:sz w:val="24"/>
                <w14:textFill>
                  <w14:solidFill>
                    <w14:schemeClr w14:val="tx1"/>
                  </w14:solidFill>
                </w14:textFill>
              </w:rPr>
              <w:t>日</w:t>
            </w:r>
            <w:r>
              <w:rPr>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0</w:t>
            </w:r>
            <w:r>
              <w:rPr>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59</w:t>
            </w:r>
            <w:r>
              <w:rPr>
                <w:color w:val="000000" w:themeColor="text1"/>
                <w:sz w:val="24"/>
                <w14:textFill>
                  <w14:solidFill>
                    <w14:schemeClr w14:val="tx1"/>
                  </w14:solidFill>
                </w14:textFill>
              </w:rPr>
              <w:t>时</w:t>
            </w:r>
            <w:r>
              <w:rPr>
                <w:rFonts w:hint="eastAsia"/>
                <w:sz w:val="24"/>
              </w:rPr>
              <w:t>以银行电汇保证金必须由投标人的基本账户（即投标人经中国人民银行核准的基本账户《开户许可证》上载明的账户）一次性汇入</w:t>
            </w:r>
            <w:r>
              <w:rPr>
                <w:rFonts w:ascii="宋体" w:hAnsi="宋体" w:eastAsia="宋体" w:cs="宋体"/>
                <w:sz w:val="24"/>
              </w:rPr>
              <w:t>新疆千思跃建设工程项目管理有限责任公司</w:t>
            </w:r>
            <w:r>
              <w:rPr>
                <w:rFonts w:hint="eastAsia"/>
                <w:sz w:val="24"/>
              </w:rPr>
              <w:t>账户（以招标代理到账时间为准），否则其投标保证金视为无效。</w:t>
            </w:r>
          </w:p>
          <w:p>
            <w:pPr>
              <w:overflowPunct w:val="0"/>
              <w:spacing w:line="288" w:lineRule="auto"/>
              <w:ind w:right="105" w:rightChars="50"/>
              <w:rPr>
                <w:rFonts w:ascii="宋体" w:hAnsi="宋体" w:eastAsia="宋体" w:cs="宋体"/>
                <w:sz w:val="24"/>
              </w:rPr>
            </w:pPr>
            <w:r>
              <w:rPr>
                <w:rFonts w:hint="eastAsia" w:ascii="宋体" w:hAnsi="宋体" w:eastAsia="宋体" w:cs="宋体"/>
                <w:sz w:val="24"/>
              </w:rPr>
              <w:t xml:space="preserve">招标人指定的开户银行及账号如下： </w:t>
            </w:r>
          </w:p>
          <w:p>
            <w:pPr>
              <w:overflowPunct w:val="0"/>
              <w:spacing w:line="288" w:lineRule="auto"/>
              <w:ind w:right="105" w:rightChars="50"/>
              <w:rPr>
                <w:rFonts w:ascii="宋体" w:hAnsi="宋体" w:eastAsia="宋体" w:cs="宋体"/>
                <w:sz w:val="24"/>
              </w:rPr>
            </w:pPr>
            <w:r>
              <w:rPr>
                <w:rFonts w:hint="eastAsia" w:ascii="宋体" w:hAnsi="宋体" w:eastAsia="宋体" w:cs="宋体"/>
                <w:sz w:val="24"/>
              </w:rPr>
              <w:t>账户名称：</w:t>
            </w:r>
            <w:r>
              <w:rPr>
                <w:rFonts w:ascii="宋体" w:hAnsi="宋体" w:eastAsia="宋体" w:cs="宋体"/>
                <w:sz w:val="24"/>
              </w:rPr>
              <w:t>新疆千思跃建设工程项目管理有限责任公司</w:t>
            </w:r>
            <w:r>
              <w:rPr>
                <w:rFonts w:hint="eastAsia" w:ascii="宋体" w:hAnsi="宋体" w:eastAsia="宋体" w:cs="宋体"/>
                <w:sz w:val="24"/>
              </w:rPr>
              <w:t xml:space="preserve">           </w:t>
            </w:r>
          </w:p>
          <w:p>
            <w:pPr>
              <w:overflowPunct w:val="0"/>
              <w:spacing w:line="288" w:lineRule="auto"/>
              <w:ind w:right="105" w:rightChars="50"/>
              <w:rPr>
                <w:rFonts w:ascii="宋体" w:hAnsi="宋体" w:eastAsia="宋体" w:cs="宋体"/>
                <w:sz w:val="24"/>
              </w:rPr>
            </w:pPr>
            <w:r>
              <w:rPr>
                <w:rFonts w:hint="eastAsia" w:ascii="宋体" w:hAnsi="宋体" w:eastAsia="宋体" w:cs="宋体"/>
                <w:sz w:val="24"/>
              </w:rPr>
              <w:t xml:space="preserve">开户银行：中国建设银行股份有限公司乌鲁木齐鲤鱼山北路支行          </w:t>
            </w:r>
          </w:p>
          <w:p>
            <w:pPr>
              <w:overflowPunct w:val="0"/>
              <w:spacing w:line="288" w:lineRule="auto"/>
              <w:ind w:right="105" w:rightChars="50"/>
              <w:rPr>
                <w:rFonts w:ascii="宋体" w:hAnsi="宋体" w:eastAsia="宋体" w:cs="宋体"/>
                <w:sz w:val="24"/>
              </w:rPr>
            </w:pPr>
            <w:r>
              <w:rPr>
                <w:rFonts w:hint="eastAsia" w:ascii="宋体" w:hAnsi="宋体" w:eastAsia="宋体" w:cs="宋体"/>
                <w:sz w:val="24"/>
              </w:rPr>
              <w:t>账   号：6505 0110 6015 0000 0300</w:t>
            </w:r>
          </w:p>
          <w:p>
            <w:pPr>
              <w:pStyle w:val="32"/>
              <w:snapToGrid w:val="0"/>
              <w:spacing w:line="360" w:lineRule="auto"/>
              <w:ind w:right="105" w:rightChars="50"/>
            </w:pPr>
            <w:r>
              <w:rPr>
                <w:rFonts w:hint="eastAsia" w:ascii="宋体" w:hAnsi="宋体" w:eastAsia="宋体" w:cs="宋体"/>
                <w:sz w:val="24"/>
              </w:rPr>
              <w:t>备注须填写项目名称（项目名称可简写，但内容要明确）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pPr>
            <w:r>
              <w:rPr>
                <w:sz w:val="24"/>
              </w:rPr>
              <w:t>3.</w:t>
            </w:r>
            <w:r>
              <w:rPr>
                <w:rFonts w:hint="eastAsia"/>
                <w:sz w:val="24"/>
              </w:rPr>
              <w:t>6</w:t>
            </w:r>
            <w:r>
              <w:rPr>
                <w:sz w:val="24"/>
              </w:rPr>
              <w:t>.</w:t>
            </w:r>
            <w:r>
              <w:rPr>
                <w:rFonts w:hint="eastAsia"/>
                <w:sz w:val="24"/>
              </w:rPr>
              <w:t>3</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pPr>
            <w:r>
              <w:rPr>
                <w:sz w:val="24"/>
              </w:rPr>
              <w:t>投标文件副本份数</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pPr>
            <w:r>
              <w:rPr>
                <w:sz w:val="24"/>
              </w:rPr>
              <w:t>正本壹份，副本</w:t>
            </w:r>
            <w:r>
              <w:rPr>
                <w:rFonts w:hint="eastAsia"/>
                <w:sz w:val="24"/>
              </w:rPr>
              <w:t>叁</w:t>
            </w:r>
            <w:r>
              <w:rPr>
                <w:sz w:val="24"/>
              </w:rPr>
              <w:t>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17"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4.2.1</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投标截止时间</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2022</w:t>
            </w:r>
            <w:r>
              <w:rPr>
                <w:b/>
                <w:bCs/>
                <w:color w:val="000000" w:themeColor="text1"/>
                <w:sz w:val="24"/>
                <w14:textFill>
                  <w14:solidFill>
                    <w14:schemeClr w14:val="tx1"/>
                  </w14:solidFill>
                </w14:textFill>
              </w:rPr>
              <w:t>年1</w:t>
            </w:r>
            <w:r>
              <w:rPr>
                <w:rFonts w:hint="default"/>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月</w:t>
            </w:r>
            <w:r>
              <w:rPr>
                <w:rFonts w:hint="default"/>
                <w:b/>
                <w:bCs/>
                <w:color w:val="000000" w:themeColor="text1"/>
                <w:sz w:val="24"/>
                <w14:textFill>
                  <w14:solidFill>
                    <w14:schemeClr w14:val="tx1"/>
                  </w14:solidFill>
                </w14:textFill>
              </w:rPr>
              <w:t>01</w:t>
            </w:r>
            <w:r>
              <w:rPr>
                <w:b/>
                <w:bCs/>
                <w:color w:val="000000" w:themeColor="text1"/>
                <w:sz w:val="24"/>
                <w14:textFill>
                  <w14:solidFill>
                    <w14:schemeClr w14:val="tx1"/>
                  </w14:solidFill>
                </w14:textFill>
              </w:rPr>
              <w:t>日</w:t>
            </w: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1时</w:t>
            </w:r>
            <w:r>
              <w:rPr>
                <w:rFonts w:hint="eastAsia"/>
                <w:b/>
                <w:bCs/>
                <w:color w:val="000000" w:themeColor="text1"/>
                <w:sz w:val="24"/>
                <w14:textFill>
                  <w14:solidFill>
                    <w14:schemeClr w14:val="tx1"/>
                  </w14:solidFill>
                </w14:textFill>
              </w:rPr>
              <w:t>00</w:t>
            </w:r>
            <w:r>
              <w:rPr>
                <w:b/>
                <w:bCs/>
                <w:color w:val="000000" w:themeColor="text1"/>
                <w:sz w:val="24"/>
                <w14:textFill>
                  <w14:solidFill>
                    <w14:schemeClr w14:val="tx1"/>
                  </w14:solidFill>
                </w14:textFill>
              </w:rPr>
              <w:t>分(北京时间)</w:t>
            </w:r>
          </w:p>
        </w:tc>
      </w:tr>
      <w:tr>
        <w:trPr>
          <w:trHeight w:val="372"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4.2.2</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b/>
                <w:bCs/>
                <w:sz w:val="24"/>
              </w:rPr>
            </w:pPr>
            <w:r>
              <w:rPr>
                <w:b/>
                <w:bCs/>
                <w:sz w:val="24"/>
              </w:rPr>
              <w:t>递交投标文件地点</w:t>
            </w:r>
          </w:p>
        </w:tc>
        <w:tc>
          <w:tcPr>
            <w:tcW w:w="7653"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ind w:right="105" w:rightChars="50"/>
              <w:rPr>
                <w:b/>
                <w:bCs/>
                <w:sz w:val="24"/>
              </w:rPr>
            </w:pPr>
            <w:r>
              <w:rPr>
                <w:rFonts w:hint="eastAsia" w:ascii="宋体" w:hAnsi="宋体"/>
                <w:sz w:val="24"/>
              </w:rPr>
              <w:t>乌鲁木齐市鲤鱼山北路领世广场3号楼904室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7"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rFonts w:eastAsia="宋体"/>
                <w:sz w:val="24"/>
              </w:rPr>
            </w:pPr>
            <w:r>
              <w:rPr>
                <w:rFonts w:hint="eastAsia"/>
                <w:sz w:val="24"/>
              </w:rPr>
              <w:t>4.2.6</w:t>
            </w:r>
          </w:p>
        </w:tc>
        <w:tc>
          <w:tcPr>
            <w:tcW w:w="1888" w:type="dxa"/>
            <w:tcBorders>
              <w:top w:val="single" w:color="000000" w:sz="6" w:space="0"/>
              <w:left w:val="single" w:color="000000" w:sz="6" w:space="0"/>
              <w:bottom w:val="single" w:color="000000" w:sz="6" w:space="0"/>
              <w:right w:val="single" w:color="000000" w:sz="6" w:space="0"/>
            </w:tcBorders>
            <w:shd w:val="clear" w:color="auto" w:fill="FFFFFF"/>
          </w:tcPr>
          <w:p>
            <w:pPr>
              <w:spacing w:line="720" w:lineRule="auto"/>
              <w:ind w:right="105" w:rightChars="50"/>
              <w:jc w:val="center"/>
              <w:rPr>
                <w:rFonts w:ascii="Calibri" w:hAnsi="Calibri" w:eastAsia="宋体" w:cs="Times New Roman"/>
                <w:sz w:val="24"/>
              </w:rPr>
            </w:pPr>
            <w:r>
              <w:rPr>
                <w:rFonts w:hint="eastAsia" w:ascii="Calibri" w:hAnsi="Calibri" w:eastAsia="宋体" w:cs="Times New Roman"/>
                <w:sz w:val="24"/>
              </w:rPr>
              <w:t>封套上应载明的信息</w:t>
            </w:r>
          </w:p>
        </w:tc>
        <w:tc>
          <w:tcPr>
            <w:tcW w:w="7653" w:type="dxa"/>
            <w:tcBorders>
              <w:top w:val="single" w:color="000000" w:sz="6" w:space="0"/>
              <w:left w:val="single" w:color="000000" w:sz="6" w:space="0"/>
              <w:bottom w:val="single" w:color="000000" w:sz="6" w:space="0"/>
              <w:right w:val="single" w:color="000000" w:sz="12" w:space="0"/>
            </w:tcBorders>
            <w:shd w:val="clear" w:color="auto" w:fill="FFFFFF"/>
          </w:tcPr>
          <w:p>
            <w:pPr>
              <w:pStyle w:val="41"/>
              <w:tabs>
                <w:tab w:val="left" w:pos="3304"/>
              </w:tabs>
              <w:spacing w:before="90" w:line="321" w:lineRule="auto"/>
              <w:ind w:left="107" w:right="105" w:rightChars="50"/>
              <w:rPr>
                <w:rFonts w:ascii="Calibri" w:hAnsi="Calibri" w:cs="Times New Roman"/>
                <w:sz w:val="24"/>
                <w:u w:val="single"/>
                <w:lang w:val="en-US" w:bidi="ar-SA"/>
              </w:rPr>
            </w:pPr>
            <w:r>
              <w:rPr>
                <w:rFonts w:hint="eastAsia" w:ascii="Calibri" w:hAnsi="Calibri" w:cs="Times New Roman"/>
                <w:sz w:val="24"/>
                <w:lang w:val="en-US" w:bidi="ar-SA"/>
              </w:rPr>
              <w:t>投标文件封套：</w:t>
            </w:r>
            <w:r>
              <w:rPr>
                <w:rFonts w:hint="eastAsia" w:ascii="Calibri" w:hAnsi="Calibri" w:cs="Times New Roman"/>
                <w:sz w:val="24"/>
                <w:u w:val="single"/>
                <w:lang w:val="en-US" w:bidi="ar-SA"/>
              </w:rPr>
              <w:t xml:space="preserve">                   </w:t>
            </w:r>
          </w:p>
          <w:p>
            <w:pPr>
              <w:pStyle w:val="41"/>
              <w:tabs>
                <w:tab w:val="left" w:pos="3304"/>
              </w:tabs>
              <w:spacing w:before="90" w:line="321" w:lineRule="auto"/>
              <w:ind w:left="107" w:right="105" w:rightChars="50"/>
              <w:rPr>
                <w:rFonts w:ascii="Calibri" w:hAnsi="Calibri" w:cs="Times New Roman"/>
                <w:sz w:val="24"/>
                <w:lang w:val="en-US" w:bidi="ar-SA"/>
              </w:rPr>
            </w:pPr>
            <w:r>
              <w:rPr>
                <w:rFonts w:hint="eastAsia" w:ascii="Calibri" w:hAnsi="Calibri" w:cs="Times New Roman"/>
                <w:sz w:val="24"/>
                <w:lang w:val="en-US" w:bidi="ar-SA"/>
              </w:rPr>
              <w:t xml:space="preserve"> 招标人名称：</w:t>
            </w:r>
            <w:r>
              <w:rPr>
                <w:rFonts w:hint="eastAsia" w:ascii="Calibri" w:hAnsi="Calibri" w:cs="Times New Roman"/>
                <w:sz w:val="24"/>
                <w:u w:val="single"/>
                <w:lang w:val="en-US" w:bidi="ar-SA"/>
              </w:rPr>
              <w:t xml:space="preserve"> </w:t>
            </w:r>
            <w:r>
              <w:rPr>
                <w:rFonts w:hint="eastAsia" w:ascii="Calibri" w:hAnsi="Calibri" w:cs="Times New Roman"/>
                <w:sz w:val="24"/>
                <w:u w:val="single"/>
                <w:lang w:val="en-US" w:bidi="ar-SA"/>
              </w:rPr>
              <w:tab/>
            </w:r>
            <w:r>
              <w:rPr>
                <w:rFonts w:hint="eastAsia" w:ascii="Calibri" w:hAnsi="Calibri" w:cs="Times New Roman"/>
                <w:sz w:val="24"/>
                <w:u w:val="single"/>
                <w:lang w:val="en-US" w:bidi="ar-SA"/>
              </w:rPr>
              <w:t xml:space="preserve">       </w:t>
            </w:r>
          </w:p>
          <w:p>
            <w:pPr>
              <w:pStyle w:val="41"/>
              <w:tabs>
                <w:tab w:val="left" w:pos="738"/>
                <w:tab w:val="left" w:pos="2596"/>
              </w:tabs>
              <w:spacing w:before="91"/>
              <w:ind w:left="107" w:right="105" w:rightChars="50"/>
              <w:rPr>
                <w:rFonts w:ascii="Calibri" w:hAnsi="Calibri" w:cs="Times New Roman"/>
                <w:sz w:val="24"/>
                <w:u w:val="single"/>
                <w:lang w:val="en-US" w:bidi="ar-SA"/>
              </w:rPr>
            </w:pPr>
            <w:r>
              <w:rPr>
                <w:rFonts w:hint="eastAsia" w:ascii="Calibri" w:hAnsi="Calibri" w:cs="Times New Roman"/>
                <w:sz w:val="24"/>
                <w:lang w:val="en-US" w:bidi="ar-SA"/>
              </w:rPr>
              <w:t>（项目名称）</w:t>
            </w:r>
            <w:r>
              <w:rPr>
                <w:rFonts w:hint="eastAsia" w:ascii="Calibri" w:hAnsi="Calibri" w:cs="Times New Roman"/>
                <w:sz w:val="24"/>
                <w:u w:val="single"/>
                <w:lang w:val="en-US" w:bidi="ar-SA"/>
              </w:rPr>
              <w:t xml:space="preserve"> </w:t>
            </w:r>
            <w:r>
              <w:rPr>
                <w:rFonts w:hint="eastAsia" w:ascii="Calibri" w:hAnsi="Calibri" w:cs="Times New Roman"/>
                <w:sz w:val="24"/>
                <w:u w:val="single"/>
                <w:lang w:val="en-US" w:bidi="ar-SA"/>
              </w:rPr>
              <w:tab/>
            </w:r>
            <w:r>
              <w:rPr>
                <w:rFonts w:hint="eastAsia" w:ascii="Calibri" w:hAnsi="Calibri" w:cs="Times New Roman"/>
                <w:sz w:val="24"/>
                <w:u w:val="single"/>
                <w:lang w:val="en-US" w:bidi="ar-SA"/>
              </w:rPr>
              <w:t xml:space="preserve">             </w:t>
            </w:r>
          </w:p>
          <w:p>
            <w:pPr>
              <w:pStyle w:val="41"/>
              <w:tabs>
                <w:tab w:val="left" w:pos="2884"/>
              </w:tabs>
              <w:spacing w:before="91" w:line="321" w:lineRule="auto"/>
              <w:ind w:left="107" w:right="105" w:rightChars="50" w:hanging="106"/>
              <w:rPr>
                <w:rFonts w:ascii="Calibri" w:hAnsi="Calibri" w:cs="Times New Roman"/>
                <w:sz w:val="24"/>
                <w:u w:val="single"/>
                <w:lang w:val="en-US" w:bidi="ar-SA"/>
              </w:rPr>
            </w:pPr>
            <w:r>
              <w:rPr>
                <w:rFonts w:hint="eastAsia" w:ascii="Calibri" w:hAnsi="Calibri" w:cs="Times New Roman"/>
                <w:sz w:val="24"/>
                <w:lang w:val="en-US" w:bidi="ar-SA"/>
              </w:rPr>
              <w:t>招标项目编号：</w:t>
            </w:r>
            <w:r>
              <w:rPr>
                <w:rFonts w:hint="eastAsia" w:ascii="Calibri" w:hAnsi="Calibri" w:cs="Times New Roman"/>
                <w:sz w:val="24"/>
                <w:u w:val="single"/>
                <w:lang w:val="en-US" w:bidi="ar-SA"/>
              </w:rPr>
              <w:t xml:space="preserve"> </w:t>
            </w:r>
            <w:r>
              <w:rPr>
                <w:rFonts w:hint="eastAsia" w:ascii="Calibri" w:hAnsi="Calibri" w:cs="Times New Roman"/>
                <w:sz w:val="24"/>
                <w:u w:val="single"/>
                <w:lang w:val="en-US" w:bidi="ar-SA"/>
              </w:rPr>
              <w:tab/>
            </w:r>
            <w:r>
              <w:rPr>
                <w:rFonts w:hint="eastAsia" w:ascii="Calibri" w:hAnsi="Calibri" w:cs="Times New Roman"/>
                <w:sz w:val="24"/>
                <w:u w:val="single"/>
                <w:lang w:val="en-US" w:bidi="ar-SA"/>
              </w:rPr>
              <w:t xml:space="preserve">             </w:t>
            </w:r>
          </w:p>
          <w:p>
            <w:pPr>
              <w:pStyle w:val="41"/>
              <w:tabs>
                <w:tab w:val="left" w:pos="3935"/>
              </w:tabs>
              <w:spacing w:line="321" w:lineRule="auto"/>
              <w:ind w:left="107" w:right="105" w:rightChars="50"/>
              <w:rPr>
                <w:rFonts w:ascii="Calibri" w:hAnsi="Calibri" w:cs="Times New Roman"/>
                <w:sz w:val="24"/>
                <w:lang w:val="en-US" w:bidi="ar-SA"/>
              </w:rPr>
            </w:pPr>
            <w:r>
              <w:rPr>
                <w:rFonts w:hint="eastAsia" w:ascii="Calibri" w:hAnsi="Calibri" w:cs="Times New Roman"/>
                <w:sz w:val="24"/>
                <w:lang w:val="en-US" w:bidi="ar-SA"/>
              </w:rPr>
              <w:t>在</w:t>
            </w:r>
            <w:r>
              <w:rPr>
                <w:rFonts w:hint="eastAsia" w:ascii="Calibri" w:hAnsi="Calibri" w:cs="Times New Roman"/>
                <w:sz w:val="24"/>
                <w:u w:val="single"/>
                <w:lang w:val="en-US" w:bidi="ar-SA"/>
              </w:rPr>
              <w:t xml:space="preserve">    </w:t>
            </w:r>
            <w:r>
              <w:rPr>
                <w:rFonts w:hint="eastAsia" w:ascii="Calibri" w:hAnsi="Calibri" w:cs="Times New Roman"/>
                <w:sz w:val="24"/>
                <w:lang w:val="en-US" w:bidi="ar-SA"/>
              </w:rPr>
              <w:t>年</w:t>
            </w:r>
            <w:r>
              <w:rPr>
                <w:rFonts w:hint="eastAsia" w:ascii="Calibri" w:hAnsi="Calibri" w:cs="Times New Roman"/>
                <w:sz w:val="24"/>
                <w:u w:val="single"/>
                <w:lang w:val="en-US" w:bidi="ar-SA"/>
              </w:rPr>
              <w:t xml:space="preserve">   </w:t>
            </w:r>
            <w:r>
              <w:rPr>
                <w:rFonts w:hint="eastAsia" w:ascii="Calibri" w:hAnsi="Calibri" w:cs="Times New Roman"/>
                <w:sz w:val="24"/>
                <w:lang w:val="en-US" w:bidi="ar-SA"/>
              </w:rPr>
              <w:t>月</w:t>
            </w:r>
            <w:r>
              <w:rPr>
                <w:rFonts w:hint="eastAsia" w:ascii="Calibri" w:hAnsi="Calibri" w:cs="Times New Roman"/>
                <w:sz w:val="24"/>
                <w:u w:val="single"/>
                <w:lang w:val="en-US" w:bidi="ar-SA"/>
              </w:rPr>
              <w:t xml:space="preserve">   </w:t>
            </w:r>
            <w:r>
              <w:rPr>
                <w:rFonts w:hint="eastAsia" w:ascii="Calibri" w:hAnsi="Calibri" w:cs="Times New Roman"/>
                <w:sz w:val="24"/>
                <w:lang w:val="en-US" w:bidi="ar-SA"/>
              </w:rPr>
              <w:t>日</w:t>
            </w:r>
            <w:r>
              <w:rPr>
                <w:rFonts w:hint="eastAsia" w:ascii="Calibri" w:hAnsi="Calibri" w:cs="Times New Roman"/>
                <w:sz w:val="24"/>
                <w:u w:val="single"/>
                <w:lang w:val="en-US" w:bidi="ar-SA"/>
              </w:rPr>
              <w:t xml:space="preserve">   </w:t>
            </w:r>
            <w:r>
              <w:rPr>
                <w:rFonts w:hint="eastAsia" w:ascii="Calibri" w:hAnsi="Calibri" w:cs="Times New Roman"/>
                <w:sz w:val="24"/>
                <w:lang w:val="en-US" w:bidi="ar-SA"/>
              </w:rPr>
              <w:t>时</w:t>
            </w:r>
            <w:r>
              <w:rPr>
                <w:rFonts w:hint="eastAsia" w:ascii="Calibri" w:hAnsi="Calibri" w:cs="Times New Roman"/>
                <w:sz w:val="24"/>
                <w:u w:val="single"/>
                <w:lang w:val="en-US" w:bidi="ar-SA"/>
              </w:rPr>
              <w:t xml:space="preserve">   </w:t>
            </w:r>
            <w:r>
              <w:rPr>
                <w:rFonts w:hint="eastAsia" w:ascii="Calibri" w:hAnsi="Calibri" w:cs="Times New Roman"/>
                <w:sz w:val="24"/>
                <w:lang w:val="en-US" w:bidi="ar-SA"/>
              </w:rPr>
              <w:t>分前不得开启</w:t>
            </w:r>
          </w:p>
          <w:p>
            <w:pPr>
              <w:pStyle w:val="41"/>
              <w:tabs>
                <w:tab w:val="left" w:pos="3935"/>
              </w:tabs>
              <w:spacing w:line="321" w:lineRule="auto"/>
              <w:ind w:left="107" w:right="105" w:rightChars="50"/>
              <w:rPr>
                <w:rFonts w:ascii="Calibri" w:hAnsi="Calibri" w:cs="Times New Roman"/>
                <w:sz w:val="24"/>
                <w:lang w:val="en-US" w:bidi="ar-SA"/>
              </w:rPr>
            </w:pPr>
            <w:r>
              <w:rPr>
                <w:rFonts w:hint="eastAsia" w:ascii="Calibri" w:hAnsi="Calibri" w:cs="Times New Roman"/>
                <w:sz w:val="24"/>
                <w:lang w:val="en-US" w:bidi="ar-SA"/>
              </w:rPr>
              <w:t>投标人名称：</w:t>
            </w:r>
            <w:r>
              <w:rPr>
                <w:rFonts w:hint="eastAsia" w:ascii="Calibri" w:hAnsi="Calibri" w:cs="Times New Roman"/>
                <w:sz w:val="24"/>
                <w:u w:val="single"/>
                <w:lang w:val="en-US" w:bidi="ar-SA"/>
              </w:rPr>
              <w:t xml:space="preserve">                    </w:t>
            </w:r>
            <w:r>
              <w:rPr>
                <w:rFonts w:hint="eastAsia" w:ascii="Calibri" w:hAnsi="Calibri" w:cs="Times New Roman"/>
                <w:sz w:val="24"/>
                <w:lang w:val="en-US" w:bidi="ar-SA"/>
              </w:rPr>
              <w:tab/>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82"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5.2</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开标程序</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left="210" w:leftChars="99" w:right="105" w:rightChars="50" w:hanging="2"/>
              <w:rPr>
                <w:sz w:val="24"/>
              </w:rPr>
            </w:pPr>
            <w:r>
              <w:rPr>
                <w:sz w:val="24"/>
              </w:rPr>
              <w:t>(1)密封情况检查：</w:t>
            </w:r>
            <w:r>
              <w:rPr>
                <w:sz w:val="24"/>
                <w:u w:val="single"/>
              </w:rPr>
              <w:t>由监标人员和投标人代表。</w:t>
            </w:r>
          </w:p>
          <w:p>
            <w:pPr>
              <w:pStyle w:val="32"/>
              <w:snapToGrid w:val="0"/>
              <w:spacing w:line="360" w:lineRule="auto"/>
              <w:ind w:left="210" w:leftChars="99" w:right="105" w:rightChars="50" w:hanging="2"/>
              <w:rPr>
                <w:sz w:val="24"/>
              </w:rPr>
            </w:pPr>
            <w:r>
              <w:rPr>
                <w:sz w:val="24"/>
              </w:rPr>
              <w:t>(2)开标顺序：</w:t>
            </w:r>
            <w:r>
              <w:rPr>
                <w:sz w:val="24"/>
                <w:u w:val="single"/>
              </w:rPr>
              <w:t>按标书送达时间的逆顺序。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2"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6.1.1</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评标委员会的组建</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left="210" w:leftChars="99" w:right="105" w:rightChars="50" w:hanging="2"/>
              <w:rPr>
                <w:sz w:val="24"/>
              </w:rPr>
            </w:pPr>
            <w:r>
              <w:rPr>
                <w:sz w:val="24"/>
              </w:rPr>
              <w:t>评标委员会构成：</w:t>
            </w:r>
            <w:r>
              <w:rPr>
                <w:sz w:val="24"/>
                <w:u w:val="single"/>
              </w:rPr>
              <w:t xml:space="preserve"> 5 </w:t>
            </w:r>
            <w:r>
              <w:rPr>
                <w:sz w:val="24"/>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29"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6.3</w:t>
            </w:r>
            <w:r>
              <w:rPr>
                <w:rFonts w:hint="eastAsia"/>
                <w:sz w:val="24"/>
              </w:rPr>
              <w:t>.1</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sz w:val="24"/>
              </w:rPr>
              <w:t>评标办法</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tabs>
                <w:tab w:val="center" w:pos="3509"/>
              </w:tabs>
              <w:snapToGrid w:val="0"/>
              <w:spacing w:line="360" w:lineRule="auto"/>
              <w:ind w:left="210" w:leftChars="99" w:right="105" w:rightChars="50" w:hanging="2"/>
              <w:rPr>
                <w:sz w:val="24"/>
              </w:rPr>
            </w:pPr>
            <w:r>
              <w:rPr>
                <w:sz w:val="24"/>
              </w:rPr>
              <w:t>本次招标采用：综合评</w:t>
            </w:r>
            <w:r>
              <w:rPr>
                <w:rFonts w:hint="eastAsia"/>
                <w:sz w:val="24"/>
              </w:rPr>
              <w:t>分</w:t>
            </w:r>
            <w:r>
              <w:rPr>
                <w:sz w:val="24"/>
              </w:rPr>
              <w:t>法</w:t>
            </w:r>
            <w:r>
              <w:rPr>
                <w:rFonts w:hint="eastAsia"/>
                <w:sz w:val="24"/>
              </w:rPr>
              <w:tab/>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83"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rFonts w:eastAsia="宋体"/>
                <w:sz w:val="24"/>
              </w:rPr>
            </w:pPr>
            <w:r>
              <w:rPr>
                <w:rFonts w:hint="eastAsia"/>
                <w:sz w:val="24"/>
              </w:rPr>
              <w:t>6.3.2</w:t>
            </w:r>
          </w:p>
        </w:tc>
        <w:tc>
          <w:tcPr>
            <w:tcW w:w="1888" w:type="dxa"/>
            <w:tcBorders>
              <w:top w:val="single" w:color="000000" w:sz="6" w:space="0"/>
              <w:left w:val="single" w:color="000000" w:sz="6"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rFonts w:hint="eastAsia"/>
                <w:sz w:val="24"/>
              </w:rPr>
              <w:t>评标委员会推荐中标候选人的人数</w:t>
            </w:r>
          </w:p>
        </w:tc>
        <w:tc>
          <w:tcPr>
            <w:tcW w:w="7653" w:type="dxa"/>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jc w:val="center"/>
              <w:rPr>
                <w:rFonts w:eastAsia="宋体"/>
                <w:sz w:val="24"/>
              </w:rPr>
            </w:pPr>
            <w:r>
              <w:rPr>
                <w:rFonts w:hint="eastAsia"/>
                <w:sz w:val="24"/>
              </w:rPr>
              <w:t>3人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8" w:hRule="atLeast"/>
          <w:jc w:val="center"/>
        </w:trPr>
        <w:tc>
          <w:tcPr>
            <w:tcW w:w="10245" w:type="dxa"/>
            <w:gridSpan w:val="3"/>
            <w:tcBorders>
              <w:top w:val="single" w:color="000000" w:sz="6" w:space="0"/>
              <w:left w:val="single" w:color="000000" w:sz="12" w:space="0"/>
              <w:bottom w:val="single" w:color="000000" w:sz="6" w:space="0"/>
              <w:right w:val="single" w:color="000000" w:sz="12" w:space="0"/>
            </w:tcBorders>
            <w:vAlign w:val="center"/>
          </w:tcPr>
          <w:p>
            <w:pPr>
              <w:pStyle w:val="32"/>
              <w:snapToGrid w:val="0"/>
              <w:spacing w:line="360" w:lineRule="auto"/>
              <w:ind w:right="105" w:rightChars="50"/>
              <w:rPr>
                <w:sz w:val="24"/>
              </w:rPr>
            </w:pPr>
            <w:r>
              <w:rPr>
                <w:sz w:val="24"/>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62"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rFonts w:hint="eastAsia" w:ascii="宋体" w:hAnsi="宋体"/>
                <w:sz w:val="24"/>
              </w:rPr>
              <w:t>9.1</w:t>
            </w:r>
          </w:p>
        </w:tc>
        <w:tc>
          <w:tcPr>
            <w:tcW w:w="9541" w:type="dxa"/>
            <w:gridSpan w:val="2"/>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rPr>
                <w:sz w:val="24"/>
              </w:rPr>
            </w:pPr>
            <w:r>
              <w:rPr>
                <w:rFonts w:hint="eastAsia" w:ascii="宋体" w:hAnsi="宋体"/>
                <w:b/>
                <w:bCs/>
                <w:sz w:val="24"/>
              </w:rPr>
              <w:t>招标文件中提到的所有复印件均为彩色扫描件或彩色复印件。投标文件正本中提供的复印件均为彩色扫描件或彩色复印件。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62"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rFonts w:ascii="宋体" w:hAnsi="宋体"/>
                <w:sz w:val="24"/>
              </w:rPr>
            </w:pPr>
            <w:r>
              <w:rPr>
                <w:rFonts w:hint="eastAsia" w:ascii="宋体" w:hAnsi="宋体"/>
                <w:sz w:val="24"/>
              </w:rPr>
              <w:t>9.2</w:t>
            </w:r>
          </w:p>
        </w:tc>
        <w:tc>
          <w:tcPr>
            <w:tcW w:w="9541" w:type="dxa"/>
            <w:gridSpan w:val="2"/>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rPr>
                <w:rFonts w:ascii="宋体" w:hAnsi="宋体"/>
                <w:b/>
                <w:bCs/>
                <w:sz w:val="24"/>
              </w:rPr>
            </w:pPr>
            <w:r>
              <w:rPr>
                <w:rFonts w:hint="eastAsia" w:ascii="宋体" w:cs="宋体"/>
                <w:sz w:val="24"/>
              </w:rPr>
              <w:t>招标文件费：300元，售后不退。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39"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pStyle w:val="32"/>
              <w:snapToGrid w:val="0"/>
              <w:spacing w:line="360" w:lineRule="auto"/>
              <w:ind w:right="105" w:rightChars="50"/>
              <w:jc w:val="center"/>
              <w:rPr>
                <w:sz w:val="24"/>
              </w:rPr>
            </w:pPr>
            <w:r>
              <w:rPr>
                <w:rFonts w:hint="eastAsia" w:ascii="宋体" w:hAnsi="宋体"/>
                <w:sz w:val="24"/>
              </w:rPr>
              <w:t>9.3</w:t>
            </w:r>
          </w:p>
        </w:tc>
        <w:tc>
          <w:tcPr>
            <w:tcW w:w="9541" w:type="dxa"/>
            <w:gridSpan w:val="2"/>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jc w:val="left"/>
              <w:rPr>
                <w:sz w:val="24"/>
              </w:rPr>
            </w:pPr>
            <w:r>
              <w:rPr>
                <w:rFonts w:hint="eastAsia" w:ascii="宋体" w:hAnsi="宋体" w:eastAsia="宋体" w:cs="Times New Roman"/>
                <w:sz w:val="24"/>
              </w:rPr>
              <w:t>按发改价格[2011]543号及计价格[2002]1980号文件计算的招标代理服务收费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725"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ind w:right="105" w:rightChars="50"/>
              <w:jc w:val="center"/>
              <w:rPr>
                <w:sz w:val="24"/>
              </w:rPr>
            </w:pPr>
            <w:r>
              <w:rPr>
                <w:rFonts w:hint="eastAsia" w:ascii="宋体" w:hAnsi="宋体" w:eastAsia="宋体" w:cs="Times New Roman"/>
                <w:sz w:val="24"/>
              </w:rPr>
              <w:t>9.4</w:t>
            </w:r>
          </w:p>
        </w:tc>
        <w:tc>
          <w:tcPr>
            <w:tcW w:w="9541" w:type="dxa"/>
            <w:gridSpan w:val="2"/>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ind w:right="105" w:rightChars="50"/>
              <w:rPr>
                <w:sz w:val="24"/>
              </w:rPr>
            </w:pPr>
            <w:r>
              <w:rPr>
                <w:rFonts w:hint="eastAsia" w:ascii="宋体" w:hAnsi="宋体" w:eastAsia="宋体" w:cs="Times New Roman"/>
                <w:sz w:val="24"/>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ind w:right="105" w:rightChars="50"/>
              <w:jc w:val="center"/>
              <w:rPr>
                <w:rFonts w:ascii="宋体" w:hAnsi="宋体" w:eastAsia="宋体" w:cs="Times New Roman"/>
                <w:sz w:val="24"/>
              </w:rPr>
            </w:pPr>
            <w:r>
              <w:rPr>
                <w:rFonts w:hint="eastAsia" w:ascii="宋体" w:hAnsi="宋体" w:eastAsia="宋体" w:cs="Times New Roman"/>
                <w:sz w:val="24"/>
              </w:rPr>
              <w:t>9.5</w:t>
            </w:r>
          </w:p>
        </w:tc>
        <w:tc>
          <w:tcPr>
            <w:tcW w:w="9541" w:type="dxa"/>
            <w:gridSpan w:val="2"/>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jc w:val="left"/>
              <w:rPr>
                <w:rFonts w:ascii="宋体" w:hAnsi="宋体" w:eastAsia="宋体" w:cs="Times New Roman"/>
                <w:b/>
                <w:bCs/>
                <w:sz w:val="24"/>
              </w:rPr>
            </w:pPr>
            <w:r>
              <w:rPr>
                <w:rFonts w:hint="eastAsia" w:ascii="宋体" w:hAnsi="宋体" w:eastAsia="宋体" w:cs="Times New Roman"/>
                <w:b/>
                <w:bCs/>
                <w:sz w:val="24"/>
              </w:rPr>
              <w:t>开标时请携带以下证件原件以便监督人进行查验：</w:t>
            </w:r>
          </w:p>
          <w:p>
            <w:pPr>
              <w:pStyle w:val="32"/>
              <w:numPr>
                <w:ilvl w:val="0"/>
                <w:numId w:val="5"/>
              </w:numPr>
              <w:snapToGrid w:val="0"/>
              <w:ind w:right="105" w:rightChars="50"/>
              <w:jc w:val="left"/>
              <w:rPr>
                <w:b/>
                <w:kern w:val="11"/>
                <w:sz w:val="24"/>
              </w:rPr>
            </w:pPr>
            <w:r>
              <w:rPr>
                <w:rFonts w:hint="eastAsia"/>
                <w:b/>
                <w:kern w:val="11"/>
                <w:sz w:val="24"/>
              </w:rPr>
              <w:t>有效的营业执照</w:t>
            </w:r>
          </w:p>
          <w:p>
            <w:pPr>
              <w:pStyle w:val="32"/>
              <w:snapToGrid w:val="0"/>
              <w:ind w:right="105" w:rightChars="50" w:firstLine="240" w:firstLineChars="100"/>
              <w:jc w:val="left"/>
              <w:rPr>
                <w:b/>
                <w:kern w:val="11"/>
                <w:sz w:val="24"/>
              </w:rPr>
            </w:pPr>
            <w:r>
              <w:rPr>
                <w:b/>
                <w:kern w:val="11"/>
                <w:sz w:val="24"/>
              </w:rPr>
              <w:t>2</w:t>
            </w:r>
            <w:r>
              <w:rPr>
                <w:rFonts w:hint="eastAsia"/>
                <w:b/>
                <w:kern w:val="11"/>
                <w:sz w:val="24"/>
              </w:rPr>
              <w:t>、须具备近一年财务审计报告或银行提供的资信证明（新公司从成立之日起算）。</w:t>
            </w:r>
          </w:p>
          <w:p>
            <w:pPr>
              <w:pStyle w:val="32"/>
              <w:snapToGrid w:val="0"/>
              <w:ind w:right="105" w:rightChars="50" w:firstLine="240" w:firstLineChars="100"/>
              <w:jc w:val="left"/>
              <w:rPr>
                <w:b/>
                <w:kern w:val="11"/>
                <w:sz w:val="24"/>
              </w:rPr>
            </w:pPr>
            <w:r>
              <w:rPr>
                <w:b/>
                <w:kern w:val="11"/>
                <w:sz w:val="24"/>
              </w:rPr>
              <w:t>3</w:t>
            </w:r>
            <w:r>
              <w:rPr>
                <w:rFonts w:hint="eastAsia"/>
                <w:b/>
                <w:kern w:val="11"/>
                <w:sz w:val="24"/>
              </w:rPr>
              <w:t>、须具有近一年任意月纳税证明（新公司从成立之日起算）。</w:t>
            </w:r>
          </w:p>
          <w:p>
            <w:pPr>
              <w:pStyle w:val="32"/>
              <w:snapToGrid w:val="0"/>
              <w:ind w:right="105" w:rightChars="50" w:firstLine="240" w:firstLineChars="100"/>
              <w:jc w:val="left"/>
              <w:rPr>
                <w:b/>
                <w:kern w:val="11"/>
                <w:sz w:val="24"/>
              </w:rPr>
            </w:pPr>
            <w:r>
              <w:rPr>
                <w:b/>
                <w:kern w:val="11"/>
                <w:sz w:val="24"/>
              </w:rPr>
              <w:t>4</w:t>
            </w:r>
            <w:r>
              <w:rPr>
                <w:rFonts w:hint="eastAsia"/>
                <w:b/>
                <w:kern w:val="11"/>
                <w:sz w:val="24"/>
              </w:rPr>
              <w:t>、法人身份证明及身份证原件或法人授权委托书原件被授权人有效身份证原件。</w:t>
            </w:r>
          </w:p>
          <w:p>
            <w:pPr>
              <w:pStyle w:val="32"/>
              <w:snapToGrid w:val="0"/>
              <w:ind w:right="105" w:rightChars="50" w:firstLine="240" w:firstLineChars="100"/>
              <w:jc w:val="left"/>
              <w:rPr>
                <w:rFonts w:ascii="宋体" w:hAnsi="宋体" w:eastAsia="宋体" w:cs="Times New Roman"/>
                <w:sz w:val="24"/>
              </w:rPr>
            </w:pPr>
            <w:r>
              <w:rPr>
                <w:b/>
                <w:kern w:val="11"/>
                <w:sz w:val="24"/>
              </w:rPr>
              <w:t>5</w:t>
            </w:r>
            <w:r>
              <w:rPr>
                <w:rFonts w:hint="eastAsia"/>
                <w:b/>
                <w:kern w:val="11"/>
                <w:sz w:val="24"/>
              </w:rPr>
              <w:t>、凡拟参加本次招标项目的投标人，如在“信用中国”网站（www.creditchina.gov.cn）和中国政府采购网（www.ccgp.gov.cn）被列入失信被执行人、税收违法黑名单、政府采购严重违法失信行为记录名单的（尚在处罚期内的），将拒绝其参加本次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704"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ind w:right="105" w:rightChars="50"/>
              <w:jc w:val="center"/>
              <w:rPr>
                <w:rFonts w:ascii="宋体" w:hAnsi="宋体" w:eastAsia="宋体" w:cs="Times New Roman"/>
                <w:sz w:val="24"/>
              </w:rPr>
            </w:pPr>
            <w:r>
              <w:rPr>
                <w:rFonts w:hint="eastAsia" w:ascii="宋体" w:hAnsi="宋体" w:eastAsia="宋体" w:cs="Times New Roman"/>
                <w:sz w:val="24"/>
              </w:rPr>
              <w:t>9.6</w:t>
            </w:r>
          </w:p>
        </w:tc>
        <w:tc>
          <w:tcPr>
            <w:tcW w:w="9541" w:type="dxa"/>
            <w:gridSpan w:val="2"/>
            <w:tcBorders>
              <w:top w:val="single" w:color="000000" w:sz="6" w:space="0"/>
              <w:left w:val="single" w:color="000000" w:sz="6" w:space="0"/>
              <w:bottom w:val="single" w:color="000000" w:sz="6" w:space="0"/>
              <w:right w:val="single" w:color="000000" w:sz="12" w:space="0"/>
            </w:tcBorders>
            <w:vAlign w:val="center"/>
          </w:tcPr>
          <w:p>
            <w:pPr>
              <w:pStyle w:val="32"/>
              <w:snapToGrid w:val="0"/>
              <w:spacing w:line="360" w:lineRule="auto"/>
              <w:ind w:right="105" w:rightChars="50"/>
              <w:jc w:val="left"/>
              <w:rPr>
                <w:b/>
                <w:kern w:val="11"/>
                <w:sz w:val="24"/>
              </w:rPr>
            </w:pPr>
            <w:r>
              <w:rPr>
                <w:rFonts w:hint="eastAsia"/>
                <w:bCs/>
                <w:kern w:val="11"/>
                <w:sz w:val="24"/>
              </w:rPr>
              <w:t>投标人应当认真审查招标文件及配套资料，凡未提出有关书面质疑的，视为无异议，由投标人自行承担相应的责任和损失。获得中标资格的投标人若以此为理由弃标，招标人不予退回投标保证金，并按延误工期追偿损失。</w:t>
            </w:r>
          </w:p>
        </w:tc>
      </w:tr>
    </w:tbl>
    <w:p>
      <w:pPr>
        <w:pStyle w:val="7"/>
        <w:rPr>
          <w:rFonts w:ascii="Calibri" w:hAnsi="Calibri" w:eastAsia="宋体" w:cs="Times New Roman"/>
          <w:bCs/>
          <w:sz w:val="24"/>
        </w:rPr>
      </w:pPr>
      <w:bookmarkStart w:id="5" w:name="_Toc24411"/>
      <w:r>
        <w:rPr>
          <w:rFonts w:hint="eastAsia" w:asciiTheme="majorEastAsia" w:hAnsiTheme="majorEastAsia" w:eastAsiaTheme="majorEastAsia" w:cstheme="majorEastAsia"/>
        </w:rPr>
        <w:t>1. 总则</w:t>
      </w:r>
      <w:bookmarkEnd w:id="5"/>
    </w:p>
    <w:p>
      <w:pPr>
        <w:rPr>
          <w:rFonts w:ascii="Calibri" w:hAnsi="Calibri" w:eastAsia="宋体" w:cs="Times New Roman"/>
          <w:sz w:val="24"/>
        </w:rPr>
      </w:pPr>
      <w:r>
        <w:rPr>
          <w:rFonts w:hint="eastAsia" w:ascii="Calibri" w:hAnsi="Calibri" w:eastAsia="宋体" w:cs="Times New Roman"/>
          <w:b/>
          <w:bCs/>
          <w:sz w:val="24"/>
        </w:rPr>
        <w:t>1.1 招标项目概况</w:t>
      </w:r>
    </w:p>
    <w:p>
      <w:pPr>
        <w:spacing w:line="360" w:lineRule="auto"/>
        <w:rPr>
          <w:rFonts w:ascii="Calibri" w:hAnsi="Calibri" w:eastAsia="宋体" w:cs="Times New Roman"/>
          <w:sz w:val="24"/>
        </w:rPr>
      </w:pPr>
      <w:r>
        <w:rPr>
          <w:rFonts w:hint="eastAsia" w:ascii="Calibri" w:hAnsi="Calibri" w:eastAsia="宋体" w:cs="Times New Roman"/>
          <w:sz w:val="24"/>
        </w:rPr>
        <w:t>1.1.1 根据</w:t>
      </w:r>
      <w:r>
        <w:rPr>
          <w:rFonts w:hint="eastAsia" w:ascii="宋体" w:hAnsi="宋体" w:cs="宋体"/>
          <w:sz w:val="24"/>
          <w:shd w:val="clear" w:color="auto" w:fill="FFFFFF"/>
        </w:rPr>
        <w:t>《中华人民共和国政府采购法》、《中华人民共和国政府采购法实施条例》、《政府采购货物和服务招标投标管理办法》</w:t>
      </w:r>
      <w:r>
        <w:rPr>
          <w:rFonts w:hint="eastAsia" w:ascii="Calibri" w:hAnsi="Calibri" w:eastAsia="宋体" w:cs="Times New Roman"/>
          <w:sz w:val="24"/>
        </w:rPr>
        <w:t>等有关法律、法规和规章的规定，本招标项目已具备招标条件，现对该项目进行招标。</w:t>
      </w:r>
    </w:p>
    <w:p>
      <w:pPr>
        <w:spacing w:line="360" w:lineRule="auto"/>
        <w:rPr>
          <w:rFonts w:ascii="Calibri" w:hAnsi="Calibri" w:eastAsia="宋体" w:cs="Times New Roman"/>
          <w:sz w:val="24"/>
        </w:rPr>
      </w:pPr>
      <w:r>
        <w:rPr>
          <w:rFonts w:hint="eastAsia" w:ascii="Calibri" w:hAnsi="Calibri" w:eastAsia="宋体" w:cs="Times New Roman"/>
          <w:sz w:val="24"/>
        </w:rPr>
        <w:t>1.1.2 招标人：见投标人须知前附表。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1.1.3 招标代理机构：见投标人须知前附表。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1.1.4 招标项目名称：见投标人须知前附表。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1.1.5资金来源：见投标人须知前附表。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1.1.6总投资：见投标人须知前附表。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1.1.7</w:t>
      </w:r>
      <w:r>
        <w:rPr>
          <w:rFonts w:hint="eastAsia" w:ascii="Calibri" w:hAnsi="Calibri" w:eastAsia="宋体" w:cs="Times New Roman"/>
          <w:sz w:val="24"/>
          <w:lang w:val="zh-CN"/>
        </w:rPr>
        <w:t>招标控制价</w:t>
      </w:r>
      <w:r>
        <w:rPr>
          <w:rFonts w:hint="eastAsia" w:ascii="Calibri" w:hAnsi="Calibri" w:eastAsia="宋体" w:cs="Times New Roman"/>
          <w:sz w:val="24"/>
        </w:rPr>
        <w:t>：见投标人须知前附表。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1.1.8质量要求：见投标人须知前附表。</w:t>
      </w:r>
    </w:p>
    <w:p>
      <w:pPr>
        <w:pStyle w:val="18"/>
      </w:pPr>
      <w:r>
        <w:rPr>
          <w:rFonts w:hint="eastAsia" w:ascii="Calibri" w:hAnsi="Calibri" w:eastAsia="宋体" w:cs="Times New Roman"/>
          <w:sz w:val="24"/>
        </w:rPr>
        <w:t>1.1.9服务期：见投标人须知前附表</w:t>
      </w:r>
    </w:p>
    <w:p>
      <w:pPr>
        <w:rPr>
          <w:rFonts w:ascii="Calibri" w:hAnsi="Calibri" w:eastAsia="宋体" w:cs="Times New Roman"/>
          <w:b/>
          <w:bCs/>
          <w:sz w:val="24"/>
        </w:rPr>
      </w:pPr>
      <w:r>
        <w:rPr>
          <w:rFonts w:hint="eastAsia" w:ascii="Calibri" w:hAnsi="Calibri" w:eastAsia="宋体" w:cs="Times New Roman"/>
          <w:b/>
          <w:bCs/>
          <w:sz w:val="24"/>
        </w:rPr>
        <w:t>1.2  招标方式和资格审查方式</w:t>
      </w:r>
    </w:p>
    <w:p>
      <w:pPr>
        <w:spacing w:line="360" w:lineRule="auto"/>
        <w:rPr>
          <w:rFonts w:ascii="Calibri" w:hAnsi="Calibri" w:eastAsia="宋体" w:cs="Times New Roman"/>
          <w:sz w:val="24"/>
        </w:rPr>
      </w:pPr>
      <w:r>
        <w:rPr>
          <w:rFonts w:hint="eastAsia" w:ascii="Calibri" w:hAnsi="Calibri" w:eastAsia="宋体" w:cs="Times New Roman"/>
          <w:sz w:val="24"/>
        </w:rPr>
        <w:t>1.2.1招标方式：见投标人须知前附表。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1.2.2 资格审查方式：见投标人须知前附表。</w:t>
      </w:r>
    </w:p>
    <w:p>
      <w:pPr>
        <w:spacing w:line="360" w:lineRule="auto"/>
        <w:rPr>
          <w:rFonts w:ascii="Calibri" w:hAnsi="Calibri" w:eastAsia="宋体" w:cs="Times New Roman"/>
          <w:sz w:val="24"/>
        </w:rPr>
      </w:pPr>
      <w:r>
        <w:rPr>
          <w:rFonts w:hint="eastAsia" w:ascii="Calibri" w:hAnsi="Calibri" w:eastAsia="宋体" w:cs="Times New Roman"/>
          <w:b/>
          <w:bCs/>
          <w:sz w:val="24"/>
        </w:rPr>
        <w:t>1.3 招标范围、工期、地点</w:t>
      </w:r>
    </w:p>
    <w:p>
      <w:pPr>
        <w:spacing w:line="360" w:lineRule="auto"/>
        <w:rPr>
          <w:rFonts w:ascii="Calibri" w:hAnsi="Calibri" w:eastAsia="宋体" w:cs="Times New Roman"/>
          <w:sz w:val="24"/>
        </w:rPr>
      </w:pPr>
      <w:r>
        <w:rPr>
          <w:rFonts w:hint="eastAsia" w:ascii="Calibri" w:hAnsi="Calibri" w:eastAsia="宋体" w:cs="Times New Roman"/>
          <w:sz w:val="24"/>
        </w:rPr>
        <w:t>1.3.1 招标范围：见投标人须知前附表。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1.3.2 周期：见投标人须知前附表。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1.3.3 地点：见投标人须知前附表。</w:t>
      </w:r>
    </w:p>
    <w:p>
      <w:pPr>
        <w:spacing w:line="360" w:lineRule="auto"/>
        <w:rPr>
          <w:rFonts w:ascii="Calibri" w:hAnsi="Calibri" w:eastAsia="宋体" w:cs="Times New Roman"/>
          <w:sz w:val="24"/>
        </w:rPr>
      </w:pPr>
      <w:r>
        <w:rPr>
          <w:rFonts w:hint="eastAsia" w:ascii="Calibri" w:hAnsi="Calibri" w:eastAsia="宋体" w:cs="Times New Roman"/>
          <w:b/>
          <w:bCs/>
          <w:sz w:val="24"/>
        </w:rPr>
        <w:t>1.4 投标人资格要求</w:t>
      </w:r>
    </w:p>
    <w:p>
      <w:pPr>
        <w:spacing w:line="360" w:lineRule="auto"/>
        <w:rPr>
          <w:rFonts w:ascii="Calibri" w:hAnsi="Calibri" w:eastAsia="宋体" w:cs="Times New Roman"/>
          <w:sz w:val="24"/>
        </w:rPr>
      </w:pPr>
      <w:r>
        <w:rPr>
          <w:rFonts w:hint="eastAsia" w:ascii="Calibri" w:hAnsi="Calibri" w:eastAsia="宋体" w:cs="Times New Roman"/>
          <w:sz w:val="24"/>
        </w:rPr>
        <w:t>1.4.1 投标人应具备承担本招标项目的资格条件和能力，具体要求见投标人须知前附表。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1.4.2 投标人须知前附表规定接受联合体投标的，联合体除应符合本章第 1.4.1 项和投标人须知前附表的要求外，还应遵守以下规定：</w:t>
      </w:r>
    </w:p>
    <w:p>
      <w:pPr>
        <w:spacing w:line="360" w:lineRule="auto"/>
        <w:rPr>
          <w:rFonts w:ascii="Calibri" w:hAnsi="Calibri" w:eastAsia="宋体" w:cs="Times New Roman"/>
          <w:sz w:val="24"/>
        </w:rPr>
      </w:pPr>
      <w:r>
        <w:rPr>
          <w:rFonts w:hint="eastAsia" w:ascii="Calibri" w:hAnsi="Calibri" w:eastAsia="宋体" w:cs="Times New Roman"/>
          <w:sz w:val="24"/>
        </w:rPr>
        <w:t>（1）联合体各方应按招标文件提供的格式签订联合体协议书，明确联合体牵头人和各方权利义务，并承诺就中标项目向招标人承担连带责任；</w:t>
      </w:r>
    </w:p>
    <w:p>
      <w:pPr>
        <w:spacing w:line="360" w:lineRule="auto"/>
        <w:rPr>
          <w:rFonts w:ascii="Calibri" w:hAnsi="Calibri" w:eastAsia="宋体" w:cs="Times New Roman"/>
          <w:sz w:val="24"/>
        </w:rPr>
      </w:pPr>
      <w:r>
        <w:rPr>
          <w:rFonts w:hint="eastAsia" w:ascii="Calibri" w:hAnsi="Calibri" w:eastAsia="宋体" w:cs="Times New Roman"/>
          <w:sz w:val="24"/>
        </w:rPr>
        <w:t>（2）由同一专业的单位组成的联合体，按照资质等级较低的单位确定资质等级；</w:t>
      </w:r>
    </w:p>
    <w:p>
      <w:pPr>
        <w:spacing w:line="360" w:lineRule="auto"/>
        <w:rPr>
          <w:rFonts w:ascii="Calibri" w:hAnsi="Calibri" w:eastAsia="宋体" w:cs="Times New Roman"/>
          <w:sz w:val="24"/>
        </w:rPr>
      </w:pPr>
      <w:r>
        <w:rPr>
          <w:rFonts w:hint="eastAsia" w:ascii="Calibri" w:hAnsi="Calibri" w:eastAsia="宋体" w:cs="Times New Roman"/>
          <w:sz w:val="24"/>
        </w:rPr>
        <w:t>（3）联合体各方不得再以自己名义单独或参加其他联合体在本招标项目中投标，否则各相关投标均无效。</w:t>
      </w:r>
    </w:p>
    <w:p>
      <w:pPr>
        <w:spacing w:line="360" w:lineRule="auto"/>
        <w:rPr>
          <w:rFonts w:ascii="Calibri" w:hAnsi="Calibri" w:eastAsia="宋体" w:cs="Times New Roman"/>
          <w:sz w:val="24"/>
        </w:rPr>
      </w:pPr>
      <w:r>
        <w:rPr>
          <w:rFonts w:hint="eastAsia" w:ascii="Calibri" w:hAnsi="Calibri" w:eastAsia="宋体" w:cs="Times New Roman"/>
          <w:sz w:val="24"/>
        </w:rPr>
        <w:t>1.4.3 投标人不得存在下列情形之一：</w:t>
      </w:r>
    </w:p>
    <w:p>
      <w:pPr>
        <w:spacing w:line="360" w:lineRule="auto"/>
        <w:rPr>
          <w:rFonts w:ascii="Calibri" w:hAnsi="Calibri" w:eastAsia="宋体" w:cs="Times New Roman"/>
          <w:sz w:val="24"/>
        </w:rPr>
      </w:pPr>
      <w:r>
        <w:rPr>
          <w:rFonts w:hint="eastAsia" w:ascii="Calibri" w:hAnsi="Calibri" w:eastAsia="宋体" w:cs="Times New Roman"/>
          <w:sz w:val="24"/>
        </w:rPr>
        <w:t>（1）与招标人存在利害关系可能影响招标公正性的法人、其他组织或者个人的；</w:t>
      </w:r>
    </w:p>
    <w:p>
      <w:pPr>
        <w:spacing w:line="360" w:lineRule="auto"/>
        <w:rPr>
          <w:rFonts w:ascii="Calibri" w:hAnsi="Calibri" w:eastAsia="宋体" w:cs="Times New Roman"/>
          <w:sz w:val="24"/>
        </w:rPr>
      </w:pPr>
      <w:r>
        <w:rPr>
          <w:rFonts w:hint="eastAsia" w:ascii="Calibri" w:hAnsi="Calibri" w:eastAsia="宋体" w:cs="Times New Roman"/>
          <w:sz w:val="24"/>
        </w:rPr>
        <w:t>（2）单位负责人为同一人或者存在控股、管理关系的不同单位，参加同一标段投标或者未划分标段的同一招标项目投标的；</w:t>
      </w:r>
    </w:p>
    <w:p>
      <w:pPr>
        <w:spacing w:line="360" w:lineRule="auto"/>
        <w:rPr>
          <w:rFonts w:ascii="Calibri" w:hAnsi="Calibri" w:eastAsia="宋体" w:cs="Times New Roman"/>
          <w:sz w:val="24"/>
        </w:rPr>
      </w:pPr>
      <w:r>
        <w:rPr>
          <w:rFonts w:hint="eastAsia" w:ascii="Calibri" w:hAnsi="Calibri" w:eastAsia="宋体" w:cs="Times New Roman"/>
          <w:sz w:val="24"/>
        </w:rPr>
        <w:t>（3）法定代表人为同一个人的两个及两个以上法人，母公司、全资子公司及其控股公司，参加同一标段投标或者未划分标段的同一招标项目投标的；</w:t>
      </w:r>
    </w:p>
    <w:p>
      <w:pPr>
        <w:spacing w:line="360" w:lineRule="auto"/>
        <w:rPr>
          <w:rFonts w:ascii="Calibri" w:hAnsi="Calibri" w:eastAsia="宋体" w:cs="Times New Roman"/>
          <w:sz w:val="24"/>
        </w:rPr>
      </w:pPr>
      <w:r>
        <w:rPr>
          <w:rFonts w:hint="eastAsia" w:ascii="Calibri" w:hAnsi="Calibri" w:eastAsia="宋体" w:cs="Times New Roman"/>
          <w:sz w:val="24"/>
        </w:rPr>
        <w:t>（4）被责令停业的；</w:t>
      </w:r>
    </w:p>
    <w:p>
      <w:pPr>
        <w:spacing w:line="360" w:lineRule="auto"/>
        <w:rPr>
          <w:rFonts w:ascii="Calibri" w:hAnsi="Calibri" w:eastAsia="宋体" w:cs="Times New Roman"/>
          <w:sz w:val="24"/>
        </w:rPr>
      </w:pPr>
      <w:r>
        <w:rPr>
          <w:rFonts w:hint="eastAsia" w:ascii="Calibri" w:hAnsi="Calibri" w:eastAsia="宋体" w:cs="Times New Roman"/>
          <w:sz w:val="24"/>
        </w:rPr>
        <w:t>（5）被暂停或取消投标资格的；</w:t>
      </w:r>
    </w:p>
    <w:p>
      <w:pPr>
        <w:spacing w:line="360" w:lineRule="auto"/>
        <w:rPr>
          <w:rFonts w:ascii="Calibri" w:hAnsi="Calibri" w:eastAsia="宋体" w:cs="Times New Roman"/>
          <w:sz w:val="24"/>
        </w:rPr>
      </w:pPr>
      <w:r>
        <w:rPr>
          <w:rFonts w:hint="eastAsia" w:ascii="Calibri" w:hAnsi="Calibri" w:eastAsia="宋体" w:cs="Times New Roman"/>
          <w:sz w:val="24"/>
        </w:rPr>
        <w:t>（6）财产被接管或冻结的；</w:t>
      </w:r>
    </w:p>
    <w:p>
      <w:pPr>
        <w:spacing w:line="360" w:lineRule="auto"/>
        <w:rPr>
          <w:rFonts w:ascii="Calibri" w:hAnsi="Calibri" w:eastAsia="宋体" w:cs="Times New Roman"/>
          <w:sz w:val="24"/>
        </w:rPr>
      </w:pPr>
      <w:r>
        <w:rPr>
          <w:rFonts w:hint="eastAsia" w:ascii="Calibri" w:hAnsi="Calibri" w:eastAsia="宋体" w:cs="Times New Roman"/>
          <w:sz w:val="24"/>
        </w:rPr>
        <w:t>（7）在最近三年内有骗取中标或严重违约或重大质量问题的；</w:t>
      </w:r>
    </w:p>
    <w:p>
      <w:pPr>
        <w:spacing w:line="360" w:lineRule="auto"/>
        <w:rPr>
          <w:rFonts w:ascii="Calibri" w:hAnsi="Calibri" w:eastAsia="宋体" w:cs="Times New Roman"/>
          <w:sz w:val="24"/>
        </w:rPr>
      </w:pPr>
      <w:r>
        <w:rPr>
          <w:rFonts w:hint="eastAsia" w:ascii="Calibri" w:hAnsi="Calibri" w:eastAsia="宋体" w:cs="Times New Roman"/>
          <w:sz w:val="24"/>
        </w:rPr>
        <w:t>（8）法律规定的其他情形。</w:t>
      </w:r>
    </w:p>
    <w:p>
      <w:pPr>
        <w:spacing w:line="360" w:lineRule="auto"/>
        <w:rPr>
          <w:rFonts w:ascii="Calibri" w:hAnsi="Calibri" w:eastAsia="宋体" w:cs="Times New Roman"/>
          <w:sz w:val="24"/>
        </w:rPr>
      </w:pPr>
      <w:r>
        <w:rPr>
          <w:rFonts w:hint="eastAsia" w:ascii="Calibri" w:hAnsi="Calibri" w:eastAsia="宋体" w:cs="Times New Roman"/>
          <w:b/>
          <w:bCs/>
          <w:sz w:val="24"/>
        </w:rPr>
        <w:t>1.5 费用承担</w:t>
      </w:r>
    </w:p>
    <w:p>
      <w:pPr>
        <w:spacing w:line="360" w:lineRule="auto"/>
        <w:rPr>
          <w:rFonts w:ascii="Calibri" w:hAnsi="Calibri" w:eastAsia="宋体" w:cs="Times New Roman"/>
          <w:sz w:val="24"/>
        </w:rPr>
      </w:pPr>
      <w:r>
        <w:rPr>
          <w:rFonts w:hint="eastAsia" w:ascii="Calibri" w:hAnsi="Calibri" w:eastAsia="宋体" w:cs="Times New Roman"/>
          <w:sz w:val="24"/>
        </w:rPr>
        <w:t>1.5.1招标文件费：见投标人须知前附表。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1.5.2投标人应承担其编制投标文件与递交投标文件所涉及的一切费用，无论投标结果如何，招标人及招标代理机构对上述费用不作任何补偿。</w:t>
      </w:r>
    </w:p>
    <w:p>
      <w:pPr>
        <w:spacing w:line="360" w:lineRule="auto"/>
        <w:rPr>
          <w:rFonts w:ascii="Calibri" w:hAnsi="Calibri" w:eastAsia="宋体" w:cs="Times New Roman"/>
          <w:sz w:val="24"/>
        </w:rPr>
      </w:pPr>
      <w:r>
        <w:rPr>
          <w:rFonts w:hint="eastAsia" w:ascii="Calibri" w:hAnsi="Calibri" w:eastAsia="宋体" w:cs="Times New Roman"/>
          <w:b/>
          <w:bCs/>
          <w:sz w:val="24"/>
        </w:rPr>
        <w:t>1.6 保密</w:t>
      </w:r>
    </w:p>
    <w:p>
      <w:pPr>
        <w:spacing w:line="360" w:lineRule="auto"/>
        <w:rPr>
          <w:rFonts w:ascii="Calibri" w:hAnsi="Calibri" w:eastAsia="宋体" w:cs="Times New Roman"/>
          <w:sz w:val="24"/>
        </w:rPr>
      </w:pPr>
      <w:r>
        <w:rPr>
          <w:rFonts w:hint="eastAsia" w:ascii="Calibri" w:hAnsi="Calibri" w:eastAsia="宋体" w:cs="Times New Roman"/>
          <w:sz w:val="24"/>
        </w:rPr>
        <w:t>参与招标投标活动的各方应对招标文件和投标文件中的商业和技术等秘密保密，否则应承担相应的法律责任。</w:t>
      </w:r>
    </w:p>
    <w:p>
      <w:pPr>
        <w:spacing w:line="360" w:lineRule="auto"/>
        <w:rPr>
          <w:rFonts w:ascii="Calibri" w:hAnsi="Calibri" w:eastAsia="宋体" w:cs="Times New Roman"/>
          <w:b/>
          <w:bCs/>
          <w:sz w:val="24"/>
        </w:rPr>
      </w:pPr>
      <w:r>
        <w:rPr>
          <w:rFonts w:hint="eastAsia" w:ascii="Calibri" w:hAnsi="Calibri" w:eastAsia="宋体" w:cs="Times New Roman"/>
          <w:b/>
          <w:bCs/>
          <w:sz w:val="24"/>
        </w:rPr>
        <w:t>1.7 语言文字</w:t>
      </w:r>
    </w:p>
    <w:p>
      <w:pPr>
        <w:spacing w:line="360" w:lineRule="auto"/>
        <w:rPr>
          <w:rFonts w:ascii="Calibri" w:hAnsi="Calibri" w:eastAsia="宋体" w:cs="Times New Roman"/>
          <w:sz w:val="24"/>
        </w:rPr>
      </w:pPr>
      <w:r>
        <w:rPr>
          <w:rFonts w:hint="eastAsia" w:ascii="Calibri" w:hAnsi="Calibri" w:eastAsia="宋体" w:cs="Times New Roman"/>
          <w:sz w:val="24"/>
        </w:rPr>
        <w:t>招标投标文件使用的语言文字为中文。专用术语使用外文的，应附有中文注释。</w:t>
      </w:r>
    </w:p>
    <w:p>
      <w:pPr>
        <w:spacing w:line="360" w:lineRule="auto"/>
        <w:rPr>
          <w:rFonts w:ascii="Calibri" w:hAnsi="Calibri" w:eastAsia="宋体" w:cs="Times New Roman"/>
          <w:sz w:val="24"/>
        </w:rPr>
      </w:pPr>
      <w:r>
        <w:rPr>
          <w:rFonts w:hint="eastAsia" w:ascii="Calibri" w:hAnsi="Calibri" w:eastAsia="宋体" w:cs="Times New Roman"/>
          <w:b/>
          <w:bCs/>
          <w:sz w:val="24"/>
        </w:rPr>
        <w:t>1.8 计量单位</w:t>
      </w:r>
    </w:p>
    <w:p>
      <w:pPr>
        <w:spacing w:line="360" w:lineRule="auto"/>
        <w:rPr>
          <w:rFonts w:ascii="Calibri" w:hAnsi="Calibri" w:eastAsia="宋体" w:cs="Times New Roman"/>
          <w:sz w:val="24"/>
        </w:rPr>
      </w:pPr>
      <w:r>
        <w:rPr>
          <w:rFonts w:hint="eastAsia" w:ascii="Calibri" w:hAnsi="Calibri" w:eastAsia="宋体" w:cs="Times New Roman"/>
          <w:sz w:val="24"/>
        </w:rPr>
        <w:t>所有计量均采用中华人民共和国法定计量单位。</w:t>
      </w:r>
    </w:p>
    <w:p>
      <w:pPr>
        <w:spacing w:line="360" w:lineRule="auto"/>
        <w:rPr>
          <w:rFonts w:ascii="Calibri" w:hAnsi="Calibri" w:eastAsia="宋体" w:cs="Times New Roman"/>
          <w:sz w:val="24"/>
        </w:rPr>
      </w:pPr>
      <w:r>
        <w:rPr>
          <w:rFonts w:hint="eastAsia" w:ascii="Calibri" w:hAnsi="Calibri" w:eastAsia="宋体" w:cs="Times New Roman"/>
          <w:b/>
          <w:bCs/>
          <w:sz w:val="24"/>
        </w:rPr>
        <w:t>1.9 踏勘现场</w:t>
      </w:r>
    </w:p>
    <w:p>
      <w:pPr>
        <w:spacing w:line="360" w:lineRule="auto"/>
        <w:rPr>
          <w:rFonts w:ascii="Calibri" w:hAnsi="Calibri" w:eastAsia="宋体" w:cs="Times New Roman"/>
          <w:sz w:val="24"/>
        </w:rPr>
      </w:pPr>
      <w:r>
        <w:rPr>
          <w:rFonts w:hint="eastAsia" w:ascii="Calibri" w:hAnsi="Calibri" w:eastAsia="宋体" w:cs="Times New Roman"/>
          <w:sz w:val="24"/>
        </w:rPr>
        <w:t>1.9.1 投标人须知前附表规定组织踏勘现场的，招标人或招标代理机构按投标人须知前附表规定的时间、地点组织投标人踏勘项目现场。</w:t>
      </w:r>
    </w:p>
    <w:p>
      <w:pPr>
        <w:spacing w:line="360" w:lineRule="auto"/>
        <w:rPr>
          <w:rFonts w:ascii="Calibri" w:hAnsi="Calibri" w:eastAsia="宋体" w:cs="Times New Roman"/>
          <w:sz w:val="24"/>
        </w:rPr>
      </w:pPr>
      <w:r>
        <w:rPr>
          <w:rFonts w:hint="eastAsia" w:ascii="Calibri" w:hAnsi="Calibri" w:eastAsia="宋体" w:cs="Times New Roman"/>
          <w:sz w:val="24"/>
        </w:rPr>
        <w:t>1.9.2 投标人踏勘现场发生的费用自理。</w:t>
      </w:r>
    </w:p>
    <w:p>
      <w:pPr>
        <w:spacing w:line="360" w:lineRule="auto"/>
        <w:rPr>
          <w:rFonts w:ascii="Calibri" w:hAnsi="Calibri" w:eastAsia="宋体" w:cs="Times New Roman"/>
          <w:sz w:val="24"/>
        </w:rPr>
      </w:pPr>
      <w:r>
        <w:rPr>
          <w:rFonts w:hint="eastAsia" w:ascii="Calibri" w:hAnsi="Calibri" w:eastAsia="宋体" w:cs="Times New Roman"/>
          <w:sz w:val="24"/>
        </w:rPr>
        <w:t>1.9.3 除招标人或招标代理机构的原因外，投标人自行负责在踏勘现场中所发生的人员伤亡和财产损失。</w:t>
      </w:r>
    </w:p>
    <w:p>
      <w:pPr>
        <w:spacing w:line="360" w:lineRule="auto"/>
        <w:rPr>
          <w:rFonts w:ascii="Calibri" w:hAnsi="Calibri" w:eastAsia="宋体" w:cs="Times New Roman"/>
          <w:sz w:val="24"/>
        </w:rPr>
      </w:pPr>
      <w:r>
        <w:rPr>
          <w:rFonts w:hint="eastAsia" w:ascii="Calibri" w:hAnsi="Calibri" w:eastAsia="宋体" w:cs="Times New Roman"/>
          <w:sz w:val="24"/>
        </w:rPr>
        <w:t>1.9.4 招标人或招标代理机构在踏勘现场中介绍的工程场地和相关的周边环境情况，供投标人在编制投标文件时参考，招标人或招标代理机构不对投标人据此作出的判断和决策负责。</w:t>
      </w:r>
    </w:p>
    <w:p>
      <w:pPr>
        <w:spacing w:line="360" w:lineRule="auto"/>
        <w:rPr>
          <w:rFonts w:ascii="Calibri" w:hAnsi="Calibri" w:eastAsia="宋体" w:cs="Times New Roman"/>
          <w:sz w:val="24"/>
        </w:rPr>
      </w:pPr>
      <w:r>
        <w:rPr>
          <w:rFonts w:hint="eastAsia" w:ascii="Calibri" w:hAnsi="Calibri" w:eastAsia="宋体" w:cs="Times New Roman"/>
          <w:b/>
          <w:bCs/>
          <w:sz w:val="24"/>
        </w:rPr>
        <w:t>1.10 分包</w:t>
      </w:r>
    </w:p>
    <w:p>
      <w:pPr>
        <w:spacing w:line="360" w:lineRule="auto"/>
        <w:rPr>
          <w:rFonts w:ascii="Calibri" w:hAnsi="Calibri" w:eastAsia="宋体" w:cs="Times New Roman"/>
          <w:sz w:val="24"/>
        </w:rPr>
      </w:pPr>
      <w:r>
        <w:rPr>
          <w:rFonts w:hint="eastAsia" w:ascii="Calibri" w:hAnsi="Calibri" w:eastAsia="宋体" w:cs="Times New Roman"/>
          <w:sz w:val="24"/>
        </w:rPr>
        <w:t>1.10.1 除投标人须知前附表规定的非主体设备外，其他工作不得分包。</w:t>
      </w:r>
    </w:p>
    <w:p>
      <w:pPr>
        <w:spacing w:line="360" w:lineRule="auto"/>
        <w:rPr>
          <w:rFonts w:ascii="Calibri" w:hAnsi="Calibri" w:eastAsia="宋体" w:cs="Times New Roman"/>
          <w:sz w:val="24"/>
        </w:rPr>
      </w:pPr>
      <w:r>
        <w:rPr>
          <w:rFonts w:hint="eastAsia" w:ascii="Calibri" w:hAnsi="Calibri" w:eastAsia="宋体" w:cs="Times New Roman"/>
          <w:sz w:val="24"/>
        </w:rPr>
        <w:t>1.10.2 中标人不得向他人转让中标项目，接受分包的人不得再次分包。中标人应当就分包项目向招标人负责，接受分包的人就分包项目承担连带责任。</w:t>
      </w:r>
    </w:p>
    <w:p>
      <w:pPr>
        <w:spacing w:line="360" w:lineRule="auto"/>
        <w:rPr>
          <w:rFonts w:ascii="Calibri" w:hAnsi="Calibri" w:eastAsia="宋体" w:cs="Times New Roman"/>
          <w:b/>
          <w:bCs/>
          <w:sz w:val="24"/>
        </w:rPr>
      </w:pPr>
      <w:r>
        <w:rPr>
          <w:rFonts w:hint="eastAsia" w:ascii="Calibri" w:hAnsi="Calibri" w:eastAsia="宋体" w:cs="Times New Roman"/>
          <w:b/>
          <w:bCs/>
          <w:sz w:val="24"/>
        </w:rPr>
        <w:t>1.11 响应和偏差</w:t>
      </w:r>
    </w:p>
    <w:p>
      <w:pPr>
        <w:spacing w:line="360" w:lineRule="auto"/>
        <w:rPr>
          <w:rFonts w:ascii="Calibri" w:hAnsi="Calibri" w:eastAsia="宋体" w:cs="Times New Roman"/>
          <w:sz w:val="24"/>
        </w:rPr>
      </w:pPr>
      <w:r>
        <w:rPr>
          <w:rFonts w:hint="eastAsia" w:ascii="Calibri" w:hAnsi="Calibri" w:eastAsia="宋体" w:cs="Times New Roman"/>
          <w:sz w:val="24"/>
        </w:rPr>
        <w:t>1.11.1 投标文件应当对招标文件的实质性要求和条件作出满足性或更有利于招标人的响应，否则，投标人的投标将被否决。</w:t>
      </w:r>
    </w:p>
    <w:p>
      <w:pPr>
        <w:spacing w:line="360" w:lineRule="auto"/>
        <w:rPr>
          <w:rFonts w:ascii="Calibri" w:hAnsi="Calibri" w:eastAsia="宋体" w:cs="Times New Roman"/>
          <w:sz w:val="24"/>
        </w:rPr>
      </w:pPr>
      <w:r>
        <w:rPr>
          <w:rFonts w:hint="eastAsia" w:ascii="Calibri" w:hAnsi="Calibri" w:eastAsia="宋体" w:cs="Times New Roman"/>
          <w:sz w:val="24"/>
        </w:rPr>
        <w:t>1.11.2 投标人应根据招标文件的要求提供投标设备技术性能指标的详细描述、技术支持资料及技术服务和质保期服务计划等内容以对招标文件作出响应。</w:t>
      </w:r>
    </w:p>
    <w:p>
      <w:pPr>
        <w:spacing w:line="360" w:lineRule="auto"/>
        <w:rPr>
          <w:rFonts w:ascii="Calibri" w:hAnsi="Calibri" w:eastAsia="宋体" w:cs="Times New Roman"/>
          <w:sz w:val="24"/>
        </w:rPr>
      </w:pPr>
      <w:r>
        <w:rPr>
          <w:rFonts w:hint="eastAsia" w:ascii="Calibri" w:hAnsi="Calibri" w:eastAsia="宋体" w:cs="Times New Roman"/>
          <w:sz w:val="24"/>
        </w:rPr>
        <w:t>1.11.3 投标文件中应针对实质性要求和条件中列明的技术要求提供技术支持资料。不符合要求的，视为无技术支持资料，其投标将被否决。</w:t>
      </w:r>
    </w:p>
    <w:p>
      <w:pPr>
        <w:spacing w:line="360" w:lineRule="auto"/>
        <w:rPr>
          <w:rFonts w:ascii="Calibri" w:hAnsi="Calibri" w:eastAsia="宋体" w:cs="Times New Roman"/>
          <w:sz w:val="24"/>
        </w:rPr>
      </w:pPr>
      <w:r>
        <w:rPr>
          <w:rFonts w:hint="eastAsia" w:ascii="Calibri" w:hAnsi="Calibri" w:eastAsia="宋体" w:cs="Times New Roman"/>
          <w:sz w:val="24"/>
        </w:rPr>
        <w:t>1.11.4 投标文件对招标文件的全部偏差，均应在投标文件的商务和技术偏差表中列明，除列明的内容外，视为投标人响应招标文件的全部要求。</w:t>
      </w:r>
    </w:p>
    <w:p>
      <w:pPr>
        <w:pStyle w:val="7"/>
        <w:rPr>
          <w:rFonts w:asciiTheme="majorEastAsia" w:hAnsiTheme="majorEastAsia" w:eastAsiaTheme="majorEastAsia" w:cstheme="majorEastAsia"/>
        </w:rPr>
      </w:pPr>
      <w:bookmarkStart w:id="6" w:name="_Toc19429"/>
      <w:r>
        <w:rPr>
          <w:rFonts w:hint="eastAsia" w:asciiTheme="majorEastAsia" w:hAnsiTheme="majorEastAsia" w:eastAsiaTheme="majorEastAsia" w:cstheme="majorEastAsia"/>
        </w:rPr>
        <w:t>2. 招标文件</w:t>
      </w:r>
      <w:bookmarkEnd w:id="6"/>
    </w:p>
    <w:p>
      <w:pPr>
        <w:spacing w:line="360" w:lineRule="auto"/>
        <w:rPr>
          <w:rFonts w:ascii="Calibri" w:hAnsi="Calibri" w:eastAsia="宋体" w:cs="Times New Roman"/>
          <w:sz w:val="24"/>
        </w:rPr>
      </w:pPr>
      <w:r>
        <w:rPr>
          <w:rFonts w:hint="eastAsia" w:ascii="Calibri" w:hAnsi="Calibri" w:eastAsia="宋体" w:cs="Times New Roman"/>
          <w:b/>
          <w:bCs/>
          <w:sz w:val="24"/>
        </w:rPr>
        <w:t>2.1 招标文件的组成</w:t>
      </w:r>
    </w:p>
    <w:p>
      <w:pPr>
        <w:spacing w:line="360" w:lineRule="auto"/>
        <w:rPr>
          <w:rFonts w:ascii="Calibri" w:hAnsi="Calibri" w:eastAsia="宋体" w:cs="Times New Roman"/>
          <w:sz w:val="24"/>
        </w:rPr>
      </w:pPr>
      <w:r>
        <w:rPr>
          <w:rFonts w:hint="eastAsia" w:ascii="宋体" w:hAnsi="宋体"/>
          <w:sz w:val="24"/>
        </w:rPr>
        <w:t>2.1.1要求提供的货物的内容及详细技术需求、投标须知和合同条件等在招标文件中均有说明。招标文件共六章，内容如下：</w:t>
      </w:r>
    </w:p>
    <w:p>
      <w:pPr>
        <w:pStyle w:val="46"/>
        <w:spacing w:line="360" w:lineRule="auto"/>
        <w:jc w:val="left"/>
        <w:rPr>
          <w:rFonts w:ascii="宋体" w:hAnsi="宋体"/>
          <w:sz w:val="24"/>
        </w:rPr>
      </w:pPr>
      <w:r>
        <w:rPr>
          <w:rFonts w:hint="eastAsia" w:ascii="宋体" w:hAnsi="宋体"/>
          <w:sz w:val="24"/>
        </w:rPr>
        <w:t>第一章 招标公告</w:t>
      </w:r>
    </w:p>
    <w:p>
      <w:pPr>
        <w:pStyle w:val="46"/>
        <w:spacing w:line="360" w:lineRule="auto"/>
        <w:jc w:val="left"/>
        <w:rPr>
          <w:rFonts w:ascii="宋体" w:hAnsi="宋体"/>
          <w:sz w:val="24"/>
        </w:rPr>
      </w:pPr>
      <w:r>
        <w:rPr>
          <w:rFonts w:hint="eastAsia" w:ascii="宋体" w:hAnsi="宋体"/>
          <w:sz w:val="24"/>
        </w:rPr>
        <w:t>第二章 投标人须知</w:t>
      </w:r>
    </w:p>
    <w:p>
      <w:pPr>
        <w:pStyle w:val="46"/>
        <w:spacing w:line="360" w:lineRule="auto"/>
        <w:jc w:val="left"/>
        <w:rPr>
          <w:rFonts w:ascii="宋体" w:hAnsi="宋体"/>
          <w:sz w:val="24"/>
        </w:rPr>
      </w:pPr>
      <w:r>
        <w:rPr>
          <w:rFonts w:hint="eastAsia" w:ascii="宋体" w:hAnsi="宋体"/>
          <w:sz w:val="24"/>
        </w:rPr>
        <w:t>第三章 评标方法</w:t>
      </w:r>
    </w:p>
    <w:p>
      <w:pPr>
        <w:pStyle w:val="46"/>
        <w:spacing w:line="360" w:lineRule="auto"/>
        <w:jc w:val="left"/>
        <w:rPr>
          <w:rFonts w:ascii="宋体" w:hAnsi="宋体"/>
          <w:sz w:val="24"/>
        </w:rPr>
      </w:pPr>
      <w:r>
        <w:rPr>
          <w:rFonts w:hint="eastAsia" w:ascii="宋体" w:hAnsi="宋体"/>
          <w:sz w:val="24"/>
        </w:rPr>
        <w:t>第四章 合同条款格式</w:t>
      </w:r>
    </w:p>
    <w:p>
      <w:pPr>
        <w:pStyle w:val="46"/>
        <w:spacing w:line="360" w:lineRule="auto"/>
        <w:jc w:val="left"/>
        <w:rPr>
          <w:rFonts w:ascii="宋体" w:hAnsi="宋体"/>
          <w:sz w:val="24"/>
        </w:rPr>
      </w:pPr>
      <w:r>
        <w:rPr>
          <w:rFonts w:hint="eastAsia" w:ascii="宋体" w:hAnsi="宋体"/>
          <w:sz w:val="24"/>
        </w:rPr>
        <w:t>第五章 技术标准和需求</w:t>
      </w:r>
    </w:p>
    <w:p>
      <w:pPr>
        <w:pStyle w:val="46"/>
        <w:spacing w:line="360" w:lineRule="auto"/>
        <w:jc w:val="left"/>
        <w:rPr>
          <w:rFonts w:ascii="宋体" w:hAnsi="宋体"/>
          <w:sz w:val="24"/>
        </w:rPr>
      </w:pPr>
      <w:r>
        <w:rPr>
          <w:rFonts w:hint="eastAsia" w:ascii="宋体" w:hAnsi="宋体"/>
          <w:sz w:val="24"/>
        </w:rPr>
        <w:t>第六章 投标文件格式</w:t>
      </w:r>
    </w:p>
    <w:p>
      <w:pPr>
        <w:spacing w:line="360" w:lineRule="auto"/>
        <w:rPr>
          <w:rFonts w:ascii="Calibri" w:hAnsi="Calibri" w:eastAsia="宋体" w:cs="Times New Roman"/>
          <w:sz w:val="24"/>
        </w:rPr>
      </w:pPr>
      <w:r>
        <w:rPr>
          <w:rFonts w:hint="eastAsia" w:ascii="宋体" w:hAnsi="宋体"/>
          <w:sz w:val="24"/>
        </w:rPr>
        <w:t>2.1.2投标人应认真阅读招标文件中所有的事项、格式、条款和技术规范等，</w:t>
      </w:r>
      <w:r>
        <w:rPr>
          <w:rFonts w:ascii="宋体" w:hAnsi="宋体"/>
          <w:sz w:val="24"/>
        </w:rPr>
        <w:t xml:space="preserve"> </w:t>
      </w:r>
      <w:r>
        <w:rPr>
          <w:rFonts w:hint="eastAsia" w:ascii="宋体" w:hAnsi="宋体"/>
          <w:sz w:val="24"/>
        </w:rPr>
        <w:t>投标人应当按照招标文件的要求编制投标文件，投标文件应当对招标文件提出的要求和条件作出明确响应。如投标人没有按照招标文件要求提交全部资料，或者投标文件没有对招标文件在各方面都作出实质性响应是投标人的风险，并可能导致其投标被拒绝。</w:t>
      </w:r>
    </w:p>
    <w:p>
      <w:pPr>
        <w:spacing w:line="360" w:lineRule="auto"/>
        <w:rPr>
          <w:rFonts w:ascii="Calibri" w:hAnsi="Calibri" w:eastAsia="宋体" w:cs="Times New Roman"/>
          <w:b/>
          <w:bCs/>
          <w:sz w:val="24"/>
        </w:rPr>
      </w:pPr>
      <w:r>
        <w:rPr>
          <w:rFonts w:hint="eastAsia" w:ascii="Calibri" w:hAnsi="Calibri" w:eastAsia="宋体" w:cs="Times New Roman"/>
          <w:b/>
          <w:bCs/>
          <w:sz w:val="24"/>
        </w:rPr>
        <w:t>2.2 招标文件的澄清</w:t>
      </w:r>
    </w:p>
    <w:p>
      <w:pPr>
        <w:spacing w:line="360" w:lineRule="auto"/>
        <w:rPr>
          <w:rFonts w:ascii="Calibri" w:hAnsi="Calibri" w:eastAsia="宋体" w:cs="Times New Roman"/>
          <w:sz w:val="24"/>
        </w:rPr>
      </w:pPr>
      <w:r>
        <w:rPr>
          <w:rFonts w:hint="eastAsia" w:ascii="Calibri" w:hAnsi="Calibri" w:eastAsia="宋体" w:cs="Times New Roman"/>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ascii="Calibri" w:hAnsi="Calibri" w:eastAsia="宋体" w:cs="Times New Roman"/>
          <w:sz w:val="24"/>
        </w:rPr>
      </w:pPr>
      <w:r>
        <w:rPr>
          <w:rFonts w:hint="eastAsia" w:ascii="Calibri" w:hAnsi="Calibri" w:eastAsia="宋体" w:cs="Times New Roman"/>
          <w:sz w:val="24"/>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rPr>
          <w:rFonts w:ascii="Calibri" w:hAnsi="Calibri" w:eastAsia="宋体" w:cs="Times New Roman"/>
          <w:sz w:val="24"/>
        </w:rPr>
      </w:pPr>
      <w:r>
        <w:rPr>
          <w:rFonts w:hint="eastAsia" w:ascii="Calibri" w:hAnsi="Calibri" w:eastAsia="宋体" w:cs="Times New Roman"/>
          <w:sz w:val="24"/>
        </w:rPr>
        <w:t>2.2.3 投标人在收到澄清后，应按投标人须知前附表规定的时间和形式通知招标人，确认已收到该澄清。</w:t>
      </w:r>
    </w:p>
    <w:p>
      <w:pPr>
        <w:spacing w:line="360" w:lineRule="auto"/>
        <w:rPr>
          <w:rFonts w:ascii="Calibri" w:hAnsi="Calibri" w:eastAsia="宋体" w:cs="Times New Roman"/>
          <w:sz w:val="24"/>
        </w:rPr>
      </w:pPr>
      <w:r>
        <w:rPr>
          <w:rFonts w:hint="eastAsia" w:ascii="Calibri" w:hAnsi="Calibri" w:eastAsia="宋体" w:cs="Times New Roman"/>
          <w:sz w:val="24"/>
        </w:rPr>
        <w:t>2.2.4 除非招标人认为确有必要答复，否则，招标人有权拒绝回复投标人在本章第 2.2.1 项规定的时间后的任何澄清要求。</w:t>
      </w:r>
    </w:p>
    <w:p>
      <w:pPr>
        <w:spacing w:line="360" w:lineRule="auto"/>
        <w:rPr>
          <w:rFonts w:ascii="Calibri" w:hAnsi="Calibri" w:eastAsia="宋体" w:cs="Times New Roman"/>
          <w:sz w:val="24"/>
        </w:rPr>
      </w:pPr>
      <w:r>
        <w:rPr>
          <w:rFonts w:hint="eastAsia" w:ascii="Calibri" w:hAnsi="Calibri" w:eastAsia="宋体" w:cs="Times New Roman"/>
          <w:b/>
          <w:bCs/>
          <w:sz w:val="24"/>
        </w:rPr>
        <w:t>2.3 招标文件的修改</w:t>
      </w:r>
    </w:p>
    <w:p>
      <w:pPr>
        <w:spacing w:line="360" w:lineRule="auto"/>
        <w:rPr>
          <w:rFonts w:ascii="Calibri" w:hAnsi="Calibri" w:eastAsia="宋体" w:cs="Times New Roman"/>
          <w:sz w:val="24"/>
        </w:rPr>
      </w:pPr>
      <w:r>
        <w:rPr>
          <w:rFonts w:hint="eastAsia" w:ascii="Calibri" w:hAnsi="Calibri" w:eastAsia="宋体" w:cs="Times New Roman"/>
          <w:sz w:val="24"/>
        </w:rPr>
        <w:t>2.3.1 招标人以投标人须知前附表规定的形式修改招标文件，并通知所有已购买招标文件的投标人。修改招标文件的时间距本章第 4.2.1 项规定的投标截止时间不足 15 日的，并且修改内容能影响投标文件编制的，将相应延长投标截止时间。</w:t>
      </w:r>
    </w:p>
    <w:p>
      <w:pPr>
        <w:spacing w:line="360" w:lineRule="auto"/>
        <w:rPr>
          <w:rFonts w:ascii="Calibri" w:hAnsi="Calibri" w:eastAsia="宋体" w:cs="Times New Roman"/>
          <w:sz w:val="24"/>
        </w:rPr>
      </w:pPr>
      <w:r>
        <w:rPr>
          <w:rFonts w:hint="eastAsia" w:ascii="Calibri" w:hAnsi="Calibri" w:eastAsia="宋体" w:cs="Times New Roman"/>
          <w:sz w:val="24"/>
        </w:rPr>
        <w:t>2.3.2 投标人收到修改内容后，应按投标人须知前附表规定的时间和形式通知招标人，确认已收到该修改。</w:t>
      </w:r>
    </w:p>
    <w:p>
      <w:pPr>
        <w:spacing w:line="360" w:lineRule="auto"/>
        <w:rPr>
          <w:rFonts w:ascii="Calibri" w:hAnsi="Calibri" w:eastAsia="宋体" w:cs="Times New Roman"/>
          <w:sz w:val="24"/>
        </w:rPr>
      </w:pPr>
      <w:r>
        <w:rPr>
          <w:rFonts w:hint="eastAsia" w:ascii="Calibri" w:hAnsi="Calibri" w:eastAsia="宋体" w:cs="Times New Roman"/>
          <w:b/>
          <w:bCs/>
          <w:sz w:val="24"/>
        </w:rPr>
        <w:t>2.4 招标文件的异议</w:t>
      </w:r>
    </w:p>
    <w:p>
      <w:pPr>
        <w:spacing w:line="360" w:lineRule="auto"/>
        <w:rPr>
          <w:rFonts w:ascii="Calibri" w:hAnsi="Calibri" w:eastAsia="宋体" w:cs="Times New Roman"/>
          <w:sz w:val="24"/>
        </w:rPr>
      </w:pPr>
      <w:r>
        <w:rPr>
          <w:rFonts w:hint="eastAsia" w:ascii="Calibri" w:hAnsi="Calibri" w:eastAsia="宋体" w:cs="Times New Roman"/>
          <w:sz w:val="24"/>
        </w:rPr>
        <w:t>投标人或者其他利害关系人对招标文件有异议的，应当在投标截止时间 15 日前以书面形式提出。招标人将在收到异议之日起 1 日内作出答复；作出答复前，将暂停招标投标活动。</w:t>
      </w:r>
    </w:p>
    <w:p>
      <w:pPr>
        <w:pStyle w:val="7"/>
        <w:numPr>
          <w:ilvl w:val="0"/>
          <w:numId w:val="3"/>
        </w:numPr>
        <w:rPr>
          <w:rFonts w:asciiTheme="majorEastAsia" w:hAnsiTheme="majorEastAsia" w:eastAsiaTheme="majorEastAsia" w:cstheme="majorEastAsia"/>
        </w:rPr>
      </w:pPr>
      <w:bookmarkStart w:id="7" w:name="_Toc24441"/>
      <w:r>
        <w:rPr>
          <w:rFonts w:hint="eastAsia" w:asciiTheme="majorEastAsia" w:hAnsiTheme="majorEastAsia" w:eastAsiaTheme="majorEastAsia" w:cstheme="majorEastAsia"/>
        </w:rPr>
        <w:t>投标文件</w:t>
      </w:r>
      <w:bookmarkEnd w:id="7"/>
    </w:p>
    <w:p>
      <w:pPr>
        <w:pStyle w:val="7"/>
        <w:numPr>
          <w:ilvl w:val="0"/>
          <w:numId w:val="0"/>
        </w:numPr>
        <w:rPr>
          <w:rFonts w:ascii="Calibri" w:hAnsi="Calibri" w:eastAsia="宋体" w:cs="Times New Roman"/>
          <w:bCs/>
          <w:sz w:val="24"/>
        </w:rPr>
      </w:pPr>
      <w:bookmarkStart w:id="8" w:name="_Toc31572"/>
      <w:r>
        <w:rPr>
          <w:rFonts w:hint="eastAsia" w:ascii="Calibri" w:hAnsi="Calibri" w:eastAsia="宋体" w:cs="Times New Roman"/>
          <w:bCs/>
          <w:sz w:val="24"/>
        </w:rPr>
        <w:t>3.1 投标文件的组成</w:t>
      </w:r>
      <w:bookmarkEnd w:id="8"/>
    </w:p>
    <w:p>
      <w:pPr>
        <w:spacing w:line="360" w:lineRule="auto"/>
        <w:rPr>
          <w:rFonts w:ascii="Calibri" w:hAnsi="Calibri" w:cs="Times New Roman"/>
          <w:sz w:val="24"/>
        </w:rPr>
      </w:pPr>
      <w:r>
        <w:rPr>
          <w:rFonts w:hint="eastAsia" w:ascii="Calibri" w:hAnsi="Calibri" w:eastAsia="宋体" w:cs="Times New Roman"/>
          <w:sz w:val="24"/>
        </w:rPr>
        <w:t>3.1.1</w:t>
      </w:r>
      <w:r>
        <w:rPr>
          <w:rFonts w:hint="eastAsia" w:hAnsi="宋体" w:eastAsia="宋体" w:cs="宋体"/>
          <w:sz w:val="24"/>
        </w:rPr>
        <w:t>投标人</w:t>
      </w:r>
      <w:r>
        <w:rPr>
          <w:rFonts w:hint="eastAsia" w:hAnsi="宋体" w:cs="宋体"/>
          <w:sz w:val="24"/>
        </w:rPr>
        <w:t>应按照招标文件的规定和要求编制响应文件。</w:t>
      </w:r>
      <w:r>
        <w:rPr>
          <w:rFonts w:hint="eastAsia" w:hAnsi="宋体" w:eastAsia="宋体" w:cs="宋体"/>
          <w:sz w:val="24"/>
        </w:rPr>
        <w:t>投标人</w:t>
      </w:r>
      <w:r>
        <w:rPr>
          <w:rFonts w:hint="eastAsia" w:hAnsi="宋体" w:cs="宋体"/>
          <w:sz w:val="24"/>
        </w:rPr>
        <w:t>拟在中标后将中标项目的非主体、非关键性工作交由他人完成的，应当在响应文件中载明。</w:t>
      </w:r>
    </w:p>
    <w:p>
      <w:pPr>
        <w:spacing w:line="360" w:lineRule="auto"/>
        <w:rPr>
          <w:rFonts w:ascii="Calibri" w:hAnsi="Calibri" w:eastAsia="宋体" w:cs="Times New Roman"/>
          <w:sz w:val="24"/>
        </w:rPr>
      </w:pPr>
      <w:r>
        <w:rPr>
          <w:rFonts w:hint="eastAsia" w:ascii="Calibri" w:hAnsi="Calibri" w:eastAsia="宋体" w:cs="Times New Roman"/>
          <w:sz w:val="24"/>
        </w:rPr>
        <w:t>投标人在评标过程中作出的符合法律法规和招标文件规定的澄清确认，构成投标文件的组成部分。</w:t>
      </w:r>
    </w:p>
    <w:p>
      <w:pPr>
        <w:spacing w:line="360" w:lineRule="auto"/>
        <w:rPr>
          <w:rFonts w:ascii="Calibri" w:hAnsi="Calibri" w:eastAsia="宋体" w:cs="Times New Roman"/>
          <w:sz w:val="24"/>
        </w:rPr>
      </w:pPr>
      <w:r>
        <w:rPr>
          <w:rFonts w:hint="eastAsia" w:ascii="Calibri" w:hAnsi="Calibri" w:eastAsia="宋体" w:cs="Times New Roman"/>
          <w:sz w:val="24"/>
        </w:rPr>
        <w:t>3.1.2 投标人须知前附表未要求提交投标保证金的，投标文件不包括本章第 3.1.1（四）条所指的投标保证金。</w:t>
      </w:r>
    </w:p>
    <w:p>
      <w:pPr>
        <w:spacing w:line="360" w:lineRule="auto"/>
        <w:rPr>
          <w:rFonts w:ascii="Calibri" w:hAnsi="Calibri" w:eastAsia="宋体" w:cs="Times New Roman"/>
          <w:b/>
          <w:bCs/>
          <w:sz w:val="24"/>
        </w:rPr>
      </w:pPr>
      <w:r>
        <w:rPr>
          <w:rFonts w:hint="eastAsia" w:ascii="Calibri" w:hAnsi="Calibri" w:eastAsia="宋体" w:cs="Times New Roman"/>
          <w:b/>
          <w:bCs/>
          <w:sz w:val="24"/>
        </w:rPr>
        <w:t>3.2 投标报价</w:t>
      </w:r>
    </w:p>
    <w:p>
      <w:pPr>
        <w:spacing w:line="360" w:lineRule="auto"/>
        <w:rPr>
          <w:rFonts w:ascii="Calibri" w:hAnsi="Calibri" w:eastAsia="宋体" w:cs="Times New Roman"/>
          <w:sz w:val="24"/>
        </w:rPr>
      </w:pPr>
      <w:r>
        <w:rPr>
          <w:rFonts w:hint="eastAsia" w:ascii="Calibri" w:hAnsi="Calibri" w:eastAsia="宋体" w:cs="Times New Roman"/>
          <w:sz w:val="24"/>
        </w:rPr>
        <w:t>3.2.1 投标报价应包括国家规定的增值税税金，除投标人须知前附表另有规定外，增值税税金按一般计税方法计算。投标人应按第六章“投标文件格式”的要求在投标函中进行报价。</w:t>
      </w:r>
    </w:p>
    <w:p>
      <w:pPr>
        <w:spacing w:line="360" w:lineRule="auto"/>
        <w:rPr>
          <w:rFonts w:ascii="Calibri" w:hAnsi="Calibri" w:eastAsia="宋体" w:cs="Times New Roman"/>
          <w:sz w:val="24"/>
        </w:rPr>
      </w:pPr>
      <w:r>
        <w:rPr>
          <w:rFonts w:hint="eastAsia" w:ascii="Calibri" w:hAnsi="Calibri" w:eastAsia="宋体" w:cs="Times New Roman"/>
          <w:sz w:val="24"/>
        </w:rPr>
        <w:t>3.2.2 投标人应充分了解该项目的总体情况以及影响投标报价的其他要素。</w:t>
      </w:r>
    </w:p>
    <w:p>
      <w:pPr>
        <w:spacing w:line="360" w:lineRule="auto"/>
        <w:rPr>
          <w:rFonts w:ascii="Calibri" w:hAnsi="Calibri" w:eastAsia="宋体" w:cs="Times New Roman"/>
          <w:sz w:val="24"/>
        </w:rPr>
      </w:pPr>
      <w:r>
        <w:rPr>
          <w:rFonts w:hint="eastAsia" w:ascii="Calibri" w:hAnsi="Calibri" w:eastAsia="宋体" w:cs="Times New Roman"/>
          <w:sz w:val="24"/>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rPr>
          <w:rFonts w:ascii="Calibri" w:hAnsi="Calibri" w:eastAsia="宋体" w:cs="Times New Roman"/>
          <w:sz w:val="24"/>
        </w:rPr>
      </w:pPr>
      <w:r>
        <w:rPr>
          <w:rFonts w:hint="eastAsia" w:ascii="Calibri" w:hAnsi="Calibri" w:eastAsia="宋体" w:cs="Times New Roman"/>
          <w:sz w:val="24"/>
        </w:rPr>
        <w:t>3.2.4 招标人设有最高投标限价的，投标人的投标报价不得超过最高投标限价</w:t>
      </w:r>
    </w:p>
    <w:p>
      <w:pPr>
        <w:spacing w:line="360" w:lineRule="auto"/>
        <w:rPr>
          <w:rFonts w:ascii="Calibri" w:hAnsi="Calibri" w:eastAsia="宋体" w:cs="Times New Roman"/>
          <w:sz w:val="24"/>
        </w:rPr>
      </w:pPr>
      <w:r>
        <w:rPr>
          <w:rFonts w:hint="eastAsia" w:ascii="Calibri" w:hAnsi="Calibri" w:eastAsia="宋体" w:cs="Times New Roman"/>
          <w:sz w:val="24"/>
        </w:rPr>
        <w:t>3.2.5 投标报价的其他要求见投标人须知前附表。</w:t>
      </w:r>
    </w:p>
    <w:p>
      <w:pPr>
        <w:spacing w:line="360" w:lineRule="auto"/>
        <w:rPr>
          <w:rFonts w:ascii="Calibri" w:hAnsi="Calibri" w:eastAsia="宋体" w:cs="Times New Roman"/>
          <w:sz w:val="24"/>
        </w:rPr>
      </w:pPr>
      <w:r>
        <w:rPr>
          <w:rFonts w:hint="eastAsia" w:ascii="Calibri" w:hAnsi="Calibri" w:eastAsia="宋体" w:cs="Times New Roman"/>
          <w:b/>
          <w:bCs/>
          <w:sz w:val="24"/>
        </w:rPr>
        <w:t>3.3 投标有效期</w:t>
      </w:r>
    </w:p>
    <w:p>
      <w:pPr>
        <w:spacing w:line="360" w:lineRule="auto"/>
        <w:rPr>
          <w:rFonts w:ascii="Calibri" w:hAnsi="Calibri" w:eastAsia="宋体" w:cs="Times New Roman"/>
          <w:sz w:val="24"/>
        </w:rPr>
      </w:pPr>
      <w:r>
        <w:rPr>
          <w:rFonts w:hint="eastAsia" w:ascii="Calibri" w:hAnsi="Calibri" w:eastAsia="宋体" w:cs="Times New Roman"/>
          <w:sz w:val="24"/>
        </w:rPr>
        <w:t>3.3.1 除投标人须知前附表另有规定外，投标有效期为 90 天。</w:t>
      </w:r>
    </w:p>
    <w:p>
      <w:pPr>
        <w:spacing w:line="360" w:lineRule="auto"/>
        <w:rPr>
          <w:rFonts w:ascii="Calibri" w:hAnsi="Calibri" w:eastAsia="宋体" w:cs="Times New Roman"/>
          <w:sz w:val="24"/>
        </w:rPr>
      </w:pPr>
      <w:r>
        <w:rPr>
          <w:rFonts w:hint="eastAsia" w:ascii="Calibri" w:hAnsi="Calibri" w:eastAsia="宋体" w:cs="Times New Roman"/>
          <w:sz w:val="24"/>
        </w:rPr>
        <w:t>3.3.2 在投标有效期内，投标人撤销投标文件的，应承担招标文件和法律规定的责任。</w:t>
      </w:r>
    </w:p>
    <w:p>
      <w:pPr>
        <w:spacing w:line="360" w:lineRule="auto"/>
        <w:rPr>
          <w:rFonts w:ascii="Calibri" w:hAnsi="Calibri" w:eastAsia="宋体" w:cs="Times New Roman"/>
          <w:sz w:val="24"/>
        </w:rPr>
      </w:pPr>
      <w:r>
        <w:rPr>
          <w:rFonts w:hint="eastAsia" w:ascii="Calibri" w:hAnsi="Calibri" w:eastAsia="宋体" w:cs="Times New Roman"/>
          <w:sz w:val="24"/>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pPr>
        <w:spacing w:line="360" w:lineRule="auto"/>
        <w:rPr>
          <w:rFonts w:ascii="Calibri" w:hAnsi="Calibri" w:eastAsia="宋体" w:cs="Times New Roman"/>
          <w:sz w:val="24"/>
        </w:rPr>
      </w:pPr>
      <w:r>
        <w:rPr>
          <w:rFonts w:hint="eastAsia" w:ascii="Calibri" w:hAnsi="Calibri" w:eastAsia="宋体" w:cs="Times New Roman"/>
          <w:b/>
          <w:bCs/>
          <w:sz w:val="24"/>
        </w:rPr>
        <w:t>3.4 投标保证金</w:t>
      </w:r>
    </w:p>
    <w:p>
      <w:pPr>
        <w:spacing w:line="360" w:lineRule="auto"/>
        <w:rPr>
          <w:rFonts w:ascii="Calibri" w:hAnsi="Calibri" w:eastAsia="宋体" w:cs="Times New Roman"/>
          <w:sz w:val="24"/>
        </w:rPr>
      </w:pPr>
      <w:r>
        <w:rPr>
          <w:rFonts w:hint="eastAsia" w:ascii="Calibri" w:hAnsi="Calibri" w:eastAsia="宋体" w:cs="Times New Roman"/>
          <w:sz w:val="24"/>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pPr>
        <w:spacing w:line="360" w:lineRule="auto"/>
        <w:rPr>
          <w:rFonts w:ascii="Calibri" w:hAnsi="Calibri" w:eastAsia="宋体" w:cs="Times New Roman"/>
          <w:sz w:val="24"/>
        </w:rPr>
      </w:pPr>
      <w:r>
        <w:rPr>
          <w:rFonts w:hint="eastAsia" w:ascii="Calibri" w:hAnsi="Calibri" w:eastAsia="宋体" w:cs="Times New Roman"/>
          <w:sz w:val="24"/>
        </w:rPr>
        <w:t>3.4.2 投标人不按本章第 3.4.1 项要求提交投标保证金的，评标委员会将否决其投标。</w:t>
      </w:r>
    </w:p>
    <w:p>
      <w:pPr>
        <w:spacing w:line="360" w:lineRule="auto"/>
        <w:rPr>
          <w:rFonts w:ascii="Calibri" w:hAnsi="Calibri" w:eastAsia="宋体" w:cs="Times New Roman"/>
          <w:sz w:val="24"/>
        </w:rPr>
      </w:pPr>
      <w:r>
        <w:rPr>
          <w:rFonts w:hint="eastAsia" w:ascii="Calibri" w:hAnsi="Calibri" w:eastAsia="宋体" w:cs="Times New Roman"/>
          <w:sz w:val="24"/>
        </w:rPr>
        <w:t>3.4.3 招标人最迟将在与中标人签订合同后 5 日内，向未中标的投标人和中标人退还投标保证金。投标保证金以现金或者支票形式递交的，还应退还银行同期存款利息。</w:t>
      </w:r>
    </w:p>
    <w:p>
      <w:pPr>
        <w:spacing w:line="360" w:lineRule="auto"/>
        <w:rPr>
          <w:rFonts w:ascii="Calibri" w:hAnsi="Calibri" w:eastAsia="宋体" w:cs="Times New Roman"/>
          <w:sz w:val="24"/>
        </w:rPr>
      </w:pPr>
      <w:r>
        <w:rPr>
          <w:rFonts w:hint="eastAsia" w:ascii="Calibri" w:hAnsi="Calibri" w:eastAsia="宋体" w:cs="Times New Roman"/>
          <w:sz w:val="24"/>
        </w:rPr>
        <w:t>3.4.4 有下列情形之一的，投标保证金将不予退还：</w:t>
      </w:r>
    </w:p>
    <w:p>
      <w:pPr>
        <w:spacing w:line="360" w:lineRule="auto"/>
        <w:rPr>
          <w:rFonts w:ascii="Calibri" w:hAnsi="Calibri" w:eastAsia="宋体" w:cs="Times New Roman"/>
          <w:sz w:val="24"/>
        </w:rPr>
      </w:pPr>
      <w:r>
        <w:rPr>
          <w:rFonts w:hint="eastAsia" w:ascii="Calibri" w:hAnsi="Calibri" w:eastAsia="宋体" w:cs="Times New Roman"/>
          <w:sz w:val="24"/>
        </w:rPr>
        <w:t>（1）投标人在投标有效期内撤销投标文件；</w:t>
      </w:r>
    </w:p>
    <w:p>
      <w:pPr>
        <w:spacing w:line="360" w:lineRule="auto"/>
        <w:rPr>
          <w:rFonts w:ascii="Calibri" w:hAnsi="Calibri" w:eastAsia="宋体" w:cs="Times New Roman"/>
          <w:sz w:val="24"/>
        </w:rPr>
      </w:pPr>
      <w:r>
        <w:rPr>
          <w:rFonts w:hint="eastAsia" w:ascii="Calibri" w:hAnsi="Calibri" w:eastAsia="宋体" w:cs="Times New Roman"/>
          <w:sz w:val="24"/>
        </w:rPr>
        <w:t>（2）中标人在收到中标通知书后，无正当理由不与招标人订立合同，在签订合同时向招标人提出附加条件，或者不按照招标文件要求提交履约保证金；</w:t>
      </w:r>
    </w:p>
    <w:p>
      <w:pPr>
        <w:spacing w:line="360" w:lineRule="auto"/>
        <w:rPr>
          <w:rFonts w:ascii="Calibri" w:hAnsi="Calibri" w:eastAsia="宋体" w:cs="Times New Roman"/>
          <w:sz w:val="24"/>
        </w:rPr>
      </w:pPr>
      <w:r>
        <w:rPr>
          <w:rFonts w:hint="eastAsia" w:ascii="Calibri" w:hAnsi="Calibri" w:eastAsia="宋体" w:cs="Times New Roman"/>
          <w:sz w:val="24"/>
        </w:rPr>
        <w:t>（3）发生投标人须知前附表规定的其他可以不予退还投标保证金的情形。</w:t>
      </w:r>
    </w:p>
    <w:p>
      <w:pPr>
        <w:spacing w:line="360" w:lineRule="auto"/>
        <w:rPr>
          <w:rFonts w:ascii="Calibri" w:hAnsi="Calibri" w:eastAsia="宋体" w:cs="Times New Roman"/>
          <w:b/>
          <w:bCs/>
          <w:sz w:val="24"/>
        </w:rPr>
      </w:pPr>
      <w:r>
        <w:rPr>
          <w:rFonts w:hint="eastAsia" w:ascii="Calibri" w:hAnsi="Calibri" w:eastAsia="宋体" w:cs="Times New Roman"/>
          <w:b/>
          <w:bCs/>
          <w:sz w:val="24"/>
        </w:rPr>
        <w:t>3.5 资格审查资</w:t>
      </w:r>
    </w:p>
    <w:p>
      <w:pPr>
        <w:spacing w:line="360" w:lineRule="auto"/>
        <w:rPr>
          <w:rFonts w:ascii="Calibri" w:hAnsi="Calibri" w:eastAsia="宋体" w:cs="Times New Roman"/>
          <w:sz w:val="24"/>
        </w:rPr>
      </w:pPr>
      <w:r>
        <w:rPr>
          <w:rFonts w:hint="eastAsia" w:ascii="Calibri" w:hAnsi="Calibri" w:eastAsia="宋体" w:cs="Times New Roman"/>
          <w:sz w:val="24"/>
        </w:rPr>
        <w:t>除投标人须知前附表另有规定外，投标人应按下列规定提供资格审查资料，以证明其满足本章第 1.4 款规定的资质等要求。</w:t>
      </w:r>
    </w:p>
    <w:p>
      <w:pPr>
        <w:spacing w:line="360" w:lineRule="auto"/>
        <w:ind w:right="-92" w:rightChars="-44"/>
        <w:rPr>
          <w:rFonts w:ascii="Calibri" w:hAnsi="Calibri" w:cs="Times New Roman"/>
          <w:sz w:val="24"/>
        </w:rPr>
      </w:pPr>
      <w:r>
        <w:rPr>
          <w:rFonts w:hint="eastAsia" w:ascii="Calibri" w:hAnsi="Calibri" w:eastAsia="宋体" w:cs="Times New Roman"/>
          <w:sz w:val="24"/>
        </w:rPr>
        <w:t>3.5.1 “投标人基本情况表”后应附投标人须知前附表中所规定的</w:t>
      </w:r>
      <w:r>
        <w:rPr>
          <w:rFonts w:hint="eastAsia" w:ascii="宋体" w:hAnsi="宋体" w:cs="宋体"/>
          <w:sz w:val="24"/>
          <w:shd w:val="clear" w:color="auto" w:fill="FFFFFF"/>
        </w:rPr>
        <w:t>有效的营业执照</w:t>
      </w:r>
      <w:r>
        <w:rPr>
          <w:rFonts w:hint="eastAsia" w:ascii="Calibri" w:hAnsi="Calibri" w:eastAsia="宋体" w:cs="Times New Roman"/>
          <w:sz w:val="24"/>
        </w:rPr>
        <w:t>；</w:t>
      </w:r>
      <w:r>
        <w:rPr>
          <w:rFonts w:hint="eastAsia" w:ascii="宋体" w:cs="宋体"/>
          <w:sz w:val="24"/>
        </w:rPr>
        <w:t>须具备近一年财务审计报告或银行提供的资信证明（新公司从成立之日起算）；须具有近一年任意月纳税证明（新公司从成立之日起算）</w:t>
      </w:r>
      <w:r>
        <w:rPr>
          <w:rFonts w:ascii="宋体" w:cs="宋体"/>
          <w:sz w:val="24"/>
        </w:rPr>
        <w:t>。</w:t>
      </w:r>
    </w:p>
    <w:p>
      <w:pPr>
        <w:spacing w:line="360" w:lineRule="auto"/>
        <w:rPr>
          <w:rFonts w:ascii="Calibri" w:hAnsi="Calibri" w:eastAsia="宋体" w:cs="Times New Roman"/>
          <w:sz w:val="24"/>
        </w:rPr>
      </w:pPr>
      <w:r>
        <w:rPr>
          <w:rFonts w:hint="eastAsia" w:ascii="Calibri" w:hAnsi="Calibri" w:eastAsia="宋体" w:cs="Times New Roman"/>
          <w:sz w:val="24"/>
        </w:rPr>
        <w:t>3.5.2 “近年完成的类似项目情况表”应附中标通知书或合同协议书的复印件，具体时间要求见投标人须知前附表。每张表格只填写一个项目，并标明序号。</w:t>
      </w:r>
    </w:p>
    <w:p>
      <w:pPr>
        <w:spacing w:line="360" w:lineRule="auto"/>
        <w:rPr>
          <w:rFonts w:ascii="Calibri" w:hAnsi="Calibri" w:eastAsia="宋体" w:cs="Times New Roman"/>
          <w:sz w:val="24"/>
        </w:rPr>
      </w:pPr>
      <w:r>
        <w:rPr>
          <w:rFonts w:hint="eastAsia" w:ascii="Calibri" w:hAnsi="Calibri" w:eastAsia="宋体" w:cs="Times New Roman"/>
          <w:sz w:val="24"/>
        </w:rPr>
        <w:t>3.5.3 “正在服务和新承接的项目情况表”应附中标通知书和（或）合同协议书复印件。每张表格只填写一个项目，并标明序号。</w:t>
      </w:r>
    </w:p>
    <w:p>
      <w:pPr>
        <w:spacing w:line="360" w:lineRule="auto"/>
        <w:rPr>
          <w:rFonts w:ascii="Calibri" w:hAnsi="Calibri" w:eastAsia="宋体" w:cs="Times New Roman"/>
          <w:sz w:val="24"/>
        </w:rPr>
      </w:pPr>
      <w:r>
        <w:rPr>
          <w:rFonts w:hint="eastAsia" w:ascii="Calibri" w:hAnsi="Calibri" w:eastAsia="宋体" w:cs="Times New Roman"/>
          <w:sz w:val="24"/>
        </w:rPr>
        <w:t>3.5.4投标人须知前附表规定接受联合体投标的，本章第 3.5.1 项至第 3.5.5 项规定的表格和资料应包括联合体各方相关情况。</w:t>
      </w:r>
    </w:p>
    <w:p>
      <w:pPr>
        <w:spacing w:line="360" w:lineRule="auto"/>
        <w:rPr>
          <w:rFonts w:ascii="Calibri" w:hAnsi="Calibri" w:eastAsia="宋体" w:cs="Times New Roman"/>
          <w:b/>
          <w:bCs/>
          <w:sz w:val="24"/>
        </w:rPr>
      </w:pPr>
      <w:r>
        <w:rPr>
          <w:rFonts w:hint="eastAsia" w:ascii="Calibri" w:hAnsi="Calibri" w:eastAsia="宋体" w:cs="Times New Roman"/>
          <w:b/>
          <w:bCs/>
          <w:sz w:val="24"/>
        </w:rPr>
        <w:t>3.6投标文件的编制</w:t>
      </w:r>
    </w:p>
    <w:p>
      <w:pPr>
        <w:spacing w:line="360" w:lineRule="auto"/>
        <w:rPr>
          <w:rFonts w:ascii="Calibri" w:hAnsi="Calibri" w:eastAsia="宋体" w:cs="Times New Roman"/>
          <w:sz w:val="24"/>
        </w:rPr>
      </w:pPr>
      <w:r>
        <w:rPr>
          <w:rFonts w:hint="eastAsia" w:ascii="Calibri" w:hAnsi="Calibri" w:eastAsia="宋体" w:cs="Times New Roman"/>
          <w:sz w:val="24"/>
        </w:rPr>
        <w:t>3.6.1投标文件应按第六章“投标文件格式”进行编写，如有必要，可以增加附页，作为投标文件的组成部分。</w:t>
      </w:r>
    </w:p>
    <w:p>
      <w:pPr>
        <w:spacing w:line="360" w:lineRule="auto"/>
        <w:rPr>
          <w:rFonts w:ascii="Calibri" w:hAnsi="Calibri" w:eastAsia="宋体" w:cs="Times New Roman"/>
          <w:sz w:val="24"/>
        </w:rPr>
      </w:pPr>
      <w:r>
        <w:rPr>
          <w:rFonts w:hint="eastAsia" w:ascii="Calibri" w:hAnsi="Calibri" w:eastAsia="宋体" w:cs="Times New Roman"/>
          <w:sz w:val="24"/>
        </w:rPr>
        <w:t>3.6.2 投标文件应当对招标文件有关招标范围、技术与服务要求等实质性内容做出响应。</w:t>
      </w:r>
    </w:p>
    <w:p>
      <w:pPr>
        <w:spacing w:line="360" w:lineRule="auto"/>
        <w:rPr>
          <w:rFonts w:ascii="Calibri" w:hAnsi="Calibri" w:eastAsia="宋体" w:cs="Times New Roman"/>
          <w:sz w:val="24"/>
        </w:rPr>
      </w:pPr>
      <w:r>
        <w:rPr>
          <w:rFonts w:hint="eastAsia" w:ascii="Calibri" w:hAnsi="Calibri" w:eastAsia="宋体" w:cs="Times New Roman"/>
          <w:sz w:val="24"/>
        </w:rPr>
        <w:t>3.6.3 投标文件要求签字或盖章处均应盖章或签字。</w:t>
      </w:r>
    </w:p>
    <w:p>
      <w:pPr>
        <w:spacing w:line="360" w:lineRule="auto"/>
        <w:rPr>
          <w:rFonts w:ascii="Calibri" w:hAnsi="Calibri" w:eastAsia="宋体" w:cs="Times New Roman"/>
          <w:sz w:val="24"/>
        </w:rPr>
      </w:pPr>
      <w:r>
        <w:rPr>
          <w:rFonts w:hint="eastAsia" w:ascii="Calibri" w:hAnsi="Calibri" w:eastAsia="宋体" w:cs="Times New Roman"/>
          <w:sz w:val="24"/>
        </w:rPr>
        <w:t>3.6.4 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rPr>
          <w:rFonts w:ascii="Calibri" w:hAnsi="Calibri" w:eastAsia="宋体" w:cs="Times New Roman"/>
          <w:sz w:val="24"/>
        </w:rPr>
      </w:pPr>
      <w:r>
        <w:rPr>
          <w:rFonts w:hint="eastAsia" w:ascii="Calibri" w:hAnsi="Calibri" w:eastAsia="宋体" w:cs="Times New Roman"/>
          <w:sz w:val="24"/>
        </w:rPr>
        <w:t>3.6.5投标文件正本一份，副本份数见投标人须知前附表。正本和副本的封面右上角上应清楚地标记“正本”或“副本”的字样，当副本和正本不一致以正本文件为准。</w:t>
      </w:r>
    </w:p>
    <w:p>
      <w:pPr>
        <w:spacing w:line="360" w:lineRule="auto"/>
        <w:rPr>
          <w:rFonts w:ascii="Calibri" w:hAnsi="Calibri" w:eastAsia="宋体" w:cs="Times New Roman"/>
          <w:sz w:val="24"/>
        </w:rPr>
      </w:pPr>
      <w:r>
        <w:rPr>
          <w:rFonts w:hint="eastAsia" w:ascii="Calibri" w:hAnsi="Calibri" w:eastAsia="宋体" w:cs="Times New Roman"/>
          <w:sz w:val="24"/>
        </w:rPr>
        <w:t>3.6.7</w:t>
      </w:r>
      <w:r>
        <w:rPr>
          <w:rFonts w:hint="eastAsia" w:ascii="Calibri" w:hAnsi="Calibri" w:eastAsia="宋体" w:cs="Times New Roman"/>
          <w:b/>
          <w:bCs/>
          <w:sz w:val="24"/>
        </w:rPr>
        <w:t>投标文件的正本与副本应分别装订，并编制目录及页码，投标文件需分册装订的，具体分册装订要求见投标人须知前附表规定。</w:t>
      </w:r>
    </w:p>
    <w:p>
      <w:pPr>
        <w:pStyle w:val="7"/>
        <w:rPr>
          <w:rFonts w:ascii="Calibri" w:hAnsi="Calibri" w:eastAsia="宋体" w:cs="Times New Roman"/>
          <w:sz w:val="24"/>
        </w:rPr>
      </w:pPr>
      <w:bookmarkStart w:id="9" w:name="_Toc15724"/>
      <w:r>
        <w:rPr>
          <w:rFonts w:hint="eastAsia" w:asciiTheme="majorEastAsia" w:hAnsiTheme="majorEastAsia" w:eastAsiaTheme="majorEastAsia" w:cstheme="majorEastAsia"/>
        </w:rPr>
        <w:t>4. 投标</w:t>
      </w:r>
      <w:bookmarkEnd w:id="9"/>
    </w:p>
    <w:p>
      <w:pPr>
        <w:spacing w:line="360" w:lineRule="auto"/>
        <w:rPr>
          <w:rFonts w:ascii="Calibri" w:hAnsi="Calibri" w:eastAsia="宋体" w:cs="Times New Roman"/>
          <w:b/>
          <w:bCs/>
          <w:sz w:val="24"/>
        </w:rPr>
      </w:pPr>
      <w:r>
        <w:rPr>
          <w:rFonts w:hint="eastAsia" w:ascii="Calibri" w:hAnsi="Calibri" w:eastAsia="宋体" w:cs="Times New Roman"/>
          <w:b/>
          <w:bCs/>
          <w:sz w:val="24"/>
        </w:rPr>
        <w:t>4.1 投标文件的密封和标记</w:t>
      </w:r>
    </w:p>
    <w:p>
      <w:pPr>
        <w:spacing w:line="360" w:lineRule="auto"/>
        <w:rPr>
          <w:sz w:val="24"/>
        </w:rPr>
      </w:pPr>
      <w:r>
        <w:rPr>
          <w:rFonts w:hint="eastAsia" w:ascii="Calibri" w:hAnsi="Calibri" w:eastAsia="宋体" w:cs="Times New Roman"/>
          <w:sz w:val="24"/>
        </w:rPr>
        <w:t>4.1.1 投标文件正本与副本应分别密封，封套的封口处加贴密封条并加盖投标人单位章</w:t>
      </w:r>
      <w:r>
        <w:rPr>
          <w:rFonts w:hint="eastAsia"/>
          <w:sz w:val="24"/>
        </w:rPr>
        <w:t>。</w:t>
      </w:r>
    </w:p>
    <w:p>
      <w:pPr>
        <w:spacing w:line="360" w:lineRule="auto"/>
        <w:rPr>
          <w:rFonts w:ascii="Calibri" w:hAnsi="Calibri" w:eastAsia="宋体" w:cs="Times New Roman"/>
          <w:sz w:val="24"/>
        </w:rPr>
      </w:pPr>
      <w:r>
        <w:rPr>
          <w:rFonts w:hint="eastAsia" w:ascii="Calibri" w:hAnsi="Calibri" w:eastAsia="宋体" w:cs="Times New Roman"/>
          <w:sz w:val="24"/>
        </w:rPr>
        <w:t>4.1.2 投标文件封套上应写明的内容见投标人须知前附表。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4.1.3 未按本章第 4.1.1 项要求密封的投标文件，招标人将予以拒收。</w:t>
      </w:r>
    </w:p>
    <w:p>
      <w:pPr>
        <w:spacing w:line="360" w:lineRule="auto"/>
        <w:rPr>
          <w:rFonts w:ascii="Calibri" w:hAnsi="Calibri" w:eastAsia="宋体" w:cs="Times New Roman"/>
          <w:sz w:val="24"/>
        </w:rPr>
      </w:pPr>
      <w:r>
        <w:rPr>
          <w:rFonts w:hint="eastAsia" w:ascii="Calibri" w:hAnsi="Calibri" w:eastAsia="宋体" w:cs="Times New Roman"/>
          <w:b/>
          <w:bCs/>
          <w:sz w:val="24"/>
        </w:rPr>
        <w:t>4.2 投标文件的递交</w:t>
      </w:r>
    </w:p>
    <w:p>
      <w:pPr>
        <w:spacing w:line="360" w:lineRule="auto"/>
        <w:rPr>
          <w:rFonts w:ascii="Calibri" w:hAnsi="Calibri" w:eastAsia="宋体" w:cs="Times New Roman"/>
          <w:sz w:val="24"/>
        </w:rPr>
      </w:pPr>
      <w:r>
        <w:rPr>
          <w:rFonts w:hint="eastAsia" w:ascii="Calibri" w:hAnsi="Calibri" w:eastAsia="宋体" w:cs="Times New Roman"/>
          <w:sz w:val="24"/>
        </w:rPr>
        <w:t>4.2.1 投标人应在投标人须知前附表规定的投标截止时间前递交投标文件。</w:t>
      </w:r>
    </w:p>
    <w:p>
      <w:pPr>
        <w:spacing w:line="360" w:lineRule="auto"/>
        <w:rPr>
          <w:rFonts w:ascii="Calibri" w:hAnsi="Calibri" w:eastAsia="宋体" w:cs="Times New Roman"/>
          <w:sz w:val="24"/>
        </w:rPr>
      </w:pPr>
      <w:r>
        <w:rPr>
          <w:rFonts w:hint="eastAsia" w:ascii="Calibri" w:hAnsi="Calibri" w:eastAsia="宋体" w:cs="Times New Roman"/>
          <w:sz w:val="24"/>
        </w:rPr>
        <w:t>4.2.2 投标人递交投标文件的地点：见投标人须知前附表。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4.2.3 除投标人须知前附表另有规定外，投标人所递交的投标文件不予退还。</w:t>
      </w:r>
    </w:p>
    <w:p>
      <w:pPr>
        <w:spacing w:line="360" w:lineRule="auto"/>
        <w:rPr>
          <w:rFonts w:ascii="Calibri" w:hAnsi="Calibri" w:eastAsia="宋体" w:cs="Times New Roman"/>
          <w:sz w:val="24"/>
        </w:rPr>
      </w:pPr>
      <w:r>
        <w:rPr>
          <w:rFonts w:hint="eastAsia" w:ascii="Calibri" w:hAnsi="Calibri" w:eastAsia="宋体" w:cs="Times New Roman"/>
          <w:sz w:val="24"/>
        </w:rPr>
        <w:t>4.2.4 招标人收到投标文件后，向投标人出具签收凭证。</w:t>
      </w:r>
    </w:p>
    <w:p>
      <w:pPr>
        <w:spacing w:line="360" w:lineRule="auto"/>
        <w:rPr>
          <w:rFonts w:ascii="Calibri" w:hAnsi="Calibri" w:eastAsia="宋体" w:cs="Times New Roman"/>
          <w:sz w:val="24"/>
        </w:rPr>
      </w:pPr>
      <w:r>
        <w:rPr>
          <w:rFonts w:hint="eastAsia" w:ascii="Calibri" w:hAnsi="Calibri" w:eastAsia="宋体" w:cs="Times New Roman"/>
          <w:sz w:val="24"/>
        </w:rPr>
        <w:t>4.2.5 逾期送达的投标文件，招标人将予以拒收。</w:t>
      </w:r>
    </w:p>
    <w:p>
      <w:pPr>
        <w:pStyle w:val="18"/>
      </w:pPr>
      <w:r>
        <w:rPr>
          <w:rFonts w:ascii="Times New Roman" w:hAnsi="Times New Roman" w:eastAsia="Times New Roman" w:cs="Times New Roman"/>
          <w:sz w:val="24"/>
        </w:rPr>
        <w:t>4.</w:t>
      </w:r>
      <w:r>
        <w:rPr>
          <w:rFonts w:hint="eastAsia" w:ascii="Times New Roman" w:hAnsi="Times New Roman" w:eastAsia="宋体" w:cs="Times New Roman"/>
          <w:sz w:val="24"/>
        </w:rPr>
        <w:t>2</w:t>
      </w:r>
      <w:r>
        <w:rPr>
          <w:rFonts w:ascii="Times New Roman" w:hAnsi="Times New Roman" w:eastAsia="Times New Roman" w:cs="Times New Roman"/>
          <w:sz w:val="24"/>
        </w:rPr>
        <w:t>.</w:t>
      </w:r>
      <w:r>
        <w:rPr>
          <w:rFonts w:hint="eastAsia" w:ascii="Times New Roman" w:hAnsi="Times New Roman" w:eastAsia="宋体" w:cs="Times New Roman"/>
          <w:sz w:val="24"/>
        </w:rPr>
        <w:t>6</w:t>
      </w:r>
      <w:r>
        <w:rPr>
          <w:rFonts w:ascii="Times New Roman" w:hAnsi="Times New Roman" w:eastAsia="Times New Roman" w:cs="Times New Roman"/>
          <w:sz w:val="24"/>
        </w:rPr>
        <w:t xml:space="preserve"> </w:t>
      </w:r>
      <w:r>
        <w:rPr>
          <w:rFonts w:ascii="宋体" w:hAnsi="宋体" w:eastAsia="宋体" w:cs="宋体"/>
          <w:sz w:val="24"/>
        </w:rPr>
        <w:t>投标文件封套上应写明的内容见投标人须知前附表。</w:t>
      </w:r>
    </w:p>
    <w:p>
      <w:pPr>
        <w:spacing w:line="360" w:lineRule="auto"/>
        <w:rPr>
          <w:rFonts w:ascii="Calibri" w:hAnsi="Calibri" w:eastAsia="宋体" w:cs="Times New Roman"/>
          <w:b/>
          <w:bCs/>
          <w:sz w:val="24"/>
        </w:rPr>
      </w:pPr>
      <w:r>
        <w:rPr>
          <w:rFonts w:hint="eastAsia" w:ascii="Calibri" w:hAnsi="Calibri" w:eastAsia="宋体" w:cs="Times New Roman"/>
          <w:b/>
          <w:bCs/>
          <w:sz w:val="24"/>
        </w:rPr>
        <w:t>4.3 投标文件的修改与撤回</w:t>
      </w:r>
    </w:p>
    <w:p>
      <w:pPr>
        <w:spacing w:line="360" w:lineRule="auto"/>
        <w:rPr>
          <w:rFonts w:ascii="Calibri" w:hAnsi="Calibri" w:eastAsia="宋体" w:cs="Times New Roman"/>
          <w:sz w:val="24"/>
        </w:rPr>
      </w:pPr>
      <w:r>
        <w:rPr>
          <w:rFonts w:hint="eastAsia" w:ascii="Calibri" w:hAnsi="Calibri" w:eastAsia="宋体" w:cs="Times New Roman"/>
          <w:sz w:val="24"/>
        </w:rPr>
        <w:t>4.3.1 在本章第 4.2.1 项规定的投标截止时间前，投标人可以修改或撤回已递交的投标文件，但应以书面形式通知招标人。</w:t>
      </w:r>
    </w:p>
    <w:p>
      <w:pPr>
        <w:spacing w:line="360" w:lineRule="auto"/>
        <w:rPr>
          <w:rFonts w:ascii="Calibri" w:hAnsi="Calibri" w:eastAsia="宋体" w:cs="Times New Roman"/>
          <w:sz w:val="24"/>
        </w:rPr>
      </w:pPr>
      <w:r>
        <w:rPr>
          <w:rFonts w:hint="eastAsia" w:ascii="Calibri" w:hAnsi="Calibri" w:eastAsia="宋体" w:cs="Times New Roman"/>
          <w:sz w:val="24"/>
        </w:rPr>
        <w:t>4.3.2 投标人修改或撤回已递交投标文件的书面通知应按照本章第3.6.4项的要求签字或盖章。招标人收到书面通知后，向投标人出具签收凭证。</w:t>
      </w:r>
    </w:p>
    <w:p>
      <w:pPr>
        <w:spacing w:line="360" w:lineRule="auto"/>
        <w:rPr>
          <w:rFonts w:ascii="Calibri" w:hAnsi="Calibri" w:eastAsia="宋体" w:cs="Times New Roman"/>
          <w:sz w:val="24"/>
        </w:rPr>
      </w:pPr>
      <w:r>
        <w:rPr>
          <w:rFonts w:hint="eastAsia" w:ascii="Calibri" w:hAnsi="Calibri" w:eastAsia="宋体" w:cs="Times New Roman"/>
          <w:sz w:val="24"/>
        </w:rPr>
        <w:t>4.3.3 投标人撤回投标文件的，招标人自收到投标人书面撤回通知之日起 5 日内退还已收取的投标保证金。</w:t>
      </w:r>
    </w:p>
    <w:p>
      <w:pPr>
        <w:spacing w:line="360" w:lineRule="auto"/>
        <w:rPr>
          <w:rFonts w:ascii="Calibri" w:hAnsi="Calibri" w:eastAsia="宋体" w:cs="Times New Roman"/>
          <w:sz w:val="24"/>
        </w:rPr>
      </w:pPr>
      <w:r>
        <w:rPr>
          <w:rFonts w:hint="eastAsia" w:ascii="Calibri" w:hAnsi="Calibri" w:eastAsia="宋体" w:cs="Times New Roman"/>
          <w:sz w:val="24"/>
        </w:rPr>
        <w:t>4.3.4 修改的内容为投标文件的组成部分。修改的投标文件应按照本章第 3 .6条、第 4 条的规定进行编制、密封、标记和递交，并标明“修改”字样。</w:t>
      </w:r>
    </w:p>
    <w:p>
      <w:pPr>
        <w:pStyle w:val="7"/>
        <w:rPr>
          <w:rFonts w:ascii="Calibri" w:hAnsi="Calibri" w:eastAsia="宋体" w:cs="Times New Roman"/>
          <w:sz w:val="24"/>
        </w:rPr>
      </w:pPr>
      <w:bookmarkStart w:id="10" w:name="_Toc10713"/>
      <w:r>
        <w:rPr>
          <w:rFonts w:hint="eastAsia" w:asciiTheme="majorEastAsia" w:hAnsiTheme="majorEastAsia" w:eastAsiaTheme="majorEastAsia" w:cstheme="majorEastAsia"/>
        </w:rPr>
        <w:t>5. 开标</w:t>
      </w:r>
      <w:bookmarkEnd w:id="10"/>
    </w:p>
    <w:p>
      <w:pPr>
        <w:spacing w:line="360" w:lineRule="auto"/>
        <w:rPr>
          <w:rFonts w:ascii="Calibri" w:hAnsi="Calibri" w:eastAsia="宋体" w:cs="Times New Roman"/>
          <w:b/>
          <w:bCs/>
          <w:sz w:val="24"/>
        </w:rPr>
      </w:pPr>
      <w:r>
        <w:rPr>
          <w:rFonts w:hint="eastAsia" w:ascii="Calibri" w:hAnsi="Calibri" w:eastAsia="宋体" w:cs="Times New Roman"/>
          <w:b/>
          <w:bCs/>
          <w:sz w:val="24"/>
        </w:rPr>
        <w:t>5.1 开标时间和地点</w:t>
      </w:r>
    </w:p>
    <w:p>
      <w:pPr>
        <w:spacing w:line="360" w:lineRule="auto"/>
        <w:rPr>
          <w:rFonts w:ascii="Calibri" w:hAnsi="Calibri" w:eastAsia="宋体" w:cs="Times New Roman"/>
          <w:sz w:val="24"/>
        </w:rPr>
      </w:pPr>
      <w:r>
        <w:rPr>
          <w:rFonts w:hint="eastAsia" w:ascii="Calibri" w:hAnsi="Calibri" w:eastAsia="宋体" w:cs="Times New Roman"/>
          <w:sz w:val="24"/>
        </w:rPr>
        <w:t>招标人在本章第 4.2.1 项规定的投标截止时间（开标时间）和投标人须知前附表规定的地点公开开标，并邀请所有投标人的法定代表人或其委托代理人准时参加。</w:t>
      </w:r>
    </w:p>
    <w:p>
      <w:pPr>
        <w:spacing w:line="360" w:lineRule="auto"/>
        <w:rPr>
          <w:rFonts w:ascii="Calibri" w:hAnsi="Calibri" w:eastAsia="宋体" w:cs="Times New Roman"/>
          <w:b/>
          <w:bCs/>
          <w:sz w:val="24"/>
        </w:rPr>
      </w:pPr>
      <w:r>
        <w:rPr>
          <w:rFonts w:hint="eastAsia" w:ascii="Calibri" w:hAnsi="Calibri" w:eastAsia="宋体" w:cs="Times New Roman"/>
          <w:b/>
          <w:bCs/>
          <w:sz w:val="24"/>
        </w:rPr>
        <w:t>5.2 开标程序</w:t>
      </w:r>
    </w:p>
    <w:p>
      <w:pPr>
        <w:spacing w:line="360" w:lineRule="auto"/>
        <w:rPr>
          <w:rFonts w:ascii="Calibri" w:hAnsi="Calibri" w:eastAsia="宋体" w:cs="Times New Roman"/>
          <w:sz w:val="24"/>
        </w:rPr>
      </w:pPr>
      <w:r>
        <w:rPr>
          <w:rFonts w:hint="eastAsia" w:ascii="Calibri" w:hAnsi="Calibri" w:eastAsia="宋体" w:cs="Times New Roman"/>
          <w:sz w:val="24"/>
        </w:rPr>
        <w:t>主持人按下列程序进行开标：</w:t>
      </w:r>
    </w:p>
    <w:p>
      <w:pPr>
        <w:spacing w:line="360" w:lineRule="auto"/>
        <w:rPr>
          <w:rFonts w:ascii="Calibri" w:hAnsi="Calibri" w:eastAsia="宋体" w:cs="Times New Roman"/>
          <w:sz w:val="24"/>
        </w:rPr>
      </w:pPr>
      <w:r>
        <w:rPr>
          <w:rFonts w:hint="eastAsia" w:ascii="Calibri" w:hAnsi="Calibri" w:eastAsia="宋体" w:cs="Times New Roman"/>
          <w:sz w:val="24"/>
        </w:rPr>
        <w:t>（1）宣布开标纪律；</w:t>
      </w:r>
    </w:p>
    <w:p>
      <w:pPr>
        <w:spacing w:line="360" w:lineRule="auto"/>
        <w:rPr>
          <w:rFonts w:ascii="Calibri" w:hAnsi="Calibri" w:eastAsia="宋体" w:cs="Times New Roman"/>
          <w:sz w:val="24"/>
        </w:rPr>
      </w:pPr>
      <w:r>
        <w:rPr>
          <w:rFonts w:hint="eastAsia" w:ascii="Calibri" w:hAnsi="Calibri" w:eastAsia="宋体" w:cs="Times New Roman"/>
          <w:sz w:val="24"/>
        </w:rPr>
        <w:t>（2）公布在投标截止时间前递交投标文件的投标人名称；</w:t>
      </w:r>
    </w:p>
    <w:p>
      <w:pPr>
        <w:spacing w:line="360" w:lineRule="auto"/>
        <w:rPr>
          <w:rFonts w:ascii="Calibri" w:hAnsi="Calibri" w:eastAsia="宋体" w:cs="Times New Roman"/>
          <w:sz w:val="24"/>
        </w:rPr>
      </w:pPr>
      <w:r>
        <w:rPr>
          <w:rFonts w:hint="eastAsia" w:ascii="Calibri" w:hAnsi="Calibri" w:eastAsia="宋体" w:cs="Times New Roman"/>
          <w:sz w:val="24"/>
        </w:rPr>
        <w:t>（3）宣布开标人、唱标人、记录人、监标人等有关人员姓名；</w:t>
      </w:r>
    </w:p>
    <w:p>
      <w:pPr>
        <w:spacing w:line="360" w:lineRule="auto"/>
        <w:rPr>
          <w:rFonts w:ascii="Calibri" w:hAnsi="Calibri" w:eastAsia="宋体" w:cs="Times New Roman"/>
          <w:sz w:val="24"/>
        </w:rPr>
      </w:pPr>
      <w:r>
        <w:rPr>
          <w:rFonts w:hint="eastAsia" w:ascii="Calibri" w:hAnsi="Calibri" w:eastAsia="宋体" w:cs="Times New Roman"/>
          <w:sz w:val="24"/>
        </w:rPr>
        <w:t>（4）检查投标文件的密封情况，按照投标人须知前附表规定的开标顺序当众开标，公布招标项目名称、投标人名称、投标保证金的递交情况、投标报价、交货期、交货地点及其他内容，并记录在案；</w:t>
      </w:r>
    </w:p>
    <w:p>
      <w:pPr>
        <w:spacing w:line="360" w:lineRule="auto"/>
        <w:rPr>
          <w:rFonts w:ascii="Calibri" w:hAnsi="Calibri" w:eastAsia="宋体" w:cs="Times New Roman"/>
          <w:sz w:val="24"/>
        </w:rPr>
      </w:pPr>
      <w:r>
        <w:rPr>
          <w:rFonts w:hint="eastAsia" w:ascii="Calibri" w:hAnsi="Calibri" w:eastAsia="宋体" w:cs="Times New Roman"/>
          <w:sz w:val="24"/>
        </w:rPr>
        <w:t>（5）投标人代表、招标人代表、监标人、记录人等有关人员在开标记录上签字确认；</w:t>
      </w:r>
    </w:p>
    <w:p>
      <w:pPr>
        <w:spacing w:line="360" w:lineRule="auto"/>
        <w:rPr>
          <w:rFonts w:ascii="Calibri" w:hAnsi="Calibri" w:eastAsia="宋体" w:cs="Times New Roman"/>
          <w:sz w:val="24"/>
        </w:rPr>
      </w:pPr>
      <w:r>
        <w:rPr>
          <w:rFonts w:hint="eastAsia" w:ascii="Calibri" w:hAnsi="Calibri" w:eastAsia="宋体" w:cs="Times New Roman"/>
          <w:sz w:val="24"/>
        </w:rPr>
        <w:t>（6）开标结束。</w:t>
      </w:r>
    </w:p>
    <w:p>
      <w:pPr>
        <w:spacing w:line="360" w:lineRule="auto"/>
        <w:rPr>
          <w:rFonts w:ascii="Calibri" w:hAnsi="Calibri" w:eastAsia="宋体" w:cs="Times New Roman"/>
          <w:sz w:val="24"/>
        </w:rPr>
      </w:pPr>
      <w:r>
        <w:rPr>
          <w:rFonts w:hint="eastAsia" w:ascii="Calibri" w:hAnsi="Calibri" w:eastAsia="宋体" w:cs="Times New Roman"/>
          <w:b/>
          <w:bCs/>
          <w:sz w:val="24"/>
        </w:rPr>
        <w:t>5.3 开标异议</w:t>
      </w:r>
    </w:p>
    <w:p>
      <w:pPr>
        <w:spacing w:line="360" w:lineRule="auto"/>
        <w:rPr>
          <w:rFonts w:ascii="Calibri" w:hAnsi="Calibri" w:eastAsia="宋体" w:cs="Times New Roman"/>
          <w:sz w:val="24"/>
        </w:rPr>
      </w:pPr>
      <w:r>
        <w:rPr>
          <w:rFonts w:hint="eastAsia" w:ascii="Calibri" w:hAnsi="Calibri" w:eastAsia="宋体" w:cs="Times New Roman"/>
          <w:sz w:val="24"/>
        </w:rPr>
        <w:t>投标人对开标有异议的，应当在开标现场提出，招标人当场作出答复，并制作记录。</w:t>
      </w:r>
    </w:p>
    <w:p>
      <w:pPr>
        <w:pStyle w:val="7"/>
        <w:rPr>
          <w:rFonts w:ascii="Calibri" w:hAnsi="Calibri" w:eastAsia="宋体" w:cs="Times New Roman"/>
          <w:sz w:val="24"/>
        </w:rPr>
      </w:pPr>
      <w:bookmarkStart w:id="11" w:name="_Toc12644"/>
      <w:r>
        <w:rPr>
          <w:rFonts w:hint="eastAsia" w:asciiTheme="majorEastAsia" w:hAnsiTheme="majorEastAsia" w:eastAsiaTheme="majorEastAsia" w:cstheme="majorEastAsia"/>
        </w:rPr>
        <w:t>6. 评标</w:t>
      </w:r>
      <w:bookmarkEnd w:id="11"/>
    </w:p>
    <w:p>
      <w:pPr>
        <w:spacing w:line="360" w:lineRule="auto"/>
        <w:rPr>
          <w:rFonts w:ascii="Calibri" w:hAnsi="Calibri" w:eastAsia="宋体" w:cs="Times New Roman"/>
          <w:sz w:val="24"/>
        </w:rPr>
      </w:pPr>
      <w:r>
        <w:rPr>
          <w:rFonts w:hint="eastAsia" w:ascii="Calibri" w:hAnsi="Calibri" w:eastAsia="宋体" w:cs="Times New Roman"/>
          <w:b/>
          <w:bCs/>
          <w:sz w:val="24"/>
        </w:rPr>
        <w:t>6.1 评标委员会</w:t>
      </w:r>
    </w:p>
    <w:p>
      <w:pPr>
        <w:spacing w:line="360" w:lineRule="auto"/>
        <w:rPr>
          <w:rFonts w:ascii="Calibri" w:hAnsi="Calibri" w:eastAsia="宋体" w:cs="Times New Roman"/>
          <w:sz w:val="24"/>
        </w:rPr>
      </w:pPr>
      <w:r>
        <w:rPr>
          <w:rFonts w:hint="eastAsia" w:ascii="Calibri" w:hAnsi="Calibri" w:eastAsia="宋体" w:cs="Times New Roman"/>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rPr>
          <w:rFonts w:ascii="Calibri" w:hAnsi="Calibri" w:eastAsia="宋体" w:cs="Times New Roman"/>
          <w:sz w:val="24"/>
        </w:rPr>
      </w:pPr>
      <w:r>
        <w:rPr>
          <w:rFonts w:hint="eastAsia" w:ascii="Calibri" w:hAnsi="Calibri" w:eastAsia="宋体" w:cs="Times New Roman"/>
          <w:sz w:val="24"/>
        </w:rPr>
        <w:t>6.1.2 评标委员会成员有下列情形之一的，应当回避：</w:t>
      </w:r>
    </w:p>
    <w:p>
      <w:pPr>
        <w:spacing w:line="360" w:lineRule="auto"/>
        <w:rPr>
          <w:rFonts w:ascii="Calibri" w:hAnsi="Calibri" w:eastAsia="宋体" w:cs="Times New Roman"/>
          <w:sz w:val="24"/>
        </w:rPr>
      </w:pPr>
      <w:r>
        <w:rPr>
          <w:rFonts w:hint="eastAsia" w:ascii="Calibri" w:hAnsi="Calibri" w:eastAsia="宋体" w:cs="Times New Roman"/>
          <w:sz w:val="24"/>
        </w:rPr>
        <w:t>（1）投标人或投标人主要负责人的近亲属；</w:t>
      </w:r>
    </w:p>
    <w:p>
      <w:pPr>
        <w:spacing w:line="360" w:lineRule="auto"/>
        <w:rPr>
          <w:rFonts w:ascii="Calibri" w:hAnsi="Calibri" w:eastAsia="宋体" w:cs="Times New Roman"/>
          <w:sz w:val="24"/>
        </w:rPr>
      </w:pPr>
      <w:r>
        <w:rPr>
          <w:rFonts w:hint="eastAsia" w:ascii="Calibri" w:hAnsi="Calibri" w:eastAsia="宋体" w:cs="Times New Roman"/>
          <w:sz w:val="24"/>
        </w:rPr>
        <w:t>（2）项目主管部门或者行政监督部门的人员；</w:t>
      </w:r>
    </w:p>
    <w:p>
      <w:pPr>
        <w:spacing w:line="360" w:lineRule="auto"/>
        <w:rPr>
          <w:rFonts w:ascii="Calibri" w:hAnsi="Calibri" w:eastAsia="宋体" w:cs="Times New Roman"/>
          <w:sz w:val="24"/>
        </w:rPr>
      </w:pPr>
      <w:r>
        <w:rPr>
          <w:rFonts w:hint="eastAsia" w:ascii="Calibri" w:hAnsi="Calibri" w:eastAsia="宋体" w:cs="Times New Roman"/>
          <w:sz w:val="24"/>
        </w:rPr>
        <w:t>（3）与投标人有经济利益关系，可能影响对投标公正评审的；</w:t>
      </w:r>
    </w:p>
    <w:p>
      <w:pPr>
        <w:spacing w:line="360" w:lineRule="auto"/>
        <w:rPr>
          <w:rFonts w:ascii="Calibri" w:hAnsi="Calibri" w:eastAsia="宋体" w:cs="Times New Roman"/>
          <w:sz w:val="24"/>
        </w:rPr>
      </w:pPr>
      <w:r>
        <w:rPr>
          <w:rFonts w:hint="eastAsia" w:ascii="Calibri" w:hAnsi="Calibri" w:eastAsia="宋体" w:cs="Times New Roman"/>
          <w:sz w:val="24"/>
        </w:rPr>
        <w:t>（4）曾因在招标、评标以及其他与招标投标有关活动中从事违法行为而受过行政处罚或刑事处罚的；</w:t>
      </w:r>
    </w:p>
    <w:p>
      <w:pPr>
        <w:spacing w:line="360" w:lineRule="auto"/>
        <w:rPr>
          <w:rFonts w:ascii="Calibri" w:hAnsi="Calibri" w:eastAsia="宋体" w:cs="Times New Roman"/>
          <w:sz w:val="24"/>
        </w:rPr>
      </w:pPr>
      <w:r>
        <w:rPr>
          <w:rFonts w:hint="eastAsia" w:ascii="Calibri" w:hAnsi="Calibri" w:eastAsia="宋体" w:cs="Times New Roman"/>
          <w:sz w:val="24"/>
        </w:rPr>
        <w:t>（5）与投标人有其他利害关系。</w:t>
      </w:r>
    </w:p>
    <w:p>
      <w:pPr>
        <w:spacing w:line="360" w:lineRule="auto"/>
        <w:rPr>
          <w:rFonts w:ascii="Calibri" w:hAnsi="Calibri" w:eastAsia="宋体" w:cs="Times New Roman"/>
          <w:sz w:val="24"/>
        </w:rPr>
      </w:pPr>
      <w:r>
        <w:rPr>
          <w:rFonts w:hint="eastAsia" w:ascii="Calibri" w:hAnsi="Calibri" w:eastAsia="宋体" w:cs="Times New Roman"/>
          <w:sz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ascii="Calibri" w:hAnsi="Calibri" w:eastAsia="宋体" w:cs="Times New Roman"/>
          <w:sz w:val="24"/>
        </w:rPr>
      </w:pPr>
      <w:r>
        <w:rPr>
          <w:rFonts w:hint="eastAsia" w:ascii="Calibri" w:hAnsi="Calibri" w:eastAsia="宋体" w:cs="Times New Roman"/>
          <w:b/>
          <w:bCs/>
          <w:sz w:val="24"/>
        </w:rPr>
        <w:t>6.2 评标原则</w:t>
      </w:r>
    </w:p>
    <w:p>
      <w:pPr>
        <w:spacing w:line="360" w:lineRule="auto"/>
        <w:rPr>
          <w:rFonts w:ascii="Calibri" w:hAnsi="Calibri" w:eastAsia="宋体" w:cs="Times New Roman"/>
          <w:sz w:val="24"/>
        </w:rPr>
      </w:pPr>
      <w:r>
        <w:rPr>
          <w:rFonts w:hint="eastAsia" w:ascii="Calibri" w:hAnsi="Calibri" w:eastAsia="宋体" w:cs="Times New Roman"/>
          <w:sz w:val="24"/>
        </w:rPr>
        <w:t>评标活动遵循公平、公正、科学和择优的原则。</w:t>
      </w:r>
    </w:p>
    <w:p>
      <w:pPr>
        <w:spacing w:line="360" w:lineRule="auto"/>
        <w:rPr>
          <w:rFonts w:ascii="Calibri" w:hAnsi="Calibri" w:eastAsia="宋体" w:cs="Times New Roman"/>
          <w:sz w:val="24"/>
        </w:rPr>
      </w:pPr>
      <w:r>
        <w:rPr>
          <w:rFonts w:hint="eastAsia" w:ascii="Calibri" w:hAnsi="Calibri" w:eastAsia="宋体" w:cs="Times New Roman"/>
          <w:b/>
          <w:bCs/>
          <w:sz w:val="24"/>
        </w:rPr>
        <w:t>6.3 评标</w:t>
      </w:r>
    </w:p>
    <w:p>
      <w:pPr>
        <w:spacing w:line="360" w:lineRule="auto"/>
        <w:rPr>
          <w:rFonts w:ascii="Calibri" w:hAnsi="Calibri" w:eastAsia="宋体" w:cs="Times New Roman"/>
          <w:sz w:val="24"/>
        </w:rPr>
      </w:pPr>
      <w:r>
        <w:rPr>
          <w:rFonts w:hint="eastAsia" w:ascii="Calibri" w:hAnsi="Calibri" w:eastAsia="宋体" w:cs="Times New Roman"/>
          <w:sz w:val="24"/>
        </w:rPr>
        <w:t>6.3.1 评标委员会按照第三章“评标办法”规定的方法、评审因素、标准和程序对投标文件进行评审。第三章“评标办法”没有规定的方法、评审因素和标准，不作为评标依据。</w:t>
      </w:r>
    </w:p>
    <w:p>
      <w:pPr>
        <w:spacing w:line="360" w:lineRule="auto"/>
        <w:rPr>
          <w:rFonts w:ascii="Calibri" w:hAnsi="Calibri" w:eastAsia="宋体" w:cs="Times New Roman"/>
          <w:sz w:val="24"/>
        </w:rPr>
      </w:pPr>
      <w:r>
        <w:rPr>
          <w:rFonts w:hint="eastAsia" w:ascii="Calibri" w:hAnsi="Calibri" w:eastAsia="宋体" w:cs="Times New Roman"/>
          <w:sz w:val="24"/>
        </w:rPr>
        <w:t>6.3.2 评标完成后，评标委员会应当向招标人提交书面评标报告和中标候选人名单。评标委员会推荐中标候选人的人数见投标人须知前附表。</w:t>
      </w:r>
    </w:p>
    <w:p>
      <w:pPr>
        <w:pStyle w:val="7"/>
        <w:rPr>
          <w:rFonts w:ascii="Calibri" w:hAnsi="Calibri" w:eastAsia="宋体" w:cs="Times New Roman"/>
          <w:sz w:val="24"/>
        </w:rPr>
      </w:pPr>
      <w:bookmarkStart w:id="12" w:name="_Toc17787"/>
      <w:r>
        <w:rPr>
          <w:rFonts w:hint="eastAsia" w:asciiTheme="majorEastAsia" w:hAnsiTheme="majorEastAsia" w:eastAsiaTheme="majorEastAsia" w:cstheme="majorEastAsia"/>
        </w:rPr>
        <w:t>7. 合同授予</w:t>
      </w:r>
      <w:bookmarkEnd w:id="12"/>
    </w:p>
    <w:p>
      <w:pPr>
        <w:spacing w:line="360" w:lineRule="auto"/>
        <w:rPr>
          <w:rFonts w:ascii="Calibri" w:hAnsi="Calibri" w:eastAsia="宋体" w:cs="Times New Roman"/>
          <w:sz w:val="24"/>
        </w:rPr>
      </w:pPr>
      <w:r>
        <w:rPr>
          <w:rFonts w:hint="eastAsia" w:ascii="Calibri" w:hAnsi="Calibri" w:eastAsia="宋体" w:cs="Times New Roman"/>
          <w:b/>
          <w:bCs/>
          <w:sz w:val="24"/>
        </w:rPr>
        <w:t>7.1 中标候选人公示</w:t>
      </w:r>
    </w:p>
    <w:p>
      <w:pPr>
        <w:spacing w:line="360" w:lineRule="auto"/>
        <w:rPr>
          <w:rFonts w:ascii="Calibri" w:hAnsi="Calibri" w:eastAsia="宋体" w:cs="Times New Roman"/>
          <w:sz w:val="24"/>
        </w:rPr>
      </w:pPr>
      <w:r>
        <w:rPr>
          <w:rFonts w:hint="eastAsia" w:ascii="Calibri" w:hAnsi="Calibri" w:eastAsia="宋体" w:cs="Times New Roman"/>
          <w:sz w:val="24"/>
        </w:rPr>
        <w:t>招标人在收到评标报告之日起 3 日内，按照投标人须知前附表规定的公示媒介和期限公示中标候选人，公示期不得少于 1 天。</w:t>
      </w:r>
    </w:p>
    <w:p>
      <w:pPr>
        <w:spacing w:line="360" w:lineRule="auto"/>
        <w:rPr>
          <w:rFonts w:ascii="Calibri" w:hAnsi="Calibri" w:eastAsia="宋体" w:cs="Times New Roman"/>
          <w:sz w:val="24"/>
        </w:rPr>
      </w:pPr>
      <w:r>
        <w:rPr>
          <w:rFonts w:hint="eastAsia" w:ascii="Calibri" w:hAnsi="Calibri" w:eastAsia="宋体" w:cs="Times New Roman"/>
          <w:b/>
          <w:bCs/>
          <w:sz w:val="24"/>
        </w:rPr>
        <w:t>7.2 评标结果异议</w:t>
      </w:r>
    </w:p>
    <w:p>
      <w:pPr>
        <w:spacing w:line="360" w:lineRule="auto"/>
        <w:rPr>
          <w:rFonts w:ascii="Calibri" w:hAnsi="Calibri" w:eastAsia="宋体" w:cs="Times New Roman"/>
          <w:sz w:val="24"/>
        </w:rPr>
      </w:pPr>
      <w:r>
        <w:rPr>
          <w:rFonts w:hint="eastAsia" w:ascii="Calibri" w:hAnsi="Calibri" w:eastAsia="宋体" w:cs="Times New Roman"/>
          <w:sz w:val="24"/>
        </w:rPr>
        <w:t>投标人或者其他利害关系人对评标结果有异议的，应当在中标候选人公示期间提出。招标人将在收到异议之日起 3 日内作出答复；作出答复前，将暂停招标投标活动。</w:t>
      </w:r>
    </w:p>
    <w:p>
      <w:pPr>
        <w:spacing w:line="360" w:lineRule="auto"/>
        <w:rPr>
          <w:rFonts w:ascii="Calibri" w:hAnsi="Calibri" w:eastAsia="宋体" w:cs="Times New Roman"/>
          <w:sz w:val="24"/>
        </w:rPr>
      </w:pPr>
      <w:r>
        <w:rPr>
          <w:rFonts w:hint="eastAsia" w:ascii="Calibri" w:hAnsi="Calibri" w:eastAsia="宋体" w:cs="Times New Roman"/>
          <w:b/>
          <w:bCs/>
          <w:sz w:val="24"/>
        </w:rPr>
        <w:t>7.3 中标候选人履约能力审查</w:t>
      </w:r>
    </w:p>
    <w:p>
      <w:pPr>
        <w:spacing w:line="360" w:lineRule="auto"/>
        <w:rPr>
          <w:rFonts w:ascii="Calibri" w:hAnsi="Calibri" w:eastAsia="宋体" w:cs="Times New Roman"/>
          <w:sz w:val="24"/>
        </w:rPr>
      </w:pPr>
      <w:r>
        <w:rPr>
          <w:rFonts w:hint="eastAsia" w:ascii="Calibri" w:hAnsi="Calibri" w:eastAsia="宋体" w:cs="Times New Roman"/>
          <w:sz w:val="24"/>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ascii="Calibri" w:hAnsi="Calibri" w:eastAsia="宋体" w:cs="Times New Roman"/>
          <w:sz w:val="24"/>
        </w:rPr>
      </w:pPr>
      <w:r>
        <w:rPr>
          <w:rFonts w:hint="eastAsia" w:ascii="Calibri" w:hAnsi="Calibri" w:eastAsia="宋体" w:cs="Times New Roman"/>
          <w:b/>
          <w:bCs/>
          <w:sz w:val="24"/>
        </w:rPr>
        <w:t>7.4 定标</w:t>
      </w:r>
    </w:p>
    <w:p>
      <w:pPr>
        <w:spacing w:line="360" w:lineRule="auto"/>
        <w:rPr>
          <w:rFonts w:ascii="Calibri" w:hAnsi="Calibri" w:eastAsia="宋体" w:cs="Times New Roman"/>
          <w:sz w:val="24"/>
        </w:rPr>
      </w:pPr>
      <w:r>
        <w:rPr>
          <w:rFonts w:hint="eastAsia" w:ascii="Calibri" w:hAnsi="Calibri" w:eastAsia="宋体" w:cs="Times New Roman"/>
          <w:sz w:val="24"/>
        </w:rPr>
        <w:t>按照投标人须知前附表的规定，招标人或招标人授权的评标委员会依法确定中标人。</w:t>
      </w:r>
    </w:p>
    <w:p>
      <w:pPr>
        <w:spacing w:line="360" w:lineRule="auto"/>
        <w:rPr>
          <w:rFonts w:ascii="Calibri" w:hAnsi="Calibri" w:eastAsia="宋体" w:cs="Times New Roman"/>
          <w:sz w:val="24"/>
        </w:rPr>
      </w:pPr>
      <w:r>
        <w:rPr>
          <w:rFonts w:hint="eastAsia" w:ascii="Calibri" w:hAnsi="Calibri" w:eastAsia="宋体" w:cs="Times New Roman"/>
          <w:b/>
          <w:bCs/>
          <w:sz w:val="24"/>
        </w:rPr>
        <w:t>7.5 中标通知</w:t>
      </w:r>
    </w:p>
    <w:p>
      <w:pPr>
        <w:spacing w:line="360" w:lineRule="auto"/>
        <w:rPr>
          <w:rFonts w:ascii="Calibri" w:hAnsi="Calibri" w:eastAsia="宋体" w:cs="Times New Roman"/>
          <w:sz w:val="24"/>
        </w:rPr>
      </w:pPr>
      <w:r>
        <w:rPr>
          <w:rFonts w:hint="eastAsia" w:ascii="Calibri" w:hAnsi="Calibri" w:eastAsia="宋体" w:cs="Times New Roman"/>
          <w:sz w:val="24"/>
        </w:rPr>
        <w:t>在本章第 3.3 款规定的投标有效期内，招标人以书面形式向中标人发出中标通知书，同时将中标结果通知未中标的投标人。</w:t>
      </w:r>
    </w:p>
    <w:p>
      <w:pPr>
        <w:spacing w:line="360" w:lineRule="auto"/>
        <w:rPr>
          <w:rFonts w:ascii="Calibri" w:hAnsi="Calibri" w:eastAsia="宋体" w:cs="Times New Roman"/>
          <w:sz w:val="24"/>
        </w:rPr>
      </w:pPr>
      <w:r>
        <w:rPr>
          <w:rFonts w:hint="eastAsia" w:ascii="Calibri" w:hAnsi="Calibri" w:eastAsia="宋体" w:cs="Times New Roman"/>
          <w:b/>
          <w:bCs/>
          <w:sz w:val="24"/>
        </w:rPr>
        <w:t>7.6 签订合同</w:t>
      </w:r>
    </w:p>
    <w:p>
      <w:pPr>
        <w:spacing w:line="360" w:lineRule="auto"/>
        <w:rPr>
          <w:rFonts w:ascii="Calibri" w:hAnsi="Calibri" w:eastAsia="宋体" w:cs="Times New Roman"/>
          <w:sz w:val="24"/>
        </w:rPr>
      </w:pPr>
      <w:r>
        <w:rPr>
          <w:rFonts w:hint="eastAsia" w:ascii="Calibri" w:hAnsi="Calibri" w:eastAsia="宋体" w:cs="Times New Roman"/>
          <w:sz w:val="24"/>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rPr>
          <w:rFonts w:ascii="Calibri" w:hAnsi="Calibri" w:eastAsia="宋体" w:cs="Times New Roman"/>
          <w:sz w:val="24"/>
        </w:rPr>
      </w:pPr>
      <w:r>
        <w:rPr>
          <w:rFonts w:hint="eastAsia" w:ascii="Calibri" w:hAnsi="Calibri" w:eastAsia="宋体" w:cs="Times New Roman"/>
          <w:sz w:val="24"/>
        </w:rPr>
        <w:t>7.6.2 发出中标通知书后，招标人无正当理由拒签合同，或者在签订合同时向中标人提出附加条件的，招标人向中标人退还投标保证金；给中标人造成损失的，还应当赔偿损失。</w:t>
      </w:r>
    </w:p>
    <w:p>
      <w:pPr>
        <w:spacing w:line="360" w:lineRule="auto"/>
        <w:rPr>
          <w:rFonts w:ascii="Calibri" w:hAnsi="Calibri" w:eastAsia="宋体" w:cs="Times New Roman"/>
          <w:sz w:val="24"/>
        </w:rPr>
      </w:pPr>
      <w:r>
        <w:rPr>
          <w:rFonts w:hint="eastAsia" w:ascii="Calibri" w:hAnsi="Calibri" w:eastAsia="宋体" w:cs="Times New Roman"/>
          <w:sz w:val="24"/>
        </w:rPr>
        <w:t>7.6.3 联合体中标的，联合体各方应当共同与招标人签订合同，就中标项目向招标人承担连带责任。</w:t>
      </w:r>
    </w:p>
    <w:p>
      <w:pPr>
        <w:pStyle w:val="7"/>
        <w:rPr>
          <w:rFonts w:ascii="Calibri" w:hAnsi="Calibri" w:eastAsia="宋体" w:cs="Times New Roman"/>
          <w:sz w:val="24"/>
        </w:rPr>
      </w:pPr>
      <w:bookmarkStart w:id="13" w:name="_Toc5502"/>
      <w:r>
        <w:rPr>
          <w:rFonts w:hint="eastAsia" w:asciiTheme="majorEastAsia" w:hAnsiTheme="majorEastAsia" w:eastAsiaTheme="majorEastAsia" w:cstheme="majorEastAsia"/>
        </w:rPr>
        <w:t>8.纪律和监督</w:t>
      </w:r>
      <w:bookmarkEnd w:id="13"/>
    </w:p>
    <w:p>
      <w:pPr>
        <w:spacing w:line="360" w:lineRule="auto"/>
        <w:rPr>
          <w:rFonts w:ascii="Calibri" w:hAnsi="Calibri" w:eastAsia="宋体" w:cs="Times New Roman"/>
          <w:sz w:val="24"/>
        </w:rPr>
      </w:pPr>
      <w:r>
        <w:rPr>
          <w:rFonts w:hint="eastAsia" w:ascii="Calibri" w:hAnsi="Calibri" w:eastAsia="宋体" w:cs="Times New Roman"/>
          <w:b/>
          <w:bCs/>
          <w:sz w:val="24"/>
        </w:rPr>
        <w:t>8.1 对招标人的纪律要求</w:t>
      </w:r>
    </w:p>
    <w:p>
      <w:pPr>
        <w:spacing w:line="360" w:lineRule="auto"/>
        <w:rPr>
          <w:rFonts w:ascii="Calibri" w:hAnsi="Calibri" w:eastAsia="宋体" w:cs="Times New Roman"/>
          <w:sz w:val="24"/>
        </w:rPr>
      </w:pPr>
      <w:r>
        <w:rPr>
          <w:rFonts w:hint="eastAsia" w:ascii="Calibri" w:hAnsi="Calibri" w:eastAsia="宋体" w:cs="Times New Roman"/>
          <w:sz w:val="24"/>
        </w:rPr>
        <w:t>招标人不得泄露招标投标活动中应当保密的情况和资料，不得与投标人串通损害国家利益、社会公共利益或者他人合法权益。</w:t>
      </w:r>
    </w:p>
    <w:p>
      <w:pPr>
        <w:spacing w:line="360" w:lineRule="auto"/>
        <w:rPr>
          <w:rFonts w:ascii="Calibri" w:hAnsi="Calibri" w:eastAsia="宋体" w:cs="Times New Roman"/>
          <w:sz w:val="24"/>
        </w:rPr>
      </w:pPr>
      <w:r>
        <w:rPr>
          <w:rFonts w:hint="eastAsia" w:ascii="Calibri" w:hAnsi="Calibri" w:eastAsia="宋体" w:cs="Times New Roman"/>
          <w:b/>
          <w:bCs/>
          <w:sz w:val="24"/>
        </w:rPr>
        <w:t>8.2 对投标人的纪律要求</w:t>
      </w:r>
    </w:p>
    <w:p>
      <w:pPr>
        <w:spacing w:line="360" w:lineRule="auto"/>
        <w:rPr>
          <w:rFonts w:ascii="Calibri" w:hAnsi="Calibri" w:eastAsia="宋体" w:cs="Times New Roman"/>
          <w:sz w:val="24"/>
        </w:rPr>
      </w:pPr>
      <w:r>
        <w:rPr>
          <w:rFonts w:hint="eastAsia" w:ascii="Calibri" w:hAnsi="Calibri" w:eastAsia="宋体" w:cs="Times New Roman"/>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ascii="Calibri" w:hAnsi="Calibri" w:eastAsia="宋体" w:cs="Times New Roman"/>
          <w:sz w:val="24"/>
        </w:rPr>
      </w:pPr>
      <w:r>
        <w:rPr>
          <w:rFonts w:hint="eastAsia" w:ascii="Calibri" w:hAnsi="Calibri" w:eastAsia="宋体" w:cs="Times New Roman"/>
          <w:b/>
          <w:bCs/>
          <w:sz w:val="24"/>
        </w:rPr>
        <w:t>8.3 对评标委员会成员的纪律要求</w:t>
      </w:r>
    </w:p>
    <w:p>
      <w:pPr>
        <w:spacing w:line="360" w:lineRule="auto"/>
        <w:rPr>
          <w:rFonts w:ascii="Calibri" w:hAnsi="Calibri" w:eastAsia="宋体" w:cs="Times New Roman"/>
          <w:sz w:val="24"/>
        </w:rPr>
      </w:pPr>
      <w:r>
        <w:rPr>
          <w:rFonts w:hint="eastAsia" w:ascii="Calibri" w:hAnsi="Calibri" w:eastAsia="宋体" w:cs="Times New Roman"/>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ascii="Calibri" w:hAnsi="Calibri" w:eastAsia="宋体" w:cs="Times New Roman"/>
          <w:sz w:val="24"/>
        </w:rPr>
      </w:pPr>
      <w:r>
        <w:rPr>
          <w:rFonts w:hint="eastAsia" w:ascii="Calibri" w:hAnsi="Calibri" w:eastAsia="宋体" w:cs="Times New Roman"/>
          <w:b/>
          <w:bCs/>
          <w:sz w:val="24"/>
        </w:rPr>
        <w:t>8.4 对与评标活动有关的工作人员的纪律要求</w:t>
      </w:r>
    </w:p>
    <w:p>
      <w:pPr>
        <w:spacing w:line="360" w:lineRule="auto"/>
        <w:rPr>
          <w:rFonts w:ascii="Calibri" w:hAnsi="Calibri" w:eastAsia="宋体" w:cs="Times New Roman"/>
          <w:sz w:val="24"/>
        </w:rPr>
      </w:pPr>
      <w:r>
        <w:rPr>
          <w:rFonts w:hint="eastAsia" w:ascii="Calibri" w:hAnsi="Calibri" w:eastAsia="宋体" w:cs="Times New Roman"/>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ascii="Calibri" w:hAnsi="Calibri" w:eastAsia="宋体" w:cs="Times New Roman"/>
          <w:sz w:val="24"/>
        </w:rPr>
      </w:pPr>
      <w:r>
        <w:rPr>
          <w:rFonts w:hint="eastAsia" w:ascii="Calibri" w:hAnsi="Calibri" w:eastAsia="宋体" w:cs="Times New Roman"/>
          <w:b/>
          <w:bCs/>
          <w:sz w:val="24"/>
        </w:rPr>
        <w:t>8.5 投诉</w:t>
      </w:r>
    </w:p>
    <w:p>
      <w:pPr>
        <w:spacing w:line="360" w:lineRule="auto"/>
        <w:rPr>
          <w:rFonts w:ascii="Calibri" w:hAnsi="Calibri" w:eastAsia="宋体" w:cs="Times New Roman"/>
          <w:sz w:val="24"/>
        </w:rPr>
      </w:pPr>
      <w:r>
        <w:rPr>
          <w:rFonts w:hint="eastAsia" w:ascii="Calibri" w:hAnsi="Calibri" w:eastAsia="宋体" w:cs="Times New Roman"/>
          <w:sz w:val="24"/>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rPr>
          <w:rFonts w:ascii="Calibri" w:hAnsi="Calibri" w:eastAsia="宋体" w:cs="Times New Roman"/>
          <w:sz w:val="24"/>
        </w:rPr>
      </w:pPr>
      <w:r>
        <w:rPr>
          <w:rFonts w:hint="eastAsia" w:ascii="Calibri" w:hAnsi="Calibri" w:eastAsia="宋体" w:cs="Times New Roman"/>
          <w:sz w:val="24"/>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7"/>
        <w:rPr>
          <w:rFonts w:ascii="Calibri" w:hAnsi="Calibri" w:eastAsia="宋体" w:cs="Times New Roman"/>
          <w:sz w:val="24"/>
        </w:rPr>
      </w:pPr>
      <w:bookmarkStart w:id="14" w:name="_Toc6992"/>
      <w:r>
        <w:rPr>
          <w:rFonts w:hint="eastAsia" w:asciiTheme="majorEastAsia" w:hAnsiTheme="majorEastAsia" w:eastAsiaTheme="majorEastAsia" w:cstheme="majorEastAsia"/>
        </w:rPr>
        <w:t>9. 需要补充的其他内容</w:t>
      </w:r>
      <w:bookmarkEnd w:id="14"/>
    </w:p>
    <w:p>
      <w:pPr>
        <w:spacing w:line="360" w:lineRule="auto"/>
        <w:rPr>
          <w:rFonts w:ascii="Calibri" w:hAnsi="Calibri" w:eastAsia="宋体" w:cs="Times New Roman"/>
          <w:sz w:val="24"/>
        </w:rPr>
      </w:pPr>
      <w:r>
        <w:rPr>
          <w:rFonts w:hint="eastAsia" w:ascii="Calibri" w:hAnsi="Calibri" w:eastAsia="宋体" w:cs="Times New Roman"/>
          <w:sz w:val="24"/>
        </w:rPr>
        <w:t>需要补充的其他内容：见投标人须知前附表。</w:t>
      </w:r>
    </w:p>
    <w:p/>
    <w:p>
      <w:pPr>
        <w:autoSpaceDE w:val="0"/>
        <w:autoSpaceDN w:val="0"/>
        <w:adjustRightInd w:val="0"/>
        <w:spacing w:before="28" w:line="360" w:lineRule="auto"/>
        <w:jc w:val="left"/>
        <w:rPr>
          <w:b/>
          <w:w w:val="99"/>
          <w:sz w:val="28"/>
          <w:szCs w:val="28"/>
        </w:rPr>
      </w:pPr>
      <w:r>
        <w:rPr>
          <w:rFonts w:hint="eastAsia"/>
          <w:b/>
          <w:w w:val="99"/>
          <w:sz w:val="28"/>
          <w:szCs w:val="28"/>
        </w:rPr>
        <w:t>附件一：开标记录表</w:t>
      </w:r>
    </w:p>
    <w:p>
      <w:pPr>
        <w:autoSpaceDE w:val="0"/>
        <w:autoSpaceDN w:val="0"/>
        <w:adjustRightInd w:val="0"/>
        <w:spacing w:before="28" w:line="360" w:lineRule="auto"/>
        <w:jc w:val="center"/>
        <w:rPr>
          <w:b/>
          <w:w w:val="99"/>
          <w:sz w:val="28"/>
          <w:szCs w:val="28"/>
        </w:rPr>
      </w:pPr>
      <w:r>
        <w:rPr>
          <w:b/>
          <w:w w:val="99"/>
          <w:sz w:val="28"/>
          <w:szCs w:val="28"/>
        </w:rPr>
        <w:t>开标记录表</w:t>
      </w:r>
    </w:p>
    <w:p>
      <w:pPr>
        <w:tabs>
          <w:tab w:val="left" w:pos="3020"/>
          <w:tab w:val="left" w:pos="5020"/>
        </w:tabs>
        <w:autoSpaceDE w:val="0"/>
        <w:autoSpaceDN w:val="0"/>
        <w:adjustRightInd w:val="0"/>
        <w:spacing w:before="21"/>
        <w:rPr>
          <w:szCs w:val="21"/>
        </w:rPr>
      </w:pPr>
      <w:r>
        <w:rPr>
          <w:szCs w:val="21"/>
        </w:rPr>
        <w:t>开标时间：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时</w:t>
      </w:r>
      <w:r>
        <w:rPr>
          <w:szCs w:val="21"/>
          <w:u w:val="single"/>
        </w:rPr>
        <w:t xml:space="preserve">    </w:t>
      </w:r>
      <w:r>
        <w:rPr>
          <w:szCs w:val="21"/>
        </w:rPr>
        <w:t>分</w:t>
      </w:r>
    </w:p>
    <w:p>
      <w:pPr>
        <w:tabs>
          <w:tab w:val="left" w:pos="3020"/>
          <w:tab w:val="left" w:pos="5020"/>
        </w:tabs>
        <w:autoSpaceDE w:val="0"/>
        <w:autoSpaceDN w:val="0"/>
        <w:adjustRightInd w:val="0"/>
        <w:spacing w:before="21"/>
        <w:rPr>
          <w:szCs w:val="21"/>
        </w:rPr>
      </w:pPr>
    </w:p>
    <w:tbl>
      <w:tblPr>
        <w:tblStyle w:val="25"/>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trPr>
          <w:trHeight w:val="983" w:hRule="atLeast"/>
        </w:trPr>
        <w:tc>
          <w:tcPr>
            <w:tcW w:w="1304" w:type="dxa"/>
            <w:vAlign w:val="center"/>
          </w:tcPr>
          <w:p>
            <w:pPr>
              <w:tabs>
                <w:tab w:val="left" w:pos="3020"/>
                <w:tab w:val="left" w:pos="5020"/>
              </w:tabs>
              <w:autoSpaceDE w:val="0"/>
              <w:autoSpaceDN w:val="0"/>
              <w:adjustRightInd w:val="0"/>
              <w:spacing w:before="21"/>
              <w:jc w:val="center"/>
              <w:rPr>
                <w:sz w:val="18"/>
              </w:rPr>
            </w:pPr>
            <w:r>
              <w:rPr>
                <w:sz w:val="18"/>
              </w:rPr>
              <w:t>序号</w:t>
            </w:r>
          </w:p>
        </w:tc>
        <w:tc>
          <w:tcPr>
            <w:tcW w:w="1905" w:type="dxa"/>
            <w:vAlign w:val="center"/>
          </w:tcPr>
          <w:p>
            <w:pPr>
              <w:tabs>
                <w:tab w:val="left" w:pos="3020"/>
                <w:tab w:val="left" w:pos="5020"/>
              </w:tabs>
              <w:autoSpaceDE w:val="0"/>
              <w:autoSpaceDN w:val="0"/>
              <w:adjustRightInd w:val="0"/>
              <w:spacing w:before="21"/>
              <w:jc w:val="center"/>
              <w:rPr>
                <w:sz w:val="18"/>
              </w:rPr>
            </w:pPr>
            <w:r>
              <w:rPr>
                <w:sz w:val="18"/>
              </w:rPr>
              <w:t>投标人</w:t>
            </w:r>
          </w:p>
        </w:tc>
        <w:tc>
          <w:tcPr>
            <w:tcW w:w="1815" w:type="dxa"/>
            <w:vAlign w:val="center"/>
          </w:tcPr>
          <w:p>
            <w:pPr>
              <w:tabs>
                <w:tab w:val="left" w:pos="3020"/>
                <w:tab w:val="left" w:pos="5020"/>
              </w:tabs>
              <w:autoSpaceDE w:val="0"/>
              <w:autoSpaceDN w:val="0"/>
              <w:adjustRightInd w:val="0"/>
              <w:spacing w:before="21"/>
              <w:jc w:val="center"/>
              <w:rPr>
                <w:sz w:val="18"/>
              </w:rPr>
            </w:pPr>
            <w:r>
              <w:rPr>
                <w:sz w:val="18"/>
              </w:rPr>
              <w:t>投标报价</w:t>
            </w:r>
          </w:p>
        </w:tc>
        <w:tc>
          <w:tcPr>
            <w:tcW w:w="1905" w:type="dxa"/>
            <w:vAlign w:val="center"/>
          </w:tcPr>
          <w:p>
            <w:pPr>
              <w:tabs>
                <w:tab w:val="left" w:pos="3020"/>
                <w:tab w:val="left" w:pos="5020"/>
              </w:tabs>
              <w:autoSpaceDE w:val="0"/>
              <w:autoSpaceDN w:val="0"/>
              <w:adjustRightInd w:val="0"/>
              <w:spacing w:before="21"/>
              <w:jc w:val="center"/>
              <w:rPr>
                <w:sz w:val="18"/>
              </w:rPr>
            </w:pPr>
            <w:r>
              <w:rPr>
                <w:sz w:val="18"/>
              </w:rPr>
              <w:t>备注</w:t>
            </w:r>
          </w:p>
        </w:tc>
        <w:tc>
          <w:tcPr>
            <w:tcW w:w="2691" w:type="dxa"/>
            <w:vAlign w:val="center"/>
          </w:tcPr>
          <w:p>
            <w:pPr>
              <w:tabs>
                <w:tab w:val="left" w:pos="3020"/>
                <w:tab w:val="left" w:pos="5020"/>
              </w:tabs>
              <w:autoSpaceDE w:val="0"/>
              <w:autoSpaceDN w:val="0"/>
              <w:adjustRightInd w:val="0"/>
              <w:spacing w:before="21"/>
              <w:jc w:val="center"/>
              <w:rPr>
                <w:sz w:val="18"/>
              </w:rPr>
            </w:pPr>
            <w:r>
              <w:rPr>
                <w:sz w:val="18"/>
              </w:rPr>
              <w:t>签名</w:t>
            </w:r>
          </w:p>
        </w:tc>
      </w:tr>
      <w:tr>
        <w:trPr>
          <w:trHeight w:val="598" w:hRule="atLeast"/>
        </w:trPr>
        <w:tc>
          <w:tcPr>
            <w:tcW w:w="1304"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1815"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2691" w:type="dxa"/>
          </w:tcPr>
          <w:p>
            <w:pPr>
              <w:tabs>
                <w:tab w:val="left" w:pos="3020"/>
                <w:tab w:val="left" w:pos="5020"/>
              </w:tabs>
              <w:autoSpaceDE w:val="0"/>
              <w:autoSpaceDN w:val="0"/>
              <w:adjustRightInd w:val="0"/>
              <w:spacing w:before="21"/>
              <w:rPr>
                <w:sz w:val="24"/>
              </w:rPr>
            </w:pPr>
          </w:p>
        </w:tc>
      </w:tr>
      <w:tr>
        <w:trPr>
          <w:trHeight w:val="598" w:hRule="atLeast"/>
        </w:trPr>
        <w:tc>
          <w:tcPr>
            <w:tcW w:w="1304"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1815"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2691" w:type="dxa"/>
          </w:tcPr>
          <w:p>
            <w:pPr>
              <w:tabs>
                <w:tab w:val="left" w:pos="3020"/>
                <w:tab w:val="left" w:pos="5020"/>
              </w:tabs>
              <w:autoSpaceDE w:val="0"/>
              <w:autoSpaceDN w:val="0"/>
              <w:adjustRightInd w:val="0"/>
              <w:spacing w:before="21"/>
              <w:rPr>
                <w:sz w:val="24"/>
              </w:rPr>
            </w:pPr>
          </w:p>
        </w:tc>
      </w:tr>
      <w:tr>
        <w:trPr>
          <w:trHeight w:val="598" w:hRule="atLeast"/>
        </w:trPr>
        <w:tc>
          <w:tcPr>
            <w:tcW w:w="1304"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1815"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2691" w:type="dxa"/>
          </w:tcPr>
          <w:p>
            <w:pPr>
              <w:tabs>
                <w:tab w:val="left" w:pos="3020"/>
                <w:tab w:val="left" w:pos="5020"/>
              </w:tabs>
              <w:autoSpaceDE w:val="0"/>
              <w:autoSpaceDN w:val="0"/>
              <w:adjustRightInd w:val="0"/>
              <w:spacing w:before="2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1815"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2691" w:type="dxa"/>
          </w:tcPr>
          <w:p>
            <w:pPr>
              <w:tabs>
                <w:tab w:val="left" w:pos="3020"/>
                <w:tab w:val="left" w:pos="5020"/>
              </w:tabs>
              <w:autoSpaceDE w:val="0"/>
              <w:autoSpaceDN w:val="0"/>
              <w:adjustRightInd w:val="0"/>
              <w:spacing w:before="2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1815"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2691" w:type="dxa"/>
          </w:tcPr>
          <w:p>
            <w:pPr>
              <w:tabs>
                <w:tab w:val="left" w:pos="3020"/>
                <w:tab w:val="left" w:pos="5020"/>
              </w:tabs>
              <w:autoSpaceDE w:val="0"/>
              <w:autoSpaceDN w:val="0"/>
              <w:adjustRightInd w:val="0"/>
              <w:spacing w:before="2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1815"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2691" w:type="dxa"/>
          </w:tcPr>
          <w:p>
            <w:pPr>
              <w:tabs>
                <w:tab w:val="left" w:pos="3020"/>
                <w:tab w:val="left" w:pos="5020"/>
              </w:tabs>
              <w:autoSpaceDE w:val="0"/>
              <w:autoSpaceDN w:val="0"/>
              <w:adjustRightInd w:val="0"/>
              <w:spacing w:before="2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1815"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2691" w:type="dxa"/>
          </w:tcPr>
          <w:p>
            <w:pPr>
              <w:tabs>
                <w:tab w:val="left" w:pos="3020"/>
                <w:tab w:val="left" w:pos="5020"/>
              </w:tabs>
              <w:autoSpaceDE w:val="0"/>
              <w:autoSpaceDN w:val="0"/>
              <w:adjustRightInd w:val="0"/>
              <w:spacing w:before="2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1815"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2691" w:type="dxa"/>
          </w:tcPr>
          <w:p>
            <w:pPr>
              <w:tabs>
                <w:tab w:val="left" w:pos="3020"/>
                <w:tab w:val="left" w:pos="5020"/>
              </w:tabs>
              <w:autoSpaceDE w:val="0"/>
              <w:autoSpaceDN w:val="0"/>
              <w:adjustRightInd w:val="0"/>
              <w:spacing w:before="2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1815"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2691" w:type="dxa"/>
          </w:tcPr>
          <w:p>
            <w:pPr>
              <w:tabs>
                <w:tab w:val="left" w:pos="3020"/>
                <w:tab w:val="left" w:pos="5020"/>
              </w:tabs>
              <w:autoSpaceDE w:val="0"/>
              <w:autoSpaceDN w:val="0"/>
              <w:adjustRightInd w:val="0"/>
              <w:spacing w:before="2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1815" w:type="dxa"/>
          </w:tcPr>
          <w:p>
            <w:pPr>
              <w:tabs>
                <w:tab w:val="left" w:pos="3020"/>
                <w:tab w:val="left" w:pos="5020"/>
              </w:tabs>
              <w:autoSpaceDE w:val="0"/>
              <w:autoSpaceDN w:val="0"/>
              <w:adjustRightInd w:val="0"/>
              <w:spacing w:before="21"/>
              <w:rPr>
                <w:sz w:val="24"/>
              </w:rPr>
            </w:pPr>
          </w:p>
        </w:tc>
        <w:tc>
          <w:tcPr>
            <w:tcW w:w="1905" w:type="dxa"/>
          </w:tcPr>
          <w:p>
            <w:pPr>
              <w:tabs>
                <w:tab w:val="left" w:pos="3020"/>
                <w:tab w:val="left" w:pos="5020"/>
              </w:tabs>
              <w:autoSpaceDE w:val="0"/>
              <w:autoSpaceDN w:val="0"/>
              <w:adjustRightInd w:val="0"/>
              <w:spacing w:before="21"/>
              <w:rPr>
                <w:sz w:val="24"/>
              </w:rPr>
            </w:pPr>
          </w:p>
        </w:tc>
        <w:tc>
          <w:tcPr>
            <w:tcW w:w="2691" w:type="dxa"/>
          </w:tcPr>
          <w:p>
            <w:pPr>
              <w:tabs>
                <w:tab w:val="left" w:pos="3020"/>
                <w:tab w:val="left" w:pos="5020"/>
              </w:tabs>
              <w:autoSpaceDE w:val="0"/>
              <w:autoSpaceDN w:val="0"/>
              <w:adjustRightInd w:val="0"/>
              <w:spacing w:before="21"/>
              <w:rPr>
                <w:sz w:val="24"/>
              </w:rPr>
            </w:pPr>
          </w:p>
        </w:tc>
      </w:tr>
    </w:tbl>
    <w:p>
      <w:pPr>
        <w:tabs>
          <w:tab w:val="left" w:pos="3020"/>
          <w:tab w:val="left" w:pos="5020"/>
        </w:tabs>
        <w:autoSpaceDE w:val="0"/>
        <w:autoSpaceDN w:val="0"/>
        <w:adjustRightInd w:val="0"/>
        <w:spacing w:before="21"/>
        <w:rPr>
          <w:sz w:val="24"/>
          <w:u w:val="single"/>
        </w:rPr>
      </w:pPr>
      <w:r>
        <w:rPr>
          <w:sz w:val="24"/>
        </w:rPr>
        <w:t>招标人代表：</w:t>
      </w:r>
      <w:r>
        <w:rPr>
          <w:sz w:val="24"/>
          <w:u w:val="single"/>
        </w:rPr>
        <w:t xml:space="preserve">        </w:t>
      </w:r>
      <w:r>
        <w:rPr>
          <w:sz w:val="24"/>
        </w:rPr>
        <w:t xml:space="preserve">          记录人：</w:t>
      </w:r>
      <w:r>
        <w:rPr>
          <w:sz w:val="24"/>
          <w:u w:val="single"/>
        </w:rPr>
        <w:t xml:space="preserve">        </w:t>
      </w:r>
      <w:r>
        <w:rPr>
          <w:sz w:val="24"/>
        </w:rPr>
        <w:t xml:space="preserve">        监标人：</w:t>
      </w:r>
      <w:r>
        <w:rPr>
          <w:sz w:val="24"/>
          <w:u w:val="single"/>
        </w:rPr>
        <w:t xml:space="preserve">        </w:t>
      </w:r>
    </w:p>
    <w:p>
      <w:pPr>
        <w:tabs>
          <w:tab w:val="left" w:pos="3020"/>
          <w:tab w:val="left" w:pos="5020"/>
        </w:tabs>
        <w:autoSpaceDE w:val="0"/>
        <w:autoSpaceDN w:val="0"/>
        <w:adjustRightInd w:val="0"/>
        <w:spacing w:before="21"/>
        <w:jc w:val="center"/>
        <w:rPr>
          <w:sz w:val="24"/>
        </w:rPr>
      </w:pPr>
      <w:r>
        <w:rPr>
          <w:sz w:val="24"/>
        </w:rPr>
        <w:t xml:space="preserve">                               年</w:t>
      </w:r>
      <w:r>
        <w:rPr>
          <w:sz w:val="24"/>
          <w:u w:val="single"/>
        </w:rPr>
        <w:t xml:space="preserve">     </w:t>
      </w:r>
      <w:r>
        <w:rPr>
          <w:sz w:val="24"/>
        </w:rPr>
        <w:t>月</w:t>
      </w:r>
      <w:r>
        <w:rPr>
          <w:sz w:val="24"/>
          <w:u w:val="single"/>
        </w:rPr>
        <w:t xml:space="preserve">     </w:t>
      </w:r>
      <w:r>
        <w:rPr>
          <w:sz w:val="24"/>
        </w:rPr>
        <w:t>日</w:t>
      </w:r>
    </w:p>
    <w:p>
      <w:pPr>
        <w:pStyle w:val="13"/>
        <w:ind w:left="0" w:leftChars="0" w:firstLine="0" w:firstLineChars="0"/>
      </w:pPr>
    </w:p>
    <w:p/>
    <w:p>
      <w:pPr>
        <w:autoSpaceDE w:val="0"/>
        <w:autoSpaceDN w:val="0"/>
        <w:adjustRightInd w:val="0"/>
        <w:spacing w:before="28" w:line="360" w:lineRule="auto"/>
        <w:jc w:val="left"/>
        <w:rPr>
          <w:b/>
          <w:w w:val="99"/>
          <w:sz w:val="28"/>
          <w:szCs w:val="28"/>
        </w:rPr>
      </w:pPr>
      <w:r>
        <w:rPr>
          <w:rFonts w:hint="eastAsia"/>
          <w:b/>
          <w:w w:val="99"/>
          <w:sz w:val="28"/>
          <w:szCs w:val="28"/>
        </w:rPr>
        <w:t>附件二：问题澄清通知</w:t>
      </w:r>
    </w:p>
    <w:p>
      <w:pPr>
        <w:autoSpaceDE w:val="0"/>
        <w:autoSpaceDN w:val="0"/>
        <w:adjustRightInd w:val="0"/>
        <w:spacing w:line="360" w:lineRule="auto"/>
        <w:ind w:right="3873"/>
        <w:jc w:val="right"/>
        <w:rPr>
          <w:b/>
          <w:sz w:val="30"/>
          <w:szCs w:val="30"/>
        </w:rPr>
      </w:pPr>
      <w:r>
        <w:rPr>
          <w:b/>
          <w:spacing w:val="1"/>
          <w:sz w:val="30"/>
          <w:szCs w:val="30"/>
        </w:rPr>
        <w:t>问题</w:t>
      </w:r>
      <w:r>
        <w:rPr>
          <w:b/>
          <w:sz w:val="30"/>
          <w:szCs w:val="30"/>
        </w:rPr>
        <w:t>澄</w:t>
      </w:r>
      <w:r>
        <w:rPr>
          <w:b/>
          <w:spacing w:val="1"/>
          <w:sz w:val="30"/>
          <w:szCs w:val="30"/>
        </w:rPr>
        <w:t>清通</w:t>
      </w:r>
      <w:r>
        <w:rPr>
          <w:b/>
          <w:sz w:val="30"/>
          <w:szCs w:val="30"/>
        </w:rPr>
        <w:t>知</w:t>
      </w:r>
    </w:p>
    <w:p>
      <w:pPr>
        <w:autoSpaceDE w:val="0"/>
        <w:autoSpaceDN w:val="0"/>
        <w:adjustRightInd w:val="0"/>
        <w:spacing w:line="360" w:lineRule="auto"/>
        <w:ind w:right="829"/>
        <w:rPr>
          <w:sz w:val="24"/>
        </w:rPr>
      </w:pPr>
      <w:r>
        <w:rPr>
          <w:spacing w:val="1"/>
          <w:position w:val="-4"/>
          <w:sz w:val="24"/>
        </w:rPr>
        <w:t>编号：</w:t>
      </w:r>
    </w:p>
    <w:p>
      <w:pPr>
        <w:tabs>
          <w:tab w:val="left" w:pos="1780"/>
        </w:tabs>
        <w:autoSpaceDE w:val="0"/>
        <w:autoSpaceDN w:val="0"/>
        <w:adjustRightInd w:val="0"/>
        <w:spacing w:line="360" w:lineRule="auto"/>
        <w:ind w:left="100"/>
        <w:rPr>
          <w:sz w:val="24"/>
        </w:rPr>
      </w:pPr>
      <w:r>
        <w:rPr>
          <w:position w:val="-3"/>
          <w:sz w:val="24"/>
          <w:u w:val="single"/>
        </w:rPr>
        <w:t xml:space="preserve"> </w:t>
      </w:r>
      <w:r>
        <w:rPr>
          <w:position w:val="-3"/>
          <w:sz w:val="24"/>
          <w:u w:val="single"/>
        </w:rPr>
        <w:tab/>
      </w:r>
      <w:r>
        <w:rPr>
          <w:position w:val="-3"/>
          <w:sz w:val="24"/>
        </w:rPr>
        <w:t>（投标人名称</w:t>
      </w:r>
      <w:r>
        <w:rPr>
          <w:spacing w:val="-120"/>
          <w:position w:val="-3"/>
          <w:sz w:val="24"/>
        </w:rPr>
        <w:t>）</w:t>
      </w:r>
      <w:r>
        <w:rPr>
          <w:position w:val="-3"/>
          <w:sz w:val="24"/>
        </w:rPr>
        <w:t>：</w:t>
      </w:r>
    </w:p>
    <w:p>
      <w:pPr>
        <w:tabs>
          <w:tab w:val="left" w:pos="2260"/>
        </w:tabs>
        <w:autoSpaceDE w:val="0"/>
        <w:autoSpaceDN w:val="0"/>
        <w:adjustRightInd w:val="0"/>
        <w:spacing w:line="360" w:lineRule="auto"/>
        <w:ind w:left="94" w:leftChars="45" w:right="56" w:firstLine="480" w:firstLineChars="200"/>
        <w:rPr>
          <w:sz w:val="24"/>
        </w:rPr>
      </w:pPr>
      <w:r>
        <w:rPr>
          <w:sz w:val="24"/>
          <w:u w:val="single"/>
        </w:rPr>
        <w:t xml:space="preserve"> </w:t>
      </w:r>
      <w:r>
        <w:rPr>
          <w:sz w:val="24"/>
          <w:u w:val="single"/>
        </w:rPr>
        <w:tab/>
      </w:r>
      <w:r>
        <w:rPr>
          <w:sz w:val="24"/>
        </w:rPr>
        <w:t>（项目名称</w:t>
      </w:r>
      <w:r>
        <w:rPr>
          <w:spacing w:val="-40"/>
          <w:sz w:val="24"/>
        </w:rPr>
        <w:t>）</w:t>
      </w:r>
      <w:r>
        <w:rPr>
          <w:sz w:val="24"/>
        </w:rPr>
        <w:t>招标的评标委员会</w:t>
      </w:r>
      <w:r>
        <w:rPr>
          <w:spacing w:val="-40"/>
          <w:sz w:val="24"/>
        </w:rPr>
        <w:t>，</w:t>
      </w:r>
      <w:r>
        <w:rPr>
          <w:sz w:val="24"/>
        </w:rPr>
        <w:t>对你方的投标文件进行了仔细的审查，现需你方对下列问题以书面形式予以澄清：</w:t>
      </w:r>
    </w:p>
    <w:p>
      <w:pPr>
        <w:autoSpaceDE w:val="0"/>
        <w:autoSpaceDN w:val="0"/>
        <w:adjustRightInd w:val="0"/>
        <w:spacing w:line="360" w:lineRule="auto"/>
        <w:ind w:left="581"/>
        <w:rPr>
          <w:sz w:val="24"/>
        </w:rPr>
      </w:pPr>
      <w:r>
        <w:rPr>
          <w:sz w:val="24"/>
        </w:rPr>
        <w:t>1.</w:t>
      </w:r>
    </w:p>
    <w:p>
      <w:pPr>
        <w:autoSpaceDE w:val="0"/>
        <w:autoSpaceDN w:val="0"/>
        <w:adjustRightInd w:val="0"/>
        <w:spacing w:line="360" w:lineRule="auto"/>
        <w:ind w:left="581"/>
        <w:rPr>
          <w:sz w:val="24"/>
        </w:rPr>
      </w:pPr>
      <w:r>
        <w:rPr>
          <w:sz w:val="24"/>
        </w:rPr>
        <w:t>2</w:t>
      </w:r>
      <w:r>
        <w:rPr>
          <w:w w:val="200"/>
          <w:sz w:val="24"/>
        </w:rPr>
        <w:t>.</w:t>
      </w:r>
    </w:p>
    <w:p>
      <w:pPr>
        <w:autoSpaceDE w:val="0"/>
        <w:autoSpaceDN w:val="0"/>
        <w:adjustRightInd w:val="0"/>
        <w:spacing w:line="360" w:lineRule="auto"/>
        <w:ind w:left="581"/>
        <w:rPr>
          <w:sz w:val="24"/>
        </w:rPr>
      </w:pPr>
      <w:r>
        <w:rPr>
          <w:sz w:val="24"/>
        </w:rPr>
        <w:t>……</w:t>
      </w:r>
    </w:p>
    <w:p>
      <w:pPr>
        <w:autoSpaceDE w:val="0"/>
        <w:autoSpaceDN w:val="0"/>
        <w:adjustRightInd w:val="0"/>
        <w:spacing w:line="360" w:lineRule="auto"/>
        <w:rPr>
          <w:sz w:val="24"/>
        </w:rPr>
      </w:pPr>
    </w:p>
    <w:p>
      <w:pPr>
        <w:autoSpaceDE w:val="0"/>
        <w:autoSpaceDN w:val="0"/>
        <w:adjustRightInd w:val="0"/>
        <w:spacing w:line="360" w:lineRule="auto"/>
        <w:rPr>
          <w:sz w:val="24"/>
        </w:rPr>
      </w:pPr>
    </w:p>
    <w:p>
      <w:pPr>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line="360" w:lineRule="auto"/>
        <w:ind w:left="100" w:right="57" w:firstLine="480"/>
        <w:rPr>
          <w:sz w:val="24"/>
        </w:rPr>
      </w:pPr>
      <w:r>
        <w:rPr>
          <w:sz w:val="24"/>
        </w:rPr>
        <w:t>请将上述问题的澄清于</w:t>
      </w:r>
      <w:r>
        <w:rPr>
          <w:spacing w:val="-11"/>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u w:val="single"/>
        </w:rPr>
        <w:t xml:space="preserve">   </w:t>
      </w:r>
      <w:r>
        <w:rPr>
          <w:sz w:val="24"/>
        </w:rPr>
        <w:t>时前递交至</w:t>
      </w:r>
      <w:r>
        <w:rPr>
          <w:sz w:val="24"/>
          <w:u w:val="single"/>
        </w:rPr>
        <w:t xml:space="preserve">          </w:t>
      </w:r>
      <w:r>
        <w:rPr>
          <w:sz w:val="24"/>
        </w:rPr>
        <w:t>（详细地址</w:t>
      </w:r>
      <w:r>
        <w:rPr>
          <w:spacing w:val="-80"/>
          <w:sz w:val="24"/>
        </w:rPr>
        <w:t>）</w:t>
      </w:r>
      <w:r>
        <w:rPr>
          <w:sz w:val="24"/>
        </w:rPr>
        <w:t>或传真至</w:t>
      </w:r>
      <w:r>
        <w:rPr>
          <w:sz w:val="24"/>
          <w:u w:val="single"/>
        </w:rPr>
        <w:t xml:space="preserve"> </w:t>
      </w:r>
      <w:r>
        <w:rPr>
          <w:sz w:val="24"/>
          <w:u w:val="single"/>
        </w:rPr>
        <w:tab/>
      </w:r>
      <w:r>
        <w:rPr>
          <w:sz w:val="24"/>
        </w:rPr>
        <w:t>（传真号码</w:t>
      </w:r>
      <w:r>
        <w:rPr>
          <w:spacing w:val="-120"/>
          <w:sz w:val="24"/>
        </w:rPr>
        <w:t>）</w:t>
      </w:r>
      <w:r>
        <w:rPr>
          <w:spacing w:val="-80"/>
          <w:sz w:val="24"/>
        </w:rPr>
        <w:t>。</w:t>
      </w:r>
      <w:r>
        <w:rPr>
          <w:sz w:val="24"/>
        </w:rPr>
        <w:t>采用传真方式的</w:t>
      </w:r>
      <w:r>
        <w:rPr>
          <w:spacing w:val="-80"/>
          <w:sz w:val="24"/>
        </w:rPr>
        <w:t>，</w:t>
      </w:r>
      <w:r>
        <w:rPr>
          <w:sz w:val="24"/>
        </w:rPr>
        <w:t>应在</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u w:val="single"/>
        </w:rPr>
        <w:t xml:space="preserve">   </w:t>
      </w:r>
      <w:r>
        <w:rPr>
          <w:sz w:val="24"/>
        </w:rPr>
        <w:t>时前将原件递交</w:t>
      </w:r>
      <w:r>
        <w:rPr>
          <w:sz w:val="24"/>
          <w:u w:val="single"/>
        </w:rPr>
        <w:tab/>
      </w:r>
      <w:r>
        <w:rPr>
          <w:sz w:val="24"/>
          <w:u w:val="single"/>
        </w:rPr>
        <w:tab/>
      </w:r>
      <w:r>
        <w:rPr>
          <w:sz w:val="24"/>
        </w:rPr>
        <w:t>（详细地址</w:t>
      </w:r>
      <w:r>
        <w:rPr>
          <w:spacing w:val="-120"/>
          <w:sz w:val="24"/>
        </w:rPr>
        <w:t>）</w:t>
      </w:r>
      <w:r>
        <w:rPr>
          <w:sz w:val="24"/>
        </w:rPr>
        <w:t>。</w:t>
      </w:r>
    </w:p>
    <w:p>
      <w:pPr>
        <w:autoSpaceDE w:val="0"/>
        <w:autoSpaceDN w:val="0"/>
        <w:adjustRightInd w:val="0"/>
        <w:spacing w:line="360" w:lineRule="auto"/>
        <w:rPr>
          <w:sz w:val="24"/>
        </w:rPr>
      </w:pPr>
    </w:p>
    <w:p>
      <w:pPr>
        <w:tabs>
          <w:tab w:val="left" w:pos="4695"/>
        </w:tabs>
        <w:autoSpaceDE w:val="0"/>
        <w:autoSpaceDN w:val="0"/>
        <w:adjustRightInd w:val="0"/>
        <w:spacing w:line="360" w:lineRule="auto"/>
        <w:ind w:left="3260"/>
        <w:rPr>
          <w:sz w:val="24"/>
        </w:rPr>
      </w:pPr>
      <w:r>
        <w:rPr>
          <w:position w:val="-3"/>
          <w:sz w:val="24"/>
          <w:u w:val="single"/>
        </w:rPr>
        <w:tab/>
      </w:r>
      <w:r>
        <w:rPr>
          <w:position w:val="-3"/>
          <w:sz w:val="24"/>
        </w:rPr>
        <w:t>（项目名称）标段招标评标委员会</w:t>
      </w:r>
    </w:p>
    <w:p>
      <w:pPr>
        <w:autoSpaceDE w:val="0"/>
        <w:autoSpaceDN w:val="0"/>
        <w:adjustRightInd w:val="0"/>
        <w:spacing w:line="360" w:lineRule="auto"/>
        <w:rPr>
          <w:sz w:val="24"/>
        </w:rPr>
      </w:pPr>
    </w:p>
    <w:p>
      <w:pPr>
        <w:tabs>
          <w:tab w:val="left" w:pos="7815"/>
        </w:tabs>
        <w:autoSpaceDE w:val="0"/>
        <w:autoSpaceDN w:val="0"/>
        <w:adjustRightInd w:val="0"/>
        <w:spacing w:line="360" w:lineRule="auto"/>
        <w:ind w:firstLine="3240" w:firstLineChars="1350"/>
        <w:rPr>
          <w:position w:val="-3"/>
          <w:sz w:val="24"/>
        </w:rPr>
      </w:pPr>
      <w:r>
        <w:rPr>
          <w:position w:val="-3"/>
          <w:sz w:val="24"/>
        </w:rPr>
        <w:t>招标人：</w:t>
      </w:r>
      <w:r>
        <w:rPr>
          <w:spacing w:val="-11"/>
          <w:position w:val="-3"/>
          <w:sz w:val="24"/>
          <w:u w:val="single"/>
        </w:rPr>
        <w:t xml:space="preserve"> </w:t>
      </w:r>
      <w:r>
        <w:rPr>
          <w:rFonts w:hint="eastAsia"/>
          <w:spacing w:val="-11"/>
          <w:position w:val="-3"/>
          <w:sz w:val="24"/>
          <w:u w:val="single"/>
        </w:rPr>
        <w:t xml:space="preserve">                           </w:t>
      </w:r>
      <w:r>
        <w:rPr>
          <w:position w:val="-3"/>
          <w:sz w:val="24"/>
        </w:rPr>
        <w:t>（盖单位章）</w:t>
      </w:r>
    </w:p>
    <w:p>
      <w:pPr>
        <w:tabs>
          <w:tab w:val="left" w:pos="7815"/>
        </w:tabs>
        <w:autoSpaceDE w:val="0"/>
        <w:autoSpaceDN w:val="0"/>
        <w:adjustRightInd w:val="0"/>
        <w:spacing w:line="360" w:lineRule="auto"/>
        <w:ind w:firstLine="3240" w:firstLineChars="1350"/>
        <w:rPr>
          <w:sz w:val="24"/>
        </w:rPr>
      </w:pPr>
    </w:p>
    <w:p>
      <w:pPr>
        <w:spacing w:line="360" w:lineRule="auto"/>
        <w:rPr>
          <w:position w:val="-3"/>
          <w:sz w:val="24"/>
        </w:rPr>
      </w:pPr>
      <w:r>
        <w:rPr>
          <w:position w:val="-3"/>
          <w:sz w:val="24"/>
          <w:u w:val="single"/>
        </w:rPr>
        <w:tab/>
      </w:r>
      <w:r>
        <w:rPr>
          <w:position w:val="-3"/>
          <w:sz w:val="24"/>
        </w:rPr>
        <w:t>年</w:t>
      </w:r>
      <w:r>
        <w:rPr>
          <w:position w:val="-3"/>
          <w:sz w:val="24"/>
          <w:u w:val="single"/>
        </w:rPr>
        <w:t xml:space="preserve"> </w:t>
      </w:r>
      <w:r>
        <w:rPr>
          <w:position w:val="-3"/>
          <w:sz w:val="24"/>
          <w:u w:val="single"/>
        </w:rPr>
        <w:tab/>
      </w:r>
      <w:r>
        <w:rPr>
          <w:position w:val="-3"/>
          <w:sz w:val="24"/>
        </w:rPr>
        <w:t>月</w:t>
      </w:r>
      <w:r>
        <w:rPr>
          <w:position w:val="-3"/>
          <w:sz w:val="24"/>
          <w:u w:val="single"/>
        </w:rPr>
        <w:t xml:space="preserve"> </w:t>
      </w:r>
      <w:r>
        <w:rPr>
          <w:position w:val="-3"/>
          <w:sz w:val="24"/>
          <w:u w:val="single"/>
        </w:rPr>
        <w:tab/>
      </w:r>
      <w:r>
        <w:rPr>
          <w:position w:val="-3"/>
          <w:sz w:val="24"/>
        </w:rPr>
        <w:t>日</w:t>
      </w:r>
    </w:p>
    <w:p>
      <w:pPr>
        <w:spacing w:line="360" w:lineRule="auto"/>
        <w:rPr>
          <w:position w:val="-3"/>
          <w:sz w:val="24"/>
        </w:rPr>
      </w:pPr>
    </w:p>
    <w:p>
      <w:pPr>
        <w:spacing w:line="360" w:lineRule="auto"/>
        <w:rPr>
          <w:position w:val="-3"/>
          <w:sz w:val="24"/>
        </w:rPr>
      </w:pPr>
    </w:p>
    <w:p>
      <w:pPr>
        <w:spacing w:line="360" w:lineRule="auto"/>
        <w:rPr>
          <w:position w:val="-3"/>
          <w:sz w:val="24"/>
        </w:rPr>
      </w:pPr>
    </w:p>
    <w:p>
      <w:pPr>
        <w:pStyle w:val="2"/>
        <w:rPr>
          <w:position w:val="-3"/>
          <w:sz w:val="24"/>
        </w:rPr>
      </w:pPr>
    </w:p>
    <w:p>
      <w:pPr>
        <w:pStyle w:val="3"/>
        <w:rPr>
          <w:position w:val="-3"/>
          <w:sz w:val="24"/>
        </w:rPr>
      </w:pPr>
    </w:p>
    <w:p>
      <w:pPr>
        <w:pStyle w:val="4"/>
      </w:pPr>
    </w:p>
    <w:p>
      <w:pPr>
        <w:autoSpaceDE w:val="0"/>
        <w:autoSpaceDN w:val="0"/>
        <w:adjustRightInd w:val="0"/>
        <w:spacing w:line="360" w:lineRule="auto"/>
        <w:ind w:right="120"/>
        <w:outlineLvl w:val="1"/>
        <w:rPr>
          <w:position w:val="-3"/>
          <w:sz w:val="24"/>
        </w:rPr>
      </w:pPr>
      <w:bookmarkStart w:id="15" w:name="_Toc384277112"/>
      <w:bookmarkStart w:id="16" w:name="_Toc21608"/>
      <w:bookmarkStart w:id="17" w:name="_Toc6199"/>
      <w:bookmarkStart w:id="18" w:name="_Toc9321"/>
      <w:r>
        <w:rPr>
          <w:b/>
          <w:spacing w:val="1"/>
          <w:position w:val="-3"/>
          <w:sz w:val="24"/>
        </w:rPr>
        <w:t>附表</w:t>
      </w:r>
      <w:r>
        <w:rPr>
          <w:rFonts w:hint="eastAsia"/>
          <w:b/>
          <w:spacing w:val="1"/>
          <w:position w:val="-3"/>
          <w:sz w:val="24"/>
        </w:rPr>
        <w:t>三</w:t>
      </w:r>
      <w:r>
        <w:rPr>
          <w:b/>
          <w:spacing w:val="1"/>
          <w:position w:val="-3"/>
          <w:sz w:val="24"/>
        </w:rPr>
        <w:t>：问题的澄清</w:t>
      </w:r>
      <w:bookmarkEnd w:id="15"/>
      <w:bookmarkEnd w:id="16"/>
      <w:bookmarkEnd w:id="17"/>
      <w:bookmarkEnd w:id="18"/>
    </w:p>
    <w:p>
      <w:pPr>
        <w:autoSpaceDE w:val="0"/>
        <w:autoSpaceDN w:val="0"/>
        <w:adjustRightInd w:val="0"/>
        <w:spacing w:line="360" w:lineRule="auto"/>
        <w:rPr>
          <w:sz w:val="24"/>
        </w:rPr>
      </w:pPr>
    </w:p>
    <w:p>
      <w:pPr>
        <w:autoSpaceDE w:val="0"/>
        <w:autoSpaceDN w:val="0"/>
        <w:adjustRightInd w:val="0"/>
        <w:spacing w:line="360" w:lineRule="auto"/>
        <w:ind w:right="3933"/>
        <w:jc w:val="center"/>
        <w:rPr>
          <w:b/>
          <w:sz w:val="30"/>
          <w:szCs w:val="30"/>
        </w:rPr>
      </w:pPr>
      <w:r>
        <w:rPr>
          <w:b/>
          <w:spacing w:val="1"/>
          <w:sz w:val="30"/>
          <w:szCs w:val="30"/>
        </w:rPr>
        <w:t>问题</w:t>
      </w:r>
      <w:r>
        <w:rPr>
          <w:b/>
          <w:sz w:val="30"/>
          <w:szCs w:val="30"/>
        </w:rPr>
        <w:t>的</w:t>
      </w:r>
      <w:r>
        <w:rPr>
          <w:b/>
          <w:spacing w:val="1"/>
          <w:sz w:val="30"/>
          <w:szCs w:val="30"/>
        </w:rPr>
        <w:t>澄</w:t>
      </w:r>
      <w:r>
        <w:rPr>
          <w:b/>
          <w:sz w:val="30"/>
          <w:szCs w:val="30"/>
        </w:rPr>
        <w:t>清</w:t>
      </w:r>
    </w:p>
    <w:p>
      <w:pPr>
        <w:autoSpaceDE w:val="0"/>
        <w:autoSpaceDN w:val="0"/>
        <w:adjustRightInd w:val="0"/>
        <w:spacing w:line="360" w:lineRule="auto"/>
        <w:rPr>
          <w:sz w:val="24"/>
        </w:rPr>
      </w:pPr>
    </w:p>
    <w:p>
      <w:pPr>
        <w:tabs>
          <w:tab w:val="left" w:pos="8931"/>
        </w:tabs>
        <w:autoSpaceDE w:val="0"/>
        <w:autoSpaceDN w:val="0"/>
        <w:adjustRightInd w:val="0"/>
        <w:spacing w:line="360" w:lineRule="auto"/>
        <w:ind w:left="4960" w:right="1538"/>
        <w:jc w:val="center"/>
        <w:rPr>
          <w:sz w:val="24"/>
        </w:rPr>
      </w:pPr>
      <w:r>
        <w:rPr>
          <w:sz w:val="24"/>
        </w:rPr>
        <w:t xml:space="preserve">               编号：</w:t>
      </w:r>
    </w:p>
    <w:p>
      <w:pPr>
        <w:autoSpaceDE w:val="0"/>
        <w:autoSpaceDN w:val="0"/>
        <w:adjustRightInd w:val="0"/>
        <w:spacing w:line="360" w:lineRule="auto"/>
        <w:rPr>
          <w:sz w:val="24"/>
        </w:rPr>
      </w:pPr>
    </w:p>
    <w:p>
      <w:pPr>
        <w:tabs>
          <w:tab w:val="left" w:pos="2260"/>
        </w:tabs>
        <w:autoSpaceDE w:val="0"/>
        <w:autoSpaceDN w:val="0"/>
        <w:adjustRightInd w:val="0"/>
        <w:spacing w:line="360" w:lineRule="auto"/>
        <w:ind w:left="581"/>
        <w:rPr>
          <w:sz w:val="24"/>
        </w:rPr>
      </w:pPr>
      <w:r>
        <w:rPr>
          <w:position w:val="-4"/>
          <w:sz w:val="24"/>
          <w:u w:val="single"/>
        </w:rPr>
        <w:t xml:space="preserve"> </w:t>
      </w:r>
      <w:r>
        <w:rPr>
          <w:position w:val="-4"/>
          <w:sz w:val="24"/>
          <w:u w:val="single"/>
        </w:rPr>
        <w:tab/>
      </w:r>
      <w:r>
        <w:rPr>
          <w:position w:val="-4"/>
          <w:sz w:val="24"/>
        </w:rPr>
        <w:t>（项目名称）招标评标委员会：</w:t>
      </w:r>
    </w:p>
    <w:p>
      <w:pPr>
        <w:tabs>
          <w:tab w:val="left" w:pos="4180"/>
        </w:tabs>
        <w:autoSpaceDE w:val="0"/>
        <w:autoSpaceDN w:val="0"/>
        <w:adjustRightInd w:val="0"/>
        <w:spacing w:line="360" w:lineRule="auto"/>
        <w:ind w:left="581"/>
        <w:rPr>
          <w:sz w:val="24"/>
        </w:rPr>
      </w:pPr>
      <w:r>
        <w:rPr>
          <w:sz w:val="24"/>
        </w:rPr>
        <w:t>问题澄清通知（编号：</w:t>
      </w:r>
      <w:r>
        <w:rPr>
          <w:spacing w:val="-11"/>
          <w:sz w:val="24"/>
          <w:u w:val="single"/>
        </w:rPr>
        <w:t xml:space="preserve"> </w:t>
      </w:r>
      <w:r>
        <w:rPr>
          <w:sz w:val="24"/>
          <w:u w:val="single"/>
        </w:rPr>
        <w:tab/>
      </w:r>
      <w:r>
        <w:rPr>
          <w:sz w:val="24"/>
        </w:rPr>
        <w:t>）已收悉，现澄清如下：</w:t>
      </w:r>
    </w:p>
    <w:p>
      <w:pPr>
        <w:autoSpaceDE w:val="0"/>
        <w:autoSpaceDN w:val="0"/>
        <w:adjustRightInd w:val="0"/>
        <w:spacing w:line="360" w:lineRule="auto"/>
        <w:ind w:left="581"/>
        <w:rPr>
          <w:sz w:val="24"/>
        </w:rPr>
      </w:pPr>
      <w:r>
        <w:rPr>
          <w:sz w:val="24"/>
        </w:rPr>
        <w:t>1.</w:t>
      </w:r>
    </w:p>
    <w:p>
      <w:pPr>
        <w:autoSpaceDE w:val="0"/>
        <w:autoSpaceDN w:val="0"/>
        <w:adjustRightInd w:val="0"/>
        <w:spacing w:line="360" w:lineRule="auto"/>
        <w:ind w:left="581"/>
        <w:rPr>
          <w:sz w:val="24"/>
        </w:rPr>
      </w:pPr>
      <w:r>
        <w:rPr>
          <w:sz w:val="24"/>
        </w:rPr>
        <w:t>2</w:t>
      </w:r>
      <w:r>
        <w:rPr>
          <w:w w:val="200"/>
          <w:sz w:val="24"/>
        </w:rPr>
        <w:t>.</w:t>
      </w:r>
    </w:p>
    <w:p>
      <w:pPr>
        <w:autoSpaceDE w:val="0"/>
        <w:autoSpaceDN w:val="0"/>
        <w:adjustRightInd w:val="0"/>
        <w:spacing w:line="360" w:lineRule="auto"/>
        <w:ind w:left="581"/>
        <w:rPr>
          <w:sz w:val="24"/>
        </w:rPr>
      </w:pPr>
      <w:r>
        <w:rPr>
          <w:sz w:val="24"/>
        </w:rPr>
        <w:t>……</w:t>
      </w:r>
    </w:p>
    <w:p>
      <w:pPr>
        <w:autoSpaceDE w:val="0"/>
        <w:autoSpaceDN w:val="0"/>
        <w:adjustRightInd w:val="0"/>
        <w:spacing w:line="360" w:lineRule="auto"/>
        <w:rPr>
          <w:sz w:val="24"/>
        </w:rPr>
      </w:pPr>
    </w:p>
    <w:p>
      <w:pPr>
        <w:autoSpaceDE w:val="0"/>
        <w:autoSpaceDN w:val="0"/>
        <w:adjustRightInd w:val="0"/>
        <w:spacing w:line="360" w:lineRule="auto"/>
        <w:rPr>
          <w:sz w:val="24"/>
        </w:rPr>
      </w:pPr>
    </w:p>
    <w:p>
      <w:pPr>
        <w:autoSpaceDE w:val="0"/>
        <w:autoSpaceDN w:val="0"/>
        <w:adjustRightInd w:val="0"/>
        <w:spacing w:line="360" w:lineRule="auto"/>
        <w:rPr>
          <w:sz w:val="24"/>
        </w:rPr>
      </w:pPr>
    </w:p>
    <w:p>
      <w:pPr>
        <w:tabs>
          <w:tab w:val="left" w:pos="7860"/>
        </w:tabs>
        <w:autoSpaceDE w:val="0"/>
        <w:autoSpaceDN w:val="0"/>
        <w:adjustRightInd w:val="0"/>
        <w:spacing w:line="360" w:lineRule="auto"/>
        <w:ind w:firstLine="3720" w:firstLineChars="1550"/>
        <w:rPr>
          <w:sz w:val="24"/>
        </w:rPr>
      </w:pPr>
      <w:r>
        <w:rPr>
          <w:position w:val="-4"/>
          <w:sz w:val="24"/>
        </w:rPr>
        <w:t>投标人：</w:t>
      </w:r>
      <w:r>
        <w:rPr>
          <w:rFonts w:hint="eastAsia"/>
          <w:position w:val="-4"/>
          <w:sz w:val="24"/>
          <w:u w:val="single"/>
        </w:rPr>
        <w:t xml:space="preserve">                     </w:t>
      </w:r>
      <w:r>
        <w:rPr>
          <w:position w:val="-4"/>
          <w:sz w:val="24"/>
        </w:rPr>
        <w:t>（盖单位章）</w:t>
      </w:r>
    </w:p>
    <w:p>
      <w:pPr>
        <w:autoSpaceDE w:val="0"/>
        <w:autoSpaceDN w:val="0"/>
        <w:adjustRightInd w:val="0"/>
        <w:spacing w:line="360" w:lineRule="auto"/>
        <w:rPr>
          <w:sz w:val="24"/>
        </w:rPr>
      </w:pPr>
    </w:p>
    <w:p>
      <w:pPr>
        <w:tabs>
          <w:tab w:val="left" w:pos="8340"/>
        </w:tabs>
        <w:autoSpaceDE w:val="0"/>
        <w:autoSpaceDN w:val="0"/>
        <w:adjustRightInd w:val="0"/>
        <w:spacing w:line="360" w:lineRule="auto"/>
        <w:ind w:left="3782"/>
        <w:rPr>
          <w:sz w:val="24"/>
        </w:rPr>
      </w:pPr>
      <w:r>
        <w:rPr>
          <w:position w:val="-3"/>
          <w:sz w:val="24"/>
        </w:rPr>
        <w:t>法定代表人或其委托代理人：</w:t>
      </w:r>
      <w:r>
        <w:rPr>
          <w:spacing w:val="-11"/>
          <w:position w:val="-3"/>
          <w:sz w:val="24"/>
          <w:u w:val="single"/>
        </w:rPr>
        <w:t xml:space="preserve"> </w:t>
      </w:r>
      <w:r>
        <w:rPr>
          <w:position w:val="-3"/>
          <w:sz w:val="24"/>
          <w:u w:val="single"/>
        </w:rPr>
        <w:tab/>
      </w:r>
      <w:r>
        <w:rPr>
          <w:position w:val="-3"/>
          <w:sz w:val="24"/>
        </w:rPr>
        <w:t>（签字）</w:t>
      </w:r>
    </w:p>
    <w:p>
      <w:pPr>
        <w:autoSpaceDE w:val="0"/>
        <w:autoSpaceDN w:val="0"/>
        <w:adjustRightInd w:val="0"/>
        <w:spacing w:line="360" w:lineRule="auto"/>
        <w:rPr>
          <w:sz w:val="24"/>
        </w:rPr>
      </w:pPr>
    </w:p>
    <w:p>
      <w:pPr>
        <w:autoSpaceDE w:val="0"/>
        <w:autoSpaceDN w:val="0"/>
        <w:adjustRightInd w:val="0"/>
        <w:spacing w:line="360" w:lineRule="auto"/>
        <w:jc w:val="right"/>
        <w:rPr>
          <w:position w:val="-3"/>
          <w:sz w:val="24"/>
        </w:rPr>
      </w:pPr>
      <w:r>
        <w:rPr>
          <w:position w:val="-3"/>
          <w:sz w:val="24"/>
          <w:u w:val="single"/>
        </w:rPr>
        <w:tab/>
      </w:r>
      <w:r>
        <w:rPr>
          <w:position w:val="-3"/>
          <w:sz w:val="24"/>
        </w:rPr>
        <w:t>年</w:t>
      </w:r>
      <w:r>
        <w:rPr>
          <w:position w:val="-3"/>
          <w:sz w:val="24"/>
          <w:u w:val="single"/>
        </w:rPr>
        <w:t xml:space="preserve"> </w:t>
      </w:r>
      <w:r>
        <w:rPr>
          <w:position w:val="-3"/>
          <w:sz w:val="24"/>
          <w:u w:val="single"/>
        </w:rPr>
        <w:tab/>
      </w:r>
      <w:r>
        <w:rPr>
          <w:position w:val="-3"/>
          <w:sz w:val="24"/>
        </w:rPr>
        <w:t>月</w:t>
      </w:r>
      <w:r>
        <w:rPr>
          <w:position w:val="-3"/>
          <w:sz w:val="24"/>
          <w:u w:val="single"/>
        </w:rPr>
        <w:t xml:space="preserve"> </w:t>
      </w:r>
      <w:r>
        <w:rPr>
          <w:position w:val="-3"/>
          <w:sz w:val="24"/>
          <w:u w:val="single"/>
        </w:rPr>
        <w:tab/>
      </w:r>
      <w:r>
        <w:rPr>
          <w:position w:val="-3"/>
          <w:sz w:val="24"/>
        </w:rPr>
        <w:t>日</w:t>
      </w:r>
    </w:p>
    <w:p>
      <w:pPr>
        <w:spacing w:line="360" w:lineRule="auto"/>
        <w:rPr>
          <w:position w:val="-3"/>
          <w:sz w:val="24"/>
        </w:rPr>
      </w:pPr>
    </w:p>
    <w:p>
      <w:pPr>
        <w:autoSpaceDE w:val="0"/>
        <w:autoSpaceDN w:val="0"/>
        <w:adjustRightInd w:val="0"/>
        <w:spacing w:line="360" w:lineRule="auto"/>
        <w:outlineLvl w:val="1"/>
        <w:rPr>
          <w:b/>
          <w:spacing w:val="1"/>
          <w:position w:val="-3"/>
          <w:sz w:val="24"/>
        </w:rPr>
      </w:pPr>
      <w:bookmarkStart w:id="19" w:name="_Toc384277113"/>
      <w:bookmarkStart w:id="20" w:name="_Toc24113"/>
      <w:bookmarkStart w:id="21" w:name="_Toc10633"/>
      <w:bookmarkStart w:id="22" w:name="_Toc26264"/>
    </w:p>
    <w:p>
      <w:pPr>
        <w:autoSpaceDE w:val="0"/>
        <w:autoSpaceDN w:val="0"/>
        <w:adjustRightInd w:val="0"/>
        <w:spacing w:line="360" w:lineRule="auto"/>
        <w:outlineLvl w:val="1"/>
        <w:rPr>
          <w:b/>
          <w:spacing w:val="1"/>
          <w:position w:val="-3"/>
          <w:sz w:val="24"/>
        </w:rPr>
      </w:pPr>
    </w:p>
    <w:p>
      <w:pPr>
        <w:pStyle w:val="2"/>
        <w:rPr>
          <w:b/>
          <w:spacing w:val="1"/>
          <w:position w:val="-3"/>
          <w:sz w:val="24"/>
        </w:rPr>
      </w:pPr>
    </w:p>
    <w:p>
      <w:pPr>
        <w:pStyle w:val="3"/>
        <w:rPr>
          <w:b/>
          <w:spacing w:val="1"/>
          <w:position w:val="-3"/>
          <w:sz w:val="24"/>
        </w:rPr>
      </w:pPr>
    </w:p>
    <w:p>
      <w:pPr>
        <w:pStyle w:val="4"/>
      </w:pPr>
    </w:p>
    <w:p>
      <w:pPr>
        <w:autoSpaceDE w:val="0"/>
        <w:autoSpaceDN w:val="0"/>
        <w:adjustRightInd w:val="0"/>
        <w:spacing w:line="360" w:lineRule="auto"/>
        <w:outlineLvl w:val="1"/>
        <w:rPr>
          <w:b/>
          <w:spacing w:val="1"/>
          <w:position w:val="-3"/>
          <w:sz w:val="24"/>
        </w:rPr>
      </w:pPr>
    </w:p>
    <w:p>
      <w:pPr>
        <w:autoSpaceDE w:val="0"/>
        <w:autoSpaceDN w:val="0"/>
        <w:adjustRightInd w:val="0"/>
        <w:spacing w:line="360" w:lineRule="auto"/>
        <w:outlineLvl w:val="1"/>
        <w:rPr>
          <w:sz w:val="24"/>
        </w:rPr>
      </w:pPr>
      <w:r>
        <w:rPr>
          <w:b/>
          <w:spacing w:val="1"/>
          <w:position w:val="-3"/>
          <w:sz w:val="24"/>
        </w:rPr>
        <w:t>附表</w:t>
      </w:r>
      <w:r>
        <w:rPr>
          <w:rFonts w:hint="eastAsia"/>
          <w:b/>
          <w:spacing w:val="1"/>
          <w:position w:val="-3"/>
          <w:sz w:val="24"/>
        </w:rPr>
        <w:t>四</w:t>
      </w:r>
      <w:r>
        <w:rPr>
          <w:b/>
          <w:spacing w:val="1"/>
          <w:position w:val="-3"/>
          <w:sz w:val="24"/>
        </w:rPr>
        <w:t>：中标通知书</w:t>
      </w:r>
      <w:bookmarkEnd w:id="19"/>
      <w:bookmarkEnd w:id="20"/>
      <w:bookmarkEnd w:id="21"/>
      <w:bookmarkEnd w:id="22"/>
    </w:p>
    <w:p>
      <w:pPr>
        <w:autoSpaceDE w:val="0"/>
        <w:autoSpaceDN w:val="0"/>
        <w:adjustRightInd w:val="0"/>
        <w:spacing w:line="360" w:lineRule="auto"/>
        <w:jc w:val="center"/>
        <w:rPr>
          <w:b/>
          <w:spacing w:val="1"/>
          <w:position w:val="-3"/>
          <w:sz w:val="30"/>
          <w:szCs w:val="30"/>
        </w:rPr>
      </w:pPr>
    </w:p>
    <w:p>
      <w:pPr>
        <w:autoSpaceDE w:val="0"/>
        <w:autoSpaceDN w:val="0"/>
        <w:adjustRightInd w:val="0"/>
        <w:spacing w:line="360" w:lineRule="auto"/>
        <w:jc w:val="center"/>
        <w:rPr>
          <w:b/>
          <w:sz w:val="30"/>
          <w:szCs w:val="30"/>
        </w:rPr>
      </w:pPr>
      <w:r>
        <w:rPr>
          <w:b/>
          <w:spacing w:val="1"/>
          <w:position w:val="-3"/>
          <w:sz w:val="30"/>
          <w:szCs w:val="30"/>
        </w:rPr>
        <w:t>中标</w:t>
      </w:r>
      <w:r>
        <w:rPr>
          <w:b/>
          <w:position w:val="-3"/>
          <w:sz w:val="30"/>
          <w:szCs w:val="30"/>
        </w:rPr>
        <w:t>通</w:t>
      </w:r>
      <w:r>
        <w:rPr>
          <w:b/>
          <w:spacing w:val="1"/>
          <w:position w:val="-3"/>
          <w:sz w:val="30"/>
          <w:szCs w:val="30"/>
        </w:rPr>
        <w:t>知</w:t>
      </w:r>
      <w:r>
        <w:rPr>
          <w:b/>
          <w:position w:val="-3"/>
          <w:sz w:val="30"/>
          <w:szCs w:val="30"/>
        </w:rPr>
        <w:t>书</w:t>
      </w:r>
    </w:p>
    <w:p>
      <w:pPr>
        <w:autoSpaceDE w:val="0"/>
        <w:autoSpaceDN w:val="0"/>
        <w:adjustRightInd w:val="0"/>
        <w:spacing w:line="360" w:lineRule="auto"/>
        <w:rPr>
          <w:sz w:val="24"/>
        </w:rPr>
      </w:pPr>
    </w:p>
    <w:p>
      <w:pPr>
        <w:tabs>
          <w:tab w:val="left" w:pos="2260"/>
        </w:tabs>
        <w:autoSpaceDE w:val="0"/>
        <w:autoSpaceDN w:val="0"/>
        <w:adjustRightInd w:val="0"/>
        <w:spacing w:line="360" w:lineRule="auto"/>
        <w:rPr>
          <w:sz w:val="24"/>
        </w:rPr>
      </w:pPr>
      <w:r>
        <w:rPr>
          <w:position w:val="-3"/>
          <w:sz w:val="24"/>
          <w:u w:val="single"/>
        </w:rPr>
        <w:t xml:space="preserve"> </w:t>
      </w:r>
      <w:r>
        <w:rPr>
          <w:position w:val="-3"/>
          <w:sz w:val="24"/>
          <w:u w:val="single"/>
        </w:rPr>
        <w:tab/>
      </w:r>
      <w:r>
        <w:rPr>
          <w:position w:val="-3"/>
          <w:sz w:val="24"/>
        </w:rPr>
        <w:t>（中标人名称</w:t>
      </w:r>
      <w:r>
        <w:rPr>
          <w:spacing w:val="-120"/>
          <w:position w:val="-3"/>
          <w:sz w:val="24"/>
        </w:rPr>
        <w:t>）</w:t>
      </w:r>
      <w:r>
        <w:rPr>
          <w:position w:val="-3"/>
          <w:sz w:val="24"/>
        </w:rPr>
        <w:t>：</w:t>
      </w:r>
    </w:p>
    <w:p>
      <w:pPr>
        <w:tabs>
          <w:tab w:val="left" w:pos="2838"/>
          <w:tab w:val="left" w:pos="7002"/>
        </w:tabs>
        <w:autoSpaceDE w:val="0"/>
        <w:autoSpaceDN w:val="0"/>
        <w:adjustRightInd w:val="0"/>
        <w:spacing w:line="360" w:lineRule="auto"/>
        <w:ind w:firstLine="596" w:firstLineChars="235"/>
        <w:rPr>
          <w:sz w:val="24"/>
        </w:rPr>
      </w:pPr>
      <w:r>
        <w:rPr>
          <w:spacing w:val="7"/>
          <w:sz w:val="24"/>
        </w:rPr>
        <w:t>你方于</w:t>
      </w:r>
      <w:r>
        <w:rPr>
          <w:spacing w:val="-11"/>
          <w:sz w:val="24"/>
          <w:u w:val="single"/>
        </w:rPr>
        <w:t xml:space="preserve"> </w:t>
      </w:r>
      <w:r>
        <w:rPr>
          <w:sz w:val="24"/>
          <w:u w:val="single"/>
        </w:rPr>
        <w:tab/>
      </w:r>
      <w:r>
        <w:rPr>
          <w:spacing w:val="7"/>
          <w:sz w:val="24"/>
        </w:rPr>
        <w:t>（投标</w:t>
      </w:r>
      <w:r>
        <w:rPr>
          <w:spacing w:val="6"/>
          <w:sz w:val="24"/>
        </w:rPr>
        <w:t>日</w:t>
      </w:r>
      <w:r>
        <w:rPr>
          <w:spacing w:val="8"/>
          <w:sz w:val="24"/>
        </w:rPr>
        <w:t>期</w:t>
      </w:r>
      <w:r>
        <w:rPr>
          <w:sz w:val="24"/>
        </w:rPr>
        <w:t>）</w:t>
      </w:r>
      <w:r>
        <w:rPr>
          <w:spacing w:val="6"/>
          <w:sz w:val="24"/>
        </w:rPr>
        <w:t>所递</w:t>
      </w:r>
      <w:r>
        <w:rPr>
          <w:spacing w:val="7"/>
          <w:sz w:val="24"/>
        </w:rPr>
        <w:t>交</w:t>
      </w:r>
      <w:r>
        <w:rPr>
          <w:spacing w:val="8"/>
          <w:sz w:val="24"/>
        </w:rPr>
        <w:t>的</w:t>
      </w:r>
      <w:r>
        <w:rPr>
          <w:sz w:val="24"/>
          <w:u w:val="single"/>
        </w:rPr>
        <w:t xml:space="preserve"> </w:t>
      </w:r>
      <w:r>
        <w:rPr>
          <w:sz w:val="24"/>
          <w:u w:val="single"/>
        </w:rPr>
        <w:tab/>
      </w:r>
      <w:r>
        <w:rPr>
          <w:sz w:val="24"/>
        </w:rPr>
        <w:t>（</w:t>
      </w:r>
      <w:r>
        <w:rPr>
          <w:spacing w:val="6"/>
          <w:sz w:val="24"/>
        </w:rPr>
        <w:t>项</w:t>
      </w:r>
      <w:r>
        <w:rPr>
          <w:spacing w:val="7"/>
          <w:sz w:val="24"/>
        </w:rPr>
        <w:t>目名称</w:t>
      </w:r>
      <w:r>
        <w:rPr>
          <w:sz w:val="24"/>
        </w:rPr>
        <w:t xml:space="preserve">）投标文件已被我方接受，被确定为中标人。 </w:t>
      </w:r>
    </w:p>
    <w:p>
      <w:pPr>
        <w:tabs>
          <w:tab w:val="left" w:pos="4300"/>
          <w:tab w:val="left" w:pos="7635"/>
        </w:tabs>
        <w:autoSpaceDE w:val="0"/>
        <w:autoSpaceDN w:val="0"/>
        <w:adjustRightInd w:val="0"/>
        <w:spacing w:line="360" w:lineRule="auto"/>
        <w:ind w:left="100" w:right="56" w:firstLine="480"/>
        <w:rPr>
          <w:sz w:val="24"/>
        </w:rPr>
      </w:pPr>
      <w:r>
        <w:rPr>
          <w:sz w:val="24"/>
        </w:rPr>
        <w:t>请你方在接到本通知书后的</w:t>
      </w:r>
      <w:r>
        <w:rPr>
          <w:spacing w:val="-11"/>
          <w:sz w:val="24"/>
          <w:u w:val="single"/>
        </w:rPr>
        <w:t xml:space="preserve"> </w:t>
      </w:r>
      <w:r>
        <w:rPr>
          <w:sz w:val="24"/>
          <w:u w:val="single"/>
        </w:rPr>
        <w:tab/>
      </w:r>
      <w:r>
        <w:rPr>
          <w:sz w:val="24"/>
        </w:rPr>
        <w:t>日内到</w:t>
      </w:r>
      <w:r>
        <w:rPr>
          <w:sz w:val="24"/>
          <w:u w:val="single"/>
        </w:rPr>
        <w:tab/>
      </w:r>
      <w:r>
        <w:rPr>
          <w:sz w:val="24"/>
        </w:rPr>
        <w:t>（指定地点</w:t>
      </w:r>
      <w:r>
        <w:rPr>
          <w:spacing w:val="-10"/>
          <w:sz w:val="24"/>
        </w:rPr>
        <w:t>）</w:t>
      </w:r>
      <w:r>
        <w:rPr>
          <w:sz w:val="24"/>
        </w:rPr>
        <w:t>与我方签订合同。</w:t>
      </w:r>
    </w:p>
    <w:p>
      <w:pPr>
        <w:autoSpaceDE w:val="0"/>
        <w:autoSpaceDN w:val="0"/>
        <w:adjustRightInd w:val="0"/>
        <w:spacing w:line="360" w:lineRule="auto"/>
        <w:ind w:left="581"/>
        <w:rPr>
          <w:sz w:val="24"/>
        </w:rPr>
      </w:pPr>
      <w:r>
        <w:rPr>
          <w:sz w:val="24"/>
        </w:rPr>
        <w:t>特此通知。</w:t>
      </w:r>
    </w:p>
    <w:p>
      <w:pPr>
        <w:autoSpaceDE w:val="0"/>
        <w:autoSpaceDN w:val="0"/>
        <w:adjustRightInd w:val="0"/>
        <w:spacing w:line="360" w:lineRule="auto"/>
        <w:rPr>
          <w:sz w:val="24"/>
        </w:rPr>
      </w:pPr>
    </w:p>
    <w:p>
      <w:pPr>
        <w:autoSpaceDE w:val="0"/>
        <w:autoSpaceDN w:val="0"/>
        <w:adjustRightInd w:val="0"/>
        <w:spacing w:line="360" w:lineRule="auto"/>
        <w:rPr>
          <w:sz w:val="24"/>
        </w:rPr>
      </w:pPr>
    </w:p>
    <w:p>
      <w:pPr>
        <w:tabs>
          <w:tab w:val="left" w:pos="7755"/>
        </w:tabs>
        <w:autoSpaceDE w:val="0"/>
        <w:autoSpaceDN w:val="0"/>
        <w:adjustRightInd w:val="0"/>
        <w:spacing w:line="360" w:lineRule="auto"/>
        <w:ind w:left="4281" w:right="57"/>
        <w:rPr>
          <w:sz w:val="24"/>
        </w:rPr>
      </w:pPr>
      <w:r>
        <w:rPr>
          <w:sz w:val="24"/>
        </w:rPr>
        <w:t>招标人：</w:t>
      </w:r>
      <w:r>
        <w:rPr>
          <w:rFonts w:hint="eastAsia"/>
          <w:sz w:val="24"/>
          <w:u w:val="single"/>
        </w:rPr>
        <w:t xml:space="preserve">               </w:t>
      </w:r>
      <w:r>
        <w:rPr>
          <w:sz w:val="24"/>
        </w:rPr>
        <w:t xml:space="preserve">（盖单位章） </w:t>
      </w:r>
    </w:p>
    <w:p>
      <w:pPr>
        <w:autoSpaceDE w:val="0"/>
        <w:autoSpaceDN w:val="0"/>
        <w:adjustRightInd w:val="0"/>
        <w:spacing w:line="360" w:lineRule="auto"/>
        <w:outlineLvl w:val="1"/>
        <w:rPr>
          <w:sz w:val="24"/>
        </w:rPr>
      </w:pPr>
      <w:r>
        <w:rPr>
          <w:rFonts w:hint="eastAsia"/>
          <w:sz w:val="24"/>
        </w:rPr>
        <w:t xml:space="preserve">                                    </w:t>
      </w:r>
      <w:bookmarkStart w:id="23" w:name="_Toc30653"/>
      <w:bookmarkStart w:id="24" w:name="_Toc2127"/>
      <w:bookmarkStart w:id="25" w:name="_Toc7078"/>
      <w:r>
        <w:rPr>
          <w:sz w:val="24"/>
        </w:rPr>
        <w:t>招标代理：</w:t>
      </w:r>
      <w:r>
        <w:rPr>
          <w:sz w:val="24"/>
          <w:u w:val="single"/>
        </w:rPr>
        <w:t xml:space="preserve"> </w:t>
      </w:r>
      <w:r>
        <w:rPr>
          <w:rFonts w:hint="eastAsia"/>
          <w:sz w:val="24"/>
          <w:u w:val="single"/>
        </w:rPr>
        <w:t xml:space="preserve">            </w:t>
      </w:r>
      <w:r>
        <w:rPr>
          <w:sz w:val="24"/>
        </w:rPr>
        <w:t>（盖单位章）</w:t>
      </w:r>
      <w:bookmarkEnd w:id="23"/>
      <w:bookmarkEnd w:id="24"/>
      <w:bookmarkEnd w:id="25"/>
    </w:p>
    <w:p>
      <w:pPr>
        <w:autoSpaceDE w:val="0"/>
        <w:autoSpaceDN w:val="0"/>
        <w:adjustRightInd w:val="0"/>
        <w:spacing w:line="360" w:lineRule="auto"/>
        <w:outlineLvl w:val="1"/>
        <w:rPr>
          <w:sz w:val="24"/>
        </w:rPr>
      </w:pPr>
    </w:p>
    <w:p>
      <w:pPr>
        <w:autoSpaceDE w:val="0"/>
        <w:autoSpaceDN w:val="0"/>
        <w:adjustRightInd w:val="0"/>
        <w:spacing w:line="360" w:lineRule="auto"/>
        <w:outlineLvl w:val="1"/>
        <w:rPr>
          <w:sz w:val="24"/>
        </w:rPr>
      </w:pPr>
    </w:p>
    <w:p>
      <w:pPr>
        <w:autoSpaceDE w:val="0"/>
        <w:autoSpaceDN w:val="0"/>
        <w:adjustRightInd w:val="0"/>
        <w:spacing w:line="360" w:lineRule="auto"/>
        <w:jc w:val="right"/>
        <w:rPr>
          <w:position w:val="-3"/>
          <w:sz w:val="24"/>
        </w:rPr>
      </w:pPr>
      <w:r>
        <w:rPr>
          <w:position w:val="-3"/>
          <w:sz w:val="24"/>
          <w:u w:val="single"/>
        </w:rPr>
        <w:tab/>
      </w:r>
      <w:r>
        <w:rPr>
          <w:position w:val="-3"/>
          <w:sz w:val="24"/>
        </w:rPr>
        <w:t>年</w:t>
      </w:r>
      <w:r>
        <w:rPr>
          <w:position w:val="-3"/>
          <w:sz w:val="24"/>
          <w:u w:val="single"/>
        </w:rPr>
        <w:t xml:space="preserve"> </w:t>
      </w:r>
      <w:r>
        <w:rPr>
          <w:position w:val="-3"/>
          <w:sz w:val="24"/>
          <w:u w:val="single"/>
        </w:rPr>
        <w:tab/>
      </w:r>
      <w:r>
        <w:rPr>
          <w:position w:val="-3"/>
          <w:sz w:val="24"/>
        </w:rPr>
        <w:t>月</w:t>
      </w:r>
      <w:r>
        <w:rPr>
          <w:position w:val="-3"/>
          <w:sz w:val="24"/>
          <w:u w:val="single"/>
        </w:rPr>
        <w:t xml:space="preserve"> </w:t>
      </w:r>
      <w:r>
        <w:rPr>
          <w:position w:val="-3"/>
          <w:sz w:val="24"/>
          <w:u w:val="single"/>
        </w:rPr>
        <w:tab/>
      </w:r>
      <w:r>
        <w:rPr>
          <w:position w:val="-3"/>
          <w:sz w:val="24"/>
        </w:rPr>
        <w:t>日</w:t>
      </w:r>
    </w:p>
    <w:p>
      <w:pPr>
        <w:autoSpaceDE w:val="0"/>
        <w:autoSpaceDN w:val="0"/>
        <w:adjustRightInd w:val="0"/>
        <w:spacing w:line="360" w:lineRule="auto"/>
        <w:outlineLvl w:val="1"/>
        <w:rPr>
          <w:sz w:val="24"/>
        </w:rPr>
      </w:pPr>
      <w:r>
        <w:rPr>
          <w:sz w:val="24"/>
        </w:rPr>
        <w:br w:type="page"/>
      </w:r>
      <w:bookmarkStart w:id="26" w:name="_Toc23187"/>
      <w:bookmarkStart w:id="27" w:name="_Toc30098"/>
      <w:bookmarkStart w:id="28" w:name="_Toc3484"/>
      <w:bookmarkStart w:id="29" w:name="_Toc384277114"/>
      <w:r>
        <w:rPr>
          <w:b/>
          <w:spacing w:val="1"/>
          <w:position w:val="-3"/>
          <w:sz w:val="24"/>
        </w:rPr>
        <w:t>附表</w:t>
      </w:r>
      <w:r>
        <w:rPr>
          <w:rFonts w:hint="eastAsia"/>
          <w:b/>
          <w:spacing w:val="1"/>
          <w:position w:val="-3"/>
          <w:sz w:val="24"/>
        </w:rPr>
        <w:t>五</w:t>
      </w:r>
      <w:r>
        <w:rPr>
          <w:b/>
          <w:spacing w:val="1"/>
          <w:position w:val="-3"/>
          <w:sz w:val="24"/>
        </w:rPr>
        <w:t>：中标结果通知书</w:t>
      </w:r>
      <w:bookmarkEnd w:id="26"/>
      <w:bookmarkEnd w:id="27"/>
      <w:bookmarkEnd w:id="28"/>
      <w:bookmarkEnd w:id="29"/>
    </w:p>
    <w:p>
      <w:pPr>
        <w:autoSpaceDE w:val="0"/>
        <w:autoSpaceDN w:val="0"/>
        <w:adjustRightInd w:val="0"/>
        <w:spacing w:line="360" w:lineRule="auto"/>
        <w:rPr>
          <w:sz w:val="24"/>
        </w:rPr>
      </w:pPr>
    </w:p>
    <w:p>
      <w:pPr>
        <w:tabs>
          <w:tab w:val="left" w:pos="6100"/>
        </w:tabs>
        <w:autoSpaceDE w:val="0"/>
        <w:autoSpaceDN w:val="0"/>
        <w:adjustRightInd w:val="0"/>
        <w:spacing w:line="360" w:lineRule="auto"/>
        <w:ind w:left="2940" w:right="2846"/>
        <w:jc w:val="center"/>
        <w:rPr>
          <w:b/>
          <w:sz w:val="30"/>
          <w:szCs w:val="30"/>
        </w:rPr>
      </w:pPr>
      <w:r>
        <w:rPr>
          <w:b/>
          <w:spacing w:val="1"/>
          <w:sz w:val="30"/>
          <w:szCs w:val="30"/>
        </w:rPr>
        <w:t>中标</w:t>
      </w:r>
      <w:r>
        <w:rPr>
          <w:b/>
          <w:sz w:val="30"/>
          <w:szCs w:val="30"/>
        </w:rPr>
        <w:t>结</w:t>
      </w:r>
      <w:r>
        <w:rPr>
          <w:b/>
          <w:spacing w:val="1"/>
          <w:sz w:val="30"/>
          <w:szCs w:val="30"/>
        </w:rPr>
        <w:t>果通</w:t>
      </w:r>
      <w:r>
        <w:rPr>
          <w:b/>
          <w:sz w:val="30"/>
          <w:szCs w:val="30"/>
        </w:rPr>
        <w:t>知书</w:t>
      </w:r>
    </w:p>
    <w:p>
      <w:pPr>
        <w:autoSpaceDE w:val="0"/>
        <w:autoSpaceDN w:val="0"/>
        <w:adjustRightInd w:val="0"/>
        <w:spacing w:line="360" w:lineRule="auto"/>
        <w:rPr>
          <w:sz w:val="24"/>
        </w:rPr>
      </w:pPr>
    </w:p>
    <w:p>
      <w:pPr>
        <w:tabs>
          <w:tab w:val="left" w:pos="1780"/>
        </w:tabs>
        <w:autoSpaceDE w:val="0"/>
        <w:autoSpaceDN w:val="0"/>
        <w:adjustRightInd w:val="0"/>
        <w:spacing w:line="360" w:lineRule="auto"/>
        <w:ind w:left="100"/>
        <w:rPr>
          <w:sz w:val="24"/>
        </w:rPr>
      </w:pPr>
      <w:r>
        <w:rPr>
          <w:position w:val="-4"/>
          <w:sz w:val="24"/>
          <w:u w:val="single"/>
        </w:rPr>
        <w:t xml:space="preserve"> </w:t>
      </w:r>
      <w:r>
        <w:rPr>
          <w:position w:val="-4"/>
          <w:sz w:val="24"/>
          <w:u w:val="single"/>
        </w:rPr>
        <w:tab/>
      </w:r>
      <w:r>
        <w:rPr>
          <w:position w:val="-4"/>
          <w:sz w:val="24"/>
        </w:rPr>
        <w:t>（未中标人名称</w:t>
      </w:r>
      <w:r>
        <w:rPr>
          <w:spacing w:val="-120"/>
          <w:position w:val="-4"/>
          <w:sz w:val="24"/>
        </w:rPr>
        <w:t>）</w:t>
      </w:r>
      <w:r>
        <w:rPr>
          <w:position w:val="-4"/>
          <w:sz w:val="24"/>
        </w:rPr>
        <w:t>：</w:t>
      </w:r>
    </w:p>
    <w:p>
      <w:pPr>
        <w:autoSpaceDE w:val="0"/>
        <w:autoSpaceDN w:val="0"/>
        <w:adjustRightInd w:val="0"/>
        <w:spacing w:line="360" w:lineRule="auto"/>
        <w:rPr>
          <w:sz w:val="24"/>
        </w:rPr>
      </w:pPr>
    </w:p>
    <w:p>
      <w:pPr>
        <w:autoSpaceDE w:val="0"/>
        <w:autoSpaceDN w:val="0"/>
        <w:adjustRightInd w:val="0"/>
        <w:spacing w:line="360" w:lineRule="auto"/>
        <w:ind w:firstLine="480" w:firstLineChars="200"/>
        <w:rPr>
          <w:sz w:val="24"/>
        </w:rPr>
      </w:pPr>
      <w:r>
        <w:rPr>
          <w:sz w:val="24"/>
        </w:rPr>
        <w:t>我方已接</w:t>
      </w:r>
      <w:r>
        <w:rPr>
          <w:sz w:val="24"/>
          <w:u w:val="single"/>
        </w:rPr>
        <w:tab/>
      </w:r>
      <w:r>
        <w:rPr>
          <w:sz w:val="24"/>
          <w:u w:val="single"/>
        </w:rPr>
        <w:tab/>
      </w:r>
      <w:r>
        <w:rPr>
          <w:sz w:val="24"/>
        </w:rPr>
        <w:t>（中标人名称）于</w:t>
      </w:r>
      <w:r>
        <w:rPr>
          <w:sz w:val="24"/>
          <w:u w:val="single"/>
        </w:rPr>
        <w:t xml:space="preserve"> </w:t>
      </w:r>
      <w:r>
        <w:rPr>
          <w:sz w:val="24"/>
          <w:u w:val="single"/>
        </w:rPr>
        <w:tab/>
      </w:r>
      <w:r>
        <w:rPr>
          <w:sz w:val="24"/>
          <w:u w:val="single"/>
        </w:rPr>
        <w:t xml:space="preserve">   </w:t>
      </w:r>
      <w:r>
        <w:rPr>
          <w:sz w:val="24"/>
        </w:rPr>
        <w:t>(投标日期)所递交的</w:t>
      </w:r>
      <w:r>
        <w:rPr>
          <w:sz w:val="24"/>
          <w:u w:val="single"/>
        </w:rPr>
        <w:t xml:space="preserve"> </w:t>
      </w:r>
      <w:r>
        <w:rPr>
          <w:sz w:val="24"/>
          <w:u w:val="single"/>
        </w:rPr>
        <w:tab/>
      </w:r>
      <w:r>
        <w:rPr>
          <w:sz w:val="24"/>
          <w:u w:val="single"/>
        </w:rPr>
        <w:t xml:space="preserve">  </w:t>
      </w:r>
      <w:r>
        <w:rPr>
          <w:sz w:val="24"/>
        </w:rPr>
        <w:t>（项目名称）投标文件，确定</w:t>
      </w:r>
      <w:r>
        <w:rPr>
          <w:sz w:val="24"/>
          <w:u w:val="single"/>
        </w:rPr>
        <w:t xml:space="preserve"> </w:t>
      </w:r>
      <w:r>
        <w:rPr>
          <w:sz w:val="24"/>
          <w:u w:val="single"/>
        </w:rPr>
        <w:tab/>
      </w:r>
      <w:r>
        <w:rPr>
          <w:sz w:val="24"/>
          <w:u w:val="single"/>
        </w:rPr>
        <w:t xml:space="preserve"> </w:t>
      </w:r>
      <w:r>
        <w:rPr>
          <w:sz w:val="24"/>
          <w:u w:val="single"/>
        </w:rPr>
        <w:tab/>
      </w:r>
      <w:r>
        <w:rPr>
          <w:sz w:val="24"/>
        </w:rPr>
        <w:t>（中标人名称）为中标人。</w:t>
      </w:r>
    </w:p>
    <w:p>
      <w:pPr>
        <w:autoSpaceDE w:val="0"/>
        <w:autoSpaceDN w:val="0"/>
        <w:adjustRightInd w:val="0"/>
        <w:spacing w:line="360" w:lineRule="auto"/>
        <w:ind w:left="581"/>
        <w:rPr>
          <w:sz w:val="24"/>
        </w:rPr>
      </w:pPr>
    </w:p>
    <w:p>
      <w:pPr>
        <w:autoSpaceDE w:val="0"/>
        <w:autoSpaceDN w:val="0"/>
        <w:adjustRightInd w:val="0"/>
        <w:spacing w:line="360" w:lineRule="auto"/>
        <w:ind w:left="581"/>
        <w:rPr>
          <w:sz w:val="24"/>
        </w:rPr>
      </w:pPr>
      <w:r>
        <w:rPr>
          <w:sz w:val="24"/>
        </w:rPr>
        <w:t>感谢你单位对我们工作的大力支持！</w:t>
      </w:r>
    </w:p>
    <w:p>
      <w:pPr>
        <w:autoSpaceDE w:val="0"/>
        <w:autoSpaceDN w:val="0"/>
        <w:adjustRightInd w:val="0"/>
        <w:spacing w:line="360" w:lineRule="auto"/>
        <w:rPr>
          <w:sz w:val="24"/>
        </w:rPr>
      </w:pPr>
    </w:p>
    <w:p>
      <w:pPr>
        <w:autoSpaceDE w:val="0"/>
        <w:autoSpaceDN w:val="0"/>
        <w:adjustRightInd w:val="0"/>
        <w:spacing w:line="360" w:lineRule="auto"/>
        <w:rPr>
          <w:sz w:val="24"/>
        </w:rPr>
      </w:pPr>
    </w:p>
    <w:p>
      <w:pPr>
        <w:autoSpaceDE w:val="0"/>
        <w:autoSpaceDN w:val="0"/>
        <w:adjustRightInd w:val="0"/>
        <w:spacing w:line="360" w:lineRule="auto"/>
        <w:rPr>
          <w:sz w:val="24"/>
        </w:rPr>
      </w:pPr>
    </w:p>
    <w:p>
      <w:pPr>
        <w:autoSpaceDE w:val="0"/>
        <w:autoSpaceDN w:val="0"/>
        <w:adjustRightInd w:val="0"/>
        <w:spacing w:line="360" w:lineRule="auto"/>
        <w:rPr>
          <w:sz w:val="24"/>
        </w:rPr>
      </w:pPr>
    </w:p>
    <w:p>
      <w:pPr>
        <w:tabs>
          <w:tab w:val="left" w:pos="7520"/>
        </w:tabs>
        <w:autoSpaceDE w:val="0"/>
        <w:autoSpaceDN w:val="0"/>
        <w:adjustRightInd w:val="0"/>
        <w:spacing w:line="360" w:lineRule="auto"/>
        <w:ind w:left="3921" w:right="57"/>
        <w:rPr>
          <w:sz w:val="24"/>
        </w:rPr>
      </w:pPr>
      <w:r>
        <w:rPr>
          <w:sz w:val="24"/>
        </w:rPr>
        <w:t>招标人：</w:t>
      </w:r>
      <w:r>
        <w:rPr>
          <w:spacing w:val="-11"/>
          <w:sz w:val="24"/>
          <w:u w:val="single"/>
        </w:rPr>
        <w:t xml:space="preserve"> </w:t>
      </w:r>
      <w:r>
        <w:rPr>
          <w:sz w:val="24"/>
          <w:u w:val="single"/>
        </w:rPr>
        <w:tab/>
      </w:r>
      <w:r>
        <w:rPr>
          <w:sz w:val="24"/>
        </w:rPr>
        <w:t xml:space="preserve">（盖单位章） </w:t>
      </w:r>
    </w:p>
    <w:p>
      <w:pPr>
        <w:tabs>
          <w:tab w:val="left" w:pos="7520"/>
        </w:tabs>
        <w:autoSpaceDE w:val="0"/>
        <w:autoSpaceDN w:val="0"/>
        <w:adjustRightInd w:val="0"/>
        <w:spacing w:line="360" w:lineRule="auto"/>
        <w:ind w:left="3921" w:right="57"/>
        <w:rPr>
          <w:sz w:val="24"/>
        </w:rPr>
      </w:pPr>
      <w:r>
        <w:rPr>
          <w:sz w:val="24"/>
        </w:rPr>
        <w:t>招标代理：</w:t>
      </w:r>
      <w:r>
        <w:rPr>
          <w:sz w:val="24"/>
          <w:u w:val="single"/>
        </w:rPr>
        <w:t xml:space="preserve"> </w:t>
      </w:r>
      <w:r>
        <w:rPr>
          <w:sz w:val="24"/>
          <w:u w:val="single"/>
        </w:rPr>
        <w:tab/>
      </w:r>
      <w:r>
        <w:rPr>
          <w:sz w:val="24"/>
        </w:rPr>
        <w:t>（盖单位章）</w:t>
      </w:r>
    </w:p>
    <w:p>
      <w:pPr>
        <w:tabs>
          <w:tab w:val="left" w:pos="6920"/>
          <w:tab w:val="left" w:pos="7760"/>
          <w:tab w:val="left" w:pos="8600"/>
        </w:tabs>
        <w:autoSpaceDE w:val="0"/>
        <w:autoSpaceDN w:val="0"/>
        <w:adjustRightInd w:val="0"/>
        <w:spacing w:line="360" w:lineRule="auto"/>
        <w:ind w:left="5721"/>
        <w:rPr>
          <w:sz w:val="24"/>
        </w:rPr>
      </w:pPr>
      <w:r>
        <w:rPr>
          <w:position w:val="-3"/>
          <w:sz w:val="24"/>
          <w:u w:val="single"/>
        </w:rPr>
        <w:t xml:space="preserve"> </w:t>
      </w:r>
      <w:r>
        <w:rPr>
          <w:position w:val="-3"/>
          <w:sz w:val="24"/>
          <w:u w:val="single"/>
        </w:rPr>
        <w:tab/>
      </w:r>
      <w:r>
        <w:rPr>
          <w:position w:val="-3"/>
          <w:sz w:val="24"/>
        </w:rPr>
        <w:t>年</w:t>
      </w:r>
      <w:r>
        <w:rPr>
          <w:position w:val="-3"/>
          <w:sz w:val="24"/>
          <w:u w:val="single"/>
        </w:rPr>
        <w:t xml:space="preserve"> </w:t>
      </w:r>
      <w:r>
        <w:rPr>
          <w:position w:val="-3"/>
          <w:sz w:val="24"/>
          <w:u w:val="single"/>
        </w:rPr>
        <w:tab/>
      </w:r>
      <w:r>
        <w:rPr>
          <w:position w:val="-3"/>
          <w:sz w:val="24"/>
        </w:rPr>
        <w:t>月</w:t>
      </w:r>
      <w:r>
        <w:rPr>
          <w:position w:val="-3"/>
          <w:sz w:val="24"/>
          <w:u w:val="single"/>
        </w:rPr>
        <w:t xml:space="preserve"> </w:t>
      </w:r>
      <w:r>
        <w:rPr>
          <w:position w:val="-3"/>
          <w:sz w:val="24"/>
          <w:u w:val="single"/>
        </w:rPr>
        <w:tab/>
      </w:r>
      <w:r>
        <w:rPr>
          <w:position w:val="-3"/>
          <w:sz w:val="24"/>
        </w:rPr>
        <w:t>日</w:t>
      </w:r>
    </w:p>
    <w:p>
      <w:pPr>
        <w:autoSpaceDE w:val="0"/>
        <w:autoSpaceDN w:val="0"/>
        <w:adjustRightInd w:val="0"/>
        <w:spacing w:line="360" w:lineRule="auto"/>
        <w:rPr>
          <w:sz w:val="24"/>
        </w:rPr>
      </w:pPr>
    </w:p>
    <w:p>
      <w:pPr>
        <w:rPr>
          <w:rFonts w:ascii="Calibri" w:hAnsi="Calibri" w:eastAsia="宋体" w:cs="Times New Roman"/>
          <w:sz w:val="24"/>
        </w:rPr>
      </w:pPr>
    </w:p>
    <w:p>
      <w:pPr>
        <w:rPr>
          <w:rFonts w:ascii="Calibri" w:hAnsi="Calibri" w:eastAsia="宋体" w:cs="Times New Roman"/>
          <w:sz w:val="24"/>
        </w:rPr>
      </w:pPr>
    </w:p>
    <w:p>
      <w:pPr>
        <w:rPr>
          <w:rFonts w:ascii="Calibri" w:hAnsi="Calibri" w:eastAsia="宋体" w:cs="Times New Roman"/>
          <w:sz w:val="24"/>
        </w:rPr>
      </w:pPr>
    </w:p>
    <w:p>
      <w:pPr>
        <w:pStyle w:val="2"/>
        <w:rPr>
          <w:rFonts w:ascii="Calibri" w:hAnsi="Calibri" w:eastAsia="宋体" w:cs="Times New Roman"/>
          <w:sz w:val="24"/>
        </w:rPr>
      </w:pPr>
    </w:p>
    <w:p>
      <w:pPr>
        <w:pStyle w:val="3"/>
        <w:rPr>
          <w:rFonts w:ascii="Calibri" w:hAnsi="Calibri" w:eastAsia="宋体" w:cs="Times New Roman"/>
          <w:sz w:val="24"/>
        </w:rPr>
      </w:pPr>
    </w:p>
    <w:p>
      <w:pPr>
        <w:pStyle w:val="4"/>
        <w:rPr>
          <w:rFonts w:ascii="Calibri" w:hAnsi="Calibri" w:eastAsia="宋体" w:cs="Times New Roman"/>
          <w:sz w:val="24"/>
        </w:rPr>
      </w:pPr>
    </w:p>
    <w:p>
      <w:pPr>
        <w:rPr>
          <w:rFonts w:ascii="Calibri" w:hAnsi="Calibri" w:eastAsia="宋体" w:cs="Times New Roman"/>
          <w:sz w:val="24"/>
        </w:rPr>
      </w:pPr>
    </w:p>
    <w:p>
      <w:pPr>
        <w:pStyle w:val="2"/>
      </w:pPr>
    </w:p>
    <w:p>
      <w:pPr>
        <w:pStyle w:val="31"/>
        <w:rPr>
          <w:rFonts w:ascii="Calibri" w:hAnsi="Calibri" w:eastAsia="宋体" w:cs="Times New Roman"/>
          <w:sz w:val="24"/>
        </w:rPr>
      </w:pPr>
    </w:p>
    <w:p>
      <w:pPr>
        <w:autoSpaceDE w:val="0"/>
        <w:autoSpaceDN w:val="0"/>
        <w:adjustRightInd w:val="0"/>
        <w:spacing w:line="360" w:lineRule="auto"/>
        <w:outlineLvl w:val="1"/>
        <w:rPr>
          <w:b/>
          <w:spacing w:val="1"/>
          <w:position w:val="-3"/>
          <w:sz w:val="24"/>
        </w:rPr>
      </w:pPr>
      <w:bookmarkStart w:id="30" w:name="_Toc19373"/>
      <w:bookmarkStart w:id="31" w:name="_Toc26386"/>
      <w:bookmarkStart w:id="32" w:name="_Toc28496"/>
      <w:bookmarkStart w:id="33" w:name="_Toc384277115"/>
    </w:p>
    <w:p>
      <w:pPr>
        <w:autoSpaceDE w:val="0"/>
        <w:autoSpaceDN w:val="0"/>
        <w:adjustRightInd w:val="0"/>
        <w:spacing w:line="360" w:lineRule="auto"/>
        <w:outlineLvl w:val="1"/>
        <w:rPr>
          <w:b/>
          <w:spacing w:val="1"/>
          <w:position w:val="-3"/>
          <w:sz w:val="24"/>
        </w:rPr>
      </w:pPr>
      <w:r>
        <w:rPr>
          <w:b/>
          <w:spacing w:val="1"/>
          <w:position w:val="-3"/>
          <w:sz w:val="24"/>
        </w:rPr>
        <w:t>附表</w:t>
      </w:r>
      <w:r>
        <w:rPr>
          <w:rFonts w:hint="eastAsia"/>
          <w:b/>
          <w:spacing w:val="1"/>
          <w:position w:val="-3"/>
          <w:sz w:val="24"/>
        </w:rPr>
        <w:t>六</w:t>
      </w:r>
      <w:r>
        <w:rPr>
          <w:b/>
          <w:spacing w:val="1"/>
          <w:position w:val="-3"/>
          <w:sz w:val="24"/>
        </w:rPr>
        <w:t>：确认通知</w:t>
      </w:r>
      <w:bookmarkEnd w:id="30"/>
      <w:bookmarkEnd w:id="31"/>
      <w:bookmarkEnd w:id="32"/>
      <w:bookmarkEnd w:id="33"/>
    </w:p>
    <w:p>
      <w:pPr>
        <w:autoSpaceDE w:val="0"/>
        <w:autoSpaceDN w:val="0"/>
        <w:adjustRightInd w:val="0"/>
        <w:spacing w:line="360" w:lineRule="auto"/>
        <w:rPr>
          <w:b/>
          <w:spacing w:val="1"/>
          <w:position w:val="-3"/>
          <w:sz w:val="24"/>
        </w:rPr>
      </w:pPr>
    </w:p>
    <w:p>
      <w:pPr>
        <w:autoSpaceDE w:val="0"/>
        <w:autoSpaceDN w:val="0"/>
        <w:adjustRightInd w:val="0"/>
        <w:spacing w:line="360" w:lineRule="auto"/>
        <w:jc w:val="center"/>
        <w:rPr>
          <w:sz w:val="30"/>
          <w:szCs w:val="30"/>
        </w:rPr>
      </w:pPr>
      <w:r>
        <w:rPr>
          <w:b/>
          <w:spacing w:val="1"/>
          <w:position w:val="-3"/>
          <w:sz w:val="30"/>
          <w:szCs w:val="30"/>
        </w:rPr>
        <w:t>确认通知</w:t>
      </w:r>
    </w:p>
    <w:p>
      <w:pPr>
        <w:autoSpaceDE w:val="0"/>
        <w:autoSpaceDN w:val="0"/>
        <w:adjustRightInd w:val="0"/>
        <w:spacing w:line="360" w:lineRule="auto"/>
        <w:rPr>
          <w:sz w:val="24"/>
        </w:rPr>
      </w:pPr>
    </w:p>
    <w:p>
      <w:pPr>
        <w:tabs>
          <w:tab w:val="left" w:pos="1780"/>
        </w:tabs>
        <w:autoSpaceDE w:val="0"/>
        <w:autoSpaceDN w:val="0"/>
        <w:adjustRightInd w:val="0"/>
        <w:spacing w:line="360" w:lineRule="auto"/>
        <w:ind w:left="100"/>
        <w:rPr>
          <w:sz w:val="24"/>
        </w:rPr>
      </w:pPr>
      <w:r>
        <w:rPr>
          <w:position w:val="-3"/>
          <w:sz w:val="24"/>
          <w:u w:val="single"/>
        </w:rPr>
        <w:tab/>
      </w:r>
      <w:r>
        <w:rPr>
          <w:position w:val="-3"/>
          <w:sz w:val="24"/>
        </w:rPr>
        <w:t>（招标人名称</w:t>
      </w:r>
      <w:r>
        <w:rPr>
          <w:spacing w:val="-120"/>
          <w:position w:val="-3"/>
          <w:sz w:val="24"/>
        </w:rPr>
        <w:t>）</w:t>
      </w:r>
      <w:r>
        <w:rPr>
          <w:position w:val="-3"/>
          <w:sz w:val="24"/>
        </w:rPr>
        <w:t>：</w:t>
      </w:r>
    </w:p>
    <w:p>
      <w:pPr>
        <w:autoSpaceDE w:val="0"/>
        <w:autoSpaceDN w:val="0"/>
        <w:adjustRightInd w:val="0"/>
        <w:spacing w:line="360" w:lineRule="auto"/>
        <w:rPr>
          <w:sz w:val="24"/>
        </w:rPr>
      </w:pPr>
    </w:p>
    <w:p>
      <w:pPr>
        <w:tabs>
          <w:tab w:val="left" w:pos="3100"/>
          <w:tab w:val="left" w:pos="3880"/>
          <w:tab w:val="left" w:pos="4060"/>
          <w:tab w:val="left" w:pos="4640"/>
          <w:tab w:val="left" w:pos="6580"/>
          <w:tab w:val="left" w:pos="7300"/>
          <w:tab w:val="left" w:pos="7720"/>
          <w:tab w:val="left" w:pos="8020"/>
        </w:tabs>
        <w:autoSpaceDE w:val="0"/>
        <w:autoSpaceDN w:val="0"/>
        <w:adjustRightInd w:val="0"/>
        <w:spacing w:line="360" w:lineRule="auto"/>
        <w:ind w:left="100" w:right="58" w:firstLine="480"/>
        <w:rPr>
          <w:sz w:val="24"/>
        </w:rPr>
      </w:pPr>
      <w:r>
        <w:rPr>
          <w:spacing w:val="10"/>
          <w:sz w:val="24"/>
        </w:rPr>
        <w:t>我方已</w:t>
      </w:r>
      <w:r>
        <w:rPr>
          <w:spacing w:val="11"/>
          <w:sz w:val="24"/>
        </w:rPr>
        <w:t>接</w:t>
      </w:r>
      <w:r>
        <w:rPr>
          <w:spacing w:val="10"/>
          <w:sz w:val="24"/>
        </w:rPr>
        <w:t>到你方</w:t>
      </w:r>
      <w:r>
        <w:rPr>
          <w:sz w:val="24"/>
          <w:u w:val="single"/>
        </w:rPr>
        <w:t xml:space="preserve"> </w:t>
      </w:r>
      <w:r>
        <w:rPr>
          <w:sz w:val="24"/>
          <w:u w:val="single"/>
        </w:rPr>
        <w:tab/>
      </w:r>
      <w:r>
        <w:rPr>
          <w:spacing w:val="11"/>
          <w:sz w:val="24"/>
        </w:rPr>
        <w:t>年</w:t>
      </w:r>
      <w:r>
        <w:rPr>
          <w:sz w:val="24"/>
          <w:u w:val="single"/>
        </w:rPr>
        <w:t xml:space="preserve"> </w:t>
      </w:r>
      <w:r>
        <w:rPr>
          <w:sz w:val="24"/>
          <w:u w:val="single"/>
        </w:rPr>
        <w:tab/>
      </w:r>
      <w:r>
        <w:rPr>
          <w:spacing w:val="10"/>
          <w:sz w:val="24"/>
        </w:rPr>
        <w:t>月</w:t>
      </w:r>
      <w:r>
        <w:rPr>
          <w:sz w:val="24"/>
          <w:u w:val="single"/>
        </w:rPr>
        <w:t xml:space="preserve"> </w:t>
      </w:r>
      <w:r>
        <w:rPr>
          <w:sz w:val="24"/>
          <w:u w:val="single"/>
        </w:rPr>
        <w:tab/>
      </w:r>
      <w:r>
        <w:rPr>
          <w:spacing w:val="11"/>
          <w:sz w:val="24"/>
        </w:rPr>
        <w:t>日</w:t>
      </w:r>
      <w:r>
        <w:rPr>
          <w:spacing w:val="10"/>
          <w:sz w:val="24"/>
        </w:rPr>
        <w:t>发出的</w:t>
      </w:r>
      <w:r>
        <w:rPr>
          <w:sz w:val="24"/>
          <w:u w:val="single"/>
        </w:rPr>
        <w:t xml:space="preserve"> </w:t>
      </w:r>
      <w:r>
        <w:rPr>
          <w:sz w:val="24"/>
          <w:u w:val="single"/>
        </w:rPr>
        <w:tab/>
      </w:r>
      <w:r>
        <w:rPr>
          <w:sz w:val="24"/>
          <w:u w:val="single"/>
        </w:rPr>
        <w:tab/>
      </w:r>
      <w:r>
        <w:rPr>
          <w:sz w:val="24"/>
          <w:u w:val="single"/>
        </w:rPr>
        <w:tab/>
      </w:r>
      <w:r>
        <w:rPr>
          <w:spacing w:val="10"/>
          <w:sz w:val="24"/>
        </w:rPr>
        <w:t>（</w:t>
      </w:r>
      <w:r>
        <w:rPr>
          <w:spacing w:val="11"/>
          <w:sz w:val="24"/>
        </w:rPr>
        <w:t>项</w:t>
      </w:r>
      <w:r>
        <w:rPr>
          <w:spacing w:val="9"/>
          <w:sz w:val="24"/>
        </w:rPr>
        <w:t>目名</w:t>
      </w:r>
      <w:r>
        <w:rPr>
          <w:spacing w:val="10"/>
          <w:sz w:val="24"/>
        </w:rPr>
        <w:t>称</w:t>
      </w:r>
      <w:r>
        <w:rPr>
          <w:sz w:val="24"/>
        </w:rPr>
        <w:t>）招标关于</w:t>
      </w:r>
      <w:r>
        <w:rPr>
          <w:sz w:val="24"/>
          <w:u w:val="single"/>
        </w:rPr>
        <w:t xml:space="preserve"> </w:t>
      </w:r>
      <w:r>
        <w:rPr>
          <w:sz w:val="24"/>
          <w:u w:val="single"/>
        </w:rPr>
        <w:tab/>
      </w:r>
      <w:r>
        <w:rPr>
          <w:sz w:val="24"/>
          <w:u w:val="single"/>
        </w:rPr>
        <w:tab/>
      </w:r>
      <w:r>
        <w:rPr>
          <w:sz w:val="24"/>
          <w:u w:val="single"/>
        </w:rPr>
        <w:tab/>
      </w:r>
      <w:r>
        <w:rPr>
          <w:sz w:val="24"/>
        </w:rPr>
        <w:t>的通知，我方已于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日收到。</w:t>
      </w:r>
    </w:p>
    <w:p>
      <w:pPr>
        <w:autoSpaceDE w:val="0"/>
        <w:autoSpaceDN w:val="0"/>
        <w:adjustRightInd w:val="0"/>
        <w:spacing w:line="360" w:lineRule="auto"/>
        <w:ind w:left="581"/>
        <w:rPr>
          <w:sz w:val="24"/>
        </w:rPr>
      </w:pPr>
      <w:r>
        <w:rPr>
          <w:sz w:val="24"/>
        </w:rPr>
        <w:t>特此确认。</w:t>
      </w:r>
    </w:p>
    <w:p>
      <w:pPr>
        <w:autoSpaceDE w:val="0"/>
        <w:autoSpaceDN w:val="0"/>
        <w:adjustRightInd w:val="0"/>
        <w:spacing w:line="360" w:lineRule="auto"/>
        <w:rPr>
          <w:sz w:val="24"/>
        </w:rPr>
      </w:pPr>
    </w:p>
    <w:p>
      <w:pPr>
        <w:autoSpaceDE w:val="0"/>
        <w:autoSpaceDN w:val="0"/>
        <w:adjustRightInd w:val="0"/>
        <w:spacing w:line="360" w:lineRule="auto"/>
        <w:rPr>
          <w:sz w:val="24"/>
        </w:rPr>
      </w:pPr>
    </w:p>
    <w:p>
      <w:pPr>
        <w:tabs>
          <w:tab w:val="left" w:pos="7425"/>
        </w:tabs>
        <w:autoSpaceDE w:val="0"/>
        <w:autoSpaceDN w:val="0"/>
        <w:adjustRightInd w:val="0"/>
        <w:spacing w:line="360" w:lineRule="auto"/>
        <w:ind w:left="4181" w:right="56"/>
        <w:rPr>
          <w:sz w:val="24"/>
        </w:rPr>
      </w:pPr>
      <w:r>
        <w:rPr>
          <w:sz w:val="24"/>
        </w:rPr>
        <w:t>招标人：</w:t>
      </w:r>
      <w:r>
        <w:rPr>
          <w:spacing w:val="-11"/>
          <w:sz w:val="24"/>
          <w:u w:val="single"/>
        </w:rPr>
        <w:t xml:space="preserve"> </w:t>
      </w:r>
      <w:r>
        <w:rPr>
          <w:sz w:val="24"/>
          <w:u w:val="single"/>
        </w:rPr>
        <w:tab/>
      </w:r>
      <w:r>
        <w:rPr>
          <w:sz w:val="24"/>
        </w:rPr>
        <w:t xml:space="preserve">（盖单位章） </w:t>
      </w:r>
    </w:p>
    <w:p>
      <w:pPr>
        <w:tabs>
          <w:tab w:val="left" w:pos="7425"/>
        </w:tabs>
        <w:autoSpaceDE w:val="0"/>
        <w:autoSpaceDN w:val="0"/>
        <w:adjustRightInd w:val="0"/>
        <w:spacing w:line="360" w:lineRule="auto"/>
        <w:ind w:left="4181" w:right="56"/>
        <w:rPr>
          <w:sz w:val="24"/>
        </w:rPr>
      </w:pPr>
      <w:r>
        <w:rPr>
          <w:sz w:val="24"/>
        </w:rPr>
        <w:t>招标代理：</w:t>
      </w:r>
      <w:r>
        <w:rPr>
          <w:sz w:val="24"/>
          <w:u w:val="single"/>
        </w:rPr>
        <w:t xml:space="preserve"> </w:t>
      </w:r>
      <w:r>
        <w:rPr>
          <w:sz w:val="24"/>
          <w:u w:val="single"/>
        </w:rPr>
        <w:tab/>
      </w:r>
      <w:r>
        <w:rPr>
          <w:sz w:val="24"/>
        </w:rPr>
        <w:t>（盖单位章）</w:t>
      </w:r>
    </w:p>
    <w:p>
      <w:pPr>
        <w:jc w:val="right"/>
        <w:rPr>
          <w:position w:val="-3"/>
          <w:sz w:val="24"/>
        </w:rPr>
      </w:pPr>
      <w:r>
        <w:rPr>
          <w:position w:val="-3"/>
          <w:sz w:val="24"/>
          <w:u w:val="single"/>
        </w:rPr>
        <w:tab/>
      </w:r>
      <w:r>
        <w:rPr>
          <w:position w:val="-3"/>
          <w:sz w:val="24"/>
        </w:rPr>
        <w:t>年</w:t>
      </w:r>
      <w:r>
        <w:rPr>
          <w:position w:val="-3"/>
          <w:sz w:val="24"/>
          <w:u w:val="single"/>
        </w:rPr>
        <w:t xml:space="preserve"> </w:t>
      </w:r>
      <w:r>
        <w:rPr>
          <w:position w:val="-3"/>
          <w:sz w:val="24"/>
          <w:u w:val="single"/>
        </w:rPr>
        <w:tab/>
      </w:r>
      <w:r>
        <w:rPr>
          <w:position w:val="-3"/>
          <w:sz w:val="24"/>
        </w:rPr>
        <w:t>月</w:t>
      </w:r>
      <w:r>
        <w:rPr>
          <w:position w:val="-3"/>
          <w:sz w:val="24"/>
          <w:u w:val="single"/>
        </w:rPr>
        <w:t xml:space="preserve"> </w:t>
      </w:r>
      <w:r>
        <w:rPr>
          <w:position w:val="-3"/>
          <w:sz w:val="24"/>
          <w:u w:val="single"/>
        </w:rPr>
        <w:tab/>
      </w:r>
      <w:r>
        <w:rPr>
          <w:position w:val="-3"/>
          <w:sz w:val="24"/>
        </w:rPr>
        <w:t>日</w:t>
      </w:r>
    </w:p>
    <w:p>
      <w:pPr>
        <w:rPr>
          <w:position w:val="-3"/>
          <w:sz w:val="24"/>
        </w:rPr>
      </w:pPr>
    </w:p>
    <w:p>
      <w:pPr>
        <w:rPr>
          <w:position w:val="-3"/>
          <w:sz w:val="24"/>
        </w:rPr>
      </w:pPr>
    </w:p>
    <w:p>
      <w:pPr>
        <w:rPr>
          <w:position w:val="-3"/>
          <w:sz w:val="24"/>
        </w:rPr>
      </w:pPr>
    </w:p>
    <w:p>
      <w:pPr>
        <w:rPr>
          <w:position w:val="-3"/>
          <w:sz w:val="24"/>
        </w:rPr>
      </w:pPr>
    </w:p>
    <w:p>
      <w:pPr>
        <w:rPr>
          <w:position w:val="-3"/>
          <w:sz w:val="24"/>
        </w:rPr>
      </w:pPr>
    </w:p>
    <w:p>
      <w:pPr>
        <w:rPr>
          <w:position w:val="-3"/>
          <w:sz w:val="24"/>
        </w:rPr>
      </w:pPr>
    </w:p>
    <w:p>
      <w:pPr>
        <w:rPr>
          <w:position w:val="-3"/>
          <w:sz w:val="24"/>
        </w:rPr>
      </w:pPr>
    </w:p>
    <w:p>
      <w:pPr>
        <w:rPr>
          <w:position w:val="-3"/>
          <w:sz w:val="24"/>
        </w:rPr>
      </w:pPr>
    </w:p>
    <w:p>
      <w:pPr>
        <w:rPr>
          <w:position w:val="-3"/>
          <w:sz w:val="24"/>
        </w:rPr>
      </w:pPr>
    </w:p>
    <w:p>
      <w:pPr>
        <w:rPr>
          <w:position w:val="-3"/>
          <w:sz w:val="24"/>
        </w:rPr>
      </w:pPr>
    </w:p>
    <w:p>
      <w:pPr>
        <w:rPr>
          <w:position w:val="-3"/>
          <w:sz w:val="24"/>
        </w:rPr>
      </w:pPr>
    </w:p>
    <w:p>
      <w:pPr>
        <w:tabs>
          <w:tab w:val="left" w:pos="2653"/>
        </w:tabs>
        <w:jc w:val="left"/>
        <w:rPr>
          <w:position w:val="-3"/>
          <w:sz w:val="24"/>
        </w:rPr>
      </w:pPr>
      <w:r>
        <w:rPr>
          <w:rFonts w:hint="eastAsia"/>
          <w:position w:val="-3"/>
          <w:sz w:val="24"/>
        </w:rPr>
        <w:tab/>
      </w:r>
    </w:p>
    <w:p>
      <w:pPr>
        <w:tabs>
          <w:tab w:val="left" w:pos="2653"/>
        </w:tabs>
        <w:jc w:val="left"/>
        <w:rPr>
          <w:position w:val="-3"/>
          <w:sz w:val="24"/>
        </w:rPr>
      </w:pPr>
    </w:p>
    <w:p>
      <w:pPr>
        <w:tabs>
          <w:tab w:val="left" w:pos="2653"/>
        </w:tabs>
        <w:jc w:val="left"/>
        <w:rPr>
          <w:position w:val="-3"/>
          <w:sz w:val="24"/>
        </w:rPr>
      </w:pPr>
    </w:p>
    <w:p>
      <w:pPr>
        <w:tabs>
          <w:tab w:val="left" w:pos="2653"/>
        </w:tabs>
        <w:jc w:val="left"/>
        <w:rPr>
          <w:position w:val="-3"/>
          <w:sz w:val="24"/>
        </w:rPr>
      </w:pPr>
    </w:p>
    <w:p>
      <w:pPr>
        <w:tabs>
          <w:tab w:val="left" w:pos="2653"/>
        </w:tabs>
        <w:jc w:val="left"/>
        <w:rPr>
          <w:position w:val="-3"/>
          <w:sz w:val="24"/>
        </w:rPr>
      </w:pPr>
    </w:p>
    <w:p>
      <w:pPr>
        <w:tabs>
          <w:tab w:val="left" w:pos="2653"/>
        </w:tabs>
        <w:jc w:val="left"/>
        <w:rPr>
          <w:position w:val="-3"/>
          <w:sz w:val="24"/>
        </w:rPr>
      </w:pPr>
    </w:p>
    <w:p>
      <w:pPr>
        <w:tabs>
          <w:tab w:val="left" w:pos="2653"/>
        </w:tabs>
        <w:jc w:val="left"/>
        <w:rPr>
          <w:position w:val="-3"/>
          <w:sz w:val="24"/>
        </w:rPr>
      </w:pPr>
    </w:p>
    <w:p>
      <w:pPr>
        <w:tabs>
          <w:tab w:val="left" w:pos="2653"/>
        </w:tabs>
        <w:jc w:val="left"/>
        <w:rPr>
          <w:position w:val="-3"/>
          <w:sz w:val="24"/>
        </w:rPr>
      </w:pPr>
    </w:p>
    <w:p>
      <w:pPr>
        <w:pStyle w:val="5"/>
        <w:rPr>
          <w:bCs w:val="0"/>
          <w:sz w:val="72"/>
          <w:szCs w:val="40"/>
        </w:rPr>
      </w:pPr>
    </w:p>
    <w:p>
      <w:pPr>
        <w:pStyle w:val="5"/>
        <w:rPr>
          <w:bCs w:val="0"/>
          <w:sz w:val="72"/>
          <w:szCs w:val="40"/>
        </w:rPr>
      </w:pPr>
    </w:p>
    <w:p>
      <w:pPr>
        <w:pStyle w:val="5"/>
        <w:rPr>
          <w:bCs w:val="0"/>
          <w:sz w:val="72"/>
          <w:szCs w:val="40"/>
        </w:rPr>
      </w:pPr>
    </w:p>
    <w:p>
      <w:pPr>
        <w:pStyle w:val="5"/>
        <w:rPr>
          <w:bCs w:val="0"/>
          <w:sz w:val="72"/>
          <w:szCs w:val="40"/>
        </w:rPr>
      </w:pPr>
    </w:p>
    <w:p>
      <w:pPr>
        <w:pStyle w:val="5"/>
        <w:rPr>
          <w:bCs w:val="0"/>
          <w:sz w:val="72"/>
          <w:szCs w:val="40"/>
        </w:rPr>
      </w:pPr>
    </w:p>
    <w:p>
      <w:pPr>
        <w:pStyle w:val="5"/>
        <w:numPr>
          <w:ilvl w:val="0"/>
          <w:numId w:val="6"/>
        </w:numPr>
        <w:rPr>
          <w:bCs w:val="0"/>
          <w:sz w:val="72"/>
          <w:szCs w:val="40"/>
        </w:rPr>
      </w:pPr>
      <w:r>
        <w:rPr>
          <w:rFonts w:hint="eastAsia"/>
          <w:bCs w:val="0"/>
          <w:sz w:val="72"/>
          <w:szCs w:val="40"/>
        </w:rPr>
        <w:t xml:space="preserve"> </w:t>
      </w:r>
      <w:bookmarkStart w:id="34" w:name="_Toc8865"/>
      <w:r>
        <w:rPr>
          <w:rFonts w:hint="eastAsia"/>
          <w:bCs w:val="0"/>
          <w:sz w:val="72"/>
          <w:szCs w:val="40"/>
        </w:rPr>
        <w:t>评标方法</w:t>
      </w:r>
      <w:bookmarkEnd w:id="34"/>
    </w:p>
    <w:p/>
    <w:p/>
    <w:p/>
    <w:p/>
    <w:p/>
    <w:p/>
    <w:p/>
    <w:p/>
    <w:p/>
    <w:p/>
    <w:p/>
    <w:p>
      <w:pPr>
        <w:pStyle w:val="13"/>
      </w:pPr>
    </w:p>
    <w:p/>
    <w:p>
      <w:pPr>
        <w:pStyle w:val="7"/>
        <w:jc w:val="center"/>
        <w:rPr>
          <w:rFonts w:asciiTheme="majorEastAsia" w:hAnsiTheme="majorEastAsia" w:eastAsiaTheme="majorEastAsia" w:cstheme="majorEastAsia"/>
        </w:rPr>
      </w:pPr>
      <w:bookmarkStart w:id="35" w:name="_Toc16851"/>
      <w:r>
        <w:rPr>
          <w:rFonts w:hint="eastAsia" w:asciiTheme="majorEastAsia" w:hAnsiTheme="majorEastAsia" w:eastAsiaTheme="majorEastAsia" w:cstheme="majorEastAsia"/>
        </w:rPr>
        <w:t>评标方法前附表</w:t>
      </w:r>
      <w:bookmarkEnd w:id="35"/>
    </w:p>
    <w:p>
      <w:pPr>
        <w:rPr>
          <w:b/>
          <w:bCs/>
          <w:sz w:val="22"/>
          <w:szCs w:val="28"/>
        </w:rPr>
      </w:pPr>
      <w:r>
        <w:rPr>
          <w:rFonts w:hint="eastAsia" w:asciiTheme="majorEastAsia" w:hAnsiTheme="majorEastAsia" w:eastAsiaTheme="majorEastAsia" w:cstheme="majorEastAsia"/>
          <w:b/>
          <w:bCs/>
          <w:sz w:val="22"/>
          <w:szCs w:val="28"/>
        </w:rPr>
        <w:t>1.1、初步评审</w:t>
      </w:r>
    </w:p>
    <w:tbl>
      <w:tblPr>
        <w:tblStyle w:val="25"/>
        <w:tblW w:w="5000" w:type="pct"/>
        <w:tblInd w:w="0" w:type="dxa"/>
        <w:tblLayout w:type="autofit"/>
        <w:tblCellMar>
          <w:top w:w="0" w:type="dxa"/>
          <w:left w:w="108" w:type="dxa"/>
          <w:bottom w:w="0" w:type="dxa"/>
          <w:right w:w="108" w:type="dxa"/>
        </w:tblCellMar>
      </w:tblPr>
      <w:tblGrid>
        <w:gridCol w:w="961"/>
        <w:gridCol w:w="864"/>
        <w:gridCol w:w="7344"/>
      </w:tblGrid>
      <w:tr>
        <w:trPr>
          <w:trHeight w:val="504" w:hRule="exact"/>
        </w:trPr>
        <w:tc>
          <w:tcPr>
            <w:tcW w:w="5000" w:type="pct"/>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jc w:val="center"/>
              <w:rPr>
                <w:rFonts w:asciiTheme="minorEastAsia" w:hAnsiTheme="minorEastAsia" w:cstheme="minorEastAsia"/>
                <w:szCs w:val="21"/>
              </w:rPr>
            </w:pPr>
            <w:r>
              <w:rPr>
                <w:rFonts w:hint="eastAsia" w:asciiTheme="minorEastAsia" w:hAnsiTheme="minorEastAsia" w:cstheme="minorEastAsia"/>
                <w:szCs w:val="21"/>
              </w:rPr>
              <w:t>评审标准</w:t>
            </w:r>
          </w:p>
        </w:tc>
      </w:tr>
      <w:tr>
        <w:trPr>
          <w:trHeight w:val="508" w:hRule="exact"/>
        </w:trPr>
        <w:tc>
          <w:tcPr>
            <w:tcW w:w="524" w:type="pct"/>
            <w:vMerge w:val="restart"/>
            <w:tcBorders>
              <w:top w:val="single" w:color="000000" w:sz="4" w:space="0"/>
              <w:left w:val="single" w:color="000000" w:sz="4" w:space="0"/>
              <w:right w:val="single" w:color="000000" w:sz="4" w:space="0"/>
              <w:tl2br w:val="nil"/>
              <w:tr2bl w:val="nil"/>
            </w:tcBorders>
            <w:shd w:val="clear" w:color="auto" w:fill="FFFFFF"/>
          </w:tcPr>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r>
              <w:rPr>
                <w:rFonts w:hint="eastAsia" w:asciiTheme="minorEastAsia" w:hAnsiTheme="minorEastAsia" w:cstheme="minorEastAsia"/>
                <w:szCs w:val="21"/>
              </w:rPr>
              <w:t>资格性评审</w:t>
            </w:r>
          </w:p>
          <w:p>
            <w:pPr>
              <w:jc w:val="center"/>
              <w:rPr>
                <w:rFonts w:asciiTheme="minorEastAsia" w:hAnsiTheme="minorEastAsia" w:cstheme="minorEastAsia"/>
                <w:szCs w:val="21"/>
              </w:rPr>
            </w:pPr>
          </w:p>
        </w:tc>
        <w:tc>
          <w:tcPr>
            <w:tcW w:w="471" w:type="pct"/>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both"/>
              <w:rPr>
                <w:rFonts w:asciiTheme="minorEastAsia" w:hAnsiTheme="minorEastAsia" w:cstheme="minorEastAsia"/>
                <w:szCs w:val="21"/>
              </w:rPr>
            </w:pPr>
            <w:r>
              <w:rPr>
                <w:rFonts w:hint="eastAsia" w:asciiTheme="minorEastAsia" w:hAnsiTheme="minorEastAsia" w:cstheme="minorEastAsia"/>
                <w:szCs w:val="21"/>
              </w:rPr>
              <w:t>1</w:t>
            </w:r>
          </w:p>
        </w:tc>
        <w:tc>
          <w:tcPr>
            <w:tcW w:w="400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both"/>
              <w:rPr>
                <w:sz w:val="24"/>
              </w:rPr>
            </w:pPr>
            <w:r>
              <w:rPr>
                <w:rFonts w:hint="eastAsia"/>
                <w:sz w:val="24"/>
              </w:rPr>
              <w:t>具备有效的营业执照</w:t>
            </w:r>
          </w:p>
        </w:tc>
      </w:tr>
      <w:tr>
        <w:trPr>
          <w:trHeight w:val="577" w:hRule="exact"/>
        </w:trPr>
        <w:tc>
          <w:tcPr>
            <w:tcW w:w="524" w:type="pct"/>
            <w:vMerge w:val="continue"/>
            <w:tcBorders>
              <w:left w:val="single" w:color="000000" w:sz="4" w:space="0"/>
              <w:right w:val="single" w:color="000000" w:sz="4" w:space="0"/>
              <w:tl2br w:val="nil"/>
              <w:tr2bl w:val="nil"/>
            </w:tcBorders>
            <w:shd w:val="clear" w:color="auto" w:fill="FFFFFF"/>
          </w:tcPr>
          <w:p>
            <w:pPr>
              <w:jc w:val="center"/>
              <w:rPr>
                <w:rFonts w:asciiTheme="minorEastAsia" w:hAnsiTheme="minorEastAsia" w:cstheme="minorEastAsia"/>
                <w:szCs w:val="21"/>
              </w:rPr>
            </w:pPr>
          </w:p>
        </w:tc>
        <w:tc>
          <w:tcPr>
            <w:tcW w:w="471"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both"/>
              <w:rPr>
                <w:rFonts w:asciiTheme="minorEastAsia" w:hAnsiTheme="minorEastAsia" w:cstheme="minorEastAsia"/>
                <w:szCs w:val="21"/>
              </w:rPr>
            </w:pPr>
            <w:r>
              <w:rPr>
                <w:rFonts w:asciiTheme="minorEastAsia" w:hAnsiTheme="minorEastAsia" w:cstheme="minorEastAsia"/>
                <w:szCs w:val="21"/>
              </w:rPr>
              <w:t>2</w:t>
            </w:r>
          </w:p>
        </w:tc>
        <w:tc>
          <w:tcPr>
            <w:tcW w:w="400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both"/>
              <w:rPr>
                <w:sz w:val="24"/>
              </w:rPr>
            </w:pPr>
            <w:r>
              <w:rPr>
                <w:rFonts w:hint="eastAsia"/>
                <w:sz w:val="24"/>
              </w:rPr>
              <w:t>须具有近一年任意月纳税证明（新公司从成立之日起算）</w:t>
            </w:r>
          </w:p>
        </w:tc>
      </w:tr>
      <w:tr>
        <w:trPr>
          <w:trHeight w:val="1078" w:hRule="exact"/>
        </w:trPr>
        <w:tc>
          <w:tcPr>
            <w:tcW w:w="524" w:type="pct"/>
            <w:vMerge w:val="continue"/>
            <w:tcBorders>
              <w:left w:val="single" w:color="000000" w:sz="4" w:space="0"/>
              <w:right w:val="single" w:color="000000" w:sz="4" w:space="0"/>
              <w:tl2br w:val="nil"/>
              <w:tr2bl w:val="nil"/>
            </w:tcBorders>
            <w:shd w:val="clear" w:color="auto" w:fill="FFFFFF"/>
          </w:tcPr>
          <w:p>
            <w:pPr>
              <w:jc w:val="center"/>
              <w:rPr>
                <w:rFonts w:asciiTheme="minorEastAsia" w:hAnsiTheme="minorEastAsia" w:cstheme="minorEastAsia"/>
                <w:szCs w:val="21"/>
              </w:rPr>
            </w:pPr>
          </w:p>
        </w:tc>
        <w:tc>
          <w:tcPr>
            <w:tcW w:w="471"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both"/>
              <w:rPr>
                <w:rFonts w:asciiTheme="minorEastAsia" w:hAnsiTheme="minorEastAsia" w:cstheme="minorEastAsia"/>
                <w:szCs w:val="21"/>
              </w:rPr>
            </w:pPr>
            <w:r>
              <w:rPr>
                <w:rFonts w:asciiTheme="minorEastAsia" w:hAnsiTheme="minorEastAsia" w:cstheme="minorEastAsia"/>
                <w:szCs w:val="21"/>
              </w:rPr>
              <w:t>3</w:t>
            </w:r>
          </w:p>
        </w:tc>
        <w:tc>
          <w:tcPr>
            <w:tcW w:w="400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both"/>
              <w:rPr>
                <w:sz w:val="24"/>
              </w:rPr>
            </w:pPr>
            <w:r>
              <w:rPr>
                <w:rFonts w:hint="eastAsia"/>
                <w:sz w:val="24"/>
              </w:rPr>
              <w:t>须具备近一年财务审计报告或银行提供的资信证明（新公司从成立之日起算）</w:t>
            </w:r>
          </w:p>
        </w:tc>
      </w:tr>
      <w:tr>
        <w:trPr>
          <w:trHeight w:val="626" w:hRule="exact"/>
        </w:trPr>
        <w:tc>
          <w:tcPr>
            <w:tcW w:w="524" w:type="pct"/>
            <w:vMerge w:val="continue"/>
            <w:tcBorders>
              <w:left w:val="single" w:color="000000" w:sz="4" w:space="0"/>
              <w:right w:val="single" w:color="000000" w:sz="4" w:space="0"/>
              <w:tl2br w:val="nil"/>
              <w:tr2bl w:val="nil"/>
            </w:tcBorders>
            <w:shd w:val="clear" w:color="auto" w:fill="FFFFFF"/>
          </w:tcPr>
          <w:p>
            <w:pPr>
              <w:jc w:val="center"/>
              <w:rPr>
                <w:rFonts w:asciiTheme="minorEastAsia" w:hAnsiTheme="minorEastAsia" w:cstheme="minorEastAsia"/>
                <w:szCs w:val="21"/>
              </w:rPr>
            </w:pPr>
          </w:p>
        </w:tc>
        <w:tc>
          <w:tcPr>
            <w:tcW w:w="471"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both"/>
              <w:rPr>
                <w:rFonts w:asciiTheme="minorEastAsia" w:hAnsiTheme="minorEastAsia" w:cstheme="minorEastAsia"/>
                <w:szCs w:val="21"/>
              </w:rPr>
            </w:pPr>
            <w:r>
              <w:rPr>
                <w:rFonts w:asciiTheme="minorEastAsia" w:hAnsiTheme="minorEastAsia" w:cstheme="minorEastAsia"/>
                <w:szCs w:val="21"/>
              </w:rPr>
              <w:t>4</w:t>
            </w:r>
          </w:p>
        </w:tc>
        <w:tc>
          <w:tcPr>
            <w:tcW w:w="400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both"/>
              <w:rPr>
                <w:sz w:val="24"/>
              </w:rPr>
            </w:pPr>
            <w:r>
              <w:rPr>
                <w:rFonts w:hint="eastAsia"/>
                <w:sz w:val="24"/>
              </w:rPr>
              <w:t>须具有履行合同所必须的设备和专业技术能力的承诺函</w:t>
            </w:r>
          </w:p>
        </w:tc>
      </w:tr>
      <w:tr>
        <w:trPr>
          <w:trHeight w:val="619" w:hRule="exact"/>
        </w:trPr>
        <w:tc>
          <w:tcPr>
            <w:tcW w:w="524" w:type="pct"/>
            <w:vMerge w:val="continue"/>
            <w:tcBorders>
              <w:left w:val="single" w:color="000000" w:sz="4" w:space="0"/>
              <w:right w:val="single" w:color="000000" w:sz="4" w:space="0"/>
              <w:tl2br w:val="nil"/>
              <w:tr2bl w:val="nil"/>
            </w:tcBorders>
            <w:shd w:val="clear" w:color="auto" w:fill="FFFFFF"/>
          </w:tcPr>
          <w:p>
            <w:pPr>
              <w:jc w:val="center"/>
              <w:rPr>
                <w:rFonts w:asciiTheme="minorEastAsia" w:hAnsiTheme="minorEastAsia" w:cstheme="minorEastAsia"/>
                <w:szCs w:val="21"/>
              </w:rPr>
            </w:pPr>
          </w:p>
        </w:tc>
        <w:tc>
          <w:tcPr>
            <w:tcW w:w="471"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both"/>
              <w:rPr>
                <w:rFonts w:asciiTheme="minorEastAsia" w:hAnsiTheme="minorEastAsia" w:cstheme="minorEastAsia"/>
                <w:szCs w:val="21"/>
              </w:rPr>
            </w:pPr>
            <w:r>
              <w:rPr>
                <w:rFonts w:asciiTheme="minorEastAsia" w:hAnsiTheme="minorEastAsia" w:cstheme="minorEastAsia"/>
                <w:szCs w:val="21"/>
              </w:rPr>
              <w:t>5</w:t>
            </w:r>
          </w:p>
        </w:tc>
        <w:tc>
          <w:tcPr>
            <w:tcW w:w="400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both"/>
              <w:rPr>
                <w:sz w:val="24"/>
              </w:rPr>
            </w:pPr>
            <w:r>
              <w:rPr>
                <w:rFonts w:hint="eastAsia"/>
                <w:sz w:val="24"/>
              </w:rPr>
              <w:t>参加政府采购活动前3年内在经营活动中没有重大违法记录的书面声明</w:t>
            </w:r>
          </w:p>
        </w:tc>
      </w:tr>
      <w:tr>
        <w:trPr>
          <w:trHeight w:val="1884" w:hRule="exact"/>
        </w:trPr>
        <w:tc>
          <w:tcPr>
            <w:tcW w:w="524" w:type="pct"/>
            <w:vMerge w:val="continue"/>
            <w:tcBorders>
              <w:left w:val="single" w:color="000000" w:sz="4" w:space="0"/>
              <w:bottom w:val="single" w:color="000000" w:sz="4" w:space="0"/>
              <w:right w:val="single" w:color="000000" w:sz="4" w:space="0"/>
              <w:tl2br w:val="nil"/>
              <w:tr2bl w:val="nil"/>
            </w:tcBorders>
            <w:shd w:val="clear" w:color="auto" w:fill="FFFFFF"/>
          </w:tcPr>
          <w:p>
            <w:pPr>
              <w:jc w:val="center"/>
              <w:rPr>
                <w:rFonts w:asciiTheme="minorEastAsia" w:hAnsiTheme="minorEastAsia" w:cstheme="minorEastAsia"/>
                <w:szCs w:val="21"/>
              </w:rPr>
            </w:pPr>
          </w:p>
        </w:tc>
        <w:tc>
          <w:tcPr>
            <w:tcW w:w="471"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both"/>
              <w:rPr>
                <w:rFonts w:asciiTheme="minorEastAsia" w:hAnsiTheme="minorEastAsia" w:cstheme="minorEastAsia"/>
                <w:szCs w:val="21"/>
              </w:rPr>
            </w:pPr>
          </w:p>
          <w:p>
            <w:pPr>
              <w:jc w:val="both"/>
              <w:rPr>
                <w:rFonts w:asciiTheme="minorEastAsia" w:hAnsiTheme="minorEastAsia" w:cstheme="minorEastAsia"/>
                <w:szCs w:val="21"/>
              </w:rPr>
            </w:pPr>
            <w:r>
              <w:rPr>
                <w:rFonts w:asciiTheme="minorEastAsia" w:hAnsiTheme="minorEastAsia" w:cstheme="minorEastAsia"/>
                <w:szCs w:val="21"/>
              </w:rPr>
              <w:t>6</w:t>
            </w:r>
          </w:p>
        </w:tc>
        <w:tc>
          <w:tcPr>
            <w:tcW w:w="400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both"/>
              <w:rPr>
                <w:sz w:val="24"/>
              </w:rPr>
            </w:pPr>
            <w:r>
              <w:rPr>
                <w:rFonts w:hint="eastAsia"/>
                <w:sz w:val="24"/>
              </w:rPr>
              <w:t>凡拟参加本次招标项目的投标人，如在“信用中国”网站（www.creditchina.gov.cn）和中国政府采购网（www.ccgp.gov.cn）被列入失信被执行人、税收违法黑名单、政府采购严重违法失信行为记录名单的（尚在处罚期内的），将拒绝其参加本次采购活动</w:t>
            </w:r>
          </w:p>
        </w:tc>
      </w:tr>
    </w:tbl>
    <w:p>
      <w:pPr>
        <w:rPr>
          <w:rFonts w:asciiTheme="majorEastAsia" w:hAnsiTheme="majorEastAsia" w:eastAsiaTheme="majorEastAsia" w:cstheme="majorEastAsia"/>
          <w:b/>
          <w:bCs/>
          <w:sz w:val="22"/>
          <w:szCs w:val="28"/>
        </w:rPr>
      </w:pPr>
    </w:p>
    <w:p>
      <w:pPr>
        <w:rPr>
          <w:rFonts w:asciiTheme="majorEastAsia" w:hAnsiTheme="majorEastAsia" w:eastAsiaTheme="majorEastAsia" w:cstheme="majorEastAsia"/>
          <w:b/>
          <w:bCs/>
          <w:sz w:val="22"/>
          <w:szCs w:val="28"/>
        </w:rPr>
      </w:pPr>
      <w:r>
        <w:rPr>
          <w:rFonts w:hint="eastAsia" w:asciiTheme="majorEastAsia" w:hAnsiTheme="majorEastAsia" w:eastAsiaTheme="majorEastAsia" w:cstheme="majorEastAsia"/>
          <w:b/>
          <w:bCs/>
          <w:sz w:val="22"/>
          <w:szCs w:val="28"/>
        </w:rPr>
        <w:t>1.1.1详细评审</w:t>
      </w:r>
    </w:p>
    <w:tbl>
      <w:tblPr>
        <w:tblStyle w:val="25"/>
        <w:tblW w:w="5208" w:type="pct"/>
        <w:tblInd w:w="0" w:type="dxa"/>
        <w:tblLayout w:type="autofit"/>
        <w:tblCellMar>
          <w:top w:w="0" w:type="dxa"/>
          <w:left w:w="108" w:type="dxa"/>
          <w:bottom w:w="0" w:type="dxa"/>
          <w:right w:w="108" w:type="dxa"/>
        </w:tblCellMar>
      </w:tblPr>
      <w:tblGrid>
        <w:gridCol w:w="957"/>
        <w:gridCol w:w="713"/>
        <w:gridCol w:w="7880"/>
      </w:tblGrid>
      <w:tr>
        <w:trPr>
          <w:trHeight w:val="585" w:hRule="exact"/>
        </w:trPr>
        <w:tc>
          <w:tcPr>
            <w:tcW w:w="501" w:type="pct"/>
            <w:vMerge w:val="restart"/>
            <w:tcBorders>
              <w:top w:val="single" w:color="000000" w:sz="4" w:space="0"/>
              <w:left w:val="single" w:color="000000" w:sz="4" w:space="0"/>
              <w:right w:val="single" w:color="000000" w:sz="4" w:space="0"/>
              <w:tl2br w:val="nil"/>
              <w:tr2bl w:val="nil"/>
            </w:tcBorders>
            <w:shd w:val="clear" w:color="auto" w:fill="FFFFFF"/>
          </w:tcPr>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pStyle w:val="13"/>
              <w:rPr>
                <w:rFonts w:asciiTheme="minorEastAsia" w:hAnsiTheme="minorEastAsia" w:cstheme="minorEastAsia"/>
                <w:szCs w:val="21"/>
              </w:rPr>
            </w:pPr>
          </w:p>
          <w:p/>
          <w:p>
            <w:pPr>
              <w:jc w:val="center"/>
              <w:rPr>
                <w:rFonts w:asciiTheme="minorEastAsia" w:hAnsiTheme="minorEastAsia" w:cstheme="minorEastAsia"/>
                <w:szCs w:val="21"/>
              </w:rPr>
            </w:pPr>
          </w:p>
          <w:p>
            <w:pPr>
              <w:jc w:val="center"/>
              <w:rPr>
                <w:rFonts w:asciiTheme="minorEastAsia" w:hAnsiTheme="minorEastAsia" w:cstheme="minorEastAsia"/>
                <w:szCs w:val="21"/>
              </w:rPr>
            </w:pPr>
            <w:r>
              <w:rPr>
                <w:rFonts w:hint="eastAsia" w:asciiTheme="minorEastAsia" w:hAnsiTheme="minorEastAsia" w:cstheme="minorEastAsia"/>
                <w:szCs w:val="21"/>
              </w:rPr>
              <w:t>符合性</w:t>
            </w:r>
          </w:p>
          <w:p>
            <w:pPr>
              <w:jc w:val="center"/>
              <w:rPr>
                <w:rFonts w:asciiTheme="minorEastAsia" w:hAnsiTheme="minorEastAsia" w:cstheme="minorEastAsia"/>
                <w:szCs w:val="21"/>
              </w:rPr>
            </w:pPr>
            <w:r>
              <w:rPr>
                <w:rFonts w:hint="eastAsia" w:asciiTheme="minorEastAsia" w:hAnsiTheme="minorEastAsia" w:cstheme="minorEastAsia"/>
                <w:szCs w:val="21"/>
              </w:rPr>
              <w:t>审查</w:t>
            </w: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投标人名称是否与营业执照一致</w:t>
            </w:r>
          </w:p>
        </w:tc>
      </w:tr>
      <w:tr>
        <w:trPr>
          <w:trHeight w:val="541" w:hRule="exact"/>
        </w:trPr>
        <w:tc>
          <w:tcPr>
            <w:tcW w:w="501" w:type="pct"/>
            <w:vMerge w:val="continue"/>
            <w:tcBorders>
              <w:left w:val="single" w:color="000000" w:sz="4" w:space="0"/>
              <w:right w:val="single" w:color="000000" w:sz="4" w:space="0"/>
              <w:tl2br w:val="nil"/>
              <w:tr2bl w:val="nil"/>
            </w:tcBorders>
            <w:shd w:val="clear" w:color="auto" w:fill="FFFFFF"/>
          </w:tcPr>
          <w:p>
            <w:pPr>
              <w:jc w:val="center"/>
              <w:rPr>
                <w:rFonts w:asciiTheme="minorEastAsia" w:hAnsiTheme="minorEastAsia" w:cstheme="minorEastAsia"/>
                <w:szCs w:val="21"/>
              </w:rPr>
            </w:pP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按招标文件规定要求签署、盖章的</w:t>
            </w:r>
          </w:p>
        </w:tc>
      </w:tr>
      <w:tr>
        <w:trPr>
          <w:trHeight w:val="554" w:hRule="exact"/>
        </w:trPr>
        <w:tc>
          <w:tcPr>
            <w:tcW w:w="501" w:type="pct"/>
            <w:vMerge w:val="continue"/>
            <w:tcBorders>
              <w:left w:val="single" w:color="000000" w:sz="4" w:space="0"/>
              <w:right w:val="single" w:color="000000" w:sz="4" w:space="0"/>
              <w:tl2br w:val="nil"/>
              <w:tr2bl w:val="nil"/>
            </w:tcBorders>
            <w:shd w:val="clear" w:color="auto" w:fill="FFFFFF"/>
          </w:tcPr>
          <w:p>
            <w:pPr>
              <w:jc w:val="center"/>
              <w:rPr>
                <w:rFonts w:asciiTheme="minorEastAsia" w:hAnsiTheme="minorEastAsia" w:cstheme="minorEastAsia"/>
                <w:szCs w:val="21"/>
              </w:rPr>
            </w:pP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符合招标文件要求，投标有效期90天</w:t>
            </w:r>
          </w:p>
        </w:tc>
      </w:tr>
      <w:tr>
        <w:trPr>
          <w:trHeight w:val="502" w:hRule="exact"/>
        </w:trPr>
        <w:tc>
          <w:tcPr>
            <w:tcW w:w="501" w:type="pct"/>
            <w:vMerge w:val="continue"/>
            <w:tcBorders>
              <w:left w:val="single" w:color="000000" w:sz="4" w:space="0"/>
              <w:right w:val="single" w:color="000000" w:sz="4" w:space="0"/>
              <w:tl2br w:val="nil"/>
              <w:tr2bl w:val="nil"/>
            </w:tcBorders>
            <w:shd w:val="clear" w:color="auto" w:fill="FFFFFF"/>
          </w:tcPr>
          <w:p>
            <w:pPr>
              <w:spacing w:line="403" w:lineRule="exact"/>
              <w:ind w:left="108"/>
              <w:jc w:val="left"/>
              <w:rPr>
                <w:rFonts w:asciiTheme="minorEastAsia" w:hAnsiTheme="minorEastAsia" w:cstheme="minorEastAsia"/>
                <w:szCs w:val="21"/>
              </w:rPr>
            </w:pP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投标文件是否按照招标文件要求编写、装订</w:t>
            </w:r>
          </w:p>
        </w:tc>
      </w:tr>
      <w:tr>
        <w:trPr>
          <w:trHeight w:val="549" w:hRule="exact"/>
        </w:trPr>
        <w:tc>
          <w:tcPr>
            <w:tcW w:w="501" w:type="pct"/>
            <w:vMerge w:val="continue"/>
            <w:tcBorders>
              <w:left w:val="single" w:color="000000" w:sz="4" w:space="0"/>
              <w:right w:val="single" w:color="000000" w:sz="4" w:space="0"/>
              <w:tl2br w:val="nil"/>
              <w:tr2bl w:val="nil"/>
            </w:tcBorders>
            <w:shd w:val="clear" w:color="auto" w:fill="FFFFFF"/>
          </w:tcPr>
          <w:p>
            <w:pPr>
              <w:spacing w:line="3106" w:lineRule="exact"/>
              <w:ind w:left="239"/>
              <w:jc w:val="left"/>
              <w:rPr>
                <w:rFonts w:asciiTheme="minorEastAsia" w:hAnsiTheme="minorEastAsia" w:cstheme="minorEastAsia"/>
                <w:szCs w:val="21"/>
              </w:rPr>
            </w:pP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投标人的投标报价不得超过最高投标限价</w:t>
            </w:r>
          </w:p>
        </w:tc>
      </w:tr>
      <w:tr>
        <w:trPr>
          <w:trHeight w:val="574" w:hRule="exact"/>
        </w:trPr>
        <w:tc>
          <w:tcPr>
            <w:tcW w:w="501" w:type="pct"/>
            <w:vMerge w:val="continue"/>
            <w:tcBorders>
              <w:left w:val="single" w:color="000000" w:sz="4" w:space="0"/>
              <w:right w:val="single" w:color="000000" w:sz="4" w:space="0"/>
              <w:tl2br w:val="nil"/>
              <w:tr2bl w:val="nil"/>
            </w:tcBorders>
            <w:shd w:val="clear" w:color="auto" w:fill="FFFFFF"/>
          </w:tcPr>
          <w:p>
            <w:pPr>
              <w:spacing w:line="3106" w:lineRule="exact"/>
              <w:ind w:left="239"/>
              <w:jc w:val="left"/>
              <w:rPr>
                <w:rFonts w:asciiTheme="minorEastAsia" w:hAnsiTheme="minorEastAsia" w:cstheme="minorEastAsia"/>
                <w:szCs w:val="21"/>
              </w:rPr>
            </w:pP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投标文件是否附有招标人不能接受的条件</w:t>
            </w:r>
          </w:p>
        </w:tc>
      </w:tr>
      <w:tr>
        <w:trPr>
          <w:trHeight w:val="603" w:hRule="exact"/>
        </w:trPr>
        <w:tc>
          <w:tcPr>
            <w:tcW w:w="501" w:type="pct"/>
            <w:vMerge w:val="continue"/>
            <w:tcBorders>
              <w:left w:val="single" w:color="000000" w:sz="4" w:space="0"/>
              <w:right w:val="single" w:color="000000" w:sz="4" w:space="0"/>
              <w:tl2br w:val="nil"/>
              <w:tr2bl w:val="nil"/>
            </w:tcBorders>
            <w:shd w:val="clear" w:color="auto" w:fill="FFFFFF"/>
          </w:tcPr>
          <w:p>
            <w:pPr>
              <w:spacing w:line="3106" w:lineRule="exact"/>
              <w:ind w:left="239"/>
              <w:jc w:val="left"/>
              <w:rPr>
                <w:rFonts w:asciiTheme="minorEastAsia" w:hAnsiTheme="minorEastAsia" w:cstheme="minorEastAsia"/>
                <w:szCs w:val="21"/>
              </w:rPr>
            </w:pP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asciiTheme="minorEastAsia" w:hAnsiTheme="minorEastAsia" w:cstheme="minorEastAsia"/>
                <w:szCs w:val="21"/>
              </w:rPr>
            </w:pPr>
            <w:r>
              <w:rPr>
                <w:rFonts w:hint="eastAsia" w:asciiTheme="minorEastAsia" w:hAnsiTheme="minorEastAsia" w:cstheme="minorEastAsia"/>
                <w:szCs w:val="21"/>
              </w:rPr>
              <w:t>7</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投标人是否有违反招标投标纪律的</w:t>
            </w:r>
          </w:p>
        </w:tc>
      </w:tr>
      <w:tr>
        <w:trPr>
          <w:trHeight w:val="747" w:hRule="exact"/>
        </w:trPr>
        <w:tc>
          <w:tcPr>
            <w:tcW w:w="501" w:type="pct"/>
            <w:vMerge w:val="continue"/>
            <w:tcBorders>
              <w:left w:val="single" w:color="000000" w:sz="4" w:space="0"/>
              <w:right w:val="single" w:color="000000" w:sz="4" w:space="0"/>
              <w:tl2br w:val="nil"/>
              <w:tr2bl w:val="nil"/>
            </w:tcBorders>
            <w:shd w:val="clear" w:color="auto" w:fill="FFFFFF"/>
          </w:tcPr>
          <w:p>
            <w:pPr>
              <w:spacing w:line="3106" w:lineRule="exact"/>
              <w:ind w:left="239"/>
              <w:jc w:val="left"/>
              <w:rPr>
                <w:rFonts w:asciiTheme="minorEastAsia" w:hAnsiTheme="minorEastAsia" w:cstheme="minorEastAsia"/>
                <w:szCs w:val="21"/>
              </w:rPr>
            </w:pP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未有明显不符合技术规格和技术标准（技术规格、合同条款有偏离情况的）</w:t>
            </w:r>
          </w:p>
        </w:tc>
      </w:tr>
      <w:tr>
        <w:trPr>
          <w:trHeight w:val="577" w:hRule="exact"/>
        </w:trPr>
        <w:tc>
          <w:tcPr>
            <w:tcW w:w="501" w:type="pct"/>
            <w:vMerge w:val="continue"/>
            <w:tcBorders>
              <w:left w:val="single" w:color="000000" w:sz="4" w:space="0"/>
              <w:right w:val="single" w:color="000000" w:sz="4" w:space="0"/>
              <w:tl2br w:val="nil"/>
              <w:tr2bl w:val="nil"/>
            </w:tcBorders>
            <w:shd w:val="clear" w:color="auto" w:fill="FFFFFF"/>
          </w:tcPr>
          <w:p>
            <w:pPr>
              <w:spacing w:line="3106" w:lineRule="exact"/>
              <w:ind w:left="239"/>
              <w:jc w:val="left"/>
              <w:rPr>
                <w:rFonts w:asciiTheme="minorEastAsia" w:hAnsiTheme="minorEastAsia" w:cstheme="minorEastAsia"/>
                <w:szCs w:val="21"/>
              </w:rPr>
            </w:pP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asciiTheme="minorEastAsia" w:hAnsiTheme="minorEastAsia" w:cstheme="minorEastAsia"/>
                <w:szCs w:val="21"/>
              </w:rPr>
            </w:pPr>
            <w:r>
              <w:rPr>
                <w:rFonts w:hint="eastAsia" w:asciiTheme="minorEastAsia" w:hAnsiTheme="minorEastAsia" w:cstheme="minorEastAsia"/>
                <w:szCs w:val="21"/>
              </w:rPr>
              <w:t>9</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是否符合竞争性谈判文件中规定的其他实质性要求</w:t>
            </w:r>
          </w:p>
        </w:tc>
      </w:tr>
      <w:tr>
        <w:trPr>
          <w:trHeight w:val="562" w:hRule="exact"/>
        </w:trPr>
        <w:tc>
          <w:tcPr>
            <w:tcW w:w="501" w:type="pct"/>
            <w:vMerge w:val="continue"/>
            <w:tcBorders>
              <w:left w:val="single" w:color="000000" w:sz="4" w:space="0"/>
              <w:right w:val="single" w:color="000000" w:sz="4" w:space="0"/>
              <w:tl2br w:val="nil"/>
              <w:tr2bl w:val="nil"/>
            </w:tcBorders>
            <w:shd w:val="clear" w:color="auto" w:fill="FFFFFF"/>
          </w:tcPr>
          <w:p>
            <w:pPr>
              <w:spacing w:line="3106" w:lineRule="exact"/>
              <w:ind w:left="239"/>
              <w:jc w:val="left"/>
              <w:rPr>
                <w:rFonts w:asciiTheme="minorEastAsia" w:hAnsiTheme="minorEastAsia" w:cstheme="minorEastAsia"/>
                <w:szCs w:val="21"/>
              </w:rPr>
            </w:pP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符合招标文件中投标保证金的规定</w:t>
            </w:r>
          </w:p>
        </w:tc>
      </w:tr>
      <w:tr>
        <w:trPr>
          <w:trHeight w:val="610" w:hRule="exact"/>
        </w:trPr>
        <w:tc>
          <w:tcPr>
            <w:tcW w:w="501" w:type="pct"/>
            <w:vMerge w:val="continue"/>
            <w:tcBorders>
              <w:left w:val="single" w:color="000000" w:sz="4" w:space="0"/>
              <w:bottom w:val="single" w:color="000000" w:sz="4" w:space="0"/>
              <w:right w:val="single" w:color="000000" w:sz="4" w:space="0"/>
              <w:tl2br w:val="nil"/>
              <w:tr2bl w:val="nil"/>
            </w:tcBorders>
            <w:shd w:val="clear" w:color="auto" w:fill="FFFFFF"/>
          </w:tcPr>
          <w:p>
            <w:pPr>
              <w:spacing w:line="3106" w:lineRule="exact"/>
              <w:ind w:left="239"/>
              <w:jc w:val="left"/>
              <w:rPr>
                <w:rFonts w:asciiTheme="minorEastAsia" w:hAnsiTheme="minorEastAsia" w:cstheme="minorEastAsia"/>
                <w:szCs w:val="21"/>
              </w:rPr>
            </w:pPr>
          </w:p>
        </w:tc>
        <w:tc>
          <w:tcPr>
            <w:tcW w:w="373" w:type="pct"/>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11</w:t>
            </w:r>
          </w:p>
        </w:tc>
        <w:tc>
          <w:tcPr>
            <w:tcW w:w="412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sz w:val="24"/>
              </w:rPr>
            </w:pPr>
            <w:r>
              <w:rPr>
                <w:rFonts w:hint="eastAsia"/>
                <w:sz w:val="24"/>
              </w:rPr>
              <w:t>符合招标文件的规定</w:t>
            </w:r>
          </w:p>
        </w:tc>
      </w:tr>
    </w:tbl>
    <w:p>
      <w:pPr>
        <w:pStyle w:val="9"/>
        <w:ind w:firstLine="0" w:firstLineChars="0"/>
        <w:jc w:val="left"/>
        <w:rPr>
          <w:rFonts w:asciiTheme="majorEastAsia" w:hAnsiTheme="majorEastAsia" w:eastAsiaTheme="majorEastAsia" w:cstheme="majorEastAsia"/>
          <w:b/>
          <w:bCs/>
          <w:sz w:val="22"/>
          <w:szCs w:val="28"/>
        </w:rPr>
      </w:pPr>
    </w:p>
    <w:p>
      <w:pPr>
        <w:pStyle w:val="9"/>
        <w:ind w:firstLine="0" w:firstLineChars="0"/>
        <w:jc w:val="left"/>
      </w:pPr>
      <w:r>
        <w:rPr>
          <w:rFonts w:hint="eastAsia" w:asciiTheme="majorEastAsia" w:hAnsiTheme="majorEastAsia" w:eastAsiaTheme="majorEastAsia" w:cstheme="majorEastAsia"/>
          <w:b/>
          <w:bCs/>
          <w:sz w:val="22"/>
          <w:szCs w:val="28"/>
        </w:rPr>
        <w:t>2、</w:t>
      </w:r>
      <w:r>
        <w:rPr>
          <w:rFonts w:hint="eastAsia" w:ascii="宋体" w:hAnsi="宋体" w:cs="宋体"/>
          <w:b/>
          <w:sz w:val="24"/>
        </w:rPr>
        <w:t>商务、技术、投标报价部分（共100分）</w:t>
      </w:r>
    </w:p>
    <w:tbl>
      <w:tblPr>
        <w:tblStyle w:val="26"/>
        <w:tblpPr w:leftFromText="180" w:rightFromText="180" w:vertAnchor="text" w:horzAnchor="page" w:tblpX="1001" w:tblpY="437"/>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305" w:type="pct"/>
            <w:vMerge w:val="restart"/>
            <w:vAlign w:val="center"/>
          </w:tcPr>
          <w:p>
            <w:pPr>
              <w:spacing w:line="360" w:lineRule="auto"/>
              <w:rPr>
                <w:rFonts w:ascii="宋体" w:hAnsi="宋体"/>
                <w:szCs w:val="28"/>
              </w:rPr>
            </w:pPr>
            <w:r>
              <w:rPr>
                <w:rFonts w:hint="eastAsia" w:ascii="宋体" w:hAnsi="宋体" w:eastAsia="宋体" w:cs="宋体"/>
                <w:sz w:val="24"/>
                <w:lang w:val="zh-CN"/>
              </w:rPr>
              <w:t>商务部分（1</w:t>
            </w:r>
            <w:r>
              <w:rPr>
                <w:rFonts w:ascii="宋体" w:hAnsi="宋体" w:eastAsia="宋体" w:cs="宋体"/>
                <w:sz w:val="24"/>
                <w:lang w:val="zh-CN"/>
              </w:rPr>
              <w:t>0</w:t>
            </w:r>
            <w:r>
              <w:rPr>
                <w:rFonts w:hint="eastAsia" w:ascii="宋体" w:hAnsi="宋体" w:eastAsia="宋体" w:cs="宋体"/>
                <w:sz w:val="24"/>
                <w:lang w:val="zh-CN"/>
              </w:rPr>
              <w:t>分）</w:t>
            </w:r>
          </w:p>
        </w:tc>
        <w:tc>
          <w:tcPr>
            <w:tcW w:w="3694" w:type="pct"/>
          </w:tcPr>
          <w:p>
            <w:pPr>
              <w:spacing w:line="360" w:lineRule="auto"/>
              <w:rPr>
                <w:rFonts w:eastAsia="宋体"/>
                <w:szCs w:val="28"/>
              </w:rPr>
            </w:pPr>
            <w:r>
              <w:rPr>
                <w:rFonts w:hint="eastAsia" w:ascii="宋体" w:hAnsi="宋体" w:eastAsia="宋体" w:cs="宋体"/>
                <w:sz w:val="24"/>
              </w:rPr>
              <w:t>投标人应出具2021年1月至今的同类项目业绩，以项目合同为准（需提供证明材料的复印件或扫描件须加盖公章）。每一项业绩得</w:t>
            </w:r>
            <w:r>
              <w:rPr>
                <w:rFonts w:ascii="宋体" w:hAnsi="宋体" w:eastAsia="宋体" w:cs="宋体"/>
                <w:sz w:val="24"/>
              </w:rPr>
              <w:t>2</w:t>
            </w:r>
            <w:r>
              <w:rPr>
                <w:rFonts w:hint="eastAsia" w:ascii="宋体" w:hAnsi="宋体" w:eastAsia="宋体" w:cs="宋体"/>
                <w:sz w:val="24"/>
              </w:rPr>
              <w:t>分，满分</w:t>
            </w:r>
            <w:r>
              <w:rPr>
                <w:rFonts w:ascii="宋体" w:hAnsi="宋体" w:eastAsia="宋体" w:cs="宋体"/>
                <w:sz w:val="24"/>
              </w:rPr>
              <w:t>4</w:t>
            </w:r>
            <w:r>
              <w:rPr>
                <w:rFonts w:hint="eastAsia" w:ascii="宋体" w:hAnsi="宋体" w:eastAsia="宋体" w:cs="宋体"/>
                <w:sz w:val="24"/>
                <w:lang w:eastAsia="zh-Hans"/>
              </w:rPr>
              <w:t>分</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305" w:type="pct"/>
            <w:vMerge w:val="continue"/>
            <w:vAlign w:val="center"/>
          </w:tcPr>
          <w:p>
            <w:pPr>
              <w:spacing w:line="360" w:lineRule="auto"/>
              <w:rPr>
                <w:rFonts w:ascii="宋体" w:hAnsi="宋体" w:eastAsia="宋体" w:cs="宋体"/>
                <w:sz w:val="24"/>
                <w:lang w:val="zh-CN"/>
              </w:rPr>
            </w:pPr>
          </w:p>
        </w:tc>
        <w:tc>
          <w:tcPr>
            <w:tcW w:w="3694" w:type="pct"/>
          </w:tcPr>
          <w:p>
            <w:pPr>
              <w:spacing w:line="360" w:lineRule="auto"/>
              <w:rPr>
                <w:rFonts w:ascii="宋体" w:hAnsi="宋体" w:eastAsia="宋体" w:cs="宋体"/>
                <w:sz w:val="24"/>
              </w:rPr>
            </w:pPr>
            <w:r>
              <w:rPr>
                <w:rFonts w:hint="eastAsia" w:ascii="宋体" w:hAnsi="宋体" w:eastAsia="宋体" w:cs="宋体"/>
                <w:sz w:val="24"/>
              </w:rPr>
              <w:t>投标人提供对本项目的售后服务承诺、售后服务形式、售后服务体系、故障响应时间、重大活动现场保障、例行巡检、应急保障措施等方面内容。方案细致全面、合理、完全响应需求，得3分，方案较为完整，基本响应需求得2分，方案不完整、响应度低、可行性较低得1分</w:t>
            </w:r>
            <w:r>
              <w:rPr>
                <w:rFonts w:ascii="宋体" w:hAnsi="宋体" w:eastAsia="宋体" w:cs="宋体"/>
                <w:sz w:val="24"/>
              </w:rPr>
              <w:t>，</w:t>
            </w:r>
            <w:r>
              <w:rPr>
                <w:rFonts w:hint="eastAsia" w:ascii="宋体" w:hAnsi="宋体" w:eastAsia="宋体" w:cs="宋体"/>
                <w:sz w:val="24"/>
                <w:lang w:eastAsia="zh-Hans"/>
              </w:rPr>
              <w:t>满分</w:t>
            </w:r>
            <w:r>
              <w:rPr>
                <w:rFonts w:ascii="宋体" w:hAnsi="宋体" w:eastAsia="宋体" w:cs="宋体"/>
                <w:sz w:val="24"/>
                <w:lang w:eastAsia="zh-Hans"/>
              </w:rPr>
              <w:t>3</w:t>
            </w:r>
            <w:r>
              <w:rPr>
                <w:rFonts w:hint="eastAsia" w:ascii="宋体" w:hAnsi="宋体" w:eastAsia="宋体" w:cs="宋体"/>
                <w:sz w:val="24"/>
                <w:lang w:eastAsia="zh-Hans"/>
              </w:rPr>
              <w:t>分</w:t>
            </w:r>
            <w:r>
              <w:rPr>
                <w:rFonts w:ascii="宋体" w:hAnsi="宋体" w:eastAsia="宋体" w:cs="宋体"/>
                <w:sz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4" w:hRule="atLeast"/>
        </w:trPr>
        <w:tc>
          <w:tcPr>
            <w:tcW w:w="1305" w:type="pct"/>
            <w:vMerge w:val="continue"/>
            <w:vAlign w:val="center"/>
          </w:tcPr>
          <w:p>
            <w:pPr>
              <w:spacing w:line="360" w:lineRule="auto"/>
              <w:rPr>
                <w:rFonts w:ascii="宋体" w:hAnsi="宋体"/>
                <w:szCs w:val="28"/>
              </w:rPr>
            </w:pPr>
          </w:p>
        </w:tc>
        <w:tc>
          <w:tcPr>
            <w:tcW w:w="3694" w:type="pct"/>
          </w:tcPr>
          <w:p>
            <w:pPr>
              <w:pStyle w:val="18"/>
              <w:rPr>
                <w:rFonts w:ascii="宋体" w:hAnsi="宋体" w:eastAsia="宋体" w:cs="宋体"/>
                <w:sz w:val="24"/>
              </w:rPr>
            </w:pPr>
            <w:r>
              <w:rPr>
                <w:rFonts w:hint="eastAsia" w:ascii="宋体" w:hAnsi="宋体" w:eastAsia="宋体" w:cs="宋体"/>
                <w:sz w:val="24"/>
              </w:rPr>
              <w:t>根据各投标人专业人员具备相应资质、培训方案等进行综合评价：</w:t>
            </w:r>
            <w:r>
              <w:rPr>
                <w:rFonts w:ascii="宋体" w:hAnsi="宋体" w:eastAsia="宋体" w:cs="宋体"/>
                <w:sz w:val="24"/>
              </w:rPr>
              <w:t>（</w:t>
            </w:r>
            <w:r>
              <w:rPr>
                <w:rFonts w:hint="eastAsia" w:ascii="宋体" w:hAnsi="宋体" w:eastAsia="宋体" w:cs="宋体"/>
                <w:sz w:val="24"/>
                <w:lang w:eastAsia="zh-Hans"/>
              </w:rPr>
              <w:t>满分</w:t>
            </w:r>
            <w:r>
              <w:rPr>
                <w:rFonts w:ascii="宋体" w:hAnsi="宋体" w:eastAsia="宋体" w:cs="宋体"/>
                <w:sz w:val="24"/>
                <w:lang w:eastAsia="zh-Hans"/>
              </w:rPr>
              <w:t>3</w:t>
            </w:r>
            <w:r>
              <w:rPr>
                <w:rFonts w:hint="eastAsia" w:ascii="宋体" w:hAnsi="宋体" w:eastAsia="宋体" w:cs="宋体"/>
                <w:sz w:val="24"/>
                <w:lang w:eastAsia="zh-Hans"/>
              </w:rPr>
              <w:t>分</w:t>
            </w:r>
            <w:r>
              <w:rPr>
                <w:rFonts w:ascii="宋体" w:hAnsi="宋体" w:eastAsia="宋体" w:cs="宋体"/>
                <w:sz w:val="24"/>
                <w:lang w:eastAsia="zh-Hans"/>
              </w:rPr>
              <w:t>）</w:t>
            </w:r>
          </w:p>
          <w:p>
            <w:pPr>
              <w:pStyle w:val="18"/>
              <w:rPr>
                <w:rFonts w:ascii="宋体" w:hAnsi="宋体" w:eastAsia="宋体" w:cs="宋体"/>
                <w:sz w:val="24"/>
              </w:rPr>
            </w:pPr>
            <w:r>
              <w:rPr>
                <w:rFonts w:hint="eastAsia" w:ascii="宋体" w:hAnsi="宋体" w:eastAsia="宋体" w:cs="宋体"/>
                <w:sz w:val="24"/>
              </w:rPr>
              <w:t>1、具备信息系统项目管理师、注册安全工程师、高级软件工程师3人的且服务质量保证全面、服务承诺标准高的得3分；</w:t>
            </w:r>
          </w:p>
          <w:p>
            <w:pPr>
              <w:pStyle w:val="18"/>
              <w:rPr>
                <w:rFonts w:ascii="宋体" w:hAnsi="宋体" w:eastAsia="宋体" w:cs="宋体"/>
                <w:sz w:val="24"/>
              </w:rPr>
            </w:pPr>
            <w:r>
              <w:rPr>
                <w:rFonts w:hint="eastAsia" w:ascii="宋体" w:hAnsi="宋体" w:eastAsia="宋体" w:cs="宋体"/>
                <w:sz w:val="24"/>
              </w:rPr>
              <w:t>2、具备信息系统项目管理师、注册安全工程师、高级软件工程师其中2人的且服务质量保证较全面、服务承诺标准较高的得2分；</w:t>
            </w:r>
          </w:p>
          <w:p>
            <w:pPr>
              <w:pStyle w:val="18"/>
            </w:pPr>
            <w:r>
              <w:rPr>
                <w:rFonts w:hint="eastAsia" w:ascii="宋体" w:hAnsi="宋体" w:eastAsia="宋体" w:cs="宋体"/>
                <w:sz w:val="24"/>
              </w:rPr>
              <w:t>3、具备信息系统项目管理师、注册安全工程师、高级软件工程师其中1人的且服务质量保证较不全面、服务承诺标准较差的得1分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1" w:hRule="atLeast"/>
        </w:trPr>
        <w:tc>
          <w:tcPr>
            <w:tcW w:w="1305" w:type="pct"/>
            <w:vMerge w:val="restart"/>
            <w:vAlign w:val="center"/>
          </w:tcPr>
          <w:p>
            <w:pPr>
              <w:spacing w:line="360" w:lineRule="auto"/>
              <w:rPr>
                <w:rFonts w:ascii="宋体" w:hAnsi="宋体"/>
                <w:szCs w:val="28"/>
              </w:rPr>
            </w:pPr>
            <w:r>
              <w:rPr>
                <w:rFonts w:hint="eastAsia" w:ascii="宋体" w:hAnsi="宋体" w:eastAsia="宋体" w:cs="宋体"/>
                <w:sz w:val="24"/>
                <w:lang w:val="zh-CN"/>
              </w:rPr>
              <w:t>技术部分（</w:t>
            </w:r>
            <w:r>
              <w:rPr>
                <w:rFonts w:ascii="宋体" w:hAnsi="宋体" w:eastAsia="宋体" w:cs="宋体"/>
                <w:sz w:val="24"/>
              </w:rPr>
              <w:t>60</w:t>
            </w:r>
            <w:r>
              <w:rPr>
                <w:rFonts w:hint="eastAsia" w:ascii="宋体" w:hAnsi="宋体" w:eastAsia="宋体" w:cs="宋体"/>
                <w:sz w:val="24"/>
                <w:lang w:val="zh-CN"/>
              </w:rPr>
              <w:t>分）</w:t>
            </w:r>
          </w:p>
        </w:tc>
        <w:tc>
          <w:tcPr>
            <w:tcW w:w="3694" w:type="pct"/>
          </w:tcPr>
          <w:p>
            <w:pPr>
              <w:spacing w:line="360" w:lineRule="auto"/>
              <w:rPr>
                <w:rFonts w:ascii="宋体" w:hAnsi="宋体" w:eastAsia="宋体" w:cs="宋体"/>
                <w:sz w:val="24"/>
              </w:rPr>
            </w:pPr>
            <w:r>
              <w:rPr>
                <w:rFonts w:hint="eastAsia" w:ascii="宋体" w:hAnsi="宋体" w:eastAsia="宋体" w:cs="宋体"/>
                <w:sz w:val="24"/>
              </w:rPr>
              <w:t>技术响应</w:t>
            </w:r>
            <w:r>
              <w:rPr>
                <w:rFonts w:ascii="宋体" w:hAnsi="宋体" w:eastAsia="宋体" w:cs="宋体"/>
                <w:sz w:val="24"/>
              </w:rPr>
              <w:t>（</w:t>
            </w:r>
            <w:r>
              <w:rPr>
                <w:rFonts w:hint="eastAsia" w:ascii="宋体" w:hAnsi="宋体" w:eastAsia="宋体" w:cs="宋体"/>
                <w:sz w:val="24"/>
                <w:lang w:eastAsia="zh-Hans"/>
              </w:rPr>
              <w:t>满分</w:t>
            </w:r>
            <w:r>
              <w:rPr>
                <w:rFonts w:ascii="宋体" w:hAnsi="宋体" w:eastAsia="宋体" w:cs="宋体"/>
                <w:sz w:val="24"/>
                <w:lang w:eastAsia="zh-Hans"/>
              </w:rPr>
              <w:t>25</w:t>
            </w:r>
            <w:r>
              <w:rPr>
                <w:rFonts w:hint="eastAsia" w:ascii="宋体" w:hAnsi="宋体" w:eastAsia="宋体" w:cs="宋体"/>
                <w:sz w:val="24"/>
                <w:lang w:eastAsia="zh-Hans"/>
              </w:rPr>
              <w:t>分</w:t>
            </w:r>
            <w:r>
              <w:rPr>
                <w:rFonts w:ascii="宋体" w:hAnsi="宋体" w:eastAsia="宋体" w:cs="宋体"/>
                <w:sz w:val="24"/>
                <w:lang w:eastAsia="zh-Hans"/>
              </w:rPr>
              <w:t>）</w:t>
            </w:r>
          </w:p>
          <w:p>
            <w:pPr>
              <w:spacing w:line="360" w:lineRule="auto"/>
              <w:rPr>
                <w:rFonts w:ascii="宋体" w:hAnsi="宋体" w:eastAsia="宋体" w:cs="宋体"/>
                <w:sz w:val="24"/>
              </w:rPr>
            </w:pPr>
            <w:r>
              <w:rPr>
                <w:rFonts w:hint="eastAsia" w:ascii="宋体" w:hAnsi="宋体" w:eastAsia="宋体" w:cs="宋体"/>
                <w:sz w:val="24"/>
              </w:rPr>
              <w:t>提供完整的投标技术方案及支持资料，证明能够满足招标产品性能指标，满足技术要求的得25分，带★的为必须要满足项目，缺失一项扣3分。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7" w:hRule="atLeast"/>
        </w:trPr>
        <w:tc>
          <w:tcPr>
            <w:tcW w:w="1305" w:type="pct"/>
            <w:vMerge w:val="continue"/>
            <w:vAlign w:val="center"/>
          </w:tcPr>
          <w:p>
            <w:pPr>
              <w:spacing w:line="360" w:lineRule="auto"/>
              <w:rPr>
                <w:rFonts w:ascii="宋体" w:hAnsi="宋体" w:eastAsia="宋体" w:cs="宋体"/>
                <w:sz w:val="24"/>
                <w:lang w:val="zh-CN"/>
              </w:rPr>
            </w:pPr>
          </w:p>
        </w:tc>
        <w:tc>
          <w:tcPr>
            <w:tcW w:w="3694" w:type="pct"/>
          </w:tcPr>
          <w:p>
            <w:pPr>
              <w:spacing w:line="360" w:lineRule="auto"/>
              <w:jc w:val="left"/>
              <w:rPr>
                <w:rFonts w:ascii="宋体" w:hAnsi="宋体" w:eastAsia="宋体" w:cs="宋体"/>
                <w:sz w:val="24"/>
              </w:rPr>
            </w:pPr>
            <w:r>
              <w:rPr>
                <w:rFonts w:hint="eastAsia" w:ascii="宋体" w:hAnsi="宋体" w:eastAsia="宋体" w:cs="宋体"/>
                <w:sz w:val="24"/>
              </w:rPr>
              <w:t>功能演示</w:t>
            </w:r>
            <w:r>
              <w:rPr>
                <w:rFonts w:ascii="宋体" w:hAnsi="宋体" w:eastAsia="宋体" w:cs="宋体"/>
                <w:sz w:val="24"/>
              </w:rPr>
              <w:t>（</w:t>
            </w:r>
            <w:r>
              <w:rPr>
                <w:rFonts w:hint="eastAsia" w:ascii="宋体" w:hAnsi="宋体" w:eastAsia="宋体" w:cs="宋体"/>
                <w:sz w:val="24"/>
                <w:lang w:eastAsia="zh-Hans"/>
              </w:rPr>
              <w:t>满分</w:t>
            </w:r>
            <w:r>
              <w:rPr>
                <w:rFonts w:ascii="宋体" w:hAnsi="宋体" w:eastAsia="宋体" w:cs="宋体"/>
                <w:sz w:val="24"/>
                <w:lang w:eastAsia="zh-Hans"/>
              </w:rPr>
              <w:t>35</w:t>
            </w:r>
            <w:r>
              <w:rPr>
                <w:rFonts w:hint="eastAsia" w:ascii="宋体" w:hAnsi="宋体" w:eastAsia="宋体" w:cs="宋体"/>
                <w:sz w:val="24"/>
                <w:lang w:eastAsia="zh-Hans"/>
              </w:rPr>
              <w:t>分</w:t>
            </w:r>
            <w:r>
              <w:rPr>
                <w:rFonts w:ascii="宋体" w:hAnsi="宋体" w:eastAsia="宋体" w:cs="宋体"/>
                <w:sz w:val="24"/>
                <w:lang w:eastAsia="zh-Hans"/>
              </w:rPr>
              <w:t>）</w:t>
            </w:r>
          </w:p>
          <w:p>
            <w:pPr>
              <w:spacing w:line="360" w:lineRule="auto"/>
              <w:jc w:val="left"/>
              <w:rPr>
                <w:rFonts w:hint="default" w:ascii="宋体" w:hAnsi="宋体" w:eastAsia="宋体" w:cs="宋体"/>
                <w:sz w:val="24"/>
                <w:lang w:eastAsia="zh-Hans"/>
              </w:rPr>
            </w:pPr>
            <w:r>
              <w:rPr>
                <w:rFonts w:hint="eastAsia" w:ascii="宋体" w:hAnsi="宋体" w:eastAsia="宋体" w:cs="宋体"/>
                <w:sz w:val="24"/>
              </w:rPr>
              <w:t>1、指挥中心大屏及硬件提升设计思路先进，产品符合当前主流，满足指挥中心日常需求，符合得</w:t>
            </w:r>
            <w:r>
              <w:rPr>
                <w:rFonts w:ascii="宋体" w:hAnsi="宋体" w:eastAsia="宋体" w:cs="宋体"/>
                <w:sz w:val="24"/>
              </w:rPr>
              <w:t>5</w:t>
            </w:r>
            <w:r>
              <w:rPr>
                <w:rFonts w:hint="eastAsia" w:ascii="宋体" w:hAnsi="宋体" w:eastAsia="宋体" w:cs="宋体"/>
                <w:sz w:val="24"/>
              </w:rPr>
              <w:t>分，部分符合得2分，不符合得0分；</w:t>
            </w:r>
            <w:r>
              <w:rPr>
                <w:rFonts w:hint="default" w:ascii="宋体" w:hAnsi="宋体" w:eastAsia="宋体" w:cs="宋体"/>
                <w:sz w:val="24"/>
              </w:rPr>
              <w:t>（</w:t>
            </w:r>
            <w:r>
              <w:rPr>
                <w:rFonts w:hint="eastAsia" w:ascii="宋体" w:hAnsi="宋体" w:eastAsia="宋体" w:cs="宋体"/>
                <w:sz w:val="24"/>
                <w:lang w:val="en-US" w:eastAsia="zh-Hans"/>
              </w:rPr>
              <w:t>需放置截图资料并文字性说明</w:t>
            </w:r>
            <w:r>
              <w:rPr>
                <w:rFonts w:hint="default" w:ascii="宋体" w:hAnsi="宋体" w:eastAsia="宋体" w:cs="宋体"/>
                <w:sz w:val="24"/>
                <w:lang w:eastAsia="zh-Hans"/>
              </w:rPr>
              <w:t>）</w:t>
            </w:r>
          </w:p>
          <w:p>
            <w:pPr>
              <w:spacing w:line="360" w:lineRule="auto"/>
              <w:jc w:val="left"/>
              <w:rPr>
                <w:rFonts w:ascii="宋体" w:hAnsi="宋体" w:eastAsia="宋体" w:cs="宋体"/>
                <w:sz w:val="24"/>
              </w:rPr>
            </w:pPr>
            <w:r>
              <w:rPr>
                <w:rFonts w:hint="eastAsia" w:ascii="宋体" w:hAnsi="宋体" w:eastAsia="宋体" w:cs="宋体"/>
                <w:sz w:val="24"/>
              </w:rPr>
              <w:t>2、特殊作业图传平台演示，要求具备PC端、客户端、手机端系统，实现对讲功能、存储回放、设备状态显示、报警信息、统计分析等功能，符合得</w:t>
            </w:r>
            <w:r>
              <w:rPr>
                <w:rFonts w:ascii="宋体" w:hAnsi="宋体" w:eastAsia="宋体" w:cs="宋体"/>
                <w:sz w:val="24"/>
              </w:rPr>
              <w:t>6</w:t>
            </w:r>
            <w:r>
              <w:rPr>
                <w:rFonts w:hint="eastAsia" w:ascii="宋体" w:hAnsi="宋体" w:eastAsia="宋体" w:cs="宋体"/>
                <w:sz w:val="24"/>
              </w:rPr>
              <w:t>分，部分符合得</w:t>
            </w:r>
            <w:r>
              <w:rPr>
                <w:rFonts w:ascii="宋体" w:hAnsi="宋体" w:eastAsia="宋体" w:cs="宋体"/>
                <w:sz w:val="24"/>
              </w:rPr>
              <w:t>3</w:t>
            </w:r>
            <w:r>
              <w:rPr>
                <w:rFonts w:hint="eastAsia" w:ascii="宋体" w:hAnsi="宋体" w:eastAsia="宋体" w:cs="宋体"/>
                <w:sz w:val="24"/>
              </w:rPr>
              <w:t>分，不符合得0分；</w:t>
            </w:r>
            <w:r>
              <w:rPr>
                <w:rFonts w:hint="default" w:ascii="宋体" w:hAnsi="宋体" w:eastAsia="宋体" w:cs="宋体"/>
                <w:sz w:val="24"/>
              </w:rPr>
              <w:t>（</w:t>
            </w:r>
            <w:r>
              <w:rPr>
                <w:rFonts w:hint="eastAsia" w:ascii="宋体" w:hAnsi="宋体" w:eastAsia="宋体" w:cs="宋体"/>
                <w:sz w:val="24"/>
                <w:lang w:val="en-US" w:eastAsia="zh-Hans"/>
              </w:rPr>
              <w:t>需放置截图资料并文字性说明</w:t>
            </w:r>
            <w:r>
              <w:rPr>
                <w:rFonts w:hint="default" w:ascii="宋体" w:hAnsi="宋体" w:eastAsia="宋体" w:cs="宋体"/>
                <w:sz w:val="24"/>
                <w:lang w:eastAsia="zh-Hans"/>
              </w:rPr>
              <w:t>）</w:t>
            </w:r>
          </w:p>
          <w:p>
            <w:pPr>
              <w:spacing w:line="360" w:lineRule="auto"/>
              <w:jc w:val="left"/>
              <w:rPr>
                <w:rFonts w:ascii="宋体" w:hAnsi="宋体" w:eastAsia="宋体" w:cs="宋体"/>
                <w:sz w:val="24"/>
              </w:rPr>
            </w:pPr>
            <w:r>
              <w:rPr>
                <w:rFonts w:hint="eastAsia" w:ascii="宋体" w:hAnsi="宋体" w:eastAsia="宋体" w:cs="宋体"/>
                <w:sz w:val="24"/>
              </w:rPr>
              <w:t>3、建立视频监控平台演示，接入企业的固定视频，要求具备视频的预览、储存、回放、查询、放大、轮巡、变焦及云台控制功能，符合得</w:t>
            </w:r>
            <w:r>
              <w:rPr>
                <w:rFonts w:ascii="宋体" w:hAnsi="宋体" w:eastAsia="宋体" w:cs="宋体"/>
                <w:sz w:val="24"/>
              </w:rPr>
              <w:t>8</w:t>
            </w:r>
            <w:r>
              <w:rPr>
                <w:rFonts w:hint="eastAsia" w:ascii="宋体" w:hAnsi="宋体" w:eastAsia="宋体" w:cs="宋体"/>
                <w:sz w:val="24"/>
              </w:rPr>
              <w:t>分，部分符合得</w:t>
            </w:r>
            <w:r>
              <w:rPr>
                <w:rFonts w:hint="default" w:ascii="宋体" w:hAnsi="宋体" w:eastAsia="宋体" w:cs="宋体"/>
                <w:sz w:val="24"/>
              </w:rPr>
              <w:t>4</w:t>
            </w:r>
            <w:r>
              <w:rPr>
                <w:rFonts w:hint="eastAsia" w:ascii="宋体" w:hAnsi="宋体" w:eastAsia="宋体" w:cs="宋体"/>
                <w:sz w:val="24"/>
              </w:rPr>
              <w:t>分，不符合得0分；</w:t>
            </w:r>
            <w:r>
              <w:rPr>
                <w:rFonts w:hint="default" w:ascii="宋体" w:hAnsi="宋体" w:eastAsia="宋体" w:cs="宋体"/>
                <w:sz w:val="24"/>
              </w:rPr>
              <w:t>（</w:t>
            </w:r>
            <w:r>
              <w:rPr>
                <w:rFonts w:hint="eastAsia" w:ascii="宋体" w:hAnsi="宋体" w:eastAsia="宋体" w:cs="宋体"/>
                <w:sz w:val="24"/>
                <w:lang w:val="en-US" w:eastAsia="zh-Hans"/>
              </w:rPr>
              <w:t>需放置截图资料并文字性说明</w:t>
            </w:r>
            <w:r>
              <w:rPr>
                <w:rFonts w:hint="default" w:ascii="宋体" w:hAnsi="宋体" w:eastAsia="宋体" w:cs="宋体"/>
                <w:sz w:val="24"/>
                <w:lang w:eastAsia="zh-Hans"/>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4、视频A</w:t>
            </w:r>
            <w:r>
              <w:rPr>
                <w:rFonts w:ascii="宋体" w:hAnsi="宋体" w:eastAsia="宋体" w:cs="宋体"/>
                <w:color w:val="auto"/>
                <w:sz w:val="24"/>
              </w:rPr>
              <w:t>I</w:t>
            </w:r>
            <w:r>
              <w:rPr>
                <w:rFonts w:hint="eastAsia" w:ascii="宋体" w:hAnsi="宋体" w:eastAsia="宋体" w:cs="宋体"/>
                <w:color w:val="auto"/>
                <w:sz w:val="24"/>
              </w:rPr>
              <w:t>功能演示，符合得</w:t>
            </w:r>
            <w:r>
              <w:rPr>
                <w:rFonts w:ascii="宋体" w:hAnsi="宋体" w:eastAsia="宋体" w:cs="宋体"/>
                <w:color w:val="auto"/>
                <w:sz w:val="24"/>
              </w:rPr>
              <w:t>6</w:t>
            </w:r>
            <w:r>
              <w:rPr>
                <w:rFonts w:hint="eastAsia" w:ascii="宋体" w:hAnsi="宋体" w:eastAsia="宋体" w:cs="宋体"/>
                <w:color w:val="auto"/>
                <w:sz w:val="24"/>
              </w:rPr>
              <w:t>分，部分符合得</w:t>
            </w:r>
            <w:r>
              <w:rPr>
                <w:rFonts w:ascii="宋体" w:hAnsi="宋体" w:eastAsia="宋体" w:cs="宋体"/>
                <w:color w:val="auto"/>
                <w:sz w:val="24"/>
              </w:rPr>
              <w:t>3</w:t>
            </w:r>
            <w:r>
              <w:rPr>
                <w:rFonts w:hint="eastAsia" w:ascii="宋体" w:hAnsi="宋体" w:eastAsia="宋体" w:cs="宋体"/>
                <w:color w:val="auto"/>
                <w:sz w:val="24"/>
              </w:rPr>
              <w:t>分，不符合得0分；</w:t>
            </w:r>
            <w:r>
              <w:rPr>
                <w:rFonts w:hint="default" w:ascii="宋体" w:hAnsi="宋体" w:eastAsia="宋体" w:cs="宋体"/>
                <w:sz w:val="24"/>
              </w:rPr>
              <w:t>（</w:t>
            </w:r>
            <w:r>
              <w:rPr>
                <w:rFonts w:hint="eastAsia" w:ascii="宋体" w:hAnsi="宋体" w:eastAsia="宋体" w:cs="宋体"/>
                <w:sz w:val="24"/>
                <w:lang w:val="en-US" w:eastAsia="zh-Hans"/>
              </w:rPr>
              <w:t>需放置截图资料并文字性说明</w:t>
            </w:r>
            <w:r>
              <w:rPr>
                <w:rFonts w:hint="default" w:ascii="宋体" w:hAnsi="宋体" w:eastAsia="宋体" w:cs="宋体"/>
                <w:sz w:val="24"/>
                <w:lang w:eastAsia="zh-Hans"/>
              </w:rPr>
              <w:t>）</w:t>
            </w:r>
          </w:p>
          <w:p>
            <w:pPr>
              <w:spacing w:line="360" w:lineRule="auto"/>
              <w:rPr>
                <w:rFonts w:ascii="宋体" w:hAnsi="宋体" w:eastAsia="宋体" w:cs="宋体"/>
                <w:sz w:val="24"/>
              </w:rPr>
            </w:pPr>
            <w:r>
              <w:rPr>
                <w:rFonts w:hint="default" w:ascii="宋体" w:hAnsi="宋体" w:eastAsia="宋体" w:cs="宋体"/>
                <w:sz w:val="24"/>
              </w:rPr>
              <w:t>5、</w:t>
            </w:r>
            <w:r>
              <w:rPr>
                <w:rFonts w:hint="eastAsia" w:ascii="宋体" w:hAnsi="宋体" w:eastAsia="宋体" w:cs="宋体"/>
                <w:sz w:val="24"/>
              </w:rPr>
              <w:t>指挥中心安全监管一张图可视化系统演示、要求具备三维可视化地图，实现视频一张图、GDS数据一张图、安全承诺数据一张图、企业分布一张图功能，符合得</w:t>
            </w:r>
            <w:r>
              <w:rPr>
                <w:rFonts w:ascii="宋体" w:hAnsi="宋体" w:eastAsia="宋体" w:cs="宋体"/>
                <w:sz w:val="24"/>
              </w:rPr>
              <w:t>10</w:t>
            </w:r>
            <w:r>
              <w:rPr>
                <w:rFonts w:hint="eastAsia" w:ascii="宋体" w:hAnsi="宋体" w:eastAsia="宋体" w:cs="宋体"/>
                <w:sz w:val="24"/>
              </w:rPr>
              <w:t>分，部分符合得</w:t>
            </w:r>
            <w:r>
              <w:rPr>
                <w:rFonts w:hint="default" w:ascii="宋体" w:hAnsi="宋体" w:eastAsia="宋体" w:cs="宋体"/>
                <w:sz w:val="24"/>
              </w:rPr>
              <w:t>5</w:t>
            </w:r>
            <w:r>
              <w:rPr>
                <w:rFonts w:hint="eastAsia" w:ascii="宋体" w:hAnsi="宋体" w:eastAsia="宋体" w:cs="宋体"/>
                <w:sz w:val="24"/>
              </w:rPr>
              <w:t>分，不符合得0分；</w:t>
            </w:r>
            <w:r>
              <w:rPr>
                <w:rFonts w:hint="default" w:ascii="宋体" w:hAnsi="宋体" w:eastAsia="宋体" w:cs="宋体"/>
                <w:sz w:val="24"/>
              </w:rPr>
              <w:t>（</w:t>
            </w:r>
            <w:r>
              <w:rPr>
                <w:rFonts w:hint="eastAsia" w:ascii="宋体" w:hAnsi="宋体" w:eastAsia="宋体" w:cs="宋体"/>
                <w:sz w:val="24"/>
                <w:lang w:val="en-US" w:eastAsia="zh-Hans"/>
              </w:rPr>
              <w:t>需放置截图资料并文字性说明</w:t>
            </w:r>
            <w:r>
              <w:rPr>
                <w:rFonts w:hint="default" w:ascii="宋体" w:hAnsi="宋体" w:eastAsia="宋体" w:cs="宋体"/>
                <w:sz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1305" w:type="pct"/>
            <w:vAlign w:val="center"/>
          </w:tcPr>
          <w:p>
            <w:pPr>
              <w:spacing w:line="360" w:lineRule="auto"/>
              <w:rPr>
                <w:rFonts w:ascii="宋体" w:hAnsi="宋体"/>
                <w:szCs w:val="28"/>
              </w:rPr>
            </w:pPr>
            <w:r>
              <w:rPr>
                <w:rFonts w:hint="eastAsia" w:ascii="宋体" w:hAnsi="宋体"/>
                <w:sz w:val="24"/>
                <w:szCs w:val="36"/>
              </w:rPr>
              <w:t>投标报价</w:t>
            </w:r>
            <w:r>
              <w:rPr>
                <w:rFonts w:hint="eastAsia" w:ascii="宋体" w:hAnsi="宋体"/>
                <w:szCs w:val="28"/>
              </w:rPr>
              <w:t>（</w:t>
            </w:r>
            <w:r>
              <w:rPr>
                <w:rFonts w:ascii="宋体" w:hAnsi="宋体"/>
                <w:szCs w:val="28"/>
              </w:rPr>
              <w:t>30</w:t>
            </w:r>
            <w:r>
              <w:rPr>
                <w:rFonts w:hint="eastAsia" w:ascii="宋体" w:hAnsi="宋体"/>
                <w:szCs w:val="28"/>
              </w:rPr>
              <w:t>分）</w:t>
            </w:r>
          </w:p>
        </w:tc>
        <w:tc>
          <w:tcPr>
            <w:tcW w:w="3694" w:type="pct"/>
          </w:tcPr>
          <w:p>
            <w:pPr>
              <w:spacing w:line="360" w:lineRule="auto"/>
              <w:rPr>
                <w:rFonts w:ascii="宋体" w:hAnsi="宋体" w:eastAsia="宋体" w:cs="宋体"/>
                <w:sz w:val="24"/>
              </w:rPr>
            </w:pPr>
            <w:r>
              <w:rPr>
                <w:rFonts w:hint="eastAsia" w:ascii="宋体" w:hAnsi="宋体" w:eastAsia="宋体" w:cs="宋体"/>
                <w:sz w:val="24"/>
              </w:rPr>
              <w:t>价格分采用低价优先法计算，即满足招标文件要求且最后报价最低的供应商的价格为基准价，其价格分为满分。</w:t>
            </w:r>
          </w:p>
          <w:p>
            <w:pPr>
              <w:spacing w:line="360" w:lineRule="auto"/>
              <w:rPr>
                <w:rFonts w:ascii="宋体" w:hAnsi="宋体" w:eastAsia="宋体" w:cs="宋体"/>
                <w:sz w:val="24"/>
              </w:rPr>
            </w:pPr>
            <w:r>
              <w:rPr>
                <w:rFonts w:hint="eastAsia" w:ascii="宋体" w:hAnsi="宋体" w:eastAsia="宋体" w:cs="宋体"/>
                <w:sz w:val="24"/>
              </w:rPr>
              <w:t>投标报价得分＝（评标基准价/投标报价）×30</w:t>
            </w:r>
          </w:p>
          <w:p>
            <w:pPr>
              <w:spacing w:line="360" w:lineRule="auto"/>
              <w:rPr>
                <w:rFonts w:ascii="宋体" w:hAnsi="宋体" w:eastAsia="宋体" w:cs="宋体"/>
                <w:sz w:val="24"/>
              </w:rPr>
            </w:pPr>
            <w:r>
              <w:rPr>
                <w:rFonts w:ascii="宋体" w:hAnsi="宋体" w:eastAsia="宋体" w:cs="宋体"/>
                <w:sz w:val="24"/>
              </w:rPr>
              <w:t>注：1.在经济标评审阶段，经评审小组认为无效的投标报价，经济标部分得分按“0”计；</w:t>
            </w:r>
          </w:p>
          <w:p>
            <w:pPr>
              <w:spacing w:line="360" w:lineRule="auto"/>
              <w:rPr>
                <w:rFonts w:ascii="宋体" w:hAnsi="宋体"/>
                <w:sz w:val="24"/>
              </w:rPr>
            </w:pPr>
            <w:r>
              <w:rPr>
                <w:rFonts w:hint="eastAsia" w:ascii="宋体" w:hAnsi="宋体" w:eastAsia="宋体" w:cs="宋体"/>
                <w:sz w:val="24"/>
              </w:rPr>
              <w:t>2</w:t>
            </w:r>
            <w:r>
              <w:rPr>
                <w:rFonts w:ascii="宋体" w:hAnsi="宋体" w:eastAsia="宋体" w:cs="宋体"/>
                <w:sz w:val="24"/>
              </w:rPr>
              <w:t>.项目评审过程中，不得去掉最后报价中的最高报价和最低报价。</w:t>
            </w:r>
          </w:p>
        </w:tc>
      </w:tr>
    </w:tbl>
    <w:p>
      <w:pPr>
        <w:pStyle w:val="13"/>
        <w:ind w:left="0" w:leftChars="0" w:firstLine="0" w:firstLineChars="0"/>
      </w:pPr>
    </w:p>
    <w:p>
      <w:pPr>
        <w:pStyle w:val="7"/>
        <w:rPr>
          <w:rFonts w:asciiTheme="majorEastAsia" w:hAnsiTheme="majorEastAsia" w:eastAsiaTheme="majorEastAsia" w:cstheme="majorEastAsia"/>
          <w:sz w:val="24"/>
          <w:szCs w:val="21"/>
        </w:rPr>
      </w:pPr>
      <w:bookmarkStart w:id="36" w:name="_Toc12665"/>
      <w:r>
        <w:rPr>
          <w:rFonts w:hint="eastAsia" w:asciiTheme="majorEastAsia" w:hAnsiTheme="majorEastAsia" w:eastAsiaTheme="majorEastAsia" w:cstheme="majorEastAsia"/>
          <w:sz w:val="24"/>
          <w:szCs w:val="21"/>
        </w:rPr>
        <w:t>1. 评标方法</w:t>
      </w:r>
      <w:bookmarkEnd w:id="36"/>
    </w:p>
    <w:p>
      <w:pPr>
        <w:spacing w:line="360" w:lineRule="auto"/>
        <w:rPr>
          <w:sz w:val="24"/>
        </w:rPr>
      </w:pPr>
      <w:r>
        <w:rPr>
          <w:rFonts w:hint="eastAsia"/>
          <w:sz w:val="24"/>
        </w:rPr>
        <w:t>本次评标采用</w:t>
      </w:r>
      <w:r>
        <w:rPr>
          <w:rFonts w:hint="eastAsia"/>
          <w:b/>
          <w:bCs/>
          <w:sz w:val="24"/>
          <w:u w:val="single"/>
        </w:rPr>
        <w:t>综合评分法</w:t>
      </w:r>
      <w:r>
        <w:rPr>
          <w:rFonts w:hint="eastAsia"/>
          <w:sz w:val="24"/>
        </w:rPr>
        <w:t>。评标委员会对满足招标文件实质性要求的投标文件，按照本章第2.1、2.1.2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7"/>
        <w:rPr>
          <w:rFonts w:asciiTheme="majorEastAsia" w:hAnsiTheme="majorEastAsia" w:eastAsiaTheme="majorEastAsia" w:cstheme="majorEastAsia"/>
          <w:sz w:val="24"/>
          <w:szCs w:val="21"/>
        </w:rPr>
      </w:pPr>
      <w:bookmarkStart w:id="37" w:name="_Toc20674"/>
      <w:r>
        <w:rPr>
          <w:rFonts w:hint="eastAsia" w:asciiTheme="majorEastAsia" w:hAnsiTheme="majorEastAsia" w:eastAsiaTheme="majorEastAsia" w:cstheme="majorEastAsia"/>
          <w:sz w:val="24"/>
          <w:szCs w:val="21"/>
        </w:rPr>
        <w:t>2. 评审标准</w:t>
      </w:r>
      <w:bookmarkEnd w:id="37"/>
    </w:p>
    <w:p>
      <w:pPr>
        <w:spacing w:line="360" w:lineRule="auto"/>
        <w:rPr>
          <w:sz w:val="24"/>
        </w:rPr>
      </w:pPr>
      <w:r>
        <w:rPr>
          <w:rFonts w:hint="eastAsia"/>
          <w:sz w:val="24"/>
        </w:rPr>
        <w:t>2.1 资格符合性评审标准</w:t>
      </w:r>
    </w:p>
    <w:p>
      <w:pPr>
        <w:spacing w:line="360" w:lineRule="auto"/>
        <w:ind w:firstLine="480" w:firstLineChars="200"/>
        <w:rPr>
          <w:sz w:val="24"/>
        </w:rPr>
      </w:pPr>
      <w:r>
        <w:rPr>
          <w:rFonts w:hint="eastAsia"/>
          <w:sz w:val="24"/>
        </w:rPr>
        <w:t>资格性评审标准：见评标办法前附表。</w:t>
      </w:r>
    </w:p>
    <w:p>
      <w:pPr>
        <w:spacing w:line="360" w:lineRule="auto"/>
        <w:ind w:firstLine="480" w:firstLineChars="200"/>
        <w:rPr>
          <w:sz w:val="24"/>
        </w:rPr>
      </w:pPr>
      <w:r>
        <w:rPr>
          <w:rFonts w:hint="eastAsia"/>
          <w:sz w:val="24"/>
        </w:rPr>
        <w:t>符合性评审标准：见评标办法前附表。</w:t>
      </w:r>
    </w:p>
    <w:p>
      <w:pPr>
        <w:spacing w:line="360" w:lineRule="auto"/>
        <w:rPr>
          <w:sz w:val="24"/>
        </w:rPr>
      </w:pPr>
      <w:r>
        <w:rPr>
          <w:rFonts w:hint="eastAsia"/>
          <w:sz w:val="24"/>
        </w:rPr>
        <w:t>2.1.2 分值构成与评分标准</w:t>
      </w:r>
    </w:p>
    <w:p>
      <w:pPr>
        <w:spacing w:line="360" w:lineRule="auto"/>
        <w:rPr>
          <w:sz w:val="24"/>
        </w:rPr>
      </w:pPr>
      <w:r>
        <w:rPr>
          <w:rFonts w:hint="eastAsia"/>
          <w:sz w:val="24"/>
        </w:rPr>
        <w:t>（1）商务技术部分：见评标办法前附表；</w:t>
      </w:r>
    </w:p>
    <w:p>
      <w:pPr>
        <w:spacing w:line="360" w:lineRule="auto"/>
        <w:rPr>
          <w:sz w:val="24"/>
        </w:rPr>
      </w:pPr>
      <w:r>
        <w:rPr>
          <w:rFonts w:hint="eastAsia"/>
          <w:sz w:val="24"/>
        </w:rPr>
        <w:t>（2）投标报价：见评标办法前附表；</w:t>
      </w:r>
    </w:p>
    <w:p>
      <w:pPr>
        <w:spacing w:line="360" w:lineRule="auto"/>
        <w:rPr>
          <w:sz w:val="24"/>
        </w:rPr>
      </w:pPr>
      <w:r>
        <w:rPr>
          <w:rFonts w:hint="eastAsia"/>
          <w:sz w:val="24"/>
        </w:rPr>
        <w:t>2.2评标基准价计算</w:t>
      </w:r>
    </w:p>
    <w:p>
      <w:pPr>
        <w:spacing w:line="360" w:lineRule="auto"/>
        <w:ind w:firstLine="240" w:firstLineChars="100"/>
        <w:rPr>
          <w:sz w:val="24"/>
        </w:rPr>
      </w:pPr>
      <w:r>
        <w:rPr>
          <w:rFonts w:hint="eastAsia"/>
          <w:sz w:val="24"/>
        </w:rPr>
        <w:t>评标基准价计算方法：见评标办法前附表。</w:t>
      </w:r>
    </w:p>
    <w:p>
      <w:pPr>
        <w:pStyle w:val="7"/>
        <w:rPr>
          <w:rFonts w:asciiTheme="majorEastAsia" w:hAnsiTheme="majorEastAsia" w:eastAsiaTheme="majorEastAsia" w:cstheme="majorEastAsia"/>
          <w:sz w:val="24"/>
          <w:szCs w:val="21"/>
        </w:rPr>
      </w:pPr>
      <w:bookmarkStart w:id="38" w:name="_Toc26219"/>
      <w:r>
        <w:rPr>
          <w:rFonts w:hint="eastAsia" w:asciiTheme="majorEastAsia" w:hAnsiTheme="majorEastAsia" w:eastAsiaTheme="majorEastAsia" w:cstheme="majorEastAsia"/>
          <w:sz w:val="24"/>
          <w:szCs w:val="21"/>
        </w:rPr>
        <w:t>3. 评标程序</w:t>
      </w:r>
      <w:bookmarkEnd w:id="38"/>
    </w:p>
    <w:p>
      <w:pPr>
        <w:spacing w:line="360" w:lineRule="auto"/>
        <w:rPr>
          <w:sz w:val="24"/>
          <w:szCs w:val="32"/>
        </w:rPr>
      </w:pPr>
      <w:r>
        <w:rPr>
          <w:rFonts w:hint="eastAsia"/>
          <w:sz w:val="24"/>
          <w:szCs w:val="32"/>
        </w:rPr>
        <w:t>3.1 初步评审</w:t>
      </w:r>
    </w:p>
    <w:p>
      <w:pPr>
        <w:spacing w:line="360" w:lineRule="auto"/>
        <w:rPr>
          <w:sz w:val="13"/>
          <w:szCs w:val="13"/>
        </w:rPr>
      </w:pPr>
      <w:r>
        <w:rPr>
          <w:rFonts w:hint="eastAsia"/>
          <w:sz w:val="24"/>
          <w:szCs w:val="32"/>
        </w:rPr>
        <w:t>3.1.1 评标委员会依据本章第 1.1 款规定的标准对投标文件进行初步评审。有一项不符合评审标准的，评标委员会应当否决其投标，不进入下一详细评审环节1.1.1。</w:t>
      </w:r>
    </w:p>
    <w:p>
      <w:pPr>
        <w:spacing w:line="360" w:lineRule="auto"/>
        <w:rPr>
          <w:sz w:val="24"/>
          <w:szCs w:val="32"/>
        </w:rPr>
      </w:pPr>
      <w:r>
        <w:rPr>
          <w:rFonts w:hint="eastAsia"/>
          <w:sz w:val="24"/>
          <w:szCs w:val="32"/>
        </w:rPr>
        <w:t>3.1.2 投标人有以下情形之一的，评标委员会应当否决其投标：</w:t>
      </w:r>
    </w:p>
    <w:p>
      <w:pPr>
        <w:spacing w:line="360" w:lineRule="auto"/>
        <w:rPr>
          <w:sz w:val="24"/>
          <w:szCs w:val="32"/>
        </w:rPr>
      </w:pPr>
      <w:r>
        <w:rPr>
          <w:rFonts w:hint="eastAsia"/>
          <w:sz w:val="24"/>
          <w:szCs w:val="32"/>
        </w:rPr>
        <w:t>（1）投标文件没有对招标文件的实质性要求和条件作出响应，或者对招标文件的偏差超出招标文件规定的偏差范围或最高项数；</w:t>
      </w:r>
    </w:p>
    <w:p>
      <w:pPr>
        <w:spacing w:line="360" w:lineRule="auto"/>
        <w:rPr>
          <w:sz w:val="24"/>
          <w:szCs w:val="32"/>
        </w:rPr>
      </w:pPr>
      <w:r>
        <w:rPr>
          <w:rFonts w:hint="eastAsia"/>
          <w:sz w:val="24"/>
          <w:szCs w:val="32"/>
        </w:rPr>
        <w:t>（2）有串通投标、弄虚作假、行贿等违法行为。</w:t>
      </w:r>
    </w:p>
    <w:p>
      <w:pPr>
        <w:spacing w:line="360" w:lineRule="auto"/>
        <w:rPr>
          <w:sz w:val="24"/>
          <w:szCs w:val="32"/>
        </w:rPr>
      </w:pPr>
      <w:r>
        <w:rPr>
          <w:rFonts w:hint="eastAsia"/>
          <w:sz w:val="24"/>
          <w:szCs w:val="32"/>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rPr>
          <w:sz w:val="24"/>
          <w:szCs w:val="32"/>
        </w:rPr>
      </w:pPr>
      <w:r>
        <w:rPr>
          <w:rFonts w:hint="eastAsia"/>
          <w:sz w:val="24"/>
          <w:szCs w:val="32"/>
        </w:rPr>
        <w:t>（1）投标文件中的大写金额与小写金额不一致的，以大写金额为准；</w:t>
      </w:r>
    </w:p>
    <w:p>
      <w:pPr>
        <w:spacing w:line="360" w:lineRule="auto"/>
        <w:rPr>
          <w:sz w:val="24"/>
          <w:szCs w:val="32"/>
        </w:rPr>
      </w:pPr>
      <w:r>
        <w:rPr>
          <w:rFonts w:hint="eastAsia"/>
          <w:sz w:val="24"/>
          <w:szCs w:val="32"/>
        </w:rPr>
        <w:t>（2）总价金额与单价金额不一致的，以单价金额为准，但单价金额小数点有明显错误的除外；</w:t>
      </w:r>
    </w:p>
    <w:p>
      <w:pPr>
        <w:spacing w:line="360" w:lineRule="auto"/>
        <w:rPr>
          <w:sz w:val="24"/>
          <w:szCs w:val="32"/>
        </w:rPr>
      </w:pPr>
      <w:r>
        <w:rPr>
          <w:rFonts w:hint="eastAsia"/>
          <w:sz w:val="24"/>
          <w:szCs w:val="32"/>
        </w:rPr>
        <w:t>（3）投标报价为各分项报价金额之和，投标报价与分项报价的合价不一致的，应以各分项合价累计数为准，修正投标报价；</w:t>
      </w:r>
    </w:p>
    <w:p>
      <w:pPr>
        <w:spacing w:line="360" w:lineRule="auto"/>
        <w:rPr>
          <w:sz w:val="24"/>
          <w:szCs w:val="32"/>
        </w:rPr>
      </w:pPr>
      <w:r>
        <w:rPr>
          <w:rFonts w:hint="eastAsia"/>
          <w:sz w:val="24"/>
          <w:szCs w:val="32"/>
        </w:rPr>
        <w:t>（4）如果分项报价中存在缺漏项，则视为缺漏项价格已包含在其他分项报价之中。</w:t>
      </w:r>
    </w:p>
    <w:p>
      <w:pPr>
        <w:spacing w:line="360" w:lineRule="auto"/>
        <w:rPr>
          <w:sz w:val="24"/>
          <w:szCs w:val="32"/>
        </w:rPr>
      </w:pPr>
      <w:r>
        <w:rPr>
          <w:rFonts w:hint="eastAsia"/>
          <w:sz w:val="24"/>
          <w:szCs w:val="32"/>
        </w:rPr>
        <w:t>3.2 详细评审(如评审小组对评审内容有异议，以少数服从多数为原则)</w:t>
      </w:r>
    </w:p>
    <w:p>
      <w:pPr>
        <w:spacing w:line="360" w:lineRule="auto"/>
        <w:rPr>
          <w:sz w:val="24"/>
          <w:szCs w:val="32"/>
        </w:rPr>
      </w:pPr>
      <w:r>
        <w:rPr>
          <w:rFonts w:hint="eastAsia"/>
          <w:sz w:val="24"/>
          <w:szCs w:val="32"/>
        </w:rPr>
        <w:t xml:space="preserve">3.2.1 </w:t>
      </w:r>
      <w:r>
        <w:rPr>
          <w:rFonts w:hint="eastAsia" w:ascii="宋体" w:hAnsi="宋体"/>
          <w:sz w:val="24"/>
        </w:rPr>
        <w:t>评审方法</w:t>
      </w:r>
    </w:p>
    <w:p>
      <w:pPr>
        <w:spacing w:line="360" w:lineRule="auto"/>
        <w:rPr>
          <w:sz w:val="24"/>
          <w:szCs w:val="32"/>
        </w:rPr>
      </w:pPr>
      <w:r>
        <w:rPr>
          <w:rFonts w:hint="eastAsia"/>
          <w:sz w:val="24"/>
          <w:szCs w:val="32"/>
        </w:rPr>
        <w:t>（1）</w:t>
      </w:r>
      <w:r>
        <w:rPr>
          <w:rFonts w:hint="eastAsia" w:ascii="宋体" w:hAnsi="宋体"/>
          <w:sz w:val="24"/>
        </w:rPr>
        <w:t>本次评标采用</w:t>
      </w:r>
      <w:r>
        <w:rPr>
          <w:rFonts w:hint="eastAsia" w:ascii="宋体" w:hAnsi="宋体"/>
          <w:b/>
          <w:sz w:val="24"/>
          <w:u w:val="single"/>
        </w:rPr>
        <w:t>综合评分法</w:t>
      </w:r>
      <w:r>
        <w:rPr>
          <w:rFonts w:hint="eastAsia"/>
          <w:sz w:val="24"/>
          <w:szCs w:val="32"/>
        </w:rPr>
        <w:t>；</w:t>
      </w:r>
    </w:p>
    <w:p>
      <w:pPr>
        <w:spacing w:line="360" w:lineRule="auto"/>
        <w:rPr>
          <w:sz w:val="24"/>
          <w:szCs w:val="32"/>
        </w:rPr>
      </w:pPr>
      <w:r>
        <w:rPr>
          <w:rFonts w:hint="eastAsia"/>
          <w:sz w:val="24"/>
          <w:szCs w:val="32"/>
        </w:rPr>
        <w:t>（2）</w:t>
      </w:r>
      <w:r>
        <w:rPr>
          <w:rFonts w:hint="eastAsia" w:ascii="宋体" w:hAnsi="宋体"/>
          <w:sz w:val="24"/>
        </w:rPr>
        <w:t>评审小组</w:t>
      </w:r>
      <w:r>
        <w:rPr>
          <w:rFonts w:hint="eastAsia" w:ascii="宋体"/>
          <w:sz w:val="24"/>
        </w:rPr>
        <w:t>对未发生重大偏差的</w:t>
      </w:r>
      <w:r>
        <w:rPr>
          <w:rFonts w:hint="eastAsia" w:ascii="宋体" w:hAnsi="宋体"/>
          <w:spacing w:val="-2"/>
          <w:sz w:val="24"/>
        </w:rPr>
        <w:t>合格投标文件</w:t>
      </w:r>
      <w:r>
        <w:rPr>
          <w:rFonts w:hint="eastAsia" w:ascii="宋体" w:hAnsi="宋体"/>
          <w:sz w:val="24"/>
        </w:rPr>
        <w:t>进行初步评审，</w:t>
      </w:r>
      <w:r>
        <w:rPr>
          <w:rFonts w:ascii="宋体" w:hAnsi="宋体"/>
          <w:sz w:val="24"/>
        </w:rPr>
        <w:t>从而进一步确定实质响应性和</w:t>
      </w:r>
      <w:r>
        <w:rPr>
          <w:rFonts w:hint="eastAsia" w:ascii="宋体" w:hAnsi="宋体"/>
          <w:sz w:val="24"/>
        </w:rPr>
        <w:t>供应商</w:t>
      </w:r>
      <w:r>
        <w:rPr>
          <w:rFonts w:ascii="宋体" w:hAnsi="宋体"/>
          <w:sz w:val="24"/>
        </w:rPr>
        <w:t>的履约能力</w:t>
      </w:r>
      <w:r>
        <w:rPr>
          <w:rFonts w:hint="eastAsia"/>
          <w:b/>
          <w:bCs/>
          <w:sz w:val="24"/>
        </w:rPr>
        <w:t>。</w:t>
      </w:r>
    </w:p>
    <w:p>
      <w:pPr>
        <w:spacing w:line="360" w:lineRule="auto"/>
        <w:rPr>
          <w:sz w:val="24"/>
          <w:szCs w:val="32"/>
        </w:rPr>
      </w:pPr>
      <w:r>
        <w:rPr>
          <w:rFonts w:hint="eastAsia"/>
          <w:sz w:val="24"/>
          <w:szCs w:val="32"/>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sz w:val="24"/>
          <w:szCs w:val="32"/>
        </w:rPr>
      </w:pPr>
      <w:r>
        <w:rPr>
          <w:rFonts w:hint="eastAsia"/>
          <w:sz w:val="24"/>
          <w:szCs w:val="32"/>
        </w:rPr>
        <w:t>3.3 投标文件的澄清</w:t>
      </w:r>
    </w:p>
    <w:p>
      <w:pPr>
        <w:spacing w:line="360" w:lineRule="auto"/>
        <w:rPr>
          <w:sz w:val="24"/>
          <w:szCs w:val="32"/>
        </w:rPr>
      </w:pPr>
      <w:r>
        <w:rPr>
          <w:rFonts w:hint="eastAsia"/>
          <w:sz w:val="24"/>
          <w:szCs w:val="32"/>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rPr>
          <w:sz w:val="24"/>
          <w:szCs w:val="32"/>
        </w:rPr>
      </w:pPr>
      <w:r>
        <w:rPr>
          <w:rFonts w:hint="eastAsia"/>
          <w:sz w:val="24"/>
          <w:szCs w:val="32"/>
        </w:rPr>
        <w:t>3.3.2 澄清、说明或补正不得超出投标文件的范围且不得改变投标文件的实质性内容，并构成投标文件的组成部分。</w:t>
      </w:r>
    </w:p>
    <w:p>
      <w:pPr>
        <w:spacing w:line="360" w:lineRule="auto"/>
        <w:rPr>
          <w:sz w:val="24"/>
          <w:szCs w:val="32"/>
        </w:rPr>
      </w:pPr>
      <w:r>
        <w:rPr>
          <w:rFonts w:hint="eastAsia"/>
          <w:sz w:val="24"/>
          <w:szCs w:val="32"/>
        </w:rPr>
        <w:t>3.3.3 评标委员会对投标人提交的澄清、说明或补正有疑问的，可以要求投标人进一步澄清、说明或补正，直至满足评标委员会的要求。</w:t>
      </w:r>
    </w:p>
    <w:p>
      <w:pPr>
        <w:spacing w:line="360" w:lineRule="auto"/>
        <w:rPr>
          <w:sz w:val="24"/>
          <w:szCs w:val="32"/>
        </w:rPr>
      </w:pPr>
      <w:r>
        <w:rPr>
          <w:rFonts w:hint="eastAsia"/>
          <w:sz w:val="24"/>
          <w:szCs w:val="32"/>
        </w:rPr>
        <w:t>3.4 评标结果</w:t>
      </w:r>
    </w:p>
    <w:p>
      <w:pPr>
        <w:spacing w:line="360" w:lineRule="auto"/>
        <w:rPr>
          <w:sz w:val="24"/>
          <w:szCs w:val="32"/>
        </w:rPr>
      </w:pPr>
      <w:r>
        <w:rPr>
          <w:rFonts w:hint="eastAsia"/>
          <w:sz w:val="24"/>
          <w:szCs w:val="32"/>
        </w:rPr>
        <w:t>3.4.1 除第二章“投标人须知”前附表授权直接确定中标人外，评标委员会按照得分由高到低的顺序推荐中标候选人，并标明排序。</w:t>
      </w:r>
    </w:p>
    <w:p>
      <w:pPr>
        <w:spacing w:line="360" w:lineRule="auto"/>
        <w:rPr>
          <w:sz w:val="24"/>
          <w:szCs w:val="32"/>
        </w:rPr>
      </w:pPr>
      <w:r>
        <w:rPr>
          <w:rFonts w:hint="eastAsia"/>
          <w:sz w:val="24"/>
          <w:szCs w:val="32"/>
        </w:rPr>
        <w:t>3.4.2 评标委员会完成评标后，应当向招标人提交书面评标报告和中标候选人名单。</w:t>
      </w:r>
    </w:p>
    <w:p>
      <w:pPr>
        <w:pStyle w:val="47"/>
        <w:ind w:firstLine="0" w:firstLineChars="0"/>
        <w:rPr>
          <w:rFonts w:ascii="宋体" w:hAnsi="宋体"/>
          <w:b/>
          <w:kern w:val="2"/>
          <w:highlight w:val="yellow"/>
        </w:rPr>
      </w:pPr>
      <w:r>
        <w:rPr>
          <w:rFonts w:hint="eastAsia" w:ascii="宋体" w:hAnsi="宋体"/>
          <w:b/>
          <w:kern w:val="2"/>
        </w:rPr>
        <w:t>政府采购政策功能落实</w:t>
      </w:r>
      <w:r>
        <w:rPr>
          <w:rFonts w:ascii="宋体" w:hAnsi="宋体"/>
          <w:b/>
          <w:kern w:val="2"/>
        </w:rPr>
        <w:t>：</w:t>
      </w:r>
    </w:p>
    <w:p>
      <w:pPr>
        <w:pStyle w:val="47"/>
        <w:spacing w:line="0" w:lineRule="atLeast"/>
        <w:rPr>
          <w:rFonts w:ascii="宋体" w:hAnsi="宋体"/>
          <w:kern w:val="2"/>
        </w:rPr>
      </w:pPr>
      <w:r>
        <w:rPr>
          <w:rFonts w:hint="eastAsia" w:ascii="宋体" w:hAnsi="宋体"/>
          <w:kern w:val="2"/>
        </w:rPr>
        <w:t>1、小微型企业价格扣除</w:t>
      </w:r>
    </w:p>
    <w:p>
      <w:pPr>
        <w:pStyle w:val="47"/>
        <w:spacing w:line="0" w:lineRule="atLeast"/>
        <w:ind w:firstLine="360" w:firstLineChars="150"/>
        <w:rPr>
          <w:rFonts w:ascii="宋体" w:hAnsi="宋体"/>
          <w:kern w:val="2"/>
        </w:rPr>
      </w:pPr>
      <w:r>
        <w:rPr>
          <w:rFonts w:hint="eastAsia" w:ascii="宋体" w:hAnsi="宋体"/>
          <w:kern w:val="2"/>
        </w:rPr>
        <w:t>（1）本项目对小型和微型企业报价给予</w:t>
      </w:r>
      <w:r>
        <w:rPr>
          <w:rFonts w:ascii="宋体" w:hAnsi="宋体" w:cs="Courier New"/>
          <w:bCs/>
          <w:kern w:val="2"/>
          <w:sz w:val="24"/>
          <w:szCs w:val="24"/>
          <w:highlight w:val="none"/>
        </w:rPr>
        <w:t>10</w:t>
      </w:r>
      <w:r>
        <w:rPr>
          <w:rFonts w:hint="eastAsia" w:ascii="宋体" w:hAnsi="宋体" w:cs="Courier New"/>
          <w:bCs/>
          <w:kern w:val="2"/>
          <w:sz w:val="24"/>
          <w:szCs w:val="24"/>
          <w:highlight w:val="none"/>
        </w:rPr>
        <w:t>%</w:t>
      </w:r>
      <w:r>
        <w:rPr>
          <w:rFonts w:hint="eastAsia" w:ascii="宋体" w:hAnsi="宋体"/>
          <w:kern w:val="2"/>
          <w:sz w:val="24"/>
          <w:szCs w:val="24"/>
          <w:highlight w:val="none"/>
        </w:rPr>
        <w:t>的</w:t>
      </w:r>
      <w:r>
        <w:rPr>
          <w:rFonts w:hint="eastAsia" w:ascii="宋体" w:hAnsi="宋体"/>
          <w:kern w:val="2"/>
        </w:rPr>
        <w:t>扣除价格，用扣除后的价格参与评审。</w:t>
      </w:r>
    </w:p>
    <w:p>
      <w:pPr>
        <w:pStyle w:val="47"/>
        <w:spacing w:line="0" w:lineRule="atLeast"/>
        <w:ind w:firstLine="360" w:firstLineChars="150"/>
        <w:rPr>
          <w:rFonts w:ascii="宋体" w:hAnsi="宋体"/>
          <w:kern w:val="2"/>
        </w:rPr>
      </w:pPr>
      <w:r>
        <w:rPr>
          <w:rFonts w:hint="eastAsia" w:ascii="宋体" w:hAnsi="宋体"/>
          <w:kern w:val="2"/>
        </w:rPr>
        <w:t>（2）供应商需按照采购文件的要求提供相应的《企业声明函》。</w:t>
      </w:r>
    </w:p>
    <w:p>
      <w:pPr>
        <w:pStyle w:val="47"/>
        <w:spacing w:line="0" w:lineRule="atLeast"/>
        <w:ind w:firstLine="360" w:firstLineChars="150"/>
        <w:rPr>
          <w:rFonts w:ascii="宋体" w:hAnsi="宋体"/>
          <w:kern w:val="2"/>
        </w:rPr>
      </w:pPr>
      <w:r>
        <w:rPr>
          <w:rFonts w:hint="eastAsia" w:ascii="宋体" w:hAnsi="宋体"/>
          <w:kern w:val="2"/>
        </w:rPr>
        <w:t>（3）企业标准请参照《关于印发中小企业划型标准规定的通知》（工信部联企业[2011]300号）文件规定自行填写。</w:t>
      </w:r>
    </w:p>
    <w:p>
      <w:pPr>
        <w:pStyle w:val="47"/>
        <w:spacing w:line="0" w:lineRule="atLeast"/>
        <w:rPr>
          <w:rFonts w:ascii="宋体" w:hAnsi="宋体"/>
          <w:kern w:val="2"/>
        </w:rPr>
      </w:pPr>
      <w:r>
        <w:rPr>
          <w:rFonts w:hint="eastAsia" w:ascii="宋体" w:hAnsi="宋体"/>
          <w:kern w:val="2"/>
        </w:rPr>
        <w:t>2、残疾人福利单位价格扣除</w:t>
      </w:r>
    </w:p>
    <w:p>
      <w:pPr>
        <w:pStyle w:val="47"/>
        <w:spacing w:line="0" w:lineRule="atLeast"/>
        <w:ind w:left="120" w:leftChars="57" w:firstLine="360" w:firstLineChars="150"/>
        <w:rPr>
          <w:rFonts w:ascii="宋体" w:hAnsi="宋体"/>
          <w:kern w:val="2"/>
        </w:rPr>
      </w:pPr>
      <w:r>
        <w:rPr>
          <w:rFonts w:hint="eastAsia" w:ascii="宋体" w:hAnsi="宋体"/>
          <w:kern w:val="2"/>
        </w:rPr>
        <w:t>（1）本项目对残疾人福利性单位视同小型、微型企业，给予6%的价格扣除，用扣除后的价格参与评审。</w:t>
      </w:r>
    </w:p>
    <w:p>
      <w:pPr>
        <w:pStyle w:val="47"/>
        <w:spacing w:line="0" w:lineRule="atLeast"/>
        <w:ind w:left="120" w:leftChars="57" w:firstLine="360" w:firstLineChars="150"/>
        <w:rPr>
          <w:rFonts w:ascii="宋体" w:hAnsi="宋体"/>
          <w:kern w:val="2"/>
        </w:rPr>
      </w:pPr>
      <w:r>
        <w:rPr>
          <w:rFonts w:hint="eastAsia" w:ascii="宋体" w:hAnsi="宋体"/>
          <w:kern w:val="2"/>
        </w:rPr>
        <w:t>（2）残疾人福利单位需按照采购文件的要求提供《残疾人福利性单位声明函》。</w:t>
      </w:r>
    </w:p>
    <w:p>
      <w:pPr>
        <w:pStyle w:val="47"/>
        <w:spacing w:line="0" w:lineRule="atLeast"/>
        <w:ind w:left="120" w:leftChars="57" w:firstLine="360" w:firstLineChars="150"/>
        <w:rPr>
          <w:rFonts w:ascii="宋体" w:hAnsi="宋体"/>
          <w:kern w:val="2"/>
        </w:rPr>
      </w:pPr>
      <w:r>
        <w:rPr>
          <w:rFonts w:hint="eastAsia" w:ascii="宋体" w:hAnsi="宋体"/>
          <w:kern w:val="2"/>
        </w:rPr>
        <w:t>（3）残疾人福利单位标准请参照《关于促进残疾人就业政府采购政策的通知》（财库〔2017〕141号）。</w:t>
      </w:r>
    </w:p>
    <w:p>
      <w:pPr>
        <w:pStyle w:val="47"/>
        <w:spacing w:line="0" w:lineRule="atLeast"/>
        <w:rPr>
          <w:rFonts w:ascii="宋体" w:hAnsi="宋体"/>
          <w:kern w:val="2"/>
        </w:rPr>
      </w:pPr>
      <w:r>
        <w:rPr>
          <w:rFonts w:hint="eastAsia" w:ascii="宋体" w:hAnsi="宋体"/>
          <w:kern w:val="2"/>
        </w:rPr>
        <w:t>3、监狱和戒毒企业价格扣除</w:t>
      </w:r>
    </w:p>
    <w:p>
      <w:pPr>
        <w:pStyle w:val="47"/>
        <w:spacing w:line="0" w:lineRule="atLeast"/>
        <w:rPr>
          <w:rFonts w:ascii="宋体" w:hAnsi="宋体"/>
          <w:kern w:val="2"/>
        </w:rPr>
      </w:pPr>
      <w:r>
        <w:rPr>
          <w:rFonts w:hint="eastAsia" w:ascii="宋体" w:hAnsi="宋体"/>
          <w:kern w:val="2"/>
        </w:rPr>
        <w:t>（1）本项目对监狱和戒毒企业（简称监狱企业）视同小型、微型企业，给予</w:t>
      </w:r>
      <w:r>
        <w:rPr>
          <w:rFonts w:hint="default" w:ascii="宋体" w:hAnsi="宋体"/>
          <w:kern w:val="2"/>
        </w:rPr>
        <w:t>10</w:t>
      </w:r>
      <w:r>
        <w:rPr>
          <w:rFonts w:hint="eastAsia" w:ascii="宋体" w:hAnsi="宋体"/>
          <w:kern w:val="2"/>
        </w:rPr>
        <w:t>%的价格扣除，用扣除后的价格参与评审。</w:t>
      </w:r>
    </w:p>
    <w:p>
      <w:pPr>
        <w:pStyle w:val="47"/>
        <w:spacing w:line="0" w:lineRule="atLeast"/>
        <w:rPr>
          <w:rFonts w:ascii="宋体" w:hAnsi="宋体"/>
          <w:kern w:val="2"/>
        </w:rPr>
      </w:pPr>
      <w:r>
        <w:rPr>
          <w:rFonts w:hint="eastAsia" w:ascii="宋体" w:hAnsi="宋体"/>
          <w:kern w:val="2"/>
        </w:rPr>
        <w:t>（2）监狱企业参加政府采购活动时，需提供由省级以上监狱管理局、戒毒管理局(含新疆生产建设兵团)出具的属于监狱企业的证明文件。</w:t>
      </w:r>
      <w:r>
        <w:rPr>
          <w:rFonts w:hint="eastAsia" w:ascii="宋体" w:hAnsi="宋体"/>
        </w:rPr>
        <w:t>供应商如不提供上述证明文件，价格将不做相应扣除</w:t>
      </w:r>
      <w:r>
        <w:rPr>
          <w:rFonts w:hint="eastAsia" w:ascii="宋体" w:hAnsi="宋体"/>
          <w:kern w:val="2"/>
        </w:rPr>
        <w:t>。</w:t>
      </w:r>
    </w:p>
    <w:p>
      <w:pPr>
        <w:pStyle w:val="47"/>
        <w:spacing w:line="0" w:lineRule="atLeast"/>
        <w:rPr>
          <w:rFonts w:ascii="宋体" w:hAnsi="宋体"/>
          <w:kern w:val="2"/>
        </w:rPr>
      </w:pPr>
      <w:r>
        <w:rPr>
          <w:rFonts w:hint="eastAsia" w:ascii="宋体" w:hAnsi="宋体"/>
          <w:kern w:val="2"/>
        </w:rPr>
        <w:t>（3）监狱企业标准请参照《关于政府采购支持监狱企业发展有关问题的通知》（</w:t>
      </w:r>
      <w:r>
        <w:rPr>
          <w:rFonts w:ascii="宋体" w:hAnsi="宋体"/>
          <w:kern w:val="2"/>
        </w:rPr>
        <w:t>财库[2014]68号</w:t>
      </w:r>
      <w:r>
        <w:rPr>
          <w:rFonts w:hint="eastAsia" w:ascii="宋体" w:hAnsi="宋体"/>
          <w:kern w:val="2"/>
        </w:rPr>
        <w:t>）。</w:t>
      </w:r>
    </w:p>
    <w:p>
      <w:pPr>
        <w:pStyle w:val="47"/>
        <w:spacing w:line="400" w:lineRule="exact"/>
        <w:rPr>
          <w:rFonts w:asciiTheme="majorEastAsia" w:hAnsiTheme="majorEastAsia" w:eastAsiaTheme="majorEastAsia" w:cstheme="majorEastAsia"/>
          <w:sz w:val="72"/>
          <w:szCs w:val="52"/>
        </w:rPr>
      </w:pPr>
      <w:r>
        <w:rPr>
          <w:rFonts w:hint="eastAsia" w:ascii="宋体" w:hAnsi="宋体"/>
          <w:kern w:val="2"/>
        </w:rPr>
        <w:t>4、小微型企业、残疾人福利单位、监狱企业属于小型、微型企业的，不重复享受政策。</w:t>
      </w:r>
    </w:p>
    <w:p>
      <w:pPr>
        <w:pStyle w:val="22"/>
        <w:rPr>
          <w:rFonts w:asciiTheme="majorEastAsia" w:hAnsiTheme="majorEastAsia" w:eastAsiaTheme="majorEastAsia" w:cstheme="majorEastAsia"/>
          <w:sz w:val="72"/>
          <w:szCs w:val="52"/>
        </w:rPr>
      </w:pPr>
    </w:p>
    <w:p>
      <w:pPr>
        <w:pStyle w:val="22"/>
        <w:jc w:val="both"/>
        <w:rPr>
          <w:rFonts w:asciiTheme="majorEastAsia" w:hAnsiTheme="majorEastAsia" w:eastAsiaTheme="majorEastAsia" w:cstheme="majorEastAsia"/>
          <w:sz w:val="72"/>
          <w:szCs w:val="52"/>
        </w:rPr>
      </w:pPr>
    </w:p>
    <w:p>
      <w:pPr>
        <w:pStyle w:val="22"/>
        <w:jc w:val="both"/>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22"/>
        <w:rPr>
          <w:rFonts w:asciiTheme="majorEastAsia" w:hAnsiTheme="majorEastAsia" w:eastAsiaTheme="majorEastAsia" w:cstheme="majorEastAsia"/>
          <w:sz w:val="72"/>
          <w:szCs w:val="52"/>
        </w:rPr>
      </w:pPr>
    </w:p>
    <w:p>
      <w:pPr>
        <w:pStyle w:val="7"/>
        <w:numPr>
          <w:ilvl w:val="0"/>
          <w:numId w:val="6"/>
        </w:numPr>
        <w:jc w:val="center"/>
        <w:rPr>
          <w:rFonts w:asciiTheme="majorEastAsia" w:hAnsiTheme="majorEastAsia" w:eastAsiaTheme="majorEastAsia" w:cstheme="majorEastAsia"/>
          <w:sz w:val="72"/>
          <w:szCs w:val="52"/>
        </w:rPr>
      </w:pPr>
      <w:r>
        <w:rPr>
          <w:rFonts w:hint="eastAsia" w:asciiTheme="majorEastAsia" w:hAnsiTheme="majorEastAsia" w:eastAsiaTheme="majorEastAsia" w:cstheme="majorEastAsia"/>
          <w:sz w:val="72"/>
          <w:szCs w:val="52"/>
        </w:rPr>
        <w:t xml:space="preserve"> </w:t>
      </w:r>
      <w:bookmarkStart w:id="39" w:name="_Toc20567"/>
      <w:r>
        <w:rPr>
          <w:rFonts w:hint="eastAsia" w:asciiTheme="majorEastAsia" w:hAnsiTheme="majorEastAsia" w:eastAsiaTheme="majorEastAsia" w:cstheme="majorEastAsia"/>
          <w:sz w:val="72"/>
          <w:szCs w:val="52"/>
        </w:rPr>
        <w:t>合同条款格式</w:t>
      </w:r>
      <w:bookmarkEnd w:id="39"/>
    </w:p>
    <w:p>
      <w:pPr>
        <w:adjustRightInd w:val="0"/>
        <w:snapToGrid w:val="0"/>
        <w:spacing w:line="560" w:lineRule="exact"/>
        <w:jc w:val="center"/>
        <w:rPr>
          <w:sz w:val="22"/>
          <w:szCs w:val="28"/>
        </w:rPr>
      </w:pPr>
      <w:r>
        <w:rPr>
          <w:rFonts w:hint="eastAsia" w:ascii="宋体" w:hAnsi="宋体" w:eastAsia="宋体" w:cs="宋体"/>
          <w:b/>
          <w:bCs/>
          <w:sz w:val="28"/>
          <w:szCs w:val="28"/>
        </w:rPr>
        <w:t>（仅供参考最终以双方签订的合同为准）</w:t>
      </w:r>
    </w:p>
    <w:p/>
    <w:p/>
    <w:p/>
    <w:p>
      <w:pPr>
        <w:pStyle w:val="11"/>
      </w:pPr>
    </w:p>
    <w:p/>
    <w:p>
      <w:pPr>
        <w:pStyle w:val="11"/>
      </w:pPr>
    </w:p>
    <w:p/>
    <w:p>
      <w:pPr>
        <w:pStyle w:val="11"/>
      </w:pPr>
    </w:p>
    <w:p/>
    <w:p/>
    <w:p>
      <w:pPr>
        <w:pStyle w:val="13"/>
      </w:pPr>
    </w:p>
    <w:p/>
    <w:p>
      <w:pPr>
        <w:pStyle w:val="13"/>
      </w:pPr>
    </w:p>
    <w:p/>
    <w:p>
      <w:pPr>
        <w:pStyle w:val="13"/>
      </w:pPr>
    </w:p>
    <w:p/>
    <w:p>
      <w:pPr>
        <w:pStyle w:val="13"/>
      </w:pPr>
    </w:p>
    <w:p>
      <w:pPr>
        <w:pStyle w:val="7"/>
        <w:jc w:val="center"/>
        <w:rPr>
          <w:rFonts w:ascii="宋体" w:hAnsi="宋体" w:eastAsia="宋体" w:cs="宋体"/>
          <w:sz w:val="28"/>
          <w:szCs w:val="22"/>
        </w:rPr>
      </w:pPr>
      <w:bookmarkStart w:id="40" w:name="_Toc14713"/>
      <w:r>
        <w:rPr>
          <w:rFonts w:hint="eastAsia" w:ascii="宋体" w:hAnsi="宋体" w:eastAsia="宋体" w:cs="宋体"/>
          <w:sz w:val="28"/>
          <w:szCs w:val="22"/>
        </w:rPr>
        <w:t>第一节  通用合同条款</w:t>
      </w:r>
      <w:bookmarkEnd w:id="40"/>
    </w:p>
    <w:p>
      <w:pPr>
        <w:spacing w:line="360" w:lineRule="auto"/>
        <w:rPr>
          <w:sz w:val="24"/>
        </w:rPr>
      </w:pPr>
      <w:r>
        <w:rPr>
          <w:rFonts w:hint="eastAsia"/>
          <w:sz w:val="24"/>
        </w:rPr>
        <w:t>1. 一般约定</w:t>
      </w:r>
    </w:p>
    <w:p>
      <w:pPr>
        <w:spacing w:line="360" w:lineRule="auto"/>
        <w:rPr>
          <w:sz w:val="24"/>
        </w:rPr>
      </w:pPr>
      <w:r>
        <w:rPr>
          <w:rFonts w:hint="eastAsia"/>
          <w:sz w:val="24"/>
        </w:rPr>
        <w:t>1.1 词语定义</w:t>
      </w:r>
    </w:p>
    <w:p>
      <w:pPr>
        <w:spacing w:line="360" w:lineRule="auto"/>
        <w:rPr>
          <w:sz w:val="24"/>
        </w:rPr>
      </w:pPr>
      <w:r>
        <w:rPr>
          <w:rFonts w:hint="eastAsia"/>
          <w:sz w:val="24"/>
        </w:rPr>
        <w:t>除专用合同条款另有约定外，合同中的下列词语应具有本款所赋予的含义。</w:t>
      </w:r>
    </w:p>
    <w:p>
      <w:pPr>
        <w:spacing w:line="360" w:lineRule="auto"/>
        <w:rPr>
          <w:sz w:val="24"/>
        </w:rPr>
      </w:pPr>
      <w:r>
        <w:rPr>
          <w:rFonts w:hint="eastAsia"/>
          <w:sz w:val="24"/>
        </w:rPr>
        <w:t>1.1.1 合同</w:t>
      </w:r>
    </w:p>
    <w:p>
      <w:pPr>
        <w:spacing w:line="360" w:lineRule="auto"/>
        <w:rPr>
          <w:sz w:val="24"/>
        </w:rPr>
      </w:pPr>
      <w:r>
        <w:rPr>
          <w:rFonts w:hint="eastAsia"/>
          <w:sz w:val="24"/>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spacing w:line="360" w:lineRule="auto"/>
        <w:rPr>
          <w:sz w:val="24"/>
        </w:rPr>
      </w:pPr>
      <w:r>
        <w:rPr>
          <w:rFonts w:hint="eastAsia"/>
          <w:sz w:val="24"/>
        </w:rPr>
        <w:t>1.1.1.2 合同协议书：指买方和卖方共同签署的合同协议书。</w:t>
      </w:r>
    </w:p>
    <w:p>
      <w:pPr>
        <w:spacing w:line="360" w:lineRule="auto"/>
        <w:rPr>
          <w:sz w:val="24"/>
        </w:rPr>
      </w:pPr>
      <w:r>
        <w:rPr>
          <w:rFonts w:hint="eastAsia"/>
          <w:sz w:val="24"/>
        </w:rPr>
        <w:t>1.1.1.3 中标通知书：指买方通知卖方中标的函件。</w:t>
      </w:r>
    </w:p>
    <w:p>
      <w:pPr>
        <w:spacing w:line="360" w:lineRule="auto"/>
        <w:rPr>
          <w:sz w:val="24"/>
        </w:rPr>
      </w:pPr>
      <w:r>
        <w:rPr>
          <w:rFonts w:hint="eastAsia"/>
          <w:sz w:val="24"/>
        </w:rPr>
        <w:t>1.1.1.4 投标函：指由卖方填写并签署的，名为“投标函”的函件。</w:t>
      </w:r>
    </w:p>
    <w:p>
      <w:pPr>
        <w:spacing w:line="360" w:lineRule="auto"/>
        <w:rPr>
          <w:sz w:val="24"/>
        </w:rPr>
      </w:pPr>
      <w:r>
        <w:rPr>
          <w:rFonts w:hint="eastAsia"/>
          <w:sz w:val="24"/>
        </w:rPr>
        <w:t>1.1.1.5 商务和技术偏差表：指卖方投标文件中的商务和技术偏差表。</w:t>
      </w:r>
    </w:p>
    <w:p>
      <w:pPr>
        <w:spacing w:line="360" w:lineRule="auto"/>
        <w:rPr>
          <w:sz w:val="24"/>
        </w:rPr>
      </w:pPr>
      <w:r>
        <w:rPr>
          <w:rFonts w:hint="eastAsia"/>
          <w:sz w:val="24"/>
        </w:rPr>
        <w:t>1.1.1.6 供货要求：指合同文件中名为“供货要求”的文件。</w:t>
      </w:r>
    </w:p>
    <w:p>
      <w:pPr>
        <w:spacing w:line="360" w:lineRule="auto"/>
        <w:rPr>
          <w:sz w:val="24"/>
        </w:rPr>
      </w:pPr>
      <w:r>
        <w:rPr>
          <w:rFonts w:hint="eastAsia"/>
          <w:sz w:val="24"/>
        </w:rPr>
        <w:t>1.1.1.7 中标设备技术性能指标的详细描述：指卖方投标文件中的投标设备技术性能指标的详细描述。</w:t>
      </w:r>
    </w:p>
    <w:p>
      <w:pPr>
        <w:spacing w:line="360" w:lineRule="auto"/>
        <w:rPr>
          <w:sz w:val="24"/>
        </w:rPr>
      </w:pPr>
      <w:r>
        <w:rPr>
          <w:rFonts w:hint="eastAsia"/>
          <w:sz w:val="24"/>
        </w:rPr>
        <w:t>1.1.1.8 技术服务和质保期服务计划：指卖方投标文件中的技术服务和质保期服务计划。</w:t>
      </w:r>
    </w:p>
    <w:p>
      <w:pPr>
        <w:spacing w:line="360" w:lineRule="auto"/>
        <w:rPr>
          <w:sz w:val="24"/>
        </w:rPr>
      </w:pPr>
      <w:r>
        <w:rPr>
          <w:rFonts w:hint="eastAsia"/>
          <w:sz w:val="24"/>
        </w:rPr>
        <w:t>1.1.1.9 分项报价表：指卖方投标文件中的分项报价表。</w:t>
      </w:r>
    </w:p>
    <w:p>
      <w:pPr>
        <w:spacing w:line="360" w:lineRule="auto"/>
        <w:rPr>
          <w:sz w:val="24"/>
        </w:rPr>
      </w:pPr>
      <w:r>
        <w:rPr>
          <w:rFonts w:hint="eastAsia"/>
          <w:sz w:val="24"/>
        </w:rPr>
        <w:t>1.1.1.10 其他合同文件：指经合同双方当事人确认构成合同文件的其他文件。</w:t>
      </w:r>
    </w:p>
    <w:p>
      <w:pPr>
        <w:spacing w:line="360" w:lineRule="auto"/>
        <w:rPr>
          <w:sz w:val="24"/>
        </w:rPr>
      </w:pPr>
      <w:r>
        <w:rPr>
          <w:rFonts w:hint="eastAsia"/>
          <w:sz w:val="24"/>
        </w:rPr>
        <w:t>1.1.2 合同当事人</w:t>
      </w:r>
    </w:p>
    <w:p>
      <w:pPr>
        <w:spacing w:line="360" w:lineRule="auto"/>
        <w:rPr>
          <w:sz w:val="24"/>
        </w:rPr>
      </w:pPr>
      <w:r>
        <w:rPr>
          <w:rFonts w:hint="eastAsia"/>
          <w:sz w:val="24"/>
        </w:rPr>
        <w:t>1.1.2.1 合同当事人：指买方和（或）卖方。</w:t>
      </w:r>
    </w:p>
    <w:p>
      <w:pPr>
        <w:spacing w:line="360" w:lineRule="auto"/>
        <w:rPr>
          <w:sz w:val="24"/>
        </w:rPr>
      </w:pPr>
      <w:r>
        <w:rPr>
          <w:rFonts w:hint="eastAsia"/>
          <w:sz w:val="24"/>
        </w:rPr>
        <w:t>1.1.2.2 买方：指与卖方签订合同协议书，购买合同设备和技术服务和质保期服务的当事人，及其合法继承人。</w:t>
      </w:r>
    </w:p>
    <w:p>
      <w:pPr>
        <w:spacing w:line="360" w:lineRule="auto"/>
        <w:rPr>
          <w:sz w:val="24"/>
        </w:rPr>
      </w:pPr>
      <w:r>
        <w:rPr>
          <w:rFonts w:hint="eastAsia"/>
          <w:sz w:val="24"/>
        </w:rPr>
        <w:t>1.1.2.3 卖方：指与买方签订合同协议书，提供合同设备和技术服务和质保期服务的当事人，及其合法继承人。</w:t>
      </w:r>
    </w:p>
    <w:p>
      <w:pPr>
        <w:spacing w:line="360" w:lineRule="auto"/>
        <w:rPr>
          <w:sz w:val="24"/>
        </w:rPr>
      </w:pPr>
      <w:r>
        <w:rPr>
          <w:rFonts w:hint="eastAsia"/>
          <w:sz w:val="24"/>
        </w:rPr>
        <w:t>1.1.3 合同价格</w:t>
      </w:r>
    </w:p>
    <w:p>
      <w:pPr>
        <w:spacing w:line="360" w:lineRule="auto"/>
        <w:rPr>
          <w:sz w:val="24"/>
        </w:rPr>
      </w:pPr>
      <w:r>
        <w:rPr>
          <w:rFonts w:hint="eastAsia"/>
          <w:sz w:val="24"/>
        </w:rPr>
        <w:t>1.1.3.1 签约合同价：是签订合同时合同协议书中写明的合同总金额。</w:t>
      </w:r>
    </w:p>
    <w:p>
      <w:pPr>
        <w:spacing w:line="360" w:lineRule="auto"/>
        <w:rPr>
          <w:sz w:val="24"/>
        </w:rPr>
      </w:pPr>
      <w:r>
        <w:rPr>
          <w:rFonts w:hint="eastAsia"/>
          <w:sz w:val="24"/>
        </w:rPr>
        <w:t>1.1.3.2 合同价格：指卖方按合同约定履行了全部合同义务后，买方应付给卖方的金额。</w:t>
      </w:r>
    </w:p>
    <w:p>
      <w:pPr>
        <w:spacing w:line="360" w:lineRule="auto"/>
        <w:rPr>
          <w:sz w:val="24"/>
        </w:rPr>
      </w:pPr>
      <w:r>
        <w:rPr>
          <w:rFonts w:hint="eastAsia"/>
          <w:sz w:val="24"/>
        </w:rPr>
        <w:t>1.1.4 合同设备：指卖方按合同约定应向买方提供的设备、装置、备品、备件、易损易耗件、配套使用的软件或其他辅助电子应用程序及技术资料，或其中任何一部分。</w:t>
      </w:r>
    </w:p>
    <w:p>
      <w:pPr>
        <w:spacing w:line="360" w:lineRule="auto"/>
        <w:rPr>
          <w:sz w:val="24"/>
        </w:rPr>
      </w:pPr>
      <w:r>
        <w:rPr>
          <w:rFonts w:hint="eastAsia"/>
          <w:sz w:val="24"/>
        </w:rPr>
        <w:t>1.1.5 技术资料：指各种纸质及电子载体的与合同设备的设计、检验、安装、调试、考核、操作、维修以及保养等有关的技术指标、规格、图纸和说明文件。</w:t>
      </w:r>
    </w:p>
    <w:p>
      <w:pPr>
        <w:spacing w:line="360" w:lineRule="auto"/>
        <w:rPr>
          <w:sz w:val="24"/>
        </w:rPr>
      </w:pPr>
      <w:r>
        <w:rPr>
          <w:rFonts w:hint="eastAsia"/>
          <w:sz w:val="24"/>
        </w:rPr>
        <w:t>1.1.6 安装：指对合同设备进行的组装、连接以及根据需要将合同设备固定在施工场地内一定的位置上，使其就位并与相关设备、工程实现连接。</w:t>
      </w:r>
    </w:p>
    <w:p>
      <w:pPr>
        <w:spacing w:line="360" w:lineRule="auto"/>
        <w:rPr>
          <w:sz w:val="24"/>
        </w:rPr>
      </w:pPr>
      <w:r>
        <w:rPr>
          <w:rFonts w:hint="eastAsia"/>
          <w:sz w:val="24"/>
        </w:rPr>
        <w:t>1.1.7 调试：指在合同设备安装完成后，对合同设备所进行的调校和测试。</w:t>
      </w:r>
    </w:p>
    <w:p>
      <w:pPr>
        <w:spacing w:line="360" w:lineRule="auto"/>
        <w:rPr>
          <w:sz w:val="24"/>
        </w:rPr>
      </w:pPr>
      <w:r>
        <w:rPr>
          <w:rFonts w:hint="eastAsia"/>
          <w:sz w:val="24"/>
        </w:rPr>
        <w:t>1.1.8 考核：指在合同设备调试完成后，对合同设备进行的用于确定其是否达到合同约定的技术性能考核指标的考核。</w:t>
      </w:r>
    </w:p>
    <w:p>
      <w:pPr>
        <w:spacing w:line="360" w:lineRule="auto"/>
        <w:rPr>
          <w:sz w:val="24"/>
        </w:rPr>
      </w:pPr>
      <w:r>
        <w:rPr>
          <w:rFonts w:hint="eastAsia"/>
          <w:sz w:val="24"/>
        </w:rPr>
        <w:t>1.1.9 验收：指合同设备通过考核达到合同约定的技术性能考核指标后，买方作出接受合同设备的确认。</w:t>
      </w:r>
    </w:p>
    <w:p>
      <w:pPr>
        <w:spacing w:line="360" w:lineRule="auto"/>
        <w:rPr>
          <w:sz w:val="24"/>
        </w:rPr>
      </w:pPr>
      <w:r>
        <w:rPr>
          <w:rFonts w:hint="eastAsia"/>
          <w:sz w:val="24"/>
        </w:rPr>
        <w:t>1.1.10 技术服务：指卖方按合同约定，在合同设备验收前，向买方提供的安装、调试服务，或者在由买方负责的安装、调试、考核中对买方进行的技术指导、协助、监督和培训等。</w:t>
      </w:r>
    </w:p>
    <w:p>
      <w:pPr>
        <w:spacing w:line="360" w:lineRule="auto"/>
        <w:rPr>
          <w:sz w:val="24"/>
        </w:rPr>
      </w:pPr>
      <w:r>
        <w:rPr>
          <w:rFonts w:hint="eastAsia"/>
          <w:sz w:val="24"/>
        </w:rPr>
        <w:t>1.1.11 质量保证期：指合同设备验收后，卖方按合同约定保证合同设备适当、稳定运行，并负责消除合同设备故障的期限。</w:t>
      </w:r>
    </w:p>
    <w:p>
      <w:pPr>
        <w:spacing w:line="360" w:lineRule="auto"/>
        <w:rPr>
          <w:sz w:val="24"/>
        </w:rPr>
      </w:pPr>
      <w:r>
        <w:rPr>
          <w:rFonts w:hint="eastAsia"/>
          <w:sz w:val="24"/>
        </w:rPr>
        <w:t>1.1.12 质保期服务：指在质量保证期内，卖方向买方提供的合同设备维护服务、咨询服务、技术指导、协助以及对出现故障的合同设备进行修理或更换的服务。</w:t>
      </w:r>
    </w:p>
    <w:p>
      <w:pPr>
        <w:spacing w:line="360" w:lineRule="auto"/>
        <w:rPr>
          <w:sz w:val="24"/>
        </w:rPr>
      </w:pPr>
      <w:r>
        <w:rPr>
          <w:rFonts w:hint="eastAsia"/>
          <w:sz w:val="24"/>
        </w:rPr>
        <w:t>1.1.13 工程</w:t>
      </w:r>
    </w:p>
    <w:p>
      <w:pPr>
        <w:spacing w:line="360" w:lineRule="auto"/>
        <w:rPr>
          <w:sz w:val="24"/>
        </w:rPr>
      </w:pPr>
      <w:r>
        <w:rPr>
          <w:rFonts w:hint="eastAsia"/>
          <w:sz w:val="24"/>
        </w:rPr>
        <w:t>1.1.13.1 工程：指在专用合同条款中指明的，安装运行合同设备的工程。</w:t>
      </w:r>
    </w:p>
    <w:p>
      <w:pPr>
        <w:spacing w:line="360" w:lineRule="auto"/>
        <w:rPr>
          <w:sz w:val="24"/>
        </w:rPr>
      </w:pPr>
      <w:r>
        <w:rPr>
          <w:rFonts w:hint="eastAsia"/>
          <w:sz w:val="24"/>
        </w:rPr>
        <w:t>1.1.13.2 施工场地（或称工地、施工现场）：指专用合同条款中指明的工程所在场所。</w:t>
      </w:r>
    </w:p>
    <w:p>
      <w:pPr>
        <w:spacing w:line="360" w:lineRule="auto"/>
        <w:rPr>
          <w:sz w:val="24"/>
        </w:rPr>
      </w:pPr>
      <w:r>
        <w:rPr>
          <w:rFonts w:hint="eastAsia"/>
          <w:sz w:val="24"/>
        </w:rPr>
        <w:t>1.1.14 天（或称日）：除特别指明外，指日历天。合同中按天计算时间的，开始当天不计入，从次日开始计算。合同约定的期间的最后一天是星期日或者其他法定休假日的，以休假日的次日为期间的最后一天。</w:t>
      </w:r>
    </w:p>
    <w:p>
      <w:pPr>
        <w:spacing w:line="360" w:lineRule="auto"/>
        <w:rPr>
          <w:sz w:val="24"/>
        </w:rPr>
      </w:pPr>
      <w:r>
        <w:rPr>
          <w:rFonts w:hint="eastAsia"/>
          <w:sz w:val="24"/>
        </w:rPr>
        <w:t>1.1.15 月：按照公历月计算。合同中按月计算时间的，开始当天不计入，从次日开始计算。</w:t>
      </w:r>
    </w:p>
    <w:p>
      <w:pPr>
        <w:spacing w:line="360" w:lineRule="auto"/>
        <w:rPr>
          <w:sz w:val="24"/>
        </w:rPr>
      </w:pPr>
      <w:r>
        <w:rPr>
          <w:rFonts w:hint="eastAsia"/>
          <w:sz w:val="24"/>
        </w:rPr>
        <w:t>合同约定的期间的最后一天是星期日或者其他法定休假日的，以休假日的次日为期间的最后一天。</w:t>
      </w:r>
    </w:p>
    <w:p>
      <w:pPr>
        <w:spacing w:line="360" w:lineRule="auto"/>
        <w:rPr>
          <w:sz w:val="24"/>
        </w:rPr>
      </w:pPr>
      <w:r>
        <w:rPr>
          <w:rFonts w:hint="eastAsia"/>
          <w:sz w:val="24"/>
        </w:rPr>
        <w:t>1.1.16 书面形式：指合同文件、信件和数据电文（包括电报、电传、传真、电子数据交换和电子邮件）等可以有形地表现所载内容的形式。</w:t>
      </w:r>
    </w:p>
    <w:p>
      <w:pPr>
        <w:spacing w:line="360" w:lineRule="auto"/>
        <w:rPr>
          <w:sz w:val="24"/>
        </w:rPr>
      </w:pPr>
      <w:r>
        <w:rPr>
          <w:rFonts w:hint="eastAsia"/>
          <w:sz w:val="24"/>
        </w:rPr>
        <w:t>1.2 语言文字</w:t>
      </w:r>
    </w:p>
    <w:p>
      <w:pPr>
        <w:spacing w:line="360" w:lineRule="auto"/>
        <w:rPr>
          <w:sz w:val="24"/>
        </w:rPr>
      </w:pPr>
      <w:r>
        <w:rPr>
          <w:rFonts w:hint="eastAsia"/>
          <w:sz w:val="24"/>
        </w:rPr>
        <w:t>合同使用的语言文字为中文。专用术语使用外文的，应附有中文注释。</w:t>
      </w:r>
    </w:p>
    <w:p>
      <w:pPr>
        <w:spacing w:line="360" w:lineRule="auto"/>
        <w:rPr>
          <w:sz w:val="24"/>
        </w:rPr>
      </w:pPr>
      <w:r>
        <w:rPr>
          <w:rFonts w:hint="eastAsia"/>
          <w:sz w:val="24"/>
        </w:rPr>
        <w:t>1.3 合同文件的优先顺序</w:t>
      </w:r>
    </w:p>
    <w:p>
      <w:pPr>
        <w:spacing w:line="360" w:lineRule="auto"/>
        <w:rPr>
          <w:sz w:val="24"/>
        </w:rPr>
      </w:pPr>
      <w:r>
        <w:rPr>
          <w:rFonts w:hint="eastAsia"/>
          <w:sz w:val="24"/>
        </w:rPr>
        <w:t>组成合同的各项文件应互相解释，互为说明。除专用合同条款另有约定外，解释合同文件的优先顺序如下：</w:t>
      </w:r>
    </w:p>
    <w:p>
      <w:pPr>
        <w:spacing w:line="360" w:lineRule="auto"/>
        <w:rPr>
          <w:sz w:val="24"/>
        </w:rPr>
      </w:pPr>
      <w:r>
        <w:rPr>
          <w:rFonts w:hint="eastAsia"/>
          <w:sz w:val="24"/>
        </w:rPr>
        <w:t>（1）合同协议书；</w:t>
      </w:r>
    </w:p>
    <w:p>
      <w:pPr>
        <w:spacing w:line="360" w:lineRule="auto"/>
        <w:rPr>
          <w:sz w:val="24"/>
        </w:rPr>
      </w:pPr>
      <w:r>
        <w:rPr>
          <w:rFonts w:hint="eastAsia"/>
          <w:sz w:val="24"/>
        </w:rPr>
        <w:t>（2）中标通知书；</w:t>
      </w:r>
    </w:p>
    <w:p>
      <w:pPr>
        <w:spacing w:line="360" w:lineRule="auto"/>
        <w:rPr>
          <w:sz w:val="24"/>
        </w:rPr>
      </w:pPr>
      <w:r>
        <w:rPr>
          <w:rFonts w:hint="eastAsia"/>
          <w:sz w:val="24"/>
        </w:rPr>
        <w:t>（3）投标函；</w:t>
      </w:r>
    </w:p>
    <w:p>
      <w:pPr>
        <w:spacing w:line="360" w:lineRule="auto"/>
        <w:rPr>
          <w:sz w:val="24"/>
        </w:rPr>
      </w:pPr>
      <w:r>
        <w:rPr>
          <w:rFonts w:hint="eastAsia"/>
          <w:sz w:val="24"/>
        </w:rPr>
        <w:t>（4）商务和技术偏差表；</w:t>
      </w:r>
    </w:p>
    <w:p>
      <w:pPr>
        <w:spacing w:line="360" w:lineRule="auto"/>
        <w:rPr>
          <w:sz w:val="24"/>
        </w:rPr>
      </w:pPr>
      <w:r>
        <w:rPr>
          <w:rFonts w:hint="eastAsia"/>
          <w:sz w:val="24"/>
        </w:rPr>
        <w:t>（5）专用合同条款；</w:t>
      </w:r>
    </w:p>
    <w:p>
      <w:pPr>
        <w:spacing w:line="360" w:lineRule="auto"/>
        <w:rPr>
          <w:sz w:val="24"/>
        </w:rPr>
      </w:pPr>
      <w:r>
        <w:rPr>
          <w:rFonts w:hint="eastAsia"/>
          <w:sz w:val="24"/>
        </w:rPr>
        <w:t>（6）通用合同条款；</w:t>
      </w:r>
    </w:p>
    <w:p>
      <w:pPr>
        <w:spacing w:line="360" w:lineRule="auto"/>
        <w:rPr>
          <w:sz w:val="24"/>
        </w:rPr>
      </w:pPr>
      <w:r>
        <w:rPr>
          <w:rFonts w:hint="eastAsia"/>
          <w:sz w:val="24"/>
        </w:rPr>
        <w:t>（7）供货要求；</w:t>
      </w:r>
    </w:p>
    <w:p>
      <w:pPr>
        <w:spacing w:line="360" w:lineRule="auto"/>
        <w:rPr>
          <w:sz w:val="24"/>
        </w:rPr>
      </w:pPr>
      <w:r>
        <w:rPr>
          <w:rFonts w:hint="eastAsia"/>
          <w:sz w:val="24"/>
        </w:rPr>
        <w:t>（8）分项报价表；</w:t>
      </w:r>
    </w:p>
    <w:p>
      <w:pPr>
        <w:spacing w:line="360" w:lineRule="auto"/>
        <w:rPr>
          <w:sz w:val="24"/>
        </w:rPr>
      </w:pPr>
      <w:r>
        <w:rPr>
          <w:rFonts w:hint="eastAsia"/>
          <w:sz w:val="24"/>
        </w:rPr>
        <w:t>（9）中标设备技术性能指标的详细描述；</w:t>
      </w:r>
    </w:p>
    <w:p>
      <w:pPr>
        <w:spacing w:line="360" w:lineRule="auto"/>
        <w:rPr>
          <w:sz w:val="24"/>
        </w:rPr>
      </w:pPr>
      <w:r>
        <w:rPr>
          <w:rFonts w:hint="eastAsia"/>
          <w:sz w:val="24"/>
        </w:rPr>
        <w:t>（10）技术服务和质保期服务计划；</w:t>
      </w:r>
    </w:p>
    <w:p>
      <w:pPr>
        <w:spacing w:line="360" w:lineRule="auto"/>
        <w:rPr>
          <w:sz w:val="24"/>
        </w:rPr>
      </w:pPr>
      <w:r>
        <w:rPr>
          <w:rFonts w:hint="eastAsia"/>
          <w:sz w:val="24"/>
        </w:rPr>
        <w:t>（11）其他合同文件。</w:t>
      </w:r>
    </w:p>
    <w:p>
      <w:pPr>
        <w:spacing w:line="360" w:lineRule="auto"/>
        <w:rPr>
          <w:sz w:val="24"/>
        </w:rPr>
      </w:pPr>
      <w:r>
        <w:rPr>
          <w:rFonts w:hint="eastAsia"/>
          <w:sz w:val="24"/>
        </w:rPr>
        <w:t>1.4 合同的生效及变更</w:t>
      </w:r>
    </w:p>
    <w:p>
      <w:pPr>
        <w:spacing w:line="360" w:lineRule="auto"/>
        <w:rPr>
          <w:sz w:val="24"/>
        </w:rPr>
      </w:pPr>
      <w:r>
        <w:rPr>
          <w:rFonts w:hint="eastAsia"/>
          <w:sz w:val="24"/>
        </w:rPr>
        <w:t>1.4.1 除专用合同条款另有约定外，买方和卖方的法定代表人（单位负责人）或其授权代表在合同协议书上签字并加盖单位章后，合同生效。</w:t>
      </w:r>
    </w:p>
    <w:p>
      <w:pPr>
        <w:spacing w:line="360" w:lineRule="auto"/>
        <w:rPr>
          <w:sz w:val="24"/>
        </w:rPr>
      </w:pPr>
      <w:r>
        <w:rPr>
          <w:rFonts w:hint="eastAsia"/>
          <w:sz w:val="24"/>
        </w:rPr>
        <w:t>1.4.2 除专用合同条款另有约定外，在合同履行过程中，如需对合同进行变更，双方应签订书面协议，并经双方法定代表人（单位负责人）或其授权代表签字并加盖单位章后生效。</w:t>
      </w:r>
    </w:p>
    <w:p>
      <w:pPr>
        <w:spacing w:line="360" w:lineRule="auto"/>
        <w:rPr>
          <w:sz w:val="24"/>
        </w:rPr>
      </w:pPr>
      <w:r>
        <w:rPr>
          <w:rFonts w:hint="eastAsia"/>
          <w:sz w:val="24"/>
        </w:rPr>
        <w:t>1.5 联络</w:t>
      </w:r>
    </w:p>
    <w:p>
      <w:pPr>
        <w:spacing w:line="360" w:lineRule="auto"/>
        <w:rPr>
          <w:sz w:val="24"/>
        </w:rPr>
      </w:pPr>
      <w:r>
        <w:rPr>
          <w:rFonts w:hint="eastAsia"/>
          <w:sz w:val="24"/>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spacing w:line="360" w:lineRule="auto"/>
        <w:rPr>
          <w:sz w:val="24"/>
        </w:rPr>
      </w:pPr>
      <w:r>
        <w:rPr>
          <w:rFonts w:hint="eastAsia"/>
          <w:sz w:val="24"/>
        </w:rPr>
        <w:t>1.5.2 合同履行中或与合同有关的任何联络，送达到第 1.5.1 项指定的联系人即视为送达。</w:t>
      </w:r>
    </w:p>
    <w:p>
      <w:pPr>
        <w:spacing w:line="360" w:lineRule="auto"/>
        <w:rPr>
          <w:sz w:val="24"/>
        </w:rPr>
      </w:pPr>
      <w:r>
        <w:rPr>
          <w:rFonts w:hint="eastAsia"/>
          <w:sz w:val="24"/>
        </w:rPr>
        <w:t>1.5.3 买方可以安排监理等相关人员作为买方人员，与卖方进行联络或参加合同设备的监造（如有）、交货前检验（如有）、开箱检验、安装、调试、考核、验收等，但应按照第 1.5.1 项的约定事先书面通知卖方。</w:t>
      </w:r>
    </w:p>
    <w:p>
      <w:pPr>
        <w:spacing w:line="360" w:lineRule="auto"/>
        <w:rPr>
          <w:sz w:val="24"/>
        </w:rPr>
      </w:pPr>
      <w:r>
        <w:rPr>
          <w:rFonts w:hint="eastAsia"/>
          <w:sz w:val="24"/>
        </w:rPr>
        <w:t>1.6 联合体</w:t>
      </w:r>
    </w:p>
    <w:p>
      <w:pPr>
        <w:spacing w:line="360" w:lineRule="auto"/>
        <w:rPr>
          <w:sz w:val="24"/>
        </w:rPr>
      </w:pPr>
      <w:r>
        <w:rPr>
          <w:rFonts w:hint="eastAsia"/>
          <w:sz w:val="24"/>
        </w:rPr>
        <w:t>1.6.1 卖方为联合体的，联合体各方应当共同与买方签订合同，并向买方为履行合同承担连带责任。</w:t>
      </w:r>
    </w:p>
    <w:p>
      <w:pPr>
        <w:spacing w:line="360" w:lineRule="auto"/>
        <w:rPr>
          <w:sz w:val="24"/>
        </w:rPr>
      </w:pPr>
      <w:r>
        <w:rPr>
          <w:rFonts w:hint="eastAsia"/>
          <w:sz w:val="24"/>
        </w:rPr>
        <w:t>1.6.2 在合同履行过程中，未经买方同意，不得修改联合体协议。联合体协议中关于联合体成员间权利义务的划分，并不影响或减损联合体各方应就履行合同向买方承担的连带责任。</w:t>
      </w:r>
    </w:p>
    <w:p>
      <w:pPr>
        <w:spacing w:line="360" w:lineRule="auto"/>
        <w:rPr>
          <w:sz w:val="24"/>
        </w:rPr>
      </w:pPr>
      <w:r>
        <w:rPr>
          <w:rFonts w:hint="eastAsia"/>
          <w:sz w:val="24"/>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spacing w:line="360" w:lineRule="auto"/>
        <w:rPr>
          <w:sz w:val="24"/>
        </w:rPr>
      </w:pPr>
      <w:r>
        <w:rPr>
          <w:rFonts w:hint="eastAsia"/>
          <w:sz w:val="24"/>
        </w:rPr>
        <w:t>1.7 转让</w:t>
      </w:r>
    </w:p>
    <w:p>
      <w:pPr>
        <w:spacing w:line="360" w:lineRule="auto"/>
        <w:rPr>
          <w:sz w:val="24"/>
        </w:rPr>
      </w:pPr>
      <w:r>
        <w:rPr>
          <w:rFonts w:hint="eastAsia"/>
          <w:sz w:val="24"/>
        </w:rPr>
        <w:t>未经对方当事人书面同意，合同任何一方均不得转让其在合同项下的权利和（或）义务。</w:t>
      </w:r>
    </w:p>
    <w:p>
      <w:pPr>
        <w:spacing w:line="360" w:lineRule="auto"/>
        <w:rPr>
          <w:sz w:val="24"/>
        </w:rPr>
      </w:pPr>
      <w:r>
        <w:rPr>
          <w:rFonts w:hint="eastAsia"/>
          <w:sz w:val="24"/>
        </w:rPr>
        <w:t>2. 合同范围</w:t>
      </w:r>
    </w:p>
    <w:p>
      <w:pPr>
        <w:spacing w:line="360" w:lineRule="auto"/>
        <w:rPr>
          <w:sz w:val="24"/>
        </w:rPr>
      </w:pPr>
      <w:r>
        <w:rPr>
          <w:rFonts w:hint="eastAsia"/>
          <w:sz w:val="24"/>
        </w:rPr>
        <w:t>卖方应根据供货要求、中标设备技术性能指标的详细描述、技术服务和质保期服务计划等合同文件的约定向买方提供合同设备、技术服务和质保期服务。</w:t>
      </w:r>
    </w:p>
    <w:p>
      <w:pPr>
        <w:spacing w:line="360" w:lineRule="auto"/>
        <w:rPr>
          <w:sz w:val="24"/>
        </w:rPr>
      </w:pPr>
      <w:r>
        <w:rPr>
          <w:rFonts w:hint="eastAsia"/>
          <w:sz w:val="24"/>
        </w:rPr>
        <w:t>3. 合同价格与支付</w:t>
      </w:r>
    </w:p>
    <w:p>
      <w:pPr>
        <w:spacing w:line="360" w:lineRule="auto"/>
        <w:rPr>
          <w:sz w:val="24"/>
        </w:rPr>
      </w:pPr>
      <w:r>
        <w:rPr>
          <w:rFonts w:hint="eastAsia"/>
          <w:sz w:val="24"/>
        </w:rPr>
        <w:t>3.1 合同价格</w:t>
      </w:r>
    </w:p>
    <w:p>
      <w:pPr>
        <w:spacing w:line="360" w:lineRule="auto"/>
        <w:rPr>
          <w:sz w:val="24"/>
        </w:rPr>
      </w:pPr>
      <w:r>
        <w:rPr>
          <w:rFonts w:hint="eastAsia"/>
          <w:sz w:val="24"/>
        </w:rPr>
        <w:t>3.1.1 合同协议书中载明的签约合同价包括卖方为完成合同全部义务应承担的一切成本、费用和支出以及卖方的合理利润。</w:t>
      </w:r>
    </w:p>
    <w:p>
      <w:pPr>
        <w:spacing w:line="360" w:lineRule="auto"/>
        <w:rPr>
          <w:sz w:val="24"/>
        </w:rPr>
      </w:pPr>
      <w:r>
        <w:rPr>
          <w:rFonts w:hint="eastAsia"/>
          <w:sz w:val="24"/>
        </w:rPr>
        <w:t>3.1.2 除专用合同条款另有约定外，签约合同价为固定价格。</w:t>
      </w:r>
    </w:p>
    <w:p>
      <w:pPr>
        <w:spacing w:line="360" w:lineRule="auto"/>
        <w:rPr>
          <w:sz w:val="24"/>
          <w:highlight w:val="red"/>
        </w:rPr>
      </w:pPr>
      <w:r>
        <w:rPr>
          <w:rFonts w:hint="eastAsia"/>
          <w:sz w:val="24"/>
        </w:rPr>
        <w:t>3.2 合同价款的支付除专用合同条款另有约定外，买方应通过以下方式和比例向卖方支付合同价款：</w:t>
      </w:r>
      <w:r>
        <w:rPr>
          <w:rFonts w:hint="eastAsia"/>
          <w:sz w:val="24"/>
          <w:highlight w:val="none"/>
          <w:lang w:val="en-US" w:eastAsia="zh-CN"/>
        </w:rPr>
        <w:t>（1）合同签订后，将产品运输至指定交货地点后，付合同总额的30%；（2）完成设备安装、调试、培训，试运行，并进行初验，初验合格后付合同总额的50%，进入质保期24个月；（3）验收合格满一年无质量问题，进行二次验收，验收合格后付合同总额的10%；（4）首次验收合格满两年无质量问题，进行最终验收，验收合格后付合同总额的10%。</w:t>
      </w:r>
    </w:p>
    <w:p>
      <w:pPr>
        <w:spacing w:line="360" w:lineRule="auto"/>
        <w:rPr>
          <w:sz w:val="24"/>
          <w:highlight w:val="yellow"/>
        </w:rPr>
      </w:pPr>
    </w:p>
    <w:p>
      <w:pPr>
        <w:spacing w:line="360" w:lineRule="auto"/>
        <w:rPr>
          <w:sz w:val="24"/>
        </w:rPr>
      </w:pPr>
      <w:r>
        <w:rPr>
          <w:rFonts w:hint="eastAsia"/>
          <w:sz w:val="24"/>
        </w:rPr>
        <w:t>3.3 买方扣款的权利</w:t>
      </w:r>
    </w:p>
    <w:p>
      <w:pPr>
        <w:spacing w:line="360" w:lineRule="auto"/>
        <w:rPr>
          <w:sz w:val="24"/>
        </w:rPr>
      </w:pPr>
      <w:r>
        <w:rPr>
          <w:rFonts w:hint="eastAsia"/>
          <w:sz w:val="24"/>
        </w:rPr>
        <w:t>当卖方应向买方支付合同项下的违约金或赔偿金时，买方有权从上述任何一笔应付款中予以直接扣除和（或）兑付履约保证金。</w:t>
      </w:r>
    </w:p>
    <w:p>
      <w:pPr>
        <w:tabs>
          <w:tab w:val="center" w:pos="4819"/>
        </w:tabs>
        <w:spacing w:line="360" w:lineRule="auto"/>
        <w:rPr>
          <w:sz w:val="24"/>
        </w:rPr>
      </w:pPr>
      <w:r>
        <w:rPr>
          <w:rFonts w:hint="eastAsia"/>
          <w:sz w:val="24"/>
        </w:rPr>
        <w:t>4. 监造及交货前检验</w:t>
      </w:r>
      <w:r>
        <w:rPr>
          <w:rFonts w:hint="eastAsia"/>
          <w:sz w:val="24"/>
        </w:rPr>
        <w:tab/>
      </w:r>
    </w:p>
    <w:p>
      <w:pPr>
        <w:spacing w:line="360" w:lineRule="auto"/>
        <w:rPr>
          <w:sz w:val="24"/>
        </w:rPr>
      </w:pPr>
      <w:r>
        <w:rPr>
          <w:rFonts w:hint="eastAsia"/>
          <w:sz w:val="24"/>
        </w:rPr>
        <w:t>4.1 监造</w:t>
      </w:r>
    </w:p>
    <w:p>
      <w:pPr>
        <w:spacing w:line="360" w:lineRule="auto"/>
        <w:rPr>
          <w:sz w:val="24"/>
        </w:rPr>
      </w:pPr>
      <w:r>
        <w:rPr>
          <w:rFonts w:hint="eastAsia"/>
          <w:sz w:val="24"/>
        </w:rPr>
        <w:t>专用合同条款约定买方对合同设备进行监造的，双方应按本款及专用合同条款约定履行。</w:t>
      </w:r>
    </w:p>
    <w:p>
      <w:pPr>
        <w:spacing w:line="360" w:lineRule="auto"/>
        <w:rPr>
          <w:sz w:val="24"/>
        </w:rPr>
      </w:pPr>
      <w:r>
        <w:rPr>
          <w:rFonts w:hint="eastAsia"/>
          <w:sz w:val="24"/>
        </w:rPr>
        <w:t>4.1.1 在合同设备的制造过程中，买方可派出监造人员，对合同设备的生产制造进行监造，监督合同设备制造、检验等情况。监造的范围、方式等应符合专用合同条款和（或）供货要求等合同文件的约定。</w:t>
      </w:r>
    </w:p>
    <w:p>
      <w:pPr>
        <w:spacing w:line="360" w:lineRule="auto"/>
        <w:rPr>
          <w:sz w:val="24"/>
        </w:rPr>
      </w:pPr>
      <w:r>
        <w:rPr>
          <w:rFonts w:hint="eastAsia"/>
          <w:sz w:val="24"/>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spacing w:line="360" w:lineRule="auto"/>
        <w:rPr>
          <w:sz w:val="24"/>
        </w:rPr>
      </w:pPr>
      <w:r>
        <w:rPr>
          <w:rFonts w:hint="eastAsia"/>
          <w:sz w:val="24"/>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pPr>
        <w:spacing w:line="360" w:lineRule="auto"/>
        <w:rPr>
          <w:sz w:val="24"/>
        </w:rPr>
      </w:pPr>
      <w:r>
        <w:rPr>
          <w:rFonts w:hint="eastAsia"/>
          <w:sz w:val="24"/>
        </w:rPr>
        <w:t>4.1.4 买方监造人员在监造中如发现合同设备及其关键部件不符合合同约定的标准，则有权提出意见和建议。卖方应采取必要措施消除合同设备的不符，由此增加的费用和（或）造成的延误由卖方负责。</w:t>
      </w:r>
    </w:p>
    <w:p>
      <w:pPr>
        <w:spacing w:line="360" w:lineRule="auto"/>
        <w:rPr>
          <w:sz w:val="24"/>
        </w:rPr>
      </w:pPr>
      <w:r>
        <w:rPr>
          <w:rFonts w:hint="eastAsia"/>
          <w:sz w:val="24"/>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sz w:val="24"/>
        </w:rPr>
      </w:pPr>
      <w:r>
        <w:rPr>
          <w:rFonts w:hint="eastAsia"/>
          <w:sz w:val="24"/>
        </w:rPr>
        <w:t>4.2 交货前检验</w:t>
      </w:r>
    </w:p>
    <w:p>
      <w:pPr>
        <w:spacing w:line="360" w:lineRule="auto"/>
        <w:rPr>
          <w:sz w:val="24"/>
        </w:rPr>
      </w:pPr>
      <w:r>
        <w:rPr>
          <w:rFonts w:hint="eastAsia"/>
          <w:sz w:val="24"/>
        </w:rPr>
        <w:t>专用合同条款约定买方参与交货前检验的，双方应按本款及专用合同条款约定履行。</w:t>
      </w:r>
    </w:p>
    <w:p>
      <w:pPr>
        <w:spacing w:line="360" w:lineRule="auto"/>
        <w:rPr>
          <w:sz w:val="24"/>
        </w:rPr>
      </w:pPr>
      <w:r>
        <w:rPr>
          <w:rFonts w:hint="eastAsia"/>
          <w:sz w:val="24"/>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w:t>
      </w:r>
    </w:p>
    <w:p>
      <w:pPr>
        <w:spacing w:line="360" w:lineRule="auto"/>
        <w:rPr>
          <w:sz w:val="24"/>
        </w:rPr>
      </w:pPr>
      <w:r>
        <w:rPr>
          <w:rFonts w:hint="eastAsia"/>
          <w:sz w:val="24"/>
        </w:rPr>
        <w:t>买方代表的交通、食宿费用由买方承担。</w:t>
      </w:r>
    </w:p>
    <w:p>
      <w:pPr>
        <w:spacing w:line="360" w:lineRule="auto"/>
        <w:rPr>
          <w:sz w:val="24"/>
        </w:rPr>
      </w:pPr>
      <w:r>
        <w:rPr>
          <w:rFonts w:hint="eastAsia"/>
          <w:sz w:val="24"/>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spacing w:line="360" w:lineRule="auto"/>
        <w:rPr>
          <w:sz w:val="24"/>
        </w:rPr>
      </w:pPr>
      <w:r>
        <w:rPr>
          <w:rFonts w:hint="eastAsia"/>
          <w:sz w:val="24"/>
        </w:rPr>
        <w:t>4.2.3 买方代表在检验中如发现合同设备不符合合同约定的标准，则有权提出异议。卖方应采取必要措施消除合同设备的不符，由此增加的费用和（或）造成的延误由卖方负责。</w:t>
      </w:r>
    </w:p>
    <w:p>
      <w:pPr>
        <w:spacing w:line="360" w:lineRule="auto"/>
        <w:rPr>
          <w:sz w:val="24"/>
        </w:rPr>
      </w:pPr>
      <w:r>
        <w:rPr>
          <w:rFonts w:hint="eastAsia"/>
          <w:sz w:val="24"/>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sz w:val="24"/>
        </w:rPr>
      </w:pPr>
      <w:r>
        <w:rPr>
          <w:rFonts w:hint="eastAsia"/>
          <w:sz w:val="24"/>
        </w:rPr>
        <w:t>5.包装、标记、运输和交付</w:t>
      </w:r>
    </w:p>
    <w:p>
      <w:pPr>
        <w:spacing w:line="360" w:lineRule="auto"/>
        <w:rPr>
          <w:sz w:val="24"/>
        </w:rPr>
      </w:pPr>
      <w:r>
        <w:rPr>
          <w:rFonts w:hint="eastAsia"/>
          <w:sz w:val="24"/>
        </w:rPr>
        <w:t>5.1 包装</w:t>
      </w:r>
    </w:p>
    <w:p>
      <w:pPr>
        <w:spacing w:line="360" w:lineRule="auto"/>
        <w:rPr>
          <w:sz w:val="24"/>
        </w:rPr>
      </w:pPr>
      <w:r>
        <w:rPr>
          <w:rFonts w:hint="eastAsia"/>
          <w:sz w:val="24"/>
        </w:rPr>
        <w:t>5.1.1 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spacing w:line="360" w:lineRule="auto"/>
        <w:rPr>
          <w:sz w:val="24"/>
        </w:rPr>
      </w:pPr>
      <w:r>
        <w:rPr>
          <w:rFonts w:hint="eastAsia"/>
          <w:sz w:val="24"/>
        </w:rPr>
        <w:t>5.1.2 每个独立包装箱内应附装箱清单、质量合格证、装配图、说明书、操作指南等资料。</w:t>
      </w:r>
    </w:p>
    <w:p>
      <w:pPr>
        <w:spacing w:line="360" w:lineRule="auto"/>
        <w:rPr>
          <w:sz w:val="24"/>
        </w:rPr>
      </w:pPr>
      <w:r>
        <w:rPr>
          <w:rFonts w:hint="eastAsia"/>
          <w:sz w:val="24"/>
        </w:rPr>
        <w:t>5.1.3 除专用合同条款另有约定外，买方无需将包装物退还给卖方。</w:t>
      </w:r>
    </w:p>
    <w:p>
      <w:pPr>
        <w:spacing w:line="360" w:lineRule="auto"/>
        <w:rPr>
          <w:sz w:val="24"/>
        </w:rPr>
      </w:pPr>
      <w:r>
        <w:rPr>
          <w:rFonts w:hint="eastAsia"/>
          <w:sz w:val="24"/>
        </w:rPr>
        <w:t>5.2 标记</w:t>
      </w:r>
    </w:p>
    <w:p>
      <w:pPr>
        <w:spacing w:line="360" w:lineRule="auto"/>
        <w:rPr>
          <w:sz w:val="24"/>
        </w:rPr>
      </w:pPr>
      <w:r>
        <w:rPr>
          <w:rFonts w:hint="eastAsia"/>
          <w:sz w:val="24"/>
        </w:rPr>
        <w:t>5.2.1 除专用合同条款另有约定外，卖方应在每一包装箱相邻的四个侧面以不可擦除的、明显的方式标记必要的装运信息和标记，以满足合同设备运输和保管的需要。</w:t>
      </w:r>
    </w:p>
    <w:p>
      <w:pPr>
        <w:spacing w:line="360" w:lineRule="auto"/>
        <w:rPr>
          <w:sz w:val="24"/>
        </w:rPr>
      </w:pPr>
      <w:r>
        <w:rPr>
          <w:rFonts w:hint="eastAsia"/>
          <w:sz w:val="24"/>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spacing w:line="360" w:lineRule="auto"/>
        <w:rPr>
          <w:sz w:val="24"/>
        </w:rPr>
      </w:pPr>
      <w:r>
        <w:rPr>
          <w:rFonts w:hint="eastAsia"/>
          <w:sz w:val="24"/>
        </w:rPr>
        <w:t>5.3 运输</w:t>
      </w:r>
    </w:p>
    <w:p>
      <w:pPr>
        <w:spacing w:line="360" w:lineRule="auto"/>
        <w:rPr>
          <w:sz w:val="24"/>
        </w:rPr>
      </w:pPr>
      <w:r>
        <w:rPr>
          <w:rFonts w:hint="eastAsia"/>
          <w:sz w:val="24"/>
        </w:rPr>
        <w:t>5.3.1 卖方应自行选择适宜的运输工具及线路安排合同设备运输。</w:t>
      </w:r>
    </w:p>
    <w:p>
      <w:pPr>
        <w:spacing w:line="360" w:lineRule="auto"/>
        <w:rPr>
          <w:sz w:val="24"/>
        </w:rPr>
      </w:pPr>
      <w:r>
        <w:rPr>
          <w:rFonts w:hint="eastAsia"/>
          <w:sz w:val="24"/>
        </w:rPr>
        <w:t>5.3.2 除专用合同条款另有约定外，每件能够独立运行的设备应整套装运。该设备安装、调试、考核和运行所使用的备品、备件、易损易耗件等应随相关的主机一齐装运。</w:t>
      </w:r>
    </w:p>
    <w:p>
      <w:pPr>
        <w:spacing w:line="360" w:lineRule="auto"/>
        <w:rPr>
          <w:sz w:val="24"/>
        </w:rPr>
      </w:pPr>
      <w:r>
        <w:rPr>
          <w:rFonts w:hint="eastAsia"/>
          <w:sz w:val="24"/>
        </w:rPr>
        <w:t>5.3.3 除专用合同条款另有约定外，卖方应在合同设备预计启运 7 日前，将合同设备名称、数量、箱数、总毛重、总体积（用 m3 表示）、每箱尺寸（长×宽×高）、装运合同设备总金额、运输方式、预计交付日期和合同设备在运输、装卸、保管中的注意事项等预通知买方，并在合同设备启运后 24 小时之内正式通知买方。</w:t>
      </w:r>
    </w:p>
    <w:p>
      <w:pPr>
        <w:spacing w:line="360" w:lineRule="auto"/>
        <w:rPr>
          <w:sz w:val="24"/>
        </w:rPr>
      </w:pPr>
      <w:r>
        <w:rPr>
          <w:rFonts w:hint="eastAsia"/>
          <w:sz w:val="24"/>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spacing w:line="360" w:lineRule="auto"/>
        <w:rPr>
          <w:sz w:val="24"/>
        </w:rPr>
      </w:pPr>
      <w:r>
        <w:rPr>
          <w:rFonts w:hint="eastAsia"/>
          <w:sz w:val="24"/>
        </w:rPr>
        <w:t>5.4 交付</w:t>
      </w:r>
    </w:p>
    <w:p>
      <w:pPr>
        <w:spacing w:line="360" w:lineRule="auto"/>
        <w:rPr>
          <w:sz w:val="24"/>
        </w:rPr>
      </w:pPr>
      <w:r>
        <w:rPr>
          <w:rFonts w:hint="eastAsia"/>
          <w:sz w:val="24"/>
        </w:rPr>
        <w:t>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spacing w:line="360" w:lineRule="auto"/>
        <w:rPr>
          <w:sz w:val="24"/>
        </w:rPr>
      </w:pPr>
      <w:r>
        <w:rPr>
          <w:rFonts w:hint="eastAsia"/>
          <w:sz w:val="24"/>
        </w:rPr>
        <w:t>5.4.2 合同设备的所有权和风险自交付时起由卖方转移至买方，合同设备交付给买方之前包括运输在内的所有风险均由卖方承担。</w:t>
      </w:r>
    </w:p>
    <w:p>
      <w:pPr>
        <w:spacing w:line="360" w:lineRule="auto"/>
        <w:rPr>
          <w:sz w:val="24"/>
        </w:rPr>
      </w:pPr>
      <w:r>
        <w:rPr>
          <w:rFonts w:hint="eastAsia"/>
          <w:sz w:val="24"/>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p>
    <w:p>
      <w:pPr>
        <w:spacing w:line="360" w:lineRule="auto"/>
        <w:rPr>
          <w:sz w:val="24"/>
        </w:rPr>
      </w:pPr>
      <w:r>
        <w:rPr>
          <w:rFonts w:hint="eastAsia"/>
          <w:sz w:val="24"/>
        </w:rPr>
        <w:t>6. 开箱检验、安装、调试、考核、验收</w:t>
      </w:r>
    </w:p>
    <w:p>
      <w:pPr>
        <w:spacing w:line="360" w:lineRule="auto"/>
        <w:rPr>
          <w:sz w:val="24"/>
        </w:rPr>
      </w:pPr>
      <w:r>
        <w:rPr>
          <w:rFonts w:hint="eastAsia"/>
          <w:sz w:val="24"/>
        </w:rPr>
        <w:t>6.1 开箱检验</w:t>
      </w:r>
    </w:p>
    <w:p>
      <w:pPr>
        <w:spacing w:line="360" w:lineRule="auto"/>
        <w:rPr>
          <w:sz w:val="24"/>
        </w:rPr>
      </w:pPr>
      <w:r>
        <w:rPr>
          <w:rFonts w:hint="eastAsia"/>
          <w:sz w:val="24"/>
        </w:rPr>
        <w:t>6.1.1 合同设备交付后应进行开箱检验，即合同设备数量及外观检验。开箱检验在专用合同条款约定的下列任一种时间进行：</w:t>
      </w:r>
    </w:p>
    <w:p>
      <w:pPr>
        <w:spacing w:line="360" w:lineRule="auto"/>
        <w:rPr>
          <w:sz w:val="24"/>
        </w:rPr>
      </w:pPr>
      <w:r>
        <w:rPr>
          <w:rFonts w:hint="eastAsia"/>
          <w:sz w:val="24"/>
        </w:rPr>
        <w:t>（1）合同设备交付时；</w:t>
      </w:r>
    </w:p>
    <w:p>
      <w:pPr>
        <w:spacing w:line="360" w:lineRule="auto"/>
        <w:rPr>
          <w:sz w:val="24"/>
        </w:rPr>
      </w:pPr>
      <w:r>
        <w:rPr>
          <w:rFonts w:hint="eastAsia"/>
          <w:sz w:val="24"/>
        </w:rPr>
        <w:t>（2）合同设备交付后的一定期限内。</w:t>
      </w:r>
    </w:p>
    <w:p>
      <w:pPr>
        <w:spacing w:line="360" w:lineRule="auto"/>
        <w:rPr>
          <w:sz w:val="24"/>
        </w:rPr>
      </w:pPr>
      <w:r>
        <w:rPr>
          <w:rFonts w:hint="eastAsia"/>
          <w:sz w:val="24"/>
        </w:rPr>
        <w:t>如开箱检验不在合同设备交付时进行，买方应在开箱检验 3 日前将开箱检验的时间和地点通知卖方。</w:t>
      </w:r>
    </w:p>
    <w:p>
      <w:pPr>
        <w:spacing w:line="360" w:lineRule="auto"/>
        <w:rPr>
          <w:sz w:val="24"/>
        </w:rPr>
      </w:pPr>
      <w:r>
        <w:rPr>
          <w:rFonts w:hint="eastAsia"/>
          <w:sz w:val="24"/>
        </w:rPr>
        <w:t>6.1.2 除专用合同条款另有约定外，合同设备的开箱检验应在施工场地进行。</w:t>
      </w:r>
    </w:p>
    <w:p>
      <w:pPr>
        <w:spacing w:line="360" w:lineRule="auto"/>
        <w:rPr>
          <w:sz w:val="24"/>
        </w:rPr>
      </w:pPr>
      <w:r>
        <w:rPr>
          <w:rFonts w:hint="eastAsia"/>
          <w:sz w:val="24"/>
        </w:rPr>
        <w:t>6.1.3 开箱检验由买卖双方共同进行，卖方应自负费用派遣代表到场参加开箱检验。</w:t>
      </w:r>
    </w:p>
    <w:p>
      <w:pPr>
        <w:spacing w:line="360" w:lineRule="auto"/>
        <w:rPr>
          <w:sz w:val="24"/>
        </w:rPr>
      </w:pPr>
      <w:r>
        <w:rPr>
          <w:rFonts w:hint="eastAsia"/>
          <w:sz w:val="24"/>
        </w:rPr>
        <w:t>6.1.4 在开箱检验中，买方和卖方应共同签署数量、外观检验报告，报告应列明检验结果，包括检验合格或发现的任何短缺、损坏或其它与合同约定不符的情形。</w:t>
      </w:r>
    </w:p>
    <w:p>
      <w:pPr>
        <w:spacing w:line="360" w:lineRule="auto"/>
        <w:rPr>
          <w:sz w:val="24"/>
        </w:rPr>
      </w:pPr>
      <w:r>
        <w:rPr>
          <w:rFonts w:hint="eastAsia"/>
          <w:sz w:val="24"/>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spacing w:line="360" w:lineRule="auto"/>
        <w:rPr>
          <w:sz w:val="24"/>
        </w:rPr>
      </w:pPr>
      <w:r>
        <w:rPr>
          <w:rFonts w:hint="eastAsia"/>
          <w:sz w:val="24"/>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的除外。</w:t>
      </w:r>
    </w:p>
    <w:p>
      <w:pPr>
        <w:spacing w:line="360" w:lineRule="auto"/>
        <w:rPr>
          <w:sz w:val="24"/>
        </w:rPr>
      </w:pPr>
      <w:r>
        <w:rPr>
          <w:rFonts w:hint="eastAsia"/>
          <w:sz w:val="24"/>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pPr>
        <w:spacing w:line="360" w:lineRule="auto"/>
        <w:rPr>
          <w:sz w:val="24"/>
        </w:rPr>
      </w:pPr>
      <w:r>
        <w:rPr>
          <w:rFonts w:hint="eastAsia"/>
          <w:sz w:val="24"/>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pPr>
        <w:spacing w:line="360" w:lineRule="auto"/>
        <w:rPr>
          <w:sz w:val="24"/>
        </w:rPr>
      </w:pPr>
      <w:r>
        <w:rPr>
          <w:rFonts w:hint="eastAsia"/>
          <w:sz w:val="24"/>
        </w:rPr>
        <w:t>6.2 安装、调试</w:t>
      </w:r>
    </w:p>
    <w:p>
      <w:pPr>
        <w:spacing w:line="360" w:lineRule="auto"/>
        <w:rPr>
          <w:sz w:val="24"/>
        </w:rPr>
      </w:pPr>
      <w:r>
        <w:rPr>
          <w:rFonts w:hint="eastAsia"/>
          <w:sz w:val="24"/>
        </w:rPr>
        <w:t>6.2.1 开箱检验完成后，双方应对合同设备进行安装、调试，以使其具备考核的状态。安装、调试应按照专用合同条款约定的下列任一种方式进行：</w:t>
      </w:r>
    </w:p>
    <w:p>
      <w:pPr>
        <w:spacing w:line="360" w:lineRule="auto"/>
        <w:rPr>
          <w:sz w:val="24"/>
        </w:rPr>
      </w:pPr>
      <w:r>
        <w:rPr>
          <w:rFonts w:hint="eastAsia"/>
          <w:sz w:val="24"/>
        </w:rPr>
        <w:t>（1）卖方按照合同约定完成合同设备的安装、调试工作；</w:t>
      </w:r>
    </w:p>
    <w:p>
      <w:pPr>
        <w:spacing w:line="360" w:lineRule="auto"/>
        <w:rPr>
          <w:sz w:val="24"/>
        </w:rPr>
      </w:pPr>
      <w:r>
        <w:rPr>
          <w:rFonts w:hint="eastAsia"/>
          <w:sz w:val="24"/>
        </w:rPr>
        <w:t>（2）买方或买方安排第三方负责合同设备的安装、调试工作，卖方提供技术服务。</w:t>
      </w:r>
    </w:p>
    <w:p>
      <w:pPr>
        <w:spacing w:line="360" w:lineRule="auto"/>
        <w:rPr>
          <w:sz w:val="24"/>
        </w:rPr>
      </w:pPr>
      <w:r>
        <w:rPr>
          <w:rFonts w:hint="eastAsia"/>
          <w:sz w:val="24"/>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spacing w:line="360" w:lineRule="auto"/>
        <w:rPr>
          <w:sz w:val="24"/>
        </w:rPr>
      </w:pPr>
      <w:r>
        <w:rPr>
          <w:rFonts w:hint="eastAsia"/>
          <w:sz w:val="24"/>
        </w:rPr>
        <w:t>6.2.2 除专用合同条款另有约定外，安装、调试中合同设备运行需要的用水、用电、其他动力和原材料（如需要）等均由买方承担。</w:t>
      </w:r>
    </w:p>
    <w:p>
      <w:pPr>
        <w:spacing w:line="360" w:lineRule="auto"/>
        <w:rPr>
          <w:sz w:val="24"/>
        </w:rPr>
      </w:pPr>
      <w:r>
        <w:rPr>
          <w:rFonts w:hint="eastAsia"/>
          <w:sz w:val="24"/>
        </w:rPr>
        <w:t>6.2.3 双方应对合同设备的安装、调试情况共同及时进行记录。</w:t>
      </w:r>
    </w:p>
    <w:p>
      <w:pPr>
        <w:spacing w:line="360" w:lineRule="auto"/>
        <w:rPr>
          <w:sz w:val="24"/>
        </w:rPr>
      </w:pPr>
      <w:r>
        <w:rPr>
          <w:rFonts w:hint="eastAsia"/>
          <w:sz w:val="24"/>
        </w:rPr>
        <w:t>6.3 考核</w:t>
      </w:r>
    </w:p>
    <w:p>
      <w:pPr>
        <w:spacing w:line="360" w:lineRule="auto"/>
        <w:rPr>
          <w:sz w:val="24"/>
        </w:rPr>
      </w:pPr>
      <w:r>
        <w:rPr>
          <w:rFonts w:hint="eastAsia"/>
          <w:sz w:val="24"/>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spacing w:line="360" w:lineRule="auto"/>
        <w:rPr>
          <w:sz w:val="24"/>
        </w:rPr>
      </w:pPr>
      <w:r>
        <w:rPr>
          <w:rFonts w:hint="eastAsia"/>
          <w:sz w:val="24"/>
        </w:rPr>
        <w:t>6.3.2 如由于卖方原因合同设备在考核中未能达到合同约定的技术性能考核指标，则卖方应在双方同意的期限内采取措施消除合同设备中存在的缺陷，并在缺陷消除以后，尽快进行再次考核。</w:t>
      </w:r>
    </w:p>
    <w:p>
      <w:pPr>
        <w:spacing w:line="360" w:lineRule="auto"/>
        <w:rPr>
          <w:sz w:val="24"/>
        </w:rPr>
      </w:pPr>
      <w:r>
        <w:rPr>
          <w:rFonts w:hint="eastAsia"/>
          <w:sz w:val="24"/>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条款的约定进行减价或向买方支付补偿金。</w:t>
      </w:r>
    </w:p>
    <w:p>
      <w:pPr>
        <w:spacing w:line="360" w:lineRule="auto"/>
        <w:rPr>
          <w:sz w:val="24"/>
        </w:rPr>
      </w:pPr>
      <w:r>
        <w:rPr>
          <w:rFonts w:hint="eastAsia"/>
          <w:sz w:val="24"/>
        </w:rPr>
        <w:t>6.3.4 如由于买方原因合同设备在考核中未能达到合同约定的技术性能考核指标，则卖方应协助买方安排再次考核。由于买方原因未能达到技术性能考核指标时，为买方进行考核的机会不超过三次。</w:t>
      </w:r>
    </w:p>
    <w:p>
      <w:pPr>
        <w:spacing w:line="360" w:lineRule="auto"/>
        <w:rPr>
          <w:sz w:val="24"/>
        </w:rPr>
      </w:pPr>
      <w:r>
        <w:rPr>
          <w:rFonts w:hint="eastAsia"/>
          <w:sz w:val="24"/>
        </w:rPr>
        <w:t>6.3.5 考核期间，双方应及时共同记录合同设备的用水、用电、其他动力和原材料（如有）的使用及设备考核情况。对于未达到技术性能考核指标的，应如实记录设备表现、可能原因及处理情况等。</w:t>
      </w:r>
    </w:p>
    <w:p>
      <w:pPr>
        <w:spacing w:line="360" w:lineRule="auto"/>
        <w:rPr>
          <w:sz w:val="24"/>
        </w:rPr>
      </w:pPr>
      <w:r>
        <w:rPr>
          <w:rFonts w:hint="eastAsia"/>
          <w:sz w:val="24"/>
        </w:rPr>
        <w:t>6.4 验收</w:t>
      </w:r>
    </w:p>
    <w:p>
      <w:pPr>
        <w:spacing w:line="360" w:lineRule="auto"/>
        <w:rPr>
          <w:sz w:val="24"/>
        </w:rPr>
      </w:pPr>
      <w:r>
        <w:rPr>
          <w:rFonts w:hint="eastAsia"/>
          <w:sz w:val="24"/>
        </w:rPr>
        <w:t>6.4.1 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pPr>
        <w:spacing w:line="360" w:lineRule="auto"/>
        <w:rPr>
          <w:sz w:val="24"/>
        </w:rPr>
      </w:pPr>
      <w:r>
        <w:rPr>
          <w:rFonts w:hint="eastAsia"/>
          <w:sz w:val="24"/>
        </w:rPr>
        <w:t>6.4.2 如由于买方原因合同设备在三次考核中均未能达到技术性能考核指标，买卖双方应在考核结束后 7 日内或专用合同条款另行约定的时间内签署验收款支付函。除专用合同条款另有约定外，卖方有义务在验收款支付函签署后 12 个月内应买方要求提供相关技术服务，协助买方采取一切必要措施使合同设备达到技术性能考核指标。买方应承担卖方因此产生的全部费用。在上述 12 个月的期限内，如合同设备经过考核达到或视为达到技术性能考核指标，则买卖双方应按照第 6.4.1 项的约定签署合同设备验收证书。</w:t>
      </w:r>
    </w:p>
    <w:p>
      <w:pPr>
        <w:spacing w:line="360" w:lineRule="auto"/>
        <w:rPr>
          <w:sz w:val="24"/>
        </w:rPr>
      </w:pPr>
      <w:r>
        <w:rPr>
          <w:rFonts w:hint="eastAsia"/>
          <w:sz w:val="24"/>
        </w:rPr>
        <w:t>6.4.3 除专用合同条款另有约定外，如由于买方原因在最后一批合同设备交货后 6 个月内未能开始考核，则买卖双方应在上述期限届满后 7 日内或专用合同条款另行约定的时间内签署验收款支付函。除专用合同条款另有约定外，卖方有义务在验收款支付函签署后 6 个月内应买方要求提供不超出合同范围的技术服务，协助买方采取一切必要措施使合同设备达到技术性能考核指标，且买方无需因此向卖方支付费用。在上述 6 个月的期限内，如合同设备经过考核达到或视为达到技术性能考核指标，则买卖双方应按照第 6.4.1 项的约定签署合同设备验收证书。</w:t>
      </w:r>
    </w:p>
    <w:p>
      <w:pPr>
        <w:spacing w:line="360" w:lineRule="auto"/>
        <w:rPr>
          <w:sz w:val="24"/>
        </w:rPr>
      </w:pPr>
      <w:r>
        <w:rPr>
          <w:rFonts w:hint="eastAsia"/>
          <w:sz w:val="24"/>
        </w:rPr>
        <w:t>6.4.4 在第 6.4.2 项和第 6.4.3 项情形下，卖方也可单方签署验收款支付函提交买方，如果买方在收到卖方签署的验收款支付函后 14 日内未向卖方提出书面异议，则验收款支付函自签署之日起生效。</w:t>
      </w:r>
    </w:p>
    <w:p>
      <w:pPr>
        <w:spacing w:line="360" w:lineRule="auto"/>
        <w:rPr>
          <w:sz w:val="24"/>
        </w:rPr>
      </w:pPr>
      <w:r>
        <w:rPr>
          <w:rFonts w:hint="eastAsia"/>
          <w:sz w:val="24"/>
        </w:rPr>
        <w:t>6.4.5 合同设备验收证书的签署不能免除卖方在质量保证期内对合同设备应承担的保证责任。</w:t>
      </w:r>
    </w:p>
    <w:p>
      <w:pPr>
        <w:spacing w:line="360" w:lineRule="auto"/>
        <w:rPr>
          <w:sz w:val="24"/>
        </w:rPr>
      </w:pPr>
      <w:r>
        <w:rPr>
          <w:rFonts w:hint="eastAsia"/>
          <w:sz w:val="24"/>
        </w:rPr>
        <w:t>7. 技术服务</w:t>
      </w:r>
    </w:p>
    <w:p>
      <w:pPr>
        <w:spacing w:line="360" w:lineRule="auto"/>
        <w:rPr>
          <w:sz w:val="24"/>
        </w:rPr>
      </w:pPr>
      <w:r>
        <w:rPr>
          <w:rFonts w:hint="eastAsia"/>
          <w:sz w:val="24"/>
        </w:rPr>
        <w:t>7.1 卖方应派遣技术熟练、称职的技术人员到施工场地为买方提供技术服务。卖方的技术服务应符合合同的约定。</w:t>
      </w:r>
    </w:p>
    <w:p>
      <w:pPr>
        <w:spacing w:line="360" w:lineRule="auto"/>
        <w:rPr>
          <w:sz w:val="24"/>
        </w:rPr>
      </w:pPr>
      <w:r>
        <w:rPr>
          <w:rFonts w:hint="eastAsia"/>
          <w:sz w:val="24"/>
        </w:rPr>
        <w:t>7.2 买方应免费为卖方技术人员提供工作条件及便利，包括但不限于必要的办公场所、技术资料及出入许可等。除专用合同条款另有约定外，卖方技术人员的交通、食宿费用由卖方承担。</w:t>
      </w:r>
    </w:p>
    <w:p>
      <w:pPr>
        <w:spacing w:line="360" w:lineRule="auto"/>
        <w:rPr>
          <w:sz w:val="24"/>
        </w:rPr>
      </w:pPr>
      <w:r>
        <w:rPr>
          <w:rFonts w:hint="eastAsia"/>
          <w:sz w:val="24"/>
        </w:rPr>
        <w:t>7.3 卖方技术人员应遵守买方施工现场的各项规章制度和安全操作规程，并服从买方的现场管理。</w:t>
      </w:r>
    </w:p>
    <w:p>
      <w:pPr>
        <w:spacing w:line="360" w:lineRule="auto"/>
        <w:rPr>
          <w:sz w:val="24"/>
        </w:rPr>
      </w:pPr>
      <w:r>
        <w:rPr>
          <w:rFonts w:hint="eastAsia"/>
          <w:sz w:val="24"/>
        </w:rPr>
        <w:t>7.4 如果任何技术人员不合格，买方有权要求卖方撤换，因撤换而产生的费用应由卖方承担。在不影响技术服务并且征得买方同意的条件下，卖方也可自负费用更换其技术人员。</w:t>
      </w:r>
    </w:p>
    <w:p>
      <w:pPr>
        <w:spacing w:line="360" w:lineRule="auto"/>
        <w:rPr>
          <w:sz w:val="24"/>
        </w:rPr>
      </w:pPr>
      <w:r>
        <w:rPr>
          <w:rFonts w:hint="eastAsia"/>
          <w:sz w:val="24"/>
        </w:rPr>
        <w:t>8. 质量保证期</w:t>
      </w:r>
    </w:p>
    <w:p>
      <w:pPr>
        <w:spacing w:line="360" w:lineRule="auto"/>
        <w:rPr>
          <w:sz w:val="24"/>
        </w:rPr>
      </w:pPr>
      <w:r>
        <w:rPr>
          <w:rFonts w:hint="eastAsia"/>
          <w:sz w:val="24"/>
        </w:rPr>
        <w:t>8.1 除专用合同条款和（或）供货要求等合同文件另有约定外，合同设备整体质量保证期为验收之日起</w:t>
      </w:r>
      <w:r>
        <w:rPr>
          <w:rFonts w:hint="eastAsia"/>
          <w:sz w:val="24"/>
          <w:highlight w:val="none"/>
          <w:lang w:val="en-US" w:eastAsia="zh-CN"/>
        </w:rPr>
        <w:t>24</w:t>
      </w:r>
      <w:r>
        <w:rPr>
          <w:rFonts w:hint="eastAsia"/>
          <w:sz w:val="24"/>
        </w:rPr>
        <w:t>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pPr>
        <w:spacing w:line="360" w:lineRule="auto"/>
        <w:rPr>
          <w:sz w:val="24"/>
        </w:rPr>
      </w:pPr>
      <w:r>
        <w:rPr>
          <w:rFonts w:hint="eastAsia"/>
          <w:sz w:val="24"/>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spacing w:line="360" w:lineRule="auto"/>
        <w:rPr>
          <w:sz w:val="24"/>
        </w:rPr>
      </w:pPr>
      <w:r>
        <w:rPr>
          <w:rFonts w:hint="eastAsia"/>
          <w:sz w:val="24"/>
        </w:rPr>
        <w:t>8.3 质量保证期届满后，买方应在 7 日内或专用合同条款另行约定的时间内向卖方出具合同设备的质量保证期届满证书。</w:t>
      </w:r>
    </w:p>
    <w:p>
      <w:pPr>
        <w:spacing w:line="360" w:lineRule="auto"/>
        <w:rPr>
          <w:sz w:val="24"/>
        </w:rPr>
      </w:pPr>
      <w:r>
        <w:rPr>
          <w:rFonts w:hint="eastAsia"/>
          <w:sz w:val="24"/>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pPr>
        <w:spacing w:line="360" w:lineRule="auto"/>
        <w:rPr>
          <w:sz w:val="24"/>
        </w:rPr>
      </w:pPr>
      <w:r>
        <w:rPr>
          <w:rFonts w:hint="eastAsia"/>
          <w:sz w:val="24"/>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pPr>
        <w:spacing w:line="360" w:lineRule="auto"/>
        <w:rPr>
          <w:sz w:val="24"/>
        </w:rPr>
      </w:pPr>
      <w:r>
        <w:rPr>
          <w:rFonts w:hint="eastAsia"/>
          <w:sz w:val="24"/>
        </w:rPr>
        <w:t>8.6 在第 8.4 款和第 8.5 款情形下，卖方也可单方签署结清款支付函提交买方，如果买方在收到卖方签署的结清款支付函后 14 日内未向卖方提出书面异议，则结清款支付函自签署之日起生效。</w:t>
      </w:r>
    </w:p>
    <w:p>
      <w:pPr>
        <w:spacing w:line="360" w:lineRule="auto"/>
        <w:rPr>
          <w:sz w:val="24"/>
        </w:rPr>
      </w:pPr>
      <w:r>
        <w:rPr>
          <w:rFonts w:hint="eastAsia"/>
          <w:sz w:val="24"/>
        </w:rPr>
        <w:t>9. 质保期服务</w:t>
      </w:r>
    </w:p>
    <w:p>
      <w:pPr>
        <w:spacing w:line="360" w:lineRule="auto"/>
        <w:rPr>
          <w:sz w:val="24"/>
        </w:rPr>
      </w:pPr>
      <w:r>
        <w:rPr>
          <w:rFonts w:hint="eastAsia"/>
          <w:sz w:val="24"/>
        </w:rPr>
        <w:t>9.1 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7日内解决合同设备的故障（重大故障除外）。如果卖方未在上述时间内作出响应，则买方有权自行或委托他人解决相关问题或查找和解决合同设备的故障，卖方应承担由此发生的全部费用。</w:t>
      </w:r>
    </w:p>
    <w:p>
      <w:pPr>
        <w:spacing w:line="360" w:lineRule="auto"/>
        <w:rPr>
          <w:sz w:val="24"/>
        </w:rPr>
      </w:pPr>
      <w:r>
        <w:rPr>
          <w:rFonts w:hint="eastAsia"/>
          <w:sz w:val="24"/>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spacing w:line="360" w:lineRule="auto"/>
        <w:rPr>
          <w:sz w:val="24"/>
        </w:rPr>
      </w:pPr>
      <w:r>
        <w:rPr>
          <w:rFonts w:hint="eastAsia"/>
          <w:sz w:val="24"/>
        </w:rPr>
        <w:t>9.3 如果任何技术人员不合格，买方有权要求卖方撤换，因撤换而产生的费用应由卖方承担。在不影响质保期服务并且征得买方同意的条件下，卖方也可自负费用更换其技术人员。</w:t>
      </w:r>
    </w:p>
    <w:p>
      <w:pPr>
        <w:spacing w:line="360" w:lineRule="auto"/>
        <w:rPr>
          <w:sz w:val="24"/>
        </w:rPr>
      </w:pPr>
      <w:r>
        <w:rPr>
          <w:rFonts w:hint="eastAsia"/>
          <w:sz w:val="24"/>
        </w:rPr>
        <w:t>9.4 除专用合同条款另有约定外，卖方应就在施工现场进行质保期服务的情况进行记录，记载合同设备故障发生的时间、原因及解决情况等，由买方签字确认，并在质量保证期结束后提交给买方。</w:t>
      </w:r>
    </w:p>
    <w:p>
      <w:pPr>
        <w:spacing w:line="360" w:lineRule="auto"/>
        <w:rPr>
          <w:sz w:val="24"/>
        </w:rPr>
      </w:pPr>
      <w:r>
        <w:rPr>
          <w:rFonts w:hint="eastAsia"/>
          <w:sz w:val="24"/>
        </w:rPr>
        <w:t>10. 履约保证金</w:t>
      </w:r>
    </w:p>
    <w:p>
      <w:pPr>
        <w:spacing w:line="360" w:lineRule="auto"/>
        <w:rPr>
          <w:sz w:val="24"/>
        </w:rPr>
      </w:pPr>
      <w:r>
        <w:rPr>
          <w:rFonts w:hint="eastAsia"/>
          <w:sz w:val="24"/>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pPr>
        <w:spacing w:line="360" w:lineRule="auto"/>
        <w:rPr>
          <w:sz w:val="24"/>
        </w:rPr>
      </w:pPr>
      <w:r>
        <w:rPr>
          <w:rFonts w:hint="eastAsia"/>
          <w:sz w:val="24"/>
        </w:rPr>
        <w:t>11. 保证</w:t>
      </w:r>
    </w:p>
    <w:p>
      <w:pPr>
        <w:spacing w:line="360" w:lineRule="auto"/>
        <w:rPr>
          <w:sz w:val="24"/>
        </w:rPr>
      </w:pPr>
      <w:r>
        <w:rPr>
          <w:rFonts w:hint="eastAsia"/>
          <w:sz w:val="24"/>
        </w:rPr>
        <w:t>11.1 卖方保证其具有完全的能力履行本合同项下的全部义务。</w:t>
      </w:r>
    </w:p>
    <w:p>
      <w:pPr>
        <w:spacing w:line="360" w:lineRule="auto"/>
        <w:rPr>
          <w:sz w:val="24"/>
        </w:rPr>
      </w:pPr>
      <w:r>
        <w:rPr>
          <w:rFonts w:hint="eastAsia"/>
          <w:sz w:val="24"/>
        </w:rPr>
        <w:t>11.2 卖方保证其所提供的合同设备及对合同的履行符合所有应适用的法律、行政法规、地方性法规、自治条例和单行条例、规章及其他规范性文件的强制性规定。</w:t>
      </w:r>
    </w:p>
    <w:p>
      <w:pPr>
        <w:spacing w:line="360" w:lineRule="auto"/>
        <w:rPr>
          <w:sz w:val="24"/>
        </w:rPr>
      </w:pPr>
      <w:r>
        <w:rPr>
          <w:rFonts w:hint="eastAsia"/>
          <w:sz w:val="24"/>
        </w:rPr>
        <w:t>11.3 卖方保证其对合同设备的销售不损害任何第三方的合法权益和社会公众利益。任何第三方不会因卖方原因而基于所有权、抵押权、留置权或其他任何权利或事由对合同设备主张权利。</w:t>
      </w:r>
    </w:p>
    <w:p>
      <w:pPr>
        <w:spacing w:line="360" w:lineRule="auto"/>
        <w:rPr>
          <w:sz w:val="24"/>
        </w:rPr>
      </w:pPr>
      <w:r>
        <w:rPr>
          <w:rFonts w:hint="eastAsia"/>
          <w:sz w:val="24"/>
        </w:rPr>
        <w:t>11.4 卖方保证合同设备符合合同约定的规格、标准、技术性能考核指标等，能够安全和稳定地运行，且合同设备（包括全部部件）全新、完整、未使用过，除非专用合同条款和（或）供货要求等合同文件另有约定。</w:t>
      </w:r>
    </w:p>
    <w:p>
      <w:pPr>
        <w:spacing w:line="360" w:lineRule="auto"/>
        <w:rPr>
          <w:sz w:val="24"/>
        </w:rPr>
      </w:pPr>
      <w:r>
        <w:rPr>
          <w:rFonts w:hint="eastAsia"/>
          <w:sz w:val="24"/>
        </w:rPr>
        <w:t>11.5 卖方保证，卖方所提供的技术资料完整、清晰、准确，符合合同约定并且能够满足合同设备的安装、调试、考核、操作以及维修和保养的需要。</w:t>
      </w:r>
    </w:p>
    <w:p>
      <w:pPr>
        <w:spacing w:line="360" w:lineRule="auto"/>
        <w:rPr>
          <w:sz w:val="24"/>
        </w:rPr>
      </w:pPr>
      <w:r>
        <w:rPr>
          <w:rFonts w:hint="eastAsia"/>
          <w:sz w:val="24"/>
        </w:rPr>
        <w:t>11.6 卖方保证合同范围内提供的备品备件能够满足合同设备在质量保证期结束前正常运行及维修的需要，如在质量保证期结束前因卖方原因出现备品备件短缺影响合同设备正常运行的，卖方应免费提供。</w:t>
      </w:r>
    </w:p>
    <w:p>
      <w:pPr>
        <w:spacing w:line="360" w:lineRule="auto"/>
        <w:rPr>
          <w:sz w:val="24"/>
        </w:rPr>
      </w:pPr>
      <w:r>
        <w:rPr>
          <w:rFonts w:hint="eastAsia"/>
          <w:sz w:val="24"/>
        </w:rPr>
        <w:t>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spacing w:line="360" w:lineRule="auto"/>
        <w:rPr>
          <w:sz w:val="24"/>
        </w:rPr>
      </w:pPr>
      <w:r>
        <w:rPr>
          <w:rFonts w:hint="eastAsia"/>
          <w:sz w:val="24"/>
        </w:rPr>
        <w:t>（1）以不高于同期市场价格或其向任何第三方销售同类产品的价格提供合同设备正常运行所需的全部备品备件。或</w:t>
      </w:r>
    </w:p>
    <w:p>
      <w:pPr>
        <w:spacing w:line="360" w:lineRule="auto"/>
        <w:rPr>
          <w:sz w:val="24"/>
        </w:rPr>
      </w:pPr>
      <w:r>
        <w:rPr>
          <w:rFonts w:hint="eastAsia"/>
          <w:sz w:val="24"/>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spacing w:line="360" w:lineRule="auto"/>
        <w:rPr>
          <w:sz w:val="24"/>
        </w:rPr>
      </w:pPr>
      <w:r>
        <w:rPr>
          <w:rFonts w:hint="eastAsia"/>
          <w:sz w:val="24"/>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pPr>
        <w:spacing w:line="360" w:lineRule="auto"/>
        <w:rPr>
          <w:sz w:val="24"/>
        </w:rPr>
      </w:pPr>
      <w:r>
        <w:rPr>
          <w:rFonts w:hint="eastAsia"/>
          <w:sz w:val="24"/>
        </w:rPr>
        <w:t>12. 知识产权</w:t>
      </w:r>
    </w:p>
    <w:p>
      <w:pPr>
        <w:spacing w:line="360" w:lineRule="auto"/>
        <w:rPr>
          <w:sz w:val="24"/>
        </w:rPr>
      </w:pPr>
      <w:r>
        <w:rPr>
          <w:rFonts w:hint="eastAsia"/>
          <w:sz w:val="24"/>
        </w:rPr>
        <w:t>12.1 买方在履行合同过程中提供给卖方的全部图纸、文件和其他含有数据和信息的资料，其知识产权属于买方。</w:t>
      </w:r>
    </w:p>
    <w:p>
      <w:pPr>
        <w:spacing w:line="360" w:lineRule="auto"/>
        <w:rPr>
          <w:sz w:val="24"/>
        </w:rPr>
      </w:pPr>
      <w:r>
        <w:rPr>
          <w:rFonts w:hint="eastAsia"/>
          <w:sz w:val="24"/>
        </w:rPr>
        <w:t>12.2 除专用合同条款另有约定外，买方不因签署和履行合同而享有卖方在履行合同过程中提供给买方的图纸、文件、配套软件、电子辅助程序和其他含有数据和信息的资料的知识产权。</w:t>
      </w:r>
    </w:p>
    <w:p>
      <w:pPr>
        <w:spacing w:line="360" w:lineRule="auto"/>
        <w:rPr>
          <w:sz w:val="24"/>
        </w:rPr>
      </w:pPr>
      <w:r>
        <w:rPr>
          <w:rFonts w:hint="eastAsia"/>
          <w:sz w:val="24"/>
        </w:rPr>
        <w:t>12.3 如合同设备涉及知识产权，则卖方保证买方在使用合同设备过程中免于受到第三方提出的有关知识产权侵权的主张、索赔或诉讼的伤害。</w:t>
      </w:r>
    </w:p>
    <w:p>
      <w:pPr>
        <w:spacing w:line="360" w:lineRule="auto"/>
        <w:rPr>
          <w:sz w:val="24"/>
        </w:rPr>
      </w:pPr>
      <w:r>
        <w:rPr>
          <w:rFonts w:hint="eastAsia"/>
          <w:sz w:val="24"/>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 28 日内未作表示，买方可以自己的名义进行这些索赔或诉讼，因此发生的费用和遭受的损失均应由卖方承担。</w:t>
      </w:r>
    </w:p>
    <w:p>
      <w:pPr>
        <w:spacing w:line="360" w:lineRule="auto"/>
        <w:rPr>
          <w:sz w:val="24"/>
        </w:rPr>
      </w:pPr>
      <w:r>
        <w:rPr>
          <w:rFonts w:hint="eastAsia"/>
          <w:sz w:val="24"/>
        </w:rPr>
        <w:t>13. 保密</w:t>
      </w:r>
    </w:p>
    <w:p>
      <w:pPr>
        <w:spacing w:line="360" w:lineRule="auto"/>
        <w:rPr>
          <w:sz w:val="24"/>
        </w:rPr>
      </w:pPr>
      <w:r>
        <w:rPr>
          <w:rFonts w:hint="eastAsia"/>
          <w:sz w:val="24"/>
        </w:rPr>
        <w:t>合同双方应对因履行合同而取得的另一方当事人的信息、资料等予以保密。未经另一方当事人书面同意，任何一方均不得为与履行合同无关的目的使用或向第三方披露另一方当事人提供的信息、资料。</w:t>
      </w:r>
    </w:p>
    <w:p>
      <w:pPr>
        <w:spacing w:line="360" w:lineRule="auto"/>
        <w:rPr>
          <w:sz w:val="24"/>
        </w:rPr>
      </w:pPr>
      <w:r>
        <w:rPr>
          <w:rFonts w:hint="eastAsia"/>
          <w:sz w:val="24"/>
        </w:rPr>
        <w:t>合同当事人的保密义务不适用于下列信息：</w:t>
      </w:r>
    </w:p>
    <w:p>
      <w:pPr>
        <w:spacing w:line="360" w:lineRule="auto"/>
        <w:rPr>
          <w:sz w:val="24"/>
        </w:rPr>
      </w:pPr>
      <w:r>
        <w:rPr>
          <w:rFonts w:hint="eastAsia"/>
          <w:sz w:val="24"/>
        </w:rPr>
        <w:t>（1）非因接受信息一方的过失现在或以后进入公共领域的信息；</w:t>
      </w:r>
    </w:p>
    <w:p>
      <w:pPr>
        <w:spacing w:line="360" w:lineRule="auto"/>
        <w:rPr>
          <w:sz w:val="24"/>
        </w:rPr>
      </w:pPr>
      <w:r>
        <w:rPr>
          <w:rFonts w:hint="eastAsia"/>
          <w:sz w:val="24"/>
        </w:rPr>
        <w:t>（2）接受信息一方当事人合法地从第三方获得并且据其善意了解第三方也不对此承担保密义务的信息；</w:t>
      </w:r>
    </w:p>
    <w:p>
      <w:pPr>
        <w:spacing w:line="360" w:lineRule="auto"/>
        <w:rPr>
          <w:sz w:val="24"/>
        </w:rPr>
      </w:pPr>
      <w:r>
        <w:rPr>
          <w:rFonts w:hint="eastAsia"/>
          <w:sz w:val="24"/>
        </w:rPr>
        <w:t>（3）法律或法律的执行要求披露的信息。</w:t>
      </w:r>
    </w:p>
    <w:p>
      <w:pPr>
        <w:spacing w:line="360" w:lineRule="auto"/>
        <w:rPr>
          <w:sz w:val="24"/>
        </w:rPr>
      </w:pPr>
      <w:r>
        <w:rPr>
          <w:rFonts w:hint="eastAsia"/>
          <w:sz w:val="24"/>
        </w:rPr>
        <w:t>14. 违约责任</w:t>
      </w:r>
    </w:p>
    <w:p>
      <w:pPr>
        <w:spacing w:line="360" w:lineRule="auto"/>
        <w:rPr>
          <w:sz w:val="24"/>
        </w:rPr>
      </w:pPr>
      <w:r>
        <w:rPr>
          <w:rFonts w:hint="eastAsia"/>
          <w:sz w:val="24"/>
        </w:rPr>
        <w:t>14.1 合同一方不履行合同义务、履行合同义务不符合约定或者违反合同项下所作保证的，应向对方承担继续履行、采取修理、更换、退货等补救措施或者赔偿损失等违约责任。</w:t>
      </w:r>
    </w:p>
    <w:p>
      <w:pPr>
        <w:spacing w:line="360" w:lineRule="auto"/>
        <w:rPr>
          <w:sz w:val="24"/>
        </w:rPr>
      </w:pPr>
      <w:r>
        <w:rPr>
          <w:rFonts w:hint="eastAsia"/>
          <w:sz w:val="24"/>
        </w:rPr>
        <w:t>14.2 卖方未能按时交付合同设备（包括仅迟延交付技术资料但足以导致合同设备安装、调试、考核、验收工作推迟的）的，应向买方支付迟延交付违约金。除专用合同条款另有约定外，迟延交付违约金的计算方法如下：</w:t>
      </w:r>
    </w:p>
    <w:p>
      <w:pPr>
        <w:spacing w:line="360" w:lineRule="auto"/>
        <w:rPr>
          <w:sz w:val="24"/>
        </w:rPr>
      </w:pPr>
      <w:r>
        <w:rPr>
          <w:rFonts w:hint="eastAsia"/>
          <w:sz w:val="24"/>
        </w:rPr>
        <w:t>（1）从迟交的第一周到第四周，每周迟延交付违约金为迟交合同设备价格的 0.5%；</w:t>
      </w:r>
    </w:p>
    <w:p>
      <w:pPr>
        <w:spacing w:line="360" w:lineRule="auto"/>
        <w:rPr>
          <w:sz w:val="24"/>
        </w:rPr>
      </w:pPr>
      <w:r>
        <w:rPr>
          <w:rFonts w:hint="eastAsia"/>
          <w:sz w:val="24"/>
        </w:rPr>
        <w:t>（2）从迟交的第五周到第八周，每周迟延交付违约金为迟交合同设备价格的 1%；</w:t>
      </w:r>
    </w:p>
    <w:p>
      <w:pPr>
        <w:spacing w:line="360" w:lineRule="auto"/>
        <w:rPr>
          <w:sz w:val="24"/>
        </w:rPr>
      </w:pPr>
      <w:r>
        <w:rPr>
          <w:rFonts w:hint="eastAsia"/>
          <w:sz w:val="24"/>
        </w:rPr>
        <w:t>（3）从迟交第九周起，每周迟延交付违约金为迟交合同设备价格的 1.5%。</w:t>
      </w:r>
    </w:p>
    <w:p>
      <w:pPr>
        <w:spacing w:line="360" w:lineRule="auto"/>
        <w:rPr>
          <w:sz w:val="24"/>
        </w:rPr>
      </w:pPr>
      <w:r>
        <w:rPr>
          <w:rFonts w:hint="eastAsia"/>
          <w:sz w:val="24"/>
        </w:rPr>
        <w:t>在计算迟延交付违约金时，迟交不足一周的按一周计算。迟延交付违约金的总额不得超过合同价格的 10%。迟延交付违约金的支付不能免除卖方继续交付相关合同设备的义务，但如迟延交付必然导致合同设备安装、调试、考核、验收工作推迟的，相关工作应相应顺延。</w:t>
      </w:r>
    </w:p>
    <w:p>
      <w:pPr>
        <w:spacing w:line="360" w:lineRule="auto"/>
        <w:rPr>
          <w:sz w:val="24"/>
        </w:rPr>
      </w:pPr>
      <w:r>
        <w:rPr>
          <w:rFonts w:hint="eastAsia"/>
          <w:sz w:val="24"/>
        </w:rPr>
        <w:t>14.3 买方未能按合同约定支付合同价款的，应向卖方支付延迟付款违约金。除专用合同条款另有约定外，迟延付款违约金的计算方法如下：</w:t>
      </w:r>
    </w:p>
    <w:p>
      <w:pPr>
        <w:spacing w:line="360" w:lineRule="auto"/>
        <w:rPr>
          <w:sz w:val="24"/>
        </w:rPr>
      </w:pPr>
      <w:r>
        <w:rPr>
          <w:rFonts w:hint="eastAsia"/>
          <w:sz w:val="24"/>
        </w:rPr>
        <w:t>（1）从迟付的第一周到第四周，每周迟延付款违约金为迟延付款金额的 0.5%；</w:t>
      </w:r>
    </w:p>
    <w:p>
      <w:pPr>
        <w:spacing w:line="360" w:lineRule="auto"/>
        <w:rPr>
          <w:sz w:val="24"/>
        </w:rPr>
      </w:pPr>
      <w:r>
        <w:rPr>
          <w:rFonts w:hint="eastAsia"/>
          <w:sz w:val="24"/>
        </w:rPr>
        <w:t>（2）从迟付的第五周到第八周，每周迟延付款违约金为迟延付款金额的 1%；</w:t>
      </w:r>
    </w:p>
    <w:p>
      <w:pPr>
        <w:spacing w:line="360" w:lineRule="auto"/>
        <w:rPr>
          <w:sz w:val="24"/>
        </w:rPr>
      </w:pPr>
      <w:r>
        <w:rPr>
          <w:rFonts w:hint="eastAsia"/>
          <w:sz w:val="24"/>
        </w:rPr>
        <w:t>（3）从迟付第九周起，每周迟延付款违约金为迟延付款金额的 1.5%。</w:t>
      </w:r>
    </w:p>
    <w:p>
      <w:pPr>
        <w:spacing w:line="360" w:lineRule="auto"/>
        <w:rPr>
          <w:sz w:val="24"/>
        </w:rPr>
      </w:pPr>
      <w:r>
        <w:rPr>
          <w:rFonts w:hint="eastAsia"/>
          <w:sz w:val="24"/>
        </w:rPr>
        <w:t>在计算迟延付款违约金时，迟付不足一周的按一周计算。迟延付款违约金的总额不得超过合同价格的 10%。</w:t>
      </w:r>
    </w:p>
    <w:p>
      <w:pPr>
        <w:spacing w:line="360" w:lineRule="auto"/>
        <w:rPr>
          <w:sz w:val="24"/>
        </w:rPr>
      </w:pPr>
      <w:r>
        <w:rPr>
          <w:rFonts w:hint="eastAsia"/>
          <w:sz w:val="24"/>
        </w:rPr>
        <w:t>15. 合同的解除</w:t>
      </w:r>
    </w:p>
    <w:p>
      <w:pPr>
        <w:spacing w:line="360" w:lineRule="auto"/>
        <w:rPr>
          <w:sz w:val="24"/>
        </w:rPr>
      </w:pPr>
      <w:r>
        <w:rPr>
          <w:rFonts w:hint="eastAsia"/>
          <w:sz w:val="24"/>
        </w:rPr>
        <w:t>除专用合同条款另有约定外，有下述情形之一，当事人可发出书面通知全部或部分地解除合同，合同自通知到达对方时全部或部分地解除：</w:t>
      </w:r>
    </w:p>
    <w:p>
      <w:pPr>
        <w:spacing w:line="360" w:lineRule="auto"/>
        <w:rPr>
          <w:sz w:val="24"/>
        </w:rPr>
      </w:pPr>
      <w:r>
        <w:rPr>
          <w:rFonts w:hint="eastAsia"/>
          <w:sz w:val="24"/>
        </w:rPr>
        <w:t>（1）卖方迟延交付合同设备超过 3 个月；</w:t>
      </w:r>
    </w:p>
    <w:p>
      <w:pPr>
        <w:spacing w:line="360" w:lineRule="auto"/>
        <w:rPr>
          <w:sz w:val="24"/>
        </w:rPr>
      </w:pPr>
      <w:r>
        <w:rPr>
          <w:rFonts w:hint="eastAsia"/>
          <w:sz w:val="24"/>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spacing w:line="360" w:lineRule="auto"/>
        <w:rPr>
          <w:sz w:val="24"/>
        </w:rPr>
      </w:pPr>
      <w:r>
        <w:rPr>
          <w:rFonts w:hint="eastAsia"/>
          <w:sz w:val="24"/>
        </w:rPr>
        <w:t>（3）买方迟延付款超过 3 个月；</w:t>
      </w:r>
    </w:p>
    <w:p>
      <w:pPr>
        <w:spacing w:line="360" w:lineRule="auto"/>
        <w:rPr>
          <w:sz w:val="24"/>
        </w:rPr>
      </w:pPr>
      <w:r>
        <w:rPr>
          <w:rFonts w:hint="eastAsia"/>
          <w:sz w:val="24"/>
        </w:rPr>
        <w:t>（4）合同一方当事人未能履行合同项下任何其它义务（细微义务除外），或在未事先征得另一方当事人同意的情况下，从事任何可能在实质上不利影响其履行合同能力的活动，经另一方当事人书面通知后 14 日内或在专用合同条款约定的其他期限内未能对其行为作出补救；</w:t>
      </w:r>
    </w:p>
    <w:p>
      <w:pPr>
        <w:spacing w:line="360" w:lineRule="auto"/>
        <w:rPr>
          <w:sz w:val="24"/>
        </w:rPr>
      </w:pPr>
      <w:r>
        <w:rPr>
          <w:rFonts w:hint="eastAsia"/>
          <w:sz w:val="24"/>
        </w:rPr>
        <w:t>（5）合同一方当事人出现破产、清算、资不抵债、成为失信被执行人等可能丧失履约能力的情形，且未能提供令对方满意的履约保证金。</w:t>
      </w:r>
    </w:p>
    <w:p>
      <w:pPr>
        <w:spacing w:line="360" w:lineRule="auto"/>
        <w:rPr>
          <w:sz w:val="24"/>
        </w:rPr>
      </w:pPr>
      <w:r>
        <w:rPr>
          <w:rFonts w:hint="eastAsia"/>
          <w:sz w:val="24"/>
        </w:rPr>
        <w:t>16. 不可抗力</w:t>
      </w:r>
    </w:p>
    <w:p>
      <w:pPr>
        <w:spacing w:line="360" w:lineRule="auto"/>
        <w:rPr>
          <w:sz w:val="24"/>
        </w:rPr>
      </w:pPr>
      <w:r>
        <w:rPr>
          <w:rFonts w:hint="eastAsia"/>
          <w:sz w:val="24"/>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28 日内将有关当局或机构出具的证明文件提交给另一方当事人。</w:t>
      </w:r>
    </w:p>
    <w:p>
      <w:pPr>
        <w:spacing w:line="360" w:lineRule="auto"/>
        <w:rPr>
          <w:sz w:val="24"/>
        </w:rPr>
      </w:pPr>
      <w:r>
        <w:rPr>
          <w:rFonts w:hint="eastAsia"/>
          <w:sz w:val="24"/>
        </w:rPr>
        <w:t>16.2 受不可抗力事件影响的一方当事人对于不可抗力事件导致的任何合同义务的迟延履行或不能履行不承担违约责任。但该方当事人应尽快将不可抗力事件结束或消除的情况通知另一方当事人。</w:t>
      </w:r>
    </w:p>
    <w:p>
      <w:pPr>
        <w:spacing w:line="360" w:lineRule="auto"/>
        <w:rPr>
          <w:sz w:val="24"/>
        </w:rPr>
      </w:pPr>
      <w:r>
        <w:rPr>
          <w:rFonts w:hint="eastAsia"/>
          <w:sz w:val="24"/>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pPr>
        <w:spacing w:line="360" w:lineRule="auto"/>
        <w:rPr>
          <w:sz w:val="24"/>
        </w:rPr>
      </w:pPr>
      <w:r>
        <w:rPr>
          <w:rFonts w:hint="eastAsia"/>
          <w:sz w:val="24"/>
        </w:rPr>
        <w:t>17. 争议的解决</w:t>
      </w:r>
    </w:p>
    <w:p>
      <w:pPr>
        <w:spacing w:line="360" w:lineRule="auto"/>
        <w:rPr>
          <w:sz w:val="24"/>
        </w:rPr>
      </w:pPr>
      <w:r>
        <w:rPr>
          <w:rFonts w:hint="eastAsia"/>
          <w:sz w:val="24"/>
        </w:rPr>
        <w:t>因本合同引起的或与本合同有关的任何争议,双方可通过友好协商解决。友好协商解决不成的，可在专用合同条款中约定下列一种方式解决：</w:t>
      </w:r>
    </w:p>
    <w:p>
      <w:pPr>
        <w:spacing w:line="360" w:lineRule="auto"/>
        <w:rPr>
          <w:sz w:val="24"/>
        </w:rPr>
      </w:pPr>
      <w:r>
        <w:rPr>
          <w:rFonts w:hint="eastAsia"/>
          <w:sz w:val="24"/>
        </w:rPr>
        <w:t>（1）向约定的仲裁委员会申请仲裁；</w:t>
      </w:r>
    </w:p>
    <w:p>
      <w:pPr>
        <w:spacing w:line="360" w:lineRule="auto"/>
        <w:rPr>
          <w:sz w:val="24"/>
        </w:rPr>
      </w:pPr>
      <w:r>
        <w:rPr>
          <w:rFonts w:hint="eastAsia"/>
          <w:sz w:val="24"/>
        </w:rPr>
        <w:t>（2）向有管辖权的人民法院提起诉讼。</w:t>
      </w:r>
    </w:p>
    <w:p>
      <w:pPr>
        <w:spacing w:line="360" w:lineRule="auto"/>
        <w:rPr>
          <w:sz w:val="24"/>
        </w:rPr>
      </w:pPr>
    </w:p>
    <w:p>
      <w:pPr>
        <w:pStyle w:val="20"/>
        <w:rPr>
          <w:sz w:val="24"/>
        </w:rPr>
      </w:pPr>
    </w:p>
    <w:p>
      <w:pPr>
        <w:pStyle w:val="10"/>
        <w:ind w:left="1680"/>
        <w:rPr>
          <w:sz w:val="24"/>
        </w:rPr>
      </w:pPr>
    </w:p>
    <w:p>
      <w:pPr>
        <w:rPr>
          <w:sz w:val="24"/>
        </w:rPr>
      </w:pPr>
    </w:p>
    <w:p>
      <w:pPr>
        <w:pStyle w:val="20"/>
        <w:rPr>
          <w:sz w:val="24"/>
        </w:rPr>
      </w:pPr>
    </w:p>
    <w:p>
      <w:pPr>
        <w:pStyle w:val="10"/>
        <w:ind w:left="1680"/>
        <w:rPr>
          <w:sz w:val="24"/>
        </w:rPr>
      </w:pPr>
    </w:p>
    <w:p>
      <w:pPr>
        <w:rPr>
          <w:sz w:val="24"/>
        </w:rPr>
      </w:pPr>
    </w:p>
    <w:p>
      <w:pPr>
        <w:pStyle w:val="20"/>
        <w:rPr>
          <w:sz w:val="24"/>
        </w:rPr>
      </w:pPr>
    </w:p>
    <w:p>
      <w:pPr>
        <w:pStyle w:val="10"/>
        <w:ind w:left="1680"/>
        <w:rPr>
          <w:sz w:val="24"/>
        </w:rPr>
      </w:pPr>
    </w:p>
    <w:p>
      <w:pPr>
        <w:rPr>
          <w:sz w:val="24"/>
        </w:rPr>
      </w:pPr>
    </w:p>
    <w:p>
      <w:pPr>
        <w:pStyle w:val="20"/>
        <w:rPr>
          <w:sz w:val="24"/>
        </w:rPr>
      </w:pPr>
    </w:p>
    <w:p>
      <w:pPr>
        <w:pStyle w:val="10"/>
        <w:ind w:left="1680"/>
        <w:rPr>
          <w:sz w:val="24"/>
        </w:rPr>
      </w:pPr>
    </w:p>
    <w:p>
      <w:pPr>
        <w:rPr>
          <w:sz w:val="24"/>
        </w:rPr>
      </w:pPr>
    </w:p>
    <w:p>
      <w:pPr>
        <w:pStyle w:val="13"/>
      </w:pPr>
    </w:p>
    <w:p>
      <w:pPr>
        <w:pStyle w:val="20"/>
        <w:rPr>
          <w:sz w:val="24"/>
        </w:rPr>
      </w:pPr>
    </w:p>
    <w:p>
      <w:pPr>
        <w:pStyle w:val="10"/>
        <w:ind w:left="1680"/>
        <w:rPr>
          <w:sz w:val="24"/>
        </w:rPr>
      </w:pPr>
    </w:p>
    <w:p>
      <w:pPr>
        <w:rPr>
          <w:sz w:val="24"/>
        </w:rPr>
      </w:pPr>
    </w:p>
    <w:p>
      <w:pPr>
        <w:pStyle w:val="2"/>
        <w:rPr>
          <w:sz w:val="24"/>
        </w:rPr>
      </w:pPr>
    </w:p>
    <w:p>
      <w:pPr>
        <w:pStyle w:val="3"/>
        <w:rPr>
          <w:sz w:val="24"/>
        </w:rPr>
      </w:pPr>
    </w:p>
    <w:p>
      <w:pPr>
        <w:pStyle w:val="4"/>
      </w:pPr>
    </w:p>
    <w:p>
      <w:pPr>
        <w:spacing w:line="360" w:lineRule="auto"/>
        <w:rPr>
          <w:sz w:val="24"/>
        </w:rPr>
      </w:pPr>
    </w:p>
    <w:p>
      <w:pPr>
        <w:pStyle w:val="7"/>
        <w:jc w:val="center"/>
        <w:rPr>
          <w:rFonts w:ascii="宋体" w:hAnsi="宋体" w:eastAsia="宋体" w:cs="宋体"/>
          <w:sz w:val="28"/>
          <w:szCs w:val="22"/>
        </w:rPr>
      </w:pPr>
      <w:bookmarkStart w:id="41" w:name="_Toc28901"/>
      <w:r>
        <w:rPr>
          <w:rFonts w:hint="eastAsia" w:ascii="宋体" w:hAnsi="宋体" w:eastAsia="宋体" w:cs="宋体"/>
          <w:sz w:val="28"/>
          <w:szCs w:val="22"/>
        </w:rPr>
        <w:t>第二节  专用合同条款</w:t>
      </w:r>
      <w:bookmarkEnd w:id="41"/>
    </w:p>
    <w:p>
      <w:pPr>
        <w:pStyle w:val="4"/>
        <w:spacing w:line="360" w:lineRule="auto"/>
        <w:jc w:val="center"/>
        <w:rPr>
          <w:b/>
        </w:rPr>
      </w:pPr>
      <w:r>
        <w:rPr>
          <w:b/>
        </w:rPr>
        <w:t>政府采购合同格式</w:t>
      </w:r>
    </w:p>
    <w:p>
      <w:pPr>
        <w:pStyle w:val="4"/>
        <w:spacing w:line="360" w:lineRule="auto"/>
      </w:pPr>
      <w:r>
        <w:t>　　甲方(需方):____________________</w:t>
      </w:r>
    </w:p>
    <w:p>
      <w:pPr>
        <w:pStyle w:val="4"/>
        <w:spacing w:line="360" w:lineRule="auto"/>
      </w:pPr>
      <w:r>
        <w:t>　　乙方(供方):____________________</w:t>
      </w:r>
    </w:p>
    <w:p>
      <w:pPr>
        <w:pStyle w:val="4"/>
        <w:spacing w:line="360" w:lineRule="auto"/>
      </w:pPr>
      <w:r>
        <w:t>　　经过双方友好协商,依据《中华人民共和国合同法》,双方同意签订以下合同条款,以便双方共同遵守,履行合同.</w:t>
      </w:r>
    </w:p>
    <w:p>
      <w:pPr>
        <w:pStyle w:val="4"/>
        <w:spacing w:line="360" w:lineRule="auto"/>
      </w:pPr>
      <w:r>
        <w:t>　　一,产品清单及付款方式</w:t>
      </w:r>
    </w:p>
    <w:p>
      <w:pPr>
        <w:pStyle w:val="4"/>
        <w:spacing w:line="360" w:lineRule="auto"/>
      </w:pPr>
      <w:r>
        <w:t>　　1.产品清单及价格(此表须与招标文件一致,可附后)</w:t>
      </w:r>
    </w:p>
    <w:p>
      <w:pPr>
        <w:pStyle w:val="4"/>
        <w:spacing w:line="360" w:lineRule="auto"/>
      </w:pPr>
      <w:r>
        <w:t>　　设备名称 ____________________</w:t>
      </w:r>
    </w:p>
    <w:p>
      <w:pPr>
        <w:pStyle w:val="4"/>
        <w:spacing w:line="360" w:lineRule="auto"/>
      </w:pPr>
      <w:r>
        <w:t>　　设备型号 ____________________</w:t>
      </w:r>
    </w:p>
    <w:p>
      <w:pPr>
        <w:pStyle w:val="4"/>
        <w:spacing w:line="360" w:lineRule="auto"/>
      </w:pPr>
      <w:r>
        <w:t>　　数量 ____________________</w:t>
      </w:r>
    </w:p>
    <w:p>
      <w:pPr>
        <w:pStyle w:val="4"/>
        <w:spacing w:line="360" w:lineRule="auto"/>
      </w:pPr>
      <w:r>
        <w:t>　　单价 ____________________</w:t>
      </w:r>
    </w:p>
    <w:p>
      <w:pPr>
        <w:pStyle w:val="4"/>
        <w:spacing w:line="360" w:lineRule="auto"/>
      </w:pPr>
      <w:r>
        <w:t>　　合计 ____________________</w:t>
      </w:r>
    </w:p>
    <w:p>
      <w:pPr>
        <w:pStyle w:val="4"/>
        <w:spacing w:line="360" w:lineRule="auto"/>
      </w:pPr>
      <w:r>
        <w:t>　　中标总价格(大写)</w:t>
      </w:r>
    </w:p>
    <w:p>
      <w:pPr>
        <w:pStyle w:val="4"/>
        <w:spacing w:line="360" w:lineRule="auto"/>
      </w:pPr>
      <w:r>
        <w:t>　　2.付款方式</w:t>
      </w:r>
    </w:p>
    <w:p>
      <w:pPr>
        <w:pStyle w:val="4"/>
        <w:spacing w:line="360" w:lineRule="auto"/>
      </w:pPr>
      <w:r>
        <w:t>　　全部设备验收合格后的七日内,甲方向乙方支付合同总金额的</w:t>
      </w:r>
      <w:r>
        <w:rPr>
          <w:rFonts w:hint="eastAsia"/>
          <w:u w:val="single"/>
        </w:rPr>
        <w:t xml:space="preserve">   %</w:t>
      </w:r>
      <w:r>
        <w:t>即</w:t>
      </w:r>
      <w:r>
        <w:rPr>
          <w:rFonts w:hint="eastAsia"/>
          <w:u w:val="single"/>
        </w:rPr>
        <w:t xml:space="preserve">    </w:t>
      </w:r>
      <w:r>
        <w:t>元人民币整</w:t>
      </w:r>
      <w:r>
        <w:rPr>
          <w:rFonts w:hint="eastAsia"/>
        </w:rPr>
        <w:t>。</w:t>
      </w:r>
      <w:r>
        <w:t>.</w:t>
      </w:r>
    </w:p>
    <w:p>
      <w:pPr>
        <w:pStyle w:val="4"/>
        <w:spacing w:line="360" w:lineRule="auto"/>
      </w:pPr>
      <w:r>
        <w:t>　　合同总金额</w:t>
      </w:r>
      <w:r>
        <w:rPr>
          <w:rFonts w:hint="eastAsia"/>
          <w:u w:val="single"/>
        </w:rPr>
        <w:t xml:space="preserve">   </w:t>
      </w:r>
      <w:r>
        <w:t>%的余款即</w:t>
      </w:r>
      <w:r>
        <w:rPr>
          <w:rFonts w:hint="eastAsia"/>
          <w:u w:val="single"/>
        </w:rPr>
        <w:t xml:space="preserve">    </w:t>
      </w:r>
      <w:r>
        <w:t>元人民币作为质保金,若设备运行正常,质保金在验收完成一年后的七日内一次性无息给付.</w:t>
      </w:r>
    </w:p>
    <w:p>
      <w:pPr>
        <w:pStyle w:val="4"/>
        <w:spacing w:line="360" w:lineRule="auto"/>
      </w:pPr>
      <w:r>
        <w:t>　　二,交货时间及地点</w:t>
      </w:r>
    </w:p>
    <w:p>
      <w:pPr>
        <w:pStyle w:val="4"/>
        <w:spacing w:line="360" w:lineRule="auto"/>
      </w:pPr>
      <w:r>
        <w:t xml:space="preserve">　　1.交货时间: </w:t>
      </w:r>
      <w:r>
        <w:rPr>
          <w:u w:val="single"/>
        </w:rPr>
        <w:t>(投标文件承诺时间)</w:t>
      </w:r>
      <w:r>
        <w:t>.若延期交货,乙方每天应向甲方缴纳延期额的千分之一作为罚金.</w:t>
      </w:r>
    </w:p>
    <w:p>
      <w:pPr>
        <w:pStyle w:val="4"/>
        <w:spacing w:line="360" w:lineRule="auto"/>
      </w:pPr>
      <w:r>
        <w:t>　　因不可抗拒力所导致的交货,服务及付款延迟等按照《中华人民共和国合同法》有关条文处理.</w:t>
      </w:r>
    </w:p>
    <w:p>
      <w:pPr>
        <w:pStyle w:val="4"/>
        <w:spacing w:line="360" w:lineRule="auto"/>
      </w:pPr>
      <w:r>
        <w:t>　　2.交货地点:送货上门,安装调试.</w:t>
      </w:r>
    </w:p>
    <w:p>
      <w:pPr>
        <w:pStyle w:val="4"/>
        <w:spacing w:line="360" w:lineRule="auto"/>
      </w:pPr>
      <w:r>
        <w:t>　　三,保修条款</w:t>
      </w:r>
    </w:p>
    <w:p>
      <w:pPr>
        <w:pStyle w:val="4"/>
        <w:spacing w:line="360" w:lineRule="auto"/>
      </w:pPr>
      <w:r>
        <w:t>　　乙方针对本项目的售后服务保修措施祥述(投标文件承诺内容).</w:t>
      </w:r>
    </w:p>
    <w:p>
      <w:pPr>
        <w:pStyle w:val="4"/>
        <w:spacing w:line="360" w:lineRule="auto"/>
      </w:pPr>
      <w:r>
        <w:t>　　四,相关权利及义务</w:t>
      </w:r>
    </w:p>
    <w:p>
      <w:pPr>
        <w:pStyle w:val="4"/>
        <w:spacing w:line="360" w:lineRule="auto"/>
      </w:pPr>
      <w:r>
        <w:t>　　1.甲方收到乙方设备后,乙方应及时验收,验收时可对不符合合同要求及评标样本的设备或产品拒绝接收;</w:t>
      </w:r>
    </w:p>
    <w:p>
      <w:pPr>
        <w:pStyle w:val="4"/>
        <w:spacing w:line="360" w:lineRule="auto"/>
      </w:pPr>
      <w:r>
        <w:t>　　2.甲方有权监督乙方对所交付设备进行安装调试,并督导完成;</w:t>
      </w:r>
    </w:p>
    <w:p>
      <w:pPr>
        <w:pStyle w:val="4"/>
        <w:spacing w:line="360" w:lineRule="auto"/>
      </w:pPr>
      <w:r>
        <w:t>　　3.甲方有权监督乙方的售后服务,并对乙方的售后服务不符合合同要求时加以指出乃至追究合同责任;</w:t>
      </w:r>
    </w:p>
    <w:p>
      <w:pPr>
        <w:pStyle w:val="4"/>
        <w:spacing w:line="360" w:lineRule="auto"/>
      </w:pPr>
      <w:r>
        <w:t>　　4.甲方在合同规定期限内履行付款责任;</w:t>
      </w:r>
    </w:p>
    <w:p>
      <w:pPr>
        <w:pStyle w:val="4"/>
        <w:spacing w:line="360" w:lineRule="auto"/>
      </w:pPr>
      <w:r>
        <w:t>　　5.甲方在乙方进行安装调试时应给予协助和协调各方关系,乙方应及时提出需要甲方协助和协调的内容,以便保证合同的正常履行;</w:t>
      </w:r>
    </w:p>
    <w:p>
      <w:pPr>
        <w:pStyle w:val="4"/>
        <w:spacing w:line="360" w:lineRule="auto"/>
      </w:pPr>
      <w:r>
        <w:t>　　6.甲方对乙方的技术及商业机密予以保密;</w:t>
      </w:r>
    </w:p>
    <w:p>
      <w:pPr>
        <w:pStyle w:val="4"/>
        <w:spacing w:line="360" w:lineRule="auto"/>
      </w:pPr>
      <w:r>
        <w:t>　　7.乙方有权按照合同,要求甲方支付相应款项;</w:t>
      </w:r>
    </w:p>
    <w:p>
      <w:pPr>
        <w:pStyle w:val="4"/>
        <w:spacing w:line="360" w:lineRule="auto"/>
      </w:pPr>
      <w:r>
        <w:t>　　8.乙方有权在实施安装调试时,提出合乎情理的协助要求;</w:t>
      </w:r>
    </w:p>
    <w:p>
      <w:pPr>
        <w:pStyle w:val="4"/>
        <w:spacing w:line="360" w:lineRule="auto"/>
      </w:pPr>
      <w:r>
        <w:t>　　9.双方指定联系人,所有保修过程均应由双方经手人签字纪录.</w:t>
      </w:r>
    </w:p>
    <w:p>
      <w:pPr>
        <w:pStyle w:val="4"/>
        <w:spacing w:line="360" w:lineRule="auto"/>
      </w:pPr>
      <w:r>
        <w:t>　　五,争议</w:t>
      </w:r>
    </w:p>
    <w:p>
      <w:pPr>
        <w:pStyle w:val="4"/>
        <w:spacing w:line="360" w:lineRule="auto"/>
      </w:pPr>
      <w:r>
        <w:t>　　双方本着友好合作的态度,对合同履行过程中发生的违约行为进行及时的协商解决,如不能协商解决可通过法律诉讼解决.六,其它</w:t>
      </w:r>
    </w:p>
    <w:p>
      <w:pPr>
        <w:pStyle w:val="4"/>
        <w:spacing w:line="360" w:lineRule="auto"/>
      </w:pPr>
      <w:r>
        <w:t>　　1.本合同一式四份,甲乙双方各执一份,政府采购管理办公室一份,政府采购中心一份;</w:t>
      </w:r>
    </w:p>
    <w:p>
      <w:pPr>
        <w:pStyle w:val="4"/>
        <w:spacing w:line="360" w:lineRule="auto"/>
      </w:pPr>
      <w:r>
        <w:t>　　2.本合同自签订之日起生效;</w:t>
      </w:r>
    </w:p>
    <w:p>
      <w:pPr>
        <w:pStyle w:val="4"/>
        <w:spacing w:line="360" w:lineRule="auto"/>
      </w:pPr>
      <w:r>
        <w:t>　　3.本项目的招标文件,投标文件,中标通知书是合同的附件,与合同具有同等的法律效力;</w:t>
      </w:r>
    </w:p>
    <w:p>
      <w:pPr>
        <w:pStyle w:val="4"/>
        <w:spacing w:line="360" w:lineRule="auto"/>
      </w:pPr>
      <w:r>
        <w:t>　　4.其它未尽事宜,由双方友好协商解决,并参照《中华人民共和国合同法》有关条款执行.</w:t>
      </w:r>
    </w:p>
    <w:p>
      <w:pPr>
        <w:pStyle w:val="4"/>
        <w:spacing w:line="360" w:lineRule="auto"/>
      </w:pPr>
      <w:r>
        <w:t>　　甲方(印章): ____________________ 乙方(印章): ____________________</w:t>
      </w:r>
    </w:p>
    <w:p>
      <w:pPr>
        <w:pStyle w:val="4"/>
        <w:spacing w:line="360" w:lineRule="auto"/>
      </w:pPr>
      <w:r>
        <w:t>　　甲方代表(签字): ________________</w:t>
      </w:r>
      <w:r>
        <w:rPr>
          <w:rFonts w:hint="eastAsia"/>
        </w:rPr>
        <w:t xml:space="preserve"> </w:t>
      </w:r>
      <w:r>
        <w:t>乙方代表(签字</w:t>
      </w:r>
      <w:r>
        <w:rPr>
          <w:rFonts w:hint="eastAsia"/>
        </w:rPr>
        <w:t>）：</w:t>
      </w:r>
      <w:r>
        <w:t>_________________</w:t>
      </w:r>
    </w:p>
    <w:p>
      <w:pPr>
        <w:pStyle w:val="4"/>
        <w:spacing w:line="360" w:lineRule="auto"/>
      </w:pPr>
      <w:r>
        <w:t xml:space="preserve">　　地址: ____________________ </w:t>
      </w:r>
      <w:r>
        <w:rPr>
          <w:rFonts w:hint="eastAsia"/>
        </w:rPr>
        <w:t xml:space="preserve">     </w:t>
      </w:r>
      <w:r>
        <w:t>地址: ____________________</w:t>
      </w:r>
    </w:p>
    <w:p>
      <w:pPr>
        <w:pStyle w:val="4"/>
        <w:spacing w:line="360" w:lineRule="auto"/>
      </w:pPr>
      <w:r>
        <w:t>　　电话: ____________________ 电话: ____________________</w:t>
      </w:r>
    </w:p>
    <w:p>
      <w:pPr>
        <w:pStyle w:val="4"/>
        <w:spacing w:line="360" w:lineRule="auto"/>
      </w:pPr>
      <w:r>
        <w:t>　　日期: ____________________</w:t>
      </w:r>
      <w:r>
        <w:rPr>
          <w:rFonts w:hint="eastAsia"/>
        </w:rPr>
        <w:t xml:space="preserve"> </w:t>
      </w:r>
      <w:r>
        <w:t>日期: ____________________</w:t>
      </w:r>
    </w:p>
    <w:p>
      <w:pPr>
        <w:rPr>
          <w:sz w:val="72"/>
          <w:szCs w:val="40"/>
        </w:rPr>
      </w:pPr>
    </w:p>
    <w:p>
      <w:pPr>
        <w:pStyle w:val="20"/>
        <w:rPr>
          <w:sz w:val="72"/>
          <w:szCs w:val="40"/>
        </w:rPr>
      </w:pPr>
    </w:p>
    <w:p>
      <w:pPr>
        <w:pStyle w:val="10"/>
        <w:ind w:left="1680"/>
        <w:rPr>
          <w:sz w:val="72"/>
          <w:szCs w:val="40"/>
        </w:rPr>
      </w:pPr>
    </w:p>
    <w:p>
      <w:pPr>
        <w:rPr>
          <w:sz w:val="72"/>
          <w:szCs w:val="40"/>
        </w:rPr>
      </w:pPr>
    </w:p>
    <w:p>
      <w:pPr>
        <w:pStyle w:val="20"/>
        <w:rPr>
          <w:sz w:val="72"/>
          <w:szCs w:val="40"/>
        </w:rPr>
      </w:pPr>
    </w:p>
    <w:p>
      <w:pPr>
        <w:pStyle w:val="10"/>
        <w:ind w:left="1680"/>
        <w:rPr>
          <w:sz w:val="72"/>
          <w:szCs w:val="40"/>
        </w:rPr>
      </w:pPr>
    </w:p>
    <w:p>
      <w:pPr>
        <w:rPr>
          <w:sz w:val="72"/>
          <w:szCs w:val="40"/>
        </w:rPr>
      </w:pPr>
    </w:p>
    <w:p>
      <w:pPr>
        <w:pStyle w:val="20"/>
        <w:rPr>
          <w:sz w:val="72"/>
          <w:szCs w:val="40"/>
        </w:rPr>
      </w:pPr>
    </w:p>
    <w:p/>
    <w:p>
      <w:pPr>
        <w:pStyle w:val="13"/>
      </w:pPr>
    </w:p>
    <w:p/>
    <w:p>
      <w:pPr>
        <w:pStyle w:val="13"/>
      </w:pPr>
    </w:p>
    <w:p/>
    <w:p>
      <w:pPr>
        <w:pStyle w:val="13"/>
      </w:pPr>
    </w:p>
    <w:p/>
    <w:p>
      <w:pPr>
        <w:pStyle w:val="13"/>
      </w:pPr>
    </w:p>
    <w:p/>
    <w:p>
      <w:pPr>
        <w:pStyle w:val="13"/>
      </w:pPr>
    </w:p>
    <w:p/>
    <w:p>
      <w:pPr>
        <w:pStyle w:val="13"/>
      </w:pPr>
    </w:p>
    <w:p/>
    <w:p>
      <w:pPr>
        <w:pStyle w:val="13"/>
      </w:pPr>
    </w:p>
    <w:p/>
    <w:p>
      <w:pPr>
        <w:pStyle w:val="31"/>
      </w:pPr>
    </w:p>
    <w:p>
      <w:pPr>
        <w:pStyle w:val="5"/>
      </w:pPr>
    </w:p>
    <w:p/>
    <w:p>
      <w:pPr>
        <w:pStyle w:val="31"/>
      </w:pPr>
    </w:p>
    <w:p>
      <w:pPr>
        <w:pStyle w:val="5"/>
      </w:pPr>
    </w:p>
    <w:p/>
    <w:p>
      <w:pPr>
        <w:pStyle w:val="2"/>
      </w:pPr>
    </w:p>
    <w:p/>
    <w:p>
      <w:pPr>
        <w:pStyle w:val="5"/>
        <w:jc w:val="both"/>
        <w:rPr>
          <w:sz w:val="72"/>
          <w:szCs w:val="40"/>
        </w:rPr>
      </w:pPr>
      <w:bookmarkStart w:id="42" w:name="_Toc16778"/>
      <w:r>
        <w:rPr>
          <w:rFonts w:hint="eastAsia"/>
          <w:sz w:val="72"/>
          <w:szCs w:val="40"/>
        </w:rPr>
        <w:t>第五章  技术标准和要求</w:t>
      </w:r>
      <w:bookmarkEnd w:id="42"/>
    </w:p>
    <w:p>
      <w:pPr>
        <w:pStyle w:val="5"/>
        <w:rPr>
          <w:sz w:val="72"/>
          <w:szCs w:val="40"/>
        </w:rPr>
      </w:pPr>
    </w:p>
    <w:p>
      <w:pPr>
        <w:rPr>
          <w:sz w:val="72"/>
          <w:szCs w:val="40"/>
        </w:rPr>
      </w:pPr>
    </w:p>
    <w:p>
      <w:pPr>
        <w:pStyle w:val="2"/>
        <w:rPr>
          <w:sz w:val="72"/>
          <w:szCs w:val="40"/>
        </w:rPr>
      </w:pPr>
    </w:p>
    <w:p>
      <w:pPr>
        <w:pStyle w:val="3"/>
      </w:pPr>
    </w:p>
    <w:p>
      <w:pPr>
        <w:rPr>
          <w:sz w:val="72"/>
          <w:szCs w:val="40"/>
        </w:rPr>
      </w:pPr>
    </w:p>
    <w:p>
      <w:pPr>
        <w:pStyle w:val="20"/>
      </w:pPr>
    </w:p>
    <w:p>
      <w:pPr>
        <w:rPr>
          <w:sz w:val="72"/>
          <w:szCs w:val="40"/>
        </w:rPr>
      </w:pPr>
    </w:p>
    <w:p>
      <w:pPr>
        <w:jc w:val="center"/>
        <w:rPr>
          <w:rFonts w:ascii="宋体" w:hAnsi="宋体" w:eastAsia="宋体"/>
          <w:b/>
          <w:color w:val="000000"/>
          <w:sz w:val="40"/>
          <w:szCs w:val="27"/>
        </w:rPr>
      </w:pPr>
    </w:p>
    <w:p>
      <w:pPr>
        <w:jc w:val="center"/>
        <w:rPr>
          <w:rFonts w:ascii="宋体" w:hAnsi="宋体" w:eastAsia="宋体"/>
          <w:b/>
          <w:color w:val="000000"/>
          <w:sz w:val="40"/>
          <w:szCs w:val="27"/>
        </w:rPr>
      </w:pPr>
      <w:r>
        <w:rPr>
          <w:rFonts w:ascii="宋体" w:hAnsi="宋体" w:eastAsia="宋体"/>
          <w:b/>
          <w:color w:val="000000"/>
          <w:sz w:val="40"/>
          <w:szCs w:val="27"/>
        </w:rPr>
        <w:t>项目需求</w:t>
      </w:r>
    </w:p>
    <w:p>
      <w:pPr>
        <w:jc w:val="center"/>
        <w:rPr>
          <w:rFonts w:ascii="宋体" w:hAnsi="宋体" w:eastAsia="宋体"/>
          <w:b/>
          <w:color w:val="000000"/>
          <w:sz w:val="28"/>
          <w:szCs w:val="27"/>
        </w:rPr>
      </w:pPr>
      <w:r>
        <w:rPr>
          <w:rFonts w:hint="eastAsia" w:ascii="宋体" w:hAnsi="宋体" w:eastAsia="宋体"/>
          <w:b/>
          <w:color w:val="000000"/>
          <w:sz w:val="28"/>
          <w:szCs w:val="27"/>
        </w:rPr>
        <w:t>第一部分：项目采购需求</w:t>
      </w:r>
    </w:p>
    <w:p>
      <w:pPr>
        <w:jc w:val="left"/>
        <w:rPr>
          <w:rFonts w:ascii="宋体" w:hAnsi="宋体" w:eastAsia="宋体"/>
          <w:b/>
          <w:color w:val="000000"/>
          <w:sz w:val="36"/>
          <w:szCs w:val="27"/>
        </w:rPr>
      </w:pPr>
      <w:r>
        <w:rPr>
          <w:rFonts w:ascii="宋体" w:hAnsi="宋体" w:eastAsia="宋体"/>
          <w:b/>
          <w:sz w:val="24"/>
        </w:rPr>
        <w:t>采购预算：100万元                               资金来源：财政资金</w:t>
      </w:r>
    </w:p>
    <w:tbl>
      <w:tblPr>
        <w:tblStyle w:val="26"/>
        <w:tblpPr w:leftFromText="11" w:rightFromText="11" w:vertAnchor="text" w:horzAnchor="page" w:tblpXSpec="center" w:tblpY="41"/>
        <w:tblOverlap w:val="never"/>
        <w:tblW w:w="55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410"/>
        <w:gridCol w:w="2355"/>
        <w:gridCol w:w="1102"/>
        <w:gridCol w:w="941"/>
        <w:gridCol w:w="1414"/>
        <w:gridCol w:w="1096"/>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exact"/>
        </w:trPr>
        <w:tc>
          <w:tcPr>
            <w:tcW w:w="462" w:type="pct"/>
            <w:vAlign w:val="center"/>
          </w:tcPr>
          <w:p>
            <w:pPr>
              <w:spacing w:line="500" w:lineRule="exact"/>
              <w:contextualSpacing/>
              <w:jc w:val="center"/>
              <w:rPr>
                <w:rFonts w:ascii="宋体" w:hAnsi="宋体" w:eastAsia="宋体" w:cs="仿宋"/>
                <w:b/>
                <w:w w:val="97"/>
                <w:kern w:val="0"/>
                <w:sz w:val="24"/>
                <w:szCs w:val="28"/>
              </w:rPr>
            </w:pPr>
            <w:r>
              <w:rPr>
                <w:rFonts w:hint="eastAsia" w:ascii="宋体" w:hAnsi="宋体" w:eastAsia="宋体" w:cs="仿宋"/>
                <w:b/>
                <w:w w:val="97"/>
                <w:kern w:val="0"/>
                <w:sz w:val="24"/>
                <w:szCs w:val="28"/>
              </w:rPr>
              <w:t>序号</w:t>
            </w:r>
          </w:p>
        </w:tc>
        <w:tc>
          <w:tcPr>
            <w:tcW w:w="692" w:type="pct"/>
            <w:vAlign w:val="center"/>
          </w:tcPr>
          <w:p>
            <w:pPr>
              <w:spacing w:line="500" w:lineRule="exact"/>
              <w:contextualSpacing/>
              <w:jc w:val="center"/>
              <w:rPr>
                <w:rFonts w:ascii="宋体" w:hAnsi="宋体" w:eastAsia="宋体" w:cs="仿宋"/>
                <w:b/>
                <w:w w:val="97"/>
                <w:kern w:val="0"/>
                <w:sz w:val="24"/>
                <w:szCs w:val="28"/>
              </w:rPr>
            </w:pPr>
            <w:r>
              <w:rPr>
                <w:rFonts w:hint="eastAsia" w:ascii="宋体" w:hAnsi="宋体" w:eastAsia="宋体" w:cs="仿宋"/>
                <w:b/>
                <w:w w:val="97"/>
                <w:kern w:val="0"/>
                <w:sz w:val="24"/>
                <w:szCs w:val="28"/>
              </w:rPr>
              <w:t>项目名称</w:t>
            </w:r>
          </w:p>
        </w:tc>
        <w:tc>
          <w:tcPr>
            <w:tcW w:w="1156" w:type="pct"/>
            <w:vAlign w:val="center"/>
          </w:tcPr>
          <w:p>
            <w:pPr>
              <w:spacing w:line="500" w:lineRule="exact"/>
              <w:contextualSpacing/>
              <w:jc w:val="center"/>
              <w:rPr>
                <w:rFonts w:ascii="宋体" w:hAnsi="宋体" w:eastAsia="宋体" w:cs="仿宋"/>
                <w:b/>
                <w:w w:val="97"/>
                <w:kern w:val="0"/>
                <w:sz w:val="24"/>
                <w:szCs w:val="28"/>
              </w:rPr>
            </w:pPr>
            <w:r>
              <w:rPr>
                <w:rFonts w:hint="eastAsia" w:ascii="宋体" w:hAnsi="宋体" w:eastAsia="宋体" w:cs="仿宋"/>
                <w:b/>
                <w:w w:val="97"/>
                <w:kern w:val="0"/>
                <w:sz w:val="24"/>
                <w:szCs w:val="28"/>
              </w:rPr>
              <w:t>主要内容</w:t>
            </w:r>
          </w:p>
        </w:tc>
        <w:tc>
          <w:tcPr>
            <w:tcW w:w="541" w:type="pct"/>
            <w:vAlign w:val="center"/>
          </w:tcPr>
          <w:p>
            <w:pPr>
              <w:spacing w:line="500" w:lineRule="exact"/>
              <w:contextualSpacing/>
              <w:jc w:val="center"/>
              <w:rPr>
                <w:rFonts w:ascii="宋体" w:hAnsi="宋体" w:eastAsia="宋体" w:cs="仿宋"/>
                <w:b/>
                <w:w w:val="97"/>
                <w:kern w:val="0"/>
                <w:sz w:val="24"/>
                <w:szCs w:val="28"/>
              </w:rPr>
            </w:pPr>
            <w:r>
              <w:rPr>
                <w:rFonts w:hint="eastAsia" w:ascii="宋体" w:hAnsi="宋体" w:eastAsia="宋体" w:cs="仿宋"/>
                <w:b/>
                <w:w w:val="97"/>
                <w:kern w:val="0"/>
                <w:sz w:val="24"/>
                <w:szCs w:val="28"/>
              </w:rPr>
              <w:t>参数</w:t>
            </w:r>
          </w:p>
        </w:tc>
        <w:tc>
          <w:tcPr>
            <w:tcW w:w="462" w:type="pct"/>
            <w:vAlign w:val="center"/>
          </w:tcPr>
          <w:p>
            <w:pPr>
              <w:spacing w:line="500" w:lineRule="exact"/>
              <w:contextualSpacing/>
              <w:jc w:val="center"/>
              <w:rPr>
                <w:rFonts w:ascii="宋体" w:hAnsi="宋体" w:eastAsia="宋体" w:cs="仿宋"/>
                <w:b/>
                <w:w w:val="97"/>
                <w:kern w:val="0"/>
                <w:sz w:val="24"/>
                <w:szCs w:val="28"/>
              </w:rPr>
            </w:pPr>
            <w:r>
              <w:rPr>
                <w:rFonts w:hint="eastAsia" w:ascii="宋体" w:hAnsi="宋体" w:eastAsia="宋体" w:cs="仿宋"/>
                <w:b/>
                <w:w w:val="97"/>
                <w:kern w:val="0"/>
                <w:sz w:val="24"/>
                <w:szCs w:val="28"/>
              </w:rPr>
              <w:t>数量</w:t>
            </w:r>
          </w:p>
        </w:tc>
        <w:tc>
          <w:tcPr>
            <w:tcW w:w="694" w:type="pct"/>
            <w:vAlign w:val="center"/>
          </w:tcPr>
          <w:p>
            <w:pPr>
              <w:spacing w:line="500" w:lineRule="exact"/>
              <w:contextualSpacing/>
              <w:jc w:val="center"/>
              <w:rPr>
                <w:rFonts w:ascii="宋体" w:hAnsi="宋体" w:eastAsia="宋体" w:cs="仿宋"/>
                <w:b/>
                <w:w w:val="97"/>
                <w:kern w:val="0"/>
                <w:sz w:val="24"/>
                <w:szCs w:val="28"/>
              </w:rPr>
            </w:pPr>
            <w:r>
              <w:rPr>
                <w:rFonts w:hint="eastAsia" w:ascii="宋体" w:hAnsi="宋体" w:eastAsia="宋体" w:cs="仿宋"/>
                <w:b/>
                <w:w w:val="97"/>
                <w:kern w:val="0"/>
                <w:sz w:val="24"/>
                <w:szCs w:val="28"/>
              </w:rPr>
              <w:t>服务期限</w:t>
            </w:r>
          </w:p>
        </w:tc>
        <w:tc>
          <w:tcPr>
            <w:tcW w:w="538" w:type="pct"/>
            <w:vAlign w:val="center"/>
          </w:tcPr>
          <w:p>
            <w:pPr>
              <w:spacing w:line="500" w:lineRule="exact"/>
              <w:contextualSpacing/>
              <w:jc w:val="center"/>
              <w:rPr>
                <w:rFonts w:ascii="宋体" w:hAnsi="宋体" w:eastAsia="宋体" w:cs="仿宋"/>
                <w:b/>
                <w:w w:val="97"/>
                <w:kern w:val="0"/>
                <w:sz w:val="24"/>
                <w:szCs w:val="28"/>
              </w:rPr>
            </w:pPr>
            <w:r>
              <w:rPr>
                <w:rFonts w:hint="eastAsia" w:ascii="宋体" w:hAnsi="宋体" w:eastAsia="宋体" w:cs="仿宋"/>
                <w:b/>
                <w:w w:val="97"/>
                <w:kern w:val="0"/>
                <w:sz w:val="24"/>
                <w:szCs w:val="28"/>
              </w:rPr>
              <w:t>地点</w:t>
            </w:r>
          </w:p>
        </w:tc>
        <w:tc>
          <w:tcPr>
            <w:tcW w:w="454" w:type="pct"/>
            <w:vAlign w:val="center"/>
          </w:tcPr>
          <w:p>
            <w:pPr>
              <w:spacing w:line="500" w:lineRule="exact"/>
              <w:contextualSpacing/>
              <w:jc w:val="center"/>
              <w:rPr>
                <w:rFonts w:ascii="宋体" w:hAnsi="宋体" w:eastAsia="宋体" w:cs="仿宋"/>
                <w:b/>
                <w:w w:val="97"/>
                <w:kern w:val="0"/>
                <w:sz w:val="24"/>
                <w:szCs w:val="28"/>
              </w:rPr>
            </w:pPr>
            <w:r>
              <w:rPr>
                <w:rFonts w:hint="eastAsia" w:ascii="宋体" w:hAnsi="宋体" w:eastAsia="宋体" w:cs="仿宋"/>
                <w:b/>
                <w:w w:val="97"/>
                <w:kern w:val="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exact"/>
        </w:trPr>
        <w:tc>
          <w:tcPr>
            <w:tcW w:w="462" w:type="pct"/>
            <w:vMerge w:val="restart"/>
            <w:vAlign w:val="center"/>
          </w:tcPr>
          <w:p>
            <w:pPr>
              <w:spacing w:line="500" w:lineRule="exact"/>
              <w:contextualSpacing/>
              <w:jc w:val="center"/>
              <w:rPr>
                <w:rFonts w:ascii="宋体" w:hAnsi="宋体" w:eastAsia="宋体" w:cs="仿宋"/>
                <w:w w:val="97"/>
                <w:kern w:val="0"/>
                <w:sz w:val="24"/>
                <w:szCs w:val="28"/>
              </w:rPr>
            </w:pPr>
            <w:r>
              <w:rPr>
                <w:rFonts w:hint="eastAsia" w:ascii="宋体" w:hAnsi="宋体" w:eastAsia="宋体" w:cs="仿宋"/>
                <w:w w:val="97"/>
                <w:kern w:val="0"/>
                <w:sz w:val="24"/>
                <w:szCs w:val="28"/>
              </w:rPr>
              <w:t>1</w:t>
            </w:r>
          </w:p>
        </w:tc>
        <w:tc>
          <w:tcPr>
            <w:tcW w:w="692" w:type="pct"/>
            <w:vMerge w:val="restart"/>
            <w:vAlign w:val="center"/>
          </w:tcPr>
          <w:p>
            <w:pPr>
              <w:spacing w:line="540" w:lineRule="exact"/>
              <w:jc w:val="center"/>
              <w:rPr>
                <w:rFonts w:ascii="宋体" w:hAnsi="宋体" w:eastAsia="宋体" w:cs="仿宋"/>
                <w:w w:val="97"/>
                <w:kern w:val="0"/>
                <w:sz w:val="24"/>
                <w:szCs w:val="28"/>
              </w:rPr>
            </w:pPr>
            <w:r>
              <w:rPr>
                <w:rFonts w:hint="eastAsia" w:ascii="宋体" w:hAnsi="宋体" w:eastAsia="宋体" w:cs="仿宋"/>
                <w:w w:val="97"/>
                <w:kern w:val="0"/>
                <w:sz w:val="24"/>
                <w:szCs w:val="28"/>
              </w:rPr>
              <w:t>安监局指挥中心提升改造及工业互联网+危化安全生产信息化项目</w:t>
            </w:r>
          </w:p>
        </w:tc>
        <w:tc>
          <w:tcPr>
            <w:tcW w:w="1156" w:type="pct"/>
            <w:vAlign w:val="center"/>
          </w:tcPr>
          <w:p>
            <w:pPr>
              <w:spacing w:line="500" w:lineRule="exact"/>
              <w:contextualSpacing/>
              <w:jc w:val="center"/>
              <w:rPr>
                <w:rFonts w:ascii="宋体" w:hAnsi="宋体" w:eastAsia="宋体" w:cs="仿宋"/>
                <w:w w:val="97"/>
                <w:kern w:val="0"/>
                <w:sz w:val="24"/>
                <w:szCs w:val="28"/>
              </w:rPr>
            </w:pPr>
            <w:r>
              <w:rPr>
                <w:rFonts w:hint="eastAsia" w:ascii="宋体" w:hAnsi="宋体" w:eastAsia="宋体" w:cs="仿宋"/>
                <w:w w:val="97"/>
                <w:kern w:val="0"/>
                <w:sz w:val="24"/>
                <w:szCs w:val="28"/>
              </w:rPr>
              <w:t>指挥中心大屏及硬件提升改造</w:t>
            </w:r>
          </w:p>
        </w:tc>
        <w:tc>
          <w:tcPr>
            <w:tcW w:w="541" w:type="pct"/>
            <w:vMerge w:val="restart"/>
            <w:vAlign w:val="center"/>
          </w:tcPr>
          <w:p>
            <w:pPr>
              <w:spacing w:line="500" w:lineRule="exact"/>
              <w:contextualSpacing/>
              <w:jc w:val="center"/>
              <w:rPr>
                <w:rFonts w:ascii="宋体" w:hAnsi="宋体" w:eastAsia="宋体" w:cs="仿宋"/>
                <w:w w:val="97"/>
                <w:kern w:val="0"/>
                <w:sz w:val="24"/>
                <w:szCs w:val="28"/>
              </w:rPr>
            </w:pPr>
            <w:r>
              <w:rPr>
                <w:rFonts w:hint="eastAsia" w:ascii="宋体" w:hAnsi="宋体" w:eastAsia="宋体" w:cs="仿宋"/>
                <w:w w:val="97"/>
                <w:kern w:val="0"/>
                <w:sz w:val="24"/>
                <w:szCs w:val="28"/>
              </w:rPr>
              <w:t>详见第二部分</w:t>
            </w:r>
          </w:p>
        </w:tc>
        <w:tc>
          <w:tcPr>
            <w:tcW w:w="462" w:type="pct"/>
            <w:vMerge w:val="restart"/>
            <w:vAlign w:val="center"/>
          </w:tcPr>
          <w:p>
            <w:pPr>
              <w:spacing w:line="500" w:lineRule="exact"/>
              <w:contextualSpacing/>
              <w:jc w:val="center"/>
              <w:rPr>
                <w:rFonts w:ascii="宋体" w:hAnsi="宋体" w:eastAsia="宋体" w:cs="仿宋"/>
                <w:w w:val="97"/>
                <w:kern w:val="0"/>
                <w:sz w:val="24"/>
                <w:szCs w:val="28"/>
              </w:rPr>
            </w:pPr>
            <w:r>
              <w:rPr>
                <w:rFonts w:hint="eastAsia" w:ascii="宋体" w:hAnsi="宋体" w:eastAsia="宋体" w:cs="仿宋"/>
                <w:w w:val="97"/>
                <w:kern w:val="0"/>
                <w:sz w:val="24"/>
                <w:szCs w:val="28"/>
              </w:rPr>
              <w:t>1</w:t>
            </w:r>
          </w:p>
        </w:tc>
        <w:tc>
          <w:tcPr>
            <w:tcW w:w="694" w:type="pct"/>
            <w:vMerge w:val="restart"/>
            <w:vAlign w:val="center"/>
          </w:tcPr>
          <w:p>
            <w:pPr>
              <w:spacing w:line="500" w:lineRule="exact"/>
              <w:contextualSpacing/>
              <w:jc w:val="center"/>
              <w:rPr>
                <w:rFonts w:ascii="宋体" w:hAnsi="宋体" w:eastAsia="宋体" w:cs="仿宋"/>
                <w:w w:val="97"/>
                <w:kern w:val="0"/>
                <w:sz w:val="24"/>
                <w:szCs w:val="28"/>
              </w:rPr>
            </w:pPr>
            <w:r>
              <w:rPr>
                <w:rFonts w:hint="eastAsia" w:ascii="宋体" w:hAnsi="宋体" w:eastAsia="宋体" w:cs="仿宋"/>
                <w:w w:val="97"/>
                <w:kern w:val="0"/>
                <w:sz w:val="24"/>
                <w:szCs w:val="28"/>
              </w:rPr>
              <w:t>详见</w:t>
            </w:r>
          </w:p>
          <w:p>
            <w:pPr>
              <w:spacing w:line="500" w:lineRule="exact"/>
              <w:contextualSpacing/>
              <w:jc w:val="center"/>
              <w:rPr>
                <w:rFonts w:ascii="宋体" w:hAnsi="宋体" w:eastAsia="宋体" w:cs="仿宋"/>
                <w:w w:val="97"/>
                <w:kern w:val="0"/>
                <w:sz w:val="24"/>
                <w:szCs w:val="28"/>
              </w:rPr>
            </w:pPr>
            <w:r>
              <w:rPr>
                <w:rFonts w:hint="eastAsia" w:ascii="宋体" w:hAnsi="宋体" w:eastAsia="宋体" w:cs="仿宋"/>
                <w:w w:val="97"/>
                <w:kern w:val="0"/>
                <w:sz w:val="24"/>
                <w:szCs w:val="28"/>
              </w:rPr>
              <w:t>第二部分</w:t>
            </w:r>
          </w:p>
        </w:tc>
        <w:tc>
          <w:tcPr>
            <w:tcW w:w="538" w:type="pct"/>
            <w:vMerge w:val="restart"/>
            <w:vAlign w:val="center"/>
          </w:tcPr>
          <w:p>
            <w:pPr>
              <w:spacing w:line="500" w:lineRule="exact"/>
              <w:contextualSpacing/>
              <w:rPr>
                <w:rFonts w:ascii="宋体" w:hAnsi="宋体" w:eastAsia="宋体" w:cs="仿宋"/>
                <w:w w:val="97"/>
                <w:kern w:val="0"/>
                <w:sz w:val="24"/>
                <w:szCs w:val="28"/>
              </w:rPr>
            </w:pPr>
            <w:r>
              <w:rPr>
                <w:rFonts w:hint="eastAsia" w:ascii="宋体" w:hAnsi="宋体" w:eastAsia="宋体" w:cs="仿宋"/>
                <w:w w:val="97"/>
                <w:kern w:val="0"/>
                <w:sz w:val="24"/>
                <w:szCs w:val="28"/>
              </w:rPr>
              <w:t>详见第二部分</w:t>
            </w:r>
          </w:p>
        </w:tc>
        <w:tc>
          <w:tcPr>
            <w:tcW w:w="454" w:type="pct"/>
            <w:vMerge w:val="restart"/>
            <w:vAlign w:val="center"/>
          </w:tcPr>
          <w:p>
            <w:pPr>
              <w:spacing w:line="500" w:lineRule="exact"/>
              <w:ind w:firstLine="543"/>
              <w:contextualSpacing/>
              <w:jc w:val="center"/>
              <w:rPr>
                <w:rFonts w:ascii="宋体" w:hAnsi="宋体" w:eastAsia="宋体" w:cs="仿宋"/>
                <w:w w:val="97"/>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exact"/>
        </w:trPr>
        <w:tc>
          <w:tcPr>
            <w:tcW w:w="462" w:type="pct"/>
            <w:vMerge w:val="continue"/>
            <w:vAlign w:val="center"/>
          </w:tcPr>
          <w:p>
            <w:pPr>
              <w:spacing w:line="500" w:lineRule="exact"/>
              <w:contextualSpacing/>
              <w:jc w:val="center"/>
              <w:rPr>
                <w:rFonts w:hint="eastAsia" w:ascii="宋体" w:hAnsi="宋体" w:eastAsia="宋体" w:cs="仿宋"/>
                <w:w w:val="97"/>
                <w:kern w:val="0"/>
                <w:sz w:val="24"/>
                <w:szCs w:val="28"/>
              </w:rPr>
            </w:pPr>
          </w:p>
        </w:tc>
        <w:tc>
          <w:tcPr>
            <w:tcW w:w="692" w:type="pct"/>
            <w:vMerge w:val="continue"/>
            <w:vAlign w:val="center"/>
          </w:tcPr>
          <w:p>
            <w:pPr>
              <w:spacing w:line="540" w:lineRule="exact"/>
              <w:jc w:val="center"/>
              <w:rPr>
                <w:rFonts w:hint="eastAsia" w:ascii="宋体" w:hAnsi="宋体" w:eastAsia="宋体" w:cs="仿宋"/>
                <w:w w:val="97"/>
                <w:kern w:val="0"/>
                <w:sz w:val="24"/>
                <w:szCs w:val="28"/>
              </w:rPr>
            </w:pPr>
          </w:p>
        </w:tc>
        <w:tc>
          <w:tcPr>
            <w:tcW w:w="1156" w:type="pct"/>
            <w:vAlign w:val="center"/>
          </w:tcPr>
          <w:p>
            <w:pPr>
              <w:spacing w:line="500" w:lineRule="exact"/>
              <w:contextualSpacing/>
              <w:jc w:val="center"/>
              <w:rPr>
                <w:rFonts w:hint="eastAsia" w:ascii="宋体" w:hAnsi="宋体" w:eastAsia="宋体" w:cs="仿宋"/>
                <w:w w:val="97"/>
                <w:kern w:val="0"/>
                <w:sz w:val="24"/>
                <w:szCs w:val="28"/>
              </w:rPr>
            </w:pPr>
            <w:r>
              <w:rPr>
                <w:rFonts w:hint="eastAsia" w:ascii="宋体" w:hAnsi="宋体" w:eastAsia="宋体" w:cs="仿宋"/>
                <w:w w:val="97"/>
                <w:kern w:val="0"/>
                <w:sz w:val="24"/>
                <w:szCs w:val="28"/>
              </w:rPr>
              <w:t>大会议室大屏及硬件提升改造</w:t>
            </w:r>
          </w:p>
        </w:tc>
        <w:tc>
          <w:tcPr>
            <w:tcW w:w="541" w:type="pct"/>
            <w:vMerge w:val="continue"/>
            <w:vAlign w:val="center"/>
          </w:tcPr>
          <w:p>
            <w:pPr>
              <w:spacing w:line="500" w:lineRule="exact"/>
              <w:contextualSpacing/>
              <w:jc w:val="center"/>
              <w:rPr>
                <w:rFonts w:hint="eastAsia" w:ascii="宋体" w:hAnsi="宋体" w:eastAsia="宋体" w:cs="仿宋"/>
                <w:w w:val="97"/>
                <w:kern w:val="0"/>
                <w:sz w:val="24"/>
                <w:szCs w:val="28"/>
              </w:rPr>
            </w:pPr>
          </w:p>
        </w:tc>
        <w:tc>
          <w:tcPr>
            <w:tcW w:w="462" w:type="pct"/>
            <w:vMerge w:val="continue"/>
            <w:vAlign w:val="center"/>
          </w:tcPr>
          <w:p>
            <w:pPr>
              <w:spacing w:line="500" w:lineRule="exact"/>
              <w:contextualSpacing/>
              <w:jc w:val="center"/>
              <w:rPr>
                <w:rFonts w:hint="eastAsia" w:ascii="宋体" w:hAnsi="宋体" w:eastAsia="宋体" w:cs="仿宋"/>
                <w:w w:val="97"/>
                <w:kern w:val="0"/>
                <w:sz w:val="24"/>
                <w:szCs w:val="28"/>
              </w:rPr>
            </w:pPr>
          </w:p>
        </w:tc>
        <w:tc>
          <w:tcPr>
            <w:tcW w:w="694" w:type="pct"/>
            <w:vMerge w:val="continue"/>
            <w:vAlign w:val="center"/>
          </w:tcPr>
          <w:p>
            <w:pPr>
              <w:spacing w:line="500" w:lineRule="exact"/>
              <w:contextualSpacing/>
              <w:jc w:val="center"/>
              <w:rPr>
                <w:rFonts w:hint="eastAsia" w:ascii="宋体" w:hAnsi="宋体" w:eastAsia="宋体" w:cs="仿宋"/>
                <w:w w:val="97"/>
                <w:kern w:val="0"/>
                <w:sz w:val="24"/>
                <w:szCs w:val="28"/>
              </w:rPr>
            </w:pPr>
          </w:p>
        </w:tc>
        <w:tc>
          <w:tcPr>
            <w:tcW w:w="538" w:type="pct"/>
            <w:vMerge w:val="continue"/>
            <w:vAlign w:val="center"/>
          </w:tcPr>
          <w:p>
            <w:pPr>
              <w:spacing w:line="500" w:lineRule="exact"/>
              <w:contextualSpacing/>
              <w:rPr>
                <w:rFonts w:hint="eastAsia" w:ascii="宋体" w:hAnsi="宋体" w:eastAsia="宋体" w:cs="仿宋"/>
                <w:w w:val="97"/>
                <w:kern w:val="0"/>
                <w:sz w:val="24"/>
                <w:szCs w:val="28"/>
              </w:rPr>
            </w:pPr>
          </w:p>
        </w:tc>
        <w:tc>
          <w:tcPr>
            <w:tcW w:w="454"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6" w:hRule="exact"/>
        </w:trPr>
        <w:tc>
          <w:tcPr>
            <w:tcW w:w="462"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692" w:type="pct"/>
            <w:vMerge w:val="continue"/>
            <w:vAlign w:val="center"/>
          </w:tcPr>
          <w:p>
            <w:pPr>
              <w:spacing w:line="500" w:lineRule="exact"/>
              <w:contextualSpacing/>
              <w:jc w:val="center"/>
              <w:rPr>
                <w:rFonts w:ascii="宋体" w:hAnsi="宋体" w:eastAsia="宋体" w:cs="仿宋"/>
                <w:w w:val="97"/>
                <w:kern w:val="0"/>
                <w:sz w:val="24"/>
                <w:szCs w:val="28"/>
              </w:rPr>
            </w:pPr>
          </w:p>
        </w:tc>
        <w:tc>
          <w:tcPr>
            <w:tcW w:w="1156" w:type="pct"/>
            <w:vAlign w:val="center"/>
          </w:tcPr>
          <w:p>
            <w:pPr>
              <w:spacing w:line="500" w:lineRule="exact"/>
              <w:contextualSpacing/>
              <w:jc w:val="center"/>
              <w:rPr>
                <w:rFonts w:ascii="宋体" w:hAnsi="宋体" w:eastAsia="宋体" w:cs="仿宋"/>
                <w:w w:val="97"/>
                <w:kern w:val="0"/>
                <w:sz w:val="24"/>
                <w:szCs w:val="28"/>
              </w:rPr>
            </w:pPr>
            <w:r>
              <w:rPr>
                <w:rFonts w:hint="eastAsia" w:ascii="宋体" w:hAnsi="宋体" w:eastAsia="宋体" w:cs="仿宋"/>
                <w:w w:val="97"/>
                <w:kern w:val="0"/>
                <w:sz w:val="24"/>
                <w:szCs w:val="28"/>
              </w:rPr>
              <w:t>指挥中心安全监管一张图可视化系统</w:t>
            </w:r>
          </w:p>
        </w:tc>
        <w:tc>
          <w:tcPr>
            <w:tcW w:w="541"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462"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694"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538"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454"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8" w:hRule="exact"/>
        </w:trPr>
        <w:tc>
          <w:tcPr>
            <w:tcW w:w="462" w:type="pct"/>
            <w:vMerge w:val="restart"/>
            <w:vAlign w:val="center"/>
          </w:tcPr>
          <w:p>
            <w:pPr>
              <w:spacing w:line="500" w:lineRule="exact"/>
              <w:contextualSpacing/>
              <w:jc w:val="center"/>
              <w:rPr>
                <w:rFonts w:ascii="宋体" w:hAnsi="宋体" w:eastAsia="宋体" w:cs="仿宋"/>
                <w:w w:val="97"/>
                <w:kern w:val="0"/>
                <w:sz w:val="24"/>
                <w:szCs w:val="28"/>
              </w:rPr>
            </w:pPr>
            <w:r>
              <w:rPr>
                <w:rFonts w:hint="eastAsia" w:ascii="宋体" w:hAnsi="宋体" w:eastAsia="宋体" w:cs="仿宋"/>
                <w:w w:val="97"/>
                <w:kern w:val="0"/>
                <w:sz w:val="24"/>
                <w:szCs w:val="28"/>
              </w:rPr>
              <w:t>2</w:t>
            </w:r>
          </w:p>
        </w:tc>
        <w:tc>
          <w:tcPr>
            <w:tcW w:w="692" w:type="pct"/>
            <w:vMerge w:val="continue"/>
            <w:vAlign w:val="center"/>
          </w:tcPr>
          <w:p>
            <w:pPr>
              <w:spacing w:line="500" w:lineRule="exact"/>
              <w:contextualSpacing/>
              <w:jc w:val="center"/>
              <w:rPr>
                <w:rFonts w:ascii="宋体" w:hAnsi="宋体" w:eastAsia="宋体" w:cs="仿宋"/>
                <w:w w:val="97"/>
                <w:kern w:val="0"/>
                <w:sz w:val="24"/>
                <w:szCs w:val="28"/>
              </w:rPr>
            </w:pPr>
          </w:p>
        </w:tc>
        <w:tc>
          <w:tcPr>
            <w:tcW w:w="1156" w:type="pct"/>
            <w:vAlign w:val="center"/>
          </w:tcPr>
          <w:p>
            <w:pPr>
              <w:spacing w:line="500" w:lineRule="exact"/>
              <w:contextualSpacing/>
              <w:jc w:val="center"/>
              <w:rPr>
                <w:rFonts w:ascii="宋体" w:hAnsi="宋体" w:eastAsia="宋体" w:cs="Times New Roman"/>
                <w:color w:val="000000"/>
                <w:kern w:val="0"/>
                <w:sz w:val="24"/>
                <w:szCs w:val="27"/>
              </w:rPr>
            </w:pPr>
            <w:r>
              <w:rPr>
                <w:rFonts w:hint="eastAsia" w:ascii="宋体" w:hAnsi="宋体" w:eastAsia="宋体" w:cs="仿宋"/>
                <w:w w:val="97"/>
                <w:kern w:val="0"/>
                <w:sz w:val="24"/>
                <w:szCs w:val="28"/>
              </w:rPr>
              <w:t>特殊作业视频图传平台升级改造</w:t>
            </w:r>
          </w:p>
        </w:tc>
        <w:tc>
          <w:tcPr>
            <w:tcW w:w="541" w:type="pct"/>
            <w:vMerge w:val="continue"/>
            <w:vAlign w:val="center"/>
          </w:tcPr>
          <w:p>
            <w:pPr>
              <w:spacing w:line="500" w:lineRule="exact"/>
              <w:contextualSpacing/>
              <w:jc w:val="center"/>
              <w:rPr>
                <w:rFonts w:ascii="宋体" w:hAnsi="宋体" w:eastAsia="宋体" w:cs="仿宋"/>
                <w:w w:val="97"/>
                <w:kern w:val="0"/>
                <w:sz w:val="24"/>
                <w:szCs w:val="28"/>
              </w:rPr>
            </w:pPr>
          </w:p>
        </w:tc>
        <w:tc>
          <w:tcPr>
            <w:tcW w:w="462" w:type="pct"/>
            <w:vMerge w:val="continue"/>
            <w:vAlign w:val="center"/>
          </w:tcPr>
          <w:p>
            <w:pPr>
              <w:spacing w:line="500" w:lineRule="exact"/>
              <w:contextualSpacing/>
              <w:jc w:val="center"/>
              <w:rPr>
                <w:rFonts w:ascii="宋体" w:hAnsi="宋体" w:eastAsia="宋体" w:cs="仿宋"/>
                <w:w w:val="97"/>
                <w:kern w:val="0"/>
                <w:sz w:val="24"/>
                <w:szCs w:val="28"/>
              </w:rPr>
            </w:pPr>
          </w:p>
        </w:tc>
        <w:tc>
          <w:tcPr>
            <w:tcW w:w="694"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538"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454"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exact"/>
        </w:trPr>
        <w:tc>
          <w:tcPr>
            <w:tcW w:w="462"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692" w:type="pct"/>
            <w:vMerge w:val="continue"/>
            <w:vAlign w:val="center"/>
          </w:tcPr>
          <w:p>
            <w:pPr>
              <w:spacing w:line="500" w:lineRule="exact"/>
              <w:ind w:firstLine="540"/>
              <w:contextualSpacing/>
              <w:jc w:val="center"/>
              <w:rPr>
                <w:rFonts w:ascii="宋体" w:hAnsi="宋体" w:eastAsia="宋体" w:cs="Times New Roman"/>
                <w:color w:val="000000"/>
                <w:kern w:val="0"/>
                <w:sz w:val="24"/>
                <w:szCs w:val="27"/>
              </w:rPr>
            </w:pPr>
          </w:p>
        </w:tc>
        <w:tc>
          <w:tcPr>
            <w:tcW w:w="1156" w:type="pct"/>
            <w:vAlign w:val="center"/>
          </w:tcPr>
          <w:p>
            <w:pPr>
              <w:spacing w:line="500" w:lineRule="exact"/>
              <w:contextualSpacing/>
              <w:jc w:val="center"/>
              <w:rPr>
                <w:rFonts w:hint="eastAsia" w:ascii="宋体" w:hAnsi="宋体" w:eastAsia="宋体" w:cs="仿宋"/>
                <w:w w:val="97"/>
                <w:kern w:val="0"/>
                <w:sz w:val="24"/>
                <w:szCs w:val="28"/>
              </w:rPr>
            </w:pPr>
            <w:r>
              <w:rPr>
                <w:rFonts w:hint="eastAsia" w:ascii="宋体" w:hAnsi="宋体"/>
                <w:color w:val="auto"/>
                <w:sz w:val="24"/>
              </w:rPr>
              <w:t>视频监控及智能分析平台</w:t>
            </w:r>
          </w:p>
        </w:tc>
        <w:tc>
          <w:tcPr>
            <w:tcW w:w="541"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462"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694"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538"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454"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exact"/>
        </w:trPr>
        <w:tc>
          <w:tcPr>
            <w:tcW w:w="462"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692" w:type="pct"/>
            <w:vMerge w:val="continue"/>
            <w:vAlign w:val="center"/>
          </w:tcPr>
          <w:p>
            <w:pPr>
              <w:spacing w:line="500" w:lineRule="exact"/>
              <w:ind w:firstLine="540"/>
              <w:contextualSpacing/>
              <w:jc w:val="center"/>
              <w:rPr>
                <w:rFonts w:ascii="宋体" w:hAnsi="宋体" w:eastAsia="宋体" w:cs="Times New Roman"/>
                <w:color w:val="000000"/>
                <w:kern w:val="0"/>
                <w:sz w:val="24"/>
                <w:szCs w:val="27"/>
              </w:rPr>
            </w:pPr>
          </w:p>
        </w:tc>
        <w:tc>
          <w:tcPr>
            <w:tcW w:w="1156" w:type="pct"/>
            <w:vAlign w:val="center"/>
          </w:tcPr>
          <w:p>
            <w:pPr>
              <w:spacing w:line="500" w:lineRule="exact"/>
              <w:contextualSpacing/>
              <w:jc w:val="center"/>
              <w:rPr>
                <w:rFonts w:ascii="宋体" w:hAnsi="宋体" w:eastAsia="宋体" w:cs="Times New Roman"/>
                <w:color w:val="000000"/>
                <w:kern w:val="0"/>
                <w:sz w:val="24"/>
                <w:szCs w:val="27"/>
              </w:rPr>
            </w:pPr>
            <w:r>
              <w:rPr>
                <w:rFonts w:hint="eastAsia" w:ascii="宋体" w:hAnsi="宋体" w:eastAsia="宋体" w:cs="仿宋"/>
                <w:w w:val="97"/>
                <w:kern w:val="0"/>
                <w:sz w:val="24"/>
                <w:szCs w:val="28"/>
              </w:rPr>
              <w:t>GIS地图、系统服务器、带宽</w:t>
            </w:r>
          </w:p>
        </w:tc>
        <w:tc>
          <w:tcPr>
            <w:tcW w:w="541"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462"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694"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538"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c>
          <w:tcPr>
            <w:tcW w:w="454" w:type="pct"/>
            <w:vMerge w:val="continue"/>
            <w:vAlign w:val="center"/>
          </w:tcPr>
          <w:p>
            <w:pPr>
              <w:spacing w:line="500" w:lineRule="exact"/>
              <w:ind w:firstLine="543"/>
              <w:contextualSpacing/>
              <w:jc w:val="center"/>
              <w:rPr>
                <w:rFonts w:ascii="宋体" w:hAnsi="宋体" w:eastAsia="宋体" w:cs="仿宋"/>
                <w:w w:val="97"/>
                <w:kern w:val="0"/>
                <w:sz w:val="24"/>
                <w:szCs w:val="28"/>
              </w:rPr>
            </w:pPr>
          </w:p>
        </w:tc>
      </w:tr>
    </w:tbl>
    <w:p>
      <w:pPr>
        <w:rPr>
          <w:rFonts w:ascii="宋体" w:hAnsi="宋体" w:eastAsia="宋体" w:cs="仿宋"/>
          <w:w w:val="97"/>
          <w:kern w:val="0"/>
          <w:sz w:val="24"/>
          <w:szCs w:val="28"/>
        </w:rPr>
      </w:pPr>
    </w:p>
    <w:p>
      <w:pPr>
        <w:jc w:val="center"/>
        <w:rPr>
          <w:rFonts w:ascii="宋体" w:hAnsi="宋体" w:eastAsia="宋体"/>
          <w:b/>
          <w:color w:val="000000"/>
          <w:sz w:val="28"/>
          <w:szCs w:val="27"/>
        </w:rPr>
      </w:pPr>
      <w:r>
        <w:rPr>
          <w:rFonts w:hint="eastAsia" w:ascii="宋体" w:hAnsi="宋体" w:eastAsia="宋体"/>
          <w:b/>
          <w:color w:val="000000"/>
          <w:sz w:val="28"/>
          <w:szCs w:val="27"/>
        </w:rPr>
        <w:t>第二部分：项目概述及要求</w:t>
      </w:r>
    </w:p>
    <w:p>
      <w:pPr>
        <w:jc w:val="left"/>
        <w:rPr>
          <w:rFonts w:ascii="宋体" w:hAnsi="宋体" w:eastAsia="宋体"/>
          <w:color w:val="000000"/>
          <w:sz w:val="28"/>
          <w:szCs w:val="27"/>
        </w:rPr>
      </w:pPr>
      <w:r>
        <w:rPr>
          <w:rFonts w:hint="eastAsia" w:ascii="宋体" w:hAnsi="宋体" w:eastAsia="宋体"/>
          <w:b/>
          <w:color w:val="000000"/>
          <w:sz w:val="28"/>
          <w:szCs w:val="27"/>
        </w:rPr>
        <w:t>一、项目名称：</w:t>
      </w:r>
      <w:r>
        <w:rPr>
          <w:rFonts w:hint="eastAsia" w:ascii="宋体" w:hAnsi="宋体" w:eastAsia="宋体"/>
          <w:color w:val="000000"/>
          <w:sz w:val="28"/>
          <w:szCs w:val="27"/>
        </w:rPr>
        <w:t>安监局指挥中心提升改造及工业互联网+危化安全生产信息化项目</w:t>
      </w:r>
    </w:p>
    <w:p>
      <w:pPr>
        <w:jc w:val="left"/>
        <w:rPr>
          <w:rFonts w:ascii="宋体" w:hAnsi="宋体" w:eastAsia="宋体"/>
          <w:color w:val="000000"/>
          <w:sz w:val="28"/>
          <w:szCs w:val="27"/>
        </w:rPr>
      </w:pPr>
      <w:r>
        <w:rPr>
          <w:rFonts w:hint="eastAsia" w:ascii="宋体" w:hAnsi="宋体" w:eastAsia="宋体"/>
          <w:b/>
          <w:color w:val="000000"/>
          <w:sz w:val="28"/>
          <w:szCs w:val="27"/>
        </w:rPr>
        <w:t>二、项目内容</w:t>
      </w:r>
    </w:p>
    <w:p>
      <w:pPr>
        <w:ind w:firstLine="560" w:firstLineChars="200"/>
        <w:rPr>
          <w:rFonts w:ascii="宋体" w:hAnsi="宋体" w:eastAsia="宋体"/>
          <w:color w:val="000000"/>
          <w:sz w:val="28"/>
          <w:szCs w:val="27"/>
        </w:rPr>
      </w:pPr>
      <w:r>
        <w:rPr>
          <w:rFonts w:hint="eastAsia" w:ascii="宋体" w:hAnsi="宋体" w:eastAsia="宋体"/>
          <w:color w:val="000000"/>
          <w:sz w:val="28"/>
          <w:szCs w:val="27"/>
        </w:rPr>
        <w:t>根据按照中华人民共和国应急管理部《化工园区安全风险智能化管控平台建设指南》文件要求和昌吉州应急管理局对安全生产调度及特殊作业管控的工作要求，开发区安监局按照年度工作计划，建立“工业互联网+安全生产”信息化管控平台，以提升安全风险监测预警能力与辅助指挥决策能力。结合准东安监局目前安全管理实际需求与应急指挥中心软硬件设施现状，拟启动指挥中心提升改造及工业互联网+危化安全生产信息化一期项目，主要建设内容如下：</w:t>
      </w:r>
    </w:p>
    <w:p>
      <w:pPr>
        <w:pStyle w:val="50"/>
        <w:numPr>
          <w:ilvl w:val="0"/>
          <w:numId w:val="7"/>
        </w:numPr>
        <w:spacing w:line="360" w:lineRule="auto"/>
        <w:ind w:firstLineChars="0"/>
        <w:rPr>
          <w:rFonts w:ascii="宋体" w:hAnsi="宋体" w:eastAsia="宋体"/>
          <w:color w:val="000000"/>
          <w:sz w:val="28"/>
          <w:szCs w:val="27"/>
        </w:rPr>
      </w:pPr>
      <w:r>
        <w:rPr>
          <w:rFonts w:hint="eastAsia" w:ascii="宋体" w:hAnsi="宋体" w:eastAsia="宋体"/>
          <w:color w:val="000000"/>
          <w:sz w:val="28"/>
          <w:szCs w:val="27"/>
        </w:rPr>
        <w:t>对现有应急指挥中心进行升级改造，</w:t>
      </w:r>
      <w:bookmarkStart w:id="43" w:name="_Hlk118126597"/>
      <w:r>
        <w:rPr>
          <w:rFonts w:hint="eastAsia" w:ascii="宋体" w:hAnsi="宋体" w:eastAsia="宋体"/>
          <w:color w:val="000000"/>
          <w:sz w:val="28"/>
          <w:szCs w:val="27"/>
        </w:rPr>
        <w:t>包括应急指挥中心及大会议室两个场所，主要是对现有大屏及相应视频矩阵</w:t>
      </w:r>
      <w:bookmarkEnd w:id="43"/>
      <w:r>
        <w:rPr>
          <w:rFonts w:hint="eastAsia" w:ascii="宋体" w:hAnsi="宋体" w:eastAsia="宋体"/>
          <w:color w:val="000000"/>
          <w:sz w:val="28"/>
          <w:szCs w:val="27"/>
        </w:rPr>
        <w:t>、会控系统、音频系统等进行升级改造，保证指挥中心稳定有效运行；</w:t>
      </w:r>
    </w:p>
    <w:p>
      <w:pPr>
        <w:pStyle w:val="50"/>
        <w:numPr>
          <w:ilvl w:val="0"/>
          <w:numId w:val="7"/>
        </w:numPr>
        <w:spacing w:line="360" w:lineRule="auto"/>
        <w:ind w:firstLineChars="0"/>
        <w:jc w:val="left"/>
        <w:rPr>
          <w:rFonts w:ascii="宋体" w:hAnsi="宋体" w:eastAsia="宋体"/>
          <w:color w:val="000000"/>
          <w:sz w:val="28"/>
          <w:szCs w:val="27"/>
        </w:rPr>
      </w:pPr>
      <w:r>
        <w:rPr>
          <w:rFonts w:hint="eastAsia" w:ascii="宋体" w:hAnsi="宋体" w:eastAsia="宋体"/>
          <w:color w:val="000000"/>
          <w:sz w:val="28"/>
          <w:szCs w:val="27"/>
        </w:rPr>
        <w:t>对特殊作业图传平台进行升级改造，提升视频清晰度、对讲功能、存储回放、电脑客户端、手机客户端、视频接入等功能进行提升改造，将准东各个企业的特殊作业视频接入指挥中心，进行统一监看与调度指挥。</w:t>
      </w:r>
    </w:p>
    <w:p>
      <w:pPr>
        <w:pStyle w:val="50"/>
        <w:numPr>
          <w:ilvl w:val="0"/>
          <w:numId w:val="7"/>
        </w:numPr>
        <w:spacing w:line="360" w:lineRule="auto"/>
        <w:ind w:firstLineChars="0"/>
        <w:contextualSpacing/>
        <w:jc w:val="left"/>
        <w:rPr>
          <w:rFonts w:ascii="宋体" w:hAnsi="宋体" w:eastAsia="宋体"/>
          <w:color w:val="000000"/>
          <w:sz w:val="28"/>
          <w:szCs w:val="27"/>
        </w:rPr>
      </w:pPr>
      <w:r>
        <w:rPr>
          <w:rFonts w:hint="eastAsia" w:ascii="宋体" w:hAnsi="宋体" w:eastAsia="宋体"/>
          <w:color w:val="000000"/>
          <w:sz w:val="28"/>
          <w:szCs w:val="27"/>
        </w:rPr>
        <w:t>综合集成危化企业固定视频、移动视频、G</w:t>
      </w:r>
      <w:r>
        <w:rPr>
          <w:rFonts w:ascii="宋体" w:hAnsi="宋体" w:eastAsia="宋体"/>
          <w:color w:val="000000"/>
          <w:sz w:val="28"/>
          <w:szCs w:val="27"/>
        </w:rPr>
        <w:t>DS</w:t>
      </w:r>
      <w:r>
        <w:rPr>
          <w:rFonts w:hint="eastAsia" w:ascii="宋体" w:hAnsi="宋体" w:eastAsia="宋体"/>
          <w:color w:val="000000"/>
          <w:sz w:val="28"/>
          <w:szCs w:val="27"/>
        </w:rPr>
        <w:t>数据、G</w:t>
      </w:r>
      <w:r>
        <w:rPr>
          <w:rFonts w:ascii="宋体" w:hAnsi="宋体" w:eastAsia="宋体"/>
          <w:color w:val="000000"/>
          <w:sz w:val="28"/>
          <w:szCs w:val="27"/>
        </w:rPr>
        <w:t>IS</w:t>
      </w:r>
      <w:r>
        <w:rPr>
          <w:rFonts w:hint="eastAsia" w:ascii="宋体" w:hAnsi="宋体" w:eastAsia="宋体"/>
          <w:color w:val="000000"/>
          <w:sz w:val="28"/>
          <w:szCs w:val="27"/>
        </w:rPr>
        <w:t>地图、安全承诺风险研判数据及政府端重大危险源系统、煤矿风险监测系统、边坡治理监测系统，实现安全监管一张图功能。</w:t>
      </w:r>
    </w:p>
    <w:p>
      <w:pPr>
        <w:jc w:val="left"/>
        <w:rPr>
          <w:rFonts w:ascii="宋体" w:hAnsi="宋体" w:eastAsia="宋体"/>
          <w:b/>
          <w:color w:val="000000"/>
          <w:sz w:val="28"/>
          <w:szCs w:val="27"/>
        </w:rPr>
      </w:pPr>
      <w:r>
        <w:rPr>
          <w:rFonts w:hint="eastAsia" w:ascii="宋体" w:hAnsi="宋体" w:eastAsia="宋体"/>
          <w:b/>
          <w:color w:val="000000"/>
          <w:sz w:val="28"/>
          <w:szCs w:val="27"/>
        </w:rPr>
        <w:t>三、</w:t>
      </w:r>
      <w:r>
        <w:rPr>
          <w:rFonts w:ascii="宋体" w:hAnsi="宋体" w:eastAsia="宋体"/>
          <w:b/>
          <w:color w:val="000000"/>
          <w:sz w:val="28"/>
          <w:szCs w:val="27"/>
        </w:rPr>
        <w:t>实施地点及时间</w:t>
      </w:r>
    </w:p>
    <w:p>
      <w:pPr>
        <w:spacing w:line="520" w:lineRule="exact"/>
        <w:ind w:firstLine="601"/>
        <w:contextualSpacing/>
        <w:jc w:val="left"/>
        <w:rPr>
          <w:rFonts w:ascii="宋体" w:hAnsi="宋体" w:eastAsia="宋体"/>
          <w:color w:val="000000"/>
          <w:sz w:val="28"/>
          <w:szCs w:val="27"/>
        </w:rPr>
      </w:pPr>
      <w:r>
        <w:rPr>
          <w:rFonts w:hint="eastAsia" w:ascii="宋体" w:hAnsi="宋体" w:eastAsia="宋体"/>
          <w:color w:val="000000"/>
          <w:sz w:val="28"/>
          <w:szCs w:val="27"/>
        </w:rPr>
        <w:t>本项目实时地点为新疆准东经济技术开发区安全生产监督管理局及其管辖的危化品生产经营企业、各工贸企业、煤矿企业。主要是对安监局的应急指挥中心进行升级改造及其管辖内的企业的安全生产相关信息化系统建设工作。期间需要对各个危化企业进行调研，以保证接入数据有效且符合实际。</w:t>
      </w:r>
    </w:p>
    <w:p>
      <w:pPr>
        <w:spacing w:line="520" w:lineRule="exact"/>
        <w:ind w:firstLine="601"/>
        <w:contextualSpacing/>
        <w:jc w:val="left"/>
        <w:rPr>
          <w:rFonts w:ascii="宋体" w:hAnsi="宋体" w:eastAsia="宋体"/>
          <w:color w:val="000000"/>
          <w:sz w:val="28"/>
          <w:szCs w:val="27"/>
        </w:rPr>
      </w:pPr>
      <w:r>
        <w:rPr>
          <w:rFonts w:ascii="宋体" w:hAnsi="宋体" w:eastAsia="宋体"/>
          <w:color w:val="000000"/>
          <w:sz w:val="28"/>
          <w:szCs w:val="27"/>
        </w:rPr>
        <w:t>项目时间为合同签订之日起30</w:t>
      </w:r>
      <w:r>
        <w:rPr>
          <w:rFonts w:hint="eastAsia" w:ascii="宋体" w:hAnsi="宋体" w:eastAsia="宋体"/>
          <w:color w:val="000000"/>
          <w:sz w:val="28"/>
          <w:szCs w:val="27"/>
        </w:rPr>
        <w:t>个工作日内完成。</w:t>
      </w:r>
    </w:p>
    <w:p>
      <w:pPr>
        <w:jc w:val="left"/>
        <w:rPr>
          <w:rFonts w:ascii="宋体" w:hAnsi="宋体" w:eastAsia="宋体"/>
          <w:b/>
          <w:color w:val="000000"/>
          <w:sz w:val="28"/>
          <w:szCs w:val="27"/>
        </w:rPr>
      </w:pPr>
      <w:r>
        <w:rPr>
          <w:rFonts w:hint="eastAsia" w:ascii="宋体" w:hAnsi="宋体" w:eastAsia="宋体"/>
          <w:b/>
          <w:color w:val="000000"/>
          <w:sz w:val="28"/>
          <w:szCs w:val="27"/>
        </w:rPr>
        <w:t>四、项目资金预算</w:t>
      </w:r>
    </w:p>
    <w:p>
      <w:pPr>
        <w:spacing w:line="520" w:lineRule="exact"/>
        <w:ind w:firstLine="601"/>
        <w:contextualSpacing/>
        <w:jc w:val="left"/>
        <w:rPr>
          <w:rFonts w:ascii="宋体" w:hAnsi="宋体" w:eastAsia="宋体"/>
          <w:color w:val="000000"/>
          <w:sz w:val="28"/>
          <w:szCs w:val="27"/>
        </w:rPr>
      </w:pPr>
      <w:r>
        <w:rPr>
          <w:rFonts w:hint="eastAsia" w:ascii="宋体" w:hAnsi="宋体" w:eastAsia="宋体"/>
          <w:color w:val="000000"/>
          <w:sz w:val="28"/>
          <w:szCs w:val="27"/>
        </w:rPr>
        <w:t>本项目预算资金</w:t>
      </w:r>
      <w:r>
        <w:rPr>
          <w:rFonts w:ascii="宋体" w:hAnsi="宋体" w:eastAsia="宋体"/>
          <w:color w:val="000000"/>
          <w:sz w:val="28"/>
          <w:szCs w:val="27"/>
        </w:rPr>
        <w:t xml:space="preserve"> 100万元。</w:t>
      </w:r>
    </w:p>
    <w:p>
      <w:pPr>
        <w:jc w:val="left"/>
        <w:rPr>
          <w:rFonts w:ascii="宋体" w:hAnsi="宋体" w:eastAsia="宋体"/>
          <w:b/>
          <w:color w:val="000000"/>
          <w:sz w:val="28"/>
          <w:szCs w:val="27"/>
        </w:rPr>
      </w:pPr>
      <w:r>
        <w:rPr>
          <w:rFonts w:hint="eastAsia" w:ascii="宋体" w:hAnsi="宋体" w:eastAsia="宋体"/>
          <w:b/>
          <w:color w:val="000000"/>
          <w:sz w:val="28"/>
          <w:szCs w:val="27"/>
        </w:rPr>
        <w:t>五、付款方式</w:t>
      </w:r>
    </w:p>
    <w:p>
      <w:pPr>
        <w:spacing w:line="520" w:lineRule="exact"/>
        <w:ind w:firstLine="601"/>
        <w:contextualSpacing/>
        <w:jc w:val="left"/>
        <w:rPr>
          <w:rFonts w:ascii="宋体" w:hAnsi="宋体" w:eastAsia="宋体"/>
          <w:color w:val="000000"/>
          <w:sz w:val="28"/>
          <w:szCs w:val="27"/>
        </w:rPr>
      </w:pPr>
      <w:r>
        <w:rPr>
          <w:rFonts w:hint="eastAsia" w:ascii="宋体" w:hAnsi="宋体" w:eastAsia="宋体"/>
          <w:color w:val="000000"/>
          <w:sz w:val="28"/>
          <w:szCs w:val="27"/>
          <w:lang w:val="en-US" w:eastAsia="zh-CN"/>
        </w:rPr>
        <w:t>（1）合同签订后，将产品运输至指定交货地点后，付合同总额的30%；（2）完成设备安装、调试、培训，试运行，并进行初验，初验合格后付合同总额的50%，进入质保期24个月；（3）验收合格满一年无质量问题，进行二次验收，验收合格后付合同总额的10%；（4）首次验收合格满两年无质量问题，进行最终验收，验收合格后付合同总额的10%。</w:t>
      </w:r>
    </w:p>
    <w:p>
      <w:pPr>
        <w:jc w:val="left"/>
        <w:rPr>
          <w:rFonts w:ascii="宋体" w:hAnsi="宋体" w:eastAsia="宋体"/>
          <w:b/>
          <w:color w:val="000000"/>
          <w:sz w:val="28"/>
          <w:szCs w:val="27"/>
        </w:rPr>
      </w:pPr>
      <w:r>
        <w:rPr>
          <w:rFonts w:hint="eastAsia" w:ascii="宋体" w:hAnsi="宋体" w:eastAsia="宋体"/>
          <w:b/>
          <w:color w:val="000000"/>
          <w:sz w:val="28"/>
          <w:szCs w:val="27"/>
        </w:rPr>
        <w:t>六、技术服务主要依据</w:t>
      </w:r>
    </w:p>
    <w:p>
      <w:pPr>
        <w:spacing w:line="520" w:lineRule="exact"/>
        <w:ind w:firstLine="601"/>
        <w:contextualSpacing/>
        <w:jc w:val="left"/>
        <w:rPr>
          <w:rFonts w:ascii="宋体" w:hAnsi="宋体" w:eastAsia="宋体"/>
          <w:color w:val="000000"/>
          <w:sz w:val="28"/>
          <w:szCs w:val="27"/>
        </w:rPr>
      </w:pPr>
      <w:r>
        <w:rPr>
          <w:rFonts w:ascii="宋体" w:hAnsi="宋体" w:eastAsia="宋体"/>
          <w:color w:val="000000"/>
          <w:sz w:val="28"/>
          <w:szCs w:val="27"/>
        </w:rPr>
        <w:t>1.《“工业互联网+安全生产”行动计划（2021—2023 年）》（ 工</w:t>
      </w:r>
      <w:r>
        <w:rPr>
          <w:rFonts w:hint="eastAsia" w:ascii="宋体" w:hAnsi="宋体" w:eastAsia="宋体"/>
          <w:color w:val="000000"/>
          <w:sz w:val="28"/>
          <w:szCs w:val="27"/>
        </w:rPr>
        <w:t>信部联信发〔</w:t>
      </w:r>
      <w:r>
        <w:rPr>
          <w:rFonts w:ascii="宋体" w:hAnsi="宋体" w:eastAsia="宋体"/>
          <w:color w:val="000000"/>
          <w:sz w:val="28"/>
          <w:szCs w:val="27"/>
        </w:rPr>
        <w:t>2020〕157 号）</w:t>
      </w:r>
    </w:p>
    <w:p>
      <w:pPr>
        <w:spacing w:line="520" w:lineRule="exact"/>
        <w:ind w:firstLine="601"/>
        <w:contextualSpacing/>
        <w:jc w:val="left"/>
        <w:rPr>
          <w:rFonts w:ascii="宋体" w:hAnsi="宋体" w:eastAsia="宋体"/>
          <w:color w:val="000000"/>
          <w:sz w:val="28"/>
          <w:szCs w:val="27"/>
        </w:rPr>
      </w:pPr>
      <w:r>
        <w:rPr>
          <w:rFonts w:ascii="宋体" w:hAnsi="宋体" w:eastAsia="宋体"/>
          <w:color w:val="000000"/>
          <w:sz w:val="28"/>
          <w:szCs w:val="27"/>
        </w:rPr>
        <w:t>2.《工业互联网创新发展行动计划（2021—2023 年）》（ 工信</w:t>
      </w:r>
    </w:p>
    <w:p>
      <w:pPr>
        <w:spacing w:line="520" w:lineRule="exact"/>
        <w:ind w:firstLine="601"/>
        <w:contextualSpacing/>
        <w:jc w:val="left"/>
        <w:rPr>
          <w:rFonts w:ascii="宋体" w:hAnsi="宋体" w:eastAsia="宋体"/>
          <w:color w:val="000000"/>
          <w:sz w:val="28"/>
          <w:szCs w:val="27"/>
        </w:rPr>
      </w:pPr>
      <w:r>
        <w:rPr>
          <w:rFonts w:hint="eastAsia" w:ascii="宋体" w:hAnsi="宋体" w:eastAsia="宋体"/>
          <w:color w:val="000000"/>
          <w:sz w:val="28"/>
          <w:szCs w:val="27"/>
        </w:rPr>
        <w:t>部信管〔</w:t>
      </w:r>
      <w:r>
        <w:rPr>
          <w:rFonts w:ascii="宋体" w:hAnsi="宋体" w:eastAsia="宋体"/>
          <w:color w:val="000000"/>
          <w:sz w:val="28"/>
          <w:szCs w:val="27"/>
        </w:rPr>
        <w:t>2020〕197 号）</w:t>
      </w:r>
    </w:p>
    <w:p>
      <w:pPr>
        <w:spacing w:line="520" w:lineRule="exact"/>
        <w:ind w:firstLine="601"/>
        <w:contextualSpacing/>
        <w:jc w:val="left"/>
        <w:rPr>
          <w:rFonts w:ascii="宋体" w:hAnsi="宋体" w:eastAsia="宋体"/>
          <w:color w:val="000000"/>
          <w:sz w:val="28"/>
          <w:szCs w:val="27"/>
        </w:rPr>
      </w:pPr>
      <w:r>
        <w:rPr>
          <w:rFonts w:ascii="宋体" w:hAnsi="宋体" w:eastAsia="宋体"/>
          <w:color w:val="000000"/>
          <w:sz w:val="28"/>
          <w:szCs w:val="27"/>
        </w:rPr>
        <w:t>3.《工业互联网综合标准化体系建设指南（2021 版）》（工信</w:t>
      </w:r>
    </w:p>
    <w:p>
      <w:pPr>
        <w:spacing w:line="520" w:lineRule="exact"/>
        <w:ind w:firstLine="601"/>
        <w:contextualSpacing/>
        <w:jc w:val="left"/>
        <w:rPr>
          <w:rFonts w:ascii="宋体" w:hAnsi="宋体" w:eastAsia="宋体"/>
          <w:color w:val="000000"/>
          <w:sz w:val="28"/>
          <w:szCs w:val="27"/>
        </w:rPr>
      </w:pPr>
      <w:r>
        <w:rPr>
          <w:rFonts w:hint="eastAsia" w:ascii="宋体" w:hAnsi="宋体" w:eastAsia="宋体"/>
          <w:color w:val="000000"/>
          <w:sz w:val="28"/>
          <w:szCs w:val="27"/>
        </w:rPr>
        <w:t>部联科〔</w:t>
      </w:r>
      <w:r>
        <w:rPr>
          <w:rFonts w:ascii="宋体" w:hAnsi="宋体" w:eastAsia="宋体"/>
          <w:color w:val="000000"/>
          <w:sz w:val="28"/>
          <w:szCs w:val="27"/>
        </w:rPr>
        <w:t>2021〕291 号）</w:t>
      </w:r>
    </w:p>
    <w:p>
      <w:pPr>
        <w:spacing w:line="520" w:lineRule="exact"/>
        <w:ind w:firstLine="601"/>
        <w:contextualSpacing/>
        <w:jc w:val="left"/>
        <w:rPr>
          <w:rFonts w:ascii="宋体" w:hAnsi="宋体" w:eastAsia="宋体"/>
          <w:color w:val="000000"/>
          <w:sz w:val="28"/>
          <w:szCs w:val="27"/>
        </w:rPr>
      </w:pPr>
      <w:r>
        <w:rPr>
          <w:rFonts w:ascii="宋体" w:hAnsi="宋体" w:eastAsia="宋体"/>
          <w:color w:val="000000"/>
          <w:sz w:val="28"/>
          <w:szCs w:val="27"/>
        </w:rPr>
        <w:t>4.《“工业互联网+危化安全生产”试点建设方案》（应急厅〔2021〕27 号）</w:t>
      </w:r>
    </w:p>
    <w:p>
      <w:pPr>
        <w:spacing w:line="520" w:lineRule="exact"/>
        <w:ind w:firstLine="601"/>
        <w:contextualSpacing/>
        <w:jc w:val="left"/>
        <w:rPr>
          <w:rFonts w:ascii="宋体" w:hAnsi="宋体" w:eastAsia="宋体"/>
          <w:color w:val="000000"/>
          <w:sz w:val="28"/>
          <w:szCs w:val="27"/>
        </w:rPr>
      </w:pPr>
      <w:r>
        <w:rPr>
          <w:rFonts w:ascii="宋体" w:hAnsi="宋体" w:eastAsia="宋体"/>
          <w:color w:val="000000"/>
          <w:sz w:val="28"/>
          <w:szCs w:val="27"/>
        </w:rPr>
        <w:t>5.《“工业互联网+危化安全生产”试点建设实施指南》</w:t>
      </w:r>
    </w:p>
    <w:p>
      <w:pPr>
        <w:ind w:firstLine="560" w:firstLineChars="200"/>
        <w:jc w:val="left"/>
        <w:rPr>
          <w:rFonts w:hint="eastAsia" w:ascii="宋体" w:hAnsi="宋体" w:eastAsia="宋体"/>
          <w:color w:val="000000"/>
          <w:sz w:val="28"/>
          <w:szCs w:val="27"/>
        </w:rPr>
      </w:pPr>
      <w:r>
        <w:rPr>
          <w:rFonts w:hint="eastAsia" w:ascii="宋体" w:hAnsi="宋体" w:eastAsia="宋体"/>
          <w:color w:val="000000"/>
          <w:sz w:val="28"/>
          <w:szCs w:val="27"/>
        </w:rPr>
        <w:t>6</w:t>
      </w:r>
      <w:r>
        <w:rPr>
          <w:rFonts w:ascii="宋体" w:hAnsi="宋体" w:eastAsia="宋体"/>
          <w:color w:val="000000"/>
          <w:sz w:val="28"/>
          <w:szCs w:val="27"/>
        </w:rPr>
        <w:t>.</w:t>
      </w:r>
      <w:r>
        <w:rPr>
          <w:rFonts w:hint="eastAsia" w:ascii="宋体" w:hAnsi="宋体" w:eastAsia="宋体"/>
          <w:color w:val="000000"/>
          <w:sz w:val="28"/>
          <w:szCs w:val="27"/>
        </w:rPr>
        <w:t>《化工园区安全风险智能化管控平台建设指南》</w:t>
      </w:r>
    </w:p>
    <w:p>
      <w:pPr>
        <w:ind w:firstLine="561" w:firstLineChars="200"/>
        <w:jc w:val="left"/>
        <w:rPr>
          <w:rFonts w:hint="eastAsia" w:ascii="宋体" w:hAnsi="宋体" w:eastAsia="宋体"/>
          <w:color w:val="000000"/>
          <w:sz w:val="28"/>
          <w:szCs w:val="27"/>
        </w:rPr>
      </w:pPr>
      <w:r>
        <w:rPr>
          <w:rFonts w:hint="eastAsia" w:ascii="宋体" w:hAnsi="宋体" w:eastAsia="宋体"/>
          <w:b/>
          <w:color w:val="000000"/>
          <w:sz w:val="28"/>
          <w:szCs w:val="27"/>
        </w:rPr>
        <w:t>七、具体参数</w:t>
      </w:r>
    </w:p>
    <w:tbl>
      <w:tblPr>
        <w:tblStyle w:val="26"/>
        <w:tblpPr w:leftFromText="180" w:rightFromText="180" w:vertAnchor="text" w:horzAnchor="page" w:tblpX="1181" w:tblpY="946"/>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84"/>
        <w:gridCol w:w="1550"/>
        <w:gridCol w:w="315"/>
        <w:gridCol w:w="2908"/>
        <w:gridCol w:w="844"/>
        <w:gridCol w:w="936"/>
        <w:gridCol w:w="1266"/>
      </w:tblGrid>
      <w:t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b/>
                <w:color w:val="000000"/>
                <w:sz w:val="24"/>
              </w:rPr>
            </w:pPr>
            <w:r>
              <w:rPr>
                <w:rFonts w:hint="eastAsia" w:ascii="宋体" w:hAnsi="宋体" w:eastAsia="宋体"/>
                <w:b/>
                <w:color w:val="000000"/>
                <w:sz w:val="24"/>
              </w:rPr>
              <w:t>序号</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b/>
                <w:color w:val="000000"/>
                <w:sz w:val="24"/>
              </w:rPr>
            </w:pPr>
            <w:r>
              <w:rPr>
                <w:rFonts w:hint="eastAsia" w:ascii="宋体" w:hAnsi="宋体" w:eastAsia="宋体"/>
                <w:b/>
                <w:color w:val="000000"/>
                <w:sz w:val="24"/>
              </w:rPr>
              <w:t>项目名称</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b/>
                <w:color w:val="000000"/>
                <w:kern w:val="0"/>
                <w:sz w:val="24"/>
              </w:rPr>
            </w:pPr>
            <w:r>
              <w:rPr>
                <w:rFonts w:hint="eastAsia" w:ascii="宋体" w:hAnsi="宋体" w:eastAsia="宋体" w:cs="Times New Roman"/>
                <w:b/>
                <w:color w:val="000000"/>
                <w:kern w:val="0"/>
                <w:sz w:val="24"/>
              </w:rPr>
              <w:t>项目型号</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b/>
                <w:color w:val="000000"/>
                <w:kern w:val="0"/>
                <w:sz w:val="24"/>
              </w:rPr>
            </w:pPr>
            <w:r>
              <w:rPr>
                <w:rFonts w:hint="eastAsia" w:ascii="宋体" w:hAnsi="宋体" w:eastAsia="宋体" w:cs="Times New Roman"/>
                <w:b/>
                <w:color w:val="000000"/>
                <w:kern w:val="0"/>
                <w:sz w:val="24"/>
              </w:rPr>
              <w:t>具体参数</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b/>
                <w:color w:val="000000"/>
                <w:kern w:val="0"/>
                <w:sz w:val="24"/>
              </w:rPr>
            </w:pPr>
            <w:r>
              <w:rPr>
                <w:rFonts w:hint="eastAsia" w:ascii="宋体" w:hAnsi="宋体" w:eastAsia="宋体" w:cs="Times New Roman"/>
                <w:b/>
                <w:color w:val="000000"/>
                <w:kern w:val="0"/>
                <w:sz w:val="24"/>
              </w:rPr>
              <w:t>单位</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b/>
                <w:color w:val="000000"/>
                <w:kern w:val="0"/>
                <w:sz w:val="24"/>
              </w:rPr>
            </w:pPr>
            <w:r>
              <w:rPr>
                <w:rFonts w:hint="eastAsia" w:ascii="宋体" w:hAnsi="宋体" w:eastAsia="宋体" w:cs="Times New Roman"/>
                <w:b/>
                <w:color w:val="000000"/>
                <w:kern w:val="0"/>
                <w:sz w:val="24"/>
              </w:rPr>
              <w:t>数量</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b/>
                <w:color w:val="000000"/>
                <w:kern w:val="0"/>
                <w:sz w:val="24"/>
              </w:rPr>
            </w:pPr>
            <w:r>
              <w:rPr>
                <w:rFonts w:hint="eastAsia" w:ascii="宋体" w:hAnsi="宋体" w:eastAsia="宋体" w:cs="Times New Roman"/>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7"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b/>
                <w:color w:val="000000"/>
                <w:sz w:val="24"/>
              </w:rPr>
            </w:pPr>
            <w:r>
              <w:rPr>
                <w:rFonts w:hint="eastAsia" w:ascii="宋体" w:hAnsi="宋体" w:eastAsia="宋体"/>
                <w:b/>
                <w:color w:val="000000"/>
                <w:sz w:val="24"/>
              </w:rPr>
              <w:t>一、设备硬件及实施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1</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点间距</w:t>
            </w:r>
            <w:r>
              <w:rPr>
                <w:rFonts w:ascii="宋体" w:hAnsi="宋体" w:eastAsia="宋体" w:cs="Times New Roman"/>
                <w:color w:val="000000"/>
                <w:kern w:val="0"/>
                <w:sz w:val="24"/>
              </w:rPr>
              <w:t>P1.2模组LED</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P1.2</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w:t>
            </w:r>
            <w:r>
              <w:rPr>
                <w:rFonts w:ascii="宋体" w:hAnsi="宋体" w:eastAsia="宋体" w:cs="Times New Roman"/>
                <w:color w:val="000000"/>
                <w:kern w:val="0"/>
                <w:sz w:val="24"/>
              </w:rPr>
              <w:t>1. 物理点间距≤1.25mm</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ascii="宋体" w:hAnsi="宋体" w:eastAsia="宋体" w:cs="Times New Roman"/>
                <w:color w:val="000000"/>
                <w:kern w:val="0"/>
                <w:sz w:val="24"/>
              </w:rPr>
              <w:t>2.模组尺寸(mm)：320*160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ascii="宋体" w:hAnsi="宋体" w:eastAsia="宋体" w:cs="Times New Roman"/>
                <w:color w:val="000000"/>
                <w:kern w:val="0"/>
                <w:sz w:val="24"/>
              </w:rPr>
              <w:t>3. 刷新率≥3840Hz</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ascii="宋体" w:hAnsi="宋体" w:eastAsia="宋体" w:cs="Times New Roman"/>
                <w:color w:val="000000"/>
                <w:kern w:val="0"/>
                <w:sz w:val="24"/>
              </w:rPr>
              <w:t>4.白平衡亮度：≥600cd/㎡</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ascii="宋体" w:hAnsi="宋体" w:eastAsia="宋体" w:cs="Times New Roman"/>
                <w:color w:val="000000"/>
                <w:kern w:val="0"/>
                <w:sz w:val="24"/>
              </w:rPr>
              <w:t>5.对比度≥4000:1</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ascii="宋体" w:hAnsi="宋体" w:eastAsia="宋体" w:cs="Times New Roman"/>
                <w:color w:val="000000"/>
                <w:kern w:val="0"/>
                <w:sz w:val="24"/>
              </w:rPr>
              <w:t>6.亮度均匀性≥97%</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ascii="宋体" w:hAnsi="宋体" w:eastAsia="宋体" w:cs="Times New Roman"/>
                <w:color w:val="000000"/>
                <w:kern w:val="0"/>
                <w:sz w:val="24"/>
              </w:rPr>
              <w:t>7.平整度≤0.2mm</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w:t>
            </w:r>
            <w:r>
              <w:rPr>
                <w:rFonts w:ascii="宋体" w:hAnsi="宋体" w:eastAsia="宋体" w:cs="Times New Roman"/>
                <w:color w:val="000000"/>
                <w:kern w:val="0"/>
                <w:sz w:val="24"/>
              </w:rPr>
              <w:t>8.灯芯波长误差值在1nm以内，每个灯芯的亮度误差在1%以内。（提供表面具有CMA、ilac-MRA、CNAS标识的检测报告为证）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w:t>
            </w:r>
            <w:r>
              <w:rPr>
                <w:rFonts w:ascii="宋体" w:hAnsi="宋体" w:eastAsia="宋体" w:cs="Times New Roman"/>
                <w:color w:val="000000"/>
                <w:kern w:val="0"/>
                <w:sz w:val="24"/>
              </w:rPr>
              <w:t>9.连续工作时间：7×24小时不间断，LED平均无故障工作时间MTBF≥10万小时，故障平均修复时间MTTR不超过3分钟，系统可用度≥99.9%。（提供表面具有CMA、ilac-MRA、CNAS标识的检测报告为证）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ascii="宋体" w:hAnsi="宋体" w:eastAsia="宋体" w:cs="Times New Roman"/>
                <w:color w:val="000000"/>
                <w:kern w:val="0"/>
                <w:sz w:val="24"/>
              </w:rPr>
              <w:t>10.LED显示单元抗震等级能够承受10级震动烈度。（提供表面具有CMA、ilac-MRA、CNAS标识的检测报告为证）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w:t>
            </w:r>
            <w:r>
              <w:rPr>
                <w:rFonts w:ascii="宋体" w:hAnsi="宋体" w:eastAsia="宋体" w:cs="Times New Roman"/>
                <w:color w:val="000000"/>
                <w:kern w:val="0"/>
                <w:sz w:val="24"/>
              </w:rPr>
              <w:t>11.整屏失控点数：&lt;=0.000001（验收时失控点0），连续失控点为0，盲点率≤0.000001；无常亮点。（提供表面具有CMA、ilac-MRA、CNAS标识的检测报告为证）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ascii="宋体" w:hAnsi="宋体" w:eastAsia="宋体" w:cs="Times New Roman"/>
                <w:color w:val="000000"/>
                <w:kern w:val="0"/>
                <w:sz w:val="24"/>
              </w:rPr>
              <w:t>12.为了保证产品使用稳定性，LED显示屏具备动态扫描方式驱动电路板保护电路。（提供表面具有CMA、ilac-MRA、CNAS标识的检测报告为证）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w:t>
            </w:r>
            <w:r>
              <w:rPr>
                <w:rFonts w:ascii="宋体" w:hAnsi="宋体" w:eastAsia="宋体" w:cs="Times New Roman"/>
                <w:color w:val="000000"/>
                <w:kern w:val="0"/>
                <w:sz w:val="24"/>
              </w:rPr>
              <w:t>13.LED显示单元对地漏电流≤0.1mA(交流有效值）（提供表面具有CMA、ilac-MRA、CNAS标识的检测报告为证）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w:t>
            </w:r>
            <w:r>
              <w:rPr>
                <w:rFonts w:ascii="宋体" w:hAnsi="宋体" w:eastAsia="宋体" w:cs="Times New Roman"/>
                <w:color w:val="000000"/>
                <w:kern w:val="0"/>
                <w:sz w:val="24"/>
              </w:rPr>
              <w:t>14.显示单元具备去蓝光护眼功能，开启护眼模式后，蓝光量可下降30%，减弱蓝光对观看人员的眼睛进行有效保护，去除100%紫外线。（提供表面具有CMA、ilac-MRA、CNAS标识的检测报告为证</w:t>
            </w:r>
            <w:r>
              <w:rPr>
                <w:rFonts w:hint="eastAsia" w:ascii="宋体" w:hAnsi="宋体" w:eastAsia="宋体" w:cs="Times New Roman"/>
                <w:color w:val="000000"/>
                <w:kern w:val="0"/>
                <w:sz w:val="24"/>
              </w:rPr>
              <w:t>、</w:t>
            </w:r>
            <w:r>
              <w:rPr>
                <w:rFonts w:ascii="宋体" w:hAnsi="宋体"/>
                <w:color w:val="000000"/>
                <w:sz w:val="24"/>
              </w:rPr>
              <w:t>国家广播电视产品质量检验中心出具的检测报告</w:t>
            </w:r>
            <w:r>
              <w:rPr>
                <w:rFonts w:hint="eastAsia" w:ascii="宋体" w:hAnsi="宋体"/>
                <w:color w:val="000000"/>
                <w:sz w:val="24"/>
              </w:rPr>
              <w:t>为证</w:t>
            </w:r>
            <w:r>
              <w:rPr>
                <w:rFonts w:ascii="宋体" w:hAnsi="宋体" w:eastAsia="宋体" w:cs="Times New Roman"/>
                <w:color w:val="000000"/>
                <w:kern w:val="0"/>
                <w:sz w:val="24"/>
              </w:rPr>
              <w:t>）</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21.3</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指挥中心及大会议室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2</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点间距P1.2户内模组件包</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点间距P1.2</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含接收卡、电源及线材(排线、网线以及电源线)</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21.3</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指挥中心及大会议室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3</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LED小间距产品发送卡</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产品发送卡</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1.支持1路HDMI及1路DVI输入及 HDMI 信号 LOOP 输出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2.支持千兆网口输出≥6路; 支持上下、左右及混合型任意拼接</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3.支持采用双USB接口实现多卡级联;</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4.支持最大带载分辨率：1920×1200，支持分辨率任意设置</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5.支持音频输入、通过网线同步传输</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6.单卡最大带载面积：230万点，最宽可达4096，最高可达2560点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7.支持AC 100～240V超宽工作电压，更强适应性</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8. 支持亮度和色温调节</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9. 支持双网口备份，当一边数据传输异常时，不影响LED屏画面正常播放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10. 支持智能除湿功能，可防止潮湿环境下LED屏幕出现大面积死灯现象</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个</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12</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指挥中心及大会议室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4</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HDMI 线缆-5m-黑色</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HDMI</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5米光纤线缆：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类型：</w:t>
            </w:r>
            <w:r>
              <w:rPr>
                <w:rFonts w:ascii="宋体" w:hAnsi="宋体" w:eastAsia="宋体" w:cs="Times New Roman"/>
                <w:color w:val="000000"/>
                <w:kern w:val="0"/>
                <w:sz w:val="24"/>
              </w:rPr>
              <w:t>HDMI线缆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颜色：黑色</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光纤材质、无损传输、超长距离传输无信号衰减</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个</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12</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指挥中心及大会议室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5</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2U视频拼接处理器</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视频拼接处理器</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r>
              <w:rPr>
                <w:rFonts w:ascii="宋体" w:hAnsi="宋体" w:eastAsia="宋体" w:cs="Times New Roman"/>
                <w:color w:val="000000"/>
                <w:kern w:val="0"/>
                <w:sz w:val="24"/>
              </w:rPr>
              <w:t xml:space="preserve">. </w:t>
            </w:r>
            <w:r>
              <w:rPr>
                <w:rFonts w:hint="eastAsia" w:ascii="宋体" w:hAnsi="宋体" w:eastAsia="宋体" w:cs="Times New Roman"/>
                <w:color w:val="000000"/>
                <w:kern w:val="0"/>
                <w:sz w:val="24"/>
              </w:rPr>
              <w:t>机箱大小：不大于</w:t>
            </w:r>
            <w:r>
              <w:rPr>
                <w:rFonts w:ascii="宋体" w:hAnsi="宋体" w:eastAsia="宋体" w:cs="Times New Roman"/>
                <w:color w:val="000000"/>
                <w:kern w:val="0"/>
                <w:sz w:val="24"/>
              </w:rPr>
              <w:t>2U</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2</w:t>
            </w:r>
            <w:r>
              <w:rPr>
                <w:rFonts w:ascii="宋体" w:hAnsi="宋体" w:eastAsia="宋体" w:cs="Times New Roman"/>
                <w:color w:val="000000"/>
                <w:kern w:val="0"/>
                <w:sz w:val="24"/>
              </w:rPr>
              <w:t xml:space="preserve">. </w:t>
            </w:r>
            <w:r>
              <w:rPr>
                <w:rFonts w:hint="eastAsia" w:ascii="宋体" w:hAnsi="宋体" w:eastAsia="宋体" w:cs="Times New Roman"/>
                <w:color w:val="000000"/>
                <w:kern w:val="0"/>
                <w:sz w:val="24"/>
              </w:rPr>
              <w:t>槽位：</w:t>
            </w:r>
            <w:r>
              <w:rPr>
                <w:rFonts w:ascii="宋体" w:hAnsi="宋体" w:eastAsia="宋体" w:cs="Times New Roman"/>
                <w:color w:val="000000"/>
                <w:kern w:val="0"/>
                <w:sz w:val="24"/>
              </w:rPr>
              <w:t>4槽位，可混插</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3</w:t>
            </w:r>
            <w:r>
              <w:rPr>
                <w:rFonts w:ascii="宋体" w:hAnsi="宋体" w:eastAsia="宋体" w:cs="Times New Roman"/>
                <w:color w:val="000000"/>
                <w:kern w:val="0"/>
                <w:sz w:val="24"/>
              </w:rPr>
              <w:t xml:space="preserve">. </w:t>
            </w:r>
            <w:r>
              <w:rPr>
                <w:rFonts w:hint="eastAsia" w:ascii="宋体" w:hAnsi="宋体" w:eastAsia="宋体" w:cs="Times New Roman"/>
                <w:color w:val="000000"/>
                <w:kern w:val="0"/>
                <w:sz w:val="24"/>
              </w:rPr>
              <w:t>输入分辨率：</w:t>
            </w:r>
            <w:r>
              <w:rPr>
                <w:rFonts w:ascii="宋体" w:hAnsi="宋体" w:eastAsia="宋体" w:cs="Times New Roman"/>
                <w:color w:val="000000"/>
                <w:kern w:val="0"/>
                <w:sz w:val="24"/>
              </w:rPr>
              <w:t>3840*2160</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4</w:t>
            </w:r>
            <w:r>
              <w:rPr>
                <w:rFonts w:ascii="宋体" w:hAnsi="宋体" w:eastAsia="宋体" w:cs="Times New Roman"/>
                <w:color w:val="000000"/>
                <w:kern w:val="0"/>
                <w:sz w:val="24"/>
              </w:rPr>
              <w:t xml:space="preserve">. </w:t>
            </w:r>
            <w:r>
              <w:rPr>
                <w:rFonts w:hint="eastAsia" w:ascii="宋体" w:hAnsi="宋体" w:eastAsia="宋体" w:cs="Times New Roman"/>
                <w:color w:val="000000"/>
                <w:kern w:val="0"/>
                <w:sz w:val="24"/>
              </w:rPr>
              <w:t>开窗数量：单口最大</w:t>
            </w:r>
            <w:r>
              <w:rPr>
                <w:rFonts w:ascii="宋体" w:hAnsi="宋体" w:eastAsia="宋体" w:cs="Times New Roman"/>
                <w:color w:val="000000"/>
                <w:kern w:val="0"/>
                <w:sz w:val="24"/>
              </w:rPr>
              <w:t>8开</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5</w:t>
            </w:r>
            <w:r>
              <w:rPr>
                <w:rFonts w:ascii="宋体" w:hAnsi="宋体" w:eastAsia="宋体" w:cs="Times New Roman"/>
                <w:color w:val="000000"/>
                <w:kern w:val="0"/>
                <w:sz w:val="24"/>
              </w:rPr>
              <w:t xml:space="preserve">. </w:t>
            </w:r>
            <w:r>
              <w:rPr>
                <w:rFonts w:hint="eastAsia" w:ascii="宋体" w:hAnsi="宋体" w:eastAsia="宋体" w:cs="Times New Roman"/>
                <w:color w:val="000000"/>
                <w:kern w:val="0"/>
                <w:sz w:val="24"/>
              </w:rPr>
              <w:t>支持</w:t>
            </w:r>
            <w:r>
              <w:rPr>
                <w:rFonts w:ascii="宋体" w:hAnsi="宋体" w:eastAsia="宋体" w:cs="Times New Roman"/>
                <w:color w:val="000000"/>
                <w:kern w:val="0"/>
                <w:sz w:val="24"/>
              </w:rPr>
              <w:t>PAD控制功能</w:t>
            </w:r>
            <w:r>
              <w:rPr>
                <w:rFonts w:hint="eastAsia" w:ascii="宋体" w:hAnsi="宋体" w:eastAsia="宋体" w:cs="Times New Roman"/>
                <w:color w:val="000000"/>
                <w:kern w:val="0"/>
                <w:sz w:val="24"/>
              </w:rPr>
              <w:t>支持开窗，漫游，叠加机框自带两路输入接口，板卡槽位均可接入输入或输出端口的板卡并正常工作</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6</w:t>
            </w:r>
            <w:r>
              <w:rPr>
                <w:rFonts w:ascii="宋体" w:hAnsi="宋体" w:eastAsia="宋体" w:cs="Times New Roman"/>
                <w:color w:val="000000"/>
                <w:kern w:val="0"/>
                <w:sz w:val="24"/>
              </w:rPr>
              <w:t xml:space="preserve">. </w:t>
            </w:r>
            <w:r>
              <w:rPr>
                <w:rFonts w:hint="eastAsia" w:ascii="宋体" w:hAnsi="宋体" w:eastAsia="宋体" w:cs="Times New Roman"/>
                <w:color w:val="000000"/>
                <w:kern w:val="0"/>
                <w:sz w:val="24"/>
              </w:rPr>
              <w:t>单个输出通道可开</w:t>
            </w:r>
            <w:r>
              <w:rPr>
                <w:rFonts w:ascii="宋体" w:hAnsi="宋体" w:eastAsia="宋体" w:cs="Times New Roman"/>
                <w:color w:val="000000"/>
                <w:kern w:val="0"/>
                <w:sz w:val="24"/>
              </w:rPr>
              <w:t>32个窗口</w:t>
            </w:r>
            <w:r>
              <w:rPr>
                <w:rFonts w:hint="eastAsia" w:ascii="宋体" w:hAnsi="宋体" w:eastAsia="宋体" w:cs="Times New Roman"/>
                <w:color w:val="000000"/>
                <w:kern w:val="0"/>
                <w:sz w:val="24"/>
              </w:rPr>
              <w:t>可自动显示接入板卡的类型、在线状态、温度、运行时间、内存使用率、</w:t>
            </w:r>
            <w:r>
              <w:rPr>
                <w:rFonts w:ascii="宋体" w:hAnsi="宋体" w:eastAsia="宋体" w:cs="Times New Roman"/>
                <w:color w:val="000000"/>
                <w:kern w:val="0"/>
                <w:sz w:val="24"/>
              </w:rPr>
              <w:t>CPU使用率等信息，</w:t>
            </w:r>
            <w:r>
              <w:rPr>
                <w:rFonts w:hint="eastAsia" w:ascii="宋体" w:hAnsi="宋体" w:eastAsia="宋体" w:cs="Times New Roman"/>
                <w:color w:val="000000"/>
                <w:kern w:val="0"/>
                <w:sz w:val="24"/>
              </w:rPr>
              <w:t>可对多种场景进行保存和调用，可最多保存</w:t>
            </w:r>
            <w:r>
              <w:rPr>
                <w:rFonts w:ascii="宋体" w:hAnsi="宋体" w:eastAsia="宋体" w:cs="Times New Roman"/>
                <w:color w:val="000000"/>
                <w:kern w:val="0"/>
                <w:sz w:val="24"/>
              </w:rPr>
              <w:t>128个场景；</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7</w:t>
            </w:r>
            <w:r>
              <w:rPr>
                <w:rFonts w:ascii="宋体" w:hAnsi="宋体" w:eastAsia="宋体" w:cs="Times New Roman"/>
                <w:color w:val="000000"/>
                <w:kern w:val="0"/>
                <w:sz w:val="24"/>
              </w:rPr>
              <w:t xml:space="preserve">. </w:t>
            </w:r>
            <w:r>
              <w:rPr>
                <w:rFonts w:hint="eastAsia" w:ascii="宋体" w:hAnsi="宋体" w:eastAsia="宋体" w:cs="Times New Roman"/>
                <w:color w:val="000000"/>
                <w:kern w:val="0"/>
                <w:sz w:val="24"/>
              </w:rPr>
              <w:t>可根据机箱内温度自动调节风扇转速；</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8</w:t>
            </w:r>
            <w:r>
              <w:rPr>
                <w:rFonts w:ascii="宋体" w:hAnsi="宋体" w:eastAsia="宋体" w:cs="Times New Roman"/>
                <w:color w:val="000000"/>
                <w:kern w:val="0"/>
                <w:sz w:val="24"/>
              </w:rPr>
              <w:t xml:space="preserve">. </w:t>
            </w:r>
            <w:r>
              <w:rPr>
                <w:rFonts w:hint="eastAsia" w:ascii="宋体" w:hAnsi="宋体" w:eastAsia="宋体" w:cs="Times New Roman"/>
                <w:color w:val="000000"/>
                <w:kern w:val="0"/>
                <w:sz w:val="24"/>
              </w:rPr>
              <w:t>支持控制外接的</w:t>
            </w:r>
            <w:r>
              <w:rPr>
                <w:rFonts w:ascii="宋体" w:hAnsi="宋体" w:eastAsia="宋体" w:cs="Times New Roman"/>
                <w:color w:val="000000"/>
                <w:kern w:val="0"/>
                <w:sz w:val="24"/>
              </w:rPr>
              <w:t>LED屏幕的手动、定时、倒计时开关机以及延时关机；</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个</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2</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指挥中心及大会议室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6</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拼接处理器</w:t>
            </w:r>
            <w:r>
              <w:rPr>
                <w:rFonts w:ascii="宋体" w:hAnsi="宋体" w:eastAsia="宋体" w:cs="Times New Roman"/>
                <w:color w:val="000000"/>
                <w:kern w:val="0"/>
                <w:sz w:val="24"/>
              </w:rPr>
              <w:t>8口HDMI输出卡模块</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输出卡模块</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HDMI8路输出板卡</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个</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4</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指挥中心及大会议室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7</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拼接处理器</w:t>
            </w:r>
            <w:r>
              <w:rPr>
                <w:rFonts w:ascii="宋体" w:hAnsi="宋体" w:eastAsia="宋体" w:cs="Times New Roman"/>
                <w:color w:val="000000"/>
                <w:kern w:val="0"/>
                <w:sz w:val="24"/>
              </w:rPr>
              <w:t>8口HDMI输入卡模块</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输出卡模块</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HDMI8路输入板卡</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个</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4</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指挥中心及大会议室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8</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LED小间距产品20KW配电箱</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配电箱</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ascii="宋体" w:hAnsi="宋体" w:eastAsia="宋体" w:cs="Times New Roman"/>
                <w:color w:val="000000"/>
                <w:kern w:val="0"/>
                <w:sz w:val="24"/>
              </w:rPr>
              <w:t>采用高质量，高可靠性的工业级进口控制器，全天候，全时段稳定可靠运行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Times New Roman"/>
                <w:color w:val="000000"/>
                <w:kern w:val="0"/>
                <w:sz w:val="24"/>
              </w:rPr>
            </w:pPr>
            <w:r>
              <w:rPr>
                <w:rFonts w:ascii="宋体" w:hAnsi="宋体" w:eastAsia="宋体" w:cs="Times New Roman"/>
                <w:color w:val="000000"/>
                <w:kern w:val="0"/>
                <w:sz w:val="24"/>
              </w:rPr>
              <w:t>配电系统包含PLC远程智能控制系统，可执行远程开关机操作，具备过压、过流、欠压、短路、断路及漏电保护措施</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个</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2</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指挥中心及大会议室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r>
              <w:rPr>
                <w:rFonts w:ascii="宋体" w:hAnsi="宋体" w:eastAsia="宋体" w:cs="Times New Roman"/>
                <w:color w:val="000000"/>
                <w:kern w:val="0"/>
                <w:sz w:val="24"/>
              </w:rPr>
              <w:t>1</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8单元音柱音箱</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8单元音柱</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1.单元结构：4x3"全频喇叭单元，4个钕铁硼带式平面波高音单元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2.频响范围：105Hz～20kHz</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3.额定功率：140W</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4.节目功率：280W</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5.峰值功率：560W</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6.标称阻抗：8Ω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7.输入灵敏度：90dB（1M/1W）</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ascii="宋体" w:hAnsi="宋体" w:eastAsia="宋体" w:cs="Times New Roman"/>
                <w:color w:val="000000"/>
                <w:kern w:val="0"/>
                <w:sz w:val="24"/>
              </w:rPr>
              <w:t>8.最大声压：109dB</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个</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4</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指挥中心及大会议室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000000"/>
                <w:kern w:val="0"/>
                <w:sz w:val="24"/>
              </w:rPr>
            </w:pPr>
            <w:r>
              <w:rPr>
                <w:rFonts w:hint="default" w:ascii="宋体" w:hAnsi="宋体" w:eastAsia="宋体" w:cs="Times New Roman"/>
                <w:color w:val="000000"/>
                <w:kern w:val="0"/>
                <w:sz w:val="24"/>
              </w:rPr>
              <w:t>12</w:t>
            </w:r>
          </w:p>
        </w:tc>
        <w:tc>
          <w:tcPr>
            <w:tcW w:w="1684" w:type="dxa"/>
            <w:vAlign w:val="center"/>
          </w:tcPr>
          <w:p>
            <w:pPr>
              <w:spacing w:line="300" w:lineRule="exact"/>
              <w:jc w:val="center"/>
              <w:rPr>
                <w:rFonts w:ascii="宋体" w:hAnsi="宋体" w:eastAsia="宋体" w:cs="Times New Roman"/>
                <w:color w:val="auto"/>
                <w:kern w:val="0"/>
                <w:sz w:val="24"/>
                <w:szCs w:val="24"/>
                <w:lang w:val="en-US" w:eastAsia="zh-CN" w:bidi="ar-SA"/>
              </w:rPr>
            </w:pPr>
            <w:r>
              <w:rPr>
                <w:rFonts w:hint="eastAsia" w:ascii="宋体" w:hAnsi="宋体"/>
                <w:color w:val="auto"/>
                <w:sz w:val="24"/>
              </w:rPr>
              <w:t>办公座椅</w:t>
            </w:r>
          </w:p>
        </w:tc>
        <w:tc>
          <w:tcPr>
            <w:tcW w:w="1550" w:type="dxa"/>
            <w:vAlign w:val="center"/>
          </w:tcPr>
          <w:p>
            <w:pPr>
              <w:spacing w:line="300" w:lineRule="exact"/>
              <w:jc w:val="center"/>
              <w:rPr>
                <w:rFonts w:ascii="宋体" w:hAnsi="宋体" w:eastAsia="宋体" w:cs="Times New Roman"/>
                <w:color w:val="auto"/>
                <w:kern w:val="0"/>
                <w:sz w:val="24"/>
                <w:szCs w:val="24"/>
                <w:lang w:val="en-US" w:eastAsia="zh-CN" w:bidi="ar-SA"/>
              </w:rPr>
            </w:pPr>
            <w:r>
              <w:rPr>
                <w:rFonts w:hint="eastAsia" w:ascii="宋体" w:hAnsi="宋体"/>
                <w:color w:val="auto"/>
                <w:sz w:val="24"/>
              </w:rPr>
              <w:t>组合桌椅</w:t>
            </w:r>
          </w:p>
        </w:tc>
        <w:tc>
          <w:tcPr>
            <w:tcW w:w="3223" w:type="dxa"/>
            <w:gridSpan w:val="2"/>
            <w:vAlign w:val="center"/>
          </w:tcPr>
          <w:p>
            <w:pPr>
              <w:spacing w:line="400" w:lineRule="exact"/>
              <w:ind w:firstLine="480"/>
              <w:jc w:val="center"/>
              <w:rPr>
                <w:rFonts w:ascii="宋体" w:hAnsi="宋体"/>
                <w:color w:val="auto"/>
                <w:sz w:val="24"/>
              </w:rPr>
            </w:pPr>
            <w:r>
              <w:rPr>
                <w:rFonts w:hint="eastAsia" w:ascii="宋体" w:hAnsi="宋体"/>
                <w:color w:val="auto"/>
                <w:sz w:val="24"/>
              </w:rPr>
              <w:t>主席桌椅一套，4个工位</w:t>
            </w:r>
          </w:p>
          <w:p>
            <w:pPr>
              <w:spacing w:line="300" w:lineRule="exact"/>
              <w:jc w:val="center"/>
              <w:rPr>
                <w:rFonts w:ascii="宋体" w:hAnsi="宋体" w:eastAsia="宋体" w:cs="Times New Roman"/>
                <w:color w:val="auto"/>
                <w:kern w:val="0"/>
                <w:sz w:val="24"/>
                <w:szCs w:val="24"/>
                <w:lang w:val="en-US" w:eastAsia="zh-CN" w:bidi="ar-SA"/>
              </w:rPr>
            </w:pPr>
            <w:r>
              <w:rPr>
                <w:rFonts w:hint="eastAsia" w:ascii="宋体" w:hAnsi="宋体"/>
                <w:color w:val="auto"/>
                <w:sz w:val="24"/>
              </w:rPr>
              <w:t>操作桌椅一套，5个工位</w:t>
            </w:r>
          </w:p>
        </w:tc>
        <w:tc>
          <w:tcPr>
            <w:tcW w:w="844" w:type="dxa"/>
            <w:vAlign w:val="center"/>
          </w:tcPr>
          <w:p>
            <w:pPr>
              <w:spacing w:line="300" w:lineRule="exact"/>
              <w:jc w:val="center"/>
              <w:rPr>
                <w:rFonts w:hint="eastAsia" w:ascii="宋体" w:hAnsi="宋体" w:eastAsia="宋体" w:cs="Times New Roman"/>
                <w:color w:val="auto"/>
                <w:kern w:val="0"/>
                <w:sz w:val="24"/>
                <w:szCs w:val="24"/>
                <w:lang w:val="en-US" w:eastAsia="zh-CN" w:bidi="ar-SA"/>
              </w:rPr>
            </w:pPr>
            <w:r>
              <w:rPr>
                <w:rFonts w:hint="eastAsia" w:ascii="宋体" w:hAnsi="宋体"/>
                <w:color w:val="auto"/>
                <w:sz w:val="24"/>
              </w:rPr>
              <w:t>套</w:t>
            </w:r>
          </w:p>
        </w:tc>
        <w:tc>
          <w:tcPr>
            <w:tcW w:w="936" w:type="dxa"/>
            <w:vAlign w:val="center"/>
          </w:tcPr>
          <w:p>
            <w:pPr>
              <w:spacing w:line="300" w:lineRule="exact"/>
              <w:jc w:val="center"/>
              <w:rPr>
                <w:rFonts w:ascii="宋体" w:hAnsi="宋体" w:eastAsia="宋体" w:cs="Times New Roman"/>
                <w:color w:val="auto"/>
                <w:kern w:val="0"/>
                <w:sz w:val="24"/>
                <w:szCs w:val="24"/>
                <w:lang w:val="en-US" w:eastAsia="zh-CN" w:bidi="ar-SA"/>
              </w:rPr>
            </w:pPr>
            <w:r>
              <w:rPr>
                <w:rFonts w:ascii="宋体" w:hAnsi="宋体"/>
                <w:color w:val="auto"/>
                <w:sz w:val="24"/>
              </w:rPr>
              <w:t>9</w:t>
            </w:r>
          </w:p>
        </w:tc>
        <w:tc>
          <w:tcPr>
            <w:tcW w:w="1266" w:type="dxa"/>
            <w:vAlign w:val="center"/>
          </w:tcPr>
          <w:p>
            <w:pPr>
              <w:spacing w:line="300" w:lineRule="exac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r>
              <w:rPr>
                <w:rFonts w:hint="default" w:ascii="宋体" w:hAnsi="宋体" w:eastAsia="宋体" w:cs="Times New Roman"/>
                <w:color w:val="000000"/>
                <w:kern w:val="0"/>
                <w:sz w:val="24"/>
              </w:rPr>
              <w:t>3</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办公电脑</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台式电脑</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台式电脑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2</w:t>
            </w:r>
            <w:r>
              <w:rPr>
                <w:rFonts w:ascii="宋体" w:hAnsi="宋体" w:eastAsia="宋体" w:cs="Times New Roman"/>
                <w:color w:val="000000"/>
                <w:kern w:val="0"/>
                <w:sz w:val="24"/>
              </w:rPr>
              <w:t>7</w:t>
            </w:r>
            <w:r>
              <w:rPr>
                <w:rFonts w:hint="eastAsia" w:ascii="宋体" w:hAnsi="宋体" w:eastAsia="宋体" w:cs="Times New Roman"/>
                <w:color w:val="000000"/>
                <w:kern w:val="0"/>
                <w:sz w:val="24"/>
              </w:rPr>
              <w:t>寸台式显示器</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台</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r>
              <w:rPr>
                <w:rFonts w:hint="default" w:ascii="宋体" w:hAnsi="宋体" w:eastAsia="宋体" w:cs="Times New Roman"/>
                <w:color w:val="000000"/>
                <w:kern w:val="0"/>
                <w:sz w:val="24"/>
              </w:rPr>
              <w:t>4</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LED拼接系统工程安装服务(含钢结构及现场制作)</w:t>
            </w:r>
          </w:p>
        </w:tc>
        <w:tc>
          <w:tcPr>
            <w:tcW w:w="15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现场施工</w:t>
            </w:r>
          </w:p>
        </w:tc>
        <w:tc>
          <w:tcPr>
            <w:tcW w:w="32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LED拼接系统工程安装服务</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项</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2</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指挥中心及大会议室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10207"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b/>
                <w:color w:val="000000"/>
                <w:kern w:val="0"/>
                <w:sz w:val="24"/>
              </w:rPr>
            </w:pPr>
            <w:r>
              <w:rPr>
                <w:rFonts w:hint="eastAsia" w:ascii="宋体" w:hAnsi="宋体" w:eastAsia="宋体" w:cs="Times New Roman"/>
                <w:b/>
                <w:color w:val="000000"/>
                <w:kern w:val="0"/>
                <w:sz w:val="24"/>
              </w:rPr>
              <w:t>二、软件部分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仿宋"/>
                <w:w w:val="97"/>
                <w:kern w:val="0"/>
                <w:sz w:val="24"/>
                <w:szCs w:val="28"/>
              </w:rPr>
            </w:pPr>
            <w:r>
              <w:rPr>
                <w:rFonts w:hint="eastAsia" w:ascii="宋体" w:hAnsi="宋体" w:eastAsia="宋体" w:cs="仿宋"/>
                <w:w w:val="97"/>
                <w:kern w:val="0"/>
                <w:sz w:val="24"/>
                <w:szCs w:val="28"/>
              </w:rPr>
              <w:t>类别</w:t>
            </w: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模块</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详细介绍</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单位</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数量</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p>
        </w:tc>
        <w:tc>
          <w:tcPr>
            <w:tcW w:w="168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仿宋"/>
                <w:w w:val="97"/>
                <w:kern w:val="0"/>
                <w:sz w:val="24"/>
                <w:szCs w:val="28"/>
              </w:rPr>
              <w:t>特殊作业视频图传平台升级改造</w:t>
            </w: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图传平台升级改造</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★建立特殊作业图传平台，要求具备移动执法记录仪图传功能，要求具备P</w:t>
            </w:r>
            <w:r>
              <w:rPr>
                <w:rFonts w:ascii="宋体" w:hAnsi="宋体" w:eastAsia="宋体" w:cs="Times New Roman"/>
                <w:color w:val="000000"/>
                <w:kern w:val="0"/>
                <w:sz w:val="24"/>
              </w:rPr>
              <w:t>C</w:t>
            </w:r>
            <w:r>
              <w:rPr>
                <w:rFonts w:hint="eastAsia" w:ascii="宋体" w:hAnsi="宋体" w:eastAsia="宋体" w:cs="Times New Roman"/>
                <w:color w:val="000000"/>
                <w:kern w:val="0"/>
                <w:sz w:val="24"/>
              </w:rPr>
              <w:t>端、客户端、手机端系统，实现对讲功能、存储回放、设备状态显示、报警信息、统计分析等功能</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2</w:t>
            </w:r>
          </w:p>
        </w:tc>
        <w:tc>
          <w:tcPr>
            <w:tcW w:w="16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企业端记录仪接入</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要求接入企业现有的移动执法记录仪，开放接口系统，对满足G</w:t>
            </w:r>
            <w:r>
              <w:rPr>
                <w:rFonts w:ascii="宋体" w:hAnsi="宋体" w:eastAsia="宋体" w:cs="Times New Roman"/>
                <w:color w:val="000000"/>
                <w:kern w:val="0"/>
                <w:sz w:val="24"/>
              </w:rPr>
              <w:t>B28181</w:t>
            </w:r>
            <w:r>
              <w:rPr>
                <w:rFonts w:hint="eastAsia" w:ascii="宋体" w:hAnsi="宋体" w:eastAsia="宋体" w:cs="Times New Roman"/>
                <w:color w:val="000000"/>
                <w:kern w:val="0"/>
                <w:sz w:val="24"/>
              </w:rPr>
              <w:t>协议记录仪进行接入</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项</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3</w:t>
            </w:r>
          </w:p>
        </w:tc>
        <w:tc>
          <w:tcPr>
            <w:tcW w:w="168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color w:val="000000"/>
                <w:sz w:val="24"/>
              </w:rPr>
              <w:t>视频监控</w:t>
            </w:r>
            <w:r>
              <w:rPr>
                <w:rFonts w:hint="eastAsia" w:ascii="宋体" w:hAnsi="宋体"/>
                <w:color w:val="000000"/>
                <w:sz w:val="24"/>
              </w:rPr>
              <w:br w:type="textWrapping"/>
            </w:r>
            <w:r>
              <w:rPr>
                <w:rFonts w:hint="eastAsia" w:ascii="宋体" w:hAnsi="宋体"/>
                <w:color w:val="000000"/>
                <w:sz w:val="24"/>
              </w:rPr>
              <w:t>及智能分析平台</w:t>
            </w: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固定视频监控接入</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★建立视频监控平台，对接入的固定摄像机等数字/模拟视频信号统一处理，支持 GB/T 28181—2016 国标协议， 具备视频的预览、储存、回放、查询、放大、轮巡、变焦及云 台控制功能，满足园区快速调阅企业及公共区域各类视频监控画面，迅速掌握现场情况。</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接入准东所有工贸、危化、煤矿企业关键部位视频点位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6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color w:val="000000"/>
                <w:sz w:val="24"/>
              </w:rPr>
              <w:t>AI智能分析平台</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color w:val="000000"/>
                <w:sz w:val="24"/>
              </w:rPr>
              <w:t>★定制开发：视频智能分析、违规/异常/报警实时核查与处理、视频分析结果推送。视频历史调阅、视频存 储、视频安全调阅、实时视频调阅； 视频取样、分析对比、结果判断等基础功能块建设园区视频监控及智能分析系统,运用人工智能技术，自动识别人员违章行为、设备异常状态、环境潜在危险等安全隐患，及时预警</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color w:val="00000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color w:val="00000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6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color w:val="000000"/>
                <w:sz w:val="24"/>
              </w:rPr>
              <w:t>AI 智能算法</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color w:val="000000"/>
                <w:sz w:val="24"/>
              </w:rPr>
              <w:t>★识别场景如：离岗检测及预警、区域人员入侵、人员脱岗检测、安全帽检测、现中控室人员脱岗、烟火、人员聚集等关键场景的AI智能算法。</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color w:val="00000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color w:val="00000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4</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GIS地图服务</w:t>
            </w: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园区危化三维可视化地图</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★开发GIS地图服务系统，对园区企业位置、风险点情况、环保关键点位、等进行标注，实时可视化展示</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5</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集成服务</w:t>
            </w: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安监局内其他系统集成服务</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将安监局内现有煤矿风险监测</w:t>
            </w:r>
            <w:r>
              <w:rPr>
                <w:rFonts w:hint="eastAsia" w:ascii="宋体" w:hAnsi="宋体" w:eastAsia="宋体" w:cs="Times New Roman"/>
                <w:color w:val="auto"/>
                <w:kern w:val="0"/>
                <w:sz w:val="24"/>
                <w:lang w:eastAsia="zh-CN"/>
              </w:rPr>
              <w:t>（</w:t>
            </w:r>
            <w:r>
              <w:rPr>
                <w:rFonts w:hint="eastAsia" w:ascii="宋体" w:hAnsi="宋体" w:eastAsia="宋体" w:cs="Times New Roman"/>
                <w:color w:val="auto"/>
                <w:kern w:val="0"/>
                <w:sz w:val="24"/>
                <w:lang w:val="en-US" w:eastAsia="zh-CN"/>
              </w:rPr>
              <w:t>包含瓦斯、一氧化碳、氧气、温度、人员定位等数据</w:t>
            </w:r>
            <w:r>
              <w:rPr>
                <w:rFonts w:hint="eastAsia" w:ascii="宋体" w:hAnsi="宋体" w:eastAsia="宋体" w:cs="Times New Roman"/>
                <w:color w:val="auto"/>
                <w:kern w:val="0"/>
                <w:sz w:val="24"/>
                <w:lang w:eastAsia="zh-CN"/>
              </w:rPr>
              <w:t>）</w:t>
            </w:r>
            <w:r>
              <w:rPr>
                <w:rFonts w:hint="eastAsia" w:ascii="宋体" w:hAnsi="宋体" w:eastAsia="宋体" w:cs="Times New Roman"/>
                <w:color w:val="000000"/>
                <w:kern w:val="0"/>
                <w:sz w:val="24"/>
              </w:rPr>
              <w:t>系统、边坡治理监测系统集成至指挥中心，进行集中展示</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6</w:t>
            </w:r>
          </w:p>
        </w:tc>
        <w:tc>
          <w:tcPr>
            <w:tcW w:w="168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指挥中心安全监管一张图可视化系统</w:t>
            </w: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视频一张图</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★将各危化企业关键位置视频整合至三维地图上，实现通过地图进行视频查看、调阅功能</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7</w:t>
            </w:r>
          </w:p>
        </w:tc>
        <w:tc>
          <w:tcPr>
            <w:tcW w:w="16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GDS数据</w:t>
            </w:r>
            <w:r>
              <w:rPr>
                <w:rFonts w:hint="eastAsia" w:ascii="宋体" w:hAnsi="宋体" w:eastAsia="宋体" w:cs="Times New Roman"/>
                <w:color w:val="000000"/>
                <w:kern w:val="0"/>
                <w:sz w:val="24"/>
              </w:rPr>
              <w:t>一张图</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★将各危化企业G</w:t>
            </w:r>
            <w:r>
              <w:rPr>
                <w:rFonts w:ascii="宋体" w:hAnsi="宋体" w:eastAsia="宋体" w:cs="Times New Roman"/>
                <w:color w:val="000000"/>
                <w:kern w:val="0"/>
                <w:sz w:val="24"/>
              </w:rPr>
              <w:t>DS</w:t>
            </w:r>
            <w:r>
              <w:rPr>
                <w:rFonts w:hint="eastAsia" w:ascii="宋体" w:hAnsi="宋体" w:eastAsia="宋体" w:cs="Times New Roman"/>
                <w:color w:val="000000"/>
                <w:kern w:val="0"/>
                <w:sz w:val="24"/>
              </w:rPr>
              <w:t>数据整合至三维地图上，实现通过地图进行G</w:t>
            </w:r>
            <w:r>
              <w:rPr>
                <w:rFonts w:ascii="宋体" w:hAnsi="宋体" w:eastAsia="宋体" w:cs="Times New Roman"/>
                <w:color w:val="000000"/>
                <w:kern w:val="0"/>
                <w:sz w:val="24"/>
              </w:rPr>
              <w:t>DS</w:t>
            </w:r>
            <w:r>
              <w:rPr>
                <w:rFonts w:hint="eastAsia" w:ascii="宋体" w:hAnsi="宋体" w:eastAsia="宋体" w:cs="Times New Roman"/>
                <w:color w:val="000000"/>
                <w:kern w:val="0"/>
                <w:sz w:val="24"/>
              </w:rPr>
              <w:t>数据查看、调阅功能</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8</w:t>
            </w:r>
          </w:p>
        </w:tc>
        <w:tc>
          <w:tcPr>
            <w:tcW w:w="16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安全承诺数据</w:t>
            </w:r>
            <w:r>
              <w:rPr>
                <w:rFonts w:hint="eastAsia" w:ascii="宋体" w:hAnsi="宋体" w:eastAsia="宋体" w:cs="Times New Roman"/>
                <w:color w:val="000000"/>
                <w:kern w:val="0"/>
                <w:sz w:val="24"/>
              </w:rPr>
              <w:t>一张图</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★将各危化企业</w:t>
            </w:r>
            <w:r>
              <w:rPr>
                <w:rFonts w:ascii="宋体" w:hAnsi="宋体" w:eastAsia="宋体" w:cs="Times New Roman"/>
                <w:color w:val="000000"/>
                <w:kern w:val="0"/>
                <w:sz w:val="24"/>
              </w:rPr>
              <w:t>安全承诺数据</w:t>
            </w:r>
            <w:r>
              <w:rPr>
                <w:rFonts w:hint="eastAsia" w:ascii="宋体" w:hAnsi="宋体" w:eastAsia="宋体" w:cs="Times New Roman"/>
                <w:color w:val="000000"/>
                <w:kern w:val="0"/>
                <w:sz w:val="24"/>
              </w:rPr>
              <w:t>整合至三维地图上，实现通过地图进行</w:t>
            </w:r>
            <w:r>
              <w:rPr>
                <w:rFonts w:ascii="宋体" w:hAnsi="宋体" w:eastAsia="宋体" w:cs="Times New Roman"/>
                <w:color w:val="000000"/>
                <w:kern w:val="0"/>
                <w:sz w:val="24"/>
              </w:rPr>
              <w:t>安全承诺数据</w:t>
            </w:r>
            <w:r>
              <w:rPr>
                <w:rFonts w:hint="eastAsia" w:ascii="宋体" w:hAnsi="宋体" w:eastAsia="宋体" w:cs="Times New Roman"/>
                <w:color w:val="000000"/>
                <w:kern w:val="0"/>
                <w:sz w:val="24"/>
              </w:rPr>
              <w:t>查看、调阅功能</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9</w:t>
            </w:r>
          </w:p>
        </w:tc>
        <w:tc>
          <w:tcPr>
            <w:tcW w:w="16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企业分布一张图</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★将准东危化企业、工贸企业、煤矿企业、电力企业、非煤矿山企业整合至地图上，实现园区企业基础数据一张图展示</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10</w:t>
            </w:r>
          </w:p>
        </w:tc>
        <w:tc>
          <w:tcPr>
            <w:tcW w:w="168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系统硬件设备设施</w:t>
            </w: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UPS 电源</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容量：10KVA 机架式，蓄电池包：16节12V9AH</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个</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ascii="宋体" w:hAnsi="宋体" w:eastAsia="宋体" w:cs="Times New Roman"/>
                <w:color w:val="000000"/>
                <w:kern w:val="0"/>
                <w:sz w:val="24"/>
              </w:rPr>
              <w:t>2</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r>
              <w:rPr>
                <w:rFonts w:ascii="宋体" w:hAnsi="宋体" w:eastAsia="宋体" w:cs="Times New Roman"/>
                <w:color w:val="000000"/>
                <w:kern w:val="0"/>
                <w:sz w:val="24"/>
              </w:rPr>
              <w:t>1</w:t>
            </w:r>
          </w:p>
        </w:tc>
        <w:tc>
          <w:tcPr>
            <w:tcW w:w="16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服务器</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专有服务器</w:t>
            </w:r>
            <w:r>
              <w:rPr>
                <w:rFonts w:ascii="宋体" w:hAnsi="宋体" w:eastAsia="宋体" w:cs="Times New Roman"/>
                <w:color w:val="000000"/>
                <w:kern w:val="0"/>
                <w:sz w:val="24"/>
              </w:rPr>
              <w:t>3</w:t>
            </w:r>
            <w:r>
              <w:rPr>
                <w:rFonts w:hint="eastAsia" w:ascii="宋体" w:hAnsi="宋体" w:eastAsia="宋体" w:cs="Times New Roman"/>
                <w:color w:val="000000"/>
                <w:kern w:val="0"/>
                <w:sz w:val="24"/>
              </w:rPr>
              <w:t>台，其中视频服务器1台、应用服务器</w:t>
            </w:r>
            <w:r>
              <w:rPr>
                <w:rFonts w:ascii="宋体" w:hAnsi="宋体" w:eastAsia="宋体" w:cs="Times New Roman"/>
                <w:color w:val="000000"/>
                <w:kern w:val="0"/>
                <w:sz w:val="24"/>
              </w:rPr>
              <w:t>1</w:t>
            </w:r>
            <w:r>
              <w:rPr>
                <w:rFonts w:hint="eastAsia" w:ascii="宋体" w:hAnsi="宋体" w:eastAsia="宋体" w:cs="Times New Roman"/>
                <w:color w:val="000000"/>
                <w:kern w:val="0"/>
                <w:sz w:val="24"/>
              </w:rPr>
              <w:t>台，存储服务器1台</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台</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3</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r>
              <w:rPr>
                <w:rFonts w:ascii="宋体" w:hAnsi="宋体" w:eastAsia="宋体" w:cs="Times New Roman"/>
                <w:color w:val="000000"/>
                <w:kern w:val="0"/>
                <w:sz w:val="24"/>
              </w:rPr>
              <w:t>2</w:t>
            </w:r>
          </w:p>
        </w:tc>
        <w:tc>
          <w:tcPr>
            <w:tcW w:w="16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存储阵列</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支持结构化和非结构化数据存储；控制器：配置 2 个存储控制引 擎，每个控制器配置 1 颗 X86 架构 CPU，双控存储系统 X86 CPU 核心总数≥12，最大可以扩展到8个控制器引擎。（不包括外接虚拟化网关或者 NAS控制器等）； 实际配置物理裸容量 ≥21TB，非压缩非去重可用物理空间≥48TB；</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套</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r>
              <w:rPr>
                <w:rFonts w:ascii="宋体" w:hAnsi="宋体" w:eastAsia="宋体" w:cs="Times New Roman"/>
                <w:color w:val="000000"/>
                <w:kern w:val="0"/>
                <w:sz w:val="24"/>
              </w:rPr>
              <w:t>3</w:t>
            </w:r>
          </w:p>
        </w:tc>
        <w:tc>
          <w:tcPr>
            <w:tcW w:w="16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c>
          <w:tcPr>
            <w:tcW w:w="18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核心交换机</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交换容量≥336Gbps，包转发率 ≥108Mpps，提供48个千兆电口，4个万兆光口，本次实配2个万兆 多模光模块； 提供 48 个千兆电口，4个万兆光口，本次实配2个万兆多模光模 块</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个</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r>
              <w:rPr>
                <w:rFonts w:hint="eastAsia" w:ascii="宋体" w:hAnsi="宋体" w:eastAsia="宋体" w:cs="Times New Roman"/>
                <w:color w:val="000000"/>
                <w:kern w:val="0"/>
                <w:sz w:val="24"/>
              </w:rPr>
              <w:t>1</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000000"/>
                <w:kern w:val="0"/>
                <w:sz w:val="24"/>
              </w:rPr>
            </w:pPr>
          </w:p>
        </w:tc>
      </w:tr>
    </w:tbl>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firstLine="560"/>
        <w:rPr>
          <w:rFonts w:ascii="宋体" w:hAnsi="宋体" w:eastAsia="宋体" w:cs="宋体"/>
          <w:sz w:val="28"/>
          <w:szCs w:val="28"/>
        </w:rPr>
      </w:pPr>
    </w:p>
    <w:p>
      <w:pPr>
        <w:pStyle w:val="9"/>
        <w:ind w:left="0" w:leftChars="0" w:firstLine="0" w:firstLineChars="0"/>
        <w:rPr>
          <w:rFonts w:ascii="宋体" w:hAnsi="宋体" w:eastAsia="宋体" w:cs="宋体"/>
          <w:sz w:val="28"/>
          <w:szCs w:val="28"/>
        </w:rPr>
      </w:pPr>
    </w:p>
    <w:p>
      <w:pPr>
        <w:pStyle w:val="9"/>
        <w:ind w:firstLine="0" w:firstLineChars="0"/>
      </w:pPr>
    </w:p>
    <w:p>
      <w:pPr>
        <w:pStyle w:val="9"/>
      </w:pPr>
    </w:p>
    <w:p>
      <w:pPr>
        <w:pStyle w:val="5"/>
        <w:numPr>
          <w:ilvl w:val="0"/>
          <w:numId w:val="8"/>
        </w:numPr>
        <w:rPr>
          <w:rFonts w:asciiTheme="majorEastAsia" w:hAnsiTheme="majorEastAsia" w:eastAsiaTheme="majorEastAsia" w:cstheme="majorEastAsia"/>
          <w:sz w:val="72"/>
          <w:szCs w:val="72"/>
        </w:rPr>
      </w:pPr>
      <w:r>
        <w:rPr>
          <w:rFonts w:hint="eastAsia" w:asciiTheme="majorEastAsia" w:hAnsiTheme="majorEastAsia" w:eastAsiaTheme="majorEastAsia" w:cstheme="majorEastAsia"/>
          <w:sz w:val="72"/>
          <w:szCs w:val="72"/>
        </w:rPr>
        <w:t xml:space="preserve"> </w:t>
      </w:r>
      <w:bookmarkStart w:id="44" w:name="_Toc4602"/>
      <w:r>
        <w:rPr>
          <w:rFonts w:hint="eastAsia" w:asciiTheme="majorEastAsia" w:hAnsiTheme="majorEastAsia" w:eastAsiaTheme="majorEastAsia" w:cstheme="majorEastAsia"/>
          <w:sz w:val="72"/>
          <w:szCs w:val="72"/>
        </w:rPr>
        <w:t>投标文件格式</w:t>
      </w:r>
      <w:bookmarkEnd w:id="44"/>
    </w:p>
    <w:p/>
    <w:p/>
    <w:p>
      <w:pPr>
        <w:pStyle w:val="9"/>
      </w:pPr>
    </w:p>
    <w:p/>
    <w:p/>
    <w:p/>
    <w:p/>
    <w:p/>
    <w:p>
      <w:pPr>
        <w:pStyle w:val="2"/>
      </w:pPr>
    </w:p>
    <w:p/>
    <w:p>
      <w:pPr>
        <w:pStyle w:val="13"/>
      </w:pPr>
    </w:p>
    <w:p/>
    <w:p/>
    <w:p>
      <w:pPr>
        <w:pStyle w:val="13"/>
      </w:pPr>
    </w:p>
    <w:p/>
    <w:p/>
    <w:p>
      <w:pPr>
        <w:jc w:val="center"/>
        <w:rPr>
          <w:rFonts w:eastAsia="黑体"/>
          <w:sz w:val="20"/>
          <w:szCs w:val="20"/>
        </w:rPr>
      </w:pPr>
      <w:r>
        <w:rPr>
          <w:rFonts w:hint="eastAsia" w:eastAsia="黑体"/>
          <w:sz w:val="28"/>
          <w:szCs w:val="28"/>
          <w:u w:val="single"/>
        </w:rPr>
        <w:t xml:space="preserve">                </w:t>
      </w:r>
      <w:r>
        <w:rPr>
          <w:rFonts w:eastAsia="黑体"/>
          <w:sz w:val="28"/>
          <w:szCs w:val="28"/>
        </w:rPr>
        <w:t>（项目名称）</w:t>
      </w:r>
    </w:p>
    <w:p>
      <w:pPr>
        <w:jc w:val="cente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rPr>
          <w:rFonts w:eastAsia="黑体"/>
          <w:sz w:val="56"/>
          <w:szCs w:val="56"/>
        </w:rPr>
      </w:pPr>
    </w:p>
    <w:p>
      <w:pPr>
        <w:jc w:val="center"/>
        <w:rPr>
          <w:rFonts w:eastAsia="黑体"/>
          <w:sz w:val="56"/>
          <w:szCs w:val="56"/>
        </w:rPr>
      </w:pPr>
    </w:p>
    <w:p>
      <w:pPr>
        <w:jc w:val="center"/>
        <w:rPr>
          <w:rFonts w:eastAsia="黑体"/>
          <w:sz w:val="56"/>
          <w:szCs w:val="56"/>
        </w:rPr>
      </w:pPr>
      <w:r>
        <w:rPr>
          <w:rFonts w:eastAsia="黑体"/>
          <w:sz w:val="56"/>
          <w:szCs w:val="56"/>
        </w:rPr>
        <w:t>投  标  文  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18"/>
        <w:rPr>
          <w:rFonts w:eastAsia="黑体"/>
          <w:sz w:val="28"/>
          <w:szCs w:val="28"/>
        </w:rPr>
      </w:pPr>
    </w:p>
    <w:p>
      <w:pPr>
        <w:rPr>
          <w:rFonts w:eastAsia="黑体"/>
          <w:sz w:val="28"/>
          <w:szCs w:val="28"/>
        </w:rPr>
      </w:pPr>
    </w:p>
    <w:p>
      <w:pPr>
        <w:pStyle w:val="18"/>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rPr>
        <w:t xml:space="preserve">  </w:t>
      </w:r>
      <w:r>
        <w:rPr>
          <w:rFonts w:eastAsia="黑体"/>
          <w:sz w:val="28"/>
          <w:szCs w:val="28"/>
        </w:rPr>
        <w:t>法定代表人或其委托代理人：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盖章或</w:t>
      </w:r>
      <w:r>
        <w:rPr>
          <w:rFonts w:eastAsia="黑体"/>
          <w:sz w:val="28"/>
          <w:szCs w:val="28"/>
        </w:rPr>
        <w:t>签字）</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bookmarkStart w:id="45" w:name="_Toc12652"/>
    </w:p>
    <w:p>
      <w:pPr>
        <w:pStyle w:val="7"/>
        <w:jc w:val="both"/>
        <w:rPr>
          <w:rFonts w:hint="eastAsia" w:asciiTheme="majorEastAsia" w:hAnsiTheme="majorEastAsia" w:eastAsiaTheme="majorEastAsia" w:cstheme="majorEastAsia"/>
          <w:sz w:val="28"/>
          <w:szCs w:val="22"/>
        </w:rPr>
      </w:pPr>
      <w:bookmarkStart w:id="46" w:name="_Toc25024"/>
    </w:p>
    <w:p>
      <w:pPr>
        <w:rPr>
          <w:rFonts w:hint="eastAsia" w:asciiTheme="majorEastAsia" w:hAnsiTheme="majorEastAsia" w:eastAsiaTheme="majorEastAsia" w:cstheme="majorEastAsia"/>
          <w:sz w:val="28"/>
          <w:szCs w:val="22"/>
        </w:rPr>
      </w:pPr>
    </w:p>
    <w:p>
      <w:pPr>
        <w:pStyle w:val="2"/>
        <w:rPr>
          <w:rFonts w:hint="eastAsia"/>
        </w:rPr>
      </w:pPr>
    </w:p>
    <w:p>
      <w:pPr>
        <w:pStyle w:val="7"/>
        <w:jc w:val="both"/>
        <w:rPr>
          <w:sz w:val="24"/>
        </w:rPr>
      </w:pPr>
      <w:r>
        <w:rPr>
          <w:rFonts w:hint="eastAsia" w:asciiTheme="majorEastAsia" w:hAnsiTheme="majorEastAsia" w:eastAsiaTheme="majorEastAsia" w:cstheme="majorEastAsia"/>
          <w:sz w:val="28"/>
          <w:szCs w:val="22"/>
        </w:rPr>
        <w:t>目  录</w:t>
      </w:r>
      <w:bookmarkEnd w:id="45"/>
      <w:bookmarkEnd w:id="46"/>
    </w:p>
    <w:p>
      <w:pPr>
        <w:pStyle w:val="13"/>
      </w:pPr>
    </w:p>
    <w:p>
      <w:pPr>
        <w:pStyle w:val="18"/>
        <w:numPr>
          <w:ilvl w:val="0"/>
          <w:numId w:val="9"/>
        </w:numPr>
      </w:pPr>
      <w:r>
        <w:rPr>
          <w:rFonts w:hint="eastAsia"/>
          <w:sz w:val="24"/>
        </w:rPr>
        <w:t>投标函（一）</w:t>
      </w:r>
    </w:p>
    <w:p>
      <w:pPr>
        <w:numPr>
          <w:ilvl w:val="0"/>
          <w:numId w:val="9"/>
        </w:numPr>
      </w:pPr>
      <w:r>
        <w:rPr>
          <w:rFonts w:hint="eastAsia"/>
          <w:sz w:val="24"/>
        </w:rPr>
        <w:t>法定代表人身份证明</w:t>
      </w:r>
    </w:p>
    <w:p>
      <w:pPr>
        <w:numPr>
          <w:ilvl w:val="0"/>
          <w:numId w:val="9"/>
        </w:numPr>
      </w:pPr>
      <w:r>
        <w:rPr>
          <w:rFonts w:hint="eastAsia"/>
          <w:sz w:val="24"/>
        </w:rPr>
        <w:t>法定代表人的授权委托书</w:t>
      </w:r>
    </w:p>
    <w:p>
      <w:pPr>
        <w:numPr>
          <w:ilvl w:val="0"/>
          <w:numId w:val="9"/>
        </w:numPr>
      </w:pPr>
      <w:r>
        <w:rPr>
          <w:rFonts w:hint="eastAsia"/>
          <w:sz w:val="24"/>
        </w:rPr>
        <w:t>投标保证金（投标保证金凭证）</w:t>
      </w:r>
    </w:p>
    <w:p>
      <w:pPr>
        <w:numPr>
          <w:ilvl w:val="0"/>
          <w:numId w:val="9"/>
        </w:numPr>
      </w:pPr>
      <w:r>
        <w:rPr>
          <w:rFonts w:hint="eastAsia"/>
          <w:sz w:val="24"/>
        </w:rPr>
        <w:t>商务和技术偏差表</w:t>
      </w:r>
    </w:p>
    <w:p>
      <w:pPr>
        <w:numPr>
          <w:ilvl w:val="0"/>
          <w:numId w:val="9"/>
        </w:numPr>
      </w:pPr>
      <w:r>
        <w:rPr>
          <w:rFonts w:hint="eastAsia"/>
          <w:sz w:val="24"/>
        </w:rPr>
        <w:t>资格审查资料</w:t>
      </w:r>
    </w:p>
    <w:p>
      <w:r>
        <w:rPr>
          <w:rFonts w:hint="eastAsia"/>
          <w:sz w:val="24"/>
        </w:rPr>
        <w:t>七、</w:t>
      </w:r>
      <w:r>
        <w:rPr>
          <w:rFonts w:hint="eastAsia"/>
          <w:sz w:val="24"/>
          <w:lang w:eastAsia="zh-Hans"/>
        </w:rPr>
        <w:t>商务</w:t>
      </w:r>
      <w:r>
        <w:rPr>
          <w:rFonts w:hint="eastAsia"/>
          <w:sz w:val="24"/>
        </w:rPr>
        <w:t>技术部分</w:t>
      </w:r>
    </w:p>
    <w:p>
      <w:pPr>
        <w:pStyle w:val="9"/>
        <w:ind w:firstLine="0" w:firstLineChars="0"/>
        <w:rPr>
          <w:sz w:val="24"/>
        </w:rPr>
      </w:pPr>
      <w:r>
        <w:rPr>
          <w:rFonts w:hint="eastAsia"/>
          <w:sz w:val="24"/>
        </w:rPr>
        <w:t>八、</w:t>
      </w:r>
      <w:bookmarkStart w:id="47" w:name="_Toc18573"/>
      <w:r>
        <w:rPr>
          <w:rFonts w:hint="eastAsia"/>
          <w:sz w:val="24"/>
        </w:rPr>
        <w:t>具有履行合同所必需的设备和专业技术能力承诺函</w:t>
      </w:r>
    </w:p>
    <w:p>
      <w:pPr>
        <w:pStyle w:val="9"/>
        <w:ind w:firstLine="0" w:firstLineChars="0"/>
        <w:rPr>
          <w:sz w:val="24"/>
        </w:rPr>
      </w:pPr>
      <w:r>
        <w:rPr>
          <w:rFonts w:hint="eastAsia"/>
          <w:sz w:val="24"/>
        </w:rPr>
        <w:t>九、参加政府采购活动前 3 年内在经营活动中没有重大违法记录的书面声明</w:t>
      </w:r>
    </w:p>
    <w:p>
      <w:pPr>
        <w:pStyle w:val="9"/>
        <w:ind w:firstLine="0" w:firstLineChars="0"/>
        <w:rPr>
          <w:sz w:val="24"/>
        </w:rPr>
      </w:pPr>
      <w:r>
        <w:rPr>
          <w:rFonts w:hint="eastAsia"/>
          <w:sz w:val="24"/>
        </w:rPr>
        <w:t>十、其他资料</w:t>
      </w:r>
    </w:p>
    <w:p>
      <w:pPr>
        <w:jc w:val="center"/>
        <w:rPr>
          <w:rFonts w:asciiTheme="majorEastAsia" w:hAnsiTheme="majorEastAsia" w:eastAsiaTheme="majorEastAsia" w:cstheme="majorEastAsia"/>
          <w:b/>
          <w:bCs/>
          <w:sz w:val="28"/>
          <w:szCs w:val="28"/>
        </w:rPr>
      </w:pPr>
    </w:p>
    <w:p>
      <w:pPr>
        <w:pStyle w:val="15"/>
        <w:rPr>
          <w:rFonts w:asciiTheme="majorEastAsia" w:hAnsiTheme="majorEastAsia" w:eastAsiaTheme="majorEastAsia" w:cstheme="majorEastAsia"/>
          <w:b/>
          <w:bCs/>
          <w:sz w:val="28"/>
          <w:szCs w:val="28"/>
        </w:rPr>
      </w:pPr>
    </w:p>
    <w:p>
      <w:pPr>
        <w:rPr>
          <w:rFonts w:asciiTheme="majorEastAsia" w:hAnsiTheme="majorEastAsia" w:eastAsiaTheme="majorEastAsia" w:cstheme="majorEastAsia"/>
          <w:b/>
          <w:bCs/>
          <w:sz w:val="28"/>
          <w:szCs w:val="28"/>
        </w:rPr>
      </w:pPr>
    </w:p>
    <w:p>
      <w:pPr>
        <w:pStyle w:val="15"/>
        <w:rPr>
          <w:rFonts w:asciiTheme="majorEastAsia" w:hAnsiTheme="majorEastAsia" w:eastAsiaTheme="majorEastAsia" w:cstheme="majorEastAsia"/>
          <w:b/>
          <w:bCs/>
          <w:sz w:val="28"/>
          <w:szCs w:val="28"/>
        </w:rPr>
      </w:pPr>
    </w:p>
    <w:p>
      <w:pPr>
        <w:rPr>
          <w:rFonts w:asciiTheme="majorEastAsia" w:hAnsiTheme="majorEastAsia" w:eastAsiaTheme="majorEastAsia" w:cstheme="majorEastAsia"/>
          <w:b/>
          <w:bCs/>
          <w:sz w:val="28"/>
          <w:szCs w:val="28"/>
        </w:rPr>
      </w:pPr>
    </w:p>
    <w:p>
      <w:pPr>
        <w:pStyle w:val="15"/>
        <w:rPr>
          <w:rFonts w:asciiTheme="majorEastAsia" w:hAnsiTheme="majorEastAsia" w:eastAsiaTheme="majorEastAsia" w:cstheme="majorEastAsia"/>
          <w:b/>
          <w:bCs/>
          <w:sz w:val="28"/>
          <w:szCs w:val="28"/>
        </w:rPr>
      </w:pPr>
    </w:p>
    <w:p/>
    <w:p>
      <w:pPr>
        <w:pStyle w:val="13"/>
      </w:pPr>
    </w:p>
    <w:p/>
    <w:p>
      <w:pPr>
        <w:pStyle w:val="13"/>
      </w:pPr>
    </w:p>
    <w:p/>
    <w:p>
      <w:pPr>
        <w:pStyle w:val="2"/>
      </w:pPr>
    </w:p>
    <w:p>
      <w:pPr>
        <w:pStyle w:val="13"/>
      </w:pPr>
    </w:p>
    <w:p/>
    <w:p>
      <w:pPr>
        <w:pStyle w:val="13"/>
      </w:pPr>
    </w:p>
    <w:p/>
    <w:p>
      <w:pPr>
        <w:pStyle w:val="13"/>
      </w:pPr>
    </w:p>
    <w:p>
      <w:pPr>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一、投标函</w:t>
      </w:r>
      <w:bookmarkEnd w:id="47"/>
    </w:p>
    <w:p>
      <w:pPr>
        <w:rPr>
          <w:rFonts w:ascii="宋体"/>
          <w:sz w:val="24"/>
          <w:u w:val="single"/>
        </w:rPr>
      </w:pPr>
      <w:r>
        <w:rPr>
          <w:rFonts w:hint="eastAsia" w:ascii="宋体" w:hAnsi="宋体"/>
          <w:sz w:val="24"/>
          <w:u w:val="single"/>
        </w:rPr>
        <w:t xml:space="preserve">                   </w:t>
      </w:r>
      <w:r>
        <w:rPr>
          <w:rFonts w:hint="eastAsia" w:ascii="宋体"/>
          <w:sz w:val="24"/>
          <w:u w:val="single"/>
        </w:rPr>
        <w:t>：</w:t>
      </w:r>
    </w:p>
    <w:p>
      <w:pPr>
        <w:spacing w:line="360" w:lineRule="auto"/>
        <w:ind w:firstLine="480" w:firstLineChars="200"/>
        <w:rPr>
          <w:rFonts w:ascii="宋体" w:hAnsi="宋体"/>
          <w:sz w:val="24"/>
        </w:rPr>
      </w:pPr>
      <w:r>
        <w:rPr>
          <w:rFonts w:hint="eastAsia" w:ascii="宋体" w:hAnsi="宋体"/>
          <w:sz w:val="24"/>
        </w:rPr>
        <w:t xml:space="preserve">我方收到贵方 </w:t>
      </w:r>
      <w:r>
        <w:rPr>
          <w:rFonts w:hint="eastAsia" w:ascii="宋体" w:hAnsi="宋体"/>
          <w:sz w:val="24"/>
          <w:u w:val="single"/>
        </w:rPr>
        <w:t xml:space="preserve">       </w:t>
      </w:r>
      <w:r>
        <w:rPr>
          <w:rFonts w:hint="eastAsia" w:ascii="宋体" w:hAnsi="宋体"/>
          <w:sz w:val="24"/>
        </w:rPr>
        <w:t>（项目名称、项目编号）的招标文件，经仔细阅读和研究，我方决定参加投标。</w:t>
      </w:r>
    </w:p>
    <w:p>
      <w:pPr>
        <w:spacing w:line="360" w:lineRule="auto"/>
        <w:ind w:firstLine="480" w:firstLineChars="200"/>
        <w:rPr>
          <w:rFonts w:ascii="宋体" w:hAnsi="宋体"/>
          <w:sz w:val="24"/>
        </w:rPr>
      </w:pPr>
      <w:r>
        <w:rPr>
          <w:rFonts w:hint="eastAsia" w:ascii="宋体" w:hAnsi="宋体"/>
          <w:sz w:val="24"/>
        </w:rPr>
        <w:t>l、我方愿意按照招标文件的一切要求，提供以上服务，同时负责运输、包装等，总价格及明细见《报价表》。</w:t>
      </w:r>
    </w:p>
    <w:p>
      <w:pPr>
        <w:spacing w:line="360" w:lineRule="auto"/>
        <w:ind w:firstLine="480" w:firstLineChars="200"/>
        <w:rPr>
          <w:rFonts w:hAnsi="宋体"/>
          <w:sz w:val="24"/>
        </w:rPr>
      </w:pPr>
      <w:r>
        <w:rPr>
          <w:rFonts w:hint="eastAsia" w:ascii="宋体" w:hAnsi="宋体"/>
          <w:sz w:val="24"/>
        </w:rPr>
        <w:t>3、</w:t>
      </w:r>
      <w:r>
        <w:rPr>
          <w:rFonts w:hint="eastAsia" w:hAnsi="宋体"/>
          <w:sz w:val="24"/>
        </w:rPr>
        <w:t>投标人已详细审查全部招标文件，包括所有补充通知（如果有的话）。我们完全理解并同意放弃对这方面有不明、误解和质疑的权力。</w:t>
      </w:r>
    </w:p>
    <w:p>
      <w:pPr>
        <w:spacing w:line="360" w:lineRule="auto"/>
        <w:ind w:firstLine="600" w:firstLineChars="250"/>
        <w:rPr>
          <w:rFonts w:ascii="宋体" w:hAnsi="宋体"/>
          <w:sz w:val="24"/>
        </w:rPr>
      </w:pPr>
      <w:r>
        <w:rPr>
          <w:rFonts w:hint="eastAsia" w:ascii="宋体" w:hAnsi="宋体"/>
          <w:sz w:val="24"/>
        </w:rPr>
        <w:t>4、我方同意按招标文件中的规定，本投标文件的有效期为自投标截止之日</w:t>
      </w:r>
    </w:p>
    <w:p>
      <w:pPr>
        <w:spacing w:line="360" w:lineRule="auto"/>
        <w:ind w:firstLine="600" w:firstLineChars="250"/>
        <w:rPr>
          <w:rFonts w:ascii="宋体" w:hAnsi="宋体"/>
          <w:sz w:val="24"/>
        </w:rPr>
      </w:pPr>
      <w:r>
        <w:rPr>
          <w:rFonts w:hint="eastAsia" w:ascii="宋体" w:hAnsi="宋体"/>
          <w:sz w:val="24"/>
        </w:rPr>
        <w:t>起</w:t>
      </w:r>
      <w:r>
        <w:rPr>
          <w:rFonts w:hint="eastAsia" w:ascii="宋体" w:hAnsi="宋体"/>
          <w:sz w:val="24"/>
          <w:u w:val="single"/>
        </w:rPr>
        <w:t xml:space="preserve">    </w:t>
      </w:r>
      <w:r>
        <w:rPr>
          <w:rFonts w:hint="eastAsia" w:ascii="宋体" w:hAnsi="宋体"/>
          <w:sz w:val="24"/>
        </w:rPr>
        <w:t>个日历日，遵守本投标文件中的承诺且在此期满之前均具有约束力。</w:t>
      </w:r>
    </w:p>
    <w:p>
      <w:pPr>
        <w:spacing w:line="360" w:lineRule="auto"/>
        <w:ind w:firstLine="600" w:firstLineChars="250"/>
        <w:rPr>
          <w:rFonts w:ascii="宋体" w:hAnsi="宋体"/>
          <w:sz w:val="24"/>
        </w:rPr>
      </w:pPr>
      <w:r>
        <w:rPr>
          <w:rFonts w:hint="eastAsia" w:ascii="宋体" w:hAnsi="宋体"/>
          <w:sz w:val="24"/>
        </w:rPr>
        <w:t>5、我方将按招标文件的规定履行合同责任和义务。</w:t>
      </w:r>
    </w:p>
    <w:p>
      <w:pPr>
        <w:spacing w:line="360" w:lineRule="auto"/>
        <w:ind w:firstLine="600" w:firstLineChars="250"/>
        <w:rPr>
          <w:rFonts w:ascii="宋体" w:hAnsi="宋体"/>
          <w:sz w:val="24"/>
        </w:rPr>
      </w:pPr>
      <w:r>
        <w:rPr>
          <w:rFonts w:hint="eastAsia" w:ascii="宋体" w:hAnsi="宋体"/>
          <w:sz w:val="24"/>
        </w:rPr>
        <w:t>6、在规定的开标时间后，如果在投标有效期内撤回投标，同意投标保证金将被贵方没收。</w:t>
      </w:r>
    </w:p>
    <w:p>
      <w:pPr>
        <w:spacing w:line="360" w:lineRule="auto"/>
        <w:ind w:firstLine="600" w:firstLineChars="250"/>
        <w:rPr>
          <w:rFonts w:ascii="宋体" w:hAnsi="宋体"/>
          <w:sz w:val="24"/>
        </w:rPr>
      </w:pPr>
      <w:r>
        <w:rPr>
          <w:rFonts w:hint="eastAsia" w:ascii="宋体" w:hAnsi="宋体"/>
          <w:sz w:val="24"/>
        </w:rPr>
        <w:t>7、投标人同意提供按照贵方可能要求的与其投标有关的一切数据或资料，完全理解贵方不一定接受最低价的投标或收到的任何投标的约定。</w:t>
      </w:r>
    </w:p>
    <w:p>
      <w:pPr>
        <w:spacing w:line="360" w:lineRule="auto"/>
        <w:ind w:firstLine="600" w:firstLineChars="250"/>
        <w:rPr>
          <w:rFonts w:ascii="宋体" w:hAnsi="宋体"/>
          <w:sz w:val="24"/>
        </w:rPr>
      </w:pPr>
      <w:r>
        <w:rPr>
          <w:rFonts w:hint="eastAsia" w:ascii="宋体" w:hAnsi="宋体"/>
          <w:sz w:val="24"/>
        </w:rPr>
        <w:t>8、我方在投标文件和投标中所作的承诺在开标后保持有效，不作任何更改和变动。</w:t>
      </w:r>
    </w:p>
    <w:p>
      <w:pPr>
        <w:spacing w:line="360" w:lineRule="auto"/>
        <w:ind w:firstLine="600" w:firstLineChars="250"/>
        <w:rPr>
          <w:rFonts w:ascii="宋体" w:hAnsi="宋体"/>
          <w:sz w:val="24"/>
        </w:rPr>
      </w:pPr>
      <w:r>
        <w:rPr>
          <w:rFonts w:hint="eastAsia" w:ascii="宋体" w:hAnsi="宋体"/>
          <w:sz w:val="24"/>
        </w:rPr>
        <w:t>9、我方愿意按招标文件的规定交纳</w:t>
      </w:r>
      <w:r>
        <w:rPr>
          <w:rFonts w:hint="eastAsia" w:ascii="宋体" w:hAnsi="宋体"/>
          <w:sz w:val="24"/>
          <w:u w:val="single"/>
        </w:rPr>
        <w:t xml:space="preserve">         </w:t>
      </w:r>
      <w:r>
        <w:rPr>
          <w:rFonts w:hint="eastAsia" w:ascii="宋体" w:hAnsi="宋体"/>
          <w:sz w:val="24"/>
        </w:rPr>
        <w:t>元的投标保证金。</w:t>
      </w:r>
    </w:p>
    <w:p>
      <w:pPr>
        <w:spacing w:line="360" w:lineRule="auto"/>
        <w:ind w:firstLine="600" w:firstLineChars="250"/>
        <w:rPr>
          <w:rFonts w:ascii="宋体" w:hAnsi="宋体"/>
          <w:sz w:val="24"/>
        </w:rPr>
      </w:pPr>
      <w:r>
        <w:rPr>
          <w:rFonts w:hint="eastAsia" w:ascii="宋体" w:hAnsi="宋体"/>
          <w:sz w:val="24"/>
        </w:rPr>
        <w:t>10、我方承诺投标文件中的证明材料真实、合法、有效。</w:t>
      </w:r>
    </w:p>
    <w:p>
      <w:pPr>
        <w:spacing w:line="360" w:lineRule="auto"/>
        <w:ind w:firstLine="600" w:firstLineChars="250"/>
        <w:rPr>
          <w:rFonts w:ascii="宋体" w:hAnsi="宋体"/>
          <w:sz w:val="24"/>
        </w:rPr>
      </w:pPr>
      <w:r>
        <w:rPr>
          <w:rFonts w:hint="eastAsia" w:ascii="宋体" w:hAnsi="宋体"/>
          <w:sz w:val="24"/>
        </w:rPr>
        <w:t>11、若我方获得中标，我方保证按有关规定向贵方支付服务费。我方承诺接受招标文件及澄清修改部分（如有）的全部条款（包括投标文件递交截止时间、保证金、资格评审条件、中标标准以及采购需求等其他所有条款）且无任何异议，现向贵公司提出承诺报价。</w:t>
      </w:r>
    </w:p>
    <w:p>
      <w:pPr>
        <w:spacing w:line="360" w:lineRule="auto"/>
        <w:ind w:firstLine="480" w:firstLineChars="200"/>
        <w:rPr>
          <w:rFonts w:ascii="宋体" w:hAnsi="宋体"/>
          <w:sz w:val="24"/>
        </w:rPr>
      </w:pPr>
      <w:r>
        <w:rPr>
          <w:rFonts w:hint="eastAsia" w:ascii="宋体" w:hAnsi="宋体"/>
          <w:sz w:val="24"/>
        </w:rPr>
        <w:t>所有有关标书的函电，请按下列地址联系：</w:t>
      </w:r>
    </w:p>
    <w:p>
      <w:pPr>
        <w:spacing w:line="360" w:lineRule="auto"/>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 xml:space="preserve">        电子函件：</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spacing w:line="360" w:lineRule="auto"/>
        <w:jc w:val="left"/>
        <w:rPr>
          <w:rFonts w:ascii="宋体" w:hAnsi="宋体"/>
          <w:sz w:val="24"/>
        </w:rPr>
      </w:pPr>
      <w:r>
        <w:rPr>
          <w:rFonts w:hint="eastAsia" w:ascii="宋体" w:hAnsi="宋体"/>
          <w:sz w:val="24"/>
        </w:rPr>
        <w:t>投标人授权代表签字：</w:t>
      </w:r>
      <w:r>
        <w:rPr>
          <w:rFonts w:hint="eastAsia" w:ascii="宋体" w:hAnsi="宋体"/>
          <w:sz w:val="24"/>
          <w:u w:val="single"/>
        </w:rPr>
        <w:t xml:space="preserve">           </w:t>
      </w:r>
      <w:r>
        <w:rPr>
          <w:rFonts w:hint="eastAsia" w:ascii="宋体" w:hAnsi="宋体"/>
          <w:sz w:val="24"/>
        </w:rPr>
        <w:t xml:space="preserve">     投标人公章:</w:t>
      </w:r>
      <w:r>
        <w:rPr>
          <w:rFonts w:hint="eastAsia" w:ascii="宋体" w:hAnsi="宋体"/>
          <w:sz w:val="24"/>
          <w:u w:val="single"/>
        </w:rPr>
        <w:t xml:space="preserve">                     </w:t>
      </w:r>
      <w:r>
        <w:rPr>
          <w:rFonts w:hint="eastAsia" w:ascii="宋体" w:hAnsi="宋体"/>
          <w:sz w:val="24"/>
        </w:rPr>
        <w:t xml:space="preserve">                       </w:t>
      </w:r>
    </w:p>
    <w:p>
      <w:pPr>
        <w:spacing w:line="360" w:lineRule="auto"/>
        <w:jc w:val="left"/>
        <w:rPr>
          <w:rFonts w:ascii="宋体" w:hAnsi="宋体"/>
          <w:kern w:val="0"/>
          <w:sz w:val="24"/>
        </w:rPr>
      </w:pPr>
      <w:r>
        <w:rPr>
          <w:rFonts w:hint="eastAsia" w:ascii="宋体" w:hAnsi="宋体"/>
          <w:sz w:val="24"/>
        </w:rPr>
        <w:t xml:space="preserve">投标人名称（全称）: </w:t>
      </w:r>
      <w:r>
        <w:rPr>
          <w:rFonts w:hint="eastAsia" w:ascii="宋体" w:hAnsi="宋体"/>
          <w:kern w:val="0"/>
          <w:sz w:val="24"/>
          <w:u w:val="single"/>
        </w:rPr>
        <w:t xml:space="preserve">           </w:t>
      </w:r>
      <w:r>
        <w:rPr>
          <w:rFonts w:hint="eastAsia" w:ascii="宋体" w:hAnsi="宋体"/>
          <w:kern w:val="0"/>
          <w:sz w:val="24"/>
        </w:rPr>
        <w:t xml:space="preserve">      </w:t>
      </w:r>
    </w:p>
    <w:p>
      <w:pPr>
        <w:spacing w:line="360" w:lineRule="auto"/>
        <w:jc w:val="left"/>
        <w:rPr>
          <w:rFonts w:hAnsi="Arial"/>
        </w:rPr>
      </w:pPr>
      <w:r>
        <w:rPr>
          <w:rFonts w:hint="eastAsia" w:ascii="宋体" w:hAnsi="宋体"/>
          <w:sz w:val="24"/>
        </w:rPr>
        <w:t xml:space="preserve">日  期:   </w:t>
      </w:r>
      <w:r>
        <w:rPr>
          <w:rFonts w:hint="eastAsia" w:hAnsi="Arial"/>
          <w:u w:val="single"/>
        </w:rPr>
        <w:t xml:space="preserve">                       </w:t>
      </w:r>
      <w:r>
        <w:rPr>
          <w:rFonts w:hint="eastAsia" w:hAnsi="Arial"/>
        </w:rPr>
        <w:t xml:space="preserve"> </w:t>
      </w: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rPr>
          <w:rFonts w:hAnsi="Arial"/>
        </w:rPr>
      </w:pPr>
    </w:p>
    <w:p>
      <w:pPr>
        <w:rPr>
          <w:rFonts w:hAnsi="Arial"/>
        </w:rPr>
      </w:pPr>
    </w:p>
    <w:p>
      <w:pPr>
        <w:pStyle w:val="13"/>
      </w:pPr>
    </w:p>
    <w:p>
      <w:pPr>
        <w:spacing w:line="360" w:lineRule="auto"/>
        <w:jc w:val="center"/>
        <w:rPr>
          <w:rFonts w:ascii="宋体"/>
          <w:b/>
          <w:sz w:val="30"/>
          <w:szCs w:val="30"/>
        </w:rPr>
      </w:pPr>
      <w:r>
        <w:rPr>
          <w:rFonts w:hint="eastAsia" w:ascii="宋体"/>
          <w:b/>
          <w:sz w:val="30"/>
          <w:szCs w:val="30"/>
          <w:lang w:eastAsia="zh-Hans"/>
        </w:rPr>
        <w:t>开标</w:t>
      </w:r>
      <w:r>
        <w:rPr>
          <w:rFonts w:hint="eastAsia" w:ascii="宋体"/>
          <w:b/>
          <w:sz w:val="30"/>
          <w:szCs w:val="30"/>
        </w:rPr>
        <w:t>一览表</w:t>
      </w:r>
    </w:p>
    <w:tbl>
      <w:tblPr>
        <w:tblStyle w:val="25"/>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trPr>
          <w:trHeight w:val="1044" w:hRule="atLeast"/>
          <w:tblCellSpacing w:w="0" w:type="dxa"/>
          <w:jc w:val="center"/>
        </w:trPr>
        <w:tc>
          <w:tcPr>
            <w:tcW w:w="2929" w:type="dxa"/>
            <w:vAlign w:val="center"/>
          </w:tcPr>
          <w:p>
            <w:pPr>
              <w:tabs>
                <w:tab w:val="left" w:pos="142"/>
              </w:tabs>
              <w:spacing w:line="360" w:lineRule="auto"/>
              <w:jc w:val="center"/>
              <w:rPr>
                <w:rFonts w:ascii="宋体" w:hAnsi="宋体" w:eastAsia="宋体" w:cs="宋体"/>
                <w:sz w:val="24"/>
              </w:rPr>
            </w:pPr>
            <w:r>
              <w:rPr>
                <w:rFonts w:hint="eastAsia" w:ascii="宋体" w:hAnsi="宋体" w:eastAsia="宋体" w:cs="宋体"/>
                <w:sz w:val="24"/>
              </w:rPr>
              <w:t>项目名称</w:t>
            </w:r>
          </w:p>
        </w:tc>
        <w:tc>
          <w:tcPr>
            <w:tcW w:w="6035" w:type="dxa"/>
            <w:vAlign w:val="center"/>
          </w:tcPr>
          <w:p>
            <w:pPr>
              <w:tabs>
                <w:tab w:val="left" w:pos="142"/>
              </w:tabs>
              <w:spacing w:line="360" w:lineRule="auto"/>
              <w:ind w:firstLine="480" w:firstLineChars="200"/>
              <w:jc w:val="left"/>
              <w:rPr>
                <w:rFonts w:ascii="宋体" w:hAnsi="宋体" w:eastAsia="宋体" w:cs="宋体"/>
                <w:sz w:val="24"/>
              </w:rPr>
            </w:pPr>
            <w:r>
              <w:rPr>
                <w:rFonts w:hint="eastAsia"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tblCellSpacing w:w="0" w:type="dxa"/>
          <w:jc w:val="center"/>
        </w:trPr>
        <w:tc>
          <w:tcPr>
            <w:tcW w:w="2929" w:type="dxa"/>
            <w:vAlign w:val="center"/>
          </w:tcPr>
          <w:p>
            <w:pPr>
              <w:tabs>
                <w:tab w:val="left" w:pos="142"/>
              </w:tabs>
              <w:spacing w:line="500" w:lineRule="exact"/>
              <w:jc w:val="center"/>
              <w:rPr>
                <w:rFonts w:ascii="宋体" w:hAnsi="宋体" w:eastAsia="宋体" w:cs="宋体"/>
                <w:sz w:val="24"/>
              </w:rPr>
            </w:pPr>
            <w:r>
              <w:rPr>
                <w:rFonts w:hint="eastAsia" w:ascii="宋体" w:hAnsi="宋体" w:eastAsia="宋体" w:cs="宋体"/>
                <w:sz w:val="24"/>
              </w:rPr>
              <w:t>项目编号</w:t>
            </w:r>
          </w:p>
        </w:tc>
        <w:tc>
          <w:tcPr>
            <w:tcW w:w="6035" w:type="dxa"/>
            <w:vAlign w:val="center"/>
          </w:tcPr>
          <w:p>
            <w:pPr>
              <w:tabs>
                <w:tab w:val="left" w:pos="142"/>
              </w:tabs>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8" w:hRule="atLeast"/>
          <w:tblCellSpacing w:w="0" w:type="dxa"/>
          <w:jc w:val="center"/>
        </w:trPr>
        <w:tc>
          <w:tcPr>
            <w:tcW w:w="2929" w:type="dxa"/>
            <w:vAlign w:val="center"/>
          </w:tcPr>
          <w:p>
            <w:pPr>
              <w:tabs>
                <w:tab w:val="left" w:pos="142"/>
              </w:tabs>
              <w:spacing w:line="500" w:lineRule="exact"/>
              <w:jc w:val="center"/>
              <w:rPr>
                <w:rFonts w:ascii="宋体" w:hAnsi="宋体" w:eastAsia="宋体" w:cs="宋体"/>
                <w:sz w:val="24"/>
              </w:rPr>
            </w:pPr>
            <w:r>
              <w:rPr>
                <w:rFonts w:hint="eastAsia" w:ascii="宋体" w:hAnsi="宋体" w:cs="宋体"/>
                <w:sz w:val="24"/>
              </w:rPr>
              <w:t>投标</w:t>
            </w:r>
            <w:r>
              <w:rPr>
                <w:rFonts w:hint="eastAsia" w:ascii="宋体" w:hAnsi="宋体" w:eastAsia="宋体" w:cs="宋体"/>
                <w:sz w:val="24"/>
              </w:rPr>
              <w:t>报价</w:t>
            </w:r>
          </w:p>
        </w:tc>
        <w:tc>
          <w:tcPr>
            <w:tcW w:w="6035" w:type="dxa"/>
            <w:vAlign w:val="center"/>
          </w:tcPr>
          <w:p>
            <w:pPr>
              <w:tabs>
                <w:tab w:val="left" w:pos="142"/>
              </w:tabs>
              <w:spacing w:line="500" w:lineRule="exact"/>
              <w:ind w:firstLine="480" w:firstLineChars="200"/>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元整</w:t>
            </w:r>
          </w:p>
          <w:p>
            <w:pPr>
              <w:tabs>
                <w:tab w:val="left" w:pos="142"/>
              </w:tabs>
              <w:spacing w:line="500" w:lineRule="exact"/>
              <w:jc w:val="left"/>
              <w:rPr>
                <w:rFonts w:ascii="宋体" w:hAnsi="宋体" w:eastAsia="宋体" w:cs="宋体"/>
                <w:sz w:val="24"/>
              </w:rPr>
            </w:pPr>
            <w:r>
              <w:rPr>
                <w:rFonts w:hint="eastAsia" w:ascii="宋体" w:hAnsi="宋体" w:eastAsia="宋体" w:cs="宋体"/>
                <w:sz w:val="24"/>
              </w:rPr>
              <w:t>人民币 (大写):</w:t>
            </w:r>
            <w:r>
              <w:rPr>
                <w:rFonts w:hint="eastAsia" w:ascii="宋体" w:hAnsi="宋体" w:eastAsia="宋体" w:cs="宋体"/>
                <w:sz w:val="24"/>
                <w:u w:val="single"/>
              </w:rPr>
              <w:t xml:space="preserve">              </w:t>
            </w:r>
            <w:r>
              <w:rPr>
                <w:rFonts w:hint="eastAsia"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tblCellSpacing w:w="0" w:type="dxa"/>
          <w:jc w:val="center"/>
        </w:trPr>
        <w:tc>
          <w:tcPr>
            <w:tcW w:w="2929" w:type="dxa"/>
            <w:vAlign w:val="center"/>
          </w:tcPr>
          <w:p>
            <w:pPr>
              <w:tabs>
                <w:tab w:val="left" w:pos="142"/>
              </w:tabs>
              <w:spacing w:line="500" w:lineRule="exact"/>
              <w:jc w:val="center"/>
              <w:rPr>
                <w:rFonts w:ascii="宋体" w:hAnsi="宋体" w:eastAsia="宋体" w:cs="宋体"/>
                <w:color w:val="000000"/>
                <w:sz w:val="24"/>
              </w:rPr>
            </w:pPr>
            <w:r>
              <w:rPr>
                <w:rFonts w:hint="eastAsia" w:ascii="宋体" w:hAnsi="宋体" w:eastAsia="宋体" w:cs="宋体"/>
                <w:color w:val="000000"/>
                <w:sz w:val="24"/>
              </w:rPr>
              <w:t>交货期限</w:t>
            </w:r>
            <w:r>
              <w:rPr>
                <w:rFonts w:hint="eastAsia" w:ascii="仿宋" w:hAnsi="仿宋" w:eastAsia="仿宋" w:cs="仿宋"/>
                <w:color w:val="000000"/>
                <w:sz w:val="24"/>
              </w:rPr>
              <w:t>/</w:t>
            </w:r>
            <w:r>
              <w:rPr>
                <w:rFonts w:hint="eastAsia" w:ascii="宋体" w:hAnsi="宋体" w:eastAsia="宋体" w:cs="宋体"/>
                <w:color w:val="000000"/>
                <w:sz w:val="24"/>
              </w:rPr>
              <w:t>服务期限</w:t>
            </w:r>
          </w:p>
        </w:tc>
        <w:tc>
          <w:tcPr>
            <w:tcW w:w="6035" w:type="dxa"/>
            <w:vAlign w:val="center"/>
          </w:tcPr>
          <w:p>
            <w:pPr>
              <w:tabs>
                <w:tab w:val="left" w:pos="142"/>
              </w:tabs>
              <w:spacing w:line="50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合同签订后</w:t>
            </w:r>
            <w:r>
              <w:rPr>
                <w:rFonts w:hint="eastAsia" w:ascii="宋体" w:hAnsi="宋体" w:eastAsia="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eastAsia="宋体" w:cs="宋体"/>
                <w:color w:val="000000"/>
                <w:sz w:val="24"/>
                <w:u w:val="singl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tblCellSpacing w:w="0" w:type="dxa"/>
          <w:jc w:val="center"/>
        </w:trPr>
        <w:tc>
          <w:tcPr>
            <w:tcW w:w="2929" w:type="dxa"/>
            <w:vAlign w:val="center"/>
          </w:tcPr>
          <w:p>
            <w:pPr>
              <w:tabs>
                <w:tab w:val="left" w:pos="142"/>
              </w:tabs>
              <w:spacing w:line="500" w:lineRule="exact"/>
              <w:jc w:val="center"/>
              <w:rPr>
                <w:rFonts w:hint="default" w:ascii="宋体" w:hAnsi="宋体" w:eastAsia="宋体" w:cs="宋体"/>
                <w:color w:val="000000"/>
                <w:sz w:val="24"/>
                <w:lang w:val="en-US" w:eastAsia="zh-Hans"/>
              </w:rPr>
            </w:pPr>
            <w:r>
              <w:rPr>
                <w:rFonts w:hint="eastAsia" w:ascii="宋体" w:hAnsi="宋体" w:eastAsia="宋体" w:cs="宋体"/>
                <w:color w:val="000000"/>
                <w:sz w:val="24"/>
                <w:lang w:val="en-US" w:eastAsia="zh-Hans"/>
              </w:rPr>
              <w:t>保证金缴纳方式</w:t>
            </w:r>
          </w:p>
        </w:tc>
        <w:tc>
          <w:tcPr>
            <w:tcW w:w="6035" w:type="dxa"/>
            <w:vAlign w:val="center"/>
          </w:tcPr>
          <w:p>
            <w:pPr>
              <w:tabs>
                <w:tab w:val="left" w:pos="142"/>
              </w:tabs>
              <w:spacing w:line="500" w:lineRule="exact"/>
              <w:ind w:firstLine="480" w:firstLineChars="200"/>
              <w:jc w:val="left"/>
              <w:rPr>
                <w:rFonts w:hint="eastAsia" w:ascii="宋体" w:hAnsi="宋体" w:eastAsia="宋体" w:cs="宋体"/>
                <w:color w:val="000000"/>
                <w:sz w:val="24"/>
              </w:rPr>
            </w:pPr>
          </w:p>
        </w:tc>
      </w:tr>
    </w:tbl>
    <w:p>
      <w:r>
        <w:rPr>
          <w:rFonts w:hint="eastAsia"/>
        </w:rPr>
        <w:t>供应商全称（公章）：        </w:t>
      </w:r>
    </w:p>
    <w:p>
      <w:r>
        <w:rPr>
          <w:rFonts w:hint="eastAsia"/>
        </w:rPr>
        <w:t>法定代表人（授权代表）（签字或盖章）：</w:t>
      </w:r>
    </w:p>
    <w:p>
      <w:r>
        <w:rPr>
          <w:rFonts w:hint="eastAsia"/>
        </w:rPr>
        <w:t>日期：</w:t>
      </w:r>
    </w:p>
    <w:p>
      <w:r>
        <w:rPr>
          <w:rFonts w:hint="eastAsia"/>
        </w:rPr>
        <w:t>   </w:t>
      </w:r>
    </w:p>
    <w:p>
      <w:r>
        <w:rPr>
          <w:rFonts w:hint="eastAsia"/>
        </w:rPr>
        <w:t>注:</w:t>
      </w:r>
    </w:p>
    <w:p>
      <w:pPr>
        <w:rPr>
          <w:rFonts w:ascii="仿宋" w:hAnsi="仿宋" w:eastAsia="仿宋" w:cs="仿宋"/>
          <w:color w:val="000000"/>
          <w:szCs w:val="28"/>
        </w:rPr>
      </w:pPr>
      <w:r>
        <w:rPr>
          <w:rFonts w:hint="eastAsia"/>
        </w:rPr>
        <w:t>投标总报价应包含本项目实施期间的所有含税费用。</w:t>
      </w:r>
    </w:p>
    <w:p>
      <w:pPr>
        <w:pStyle w:val="45"/>
        <w:rPr>
          <w:rFonts w:ascii="宋体" w:hAnsi="宋体" w:cs="宋体"/>
          <w:b/>
          <w:bCs/>
          <w:sz w:val="30"/>
          <w:szCs w:val="30"/>
        </w:rPr>
      </w:pPr>
    </w:p>
    <w:p>
      <w:pPr>
        <w:pStyle w:val="45"/>
        <w:rPr>
          <w:rFonts w:ascii="宋体" w:hAnsi="宋体" w:cs="宋体"/>
          <w:b/>
          <w:bCs/>
          <w:sz w:val="30"/>
          <w:szCs w:val="30"/>
        </w:rPr>
      </w:pPr>
    </w:p>
    <w:p>
      <w:pPr>
        <w:pStyle w:val="5"/>
      </w:pPr>
    </w:p>
    <w:p/>
    <w:p>
      <w:pPr>
        <w:pStyle w:val="13"/>
      </w:pPr>
    </w:p>
    <w:p/>
    <w:p/>
    <w:p>
      <w:pPr>
        <w:pStyle w:val="5"/>
        <w:jc w:val="both"/>
      </w:pPr>
    </w:p>
    <w:p/>
    <w:p>
      <w:pPr>
        <w:pStyle w:val="8"/>
        <w:jc w:val="center"/>
      </w:pPr>
      <w:r>
        <w:rPr>
          <w:rFonts w:hint="eastAsia"/>
        </w:rPr>
        <w:t>投标产品配置及分项报价表</w:t>
      </w:r>
    </w:p>
    <w:tbl>
      <w:tblPr>
        <w:tblStyle w:val="25"/>
        <w:tblW w:w="5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2250"/>
        <w:gridCol w:w="966"/>
        <w:gridCol w:w="741"/>
        <w:gridCol w:w="714"/>
        <w:gridCol w:w="1075"/>
        <w:gridCol w:w="81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4" w:hRule="atLeast"/>
          <w:jc w:val="center"/>
        </w:trPr>
        <w:tc>
          <w:tcPr>
            <w:tcW w:w="923" w:type="pct"/>
            <w:vAlign w:val="center"/>
          </w:tcPr>
          <w:p>
            <w:pPr>
              <w:jc w:val="center"/>
              <w:rPr>
                <w:rFonts w:ascii="宋体" w:hAnsi="宋体"/>
                <w:sz w:val="24"/>
              </w:rPr>
            </w:pPr>
            <w:r>
              <w:rPr>
                <w:rFonts w:hint="eastAsia" w:ascii="宋体" w:hAnsi="宋体"/>
                <w:sz w:val="24"/>
              </w:rPr>
              <w:t>1</w:t>
            </w:r>
          </w:p>
        </w:tc>
        <w:tc>
          <w:tcPr>
            <w:tcW w:w="1170" w:type="pct"/>
            <w:vAlign w:val="center"/>
          </w:tcPr>
          <w:p>
            <w:pPr>
              <w:jc w:val="center"/>
              <w:rPr>
                <w:rFonts w:ascii="宋体" w:hAnsi="宋体"/>
                <w:sz w:val="24"/>
              </w:rPr>
            </w:pPr>
            <w:r>
              <w:rPr>
                <w:rFonts w:hint="eastAsia" w:ascii="宋体" w:hAnsi="宋体"/>
                <w:sz w:val="24"/>
              </w:rPr>
              <w:t>2</w:t>
            </w:r>
          </w:p>
        </w:tc>
        <w:tc>
          <w:tcPr>
            <w:tcW w:w="502" w:type="pct"/>
            <w:vAlign w:val="center"/>
          </w:tcPr>
          <w:p>
            <w:pPr>
              <w:jc w:val="center"/>
              <w:rPr>
                <w:rFonts w:ascii="宋体" w:hAnsi="宋体"/>
                <w:sz w:val="24"/>
              </w:rPr>
            </w:pPr>
            <w:r>
              <w:rPr>
                <w:rFonts w:hint="eastAsia" w:ascii="宋体" w:hAnsi="宋体"/>
                <w:sz w:val="24"/>
              </w:rPr>
              <w:t>3</w:t>
            </w:r>
          </w:p>
        </w:tc>
        <w:tc>
          <w:tcPr>
            <w:tcW w:w="385" w:type="pct"/>
            <w:vAlign w:val="center"/>
          </w:tcPr>
          <w:p>
            <w:pPr>
              <w:jc w:val="center"/>
              <w:rPr>
                <w:rFonts w:ascii="宋体" w:hAnsi="宋体"/>
                <w:sz w:val="24"/>
              </w:rPr>
            </w:pPr>
            <w:r>
              <w:rPr>
                <w:rFonts w:hint="eastAsia" w:ascii="宋体" w:hAnsi="宋体"/>
                <w:sz w:val="24"/>
              </w:rPr>
              <w:t>4</w:t>
            </w:r>
          </w:p>
        </w:tc>
        <w:tc>
          <w:tcPr>
            <w:tcW w:w="371" w:type="pct"/>
            <w:vAlign w:val="center"/>
          </w:tcPr>
          <w:p>
            <w:pPr>
              <w:jc w:val="center"/>
              <w:rPr>
                <w:rFonts w:ascii="宋体" w:hAnsi="宋体"/>
                <w:sz w:val="24"/>
              </w:rPr>
            </w:pPr>
            <w:r>
              <w:rPr>
                <w:rFonts w:hint="eastAsia" w:ascii="宋体" w:hAnsi="宋体"/>
                <w:sz w:val="24"/>
              </w:rPr>
              <w:t>5</w:t>
            </w:r>
          </w:p>
        </w:tc>
        <w:tc>
          <w:tcPr>
            <w:tcW w:w="559" w:type="pct"/>
            <w:vAlign w:val="center"/>
          </w:tcPr>
          <w:p>
            <w:pPr>
              <w:jc w:val="center"/>
              <w:rPr>
                <w:rFonts w:ascii="宋体" w:hAnsi="宋体"/>
                <w:sz w:val="24"/>
              </w:rPr>
            </w:pPr>
            <w:r>
              <w:rPr>
                <w:rFonts w:hint="eastAsia" w:ascii="宋体" w:hAnsi="宋体"/>
                <w:sz w:val="24"/>
              </w:rPr>
              <w:t>6</w:t>
            </w:r>
          </w:p>
        </w:tc>
        <w:tc>
          <w:tcPr>
            <w:tcW w:w="422" w:type="pct"/>
            <w:vAlign w:val="center"/>
          </w:tcPr>
          <w:p>
            <w:pPr>
              <w:jc w:val="center"/>
              <w:rPr>
                <w:rFonts w:ascii="宋体" w:hAnsi="宋体"/>
                <w:sz w:val="24"/>
              </w:rPr>
            </w:pPr>
            <w:r>
              <w:rPr>
                <w:rFonts w:hint="eastAsia" w:ascii="宋体" w:hAnsi="宋体"/>
                <w:sz w:val="24"/>
              </w:rPr>
              <w:t>7</w:t>
            </w:r>
          </w:p>
        </w:tc>
        <w:tc>
          <w:tcPr>
            <w:tcW w:w="664" w:type="pct"/>
            <w:vAlign w:val="center"/>
          </w:tcPr>
          <w:p>
            <w:pPr>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 w:hRule="atLeast"/>
          <w:jc w:val="center"/>
        </w:trPr>
        <w:tc>
          <w:tcPr>
            <w:tcW w:w="923" w:type="pct"/>
            <w:vAlign w:val="center"/>
          </w:tcPr>
          <w:p>
            <w:pPr>
              <w:jc w:val="center"/>
              <w:rPr>
                <w:rFonts w:ascii="宋体" w:hAnsi="宋体"/>
                <w:sz w:val="24"/>
              </w:rPr>
            </w:pPr>
            <w:r>
              <w:rPr>
                <w:rFonts w:hint="eastAsia" w:ascii="宋体" w:hAnsi="宋体"/>
                <w:sz w:val="24"/>
              </w:rPr>
              <w:t>标的物名称</w:t>
            </w:r>
          </w:p>
        </w:tc>
        <w:tc>
          <w:tcPr>
            <w:tcW w:w="1170" w:type="pct"/>
            <w:vAlign w:val="center"/>
          </w:tcPr>
          <w:p>
            <w:pPr>
              <w:jc w:val="center"/>
              <w:rPr>
                <w:rFonts w:ascii="宋体" w:hAnsi="宋体"/>
                <w:sz w:val="24"/>
              </w:rPr>
            </w:pPr>
            <w:r>
              <w:rPr>
                <w:rFonts w:hint="eastAsia" w:ascii="宋体" w:hAnsi="宋体"/>
                <w:sz w:val="24"/>
              </w:rPr>
              <w:t>品牌、规格、型号</w:t>
            </w:r>
          </w:p>
        </w:tc>
        <w:tc>
          <w:tcPr>
            <w:tcW w:w="502" w:type="pct"/>
            <w:vAlign w:val="center"/>
          </w:tcPr>
          <w:p>
            <w:pPr>
              <w:jc w:val="center"/>
              <w:rPr>
                <w:rFonts w:ascii="宋体" w:hAnsi="宋体"/>
                <w:sz w:val="24"/>
              </w:rPr>
            </w:pPr>
            <w:r>
              <w:rPr>
                <w:rFonts w:hint="eastAsia" w:ascii="宋体" w:hAnsi="宋体"/>
                <w:sz w:val="24"/>
              </w:rPr>
              <w:t>数量</w:t>
            </w:r>
          </w:p>
        </w:tc>
        <w:tc>
          <w:tcPr>
            <w:tcW w:w="385" w:type="pct"/>
          </w:tcPr>
          <w:p>
            <w:pPr>
              <w:rPr>
                <w:rFonts w:ascii="宋体" w:hAnsi="宋体"/>
                <w:sz w:val="24"/>
              </w:rPr>
            </w:pPr>
            <w:r>
              <w:rPr>
                <w:rFonts w:hint="eastAsia" w:ascii="宋体" w:hAnsi="宋体"/>
                <w:sz w:val="24"/>
              </w:rPr>
              <w:t>单位</w:t>
            </w:r>
          </w:p>
        </w:tc>
        <w:tc>
          <w:tcPr>
            <w:tcW w:w="371" w:type="pct"/>
            <w:vAlign w:val="center"/>
          </w:tcPr>
          <w:p>
            <w:pPr>
              <w:jc w:val="center"/>
              <w:rPr>
                <w:rFonts w:ascii="宋体" w:hAnsi="宋体"/>
                <w:sz w:val="24"/>
              </w:rPr>
            </w:pPr>
            <w:r>
              <w:rPr>
                <w:rFonts w:hint="eastAsia" w:ascii="宋体" w:hAnsi="宋体"/>
                <w:sz w:val="24"/>
              </w:rPr>
              <w:t>单价</w:t>
            </w:r>
          </w:p>
        </w:tc>
        <w:tc>
          <w:tcPr>
            <w:tcW w:w="559" w:type="pct"/>
            <w:vAlign w:val="center"/>
          </w:tcPr>
          <w:p>
            <w:pPr>
              <w:jc w:val="center"/>
              <w:rPr>
                <w:rFonts w:ascii="宋体" w:hAnsi="宋体" w:eastAsia="仿宋"/>
                <w:sz w:val="24"/>
              </w:rPr>
            </w:pPr>
            <w:r>
              <w:rPr>
                <w:rFonts w:hint="eastAsia" w:ascii="宋体" w:hAnsi="宋体" w:eastAsia="仿宋"/>
                <w:sz w:val="24"/>
              </w:rPr>
              <w:t>交付期/服务期</w:t>
            </w:r>
          </w:p>
        </w:tc>
        <w:tc>
          <w:tcPr>
            <w:tcW w:w="422" w:type="pct"/>
            <w:vAlign w:val="center"/>
          </w:tcPr>
          <w:p>
            <w:pPr>
              <w:jc w:val="center"/>
              <w:rPr>
                <w:rFonts w:ascii="宋体" w:hAnsi="宋体"/>
                <w:sz w:val="24"/>
              </w:rPr>
            </w:pPr>
            <w:r>
              <w:rPr>
                <w:rFonts w:hint="eastAsia" w:ascii="宋体" w:hAnsi="宋体"/>
                <w:sz w:val="24"/>
              </w:rPr>
              <w:t>产地</w:t>
            </w:r>
          </w:p>
        </w:tc>
        <w:tc>
          <w:tcPr>
            <w:tcW w:w="664" w:type="pct"/>
            <w:vAlign w:val="center"/>
          </w:tcPr>
          <w:p>
            <w:pPr>
              <w:jc w:val="center"/>
              <w:rPr>
                <w:rFonts w:ascii="宋体" w:hAnsi="宋体"/>
                <w:sz w:val="24"/>
              </w:rPr>
            </w:pPr>
            <w:r>
              <w:rPr>
                <w:rFonts w:hint="eastAsia" w:ascii="宋体" w:hAnsi="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4" w:hRule="atLeast"/>
          <w:jc w:val="center"/>
        </w:trPr>
        <w:tc>
          <w:tcPr>
            <w:tcW w:w="923" w:type="pct"/>
            <w:vAlign w:val="center"/>
          </w:tcPr>
          <w:p>
            <w:pPr>
              <w:rPr>
                <w:rFonts w:ascii="宋体" w:hAnsi="宋体"/>
                <w:sz w:val="24"/>
              </w:rPr>
            </w:pPr>
          </w:p>
        </w:tc>
        <w:tc>
          <w:tcPr>
            <w:tcW w:w="1170" w:type="pct"/>
            <w:vAlign w:val="center"/>
          </w:tcPr>
          <w:p>
            <w:pPr>
              <w:jc w:val="center"/>
              <w:rPr>
                <w:rFonts w:ascii="宋体" w:hAnsi="宋体"/>
                <w:sz w:val="24"/>
              </w:rPr>
            </w:pPr>
          </w:p>
        </w:tc>
        <w:tc>
          <w:tcPr>
            <w:tcW w:w="502" w:type="pct"/>
            <w:vAlign w:val="center"/>
          </w:tcPr>
          <w:p>
            <w:pPr>
              <w:rPr>
                <w:rFonts w:ascii="宋体" w:hAnsi="宋体"/>
                <w:sz w:val="24"/>
              </w:rPr>
            </w:pPr>
          </w:p>
        </w:tc>
        <w:tc>
          <w:tcPr>
            <w:tcW w:w="385" w:type="pct"/>
          </w:tcPr>
          <w:p>
            <w:pPr>
              <w:rPr>
                <w:rFonts w:ascii="宋体" w:hAnsi="宋体"/>
                <w:sz w:val="24"/>
              </w:rPr>
            </w:pPr>
          </w:p>
        </w:tc>
        <w:tc>
          <w:tcPr>
            <w:tcW w:w="371" w:type="pct"/>
            <w:vAlign w:val="center"/>
          </w:tcPr>
          <w:p>
            <w:pPr>
              <w:rPr>
                <w:rFonts w:ascii="宋体" w:hAnsi="宋体"/>
                <w:sz w:val="24"/>
              </w:rPr>
            </w:pPr>
          </w:p>
        </w:tc>
        <w:tc>
          <w:tcPr>
            <w:tcW w:w="559" w:type="pct"/>
            <w:vAlign w:val="center"/>
          </w:tcPr>
          <w:p>
            <w:pPr>
              <w:rPr>
                <w:rFonts w:ascii="宋体" w:hAnsi="宋体"/>
                <w:sz w:val="24"/>
              </w:rPr>
            </w:pPr>
          </w:p>
        </w:tc>
        <w:tc>
          <w:tcPr>
            <w:tcW w:w="422" w:type="pct"/>
            <w:vAlign w:val="center"/>
          </w:tcPr>
          <w:p>
            <w:pPr>
              <w:rPr>
                <w:rFonts w:ascii="宋体" w:hAnsi="宋体"/>
                <w:sz w:val="24"/>
              </w:rPr>
            </w:pPr>
          </w:p>
        </w:tc>
        <w:tc>
          <w:tcPr>
            <w:tcW w:w="66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4" w:hRule="atLeast"/>
          <w:jc w:val="center"/>
        </w:trPr>
        <w:tc>
          <w:tcPr>
            <w:tcW w:w="923" w:type="pct"/>
            <w:vAlign w:val="center"/>
          </w:tcPr>
          <w:p>
            <w:pPr>
              <w:rPr>
                <w:rFonts w:ascii="宋体" w:hAnsi="宋体"/>
                <w:sz w:val="24"/>
              </w:rPr>
            </w:pPr>
          </w:p>
        </w:tc>
        <w:tc>
          <w:tcPr>
            <w:tcW w:w="1170" w:type="pct"/>
            <w:vAlign w:val="center"/>
          </w:tcPr>
          <w:p>
            <w:pPr>
              <w:jc w:val="center"/>
              <w:rPr>
                <w:rFonts w:ascii="宋体" w:hAnsi="宋体"/>
                <w:sz w:val="24"/>
              </w:rPr>
            </w:pPr>
          </w:p>
        </w:tc>
        <w:tc>
          <w:tcPr>
            <w:tcW w:w="502" w:type="pct"/>
            <w:vAlign w:val="center"/>
          </w:tcPr>
          <w:p>
            <w:pPr>
              <w:rPr>
                <w:rFonts w:ascii="宋体" w:hAnsi="宋体"/>
                <w:sz w:val="24"/>
              </w:rPr>
            </w:pPr>
          </w:p>
        </w:tc>
        <w:tc>
          <w:tcPr>
            <w:tcW w:w="385" w:type="pct"/>
          </w:tcPr>
          <w:p>
            <w:pPr>
              <w:rPr>
                <w:rFonts w:ascii="宋体" w:hAnsi="宋体"/>
                <w:sz w:val="24"/>
              </w:rPr>
            </w:pPr>
          </w:p>
        </w:tc>
        <w:tc>
          <w:tcPr>
            <w:tcW w:w="371" w:type="pct"/>
            <w:vAlign w:val="center"/>
          </w:tcPr>
          <w:p>
            <w:pPr>
              <w:rPr>
                <w:rFonts w:ascii="宋体" w:hAnsi="宋体"/>
                <w:sz w:val="24"/>
              </w:rPr>
            </w:pPr>
          </w:p>
        </w:tc>
        <w:tc>
          <w:tcPr>
            <w:tcW w:w="559" w:type="pct"/>
            <w:vAlign w:val="center"/>
          </w:tcPr>
          <w:p>
            <w:pPr>
              <w:rPr>
                <w:rFonts w:ascii="宋体" w:hAnsi="宋体"/>
                <w:sz w:val="24"/>
              </w:rPr>
            </w:pPr>
          </w:p>
        </w:tc>
        <w:tc>
          <w:tcPr>
            <w:tcW w:w="422" w:type="pct"/>
            <w:vAlign w:val="center"/>
          </w:tcPr>
          <w:p>
            <w:pPr>
              <w:rPr>
                <w:rFonts w:ascii="宋体" w:hAnsi="宋体"/>
                <w:sz w:val="24"/>
              </w:rPr>
            </w:pPr>
          </w:p>
        </w:tc>
        <w:tc>
          <w:tcPr>
            <w:tcW w:w="66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4" w:hRule="atLeast"/>
          <w:jc w:val="center"/>
        </w:trPr>
        <w:tc>
          <w:tcPr>
            <w:tcW w:w="923" w:type="pct"/>
            <w:vAlign w:val="center"/>
          </w:tcPr>
          <w:p>
            <w:pPr>
              <w:rPr>
                <w:rFonts w:ascii="宋体" w:hAnsi="宋体"/>
                <w:sz w:val="24"/>
              </w:rPr>
            </w:pPr>
          </w:p>
        </w:tc>
        <w:tc>
          <w:tcPr>
            <w:tcW w:w="1170" w:type="pct"/>
            <w:vAlign w:val="center"/>
          </w:tcPr>
          <w:p>
            <w:pPr>
              <w:jc w:val="center"/>
              <w:rPr>
                <w:rFonts w:ascii="宋体" w:hAnsi="宋体"/>
                <w:sz w:val="24"/>
              </w:rPr>
            </w:pPr>
          </w:p>
        </w:tc>
        <w:tc>
          <w:tcPr>
            <w:tcW w:w="502" w:type="pct"/>
            <w:vAlign w:val="center"/>
          </w:tcPr>
          <w:p>
            <w:pPr>
              <w:rPr>
                <w:rFonts w:ascii="宋体" w:hAnsi="宋体"/>
                <w:sz w:val="24"/>
              </w:rPr>
            </w:pPr>
          </w:p>
        </w:tc>
        <w:tc>
          <w:tcPr>
            <w:tcW w:w="385" w:type="pct"/>
          </w:tcPr>
          <w:p>
            <w:pPr>
              <w:rPr>
                <w:rFonts w:ascii="宋体" w:hAnsi="宋体"/>
                <w:sz w:val="24"/>
              </w:rPr>
            </w:pPr>
          </w:p>
        </w:tc>
        <w:tc>
          <w:tcPr>
            <w:tcW w:w="371" w:type="pct"/>
            <w:vAlign w:val="center"/>
          </w:tcPr>
          <w:p>
            <w:pPr>
              <w:rPr>
                <w:rFonts w:ascii="宋体" w:hAnsi="宋体"/>
                <w:sz w:val="24"/>
              </w:rPr>
            </w:pPr>
          </w:p>
        </w:tc>
        <w:tc>
          <w:tcPr>
            <w:tcW w:w="559" w:type="pct"/>
            <w:vAlign w:val="center"/>
          </w:tcPr>
          <w:p>
            <w:pPr>
              <w:rPr>
                <w:rFonts w:ascii="宋体" w:hAnsi="宋体"/>
                <w:sz w:val="24"/>
              </w:rPr>
            </w:pPr>
          </w:p>
        </w:tc>
        <w:tc>
          <w:tcPr>
            <w:tcW w:w="422" w:type="pct"/>
            <w:vAlign w:val="center"/>
          </w:tcPr>
          <w:p>
            <w:pPr>
              <w:rPr>
                <w:rFonts w:ascii="宋体" w:hAnsi="宋体"/>
                <w:sz w:val="24"/>
              </w:rPr>
            </w:pPr>
          </w:p>
        </w:tc>
        <w:tc>
          <w:tcPr>
            <w:tcW w:w="66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atLeast"/>
          <w:jc w:val="center"/>
        </w:trPr>
        <w:tc>
          <w:tcPr>
            <w:tcW w:w="923" w:type="pct"/>
            <w:vAlign w:val="center"/>
          </w:tcPr>
          <w:p>
            <w:pPr>
              <w:rPr>
                <w:rFonts w:ascii="宋体" w:hAnsi="宋体"/>
                <w:sz w:val="24"/>
              </w:rPr>
            </w:pPr>
          </w:p>
        </w:tc>
        <w:tc>
          <w:tcPr>
            <w:tcW w:w="1170" w:type="pct"/>
            <w:vAlign w:val="center"/>
          </w:tcPr>
          <w:p>
            <w:pPr>
              <w:jc w:val="center"/>
              <w:rPr>
                <w:rFonts w:ascii="宋体" w:hAnsi="宋体"/>
                <w:sz w:val="24"/>
              </w:rPr>
            </w:pPr>
          </w:p>
        </w:tc>
        <w:tc>
          <w:tcPr>
            <w:tcW w:w="502" w:type="pct"/>
            <w:vAlign w:val="center"/>
          </w:tcPr>
          <w:p>
            <w:pPr>
              <w:rPr>
                <w:rFonts w:ascii="宋体" w:hAnsi="宋体"/>
                <w:sz w:val="24"/>
              </w:rPr>
            </w:pPr>
          </w:p>
        </w:tc>
        <w:tc>
          <w:tcPr>
            <w:tcW w:w="385" w:type="pct"/>
          </w:tcPr>
          <w:p>
            <w:pPr>
              <w:rPr>
                <w:rFonts w:ascii="宋体" w:hAnsi="宋体"/>
                <w:sz w:val="24"/>
              </w:rPr>
            </w:pPr>
          </w:p>
        </w:tc>
        <w:tc>
          <w:tcPr>
            <w:tcW w:w="371" w:type="pct"/>
            <w:vAlign w:val="center"/>
          </w:tcPr>
          <w:p>
            <w:pPr>
              <w:rPr>
                <w:rFonts w:ascii="宋体" w:hAnsi="宋体"/>
                <w:sz w:val="24"/>
              </w:rPr>
            </w:pPr>
          </w:p>
        </w:tc>
        <w:tc>
          <w:tcPr>
            <w:tcW w:w="559" w:type="pct"/>
            <w:vAlign w:val="center"/>
          </w:tcPr>
          <w:p>
            <w:pPr>
              <w:rPr>
                <w:rFonts w:ascii="宋体" w:hAnsi="宋体"/>
                <w:sz w:val="24"/>
              </w:rPr>
            </w:pPr>
          </w:p>
        </w:tc>
        <w:tc>
          <w:tcPr>
            <w:tcW w:w="422" w:type="pct"/>
            <w:vAlign w:val="center"/>
          </w:tcPr>
          <w:p>
            <w:pPr>
              <w:rPr>
                <w:rFonts w:ascii="宋体" w:hAnsi="宋体"/>
                <w:sz w:val="24"/>
              </w:rPr>
            </w:pPr>
          </w:p>
        </w:tc>
        <w:tc>
          <w:tcPr>
            <w:tcW w:w="66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0" w:hRule="atLeast"/>
          <w:jc w:val="center"/>
        </w:trPr>
        <w:tc>
          <w:tcPr>
            <w:tcW w:w="2093" w:type="pct"/>
            <w:gridSpan w:val="2"/>
            <w:vAlign w:val="center"/>
          </w:tcPr>
          <w:p>
            <w:pPr>
              <w:jc w:val="center"/>
              <w:rPr>
                <w:rFonts w:ascii="宋体" w:hAnsi="宋体"/>
                <w:sz w:val="24"/>
              </w:rPr>
            </w:pPr>
            <w:r>
              <w:rPr>
                <w:rFonts w:hint="eastAsia" w:ascii="宋体" w:hAnsi="宋体"/>
                <w:sz w:val="24"/>
              </w:rPr>
              <w:t>合计</w:t>
            </w:r>
          </w:p>
        </w:tc>
        <w:tc>
          <w:tcPr>
            <w:tcW w:w="2906" w:type="pct"/>
            <w:gridSpan w:val="6"/>
          </w:tcPr>
          <w:p>
            <w:pPr>
              <w:rPr>
                <w:rFonts w:ascii="宋体" w:hAnsi="宋体"/>
                <w:sz w:val="24"/>
              </w:rPr>
            </w:pPr>
            <w:r>
              <w:rPr>
                <w:rFonts w:hint="eastAsia" w:ascii="宋体" w:hAnsi="宋体"/>
                <w:sz w:val="24"/>
              </w:rPr>
              <w:t xml:space="preserve"> </w:t>
            </w:r>
          </w:p>
        </w:tc>
      </w:tr>
    </w:tbl>
    <w:p>
      <w:pPr>
        <w:rPr>
          <w:rFonts w:ascii="宋体" w:hAnsi="宋体"/>
          <w:bCs/>
          <w:sz w:val="24"/>
        </w:rPr>
        <w:sectPr>
          <w:pgSz w:w="11906" w:h="16838"/>
          <w:pgMar w:top="1418" w:right="1588" w:bottom="1418" w:left="1365" w:header="851" w:footer="907" w:gutter="0"/>
          <w:cols w:space="720" w:num="1"/>
          <w:titlePg/>
          <w:docGrid w:type="lines" w:linePitch="290" w:charSpace="0"/>
        </w:sectPr>
      </w:pPr>
      <w:r>
        <w:rPr>
          <w:rFonts w:hint="eastAsia" w:ascii="宋体" w:hAnsi="宋体"/>
          <w:bCs/>
          <w:sz w:val="24"/>
        </w:rPr>
        <w:t>注：单价和总价采用人民币报价，以元为单位。</w:t>
      </w:r>
    </w:p>
    <w:p>
      <w:pPr>
        <w:pStyle w:val="7"/>
        <w:jc w:val="center"/>
        <w:rPr>
          <w:rFonts w:asciiTheme="majorEastAsia" w:hAnsiTheme="majorEastAsia" w:eastAsiaTheme="majorEastAsia" w:cstheme="majorEastAsia"/>
        </w:rPr>
      </w:pPr>
      <w:bookmarkStart w:id="48" w:name="_Toc246997102"/>
      <w:bookmarkStart w:id="49" w:name="_Toc144974860"/>
      <w:bookmarkStart w:id="50" w:name="_Toc247085877"/>
      <w:bookmarkStart w:id="51" w:name="_Toc3335"/>
      <w:bookmarkStart w:id="52" w:name="_Toc152042580"/>
      <w:bookmarkStart w:id="53" w:name="_Toc179632811"/>
      <w:bookmarkStart w:id="54" w:name="_Toc15600"/>
      <w:bookmarkStart w:id="55" w:name="_Toc152045791"/>
      <w:bookmarkStart w:id="56" w:name="_Toc246996359"/>
      <w:r>
        <w:rPr>
          <w:rFonts w:hint="eastAsia" w:asciiTheme="majorEastAsia" w:hAnsiTheme="majorEastAsia" w:eastAsiaTheme="majorEastAsia" w:cstheme="majorEastAsia"/>
        </w:rPr>
        <w:t>二、法定代表人身份证明</w:t>
      </w:r>
      <w:bookmarkEnd w:id="48"/>
      <w:bookmarkEnd w:id="49"/>
      <w:bookmarkEnd w:id="50"/>
      <w:bookmarkEnd w:id="51"/>
      <w:bookmarkEnd w:id="52"/>
      <w:bookmarkEnd w:id="53"/>
      <w:bookmarkEnd w:id="54"/>
      <w:bookmarkEnd w:id="55"/>
      <w:bookmarkEnd w:id="56"/>
    </w:p>
    <w:p>
      <w:pPr>
        <w:pStyle w:val="8"/>
        <w:rPr>
          <w:sz w:val="20"/>
          <w:szCs w:val="20"/>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ind w:firstLine="420" w:firstLineChars="200"/>
        <w:rPr>
          <w:szCs w:val="21"/>
        </w:rPr>
      </w:pPr>
      <w:r>
        <w:rPr>
          <w:rFonts w:hint="eastAsia"/>
          <w:szCs w:val="21"/>
        </w:rPr>
        <w:t>附：法定代表人身份证</w:t>
      </w:r>
    </w:p>
    <w:p>
      <w:pPr>
        <w:spacing w:line="440" w:lineRule="exact"/>
        <w:ind w:firstLine="420" w:firstLineChars="200"/>
        <w:rPr>
          <w:szCs w:val="21"/>
        </w:rPr>
      </w:pP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 xml:space="preserve">                  </w:t>
      </w:r>
      <w:r>
        <w:rPr>
          <w:szCs w:val="21"/>
        </w:rPr>
        <w:t xml:space="preserve">  投标人：</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rPr>
          <w:rFonts w:eastAsia="黑体"/>
          <w:sz w:val="20"/>
          <w:szCs w:val="20"/>
        </w:rPr>
      </w:pPr>
    </w:p>
    <w:p>
      <w:pPr>
        <w:pStyle w:val="7"/>
        <w:jc w:val="center"/>
        <w:rPr>
          <w:rFonts w:asciiTheme="majorEastAsia" w:hAnsiTheme="majorEastAsia" w:eastAsiaTheme="majorEastAsia" w:cstheme="majorEastAsia"/>
        </w:rPr>
      </w:pPr>
      <w:bookmarkStart w:id="57" w:name="_Toc18184"/>
      <w:bookmarkStart w:id="58" w:name="_Toc25763"/>
      <w:bookmarkStart w:id="59" w:name="_Toc29602"/>
      <w:r>
        <w:rPr>
          <w:rFonts w:hint="eastAsia" w:asciiTheme="majorEastAsia" w:hAnsiTheme="majorEastAsia" w:eastAsiaTheme="majorEastAsia" w:cstheme="majorEastAsia"/>
        </w:rPr>
        <w:t>三、法定代表人的授权委托书</w:t>
      </w:r>
      <w:bookmarkEnd w:id="57"/>
      <w:bookmarkEnd w:id="58"/>
      <w:bookmarkEnd w:id="59"/>
    </w:p>
    <w:p>
      <w:pPr>
        <w:pStyle w:val="8"/>
        <w:jc w:val="center"/>
        <w:rPr>
          <w:rFonts w:ascii="宋体" w:hAnsi="宋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szCs w:val="21"/>
        </w:rPr>
      </w:pPr>
      <w:r>
        <w:rPr>
          <w:szCs w:val="21"/>
        </w:rPr>
        <w:t>代理人无转委托权。</w:t>
      </w:r>
    </w:p>
    <w:p>
      <w:pPr>
        <w:tabs>
          <w:tab w:val="center" w:pos="4153"/>
        </w:tabs>
        <w:spacing w:line="440" w:lineRule="exact"/>
        <w:ind w:firstLine="420" w:firstLineChars="200"/>
        <w:rPr>
          <w:szCs w:val="21"/>
        </w:rPr>
      </w:pPr>
      <w:r>
        <w:rPr>
          <w:rFonts w:hint="eastAsia"/>
          <w:szCs w:val="21"/>
        </w:rPr>
        <w:t>附：法定代表人身份证及委托代理人身份证</w:t>
      </w:r>
    </w:p>
    <w:p>
      <w:pPr>
        <w:spacing w:line="440" w:lineRule="exact"/>
        <w:ind w:firstLine="420" w:firstLineChars="200"/>
        <w:rPr>
          <w:szCs w:val="21"/>
        </w:rPr>
      </w:pPr>
      <w:r>
        <w:rPr>
          <w:rFonts w:hint="eastAsia"/>
          <w:szCs w:val="21"/>
        </w:rPr>
        <w:t xml:space="preserve">   </w:t>
      </w: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w:t>
      </w:r>
      <w:r>
        <w:rPr>
          <w:rFonts w:hint="eastAsia"/>
          <w:szCs w:val="21"/>
        </w:rPr>
        <w:t>盖章或</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p>
    <w:p>
      <w:pPr>
        <w:spacing w:line="440" w:lineRule="exact"/>
        <w:ind w:firstLine="2310" w:firstLineChars="1100"/>
        <w:rPr>
          <w:rFonts w:eastAsia="黑体"/>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7"/>
        <w:jc w:val="center"/>
        <w:rPr>
          <w:rFonts w:asciiTheme="majorEastAsia" w:hAnsiTheme="majorEastAsia" w:eastAsiaTheme="majorEastAsia" w:cstheme="majorEastAsia"/>
        </w:rPr>
      </w:pPr>
      <w:bookmarkStart w:id="60" w:name="_Toc144974862"/>
      <w:bookmarkStart w:id="61" w:name="_Toc247085880"/>
      <w:bookmarkStart w:id="62" w:name="_Toc152045794"/>
      <w:bookmarkStart w:id="63" w:name="_Toc246997105"/>
      <w:bookmarkStart w:id="64" w:name="_Toc152042583"/>
      <w:bookmarkStart w:id="65" w:name="_Toc246996362"/>
      <w:bookmarkStart w:id="66" w:name="_Toc179632814"/>
      <w:bookmarkStart w:id="67" w:name="_Toc1969"/>
      <w:bookmarkStart w:id="68" w:name="_Toc1975"/>
      <w:bookmarkStart w:id="69" w:name="_Toc2151"/>
      <w:r>
        <w:rPr>
          <w:rFonts w:hint="eastAsia" w:asciiTheme="majorEastAsia" w:hAnsiTheme="majorEastAsia" w:eastAsiaTheme="majorEastAsia" w:cstheme="majorEastAsia"/>
        </w:rPr>
        <w:t>四、投标保证金</w:t>
      </w:r>
      <w:bookmarkEnd w:id="60"/>
      <w:bookmarkEnd w:id="61"/>
      <w:bookmarkEnd w:id="62"/>
      <w:bookmarkEnd w:id="63"/>
      <w:bookmarkEnd w:id="64"/>
      <w:bookmarkEnd w:id="65"/>
      <w:bookmarkEnd w:id="66"/>
      <w:r>
        <w:rPr>
          <w:rFonts w:hint="eastAsia" w:asciiTheme="majorEastAsia" w:hAnsiTheme="majorEastAsia" w:eastAsiaTheme="majorEastAsia" w:cstheme="majorEastAsia"/>
        </w:rPr>
        <w:t>（投标保证金凭证）</w:t>
      </w:r>
      <w:bookmarkEnd w:id="67"/>
      <w:bookmarkEnd w:id="68"/>
      <w:bookmarkEnd w:id="69"/>
    </w:p>
    <w:p>
      <w:pPr>
        <w:spacing w:line="440" w:lineRule="exact"/>
        <w:rPr>
          <w:szCs w:val="21"/>
        </w:rPr>
      </w:pPr>
      <w:r>
        <w:rPr>
          <w:rFonts w:hint="eastAsia"/>
          <w:szCs w:val="21"/>
        </w:rPr>
        <w:t>__________(招标人名称)：</w:t>
      </w:r>
    </w:p>
    <w:p>
      <w:pPr>
        <w:spacing w:line="440" w:lineRule="exact"/>
        <w:rPr>
          <w:szCs w:val="21"/>
        </w:rPr>
      </w:pPr>
      <w:r>
        <w:rPr>
          <w:rFonts w:hint="eastAsia"/>
          <w:szCs w:val="21"/>
        </w:rPr>
        <w:t>鉴于________(投标人名称)(以下称“投标人”)于________年____月____日参加____________(项目名称)的投标，投标人无条件地、不可撤销地保证：投标人在规定的投标有效期内撤销或修改其投标文件的，或者投标人不接受依据评标办法的规定对其投标文件中细微偏差进行澄清和补正，或者投标人提交了虚假资料，或者投标人在收到中标通知书未按招标文件规定拒绝签订合同协议书的，我方愿以发包人没收全部投标保证金的方式承担其保证责任。</w:t>
      </w:r>
    </w:p>
    <w:p>
      <w:pPr>
        <w:spacing w:line="440" w:lineRule="exact"/>
        <w:rPr>
          <w:szCs w:val="21"/>
        </w:rPr>
      </w:pPr>
      <w:r>
        <w:rPr>
          <w:szCs w:val="21"/>
        </w:rPr>
        <w:t xml:space="preserve"> </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7" w:hRule="atLeast"/>
        </w:trPr>
        <w:tc>
          <w:tcPr>
            <w:tcW w:w="8522" w:type="dxa"/>
          </w:tcPr>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ind w:left="-416" w:leftChars="-200" w:right="-313" w:rightChars="-149" w:hanging="4"/>
              <w:jc w:val="center"/>
              <w:rPr>
                <w:szCs w:val="21"/>
              </w:rPr>
            </w:pPr>
            <w:r>
              <w:rPr>
                <w:rFonts w:hint="eastAsia"/>
                <w:sz w:val="28"/>
                <w:szCs w:val="28"/>
              </w:rPr>
              <w:t>投标保证金凭证</w:t>
            </w:r>
          </w:p>
        </w:tc>
      </w:tr>
    </w:tbl>
    <w:p>
      <w:pPr>
        <w:spacing w:line="440" w:lineRule="exact"/>
        <w:rPr>
          <w:b/>
          <w:bCs/>
          <w:szCs w:val="21"/>
        </w:rPr>
      </w:pPr>
      <w:r>
        <w:rPr>
          <w:rFonts w:hint="eastAsia"/>
          <w:b/>
          <w:bCs/>
          <w:szCs w:val="21"/>
        </w:rPr>
        <w:t>注：后附基本户开户行许可证或基本存款账户信息</w:t>
      </w:r>
    </w:p>
    <w:p>
      <w:pPr>
        <w:spacing w:line="440" w:lineRule="exact"/>
        <w:ind w:firstLine="2158" w:firstLineChars="1028"/>
        <w:rPr>
          <w:szCs w:val="21"/>
        </w:rPr>
      </w:pPr>
    </w:p>
    <w:p>
      <w:pPr>
        <w:spacing w:line="440" w:lineRule="exact"/>
        <w:ind w:firstLine="2158" w:firstLineChars="1028"/>
        <w:rPr>
          <w:szCs w:val="21"/>
        </w:rPr>
      </w:pPr>
      <w:r>
        <w:rPr>
          <w:rFonts w:hint="eastAsia"/>
          <w:szCs w:val="21"/>
        </w:rPr>
        <w:t>投标人</w:t>
      </w:r>
      <w:r>
        <w:rPr>
          <w:szCs w:val="21"/>
        </w:rPr>
        <w:t>名称：</w:t>
      </w:r>
      <w:r>
        <w:rPr>
          <w:szCs w:val="21"/>
          <w:u w:val="single"/>
        </w:rPr>
        <w:t xml:space="preserve">                              </w:t>
      </w:r>
      <w:r>
        <w:rPr>
          <w:szCs w:val="21"/>
        </w:rPr>
        <w:t>（盖单位章）</w:t>
      </w:r>
    </w:p>
    <w:p>
      <w:pPr>
        <w:spacing w:line="440" w:lineRule="exact"/>
        <w:ind w:firstLine="2158" w:firstLineChars="1028"/>
        <w:rPr>
          <w:szCs w:val="21"/>
        </w:rPr>
      </w:pPr>
      <w:r>
        <w:rPr>
          <w:szCs w:val="21"/>
        </w:rPr>
        <w:t>法定代表人或</w:t>
      </w:r>
      <w:r>
        <w:rPr>
          <w:rFonts w:hint="eastAsia"/>
          <w:szCs w:val="21"/>
        </w:rPr>
        <w:t>其委托代理</w:t>
      </w:r>
      <w:r>
        <w:rPr>
          <w:szCs w:val="21"/>
        </w:rPr>
        <w:t>人：</w:t>
      </w:r>
      <w:r>
        <w:rPr>
          <w:szCs w:val="21"/>
          <w:u w:val="single"/>
        </w:rPr>
        <w:t xml:space="preserve">                    </w:t>
      </w:r>
      <w:r>
        <w:rPr>
          <w:szCs w:val="21"/>
        </w:rPr>
        <w:t>（</w:t>
      </w:r>
      <w:r>
        <w:rPr>
          <w:rFonts w:hint="eastAsia"/>
          <w:szCs w:val="21"/>
        </w:rPr>
        <w:t>盖章或</w:t>
      </w:r>
      <w:r>
        <w:rPr>
          <w:szCs w:val="21"/>
        </w:rPr>
        <w:t>签字）</w:t>
      </w:r>
    </w:p>
    <w:p>
      <w:pPr>
        <w:spacing w:line="440" w:lineRule="exact"/>
        <w:ind w:firstLine="2158" w:firstLineChars="1028"/>
        <w:rPr>
          <w:szCs w:val="21"/>
        </w:rPr>
      </w:pPr>
      <w:r>
        <w:rPr>
          <w:szCs w:val="21"/>
        </w:rPr>
        <w:t>地    址：</w:t>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szCs w:val="21"/>
          <w:u w:val="single"/>
        </w:rPr>
      </w:pPr>
      <w:r>
        <w:rPr>
          <w:szCs w:val="21"/>
        </w:rPr>
        <w:t>邮政编码：</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szCs w:val="21"/>
          <w:u w:val="single"/>
        </w:rPr>
      </w:pPr>
      <w:r>
        <w:rPr>
          <w:szCs w:val="21"/>
        </w:rPr>
        <w:t>电    话：</w:t>
      </w:r>
      <w:r>
        <w:rPr>
          <w:szCs w:val="21"/>
          <w:u w:val="single"/>
        </w:rPr>
        <w:t xml:space="preserve">                                         </w:t>
      </w:r>
      <w:r>
        <w:rPr>
          <w:rFonts w:hint="eastAsia"/>
          <w:szCs w:val="21"/>
          <w:u w:val="single"/>
        </w:rPr>
        <w:t xml:space="preserve"> </w:t>
      </w:r>
    </w:p>
    <w:p>
      <w:pPr>
        <w:spacing w:line="440" w:lineRule="exact"/>
        <w:ind w:firstLine="2158" w:firstLineChars="1028"/>
        <w:rPr>
          <w:szCs w:val="21"/>
        </w:rPr>
      </w:pPr>
      <w:r>
        <w:rPr>
          <w:rFonts w:hint="eastAsia"/>
          <w:szCs w:val="21"/>
        </w:rPr>
        <w:t>传    真</w:t>
      </w:r>
      <w:r>
        <w:rPr>
          <w:szCs w:val="21"/>
        </w:rPr>
        <w:t>：</w:t>
      </w:r>
      <w:r>
        <w:rPr>
          <w:szCs w:val="21"/>
          <w:u w:val="single"/>
        </w:rPr>
        <w:t xml:space="preserve">                                         </w:t>
      </w:r>
      <w:r>
        <w:rPr>
          <w:rFonts w:hint="eastAsia"/>
          <w:szCs w:val="21"/>
          <w:u w:val="single"/>
        </w:rPr>
        <w:t xml:space="preserve"> </w:t>
      </w:r>
    </w:p>
    <w:p>
      <w:pPr>
        <w:spacing w:line="440" w:lineRule="exact"/>
        <w:ind w:firstLine="2158" w:firstLineChars="1028"/>
        <w:rPr>
          <w:szCs w:val="21"/>
        </w:rPr>
      </w:pPr>
    </w:p>
    <w:p>
      <w:pPr>
        <w:spacing w:line="440" w:lineRule="exact"/>
        <w:ind w:firstLine="4888" w:firstLineChars="2328"/>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rPr>
          <w:sz w:val="24"/>
        </w:rPr>
      </w:pPr>
    </w:p>
    <w:p>
      <w:pPr>
        <w:pStyle w:val="7"/>
        <w:jc w:val="center"/>
        <w:rPr>
          <w:rFonts w:asciiTheme="majorEastAsia" w:hAnsiTheme="majorEastAsia" w:eastAsiaTheme="majorEastAsia" w:cstheme="majorEastAsia"/>
        </w:rPr>
      </w:pPr>
      <w:bookmarkStart w:id="70" w:name="_Toc4146"/>
      <w:bookmarkStart w:id="71" w:name="_Toc20306"/>
      <w:r>
        <w:rPr>
          <w:rFonts w:hint="eastAsia" w:asciiTheme="majorEastAsia" w:hAnsiTheme="majorEastAsia" w:eastAsiaTheme="majorEastAsia" w:cstheme="majorEastAsia"/>
        </w:rPr>
        <w:t>五、商务和技术偏差表</w:t>
      </w:r>
      <w:bookmarkEnd w:id="70"/>
      <w:bookmarkEnd w:id="71"/>
    </w:p>
    <w:tbl>
      <w:tblPr>
        <w:tblStyle w:val="25"/>
        <w:tblW w:w="8223" w:type="dxa"/>
        <w:tblInd w:w="108" w:type="dxa"/>
        <w:tblLayout w:type="fixed"/>
        <w:tblCellMar>
          <w:top w:w="0" w:type="dxa"/>
          <w:left w:w="108" w:type="dxa"/>
          <w:bottom w:w="0" w:type="dxa"/>
          <w:right w:w="108" w:type="dxa"/>
        </w:tblCellMar>
      </w:tblPr>
      <w:tblGrid>
        <w:gridCol w:w="926"/>
        <w:gridCol w:w="2693"/>
        <w:gridCol w:w="2979"/>
        <w:gridCol w:w="1625"/>
      </w:tblGrid>
      <w:tr>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18" w:lineRule="exact"/>
              <w:ind w:left="249"/>
              <w:jc w:val="left"/>
              <w:rPr>
                <w:rFonts w:ascii="Microsoft YaHei UI" w:hAnsi="Microsoft YaHei UI" w:eastAsia="Microsoft YaHei UI"/>
                <w:sz w:val="20"/>
              </w:rPr>
            </w:pPr>
            <w:r>
              <w:rPr>
                <w:rFonts w:hint="eastAsia" w:ascii="Microsoft YaHei UI" w:hAnsi="Microsoft YaHei UI" w:eastAsia="Microsoft YaHei UI"/>
                <w:sz w:val="20"/>
              </w:rPr>
              <w:t>序号</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18" w:lineRule="exact"/>
              <w:ind w:left="290"/>
              <w:jc w:val="left"/>
              <w:rPr>
                <w:rFonts w:ascii="Microsoft YaHei UI" w:hAnsi="Microsoft YaHei UI" w:eastAsia="Microsoft YaHei UI"/>
                <w:sz w:val="20"/>
              </w:rPr>
            </w:pPr>
            <w:r>
              <w:rPr>
                <w:rFonts w:hint="eastAsia" w:ascii="Microsoft YaHei UI" w:hAnsi="Microsoft YaHei UI" w:eastAsia="Microsoft YaHei UI"/>
                <w:sz w:val="20"/>
              </w:rPr>
              <w:t>招标文件章节及条款号</w:t>
            </w: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18" w:lineRule="exact"/>
              <w:ind w:left="434"/>
              <w:jc w:val="left"/>
              <w:rPr>
                <w:rFonts w:ascii="Microsoft YaHei UI" w:hAnsi="Microsoft YaHei UI" w:eastAsia="Microsoft YaHei UI"/>
                <w:sz w:val="20"/>
              </w:rPr>
            </w:pPr>
            <w:r>
              <w:rPr>
                <w:rFonts w:hint="eastAsia" w:ascii="Microsoft YaHei UI" w:hAnsi="Microsoft YaHei UI" w:eastAsia="Microsoft YaHei UI"/>
                <w:sz w:val="20"/>
              </w:rPr>
              <w:t>投标文件章节及条款号</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18" w:lineRule="exact"/>
              <w:ind w:left="391"/>
              <w:jc w:val="left"/>
              <w:rPr>
                <w:rFonts w:ascii="Microsoft YaHei UI" w:hAnsi="Microsoft YaHei UI" w:eastAsia="Microsoft YaHei UI"/>
                <w:sz w:val="20"/>
              </w:rPr>
            </w:pPr>
            <w:r>
              <w:rPr>
                <w:rFonts w:hint="eastAsia" w:ascii="Microsoft YaHei UI" w:hAnsi="Microsoft YaHei UI" w:eastAsia="Microsoft YaHei UI"/>
                <w:sz w:val="20"/>
              </w:rPr>
              <w:t>偏差说明</w:t>
            </w:r>
          </w:p>
        </w:tc>
      </w:tr>
      <w:tr>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407"/>
              <w:jc w:val="left"/>
              <w:rPr>
                <w:rFonts w:ascii="Times New Roman" w:hAnsi="Times New Roman" w:eastAsia="Times New Roman"/>
                <w:sz w:val="20"/>
              </w:rPr>
            </w:pPr>
            <w:r>
              <w:rPr>
                <w:rFonts w:hint="eastAsia" w:ascii="Times New Roman" w:hAnsi="Times New Roman" w:eastAsia="Times New Roman"/>
                <w:sz w:val="20"/>
              </w:rPr>
              <w:t>1</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407"/>
              <w:jc w:val="left"/>
              <w:rPr>
                <w:rFonts w:ascii="Times New Roman" w:hAnsi="Times New Roman" w:eastAsia="Times New Roman"/>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407"/>
              <w:jc w:val="left"/>
              <w:rPr>
                <w:rFonts w:ascii="Times New Roman" w:hAnsi="Times New Roman" w:eastAsia="Times New Roman"/>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407"/>
              <w:jc w:val="left"/>
              <w:rPr>
                <w:rFonts w:ascii="Times New Roman" w:hAnsi="Times New Roman" w:eastAsia="Times New Roman"/>
                <w:sz w:val="20"/>
              </w:rPr>
            </w:pPr>
          </w:p>
        </w:tc>
      </w:tr>
      <w:tr>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1" w:lineRule="exact"/>
              <w:ind w:left="407"/>
              <w:jc w:val="left"/>
              <w:rPr>
                <w:rFonts w:ascii="Times New Roman" w:hAnsi="Times New Roman" w:eastAsia="Times New Roman"/>
                <w:sz w:val="20"/>
              </w:rPr>
            </w:pPr>
            <w:r>
              <w:rPr>
                <w:rFonts w:hint="eastAsia" w:ascii="Times New Roman" w:hAnsi="Times New Roman" w:eastAsia="Times New Roman"/>
                <w:sz w:val="20"/>
              </w:rPr>
              <w:t>2</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1" w:lineRule="exact"/>
              <w:ind w:left="407"/>
              <w:jc w:val="left"/>
              <w:rPr>
                <w:rFonts w:ascii="Times New Roman" w:hAnsi="Times New Roman" w:eastAsia="Times New Roman"/>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1" w:lineRule="exact"/>
              <w:ind w:left="407"/>
              <w:jc w:val="left"/>
              <w:rPr>
                <w:rFonts w:ascii="Times New Roman" w:hAnsi="Times New Roman" w:eastAsia="Times New Roman"/>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1" w:lineRule="exact"/>
              <w:ind w:left="407"/>
              <w:jc w:val="left"/>
              <w:rPr>
                <w:rFonts w:ascii="Times New Roman" w:hAnsi="Times New Roman" w:eastAsia="Times New Roman"/>
                <w:sz w:val="20"/>
              </w:rPr>
            </w:pPr>
          </w:p>
        </w:tc>
      </w:tr>
      <w:tr>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1" w:lineRule="exact"/>
              <w:ind w:left="407"/>
              <w:jc w:val="left"/>
              <w:rPr>
                <w:rFonts w:ascii="Times New Roman" w:hAnsi="Times New Roman" w:eastAsia="Times New Roman"/>
                <w:sz w:val="20"/>
              </w:rPr>
            </w:pPr>
            <w:r>
              <w:rPr>
                <w:rFonts w:hint="eastAsia" w:ascii="Times New Roman" w:hAnsi="Times New Roman" w:eastAsia="Times New Roman"/>
                <w:sz w:val="20"/>
              </w:rPr>
              <w:t>3</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1" w:lineRule="exact"/>
              <w:ind w:left="407"/>
              <w:jc w:val="left"/>
              <w:rPr>
                <w:rFonts w:ascii="Times New Roman" w:hAnsi="Times New Roman" w:eastAsia="Times New Roman"/>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1" w:lineRule="exact"/>
              <w:ind w:left="407"/>
              <w:jc w:val="left"/>
              <w:rPr>
                <w:rFonts w:ascii="Times New Roman" w:hAnsi="Times New Roman" w:eastAsia="Times New Roman"/>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1" w:lineRule="exact"/>
              <w:ind w:left="407"/>
              <w:jc w:val="left"/>
              <w:rPr>
                <w:rFonts w:ascii="Times New Roman" w:hAnsi="Times New Roman" w:eastAsia="Times New Roman"/>
                <w:sz w:val="20"/>
              </w:rPr>
            </w:pPr>
          </w:p>
        </w:tc>
      </w:tr>
      <w:tr>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2" w:lineRule="exact"/>
              <w:ind w:left="407"/>
              <w:jc w:val="left"/>
              <w:rPr>
                <w:rFonts w:ascii="Times New Roman" w:hAnsi="Times New Roman" w:eastAsia="Times New Roman"/>
                <w:sz w:val="20"/>
              </w:rPr>
            </w:pPr>
            <w:r>
              <w:rPr>
                <w:rFonts w:hint="eastAsia" w:ascii="Times New Roman" w:hAnsi="Times New Roman" w:eastAsia="Times New Roman"/>
                <w:sz w:val="20"/>
              </w:rPr>
              <w:t>4</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2" w:lineRule="exact"/>
              <w:ind w:left="407"/>
              <w:jc w:val="left"/>
              <w:rPr>
                <w:rFonts w:ascii="Times New Roman" w:hAnsi="Times New Roman" w:eastAsia="Times New Roman"/>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2" w:lineRule="exact"/>
              <w:ind w:left="407"/>
              <w:jc w:val="left"/>
              <w:rPr>
                <w:rFonts w:ascii="Times New Roman" w:hAnsi="Times New Roman" w:eastAsia="Times New Roman"/>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2" w:lineRule="exact"/>
              <w:ind w:left="407"/>
              <w:jc w:val="left"/>
              <w:rPr>
                <w:rFonts w:ascii="Times New Roman" w:hAnsi="Times New Roman" w:eastAsia="Times New Roman"/>
                <w:sz w:val="20"/>
              </w:rPr>
            </w:pPr>
          </w:p>
        </w:tc>
      </w:tr>
      <w:tr>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407"/>
              <w:jc w:val="left"/>
              <w:rPr>
                <w:rFonts w:ascii="Times New Roman" w:hAnsi="Times New Roman" w:eastAsia="Times New Roman"/>
                <w:sz w:val="20"/>
              </w:rPr>
            </w:pPr>
            <w:r>
              <w:rPr>
                <w:rFonts w:hint="eastAsia" w:ascii="Times New Roman" w:hAnsi="Times New Roman" w:eastAsia="Times New Roman"/>
                <w:sz w:val="20"/>
              </w:rPr>
              <w:t>5</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407"/>
              <w:jc w:val="left"/>
              <w:rPr>
                <w:rFonts w:ascii="Times New Roman" w:hAnsi="Times New Roman" w:eastAsia="Times New Roman"/>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407"/>
              <w:jc w:val="left"/>
              <w:rPr>
                <w:rFonts w:ascii="Times New Roman" w:hAnsi="Times New Roman" w:eastAsia="Times New Roman"/>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407"/>
              <w:jc w:val="left"/>
              <w:rPr>
                <w:rFonts w:ascii="Times New Roman" w:hAnsi="Times New Roman" w:eastAsia="Times New Roman"/>
                <w:sz w:val="20"/>
              </w:rPr>
            </w:pPr>
          </w:p>
        </w:tc>
      </w:tr>
      <w:tr>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251"/>
              <w:jc w:val="left"/>
              <w:rPr>
                <w:rFonts w:ascii="Times New Roman" w:hAnsi="Times New Roman" w:eastAsia="Times New Roman"/>
                <w:sz w:val="20"/>
              </w:rPr>
            </w:pPr>
            <w:r>
              <w:rPr>
                <w:rFonts w:hint="eastAsia" w:ascii="Times New Roman" w:hAnsi="Times New Roman" w:eastAsia="Times New Roman"/>
                <w:sz w:val="20"/>
              </w:rPr>
              <w:t>……</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251"/>
              <w:jc w:val="left"/>
              <w:rPr>
                <w:rFonts w:ascii="Times New Roman" w:hAnsi="Times New Roman" w:eastAsia="Times New Roman"/>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251"/>
              <w:jc w:val="left"/>
              <w:rPr>
                <w:rFonts w:ascii="Times New Roman" w:hAnsi="Times New Roman" w:eastAsia="Times New Roman"/>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4" w:lineRule="exact"/>
              <w:ind w:left="251"/>
              <w:jc w:val="left"/>
              <w:rPr>
                <w:rFonts w:ascii="Times New Roman" w:hAnsi="Times New Roman" w:eastAsia="Times New Roman"/>
                <w:sz w:val="20"/>
              </w:rPr>
            </w:pPr>
          </w:p>
        </w:tc>
      </w:tr>
    </w:tbl>
    <w:p>
      <w:pPr>
        <w:spacing w:line="360" w:lineRule="auto"/>
        <w:rPr>
          <w:rFonts w:ascii="宋体" w:hAnsi="宋体" w:eastAsia="宋体" w:cs="Times New Roman"/>
          <w:b/>
          <w:bCs/>
          <w:sz w:val="24"/>
        </w:rPr>
      </w:pPr>
      <w:r>
        <w:rPr>
          <w:rFonts w:hint="eastAsia" w:ascii="宋体" w:hAnsi="宋体" w:eastAsia="宋体" w:cs="Times New Roman"/>
          <w:b/>
          <w:bCs/>
          <w:sz w:val="24"/>
        </w:rPr>
        <w:t>注：本表需写清招标文件章节及条款号和投标文件章节及条款号，如本表空白则视为商务技术条款响应招标文件要求无偏差。</w:t>
      </w: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pStyle w:val="7"/>
        <w:jc w:val="center"/>
        <w:rPr>
          <w:rFonts w:asciiTheme="majorEastAsia" w:hAnsiTheme="majorEastAsia" w:eastAsiaTheme="majorEastAsia" w:cstheme="majorEastAsia"/>
        </w:rPr>
      </w:pPr>
      <w:bookmarkStart w:id="72" w:name="_Toc5602"/>
      <w:bookmarkStart w:id="73" w:name="_Toc6832"/>
      <w:r>
        <w:rPr>
          <w:rFonts w:hint="eastAsia" w:asciiTheme="majorEastAsia" w:hAnsiTheme="majorEastAsia" w:eastAsiaTheme="majorEastAsia" w:cstheme="majorEastAsia"/>
        </w:rPr>
        <w:t>六、资格审查资料</w:t>
      </w:r>
      <w:bookmarkEnd w:id="72"/>
      <w:bookmarkEnd w:id="73"/>
    </w:p>
    <w:p>
      <w:pPr>
        <w:pStyle w:val="45"/>
        <w:jc w:val="center"/>
        <w:outlineLvl w:val="1"/>
        <w:rPr>
          <w:rFonts w:ascii="宋体" w:hAnsi="宋体" w:eastAsia="宋体" w:cs="宋体"/>
          <w:b/>
          <w:bCs/>
          <w:sz w:val="36"/>
        </w:rPr>
      </w:pPr>
      <w:bookmarkStart w:id="74" w:name="_Toc2245"/>
      <w:r>
        <w:rPr>
          <w:rFonts w:hint="eastAsia" w:ascii="宋体" w:hAnsi="宋体"/>
          <w:b/>
          <w:bCs/>
          <w:kern w:val="2"/>
          <w:sz w:val="32"/>
          <w:szCs w:val="32"/>
        </w:rPr>
        <w:t>（一）基本情况表</w:t>
      </w:r>
      <w:bookmarkEnd w:id="74"/>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6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投标人名称</w:t>
            </w:r>
          </w:p>
        </w:tc>
        <w:tc>
          <w:tcPr>
            <w:tcW w:w="7577" w:type="dxa"/>
            <w:gridSpan w:val="8"/>
            <w:vAlign w:val="center"/>
          </w:tcPr>
          <w:p>
            <w:pPr>
              <w:autoSpaceDE w:val="0"/>
              <w:autoSpaceDN w:val="0"/>
              <w:adjustRightInd w:val="0"/>
              <w:spacing w:line="400" w:lineRule="exact"/>
              <w:jc w:val="center"/>
              <w:rPr>
                <w:rFonts w:hAnsi="宋体" w:cs="宋体"/>
                <w:szCs w:val="21"/>
              </w:rPr>
            </w:pPr>
          </w:p>
        </w:tc>
      </w:tr>
      <w:tr>
        <w:trPr>
          <w:cantSplit/>
          <w:trHeight w:val="46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注册地址</w:t>
            </w:r>
          </w:p>
        </w:tc>
        <w:tc>
          <w:tcPr>
            <w:tcW w:w="3722" w:type="dxa"/>
            <w:gridSpan w:val="4"/>
            <w:vAlign w:val="center"/>
          </w:tcPr>
          <w:p>
            <w:pPr>
              <w:autoSpaceDE w:val="0"/>
              <w:autoSpaceDN w:val="0"/>
              <w:adjustRightInd w:val="0"/>
              <w:spacing w:line="400" w:lineRule="exact"/>
              <w:jc w:val="center"/>
              <w:rPr>
                <w:rFonts w:hAnsi="宋体" w:cs="宋体"/>
                <w:szCs w:val="21"/>
              </w:rPr>
            </w:pPr>
          </w:p>
        </w:tc>
        <w:tc>
          <w:tcPr>
            <w:tcW w:w="1425"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邮政编码</w:t>
            </w:r>
          </w:p>
        </w:tc>
        <w:tc>
          <w:tcPr>
            <w:tcW w:w="2430" w:type="dxa"/>
            <w:gridSpan w:val="3"/>
            <w:vAlign w:val="center"/>
          </w:tcPr>
          <w:p>
            <w:pPr>
              <w:autoSpaceDE w:val="0"/>
              <w:autoSpaceDN w:val="0"/>
              <w:adjustRightInd w:val="0"/>
              <w:spacing w:line="400" w:lineRule="exact"/>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vMerge w:val="restart"/>
            <w:vAlign w:val="center"/>
          </w:tcPr>
          <w:p>
            <w:pPr>
              <w:autoSpaceDE w:val="0"/>
              <w:autoSpaceDN w:val="0"/>
              <w:adjustRightInd w:val="0"/>
              <w:spacing w:line="400" w:lineRule="exact"/>
              <w:jc w:val="center"/>
              <w:rPr>
                <w:rFonts w:hAnsi="宋体" w:cs="宋体"/>
                <w:szCs w:val="21"/>
              </w:rPr>
            </w:pPr>
            <w:r>
              <w:rPr>
                <w:rFonts w:hint="eastAsia" w:hAnsi="宋体" w:cs="宋体"/>
                <w:szCs w:val="21"/>
              </w:rPr>
              <w:t>联系方式</w:t>
            </w:r>
          </w:p>
        </w:tc>
        <w:tc>
          <w:tcPr>
            <w:tcW w:w="1040"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联系人</w:t>
            </w:r>
          </w:p>
        </w:tc>
        <w:tc>
          <w:tcPr>
            <w:tcW w:w="2674" w:type="dxa"/>
            <w:gridSpan w:val="2"/>
            <w:vAlign w:val="center"/>
          </w:tcPr>
          <w:p>
            <w:pPr>
              <w:autoSpaceDE w:val="0"/>
              <w:autoSpaceDN w:val="0"/>
              <w:adjustRightInd w:val="0"/>
              <w:spacing w:line="400" w:lineRule="exact"/>
              <w:jc w:val="center"/>
              <w:rPr>
                <w:rFonts w:hAnsi="宋体" w:cs="宋体"/>
                <w:szCs w:val="21"/>
              </w:rPr>
            </w:pPr>
          </w:p>
        </w:tc>
        <w:tc>
          <w:tcPr>
            <w:tcW w:w="1433" w:type="dxa"/>
            <w:gridSpan w:val="2"/>
            <w:vAlign w:val="center"/>
          </w:tcPr>
          <w:p>
            <w:pPr>
              <w:autoSpaceDE w:val="0"/>
              <w:autoSpaceDN w:val="0"/>
              <w:adjustRightInd w:val="0"/>
              <w:spacing w:line="400" w:lineRule="exact"/>
              <w:jc w:val="center"/>
              <w:rPr>
                <w:rFonts w:hAnsi="宋体" w:cs="宋体"/>
                <w:szCs w:val="21"/>
              </w:rPr>
            </w:pPr>
            <w:r>
              <w:rPr>
                <w:rFonts w:hint="eastAsia" w:hAnsi="宋体" w:cs="宋体"/>
                <w:szCs w:val="21"/>
              </w:rPr>
              <w:t>电话</w:t>
            </w:r>
          </w:p>
        </w:tc>
        <w:tc>
          <w:tcPr>
            <w:tcW w:w="2430" w:type="dxa"/>
            <w:gridSpan w:val="3"/>
            <w:vAlign w:val="center"/>
          </w:tcPr>
          <w:p>
            <w:pPr>
              <w:autoSpaceDE w:val="0"/>
              <w:autoSpaceDN w:val="0"/>
              <w:adjustRightInd w:val="0"/>
              <w:spacing w:line="400" w:lineRule="exact"/>
              <w:jc w:val="center"/>
              <w:rPr>
                <w:rFonts w:hAnsi="宋体" w:cs="宋体"/>
                <w:szCs w:val="21"/>
              </w:rPr>
            </w:pPr>
          </w:p>
        </w:tc>
      </w:tr>
      <w:tr>
        <w:trPr>
          <w:cantSplit/>
          <w:trHeight w:val="148" w:hRule="atLeast"/>
          <w:jc w:val="center"/>
        </w:trPr>
        <w:tc>
          <w:tcPr>
            <w:tcW w:w="1639" w:type="dxa"/>
            <w:vMerge w:val="continue"/>
            <w:vAlign w:val="center"/>
          </w:tcPr>
          <w:p>
            <w:pPr>
              <w:autoSpaceDE w:val="0"/>
              <w:autoSpaceDN w:val="0"/>
              <w:adjustRightInd w:val="0"/>
              <w:spacing w:line="400" w:lineRule="exact"/>
              <w:jc w:val="center"/>
              <w:rPr>
                <w:rFonts w:hAnsi="宋体" w:cs="宋体"/>
                <w:szCs w:val="21"/>
              </w:rPr>
            </w:pPr>
          </w:p>
        </w:tc>
        <w:tc>
          <w:tcPr>
            <w:tcW w:w="1040"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传真</w:t>
            </w:r>
          </w:p>
        </w:tc>
        <w:tc>
          <w:tcPr>
            <w:tcW w:w="2674" w:type="dxa"/>
            <w:gridSpan w:val="2"/>
            <w:vAlign w:val="center"/>
          </w:tcPr>
          <w:p>
            <w:pPr>
              <w:autoSpaceDE w:val="0"/>
              <w:autoSpaceDN w:val="0"/>
              <w:adjustRightInd w:val="0"/>
              <w:spacing w:line="400" w:lineRule="exact"/>
              <w:jc w:val="center"/>
              <w:rPr>
                <w:rFonts w:hAnsi="宋体" w:cs="宋体"/>
                <w:szCs w:val="21"/>
              </w:rPr>
            </w:pPr>
          </w:p>
        </w:tc>
        <w:tc>
          <w:tcPr>
            <w:tcW w:w="1433" w:type="dxa"/>
            <w:gridSpan w:val="2"/>
            <w:vAlign w:val="center"/>
          </w:tcPr>
          <w:p>
            <w:pPr>
              <w:autoSpaceDE w:val="0"/>
              <w:autoSpaceDN w:val="0"/>
              <w:adjustRightInd w:val="0"/>
              <w:spacing w:line="400" w:lineRule="exact"/>
              <w:jc w:val="center"/>
              <w:rPr>
                <w:rFonts w:hAnsi="宋体" w:cs="宋体"/>
                <w:szCs w:val="21"/>
              </w:rPr>
            </w:pPr>
            <w:r>
              <w:rPr>
                <w:rFonts w:hint="eastAsia" w:hAnsi="宋体" w:cs="宋体"/>
                <w:szCs w:val="21"/>
              </w:rPr>
              <w:t>网址</w:t>
            </w:r>
          </w:p>
        </w:tc>
        <w:tc>
          <w:tcPr>
            <w:tcW w:w="2430" w:type="dxa"/>
            <w:gridSpan w:val="3"/>
            <w:vAlign w:val="center"/>
          </w:tcPr>
          <w:p>
            <w:pPr>
              <w:autoSpaceDE w:val="0"/>
              <w:autoSpaceDN w:val="0"/>
              <w:adjustRightInd w:val="0"/>
              <w:spacing w:line="400" w:lineRule="exact"/>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组织结构</w:t>
            </w:r>
          </w:p>
        </w:tc>
        <w:tc>
          <w:tcPr>
            <w:tcW w:w="7577" w:type="dxa"/>
            <w:gridSpan w:val="8"/>
            <w:vAlign w:val="center"/>
          </w:tcPr>
          <w:p>
            <w:pPr>
              <w:autoSpaceDE w:val="0"/>
              <w:autoSpaceDN w:val="0"/>
              <w:adjustRightInd w:val="0"/>
              <w:spacing w:line="400" w:lineRule="exact"/>
              <w:jc w:val="center"/>
              <w:rPr>
                <w:rFonts w:hAnsi="宋体" w:cs="宋体"/>
                <w:szCs w:val="21"/>
              </w:rPr>
            </w:pPr>
          </w:p>
        </w:tc>
      </w:tr>
      <w:tr>
        <w:trPr>
          <w:trHeight w:val="46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法定代表人</w:t>
            </w:r>
          </w:p>
        </w:tc>
        <w:tc>
          <w:tcPr>
            <w:tcW w:w="1040"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姓名</w:t>
            </w:r>
          </w:p>
        </w:tc>
        <w:tc>
          <w:tcPr>
            <w:tcW w:w="1327" w:type="dxa"/>
            <w:vAlign w:val="center"/>
          </w:tcPr>
          <w:p>
            <w:pPr>
              <w:autoSpaceDE w:val="0"/>
              <w:autoSpaceDN w:val="0"/>
              <w:adjustRightInd w:val="0"/>
              <w:spacing w:line="400" w:lineRule="exact"/>
              <w:jc w:val="center"/>
              <w:rPr>
                <w:rFonts w:hAnsi="宋体" w:cs="宋体"/>
                <w:szCs w:val="21"/>
              </w:rPr>
            </w:pPr>
          </w:p>
        </w:tc>
        <w:tc>
          <w:tcPr>
            <w:tcW w:w="1347"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技术职称</w:t>
            </w:r>
          </w:p>
        </w:tc>
        <w:tc>
          <w:tcPr>
            <w:tcW w:w="1433" w:type="dxa"/>
            <w:gridSpan w:val="2"/>
            <w:vAlign w:val="center"/>
          </w:tcPr>
          <w:p>
            <w:pPr>
              <w:autoSpaceDE w:val="0"/>
              <w:autoSpaceDN w:val="0"/>
              <w:adjustRightInd w:val="0"/>
              <w:spacing w:line="400" w:lineRule="exact"/>
              <w:jc w:val="center"/>
              <w:rPr>
                <w:rFonts w:hAnsi="宋体" w:cs="宋体"/>
                <w:szCs w:val="21"/>
              </w:rPr>
            </w:pPr>
          </w:p>
        </w:tc>
        <w:tc>
          <w:tcPr>
            <w:tcW w:w="1261" w:type="dxa"/>
            <w:gridSpan w:val="2"/>
            <w:vAlign w:val="center"/>
          </w:tcPr>
          <w:p>
            <w:pPr>
              <w:autoSpaceDE w:val="0"/>
              <w:autoSpaceDN w:val="0"/>
              <w:adjustRightInd w:val="0"/>
              <w:spacing w:line="400" w:lineRule="exact"/>
              <w:jc w:val="center"/>
              <w:rPr>
                <w:rFonts w:hAnsi="宋体" w:cs="宋体"/>
                <w:szCs w:val="21"/>
              </w:rPr>
            </w:pPr>
            <w:r>
              <w:rPr>
                <w:rFonts w:hint="eastAsia" w:hAnsi="宋体" w:cs="宋体"/>
                <w:szCs w:val="21"/>
              </w:rPr>
              <w:t>电话</w:t>
            </w:r>
          </w:p>
        </w:tc>
        <w:tc>
          <w:tcPr>
            <w:tcW w:w="1169" w:type="dxa"/>
            <w:vAlign w:val="center"/>
          </w:tcPr>
          <w:p>
            <w:pPr>
              <w:autoSpaceDE w:val="0"/>
              <w:autoSpaceDN w:val="0"/>
              <w:adjustRightInd w:val="0"/>
              <w:spacing w:line="400" w:lineRule="exact"/>
              <w:jc w:val="center"/>
              <w:rPr>
                <w:rFonts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4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技术负责人</w:t>
            </w:r>
          </w:p>
        </w:tc>
        <w:tc>
          <w:tcPr>
            <w:tcW w:w="1040"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姓名</w:t>
            </w:r>
          </w:p>
        </w:tc>
        <w:tc>
          <w:tcPr>
            <w:tcW w:w="1327" w:type="dxa"/>
            <w:vAlign w:val="center"/>
          </w:tcPr>
          <w:p>
            <w:pPr>
              <w:autoSpaceDE w:val="0"/>
              <w:autoSpaceDN w:val="0"/>
              <w:adjustRightInd w:val="0"/>
              <w:spacing w:line="400" w:lineRule="exact"/>
              <w:jc w:val="center"/>
              <w:rPr>
                <w:rFonts w:hAnsi="宋体" w:cs="宋体"/>
                <w:szCs w:val="21"/>
              </w:rPr>
            </w:pPr>
          </w:p>
        </w:tc>
        <w:tc>
          <w:tcPr>
            <w:tcW w:w="1347"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技术职称</w:t>
            </w:r>
          </w:p>
        </w:tc>
        <w:tc>
          <w:tcPr>
            <w:tcW w:w="1433" w:type="dxa"/>
            <w:gridSpan w:val="2"/>
            <w:vAlign w:val="center"/>
          </w:tcPr>
          <w:p>
            <w:pPr>
              <w:autoSpaceDE w:val="0"/>
              <w:autoSpaceDN w:val="0"/>
              <w:adjustRightInd w:val="0"/>
              <w:spacing w:line="400" w:lineRule="exact"/>
              <w:jc w:val="center"/>
              <w:rPr>
                <w:rFonts w:hAnsi="宋体" w:cs="宋体"/>
                <w:szCs w:val="21"/>
              </w:rPr>
            </w:pPr>
          </w:p>
        </w:tc>
        <w:tc>
          <w:tcPr>
            <w:tcW w:w="1261" w:type="dxa"/>
            <w:gridSpan w:val="2"/>
            <w:vAlign w:val="center"/>
          </w:tcPr>
          <w:p>
            <w:pPr>
              <w:autoSpaceDE w:val="0"/>
              <w:autoSpaceDN w:val="0"/>
              <w:adjustRightInd w:val="0"/>
              <w:spacing w:line="400" w:lineRule="exact"/>
              <w:jc w:val="center"/>
              <w:rPr>
                <w:rFonts w:hAnsi="宋体" w:cs="宋体"/>
                <w:szCs w:val="21"/>
              </w:rPr>
            </w:pPr>
            <w:r>
              <w:rPr>
                <w:rFonts w:hint="eastAsia" w:hAnsi="宋体" w:cs="宋体"/>
                <w:szCs w:val="21"/>
              </w:rPr>
              <w:t>电话</w:t>
            </w:r>
          </w:p>
        </w:tc>
        <w:tc>
          <w:tcPr>
            <w:tcW w:w="1169" w:type="dxa"/>
            <w:vAlign w:val="center"/>
          </w:tcPr>
          <w:p>
            <w:pPr>
              <w:autoSpaceDE w:val="0"/>
              <w:autoSpaceDN w:val="0"/>
              <w:adjustRightInd w:val="0"/>
              <w:spacing w:line="400" w:lineRule="exact"/>
              <w:jc w:val="center"/>
              <w:rPr>
                <w:rFonts w:hAnsi="宋体" w:cs="宋体"/>
                <w:b/>
                <w:bCs/>
                <w:szCs w:val="21"/>
              </w:rPr>
            </w:pPr>
          </w:p>
        </w:tc>
      </w:tr>
      <w:tr>
        <w:trPr>
          <w:cantSplit/>
          <w:trHeight w:val="44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成立时间</w:t>
            </w:r>
          </w:p>
        </w:tc>
        <w:tc>
          <w:tcPr>
            <w:tcW w:w="2367" w:type="dxa"/>
            <w:gridSpan w:val="2"/>
            <w:vAlign w:val="center"/>
          </w:tcPr>
          <w:p>
            <w:pPr>
              <w:autoSpaceDE w:val="0"/>
              <w:autoSpaceDN w:val="0"/>
              <w:adjustRightInd w:val="0"/>
              <w:spacing w:line="400" w:lineRule="exact"/>
              <w:jc w:val="center"/>
              <w:rPr>
                <w:rFonts w:hAnsi="宋体" w:cs="宋体"/>
                <w:szCs w:val="21"/>
              </w:rPr>
            </w:pPr>
          </w:p>
        </w:tc>
        <w:tc>
          <w:tcPr>
            <w:tcW w:w="5210" w:type="dxa"/>
            <w:gridSpan w:val="6"/>
            <w:vAlign w:val="center"/>
          </w:tcPr>
          <w:p>
            <w:pPr>
              <w:autoSpaceDE w:val="0"/>
              <w:autoSpaceDN w:val="0"/>
              <w:adjustRightInd w:val="0"/>
              <w:spacing w:line="400" w:lineRule="exact"/>
              <w:ind w:firstLine="1470" w:firstLineChars="700"/>
              <w:rPr>
                <w:rFonts w:hAnsi="宋体" w:cs="宋体"/>
                <w:szCs w:val="21"/>
              </w:rPr>
            </w:pPr>
            <w:r>
              <w:rPr>
                <w:rFonts w:hint="eastAsia" w:hAnsi="宋体" w:cs="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6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企业资质等级</w:t>
            </w:r>
          </w:p>
        </w:tc>
        <w:tc>
          <w:tcPr>
            <w:tcW w:w="2367" w:type="dxa"/>
            <w:gridSpan w:val="2"/>
            <w:vAlign w:val="center"/>
          </w:tcPr>
          <w:p>
            <w:pPr>
              <w:autoSpaceDE w:val="0"/>
              <w:autoSpaceDN w:val="0"/>
              <w:adjustRightInd w:val="0"/>
              <w:spacing w:line="400" w:lineRule="exact"/>
              <w:jc w:val="center"/>
              <w:rPr>
                <w:rFonts w:hAnsi="宋体" w:cs="宋体"/>
                <w:szCs w:val="21"/>
              </w:rPr>
            </w:pPr>
          </w:p>
        </w:tc>
        <w:tc>
          <w:tcPr>
            <w:tcW w:w="1347" w:type="dxa"/>
            <w:vMerge w:val="restart"/>
            <w:vAlign w:val="center"/>
          </w:tcPr>
          <w:p>
            <w:pPr>
              <w:autoSpaceDE w:val="0"/>
              <w:autoSpaceDN w:val="0"/>
              <w:adjustRightInd w:val="0"/>
              <w:spacing w:line="400" w:lineRule="exact"/>
              <w:jc w:val="center"/>
              <w:rPr>
                <w:rFonts w:hAnsi="宋体" w:cs="宋体"/>
                <w:szCs w:val="21"/>
              </w:rPr>
            </w:pPr>
            <w:r>
              <w:rPr>
                <w:rFonts w:hint="eastAsia" w:hAnsi="宋体" w:cs="宋体"/>
                <w:szCs w:val="21"/>
              </w:rPr>
              <w:t>其中</w:t>
            </w:r>
          </w:p>
        </w:tc>
        <w:tc>
          <w:tcPr>
            <w:tcW w:w="1605" w:type="dxa"/>
            <w:gridSpan w:val="3"/>
            <w:vAlign w:val="center"/>
          </w:tcPr>
          <w:p>
            <w:pPr>
              <w:autoSpaceDE w:val="0"/>
              <w:autoSpaceDN w:val="0"/>
              <w:adjustRightInd w:val="0"/>
              <w:spacing w:line="400" w:lineRule="exact"/>
              <w:jc w:val="center"/>
              <w:rPr>
                <w:rFonts w:hAnsi="宋体" w:cs="宋体"/>
                <w:szCs w:val="21"/>
              </w:rPr>
            </w:pPr>
            <w:r>
              <w:rPr>
                <w:rFonts w:hint="eastAsia" w:hAnsi="宋体" w:cs="宋体"/>
                <w:szCs w:val="21"/>
              </w:rPr>
              <w:t>项目经理</w:t>
            </w:r>
          </w:p>
        </w:tc>
        <w:tc>
          <w:tcPr>
            <w:tcW w:w="2258" w:type="dxa"/>
            <w:gridSpan w:val="2"/>
            <w:vAlign w:val="center"/>
          </w:tcPr>
          <w:p>
            <w:pPr>
              <w:autoSpaceDE w:val="0"/>
              <w:autoSpaceDN w:val="0"/>
              <w:adjustRightInd w:val="0"/>
              <w:spacing w:line="400" w:lineRule="exact"/>
              <w:jc w:val="center"/>
              <w:rPr>
                <w:rFonts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营业执照号</w:t>
            </w:r>
          </w:p>
        </w:tc>
        <w:tc>
          <w:tcPr>
            <w:tcW w:w="2367" w:type="dxa"/>
            <w:gridSpan w:val="2"/>
            <w:vAlign w:val="center"/>
          </w:tcPr>
          <w:p>
            <w:pPr>
              <w:autoSpaceDE w:val="0"/>
              <w:autoSpaceDN w:val="0"/>
              <w:adjustRightInd w:val="0"/>
              <w:spacing w:line="400" w:lineRule="exact"/>
              <w:jc w:val="center"/>
              <w:rPr>
                <w:rFonts w:hAnsi="宋体" w:cs="宋体"/>
                <w:szCs w:val="21"/>
              </w:rPr>
            </w:pPr>
          </w:p>
        </w:tc>
        <w:tc>
          <w:tcPr>
            <w:tcW w:w="1347" w:type="dxa"/>
            <w:vMerge w:val="continue"/>
            <w:vAlign w:val="center"/>
          </w:tcPr>
          <w:p>
            <w:pPr>
              <w:autoSpaceDE w:val="0"/>
              <w:autoSpaceDN w:val="0"/>
              <w:adjustRightInd w:val="0"/>
              <w:spacing w:line="400" w:lineRule="exact"/>
              <w:jc w:val="center"/>
              <w:rPr>
                <w:rFonts w:hAnsi="宋体" w:cs="宋体"/>
                <w:szCs w:val="21"/>
              </w:rPr>
            </w:pPr>
          </w:p>
        </w:tc>
        <w:tc>
          <w:tcPr>
            <w:tcW w:w="1605" w:type="dxa"/>
            <w:gridSpan w:val="3"/>
            <w:vAlign w:val="center"/>
          </w:tcPr>
          <w:p>
            <w:pPr>
              <w:autoSpaceDE w:val="0"/>
              <w:autoSpaceDN w:val="0"/>
              <w:adjustRightInd w:val="0"/>
              <w:spacing w:line="400" w:lineRule="exact"/>
              <w:jc w:val="center"/>
              <w:rPr>
                <w:rFonts w:hAnsi="宋体" w:cs="宋体"/>
                <w:szCs w:val="21"/>
              </w:rPr>
            </w:pPr>
            <w:r>
              <w:rPr>
                <w:rFonts w:hint="eastAsia" w:hAnsi="宋体" w:cs="宋体"/>
                <w:szCs w:val="21"/>
              </w:rPr>
              <w:t>高级职称人员</w:t>
            </w:r>
          </w:p>
        </w:tc>
        <w:tc>
          <w:tcPr>
            <w:tcW w:w="2258" w:type="dxa"/>
            <w:gridSpan w:val="2"/>
            <w:vAlign w:val="center"/>
          </w:tcPr>
          <w:p>
            <w:pPr>
              <w:autoSpaceDE w:val="0"/>
              <w:autoSpaceDN w:val="0"/>
              <w:adjustRightInd w:val="0"/>
              <w:spacing w:line="400" w:lineRule="exact"/>
              <w:jc w:val="center"/>
              <w:rPr>
                <w:rFonts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注册资金</w:t>
            </w:r>
          </w:p>
        </w:tc>
        <w:tc>
          <w:tcPr>
            <w:tcW w:w="2367" w:type="dxa"/>
            <w:gridSpan w:val="2"/>
            <w:vAlign w:val="center"/>
          </w:tcPr>
          <w:p>
            <w:pPr>
              <w:autoSpaceDE w:val="0"/>
              <w:autoSpaceDN w:val="0"/>
              <w:adjustRightInd w:val="0"/>
              <w:spacing w:line="400" w:lineRule="exact"/>
              <w:jc w:val="center"/>
              <w:rPr>
                <w:rFonts w:hAnsi="宋体" w:cs="宋体"/>
                <w:szCs w:val="21"/>
              </w:rPr>
            </w:pPr>
          </w:p>
        </w:tc>
        <w:tc>
          <w:tcPr>
            <w:tcW w:w="1347" w:type="dxa"/>
            <w:vMerge w:val="continue"/>
            <w:vAlign w:val="center"/>
          </w:tcPr>
          <w:p>
            <w:pPr>
              <w:autoSpaceDE w:val="0"/>
              <w:autoSpaceDN w:val="0"/>
              <w:adjustRightInd w:val="0"/>
              <w:spacing w:line="400" w:lineRule="exact"/>
              <w:jc w:val="center"/>
              <w:rPr>
                <w:rFonts w:hAnsi="宋体" w:cs="宋体"/>
                <w:szCs w:val="21"/>
              </w:rPr>
            </w:pPr>
          </w:p>
        </w:tc>
        <w:tc>
          <w:tcPr>
            <w:tcW w:w="1605" w:type="dxa"/>
            <w:gridSpan w:val="3"/>
            <w:vAlign w:val="center"/>
          </w:tcPr>
          <w:p>
            <w:pPr>
              <w:autoSpaceDE w:val="0"/>
              <w:autoSpaceDN w:val="0"/>
              <w:adjustRightInd w:val="0"/>
              <w:spacing w:line="400" w:lineRule="exact"/>
              <w:jc w:val="center"/>
              <w:rPr>
                <w:rFonts w:hAnsi="宋体" w:cs="宋体"/>
                <w:szCs w:val="21"/>
              </w:rPr>
            </w:pPr>
            <w:r>
              <w:rPr>
                <w:rFonts w:hint="eastAsia" w:hAnsi="宋体" w:cs="宋体"/>
                <w:szCs w:val="21"/>
              </w:rPr>
              <w:t>中级职称人员</w:t>
            </w:r>
          </w:p>
        </w:tc>
        <w:tc>
          <w:tcPr>
            <w:tcW w:w="2258" w:type="dxa"/>
            <w:gridSpan w:val="2"/>
            <w:vAlign w:val="center"/>
          </w:tcPr>
          <w:p>
            <w:pPr>
              <w:autoSpaceDE w:val="0"/>
              <w:autoSpaceDN w:val="0"/>
              <w:adjustRightInd w:val="0"/>
              <w:spacing w:line="400" w:lineRule="exact"/>
              <w:jc w:val="center"/>
              <w:rPr>
                <w:rFonts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6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开户银行</w:t>
            </w:r>
          </w:p>
        </w:tc>
        <w:tc>
          <w:tcPr>
            <w:tcW w:w="2367" w:type="dxa"/>
            <w:gridSpan w:val="2"/>
            <w:vAlign w:val="center"/>
          </w:tcPr>
          <w:p>
            <w:pPr>
              <w:autoSpaceDE w:val="0"/>
              <w:autoSpaceDN w:val="0"/>
              <w:adjustRightInd w:val="0"/>
              <w:spacing w:line="400" w:lineRule="exact"/>
              <w:jc w:val="center"/>
              <w:rPr>
                <w:rFonts w:hAnsi="宋体" w:cs="宋体"/>
                <w:szCs w:val="21"/>
              </w:rPr>
            </w:pPr>
          </w:p>
        </w:tc>
        <w:tc>
          <w:tcPr>
            <w:tcW w:w="1347" w:type="dxa"/>
            <w:vMerge w:val="continue"/>
            <w:vAlign w:val="center"/>
          </w:tcPr>
          <w:p>
            <w:pPr>
              <w:autoSpaceDE w:val="0"/>
              <w:autoSpaceDN w:val="0"/>
              <w:adjustRightInd w:val="0"/>
              <w:spacing w:line="400" w:lineRule="exact"/>
              <w:jc w:val="center"/>
              <w:rPr>
                <w:rFonts w:hAnsi="宋体" w:cs="宋体"/>
                <w:szCs w:val="21"/>
              </w:rPr>
            </w:pPr>
          </w:p>
        </w:tc>
        <w:tc>
          <w:tcPr>
            <w:tcW w:w="1605" w:type="dxa"/>
            <w:gridSpan w:val="3"/>
            <w:vAlign w:val="center"/>
          </w:tcPr>
          <w:p>
            <w:pPr>
              <w:autoSpaceDE w:val="0"/>
              <w:autoSpaceDN w:val="0"/>
              <w:adjustRightInd w:val="0"/>
              <w:spacing w:line="400" w:lineRule="exact"/>
              <w:jc w:val="center"/>
              <w:rPr>
                <w:rFonts w:hAnsi="宋体" w:cs="宋体"/>
                <w:szCs w:val="21"/>
              </w:rPr>
            </w:pPr>
            <w:r>
              <w:rPr>
                <w:rFonts w:hint="eastAsia" w:hAnsi="宋体" w:cs="宋体"/>
                <w:szCs w:val="21"/>
              </w:rPr>
              <w:t>初级职称人员</w:t>
            </w:r>
          </w:p>
        </w:tc>
        <w:tc>
          <w:tcPr>
            <w:tcW w:w="2258" w:type="dxa"/>
            <w:gridSpan w:val="2"/>
            <w:vAlign w:val="center"/>
          </w:tcPr>
          <w:p>
            <w:pPr>
              <w:autoSpaceDE w:val="0"/>
              <w:autoSpaceDN w:val="0"/>
              <w:adjustRightInd w:val="0"/>
              <w:spacing w:line="400" w:lineRule="exact"/>
              <w:jc w:val="center"/>
              <w:rPr>
                <w:rFonts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账号</w:t>
            </w:r>
          </w:p>
        </w:tc>
        <w:tc>
          <w:tcPr>
            <w:tcW w:w="2367" w:type="dxa"/>
            <w:gridSpan w:val="2"/>
            <w:vAlign w:val="center"/>
          </w:tcPr>
          <w:p>
            <w:pPr>
              <w:autoSpaceDE w:val="0"/>
              <w:autoSpaceDN w:val="0"/>
              <w:adjustRightInd w:val="0"/>
              <w:spacing w:line="400" w:lineRule="exact"/>
              <w:jc w:val="center"/>
              <w:rPr>
                <w:rFonts w:hAnsi="宋体" w:cs="宋体"/>
                <w:szCs w:val="21"/>
              </w:rPr>
            </w:pPr>
          </w:p>
        </w:tc>
        <w:tc>
          <w:tcPr>
            <w:tcW w:w="1347" w:type="dxa"/>
            <w:vMerge w:val="continue"/>
            <w:vAlign w:val="center"/>
          </w:tcPr>
          <w:p>
            <w:pPr>
              <w:autoSpaceDE w:val="0"/>
              <w:autoSpaceDN w:val="0"/>
              <w:adjustRightInd w:val="0"/>
              <w:spacing w:line="400" w:lineRule="exact"/>
              <w:jc w:val="center"/>
              <w:rPr>
                <w:rFonts w:hAnsi="宋体" w:cs="宋体"/>
                <w:szCs w:val="21"/>
              </w:rPr>
            </w:pPr>
          </w:p>
        </w:tc>
        <w:tc>
          <w:tcPr>
            <w:tcW w:w="1605" w:type="dxa"/>
            <w:gridSpan w:val="3"/>
            <w:vAlign w:val="center"/>
          </w:tcPr>
          <w:p>
            <w:pPr>
              <w:autoSpaceDE w:val="0"/>
              <w:autoSpaceDN w:val="0"/>
              <w:adjustRightInd w:val="0"/>
              <w:spacing w:line="400" w:lineRule="exact"/>
              <w:jc w:val="center"/>
              <w:rPr>
                <w:rFonts w:hAnsi="宋体" w:cs="宋体"/>
                <w:szCs w:val="21"/>
              </w:rPr>
            </w:pPr>
            <w:r>
              <w:rPr>
                <w:rFonts w:hint="eastAsia" w:hAnsi="宋体" w:cs="宋体"/>
                <w:szCs w:val="21"/>
              </w:rPr>
              <w:t>技工</w:t>
            </w:r>
          </w:p>
        </w:tc>
        <w:tc>
          <w:tcPr>
            <w:tcW w:w="2258" w:type="dxa"/>
            <w:gridSpan w:val="2"/>
            <w:vAlign w:val="center"/>
          </w:tcPr>
          <w:p>
            <w:pPr>
              <w:autoSpaceDE w:val="0"/>
              <w:autoSpaceDN w:val="0"/>
              <w:adjustRightInd w:val="0"/>
              <w:spacing w:line="400" w:lineRule="exact"/>
              <w:jc w:val="center"/>
              <w:rPr>
                <w:rFonts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244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经营范围</w:t>
            </w:r>
          </w:p>
        </w:tc>
        <w:tc>
          <w:tcPr>
            <w:tcW w:w="7577" w:type="dxa"/>
            <w:gridSpan w:val="8"/>
            <w:vAlign w:val="center"/>
          </w:tcPr>
          <w:p>
            <w:pPr>
              <w:autoSpaceDE w:val="0"/>
              <w:autoSpaceDN w:val="0"/>
              <w:adjustRightInd w:val="0"/>
              <w:spacing w:line="400" w:lineRule="exact"/>
              <w:rPr>
                <w:rFonts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1072" w:hRule="atLeast"/>
          <w:jc w:val="center"/>
        </w:trPr>
        <w:tc>
          <w:tcPr>
            <w:tcW w:w="1639" w:type="dxa"/>
            <w:vAlign w:val="center"/>
          </w:tcPr>
          <w:p>
            <w:pPr>
              <w:autoSpaceDE w:val="0"/>
              <w:autoSpaceDN w:val="0"/>
              <w:adjustRightInd w:val="0"/>
              <w:spacing w:line="400" w:lineRule="exact"/>
              <w:jc w:val="center"/>
              <w:rPr>
                <w:rFonts w:hAnsi="宋体" w:cs="宋体"/>
                <w:szCs w:val="21"/>
              </w:rPr>
            </w:pPr>
            <w:r>
              <w:rPr>
                <w:rFonts w:hint="eastAsia" w:hAnsi="宋体" w:cs="宋体"/>
                <w:szCs w:val="21"/>
              </w:rPr>
              <w:t>备  注</w:t>
            </w:r>
          </w:p>
        </w:tc>
        <w:tc>
          <w:tcPr>
            <w:tcW w:w="7577" w:type="dxa"/>
            <w:gridSpan w:val="8"/>
          </w:tcPr>
          <w:p>
            <w:pPr>
              <w:autoSpaceDE w:val="0"/>
              <w:autoSpaceDN w:val="0"/>
              <w:adjustRightInd w:val="0"/>
              <w:spacing w:line="400" w:lineRule="exact"/>
              <w:jc w:val="left"/>
              <w:rPr>
                <w:rFonts w:hAnsi="宋体" w:cs="宋体"/>
                <w:szCs w:val="21"/>
              </w:rPr>
            </w:pPr>
          </w:p>
        </w:tc>
      </w:tr>
    </w:tbl>
    <w:p>
      <w:pPr>
        <w:spacing w:line="360" w:lineRule="auto"/>
        <w:rPr>
          <w:rFonts w:ascii="宋体" w:hAnsi="宋体"/>
          <w:sz w:val="22"/>
          <w:szCs w:val="22"/>
        </w:rPr>
      </w:pPr>
      <w:r>
        <w:rPr>
          <w:rFonts w:hint="eastAsia" w:ascii="宋体" w:hAnsi="宋体"/>
          <w:sz w:val="22"/>
          <w:szCs w:val="22"/>
        </w:rPr>
        <w:t>注：1. 投标人应在本表后附有效的营业执照</w:t>
      </w:r>
    </w:p>
    <w:p>
      <w:pPr>
        <w:spacing w:line="360" w:lineRule="auto"/>
        <w:ind w:firstLine="440" w:firstLineChars="200"/>
        <w:rPr>
          <w:rFonts w:ascii="宋体" w:hAnsi="宋体"/>
          <w:sz w:val="22"/>
          <w:szCs w:val="22"/>
        </w:rPr>
      </w:pPr>
      <w:r>
        <w:rPr>
          <w:rFonts w:ascii="宋体" w:hAnsi="宋体"/>
          <w:sz w:val="22"/>
          <w:szCs w:val="22"/>
        </w:rPr>
        <w:t>2</w:t>
      </w:r>
      <w:r>
        <w:rPr>
          <w:rFonts w:hint="eastAsia" w:ascii="宋体" w:hAnsi="宋体"/>
          <w:sz w:val="22"/>
          <w:szCs w:val="22"/>
        </w:rPr>
        <w:t>.须具备近一年财务审计报告或银行提供的资信证明（新公司从成立之日起算）。</w:t>
      </w:r>
    </w:p>
    <w:p>
      <w:pPr>
        <w:spacing w:line="360" w:lineRule="auto"/>
        <w:ind w:firstLine="440" w:firstLineChars="200"/>
        <w:rPr>
          <w:rFonts w:ascii="宋体" w:hAnsi="宋体"/>
          <w:sz w:val="22"/>
          <w:szCs w:val="22"/>
        </w:rPr>
      </w:pPr>
      <w:r>
        <w:rPr>
          <w:rFonts w:ascii="宋体" w:hAnsi="宋体"/>
          <w:sz w:val="22"/>
          <w:szCs w:val="22"/>
        </w:rPr>
        <w:t>3</w:t>
      </w:r>
      <w:r>
        <w:rPr>
          <w:rFonts w:hint="eastAsia" w:ascii="宋体" w:hAnsi="宋体"/>
          <w:sz w:val="22"/>
          <w:szCs w:val="22"/>
        </w:rPr>
        <w:t>.须具有近一年任意月纳税证明（新公司从成立之日起算）。</w:t>
      </w:r>
    </w:p>
    <w:p>
      <w:pPr>
        <w:pStyle w:val="18"/>
        <w:ind w:firstLine="440" w:firstLineChars="200"/>
        <w:rPr>
          <w:rFonts w:ascii="宋体" w:hAnsi="宋体"/>
          <w:sz w:val="22"/>
          <w:szCs w:val="22"/>
        </w:rPr>
      </w:pPr>
    </w:p>
    <w:p>
      <w:pPr>
        <w:rPr>
          <w:rFonts w:ascii="宋体" w:hAnsi="宋体"/>
          <w:sz w:val="22"/>
          <w:szCs w:val="22"/>
        </w:rPr>
      </w:pPr>
    </w:p>
    <w:p>
      <w:pPr>
        <w:pStyle w:val="13"/>
      </w:pPr>
    </w:p>
    <w:p>
      <w:pPr>
        <w:pStyle w:val="45"/>
        <w:jc w:val="center"/>
        <w:outlineLvl w:val="1"/>
        <w:rPr>
          <w:rFonts w:ascii="宋体" w:cs="宋体"/>
          <w:b/>
          <w:sz w:val="32"/>
          <w:szCs w:val="22"/>
        </w:rPr>
      </w:pPr>
      <w:bookmarkStart w:id="75" w:name="_Toc26925"/>
    </w:p>
    <w:p>
      <w:pPr>
        <w:pStyle w:val="45"/>
        <w:jc w:val="center"/>
        <w:outlineLvl w:val="1"/>
        <w:rPr>
          <w:rFonts w:ascii="宋体" w:cs="宋体"/>
          <w:b/>
          <w:sz w:val="32"/>
          <w:szCs w:val="22"/>
        </w:rPr>
      </w:pPr>
      <w:r>
        <w:rPr>
          <w:rFonts w:hint="eastAsia" w:ascii="宋体" w:cs="宋体"/>
          <w:b/>
          <w:sz w:val="32"/>
          <w:szCs w:val="22"/>
        </w:rPr>
        <w:t>（</w:t>
      </w:r>
      <w:r>
        <w:rPr>
          <w:rFonts w:hint="eastAsia" w:ascii="宋体" w:cs="宋体"/>
          <w:b/>
          <w:sz w:val="32"/>
          <w:szCs w:val="22"/>
          <w:lang w:eastAsia="zh-Hans"/>
        </w:rPr>
        <w:t>二</w:t>
      </w:r>
      <w:r>
        <w:rPr>
          <w:rFonts w:hint="eastAsia" w:ascii="宋体" w:cs="宋体"/>
          <w:b/>
          <w:sz w:val="32"/>
          <w:szCs w:val="22"/>
        </w:rPr>
        <w:t>）类似项目业绩一览表</w:t>
      </w:r>
      <w:bookmarkEnd w:id="75"/>
    </w:p>
    <w:p>
      <w:pPr>
        <w:pStyle w:val="20"/>
        <w:spacing w:before="120"/>
        <w:rPr>
          <w:rFonts w:ascii="宋体" w:hAnsi="宋体"/>
          <w:sz w:val="24"/>
        </w:rPr>
      </w:pPr>
      <w:r>
        <w:rPr>
          <w:rFonts w:hint="eastAsia" w:ascii="宋体" w:hAnsi="宋体"/>
          <w:sz w:val="24"/>
        </w:rPr>
        <w:t xml:space="preserve">   </w:t>
      </w:r>
    </w:p>
    <w:tbl>
      <w:tblPr>
        <w:tblStyle w:val="25"/>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r>
              <w:rPr>
                <w:rFonts w:hint="eastAsia" w:hAnsi="宋体" w:cs="宋体"/>
                <w:szCs w:val="21"/>
              </w:rPr>
              <w:t>年份</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r>
              <w:rPr>
                <w:rFonts w:hint="eastAsia" w:hAnsi="宋体" w:cs="宋体"/>
                <w:szCs w:val="21"/>
              </w:rPr>
              <w:t>用户名称</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r>
              <w:rPr>
                <w:rFonts w:hint="eastAsia" w:hAnsi="宋体" w:cs="宋体"/>
                <w:szCs w:val="21"/>
              </w:rPr>
              <w:t>项目名称</w:t>
            </w: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r>
              <w:rPr>
                <w:rFonts w:hint="eastAsia" w:hAnsi="宋体" w:cs="宋体"/>
                <w:szCs w:val="21"/>
              </w:rPr>
              <w:t>完成时间</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r>
              <w:rPr>
                <w:rFonts w:hint="eastAsia" w:hAnsi="宋体" w:cs="宋体"/>
                <w:szCs w:val="21"/>
              </w:rPr>
              <w:t>合同金额</w:t>
            </w: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r>
              <w:rPr>
                <w:rFonts w:hint="eastAsia" w:hAnsi="宋体" w:cs="宋体"/>
                <w:szCs w:val="21"/>
              </w:rPr>
              <w:t>备注</w:t>
            </w: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szCs w:val="21"/>
              </w:rPr>
            </w:pPr>
          </w:p>
        </w:tc>
      </w:tr>
    </w:tbl>
    <w:p>
      <w:pPr>
        <w:pStyle w:val="20"/>
        <w:spacing w:before="120"/>
        <w:rPr>
          <w:rFonts w:hAnsi="宋体" w:cs="宋体"/>
          <w:sz w:val="24"/>
        </w:rPr>
      </w:pPr>
      <w:r>
        <w:rPr>
          <w:rFonts w:hint="eastAsia" w:hAnsi="宋体" w:cs="宋体"/>
          <w:sz w:val="24"/>
        </w:rPr>
        <w:t>注：</w:t>
      </w:r>
      <w:bookmarkStart w:id="76" w:name="_Hlk534905957"/>
      <w:r>
        <w:rPr>
          <w:rFonts w:hint="eastAsia" w:hAnsi="宋体" w:cs="宋体"/>
          <w:sz w:val="24"/>
        </w:rPr>
        <w:t>以上业绩需提供招标文件要求的有关书面证明材料。</w:t>
      </w:r>
      <w:bookmarkEnd w:id="76"/>
    </w:p>
    <w:p>
      <w:pPr>
        <w:pStyle w:val="10"/>
        <w:ind w:left="1680"/>
      </w:pPr>
    </w:p>
    <w:p/>
    <w:p>
      <w:pPr>
        <w:pStyle w:val="20"/>
        <w:spacing w:before="120"/>
        <w:rPr>
          <w:rFonts w:ascii="宋体" w:hAnsi="宋体"/>
          <w:sz w:val="24"/>
        </w:rPr>
      </w:pPr>
    </w:p>
    <w:p>
      <w:pPr>
        <w:pStyle w:val="20"/>
        <w:spacing w:before="120" w:line="360" w:lineRule="auto"/>
        <w:ind w:firstLine="405"/>
        <w:rPr>
          <w:rFonts w:ascii="宋体" w:hAnsi="宋体"/>
          <w:sz w:val="24"/>
        </w:rPr>
      </w:pPr>
      <w:r>
        <w:rPr>
          <w:rFonts w:hint="eastAsia" w:ascii="宋体" w:hAnsi="宋体"/>
          <w:sz w:val="24"/>
        </w:rPr>
        <w:t xml:space="preserve"> </w:t>
      </w:r>
    </w:p>
    <w:p>
      <w:pPr>
        <w:spacing w:line="360" w:lineRule="auto"/>
        <w:ind w:firstLine="480"/>
        <w:rPr>
          <w:rFonts w:ascii="宋体" w:hAnsi="宋体"/>
          <w:sz w:val="24"/>
        </w:rPr>
      </w:pPr>
      <w:r>
        <w:rPr>
          <w:rFonts w:hint="eastAsia" w:ascii="宋体" w:hAnsi="宋体"/>
          <w:sz w:val="24"/>
        </w:rPr>
        <w:t>投标单位名称：                          法人公章：</w:t>
      </w:r>
    </w:p>
    <w:p>
      <w:pPr>
        <w:spacing w:line="360" w:lineRule="auto"/>
        <w:ind w:firstLine="480"/>
        <w:rPr>
          <w:rFonts w:ascii="宋体" w:hAnsi="宋体"/>
          <w:sz w:val="24"/>
        </w:rPr>
      </w:pPr>
    </w:p>
    <w:p>
      <w:pPr>
        <w:spacing w:line="360" w:lineRule="auto"/>
        <w:ind w:firstLine="480"/>
        <w:rPr>
          <w:rFonts w:ascii="宋体" w:hAnsi="宋体"/>
          <w:sz w:val="24"/>
        </w:rPr>
      </w:pPr>
      <w:r>
        <w:rPr>
          <w:rFonts w:hint="eastAsia" w:ascii="宋体" w:hAnsi="宋体"/>
          <w:sz w:val="24"/>
        </w:rPr>
        <w:t>法定代表（或授权代表）签字：</w:t>
      </w:r>
    </w:p>
    <w:p>
      <w:pPr>
        <w:spacing w:line="360" w:lineRule="auto"/>
        <w:ind w:firstLine="480"/>
        <w:rPr>
          <w:rFonts w:ascii="宋体" w:hAnsi="宋体"/>
          <w:sz w:val="24"/>
        </w:rPr>
      </w:pPr>
    </w:p>
    <w:p>
      <w:pPr>
        <w:spacing w:line="360" w:lineRule="auto"/>
        <w:jc w:val="right"/>
        <w:rPr>
          <w:rFonts w:ascii="宋体" w:hAnsi="宋体"/>
          <w:sz w:val="28"/>
        </w:rPr>
      </w:pPr>
      <w:r>
        <w:rPr>
          <w:rFonts w:hint="eastAsia" w:ascii="宋体" w:hAnsi="宋体"/>
          <w:sz w:val="24"/>
        </w:rPr>
        <w:t>日期：   年   月   日</w:t>
      </w:r>
    </w:p>
    <w:p>
      <w:pPr>
        <w:spacing w:line="360" w:lineRule="auto"/>
        <w:rPr>
          <w:rFonts w:ascii="Microsoft YaHei UI" w:hAnsi="Microsoft YaHei UI" w:eastAsia="Microsoft YaHei UI"/>
          <w:sz w:val="20"/>
        </w:rPr>
      </w:pPr>
    </w:p>
    <w:p>
      <w:pPr>
        <w:spacing w:line="360" w:lineRule="auto"/>
        <w:rPr>
          <w:rFonts w:ascii="Microsoft YaHei UI" w:hAnsi="Microsoft YaHei UI" w:eastAsia="Microsoft YaHei UI"/>
          <w:sz w:val="20"/>
        </w:rPr>
      </w:pPr>
    </w:p>
    <w:p>
      <w:pPr>
        <w:spacing w:line="360" w:lineRule="auto"/>
        <w:rPr>
          <w:rFonts w:ascii="Microsoft YaHei UI" w:hAnsi="Microsoft YaHei UI" w:eastAsia="Microsoft YaHei UI"/>
          <w:sz w:val="20"/>
        </w:rPr>
      </w:pPr>
    </w:p>
    <w:p>
      <w:pPr>
        <w:pStyle w:val="9"/>
        <w:ind w:firstLine="0" w:firstLineChars="0"/>
        <w:rPr>
          <w:rFonts w:ascii="Microsoft YaHei UI" w:hAnsi="Microsoft YaHei UI" w:eastAsia="Microsoft YaHei UI"/>
          <w:sz w:val="20"/>
        </w:rPr>
      </w:pPr>
    </w:p>
    <w:p>
      <w:pPr>
        <w:spacing w:line="360" w:lineRule="auto"/>
        <w:jc w:val="center"/>
        <w:rPr>
          <w:rFonts w:ascii="宋体" w:hAnsi="宋体"/>
          <w:b/>
          <w:bCs/>
          <w:sz w:val="32"/>
          <w:szCs w:val="32"/>
        </w:rPr>
      </w:pPr>
      <w:r>
        <w:rPr>
          <w:rFonts w:hint="eastAsia" w:ascii="宋体" w:hAnsi="宋体"/>
          <w:b/>
          <w:bCs/>
          <w:sz w:val="32"/>
          <w:szCs w:val="32"/>
        </w:rPr>
        <w:t>（</w:t>
      </w:r>
      <w:r>
        <w:rPr>
          <w:rFonts w:hint="eastAsia" w:ascii="宋体" w:hAnsi="宋体"/>
          <w:b/>
          <w:bCs/>
          <w:sz w:val="32"/>
          <w:szCs w:val="32"/>
          <w:lang w:eastAsia="zh-Hans"/>
        </w:rPr>
        <w:t>三</w:t>
      </w:r>
      <w:r>
        <w:rPr>
          <w:rFonts w:hint="eastAsia" w:ascii="宋体" w:hAnsi="宋体"/>
          <w:b/>
          <w:bCs/>
          <w:sz w:val="32"/>
          <w:szCs w:val="32"/>
        </w:rPr>
        <w:t>）正在服务或新承接的项目情况表</w:t>
      </w:r>
    </w:p>
    <w:tbl>
      <w:tblPr>
        <w:tblStyle w:val="25"/>
        <w:tblW w:w="5000" w:type="pct"/>
        <w:tblInd w:w="0" w:type="dxa"/>
        <w:tblLayout w:type="autofit"/>
        <w:tblCellMar>
          <w:top w:w="0" w:type="dxa"/>
          <w:left w:w="108" w:type="dxa"/>
          <w:bottom w:w="0" w:type="dxa"/>
          <w:right w:w="108" w:type="dxa"/>
        </w:tblCellMar>
      </w:tblPr>
      <w:tblGrid>
        <w:gridCol w:w="2269"/>
        <w:gridCol w:w="6253"/>
      </w:tblGrid>
      <w:tr>
        <w:trPr>
          <w:trHeight w:val="875"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502" w:lineRule="exact"/>
              <w:ind w:left="712"/>
              <w:jc w:val="left"/>
              <w:rPr>
                <w:rFonts w:ascii="Microsoft YaHei UI" w:hAnsi="Microsoft YaHei UI" w:eastAsia="Microsoft YaHei UI"/>
                <w:sz w:val="20"/>
              </w:rPr>
            </w:pPr>
            <w:r>
              <w:rPr>
                <w:rFonts w:hint="eastAsia" w:ascii="Microsoft YaHei UI" w:hAnsi="Microsoft YaHei UI" w:eastAsia="Microsoft YaHei UI"/>
                <w:sz w:val="20"/>
              </w:rPr>
              <w:t>项目名称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502" w:lineRule="exact"/>
              <w:ind w:left="712"/>
              <w:jc w:val="left"/>
              <w:rPr>
                <w:rFonts w:ascii="Microsoft YaHei UI" w:hAnsi="Microsoft YaHei UI" w:eastAsia="Microsoft YaHei UI"/>
                <w:sz w:val="20"/>
              </w:rPr>
            </w:pPr>
          </w:p>
        </w:tc>
      </w:tr>
      <w:tr>
        <w:trPr>
          <w:trHeight w:val="78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71" w:lineRule="exact"/>
              <w:ind w:left="712"/>
              <w:jc w:val="left"/>
              <w:rPr>
                <w:rFonts w:ascii="Microsoft YaHei UI" w:hAnsi="Microsoft YaHei UI" w:eastAsia="Microsoft YaHei UI"/>
                <w:sz w:val="20"/>
              </w:rPr>
            </w:pPr>
            <w:r>
              <w:rPr>
                <w:rFonts w:hint="eastAsia" w:ascii="Microsoft YaHei UI" w:hAnsi="Microsoft YaHei UI" w:eastAsia="Microsoft YaHei UI"/>
                <w:sz w:val="20"/>
              </w:rPr>
              <w:t>甲方名称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71" w:lineRule="exact"/>
              <w:ind w:left="712"/>
              <w:jc w:val="left"/>
              <w:rPr>
                <w:rFonts w:ascii="Microsoft YaHei UI" w:hAnsi="Microsoft YaHei UI" w:eastAsia="Microsoft YaHei UI"/>
                <w:sz w:val="20"/>
              </w:rPr>
            </w:pPr>
          </w:p>
        </w:tc>
      </w:tr>
      <w:tr>
        <w:trPr>
          <w:trHeight w:val="79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73" w:lineRule="exact"/>
              <w:ind w:left="292"/>
              <w:jc w:val="left"/>
              <w:rPr>
                <w:rFonts w:ascii="Microsoft YaHei UI" w:hAnsi="Microsoft YaHei UI" w:eastAsia="Microsoft YaHei UI"/>
                <w:sz w:val="20"/>
              </w:rPr>
            </w:pPr>
            <w:r>
              <w:rPr>
                <w:rFonts w:hint="eastAsia" w:ascii="Microsoft YaHei UI" w:hAnsi="Microsoft YaHei UI" w:eastAsia="Microsoft YaHei UI"/>
                <w:sz w:val="20"/>
              </w:rPr>
              <w:t>甲方联系人及电话</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73" w:lineRule="exact"/>
              <w:ind w:left="292"/>
              <w:jc w:val="left"/>
              <w:rPr>
                <w:rFonts w:ascii="Microsoft YaHei UI" w:hAnsi="Microsoft YaHei UI" w:eastAsia="Microsoft YaHei UI"/>
                <w:sz w:val="20"/>
              </w:rPr>
            </w:pPr>
          </w:p>
        </w:tc>
      </w:tr>
      <w:tr>
        <w:trPr>
          <w:trHeight w:val="89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73" w:lineRule="exact"/>
              <w:ind w:left="607"/>
              <w:jc w:val="left"/>
              <w:rPr>
                <w:rFonts w:ascii="Microsoft YaHei UI" w:hAnsi="Microsoft YaHei UI" w:eastAsia="Microsoft YaHei UI"/>
                <w:sz w:val="20"/>
              </w:rPr>
            </w:pPr>
            <w:r>
              <w:rPr>
                <w:rFonts w:hint="eastAsia" w:ascii="Microsoft YaHei UI" w:hAnsi="Microsoft YaHei UI" w:eastAsia="Microsoft YaHei UI"/>
                <w:sz w:val="20"/>
              </w:rPr>
              <w:t>签约合同价</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73" w:lineRule="exact"/>
              <w:ind w:left="607"/>
              <w:jc w:val="left"/>
              <w:rPr>
                <w:rFonts w:ascii="Microsoft YaHei UI" w:hAnsi="Microsoft YaHei UI" w:eastAsia="Microsoft YaHei UI"/>
                <w:sz w:val="20"/>
              </w:rPr>
            </w:pPr>
          </w:p>
        </w:tc>
      </w:tr>
      <w:tr>
        <w:trPr>
          <w:trHeight w:val="3089"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1486" w:lineRule="exact"/>
              <w:ind w:left="187"/>
              <w:jc w:val="left"/>
              <w:rPr>
                <w:rFonts w:ascii="Microsoft YaHei UI" w:hAnsi="Microsoft YaHei UI" w:eastAsia="Microsoft YaHei UI"/>
                <w:sz w:val="20"/>
              </w:rPr>
            </w:pPr>
            <w:r>
              <w:rPr>
                <w:rFonts w:hint="eastAsia" w:ascii="Microsoft YaHei UI" w:hAnsi="Microsoft YaHei UI" w:eastAsia="Microsoft YaHei UI"/>
                <w:sz w:val="20"/>
              </w:rPr>
              <w:t>项目概况及投标人履</w:t>
            </w:r>
          </w:p>
          <w:p>
            <w:pPr>
              <w:spacing w:line="441" w:lineRule="exact"/>
              <w:ind w:left="818"/>
              <w:jc w:val="left"/>
              <w:rPr>
                <w:rFonts w:ascii="Microsoft YaHei UI" w:hAnsi="Microsoft YaHei UI" w:eastAsia="Microsoft YaHei UI"/>
                <w:sz w:val="20"/>
              </w:rPr>
            </w:pPr>
            <w:r>
              <w:rPr>
                <w:rFonts w:hint="eastAsia" w:ascii="Microsoft YaHei UI" w:hAnsi="Microsoft YaHei UI" w:eastAsia="Microsoft YaHei UI"/>
                <w:sz w:val="20"/>
              </w:rPr>
              <w:t>约情况</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41" w:lineRule="exact"/>
              <w:ind w:left="818"/>
              <w:jc w:val="left"/>
              <w:rPr>
                <w:rFonts w:ascii="Microsoft YaHei UI" w:hAnsi="Microsoft YaHei UI" w:eastAsia="Microsoft YaHei UI"/>
                <w:sz w:val="20"/>
              </w:rPr>
            </w:pPr>
          </w:p>
        </w:tc>
      </w:tr>
      <w:tr>
        <w:trPr>
          <w:trHeight w:val="85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80" w:lineRule="exact"/>
              <w:ind w:left="923"/>
              <w:jc w:val="left"/>
              <w:rPr>
                <w:rFonts w:ascii="Microsoft YaHei UI" w:hAnsi="Microsoft YaHei UI" w:eastAsia="Microsoft YaHei UI"/>
                <w:sz w:val="20"/>
              </w:rPr>
            </w:pPr>
            <w:r>
              <w:rPr>
                <w:rFonts w:hint="eastAsia" w:ascii="Microsoft YaHei UI" w:hAnsi="Microsoft YaHei UI" w:eastAsia="Microsoft YaHei UI"/>
                <w:sz w:val="20"/>
              </w:rPr>
              <w:t>备注</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spacing w:line="480" w:lineRule="exact"/>
              <w:ind w:left="923"/>
              <w:jc w:val="left"/>
              <w:rPr>
                <w:rFonts w:ascii="Microsoft YaHei UI" w:hAnsi="Microsoft YaHei UI" w:eastAsia="Microsoft YaHei UI"/>
                <w:sz w:val="20"/>
              </w:rPr>
            </w:pPr>
          </w:p>
        </w:tc>
      </w:tr>
    </w:tbl>
    <w:p>
      <w:pPr>
        <w:spacing w:line="360" w:lineRule="auto"/>
        <w:rPr>
          <w:rFonts w:ascii="Microsoft YaHei UI" w:hAnsi="Microsoft YaHei UI" w:eastAsia="Microsoft YaHei UI"/>
          <w:sz w:val="20"/>
        </w:rPr>
      </w:pPr>
    </w:p>
    <w:p>
      <w:pPr>
        <w:spacing w:line="360" w:lineRule="auto"/>
        <w:rPr>
          <w:rFonts w:ascii="Microsoft YaHei UI" w:hAnsi="Microsoft YaHei UI" w:eastAsia="Microsoft YaHei UI"/>
          <w:sz w:val="20"/>
        </w:rPr>
      </w:pPr>
    </w:p>
    <w:p>
      <w:pPr>
        <w:spacing w:line="360" w:lineRule="auto"/>
        <w:rPr>
          <w:rFonts w:ascii="Microsoft YaHei UI" w:hAnsi="Microsoft YaHei UI" w:eastAsia="Microsoft YaHei UI"/>
          <w:sz w:val="20"/>
        </w:rPr>
      </w:pPr>
    </w:p>
    <w:p>
      <w:pPr>
        <w:tabs>
          <w:tab w:val="left" w:pos="3069"/>
        </w:tabs>
        <w:spacing w:line="360" w:lineRule="auto"/>
        <w:rPr>
          <w:rFonts w:ascii="Microsoft YaHei UI" w:hAnsi="Microsoft YaHei UI" w:eastAsia="Microsoft YaHei UI"/>
          <w:sz w:val="20"/>
        </w:rPr>
      </w:pPr>
      <w:r>
        <w:rPr>
          <w:rFonts w:hint="eastAsia" w:ascii="Microsoft YaHei UI" w:hAnsi="Microsoft YaHei UI" w:eastAsia="Microsoft YaHei UI"/>
          <w:sz w:val="20"/>
        </w:rPr>
        <w:tab/>
      </w:r>
    </w:p>
    <w:p>
      <w:pPr>
        <w:pStyle w:val="2"/>
        <w:rPr>
          <w:rFonts w:ascii="Microsoft YaHei UI" w:hAnsi="Microsoft YaHei UI" w:eastAsia="Microsoft YaHei UI"/>
          <w:sz w:val="20"/>
        </w:rPr>
      </w:pPr>
    </w:p>
    <w:p>
      <w:pPr>
        <w:pStyle w:val="3"/>
      </w:pPr>
    </w:p>
    <w:p>
      <w:pPr>
        <w:pStyle w:val="4"/>
      </w:pPr>
    </w:p>
    <w:p>
      <w:pPr>
        <w:pStyle w:val="3"/>
      </w:pPr>
    </w:p>
    <w:p>
      <w:pPr>
        <w:spacing w:line="360" w:lineRule="auto"/>
        <w:rPr>
          <w:rFonts w:ascii="Microsoft YaHei UI" w:hAnsi="Microsoft YaHei UI" w:eastAsia="Microsoft YaHei UI"/>
          <w:sz w:val="20"/>
        </w:rPr>
      </w:pPr>
    </w:p>
    <w:p>
      <w:pPr>
        <w:spacing w:line="360" w:lineRule="auto"/>
        <w:jc w:val="center"/>
        <w:rPr>
          <w:rFonts w:ascii="宋体" w:hAnsi="宋体"/>
          <w:b/>
          <w:bCs/>
          <w:sz w:val="32"/>
          <w:szCs w:val="32"/>
        </w:rPr>
      </w:pPr>
      <w:r>
        <w:rPr>
          <w:rFonts w:hint="eastAsia" w:ascii="宋体" w:hAnsi="宋体"/>
          <w:b/>
          <w:bCs/>
          <w:sz w:val="32"/>
          <w:szCs w:val="32"/>
        </w:rPr>
        <w:t>（</w:t>
      </w:r>
      <w:r>
        <w:rPr>
          <w:rFonts w:hint="eastAsia" w:ascii="宋体" w:hAnsi="宋体"/>
          <w:b/>
          <w:bCs/>
          <w:sz w:val="32"/>
          <w:szCs w:val="32"/>
          <w:lang w:eastAsia="zh-Hans"/>
        </w:rPr>
        <w:t>四</w:t>
      </w:r>
      <w:r>
        <w:rPr>
          <w:rFonts w:hint="eastAsia" w:ascii="宋体" w:hAnsi="宋体"/>
          <w:b/>
          <w:bCs/>
          <w:sz w:val="32"/>
          <w:szCs w:val="32"/>
        </w:rPr>
        <w:t>）投标人反商业贿赂承诺书</w:t>
      </w:r>
    </w:p>
    <w:p>
      <w:pPr>
        <w:spacing w:line="440" w:lineRule="exact"/>
        <w:rPr>
          <w:rFonts w:hint="eastAsia" w:cs="宋体"/>
          <w:sz w:val="24"/>
        </w:rPr>
      </w:pPr>
    </w:p>
    <w:p>
      <w:pPr>
        <w:spacing w:line="440" w:lineRule="exact"/>
        <w:rPr>
          <w:rFonts w:cs="宋体"/>
          <w:sz w:val="24"/>
        </w:rPr>
      </w:pPr>
      <w:r>
        <w:rPr>
          <w:rFonts w:hint="eastAsia" w:cs="宋体"/>
          <w:sz w:val="24"/>
        </w:rPr>
        <w:t>致：（采购人）</w:t>
      </w:r>
    </w:p>
    <w:p>
      <w:pPr>
        <w:spacing w:line="440" w:lineRule="exact"/>
        <w:ind w:firstLine="480"/>
        <w:rPr>
          <w:rFonts w:cs="宋体"/>
          <w:sz w:val="24"/>
        </w:rPr>
      </w:pPr>
      <w:r>
        <w:rPr>
          <w:rFonts w:hint="eastAsia" w:cs="宋体"/>
          <w:sz w:val="24"/>
        </w:rPr>
        <w:t>为了从源头上防治腐败，杜绝商业贿赂行为的发生，更好地配合本项目的工作，我们特承诺如下：</w:t>
      </w:r>
    </w:p>
    <w:p>
      <w:pPr>
        <w:spacing w:line="440" w:lineRule="exact"/>
        <w:ind w:firstLine="480"/>
        <w:rPr>
          <w:rFonts w:cs="宋体"/>
          <w:sz w:val="24"/>
        </w:rPr>
      </w:pPr>
      <w:r>
        <w:rPr>
          <w:rFonts w:hint="eastAsia" w:cs="宋体"/>
          <w:sz w:val="24"/>
        </w:rPr>
        <w:t>1、不以各种名义给</w:t>
      </w:r>
      <w:r>
        <w:rPr>
          <w:rFonts w:cs="宋体"/>
          <w:sz w:val="24"/>
        </w:rPr>
        <w:t>新疆准东经济技术开发区安全生产监督管理局</w:t>
      </w:r>
      <w:r>
        <w:rPr>
          <w:rFonts w:hint="eastAsia" w:cs="宋体"/>
          <w:sz w:val="24"/>
        </w:rPr>
        <w:t>工作人员及采购代理服务机构人员借或送现金、有价证券及物品；</w:t>
      </w:r>
    </w:p>
    <w:p>
      <w:pPr>
        <w:spacing w:line="440" w:lineRule="exact"/>
        <w:ind w:firstLine="480"/>
        <w:rPr>
          <w:rFonts w:cs="宋体"/>
          <w:sz w:val="24"/>
        </w:rPr>
      </w:pPr>
      <w:r>
        <w:rPr>
          <w:rFonts w:hint="eastAsia" w:cs="宋体"/>
          <w:sz w:val="24"/>
        </w:rPr>
        <w:t>2、不以个人名义邀请</w:t>
      </w:r>
      <w:r>
        <w:rPr>
          <w:rFonts w:cs="宋体"/>
          <w:sz w:val="24"/>
        </w:rPr>
        <w:t>新疆准东经济技术开发区安全生产监督管理局</w:t>
      </w:r>
      <w:r>
        <w:rPr>
          <w:rFonts w:hint="eastAsia" w:cs="宋体"/>
          <w:sz w:val="24"/>
        </w:rPr>
        <w:t>工作人员及采购代理服务机构人员参与考察旅游活动和宴请活动；</w:t>
      </w:r>
    </w:p>
    <w:p>
      <w:pPr>
        <w:spacing w:line="440" w:lineRule="exact"/>
        <w:ind w:firstLine="480"/>
        <w:rPr>
          <w:rFonts w:cs="宋体"/>
          <w:sz w:val="24"/>
        </w:rPr>
      </w:pPr>
      <w:r>
        <w:rPr>
          <w:rFonts w:hint="eastAsia" w:cs="宋体"/>
          <w:sz w:val="24"/>
        </w:rPr>
        <w:t>3、不发生与采购事项有关的其他违规违纪行为；</w:t>
      </w:r>
    </w:p>
    <w:p>
      <w:pPr>
        <w:spacing w:line="440" w:lineRule="exact"/>
        <w:ind w:firstLine="480"/>
        <w:rPr>
          <w:rFonts w:cs="宋体"/>
          <w:sz w:val="24"/>
        </w:rPr>
      </w:pPr>
      <w:r>
        <w:rPr>
          <w:rFonts w:hint="eastAsia" w:cs="宋体"/>
          <w:sz w:val="24"/>
        </w:rPr>
        <w:t>如违反其中一项，采购人有权利将其列入采购黑名单并终止投标资格，并告知乌鲁木齐市公共资源交易中心（乌鲁木齐市政府采购中心），今后不得参与</w:t>
      </w:r>
      <w:r>
        <w:rPr>
          <w:rFonts w:cs="宋体"/>
          <w:sz w:val="24"/>
        </w:rPr>
        <w:t>新疆准东经济技术开发区安全生产监督管理局</w:t>
      </w:r>
      <w:r>
        <w:rPr>
          <w:rFonts w:hint="eastAsia" w:cs="宋体"/>
          <w:sz w:val="24"/>
        </w:rPr>
        <w:t>采购招投标活动，触犯法律由司法部门处理。</w:t>
      </w:r>
    </w:p>
    <w:p>
      <w:pPr>
        <w:spacing w:line="440" w:lineRule="exact"/>
        <w:ind w:firstLine="480"/>
        <w:rPr>
          <w:rFonts w:cs="宋体"/>
          <w:sz w:val="24"/>
        </w:rPr>
      </w:pPr>
    </w:p>
    <w:p>
      <w:pPr>
        <w:spacing w:line="440" w:lineRule="exact"/>
        <w:ind w:firstLine="480"/>
        <w:rPr>
          <w:rFonts w:cs="宋体"/>
          <w:sz w:val="24"/>
        </w:rPr>
      </w:pPr>
    </w:p>
    <w:p>
      <w:pPr>
        <w:spacing w:line="440" w:lineRule="exact"/>
        <w:ind w:firstLine="480"/>
        <w:rPr>
          <w:rFonts w:cs="宋体"/>
          <w:sz w:val="24"/>
        </w:rPr>
      </w:pPr>
      <w:r>
        <w:rPr>
          <w:rFonts w:hint="eastAsia" w:cs="宋体"/>
          <w:sz w:val="24"/>
        </w:rPr>
        <w:t>承诺单位（签章）：</w:t>
      </w:r>
    </w:p>
    <w:p>
      <w:pPr>
        <w:spacing w:line="440" w:lineRule="exact"/>
        <w:ind w:firstLine="480"/>
        <w:rPr>
          <w:rFonts w:cs="宋体"/>
          <w:sz w:val="24"/>
        </w:rPr>
      </w:pPr>
    </w:p>
    <w:p>
      <w:pPr>
        <w:spacing w:line="440" w:lineRule="exact"/>
        <w:ind w:firstLine="480"/>
        <w:rPr>
          <w:rFonts w:cs="宋体"/>
          <w:sz w:val="24"/>
        </w:rPr>
      </w:pPr>
      <w:r>
        <w:rPr>
          <w:rFonts w:hint="eastAsia"/>
          <w:sz w:val="24"/>
        </w:rPr>
        <w:t>法定代表人或</w:t>
      </w:r>
      <w:r>
        <w:rPr>
          <w:rFonts w:hint="eastAsia" w:cs="宋体"/>
          <w:sz w:val="24"/>
        </w:rPr>
        <w:t>授权代表（签字或盖章）：</w:t>
      </w:r>
    </w:p>
    <w:p>
      <w:pPr>
        <w:spacing w:line="440" w:lineRule="exact"/>
        <w:ind w:firstLine="480"/>
        <w:rPr>
          <w:rFonts w:cs="宋体"/>
          <w:sz w:val="24"/>
        </w:rPr>
      </w:pPr>
    </w:p>
    <w:p>
      <w:pPr>
        <w:spacing w:line="440" w:lineRule="exact"/>
        <w:ind w:firstLine="480"/>
        <w:rPr>
          <w:rFonts w:cs="宋体"/>
          <w:sz w:val="24"/>
        </w:rPr>
      </w:pPr>
      <w:r>
        <w:rPr>
          <w:rFonts w:hint="eastAsia" w:cs="宋体"/>
          <w:sz w:val="24"/>
        </w:rPr>
        <w:t>年   月   日</w:t>
      </w:r>
    </w:p>
    <w:p/>
    <w:p>
      <w:pPr>
        <w:pStyle w:val="11"/>
      </w:pPr>
    </w:p>
    <w:p/>
    <w:p>
      <w:pPr>
        <w:pStyle w:val="11"/>
      </w:pPr>
    </w:p>
    <w:p/>
    <w:p>
      <w:pPr>
        <w:pStyle w:val="11"/>
      </w:pPr>
    </w:p>
    <w:p/>
    <w:p/>
    <w:p>
      <w:pPr>
        <w:pStyle w:val="11"/>
      </w:pPr>
    </w:p>
    <w:p/>
    <w:p>
      <w:pPr>
        <w:pStyle w:val="7"/>
        <w:jc w:val="center"/>
        <w:rPr>
          <w:rFonts w:ascii="宋体" w:hAnsi="宋体" w:eastAsia="宋体" w:cs="宋体"/>
        </w:rPr>
      </w:pPr>
      <w:bookmarkStart w:id="77" w:name="_Toc13930"/>
      <w:r>
        <w:rPr>
          <w:rFonts w:hint="eastAsia" w:ascii="宋体" w:hAnsi="宋体" w:eastAsia="宋体" w:cs="宋体"/>
        </w:rPr>
        <w:t>七、</w:t>
      </w:r>
      <w:r>
        <w:rPr>
          <w:rFonts w:hint="eastAsia" w:ascii="宋体" w:hAnsi="宋体" w:eastAsia="宋体" w:cs="宋体"/>
          <w:lang w:eastAsia="zh-Hans"/>
        </w:rPr>
        <w:t>商务</w:t>
      </w:r>
      <w:r>
        <w:rPr>
          <w:rFonts w:hint="eastAsia" w:ascii="宋体" w:hAnsi="宋体" w:eastAsia="宋体" w:cs="宋体"/>
        </w:rPr>
        <w:t>技术部分</w:t>
      </w:r>
      <w:bookmarkEnd w:id="77"/>
    </w:p>
    <w:p>
      <w:pPr>
        <w:spacing w:line="360" w:lineRule="auto"/>
        <w:rPr>
          <w:rFonts w:ascii="宋体" w:hAnsi="宋体"/>
          <w:b/>
          <w:bCs/>
          <w:sz w:val="32"/>
          <w:szCs w:val="32"/>
        </w:rPr>
      </w:pPr>
      <w:r>
        <w:rPr>
          <w:rFonts w:hint="eastAsia" w:ascii="宋体" w:hAnsi="宋体"/>
          <w:sz w:val="24"/>
        </w:rPr>
        <w:t>1. 投标人可根据评标方法</w:t>
      </w:r>
      <w:r>
        <w:rPr>
          <w:rFonts w:hint="eastAsia" w:ascii="宋体" w:hAnsi="宋体"/>
          <w:sz w:val="24"/>
          <w:lang w:eastAsia="zh-Hans"/>
        </w:rPr>
        <w:t>商务</w:t>
      </w:r>
      <w:r>
        <w:rPr>
          <w:rFonts w:hint="eastAsia" w:ascii="宋体" w:hAnsi="宋体"/>
          <w:sz w:val="24"/>
        </w:rPr>
        <w:t>技术评分标准在本</w:t>
      </w:r>
      <w:r>
        <w:rPr>
          <w:rFonts w:hint="eastAsia" w:ascii="宋体" w:hAnsi="宋体"/>
          <w:sz w:val="24"/>
          <w:lang w:eastAsia="zh-Hans"/>
        </w:rPr>
        <w:t>项</w:t>
      </w:r>
      <w:r>
        <w:rPr>
          <w:rFonts w:hint="eastAsia" w:ascii="宋体" w:hAnsi="宋体"/>
          <w:sz w:val="24"/>
        </w:rPr>
        <w:t>后附相关内容。</w:t>
      </w:r>
    </w:p>
    <w:p>
      <w:pPr>
        <w:spacing w:line="360" w:lineRule="auto"/>
        <w:rPr>
          <w:rFonts w:asciiTheme="majorEastAsia" w:hAnsiTheme="majorEastAsia" w:eastAsiaTheme="majorEastAsia" w:cstheme="majorEastAsia"/>
          <w:b/>
          <w:sz w:val="32"/>
          <w:szCs w:val="2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
      <w:pPr>
        <w:pStyle w:val="13"/>
      </w:pPr>
    </w:p>
    <w:p/>
    <w:p>
      <w:pPr>
        <w:pStyle w:val="13"/>
      </w:pPr>
    </w:p>
    <w:p/>
    <w:p>
      <w:pPr>
        <w:pStyle w:val="45"/>
        <w:jc w:val="center"/>
        <w:outlineLvl w:val="1"/>
        <w:rPr>
          <w:rFonts w:ascii="宋体" w:hAnsi="宋体" w:cs="宋体"/>
        </w:rPr>
      </w:pPr>
      <w:bookmarkStart w:id="78" w:name="_Toc30725"/>
      <w:r>
        <w:rPr>
          <w:rFonts w:hint="eastAsia" w:ascii="宋体" w:hAnsi="宋体" w:eastAsia="宋体" w:cs="宋体"/>
          <w:b/>
          <w:bCs/>
          <w:sz w:val="36"/>
        </w:rPr>
        <w:t>八、具有履行合同所必需的设备和专业技术能力承诺函</w:t>
      </w:r>
      <w:bookmarkEnd w:id="78"/>
    </w:p>
    <w:p>
      <w:pPr>
        <w:spacing w:line="480" w:lineRule="auto"/>
        <w:rPr>
          <w:rFonts w:hAnsi="宋体" w:cs="宋体"/>
          <w:sz w:val="24"/>
        </w:rPr>
      </w:pPr>
    </w:p>
    <w:p>
      <w:pPr>
        <w:spacing w:line="480" w:lineRule="auto"/>
        <w:rPr>
          <w:rFonts w:hAnsi="宋体" w:cs="宋体"/>
          <w:sz w:val="24"/>
        </w:rPr>
      </w:pPr>
      <w:r>
        <w:rPr>
          <w:rFonts w:hAnsi="宋体" w:cs="宋体"/>
          <w:sz w:val="24"/>
        </w:rPr>
        <w:t>新疆千思跃建设工程项目管理有限责任公司</w:t>
      </w:r>
      <w:r>
        <w:rPr>
          <w:rFonts w:hint="eastAsia" w:hAnsi="宋体" w:cs="宋体"/>
          <w:sz w:val="24"/>
        </w:rPr>
        <w:t>：</w:t>
      </w:r>
    </w:p>
    <w:p>
      <w:pPr>
        <w:spacing w:line="480" w:lineRule="auto"/>
        <w:ind w:firstLine="480" w:firstLineChars="200"/>
        <w:rPr>
          <w:rFonts w:hAnsi="宋体" w:cs="宋体"/>
          <w:sz w:val="24"/>
        </w:rPr>
      </w:pPr>
      <w:r>
        <w:rPr>
          <w:rFonts w:hint="eastAsia" w:hAnsi="宋体" w:cs="宋体"/>
          <w:sz w:val="24"/>
        </w:rPr>
        <w:t>本单位</w:t>
      </w:r>
      <w:r>
        <w:rPr>
          <w:rFonts w:hint="eastAsia" w:hAnsi="宋体" w:cs="宋体"/>
          <w:sz w:val="24"/>
          <w:u w:val="single"/>
        </w:rPr>
        <w:t xml:space="preserve">              </w:t>
      </w:r>
      <w:r>
        <w:rPr>
          <w:rFonts w:hint="eastAsia" w:hAnsi="宋体" w:cs="宋体"/>
          <w:sz w:val="24"/>
        </w:rPr>
        <w:t>（公司名称）参加</w:t>
      </w:r>
      <w:r>
        <w:rPr>
          <w:rFonts w:hint="eastAsia" w:hAnsi="宋体" w:cs="宋体"/>
          <w:sz w:val="24"/>
          <w:u w:val="single"/>
        </w:rPr>
        <w:t xml:space="preserve">               </w:t>
      </w:r>
      <w:r>
        <w:rPr>
          <w:rFonts w:hint="eastAsia" w:hAnsi="宋体" w:cs="宋体"/>
          <w:sz w:val="24"/>
        </w:rPr>
        <w:t>（项目名称）的</w:t>
      </w:r>
      <w:r>
        <w:rPr>
          <w:rFonts w:hint="eastAsia" w:hAnsi="宋体" w:cs="宋体"/>
          <w:sz w:val="24"/>
          <w:szCs w:val="28"/>
        </w:rPr>
        <w:t>采购</w:t>
      </w:r>
      <w:r>
        <w:rPr>
          <w:rFonts w:hint="eastAsia" w:hAnsi="宋体" w:cs="宋体"/>
          <w:sz w:val="24"/>
        </w:rPr>
        <w:t>活动，现承诺我公司具有履行合同所必需的设备和专业技术能力。</w:t>
      </w:r>
    </w:p>
    <w:p>
      <w:pPr>
        <w:spacing w:line="480" w:lineRule="auto"/>
        <w:ind w:firstLine="480" w:firstLineChars="200"/>
        <w:rPr>
          <w:rFonts w:hAnsi="宋体" w:cs="宋体"/>
          <w:sz w:val="24"/>
        </w:rPr>
      </w:pPr>
      <w:r>
        <w:rPr>
          <w:rFonts w:hint="eastAsia" w:hAnsi="宋体" w:cs="宋体"/>
          <w:sz w:val="24"/>
        </w:rPr>
        <w:t>本公司对上述承诺内容事项真实性负责。如经查实上述承诺的内容事项存在虚假，我公司愿意接受以提供虚假材料谋取中标追究法律责任。</w:t>
      </w:r>
    </w:p>
    <w:p>
      <w:pPr>
        <w:pStyle w:val="13"/>
        <w:rPr>
          <w:rFonts w:hAnsi="宋体" w:cs="宋体"/>
          <w:sz w:val="24"/>
        </w:rPr>
      </w:pPr>
    </w:p>
    <w:p>
      <w:pPr>
        <w:rPr>
          <w:rFonts w:hAnsi="宋体" w:cs="宋体"/>
          <w:sz w:val="24"/>
        </w:rPr>
      </w:pPr>
    </w:p>
    <w:p>
      <w:pPr>
        <w:pStyle w:val="13"/>
        <w:rPr>
          <w:rFonts w:hAnsi="宋体" w:cs="宋体"/>
          <w:sz w:val="24"/>
        </w:rPr>
      </w:pPr>
    </w:p>
    <w:p/>
    <w:p>
      <w:pPr>
        <w:spacing w:line="276" w:lineRule="auto"/>
        <w:ind w:firstLine="480" w:firstLineChars="200"/>
        <w:rPr>
          <w:rFonts w:hAnsi="宋体" w:cs="宋体"/>
          <w:sz w:val="24"/>
        </w:rPr>
      </w:pPr>
    </w:p>
    <w:p>
      <w:pPr>
        <w:spacing w:line="360" w:lineRule="auto"/>
        <w:ind w:firstLine="480"/>
        <w:rPr>
          <w:rFonts w:ascii="宋体" w:hAnsi="宋体"/>
          <w:sz w:val="24"/>
        </w:rPr>
      </w:pPr>
      <w:r>
        <w:rPr>
          <w:rFonts w:hint="eastAsia" w:ascii="宋体" w:hAnsi="宋体"/>
          <w:sz w:val="24"/>
        </w:rPr>
        <w:t>投标单位名称：                          法人公章：</w:t>
      </w:r>
    </w:p>
    <w:p>
      <w:pPr>
        <w:spacing w:line="360" w:lineRule="auto"/>
        <w:ind w:firstLine="480"/>
        <w:rPr>
          <w:rFonts w:ascii="宋体" w:hAnsi="宋体"/>
          <w:sz w:val="24"/>
        </w:rPr>
      </w:pPr>
    </w:p>
    <w:p>
      <w:pPr>
        <w:spacing w:line="360" w:lineRule="auto"/>
        <w:ind w:firstLine="480"/>
        <w:rPr>
          <w:rFonts w:ascii="宋体" w:hAnsi="宋体"/>
          <w:sz w:val="24"/>
        </w:rPr>
      </w:pPr>
      <w:r>
        <w:rPr>
          <w:rFonts w:hint="eastAsia" w:ascii="宋体" w:hAnsi="宋体"/>
          <w:sz w:val="24"/>
        </w:rPr>
        <w:t>法定代表（或授权代表）签字：</w:t>
      </w:r>
    </w:p>
    <w:p>
      <w:pPr>
        <w:spacing w:line="360" w:lineRule="auto"/>
        <w:ind w:firstLine="480"/>
        <w:rPr>
          <w:rFonts w:ascii="宋体" w:hAnsi="宋体"/>
          <w:sz w:val="24"/>
        </w:rPr>
      </w:pPr>
    </w:p>
    <w:p>
      <w:pPr>
        <w:spacing w:line="360" w:lineRule="auto"/>
        <w:jc w:val="right"/>
        <w:rPr>
          <w:rFonts w:ascii="宋体" w:hAnsi="宋体"/>
          <w:sz w:val="28"/>
        </w:rPr>
      </w:pPr>
      <w:r>
        <w:rPr>
          <w:rFonts w:hint="eastAsia" w:ascii="宋体" w:hAnsi="宋体"/>
          <w:sz w:val="24"/>
        </w:rPr>
        <w:t>日期：   年   月   日</w:t>
      </w:r>
    </w:p>
    <w:p>
      <w:pPr>
        <w:spacing w:line="360" w:lineRule="auto"/>
        <w:rPr>
          <w:rFonts w:ascii="宋体" w:hAnsi="宋体"/>
          <w:sz w:val="32"/>
          <w:szCs w:val="32"/>
        </w:rPr>
      </w:pPr>
    </w:p>
    <w:p>
      <w:pPr>
        <w:pStyle w:val="11"/>
        <w:rPr>
          <w:rFonts w:ascii="宋体" w:hAnsi="宋体"/>
          <w:sz w:val="32"/>
          <w:szCs w:val="32"/>
        </w:rPr>
      </w:pPr>
    </w:p>
    <w:p>
      <w:pPr>
        <w:rPr>
          <w:rFonts w:ascii="宋体" w:hAnsi="宋体"/>
          <w:sz w:val="32"/>
          <w:szCs w:val="32"/>
        </w:rPr>
      </w:pPr>
    </w:p>
    <w:p>
      <w:pPr>
        <w:pStyle w:val="11"/>
        <w:rPr>
          <w:rFonts w:ascii="宋体" w:hAnsi="宋体"/>
          <w:sz w:val="32"/>
          <w:szCs w:val="32"/>
        </w:rPr>
      </w:pPr>
    </w:p>
    <w:p>
      <w:pPr>
        <w:rPr>
          <w:rFonts w:ascii="宋体" w:hAnsi="宋体"/>
          <w:sz w:val="32"/>
          <w:szCs w:val="32"/>
        </w:rPr>
      </w:pPr>
    </w:p>
    <w:p>
      <w:pPr>
        <w:pStyle w:val="11"/>
        <w:rPr>
          <w:rFonts w:ascii="宋体" w:hAnsi="宋体"/>
          <w:sz w:val="32"/>
          <w:szCs w:val="32"/>
        </w:rPr>
      </w:pPr>
    </w:p>
    <w:p>
      <w:pPr>
        <w:pStyle w:val="11"/>
      </w:pPr>
    </w:p>
    <w:p>
      <w:pPr>
        <w:pStyle w:val="9"/>
        <w:ind w:firstLine="0" w:firstLineChars="0"/>
        <w:jc w:val="center"/>
        <w:outlineLvl w:val="0"/>
        <w:rPr>
          <w:rFonts w:ascii="宋体" w:hAnsi="宋体" w:eastAsia="宋体" w:cs="宋体"/>
          <w:b/>
          <w:bCs/>
          <w:kern w:val="0"/>
          <w:sz w:val="36"/>
        </w:rPr>
      </w:pPr>
      <w:bookmarkStart w:id="79" w:name="_Toc6452"/>
      <w:bookmarkStart w:id="80" w:name="_Toc10152"/>
      <w:r>
        <w:rPr>
          <w:rFonts w:hint="eastAsia" w:ascii="宋体" w:hAnsi="宋体" w:eastAsia="宋体" w:cs="宋体"/>
          <w:b/>
          <w:bCs/>
          <w:kern w:val="0"/>
          <w:sz w:val="36"/>
        </w:rPr>
        <w:t>九、参加政府采购活动前 3 年内在经营活动中没有重大违法记录的书面声明</w:t>
      </w:r>
      <w:bookmarkEnd w:id="79"/>
    </w:p>
    <w:p>
      <w:pPr>
        <w:pStyle w:val="2"/>
      </w:pPr>
    </w:p>
    <w:p>
      <w:pPr>
        <w:spacing w:before="156" w:beforeLines="50" w:after="156" w:afterLines="50" w:line="300" w:lineRule="auto"/>
        <w:rPr>
          <w:rFonts w:ascii="宋体" w:hAnsi="宋体" w:eastAsia="宋体" w:cs="宋体"/>
          <w:bCs/>
          <w:sz w:val="24"/>
        </w:rPr>
      </w:pPr>
      <w:r>
        <w:rPr>
          <w:rFonts w:hint="eastAsia" w:ascii="宋体" w:hAnsi="宋体" w:eastAsia="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56" w:beforeLines="50" w:after="156" w:afterLines="50" w:line="300" w:lineRule="auto"/>
        <w:rPr>
          <w:rFonts w:ascii="宋体" w:hAnsi="宋体" w:eastAsia="宋体" w:cs="宋体"/>
          <w:bCs/>
          <w:sz w:val="24"/>
        </w:rPr>
      </w:pPr>
    </w:p>
    <w:p>
      <w:pPr>
        <w:pStyle w:val="47"/>
        <w:spacing w:before="156" w:beforeLines="50" w:after="156" w:afterLines="50" w:line="300" w:lineRule="auto"/>
        <w:ind w:left="420" w:leftChars="200" w:firstLine="5280" w:firstLineChars="2200"/>
        <w:rPr>
          <w:rFonts w:ascii="宋体" w:hAnsi="宋体" w:eastAsia="宋体" w:cs="宋体"/>
          <w:kern w:val="2"/>
        </w:rPr>
      </w:pPr>
      <w:r>
        <w:rPr>
          <w:rFonts w:hint="eastAsia" w:ascii="宋体" w:hAnsi="宋体" w:cs="宋体"/>
          <w:kern w:val="2"/>
        </w:rPr>
        <w:t>供应商</w:t>
      </w:r>
      <w:r>
        <w:rPr>
          <w:rFonts w:hint="eastAsia" w:ascii="宋体" w:hAnsi="宋体" w:eastAsia="宋体" w:cs="宋体"/>
          <w:kern w:val="2"/>
        </w:rPr>
        <w:t xml:space="preserve">名称（盖章）： </w:t>
      </w:r>
    </w:p>
    <w:p>
      <w:pPr>
        <w:spacing w:before="156" w:beforeLines="50" w:after="156" w:afterLines="50" w:line="300" w:lineRule="auto"/>
        <w:ind w:firstLine="5760" w:firstLineChars="2400"/>
        <w:rPr>
          <w:rFonts w:ascii="宋体" w:hAnsi="宋体" w:eastAsia="宋体" w:cs="宋体"/>
          <w:bCs/>
          <w:sz w:val="24"/>
        </w:rPr>
      </w:pPr>
      <w:r>
        <w:rPr>
          <w:rFonts w:hint="eastAsia" w:ascii="宋体" w:hAnsi="宋体" w:eastAsia="宋体" w:cs="宋体"/>
          <w:sz w:val="24"/>
        </w:rPr>
        <w:t>______年____月____日</w:t>
      </w:r>
    </w:p>
    <w:p>
      <w:pPr>
        <w:pStyle w:val="7"/>
        <w:jc w:val="center"/>
        <w:rPr>
          <w:rFonts w:asciiTheme="majorEastAsia" w:hAnsiTheme="majorEastAsia" w:eastAsiaTheme="majorEastAsia" w:cstheme="majorEastAsia"/>
        </w:rPr>
      </w:pPr>
    </w:p>
    <w:p>
      <w:pPr>
        <w:pStyle w:val="7"/>
        <w:jc w:val="center"/>
        <w:rPr>
          <w:rFonts w:asciiTheme="majorEastAsia" w:hAnsiTheme="majorEastAsia" w:eastAsiaTheme="majorEastAsia" w:cstheme="majorEastAsia"/>
        </w:rPr>
      </w:pPr>
    </w:p>
    <w:p>
      <w:pPr>
        <w:pStyle w:val="7"/>
        <w:jc w:val="center"/>
        <w:rPr>
          <w:rFonts w:asciiTheme="majorEastAsia" w:hAnsiTheme="majorEastAsia" w:eastAsiaTheme="majorEastAsia" w:cstheme="majorEastAsia"/>
        </w:rPr>
      </w:pPr>
    </w:p>
    <w:p>
      <w:pPr>
        <w:pStyle w:val="7"/>
        <w:jc w:val="center"/>
        <w:rPr>
          <w:rFonts w:asciiTheme="majorEastAsia" w:hAnsiTheme="majorEastAsia" w:eastAsiaTheme="majorEastAsia" w:cstheme="majorEastAsia"/>
        </w:rPr>
      </w:pPr>
    </w:p>
    <w:p>
      <w:pPr>
        <w:rPr>
          <w:rFonts w:asciiTheme="majorEastAsia" w:hAnsiTheme="majorEastAsia" w:eastAsiaTheme="majorEastAsia" w:cstheme="majorEastAsia"/>
        </w:rPr>
      </w:pPr>
    </w:p>
    <w:p>
      <w:pPr>
        <w:pStyle w:val="31"/>
        <w:rPr>
          <w:rFonts w:asciiTheme="majorEastAsia" w:hAnsiTheme="majorEastAsia" w:eastAsiaTheme="majorEastAsia" w:cstheme="majorEastAsia"/>
          <w:color w:val="auto"/>
        </w:rPr>
      </w:pPr>
    </w:p>
    <w:p>
      <w:pPr>
        <w:pStyle w:val="5"/>
        <w:rPr>
          <w:rFonts w:asciiTheme="majorEastAsia" w:hAnsiTheme="majorEastAsia" w:eastAsiaTheme="majorEastAsia" w:cstheme="majorEastAsia"/>
        </w:rPr>
      </w:pPr>
    </w:p>
    <w:p>
      <w:pPr>
        <w:rPr>
          <w:rFonts w:asciiTheme="majorEastAsia" w:hAnsiTheme="majorEastAsia" w:eastAsiaTheme="majorEastAsia" w:cstheme="majorEastAsia"/>
        </w:rPr>
      </w:pPr>
    </w:p>
    <w:p>
      <w:pPr>
        <w:pStyle w:val="31"/>
        <w:rPr>
          <w:rFonts w:asciiTheme="majorEastAsia" w:hAnsiTheme="majorEastAsia" w:eastAsiaTheme="majorEastAsia" w:cstheme="majorEastAsia"/>
          <w:color w:val="auto"/>
        </w:rPr>
      </w:pPr>
    </w:p>
    <w:p>
      <w:pPr>
        <w:pStyle w:val="7"/>
        <w:rPr>
          <w:rFonts w:asciiTheme="majorEastAsia" w:hAnsiTheme="majorEastAsia" w:eastAsiaTheme="majorEastAsia" w:cstheme="majorEastAsia"/>
        </w:rPr>
      </w:pPr>
    </w:p>
    <w:p/>
    <w:p>
      <w:pPr>
        <w:pStyle w:val="7"/>
        <w:jc w:val="center"/>
        <w:rPr>
          <w:rFonts w:asciiTheme="majorEastAsia" w:hAnsiTheme="majorEastAsia" w:eastAsiaTheme="majorEastAsia" w:cstheme="majorEastAsia"/>
        </w:rPr>
      </w:pPr>
      <w:bookmarkStart w:id="81" w:name="_Toc7635"/>
      <w:r>
        <w:rPr>
          <w:rFonts w:hint="eastAsia" w:asciiTheme="majorEastAsia" w:hAnsiTheme="majorEastAsia" w:eastAsiaTheme="majorEastAsia" w:cstheme="majorEastAsia"/>
        </w:rPr>
        <w:t>十、其他资料</w:t>
      </w:r>
      <w:bookmarkEnd w:id="80"/>
      <w:bookmarkEnd w:id="81"/>
    </w:p>
    <w:p>
      <w:pPr>
        <w:spacing w:line="360" w:lineRule="auto"/>
        <w:rPr>
          <w:szCs w:val="21"/>
        </w:rPr>
      </w:pPr>
      <w:r>
        <w:rPr>
          <w:rFonts w:hint="eastAsia" w:asciiTheme="majorEastAsia" w:hAnsiTheme="majorEastAsia" w:eastAsiaTheme="majorEastAsia" w:cstheme="majorEastAsia"/>
          <w:szCs w:val="21"/>
        </w:rPr>
        <w:t>请在此处放入：</w:t>
      </w:r>
    </w:p>
    <w:p>
      <w:pPr>
        <w:spacing w:line="360" w:lineRule="auto"/>
        <w:jc w:val="left"/>
        <w:rPr>
          <w:rFonts w:ascii="宋体" w:hAnsi="宋体" w:eastAsia="宋体" w:cs="宋体"/>
          <w:sz w:val="22"/>
          <w:szCs w:val="22"/>
        </w:rPr>
      </w:pPr>
      <w:r>
        <w:rPr>
          <w:rFonts w:hint="eastAsia" w:ascii="宋体" w:cs="宋体"/>
          <w:sz w:val="24"/>
        </w:rPr>
        <w:t>凡拟参加本次招标项目的投标人，如在“信用中国”网站（www.creditchina.gov.cn）被列入失信被执行人、</w:t>
      </w:r>
      <w:r>
        <w:rPr>
          <w:rFonts w:hint="eastAsia"/>
          <w:sz w:val="24"/>
        </w:rPr>
        <w:t>税收违法黑名单、</w:t>
      </w:r>
      <w:r>
        <w:rPr>
          <w:rFonts w:hint="eastAsia" w:ascii="宋体" w:cs="宋体"/>
          <w:sz w:val="24"/>
        </w:rPr>
        <w:t>中国政府采购网（www.ccgp.gov.cn）被列入政府采购严重违法失信行为记录名单的（尚在处罚期内的），将拒绝其参本次采购活动。（提供网站截图）</w:t>
      </w:r>
    </w:p>
    <w:p>
      <w:pPr>
        <w:spacing w:line="360" w:lineRule="auto"/>
        <w:jc w:val="left"/>
        <w:rPr>
          <w:rFonts w:ascii="宋体" w:hAnsi="宋体"/>
          <w:szCs w:val="21"/>
        </w:rPr>
      </w:pPr>
      <w:r>
        <w:rPr>
          <w:rFonts w:ascii="宋体" w:hAnsi="宋体"/>
          <w:szCs w:val="21"/>
        </w:rPr>
        <w:t>2</w:t>
      </w:r>
      <w:r>
        <w:rPr>
          <w:rFonts w:hint="eastAsia" w:ascii="宋体" w:hAnsi="宋体"/>
          <w:szCs w:val="21"/>
        </w:rPr>
        <w:t>.投标人认为有必要提交的其他资料；</w:t>
      </w:r>
    </w:p>
    <w:p>
      <w:pPr>
        <w:spacing w:line="360" w:lineRule="auto"/>
        <w:jc w:val="left"/>
        <w:rPr>
          <w:rFonts w:ascii="宋体" w:hAnsi="宋体" w:eastAsia="宋体" w:cs="宋体"/>
          <w:sz w:val="22"/>
          <w:szCs w:val="22"/>
        </w:rPr>
      </w:pPr>
      <w:r>
        <w:rPr>
          <w:rFonts w:hint="eastAsia" w:ascii="宋体" w:hAnsi="宋体" w:eastAsia="宋体" w:cs="宋体"/>
          <w:sz w:val="22"/>
          <w:szCs w:val="22"/>
        </w:rPr>
        <w:t>4.中小企业声明函（后附格式）</w:t>
      </w:r>
    </w:p>
    <w:p>
      <w:pPr>
        <w:pStyle w:val="5"/>
        <w:rPr>
          <w:rFonts w:ascii="宋体" w:hAnsi="宋体" w:eastAsia="宋体" w:cs="宋体"/>
          <w:b w:val="0"/>
          <w:kern w:val="2"/>
          <w:sz w:val="22"/>
          <w:szCs w:val="22"/>
        </w:rPr>
      </w:pPr>
    </w:p>
    <w:p>
      <w:pPr>
        <w:rPr>
          <w:rFonts w:ascii="宋体" w:hAnsi="宋体" w:eastAsia="宋体" w:cs="宋体"/>
          <w:sz w:val="22"/>
          <w:szCs w:val="22"/>
        </w:rPr>
      </w:pPr>
    </w:p>
    <w:p>
      <w:pPr>
        <w:pStyle w:val="5"/>
        <w:rPr>
          <w:rFonts w:ascii="宋体" w:hAnsi="宋体" w:eastAsia="宋体" w:cs="宋体"/>
          <w:b w:val="0"/>
          <w:kern w:val="2"/>
          <w:sz w:val="22"/>
          <w:szCs w:val="22"/>
        </w:rPr>
      </w:pPr>
    </w:p>
    <w:p>
      <w:pPr>
        <w:rPr>
          <w:rFonts w:ascii="宋体" w:hAnsi="宋体" w:eastAsia="宋体" w:cs="宋体"/>
          <w:sz w:val="22"/>
          <w:szCs w:val="22"/>
        </w:rPr>
      </w:pPr>
    </w:p>
    <w:p>
      <w:pPr>
        <w:pStyle w:val="5"/>
        <w:rPr>
          <w:rFonts w:ascii="宋体" w:hAnsi="宋体" w:eastAsia="宋体" w:cs="宋体"/>
          <w:b w:val="0"/>
          <w:kern w:val="2"/>
          <w:sz w:val="22"/>
          <w:szCs w:val="22"/>
        </w:rPr>
      </w:pPr>
    </w:p>
    <w:p>
      <w:pPr>
        <w:rPr>
          <w:rFonts w:ascii="宋体" w:hAnsi="宋体" w:eastAsia="宋体" w:cs="宋体"/>
          <w:sz w:val="22"/>
          <w:szCs w:val="22"/>
        </w:rPr>
      </w:pPr>
    </w:p>
    <w:p>
      <w:pPr>
        <w:pStyle w:val="5"/>
        <w:rPr>
          <w:rFonts w:ascii="宋体" w:hAnsi="宋体" w:eastAsia="宋体" w:cs="宋体"/>
          <w:b w:val="0"/>
          <w:kern w:val="2"/>
          <w:sz w:val="22"/>
          <w:szCs w:val="22"/>
        </w:rPr>
      </w:pPr>
    </w:p>
    <w:p/>
    <w:p>
      <w:pPr>
        <w:rPr>
          <w:rFonts w:ascii="宋体" w:hAnsi="宋体" w:eastAsia="宋体" w:cs="宋体"/>
          <w:sz w:val="22"/>
          <w:szCs w:val="22"/>
        </w:rPr>
      </w:pPr>
    </w:p>
    <w:p>
      <w:pPr>
        <w:pStyle w:val="5"/>
        <w:rPr>
          <w:rFonts w:ascii="宋体" w:hAnsi="宋体" w:eastAsia="宋体" w:cs="宋体"/>
          <w:b w:val="0"/>
          <w:kern w:val="2"/>
          <w:sz w:val="22"/>
          <w:szCs w:val="22"/>
        </w:rPr>
      </w:pPr>
    </w:p>
    <w:p/>
    <w:p>
      <w:pPr>
        <w:spacing w:line="360" w:lineRule="auto"/>
        <w:jc w:val="left"/>
        <w:rPr>
          <w:rFonts w:ascii="宋体" w:cs="宋体"/>
          <w:sz w:val="24"/>
        </w:rPr>
      </w:pPr>
    </w:p>
    <w:p>
      <w:pPr>
        <w:numPr>
          <w:ilvl w:val="0"/>
          <w:numId w:val="0"/>
        </w:numPr>
        <w:spacing w:line="360" w:lineRule="auto"/>
        <w:jc w:val="center"/>
        <w:rPr>
          <w:rFonts w:hint="eastAsia" w:asciiTheme="majorEastAsia" w:hAnsiTheme="majorEastAsia" w:eastAsiaTheme="majorEastAsia" w:cstheme="majorEastAsia"/>
          <w:b/>
          <w:color w:val="auto"/>
          <w:kern w:val="2"/>
          <w:sz w:val="32"/>
          <w:szCs w:val="24"/>
          <w:lang w:val="en-US" w:eastAsia="zh-CN" w:bidi="ar-SA"/>
        </w:rPr>
      </w:pPr>
      <w:r>
        <w:rPr>
          <w:rFonts w:hint="eastAsia" w:asciiTheme="majorEastAsia" w:hAnsiTheme="majorEastAsia" w:eastAsiaTheme="majorEastAsia" w:cstheme="majorEastAsia"/>
          <w:b/>
          <w:color w:val="auto"/>
          <w:kern w:val="2"/>
          <w:sz w:val="32"/>
          <w:szCs w:val="24"/>
          <w:lang w:val="en-US" w:eastAsia="zh-CN" w:bidi="ar-SA"/>
        </w:rPr>
        <w:t>中小企业声明函（货物）</w:t>
      </w:r>
    </w:p>
    <w:p>
      <w:pPr>
        <w:numPr>
          <w:ilvl w:val="0"/>
          <w:numId w:val="0"/>
        </w:numPr>
        <w:spacing w:line="360" w:lineRule="auto"/>
        <w:jc w:val="left"/>
        <w:rPr>
          <w:rFonts w:hint="eastAsia" w:ascii="宋体" w:cs="宋体"/>
          <w:sz w:val="24"/>
          <w:lang w:eastAsia="zh-CN"/>
        </w:rPr>
      </w:pPr>
    </w:p>
    <w:p>
      <w:pPr>
        <w:numPr>
          <w:ilvl w:val="0"/>
          <w:numId w:val="0"/>
        </w:numPr>
        <w:spacing w:line="360" w:lineRule="auto"/>
        <w:ind w:firstLine="720" w:firstLineChars="300"/>
        <w:jc w:val="left"/>
        <w:rPr>
          <w:rFonts w:hint="eastAsia" w:ascii="宋体" w:cs="宋体"/>
          <w:sz w:val="24"/>
          <w:lang w:eastAsia="zh-CN"/>
        </w:rPr>
      </w:pPr>
      <w:r>
        <w:rPr>
          <w:rFonts w:hint="eastAsia" w:ascii="宋体" w:cs="宋体"/>
          <w:sz w:val="24"/>
          <w:lang w:eastAsia="zh-CN"/>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numPr>
          <w:ilvl w:val="0"/>
          <w:numId w:val="0"/>
        </w:numPr>
        <w:spacing w:line="360" w:lineRule="auto"/>
        <w:ind w:firstLine="480" w:firstLineChars="200"/>
        <w:jc w:val="left"/>
        <w:rPr>
          <w:rFonts w:hint="eastAsia" w:ascii="宋体" w:cs="宋体"/>
          <w:sz w:val="24"/>
          <w:lang w:eastAsia="zh-CN"/>
        </w:rPr>
      </w:pPr>
      <w:r>
        <w:rPr>
          <w:rFonts w:hint="eastAsia" w:ascii="宋体" w:cs="宋体"/>
          <w:sz w:val="24"/>
          <w:lang w:eastAsia="zh-CN"/>
        </w:rPr>
        <w:t>1.</w:t>
      </w:r>
      <w:r>
        <w:rPr>
          <w:rFonts w:hint="eastAsia" w:ascii="宋体" w:cs="宋体"/>
          <w:sz w:val="24"/>
          <w:u w:val="single"/>
          <w:lang w:eastAsia="zh-CN"/>
        </w:rPr>
        <w:t xml:space="preserve">（标的名称） </w:t>
      </w:r>
      <w:r>
        <w:rPr>
          <w:rFonts w:hint="eastAsia" w:ascii="宋体" w:cs="宋体"/>
          <w:sz w:val="24"/>
          <w:lang w:eastAsia="zh-CN"/>
        </w:rPr>
        <w:t>，属于</w:t>
      </w:r>
      <w:r>
        <w:rPr>
          <w:rFonts w:hint="eastAsia" w:ascii="宋体" w:cs="宋体"/>
          <w:sz w:val="24"/>
          <w:u w:val="single"/>
          <w:lang w:eastAsia="zh-CN"/>
        </w:rPr>
        <w:t>（采购文件中明确的所属行业）</w:t>
      </w:r>
      <w:r>
        <w:rPr>
          <w:rFonts w:hint="eastAsia" w:ascii="宋体" w:cs="宋体"/>
          <w:sz w:val="24"/>
          <w:lang w:eastAsia="zh-CN"/>
        </w:rPr>
        <w:t>行业；制造商为</w:t>
      </w:r>
      <w:r>
        <w:rPr>
          <w:rFonts w:hint="eastAsia" w:ascii="宋体" w:cs="宋体"/>
          <w:sz w:val="24"/>
          <w:u w:val="single"/>
          <w:lang w:eastAsia="zh-CN"/>
        </w:rPr>
        <w:t>（企业名称）</w:t>
      </w:r>
      <w:r>
        <w:rPr>
          <w:rFonts w:hint="eastAsia" w:ascii="宋体" w:cs="宋体"/>
          <w:sz w:val="24"/>
          <w:lang w:eastAsia="zh-CN"/>
        </w:rPr>
        <w:t>，从业人员</w:t>
      </w:r>
      <w:r>
        <w:rPr>
          <w:rFonts w:hint="eastAsia" w:ascii="宋体" w:cs="宋体"/>
          <w:sz w:val="24"/>
          <w:u w:val="single"/>
          <w:lang w:eastAsia="zh-CN"/>
        </w:rPr>
        <w:t xml:space="preserve">     </w:t>
      </w:r>
      <w:r>
        <w:rPr>
          <w:rFonts w:hint="eastAsia" w:ascii="宋体" w:cs="宋体"/>
          <w:sz w:val="24"/>
          <w:lang w:eastAsia="zh-CN"/>
        </w:rPr>
        <w:t>人，营业收入为</w:t>
      </w:r>
      <w:r>
        <w:rPr>
          <w:rFonts w:hint="eastAsia" w:ascii="宋体" w:cs="宋体"/>
          <w:sz w:val="24"/>
          <w:u w:val="single"/>
          <w:lang w:eastAsia="zh-CN"/>
        </w:rPr>
        <w:t xml:space="preserve">     </w:t>
      </w:r>
      <w:r>
        <w:rPr>
          <w:rFonts w:hint="eastAsia" w:ascii="宋体" w:cs="宋体"/>
          <w:sz w:val="24"/>
          <w:lang w:eastAsia="zh-CN"/>
        </w:rPr>
        <w:t>万元，资产总额为</w:t>
      </w:r>
      <w:r>
        <w:rPr>
          <w:rFonts w:hint="eastAsia" w:ascii="宋体" w:cs="宋体"/>
          <w:sz w:val="24"/>
          <w:u w:val="single"/>
          <w:lang w:eastAsia="zh-CN"/>
        </w:rPr>
        <w:t xml:space="preserve">     </w:t>
      </w:r>
      <w:r>
        <w:rPr>
          <w:rFonts w:hint="eastAsia" w:ascii="宋体" w:cs="宋体"/>
          <w:sz w:val="24"/>
          <w:lang w:eastAsia="zh-CN"/>
        </w:rPr>
        <w:t>万元，属于</w:t>
      </w:r>
      <w:r>
        <w:rPr>
          <w:rFonts w:hint="eastAsia" w:ascii="宋体" w:cs="宋体"/>
          <w:sz w:val="24"/>
          <w:u w:val="single"/>
          <w:lang w:eastAsia="zh-CN"/>
        </w:rPr>
        <w:t>（中型企业、小型企业、微型企业）</w:t>
      </w:r>
      <w:r>
        <w:rPr>
          <w:rFonts w:hint="eastAsia" w:ascii="宋体" w:cs="宋体"/>
          <w:sz w:val="24"/>
          <w:lang w:eastAsia="zh-CN"/>
        </w:rPr>
        <w:t>；</w:t>
      </w:r>
    </w:p>
    <w:p>
      <w:pPr>
        <w:numPr>
          <w:ilvl w:val="0"/>
          <w:numId w:val="0"/>
        </w:numPr>
        <w:spacing w:line="360" w:lineRule="auto"/>
        <w:ind w:firstLine="480" w:firstLineChars="200"/>
        <w:jc w:val="left"/>
        <w:rPr>
          <w:rFonts w:hint="eastAsia" w:ascii="宋体" w:cs="宋体"/>
          <w:sz w:val="24"/>
          <w:lang w:eastAsia="zh-CN"/>
        </w:rPr>
      </w:pPr>
      <w:r>
        <w:rPr>
          <w:rFonts w:hint="eastAsia" w:ascii="宋体" w:cs="宋体"/>
          <w:sz w:val="24"/>
          <w:lang w:eastAsia="zh-CN"/>
        </w:rPr>
        <w:t>2.</w:t>
      </w:r>
      <w:r>
        <w:rPr>
          <w:rFonts w:hint="eastAsia" w:ascii="宋体" w:cs="宋体"/>
          <w:sz w:val="24"/>
          <w:u w:val="single"/>
          <w:lang w:eastAsia="zh-CN"/>
        </w:rPr>
        <w:t xml:space="preserve">（标的名称） </w:t>
      </w:r>
      <w:r>
        <w:rPr>
          <w:rFonts w:hint="eastAsia" w:ascii="宋体" w:cs="宋体"/>
          <w:sz w:val="24"/>
          <w:lang w:eastAsia="zh-CN"/>
        </w:rPr>
        <w:t>，属于</w:t>
      </w:r>
      <w:r>
        <w:rPr>
          <w:rFonts w:hint="eastAsia" w:ascii="宋体" w:cs="宋体"/>
          <w:sz w:val="24"/>
          <w:u w:val="single"/>
          <w:lang w:eastAsia="zh-CN"/>
        </w:rPr>
        <w:t>（采购文件中明确的所属行业）</w:t>
      </w:r>
      <w:r>
        <w:rPr>
          <w:rFonts w:hint="eastAsia" w:ascii="宋体" w:cs="宋体"/>
          <w:sz w:val="24"/>
          <w:lang w:eastAsia="zh-CN"/>
        </w:rPr>
        <w:t>行业；制造商为</w:t>
      </w:r>
      <w:r>
        <w:rPr>
          <w:rFonts w:hint="eastAsia" w:ascii="宋体" w:cs="宋体"/>
          <w:sz w:val="24"/>
          <w:u w:val="single"/>
          <w:lang w:eastAsia="zh-CN"/>
        </w:rPr>
        <w:t>（企业名称）</w:t>
      </w:r>
      <w:r>
        <w:rPr>
          <w:rFonts w:hint="eastAsia" w:ascii="宋体" w:cs="宋体"/>
          <w:sz w:val="24"/>
          <w:lang w:eastAsia="zh-CN"/>
        </w:rPr>
        <w:t>，从业人员</w:t>
      </w:r>
      <w:r>
        <w:rPr>
          <w:rFonts w:hint="eastAsia" w:ascii="宋体" w:cs="宋体"/>
          <w:sz w:val="24"/>
          <w:u w:val="single"/>
          <w:lang w:eastAsia="zh-CN"/>
        </w:rPr>
        <w:t xml:space="preserve">     </w:t>
      </w:r>
      <w:r>
        <w:rPr>
          <w:rFonts w:hint="eastAsia" w:ascii="宋体" w:cs="宋体"/>
          <w:sz w:val="24"/>
          <w:lang w:eastAsia="zh-CN"/>
        </w:rPr>
        <w:t>人，营业收入为</w:t>
      </w:r>
      <w:r>
        <w:rPr>
          <w:rFonts w:hint="eastAsia" w:ascii="宋体" w:cs="宋体"/>
          <w:sz w:val="24"/>
          <w:u w:val="single"/>
          <w:lang w:eastAsia="zh-CN"/>
        </w:rPr>
        <w:t xml:space="preserve">     </w:t>
      </w:r>
      <w:r>
        <w:rPr>
          <w:rFonts w:hint="eastAsia" w:ascii="宋体" w:cs="宋体"/>
          <w:sz w:val="24"/>
          <w:lang w:eastAsia="zh-CN"/>
        </w:rPr>
        <w:t>万元，资产总额为</w:t>
      </w:r>
      <w:r>
        <w:rPr>
          <w:rFonts w:hint="eastAsia" w:ascii="宋体" w:cs="宋体"/>
          <w:sz w:val="24"/>
          <w:u w:val="single"/>
          <w:lang w:eastAsia="zh-CN"/>
        </w:rPr>
        <w:t xml:space="preserve">     </w:t>
      </w:r>
      <w:r>
        <w:rPr>
          <w:rFonts w:hint="eastAsia" w:ascii="宋体" w:cs="宋体"/>
          <w:sz w:val="24"/>
          <w:lang w:eastAsia="zh-CN"/>
        </w:rPr>
        <w:t>万元，属于</w:t>
      </w:r>
      <w:r>
        <w:rPr>
          <w:rFonts w:hint="eastAsia" w:ascii="宋体" w:cs="宋体"/>
          <w:sz w:val="24"/>
          <w:u w:val="single"/>
          <w:lang w:eastAsia="zh-CN"/>
        </w:rPr>
        <w:t>（中型企业、小型企业、微型企业）</w:t>
      </w:r>
      <w:r>
        <w:rPr>
          <w:rFonts w:hint="eastAsia" w:ascii="宋体" w:cs="宋体"/>
          <w:sz w:val="24"/>
          <w:lang w:eastAsia="zh-CN"/>
        </w:rPr>
        <w:t>；</w:t>
      </w:r>
    </w:p>
    <w:p>
      <w:pPr>
        <w:numPr>
          <w:ilvl w:val="0"/>
          <w:numId w:val="0"/>
        </w:numPr>
        <w:spacing w:line="360" w:lineRule="auto"/>
        <w:jc w:val="left"/>
        <w:rPr>
          <w:rFonts w:hint="eastAsia" w:ascii="宋体" w:cs="宋体"/>
          <w:sz w:val="24"/>
          <w:lang w:eastAsia="zh-CN"/>
        </w:rPr>
      </w:pPr>
      <w:r>
        <w:rPr>
          <w:rFonts w:hint="eastAsia" w:ascii="宋体" w:cs="宋体"/>
          <w:sz w:val="24"/>
          <w:lang w:eastAsia="zh-CN"/>
        </w:rPr>
        <w:t>……</w:t>
      </w:r>
    </w:p>
    <w:p>
      <w:pPr>
        <w:numPr>
          <w:ilvl w:val="0"/>
          <w:numId w:val="0"/>
        </w:numPr>
        <w:spacing w:line="360" w:lineRule="auto"/>
        <w:ind w:firstLine="480" w:firstLineChars="200"/>
        <w:jc w:val="left"/>
        <w:rPr>
          <w:rFonts w:hint="eastAsia" w:ascii="宋体" w:cs="宋体"/>
          <w:sz w:val="24"/>
          <w:lang w:eastAsia="zh-CN"/>
        </w:rPr>
      </w:pPr>
      <w:r>
        <w:rPr>
          <w:rFonts w:hint="eastAsia" w:ascii="宋体" w:cs="宋体"/>
          <w:sz w:val="24"/>
          <w:lang w:eastAsia="zh-CN"/>
        </w:rPr>
        <w:t>以上企业，不属于大企业的分支机构，不存在控股股东为大企业的情形，也不存在与大企业的负责人为同一人的情形。</w:t>
      </w:r>
    </w:p>
    <w:p>
      <w:pPr>
        <w:numPr>
          <w:ilvl w:val="0"/>
          <w:numId w:val="0"/>
        </w:numPr>
        <w:spacing w:line="360" w:lineRule="auto"/>
        <w:ind w:firstLine="480" w:firstLineChars="200"/>
        <w:jc w:val="left"/>
        <w:rPr>
          <w:rFonts w:hint="eastAsia" w:ascii="宋体" w:cs="宋体"/>
          <w:sz w:val="24"/>
          <w:lang w:eastAsia="zh-CN"/>
        </w:rPr>
      </w:pPr>
      <w:r>
        <w:rPr>
          <w:rFonts w:hint="eastAsia" w:ascii="宋体" w:cs="宋体"/>
          <w:sz w:val="24"/>
          <w:lang w:eastAsia="zh-CN"/>
        </w:rPr>
        <w:t>本企业对上述声明内容的真实性负责。如有虚假，将依法承担相应责任。</w:t>
      </w:r>
    </w:p>
    <w:p>
      <w:pPr>
        <w:numPr>
          <w:ilvl w:val="0"/>
          <w:numId w:val="0"/>
        </w:numPr>
        <w:spacing w:line="360" w:lineRule="auto"/>
        <w:jc w:val="left"/>
        <w:rPr>
          <w:rFonts w:hint="eastAsia" w:ascii="宋体" w:cs="宋体"/>
          <w:sz w:val="24"/>
          <w:lang w:eastAsia="zh-CN"/>
        </w:rPr>
      </w:pPr>
    </w:p>
    <w:p>
      <w:pPr>
        <w:numPr>
          <w:ilvl w:val="0"/>
          <w:numId w:val="0"/>
        </w:numPr>
        <w:spacing w:line="360" w:lineRule="auto"/>
        <w:jc w:val="left"/>
        <w:rPr>
          <w:rFonts w:hint="eastAsia" w:ascii="宋体" w:cs="宋体"/>
          <w:sz w:val="24"/>
          <w:lang w:eastAsia="zh-CN"/>
        </w:rPr>
      </w:pPr>
    </w:p>
    <w:p>
      <w:pPr>
        <w:numPr>
          <w:ilvl w:val="0"/>
          <w:numId w:val="0"/>
        </w:numPr>
        <w:spacing w:line="360" w:lineRule="auto"/>
        <w:jc w:val="left"/>
        <w:rPr>
          <w:rFonts w:hint="eastAsia" w:ascii="宋体" w:cs="宋体"/>
          <w:sz w:val="24"/>
          <w:lang w:eastAsia="zh-CN"/>
        </w:rPr>
      </w:pPr>
      <w:r>
        <w:rPr>
          <w:rFonts w:hint="eastAsia" w:ascii="宋体" w:cs="宋体"/>
          <w:sz w:val="24"/>
          <w:lang w:eastAsia="zh-CN"/>
        </w:rPr>
        <w:t>企业名称（盖章）：</w:t>
      </w:r>
    </w:p>
    <w:p>
      <w:pPr>
        <w:numPr>
          <w:ilvl w:val="0"/>
          <w:numId w:val="0"/>
        </w:numPr>
        <w:spacing w:line="360" w:lineRule="auto"/>
        <w:jc w:val="left"/>
        <w:rPr>
          <w:rFonts w:hint="eastAsia" w:ascii="宋体" w:cs="宋体"/>
          <w:sz w:val="24"/>
          <w:lang w:eastAsia="zh-CN"/>
        </w:rPr>
      </w:pPr>
      <w:r>
        <w:rPr>
          <w:rFonts w:hint="eastAsia" w:ascii="宋体" w:cs="宋体"/>
          <w:sz w:val="24"/>
          <w:lang w:eastAsia="zh-CN"/>
        </w:rPr>
        <w:t>日期：</w:t>
      </w:r>
    </w:p>
    <w:p>
      <w:pPr>
        <w:numPr>
          <w:ilvl w:val="0"/>
          <w:numId w:val="0"/>
        </w:numPr>
        <w:spacing w:line="360" w:lineRule="auto"/>
        <w:jc w:val="left"/>
        <w:rPr>
          <w:rFonts w:hint="eastAsia" w:ascii="宋体" w:cs="宋体"/>
          <w:sz w:val="24"/>
          <w:lang w:eastAsia="zh-CN"/>
        </w:rPr>
      </w:pPr>
    </w:p>
    <w:p>
      <w:pPr>
        <w:numPr>
          <w:ilvl w:val="0"/>
          <w:numId w:val="0"/>
        </w:numPr>
        <w:spacing w:line="360" w:lineRule="auto"/>
        <w:jc w:val="left"/>
        <w:rPr>
          <w:rFonts w:hint="eastAsia" w:ascii="宋体" w:cs="宋体"/>
          <w:sz w:val="24"/>
          <w:lang w:eastAsia="zh-CN"/>
        </w:rPr>
      </w:pPr>
    </w:p>
    <w:p>
      <w:pPr>
        <w:numPr>
          <w:ilvl w:val="0"/>
          <w:numId w:val="0"/>
        </w:numPr>
        <w:spacing w:line="360" w:lineRule="auto"/>
        <w:jc w:val="left"/>
        <w:rPr>
          <w:rFonts w:hint="eastAsia" w:ascii="宋体" w:cs="宋体"/>
          <w:b/>
          <w:bCs/>
          <w:sz w:val="24"/>
          <w:lang w:eastAsia="zh-CN"/>
        </w:rPr>
      </w:pPr>
      <w:r>
        <w:rPr>
          <w:rFonts w:hint="eastAsia" w:ascii="宋体" w:cs="宋体"/>
          <w:b/>
          <w:bCs/>
          <w:sz w:val="24"/>
          <w:lang w:eastAsia="zh-CN"/>
        </w:rPr>
        <w:t>备注：1、从业人员、营业收入、资产总额填报上一年度数据，无上一年度数据的新成立企业可不填报。</w:t>
      </w:r>
    </w:p>
    <w:p>
      <w:pPr>
        <w:numPr>
          <w:ilvl w:val="0"/>
          <w:numId w:val="0"/>
        </w:numPr>
        <w:spacing w:line="360" w:lineRule="auto"/>
        <w:jc w:val="left"/>
        <w:rPr>
          <w:rFonts w:hint="eastAsia" w:ascii="宋体" w:cs="宋体"/>
          <w:b/>
          <w:bCs/>
          <w:sz w:val="24"/>
          <w:lang w:eastAsia="zh-CN"/>
        </w:rPr>
      </w:pPr>
      <w:r>
        <w:rPr>
          <w:rFonts w:hint="eastAsia" w:ascii="宋体" w:cs="宋体"/>
          <w:b/>
          <w:bCs/>
          <w:sz w:val="24"/>
          <w:lang w:eastAsia="zh-CN"/>
        </w:rPr>
        <w:t>响应人为中小企业时需提供本声明函，并完整填写从业人员、营业收入、资产总额等内容，否则评审时不能享受相应的价格扣除。</w:t>
      </w:r>
    </w:p>
    <w:p>
      <w:pPr>
        <w:numPr>
          <w:ilvl w:val="0"/>
          <w:numId w:val="0"/>
        </w:numPr>
        <w:spacing w:line="360" w:lineRule="auto"/>
        <w:jc w:val="left"/>
        <w:rPr>
          <w:rFonts w:hint="eastAsia" w:ascii="宋体" w:cs="宋体"/>
          <w:sz w:val="24"/>
          <w:lang w:val="en-US" w:eastAsia="zh-CN"/>
        </w:rPr>
      </w:pPr>
    </w:p>
    <w:p>
      <w:pPr>
        <w:spacing w:line="440" w:lineRule="exact"/>
        <w:ind w:firstLine="240" w:firstLineChars="100"/>
        <w:rPr>
          <w:rFonts w:ascii="宋体" w:cs="宋体"/>
          <w:sz w:val="24"/>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仿宋_GB2312">
    <w:altName w:val="方正仿宋_GBK"/>
    <w:panose1 w:val="02010609030101010101"/>
    <w:charset w:val="86"/>
    <w:family w:val="roma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icrosoft YaHei UI">
    <w:altName w:val="苹方-简"/>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28382"/>
    <w:multiLevelType w:val="singleLevel"/>
    <w:tmpl w:val="80128382"/>
    <w:lvl w:ilvl="0" w:tentative="0">
      <w:start w:val="1"/>
      <w:numFmt w:val="chineseCounting"/>
      <w:suff w:val="nothing"/>
      <w:lvlText w:val="%1、"/>
      <w:lvlJc w:val="left"/>
      <w:rPr>
        <w:rFonts w:hint="eastAsia"/>
      </w:rPr>
    </w:lvl>
  </w:abstractNum>
  <w:abstractNum w:abstractNumId="1">
    <w:nsid w:val="8372827A"/>
    <w:multiLevelType w:val="singleLevel"/>
    <w:tmpl w:val="8372827A"/>
    <w:lvl w:ilvl="0" w:tentative="0">
      <w:start w:val="1"/>
      <w:numFmt w:val="decimal"/>
      <w:lvlText w:val="%1."/>
      <w:lvlJc w:val="left"/>
      <w:pPr>
        <w:tabs>
          <w:tab w:val="left" w:pos="312"/>
        </w:tabs>
      </w:pPr>
    </w:lvl>
  </w:abstractNum>
  <w:abstractNum w:abstractNumId="2">
    <w:nsid w:val="047C384D"/>
    <w:multiLevelType w:val="multilevel"/>
    <w:tmpl w:val="047C384D"/>
    <w:lvl w:ilvl="0" w:tentative="0">
      <w:start w:val="1"/>
      <w:numFmt w:val="bullet"/>
      <w:pStyle w:val="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EF146EB"/>
    <w:multiLevelType w:val="multilevel"/>
    <w:tmpl w:val="4EF146E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C767AB"/>
    <w:multiLevelType w:val="singleLevel"/>
    <w:tmpl w:val="59C767AB"/>
    <w:lvl w:ilvl="0" w:tentative="0">
      <w:start w:val="2"/>
      <w:numFmt w:val="chineseCounting"/>
      <w:suff w:val="space"/>
      <w:lvlText w:val="第%1章"/>
      <w:lvlJc w:val="left"/>
    </w:lvl>
  </w:abstractNum>
  <w:abstractNum w:abstractNumId="5">
    <w:nsid w:val="59C7781B"/>
    <w:multiLevelType w:val="singleLevel"/>
    <w:tmpl w:val="59C7781B"/>
    <w:lvl w:ilvl="0" w:tentative="0">
      <w:start w:val="3"/>
      <w:numFmt w:val="chineseCounting"/>
      <w:suff w:val="space"/>
      <w:lvlText w:val="第%1章"/>
      <w:lvlJc w:val="left"/>
    </w:lvl>
  </w:abstractNum>
  <w:abstractNum w:abstractNumId="6">
    <w:nsid w:val="59C79DD7"/>
    <w:multiLevelType w:val="singleLevel"/>
    <w:tmpl w:val="59C79DD7"/>
    <w:lvl w:ilvl="0" w:tentative="0">
      <w:start w:val="6"/>
      <w:numFmt w:val="chineseCounting"/>
      <w:suff w:val="space"/>
      <w:lvlText w:val="第%1章"/>
      <w:lvlJc w:val="left"/>
    </w:lvl>
  </w:abstractNum>
  <w:abstractNum w:abstractNumId="7">
    <w:nsid w:val="5ACC8048"/>
    <w:multiLevelType w:val="singleLevel"/>
    <w:tmpl w:val="5ACC8048"/>
    <w:lvl w:ilvl="0" w:tentative="0">
      <w:start w:val="1"/>
      <w:numFmt w:val="chineseCounting"/>
      <w:suff w:val="nothing"/>
      <w:lvlText w:val="%1、"/>
      <w:lvlJc w:val="left"/>
      <w:pPr>
        <w:ind w:left="-52"/>
      </w:pPr>
    </w:lvl>
  </w:abstractNum>
  <w:abstractNum w:abstractNumId="8">
    <w:nsid w:val="72814906"/>
    <w:multiLevelType w:val="singleLevel"/>
    <w:tmpl w:val="72814906"/>
    <w:lvl w:ilvl="0" w:tentative="0">
      <w:start w:val="1"/>
      <w:numFmt w:val="decimal"/>
      <w:suff w:val="nothing"/>
      <w:lvlText w:val="%1、"/>
      <w:lvlJc w:val="left"/>
      <w:pPr>
        <w:ind w:left="240" w:firstLine="0"/>
      </w:pPr>
    </w:lvl>
  </w:abstractNum>
  <w:num w:numId="1">
    <w:abstractNumId w:val="2"/>
  </w:num>
  <w:num w:numId="2">
    <w:abstractNumId w:val="7"/>
  </w:num>
  <w:num w:numId="3">
    <w:abstractNumId w:val="1"/>
  </w:num>
  <w:num w:numId="4">
    <w:abstractNumId w:val="4"/>
  </w:num>
  <w:num w:numId="5">
    <w:abstractNumId w:val="8"/>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ZmY0OTJhNWRiZWEzMWNlYjJkMmZhOTdjMGRmM2UifQ=="/>
  </w:docVars>
  <w:rsids>
    <w:rsidRoot w:val="1FF42FCB"/>
    <w:rsid w:val="00074E66"/>
    <w:rsid w:val="000D3787"/>
    <w:rsid w:val="00164458"/>
    <w:rsid w:val="001F53A3"/>
    <w:rsid w:val="00244B56"/>
    <w:rsid w:val="00336098"/>
    <w:rsid w:val="00480277"/>
    <w:rsid w:val="00590AE3"/>
    <w:rsid w:val="005C75C1"/>
    <w:rsid w:val="005F20D4"/>
    <w:rsid w:val="007123DA"/>
    <w:rsid w:val="007A617B"/>
    <w:rsid w:val="007B33A9"/>
    <w:rsid w:val="00801FA0"/>
    <w:rsid w:val="008162D5"/>
    <w:rsid w:val="00964302"/>
    <w:rsid w:val="009F0E1D"/>
    <w:rsid w:val="00A306C0"/>
    <w:rsid w:val="00AF11E0"/>
    <w:rsid w:val="00B126DA"/>
    <w:rsid w:val="00B7500F"/>
    <w:rsid w:val="00CB5390"/>
    <w:rsid w:val="00CF695D"/>
    <w:rsid w:val="00D72727"/>
    <w:rsid w:val="00D82964"/>
    <w:rsid w:val="00E40840"/>
    <w:rsid w:val="00ED69C0"/>
    <w:rsid w:val="01025B5F"/>
    <w:rsid w:val="01411B9B"/>
    <w:rsid w:val="01DC02D5"/>
    <w:rsid w:val="022247A9"/>
    <w:rsid w:val="0301396B"/>
    <w:rsid w:val="03106470"/>
    <w:rsid w:val="041F6466"/>
    <w:rsid w:val="04686862"/>
    <w:rsid w:val="04C16D88"/>
    <w:rsid w:val="05663CCD"/>
    <w:rsid w:val="05863276"/>
    <w:rsid w:val="05B60A3D"/>
    <w:rsid w:val="06162836"/>
    <w:rsid w:val="073C4A4A"/>
    <w:rsid w:val="0740439B"/>
    <w:rsid w:val="074A70E8"/>
    <w:rsid w:val="08624FEB"/>
    <w:rsid w:val="086D11FE"/>
    <w:rsid w:val="087F27E9"/>
    <w:rsid w:val="09AA4D5C"/>
    <w:rsid w:val="09DA28CE"/>
    <w:rsid w:val="09E851EF"/>
    <w:rsid w:val="0A3F258C"/>
    <w:rsid w:val="0B0518E3"/>
    <w:rsid w:val="0C244DA4"/>
    <w:rsid w:val="0C4B3680"/>
    <w:rsid w:val="0C6B02F4"/>
    <w:rsid w:val="0CDD52E3"/>
    <w:rsid w:val="0D4B1AF8"/>
    <w:rsid w:val="0E4B3E34"/>
    <w:rsid w:val="0EF3685E"/>
    <w:rsid w:val="0FB7C63A"/>
    <w:rsid w:val="105A0963"/>
    <w:rsid w:val="10880F44"/>
    <w:rsid w:val="10DA09AE"/>
    <w:rsid w:val="119D30C3"/>
    <w:rsid w:val="12097831"/>
    <w:rsid w:val="12800300"/>
    <w:rsid w:val="128F377D"/>
    <w:rsid w:val="12D02578"/>
    <w:rsid w:val="12D64129"/>
    <w:rsid w:val="12F84C9C"/>
    <w:rsid w:val="1305767B"/>
    <w:rsid w:val="135A2C74"/>
    <w:rsid w:val="13611421"/>
    <w:rsid w:val="136A4726"/>
    <w:rsid w:val="139B5FA9"/>
    <w:rsid w:val="13B74905"/>
    <w:rsid w:val="146F061E"/>
    <w:rsid w:val="14F1432B"/>
    <w:rsid w:val="150F5AE9"/>
    <w:rsid w:val="15AF7FD9"/>
    <w:rsid w:val="167F2E5E"/>
    <w:rsid w:val="171949CE"/>
    <w:rsid w:val="17327F36"/>
    <w:rsid w:val="19835723"/>
    <w:rsid w:val="1A190CAC"/>
    <w:rsid w:val="1A564145"/>
    <w:rsid w:val="1B704701"/>
    <w:rsid w:val="1B745E27"/>
    <w:rsid w:val="1C3D55BC"/>
    <w:rsid w:val="1C497C44"/>
    <w:rsid w:val="1C8146A9"/>
    <w:rsid w:val="1C953788"/>
    <w:rsid w:val="1D63393B"/>
    <w:rsid w:val="1D7F2BE6"/>
    <w:rsid w:val="1D945065"/>
    <w:rsid w:val="1F0B558A"/>
    <w:rsid w:val="1F5F538D"/>
    <w:rsid w:val="1FF42FCB"/>
    <w:rsid w:val="1FFD035E"/>
    <w:rsid w:val="21125875"/>
    <w:rsid w:val="218C694B"/>
    <w:rsid w:val="21903A8B"/>
    <w:rsid w:val="22460F43"/>
    <w:rsid w:val="22A15E1C"/>
    <w:rsid w:val="22DF561F"/>
    <w:rsid w:val="22E536A2"/>
    <w:rsid w:val="23857AF4"/>
    <w:rsid w:val="23D849DF"/>
    <w:rsid w:val="245C5D51"/>
    <w:rsid w:val="251253F5"/>
    <w:rsid w:val="251E1348"/>
    <w:rsid w:val="260D4C31"/>
    <w:rsid w:val="27391076"/>
    <w:rsid w:val="29AD3E19"/>
    <w:rsid w:val="2AC739B7"/>
    <w:rsid w:val="2B533BE5"/>
    <w:rsid w:val="2B65068C"/>
    <w:rsid w:val="2B6F32B8"/>
    <w:rsid w:val="2B9920E3"/>
    <w:rsid w:val="2C0A3D5C"/>
    <w:rsid w:val="2C19299C"/>
    <w:rsid w:val="2C351E0C"/>
    <w:rsid w:val="2C55425C"/>
    <w:rsid w:val="2C7E6B42"/>
    <w:rsid w:val="2CB766A6"/>
    <w:rsid w:val="2D2C4E23"/>
    <w:rsid w:val="2DC170C4"/>
    <w:rsid w:val="2DC90C7A"/>
    <w:rsid w:val="2DFB0310"/>
    <w:rsid w:val="2F0915F6"/>
    <w:rsid w:val="30060A03"/>
    <w:rsid w:val="30145443"/>
    <w:rsid w:val="308275EA"/>
    <w:rsid w:val="30E14B20"/>
    <w:rsid w:val="31725E1E"/>
    <w:rsid w:val="32A47CEB"/>
    <w:rsid w:val="33042538"/>
    <w:rsid w:val="335A445C"/>
    <w:rsid w:val="33662D3B"/>
    <w:rsid w:val="338603AA"/>
    <w:rsid w:val="33DE6619"/>
    <w:rsid w:val="341B0F88"/>
    <w:rsid w:val="34564F6E"/>
    <w:rsid w:val="35CC2E1C"/>
    <w:rsid w:val="370556E2"/>
    <w:rsid w:val="379F0A81"/>
    <w:rsid w:val="38451FF0"/>
    <w:rsid w:val="38A749E3"/>
    <w:rsid w:val="392048A0"/>
    <w:rsid w:val="396C6C55"/>
    <w:rsid w:val="3B7B21D9"/>
    <w:rsid w:val="3BE204FF"/>
    <w:rsid w:val="3D6D6D01"/>
    <w:rsid w:val="3E6FF769"/>
    <w:rsid w:val="3EA546D7"/>
    <w:rsid w:val="3EAB9849"/>
    <w:rsid w:val="3EBF1057"/>
    <w:rsid w:val="3EC05EAD"/>
    <w:rsid w:val="3EE73970"/>
    <w:rsid w:val="3FA00F29"/>
    <w:rsid w:val="3FC574F3"/>
    <w:rsid w:val="405E4352"/>
    <w:rsid w:val="41F206D5"/>
    <w:rsid w:val="42105EAE"/>
    <w:rsid w:val="42293268"/>
    <w:rsid w:val="42864D18"/>
    <w:rsid w:val="436D7291"/>
    <w:rsid w:val="437C32F6"/>
    <w:rsid w:val="43A717F6"/>
    <w:rsid w:val="43EE5ED9"/>
    <w:rsid w:val="44E831C0"/>
    <w:rsid w:val="45A07133"/>
    <w:rsid w:val="46CF372D"/>
    <w:rsid w:val="46EA5D85"/>
    <w:rsid w:val="47B2035D"/>
    <w:rsid w:val="485E20F7"/>
    <w:rsid w:val="489B0441"/>
    <w:rsid w:val="49E60537"/>
    <w:rsid w:val="4A6359B2"/>
    <w:rsid w:val="4AC65B72"/>
    <w:rsid w:val="4ADA6548"/>
    <w:rsid w:val="4B0C702A"/>
    <w:rsid w:val="4BB313B2"/>
    <w:rsid w:val="4C4F4CDD"/>
    <w:rsid w:val="4D27359B"/>
    <w:rsid w:val="4D7B2B42"/>
    <w:rsid w:val="4DC20140"/>
    <w:rsid w:val="4E3D164A"/>
    <w:rsid w:val="4E413628"/>
    <w:rsid w:val="4E5F1555"/>
    <w:rsid w:val="506E6FD9"/>
    <w:rsid w:val="50BC3FFA"/>
    <w:rsid w:val="51EB5C61"/>
    <w:rsid w:val="521A4DF7"/>
    <w:rsid w:val="5298400D"/>
    <w:rsid w:val="52B359FA"/>
    <w:rsid w:val="52D23C0B"/>
    <w:rsid w:val="532561EE"/>
    <w:rsid w:val="53607188"/>
    <w:rsid w:val="537E5231"/>
    <w:rsid w:val="54346C47"/>
    <w:rsid w:val="54BE0353"/>
    <w:rsid w:val="54CD48F3"/>
    <w:rsid w:val="54D51F2B"/>
    <w:rsid w:val="55050D8B"/>
    <w:rsid w:val="55493C32"/>
    <w:rsid w:val="560D2D7A"/>
    <w:rsid w:val="56186177"/>
    <w:rsid w:val="564968E0"/>
    <w:rsid w:val="577F3E3C"/>
    <w:rsid w:val="595A0849"/>
    <w:rsid w:val="59684A04"/>
    <w:rsid w:val="5A4A298D"/>
    <w:rsid w:val="5A520886"/>
    <w:rsid w:val="5ACF1F1A"/>
    <w:rsid w:val="5B9F78CD"/>
    <w:rsid w:val="5BD548F9"/>
    <w:rsid w:val="5D465377"/>
    <w:rsid w:val="5D997B9D"/>
    <w:rsid w:val="5E287173"/>
    <w:rsid w:val="5E8343A9"/>
    <w:rsid w:val="5EF51385"/>
    <w:rsid w:val="5EFD0831"/>
    <w:rsid w:val="5F373FB3"/>
    <w:rsid w:val="5F6D308F"/>
    <w:rsid w:val="5FB85001"/>
    <w:rsid w:val="60024E11"/>
    <w:rsid w:val="60313F19"/>
    <w:rsid w:val="6038477D"/>
    <w:rsid w:val="61175D0A"/>
    <w:rsid w:val="61CA5F60"/>
    <w:rsid w:val="61F5139F"/>
    <w:rsid w:val="625E7607"/>
    <w:rsid w:val="638605CB"/>
    <w:rsid w:val="64495A5A"/>
    <w:rsid w:val="646C6303"/>
    <w:rsid w:val="64B20352"/>
    <w:rsid w:val="64BA2550"/>
    <w:rsid w:val="6512520D"/>
    <w:rsid w:val="651B358E"/>
    <w:rsid w:val="663C3571"/>
    <w:rsid w:val="66A4657B"/>
    <w:rsid w:val="66EB60FD"/>
    <w:rsid w:val="67C81DC9"/>
    <w:rsid w:val="67E17F5E"/>
    <w:rsid w:val="687F3E33"/>
    <w:rsid w:val="688E34E1"/>
    <w:rsid w:val="68D74DDE"/>
    <w:rsid w:val="694B3FF8"/>
    <w:rsid w:val="69CA2529"/>
    <w:rsid w:val="69FE138C"/>
    <w:rsid w:val="6A4D41E9"/>
    <w:rsid w:val="6A5F6B16"/>
    <w:rsid w:val="6AC03DDA"/>
    <w:rsid w:val="6AC61EF9"/>
    <w:rsid w:val="6B1A0766"/>
    <w:rsid w:val="6B3E1D84"/>
    <w:rsid w:val="6B5A2AF5"/>
    <w:rsid w:val="6B792DBC"/>
    <w:rsid w:val="6B7E69A3"/>
    <w:rsid w:val="6C16685D"/>
    <w:rsid w:val="6CBC6418"/>
    <w:rsid w:val="6CCB5899"/>
    <w:rsid w:val="6D3906D5"/>
    <w:rsid w:val="6D865C47"/>
    <w:rsid w:val="6E516CDB"/>
    <w:rsid w:val="6E9028F6"/>
    <w:rsid w:val="6ECE5A9C"/>
    <w:rsid w:val="6ED722D3"/>
    <w:rsid w:val="6EF8E33B"/>
    <w:rsid w:val="6F1A1E47"/>
    <w:rsid w:val="6F3459FA"/>
    <w:rsid w:val="6FFA6383"/>
    <w:rsid w:val="70223A22"/>
    <w:rsid w:val="70251C53"/>
    <w:rsid w:val="710350A4"/>
    <w:rsid w:val="718B22B0"/>
    <w:rsid w:val="71FC7F9F"/>
    <w:rsid w:val="72857C7B"/>
    <w:rsid w:val="73BA51B3"/>
    <w:rsid w:val="73D634A1"/>
    <w:rsid w:val="74790C5F"/>
    <w:rsid w:val="74EF578B"/>
    <w:rsid w:val="751543F7"/>
    <w:rsid w:val="751C0176"/>
    <w:rsid w:val="751F4126"/>
    <w:rsid w:val="75306832"/>
    <w:rsid w:val="75E2755B"/>
    <w:rsid w:val="760D0FA3"/>
    <w:rsid w:val="77735F9E"/>
    <w:rsid w:val="77E82F8B"/>
    <w:rsid w:val="78286DA2"/>
    <w:rsid w:val="787E5EB6"/>
    <w:rsid w:val="78941235"/>
    <w:rsid w:val="79954741"/>
    <w:rsid w:val="79C3067E"/>
    <w:rsid w:val="79F8622A"/>
    <w:rsid w:val="7A772BBC"/>
    <w:rsid w:val="7AAA09D5"/>
    <w:rsid w:val="7B094C7A"/>
    <w:rsid w:val="7B1237FF"/>
    <w:rsid w:val="7BCEE44F"/>
    <w:rsid w:val="7BD92EB9"/>
    <w:rsid w:val="7C1E72B0"/>
    <w:rsid w:val="7DA021CE"/>
    <w:rsid w:val="7DA80E31"/>
    <w:rsid w:val="7E0855C5"/>
    <w:rsid w:val="7ED990A0"/>
    <w:rsid w:val="7F9D30C5"/>
    <w:rsid w:val="7FAF81AF"/>
    <w:rsid w:val="7FB55D1D"/>
    <w:rsid w:val="7FF64583"/>
    <w:rsid w:val="7FFB9EC3"/>
    <w:rsid w:val="9AFD1905"/>
    <w:rsid w:val="B6BFF13C"/>
    <w:rsid w:val="CF7B9FD5"/>
    <w:rsid w:val="CFA50EB2"/>
    <w:rsid w:val="DBFFCF03"/>
    <w:rsid w:val="DF7DC8BF"/>
    <w:rsid w:val="EDF5E10C"/>
    <w:rsid w:val="F3FE745E"/>
    <w:rsid w:val="F3FF1751"/>
    <w:rsid w:val="FBDE3768"/>
    <w:rsid w:val="FEBF121C"/>
    <w:rsid w:val="FF5C63EB"/>
    <w:rsid w:val="FFFF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6"/>
    <w:next w:val="1"/>
    <w:qFormat/>
    <w:uiPriority w:val="0"/>
    <w:pPr>
      <w:keepNext/>
      <w:keepLines/>
      <w:spacing w:before="340" w:after="330" w:line="576" w:lineRule="auto"/>
    </w:pPr>
    <w:rPr>
      <w:kern w:val="44"/>
      <w:sz w:val="44"/>
    </w:rPr>
  </w:style>
  <w:style w:type="paragraph" w:styleId="7">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8">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4"/>
    <w:qFormat/>
    <w:uiPriority w:val="0"/>
    <w:pPr>
      <w:adjustRightInd w:val="0"/>
      <w:spacing w:line="312" w:lineRule="atLeast"/>
      <w:ind w:firstLine="540"/>
      <w:textAlignment w:val="baseline"/>
    </w:pPr>
    <w:rPr>
      <w:rFonts w:ascii="Calibri" w:hAnsi="Calibri"/>
      <w:kern w:val="0"/>
      <w:sz w:val="30"/>
      <w:szCs w:val="20"/>
    </w:rPr>
  </w:style>
  <w:style w:type="paragraph" w:styleId="4">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6">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9">
    <w:name w:val="Normal Indent"/>
    <w:basedOn w:val="1"/>
    <w:qFormat/>
    <w:uiPriority w:val="0"/>
    <w:pPr>
      <w:ind w:firstLine="420" w:firstLineChars="200"/>
    </w:pPr>
  </w:style>
  <w:style w:type="paragraph" w:styleId="10">
    <w:name w:val="index 5"/>
    <w:basedOn w:val="1"/>
    <w:next w:val="1"/>
    <w:unhideWhenUsed/>
    <w:qFormat/>
    <w:uiPriority w:val="0"/>
    <w:pPr>
      <w:ind w:left="800" w:leftChars="800"/>
    </w:pPr>
    <w:rPr>
      <w:lang w:bidi="he-IL"/>
    </w:r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qFormat/>
    <w:uiPriority w:val="0"/>
    <w:pPr>
      <w:jc w:val="left"/>
    </w:pPr>
  </w:style>
  <w:style w:type="paragraph" w:styleId="13">
    <w:name w:val="index 6"/>
    <w:basedOn w:val="1"/>
    <w:next w:val="1"/>
    <w:qFormat/>
    <w:uiPriority w:val="99"/>
    <w:pPr>
      <w:ind w:left="2100"/>
    </w:pPr>
  </w:style>
  <w:style w:type="paragraph" w:styleId="14">
    <w:name w:val="Body Text 3"/>
    <w:basedOn w:val="1"/>
    <w:qFormat/>
    <w:uiPriority w:val="0"/>
    <w:rPr>
      <w:rFonts w:ascii="宋体"/>
      <w:sz w:val="24"/>
      <w:szCs w:val="20"/>
    </w:rPr>
  </w:style>
  <w:style w:type="paragraph" w:styleId="15">
    <w:name w:val="Plain Text"/>
    <w:basedOn w:val="1"/>
    <w:next w:val="1"/>
    <w:unhideWhenUsed/>
    <w:qFormat/>
    <w:uiPriority w:val="99"/>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Subtitle"/>
    <w:basedOn w:val="1"/>
    <w:next w:val="1"/>
    <w:qFormat/>
    <w:uiPriority w:val="3"/>
    <w:pPr>
      <w:jc w:val="center"/>
      <w:outlineLvl w:val="1"/>
    </w:pPr>
    <w:rPr>
      <w:rFonts w:ascii="黑体" w:hAnsi="黑体" w:eastAsia="黑体"/>
      <w:b/>
      <w:bCs/>
      <w:kern w:val="28"/>
      <w:sz w:val="30"/>
      <w:szCs w:val="22"/>
    </w:rPr>
  </w:style>
  <w:style w:type="paragraph" w:styleId="20">
    <w:name w:val="footnote text"/>
    <w:basedOn w:val="1"/>
    <w:next w:val="10"/>
    <w:unhideWhenUsed/>
    <w:qFormat/>
    <w:uiPriority w:val="99"/>
    <w:pPr>
      <w:adjustRightInd w:val="0"/>
      <w:spacing w:line="312" w:lineRule="atLeast"/>
      <w:jc w:val="left"/>
      <w:textAlignment w:val="baseline"/>
    </w:pPr>
    <w:rPr>
      <w:kern w:val="0"/>
      <w:sz w:val="18"/>
    </w:rPr>
  </w:style>
  <w:style w:type="paragraph" w:styleId="21">
    <w:name w:val="toc 2"/>
    <w:basedOn w:val="1"/>
    <w:next w:val="1"/>
    <w:qFormat/>
    <w:uiPriority w:val="0"/>
    <w:pPr>
      <w:ind w:left="420" w:leftChars="200"/>
    </w:pPr>
  </w:style>
  <w:style w:type="paragraph" w:styleId="22">
    <w:name w:val="Body Text 2"/>
    <w:basedOn w:val="1"/>
    <w:qFormat/>
    <w:uiPriority w:val="0"/>
    <w:pPr>
      <w:widowControl/>
      <w:jc w:val="center"/>
    </w:pPr>
    <w:rPr>
      <w:rFonts w:ascii="楷体_GB2312" w:eastAsia="楷体_GB2312"/>
      <w:sz w:val="28"/>
      <w:szCs w:val="28"/>
    </w:rPr>
  </w:style>
  <w:style w:type="paragraph" w:styleId="23">
    <w:name w:val="index 1"/>
    <w:basedOn w:val="1"/>
    <w:next w:val="1"/>
    <w:qFormat/>
    <w:uiPriority w:val="0"/>
    <w:pPr>
      <w:spacing w:line="320" w:lineRule="exact"/>
      <w:jc w:val="center"/>
    </w:pPr>
    <w:rPr>
      <w:rFonts w:eastAsia="仿宋_GB2312"/>
      <w:b/>
    </w:rPr>
  </w:style>
  <w:style w:type="paragraph" w:styleId="24">
    <w:name w:val="Body Text First Indent"/>
    <w:basedOn w:val="2"/>
    <w:qFormat/>
    <w:uiPriority w:val="0"/>
    <w:pPr>
      <w:spacing w:line="360" w:lineRule="auto"/>
      <w:ind w:firstLine="420" w:firstLineChars="100"/>
    </w:pPr>
    <w:rPr>
      <w:rFonts w:ascii="Arial" w:hAnsi="Arial"/>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Default"/>
    <w:basedOn w:val="6"/>
    <w:next w:val="5"/>
    <w:qFormat/>
    <w:uiPriority w:val="99"/>
    <w:pPr>
      <w:autoSpaceDE w:val="0"/>
      <w:autoSpaceDN w:val="0"/>
      <w:adjustRightInd w:val="0"/>
    </w:pPr>
    <w:rPr>
      <w:rFonts w:ascii="宋体" w:hAnsi="Times New Roman" w:eastAsia="宋体" w:cs="Times New Roman"/>
      <w:color w:val="000000"/>
      <w:sz w:val="24"/>
      <w:szCs w:val="22"/>
    </w:rPr>
  </w:style>
  <w:style w:type="paragraph" w:customStyle="1" w:styleId="32">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3">
    <w:name w:val="文头字"/>
    <w:basedOn w:val="1"/>
    <w:qFormat/>
    <w:uiPriority w:val="0"/>
    <w:pPr>
      <w:widowControl/>
      <w:adjustRightInd w:val="0"/>
      <w:snapToGrid w:val="0"/>
      <w:spacing w:before="200" w:line="360" w:lineRule="auto"/>
      <w:jc w:val="center"/>
      <w:textAlignment w:val="baseline"/>
    </w:pPr>
    <w:rPr>
      <w:rFonts w:ascii="宋体"/>
      <w:b/>
      <w:snapToGrid w:val="0"/>
      <w:color w:val="FF0000"/>
      <w:spacing w:val="100"/>
      <w:kern w:val="0"/>
      <w:sz w:val="48"/>
      <w:szCs w:val="20"/>
    </w:rPr>
  </w:style>
  <w:style w:type="paragraph" w:customStyle="1" w:styleId="34">
    <w:name w:val="Char Char1 Char Char Char"/>
    <w:basedOn w:val="1"/>
    <w:next w:val="1"/>
    <w:qFormat/>
    <w:uiPriority w:val="0"/>
    <w:pPr>
      <w:widowControl/>
      <w:numPr>
        <w:ilvl w:val="0"/>
        <w:numId w:val="1"/>
      </w:numPr>
      <w:spacing w:after="160" w:line="320" w:lineRule="exact"/>
      <w:jc w:val="left"/>
    </w:pPr>
    <w:rPr>
      <w:rFonts w:ascii="宋体" w:hAnsi="宋体"/>
      <w:b/>
      <w:color w:val="000000"/>
      <w:kern w:val="0"/>
      <w:szCs w:val="21"/>
    </w:rPr>
  </w:style>
  <w:style w:type="paragraph" w:customStyle="1" w:styleId="35">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标题 3（绿盟科技）"/>
    <w:basedOn w:val="8"/>
    <w:next w:val="1"/>
    <w:qFormat/>
    <w:uiPriority w:val="0"/>
    <w:pPr>
      <w:tabs>
        <w:tab w:val="left" w:pos="960"/>
      </w:tabs>
      <w:jc w:val="left"/>
    </w:pPr>
    <w:rPr>
      <w:rFonts w:ascii="Arial" w:hAnsi="Arial" w:eastAsia="黑体"/>
      <w:bCs w:val="0"/>
      <w:kern w:val="0"/>
      <w:sz w:val="30"/>
      <w:szCs w:val="30"/>
    </w:rPr>
  </w:style>
  <w:style w:type="character" w:customStyle="1" w:styleId="38">
    <w:name w:val="font51"/>
    <w:basedOn w:val="27"/>
    <w:qFormat/>
    <w:uiPriority w:val="0"/>
    <w:rPr>
      <w:rFonts w:hint="eastAsia" w:ascii="宋体" w:hAnsi="宋体" w:eastAsia="宋体" w:cs="宋体"/>
      <w:color w:val="000000"/>
      <w:sz w:val="20"/>
      <w:szCs w:val="20"/>
      <w:u w:val="none"/>
    </w:rPr>
  </w:style>
  <w:style w:type="character" w:customStyle="1" w:styleId="39">
    <w:name w:val="font41"/>
    <w:basedOn w:val="27"/>
    <w:qFormat/>
    <w:uiPriority w:val="0"/>
    <w:rPr>
      <w:rFonts w:hint="eastAsia" w:ascii="宋体" w:hAnsi="宋体" w:eastAsia="宋体" w:cs="宋体"/>
      <w:color w:val="000000"/>
      <w:sz w:val="20"/>
      <w:szCs w:val="20"/>
      <w:u w:val="none"/>
    </w:rPr>
  </w:style>
  <w:style w:type="character" w:customStyle="1" w:styleId="40">
    <w:name w:val="font11"/>
    <w:basedOn w:val="27"/>
    <w:qFormat/>
    <w:uiPriority w:val="0"/>
    <w:rPr>
      <w:rFonts w:hint="eastAsia" w:ascii="宋体" w:hAnsi="宋体" w:eastAsia="宋体" w:cs="宋体"/>
      <w:color w:val="000000"/>
      <w:sz w:val="20"/>
      <w:szCs w:val="20"/>
      <w:u w:val="none"/>
    </w:rPr>
  </w:style>
  <w:style w:type="paragraph" w:customStyle="1" w:styleId="41">
    <w:name w:val="Table Paragraph"/>
    <w:basedOn w:val="1"/>
    <w:qFormat/>
    <w:uiPriority w:val="1"/>
    <w:rPr>
      <w:rFonts w:ascii="宋体" w:hAnsi="宋体" w:eastAsia="宋体" w:cs="宋体"/>
      <w:lang w:val="zh-CN" w:bidi="zh-CN"/>
    </w:rPr>
  </w:style>
  <w:style w:type="character" w:customStyle="1" w:styleId="42">
    <w:name w:val="font91"/>
    <w:basedOn w:val="27"/>
    <w:qFormat/>
    <w:uiPriority w:val="0"/>
    <w:rPr>
      <w:rFonts w:ascii="Arial" w:hAnsi="Arial" w:cs="Arial"/>
      <w:color w:val="000000"/>
      <w:sz w:val="20"/>
      <w:szCs w:val="20"/>
      <w:u w:val="none"/>
    </w:rPr>
  </w:style>
  <w:style w:type="character" w:customStyle="1" w:styleId="43">
    <w:name w:val="font21"/>
    <w:basedOn w:val="27"/>
    <w:qFormat/>
    <w:uiPriority w:val="0"/>
    <w:rPr>
      <w:rFonts w:hint="eastAsia" w:ascii="微软雅黑" w:hAnsi="微软雅黑" w:eastAsia="微软雅黑" w:cs="微软雅黑"/>
      <w:color w:val="000000"/>
      <w:sz w:val="20"/>
      <w:szCs w:val="20"/>
      <w:u w:val="none"/>
    </w:rPr>
  </w:style>
  <w:style w:type="paragraph" w:customStyle="1" w:styleId="44">
    <w:name w:val="p0"/>
    <w:basedOn w:val="1"/>
    <w:qFormat/>
    <w:uiPriority w:val="0"/>
    <w:pPr>
      <w:widowControl/>
    </w:pPr>
    <w:rPr>
      <w:rFonts w:ascii="Times New Roman" w:hAnsi="Times New Roman" w:eastAsia="宋体" w:cs="Times New Roman"/>
      <w:kern w:val="0"/>
      <w:szCs w:val="21"/>
    </w:rPr>
  </w:style>
  <w:style w:type="paragraph" w:customStyle="1" w:styleId="45">
    <w:name w:val="È±Ê¡ÎÄ±¾"/>
    <w:basedOn w:val="1"/>
    <w:qFormat/>
    <w:uiPriority w:val="0"/>
    <w:pPr>
      <w:widowControl/>
      <w:overflowPunct w:val="0"/>
      <w:autoSpaceDE w:val="0"/>
      <w:autoSpaceDN w:val="0"/>
      <w:adjustRightInd w:val="0"/>
      <w:jc w:val="left"/>
    </w:pPr>
    <w:rPr>
      <w:kern w:val="0"/>
      <w:sz w:val="24"/>
    </w:rPr>
  </w:style>
  <w:style w:type="paragraph" w:customStyle="1" w:styleId="4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48">
    <w:name w:val="Heading #1|1"/>
    <w:basedOn w:val="1"/>
    <w:qFormat/>
    <w:uiPriority w:val="0"/>
    <w:pPr>
      <w:spacing w:before="580"/>
      <w:jc w:val="center"/>
      <w:outlineLvl w:val="0"/>
    </w:pPr>
    <w:rPr>
      <w:rFonts w:ascii="宋体" w:hAnsi="宋体" w:eastAsia="宋体" w:cs="宋体"/>
      <w:sz w:val="26"/>
      <w:szCs w:val="26"/>
      <w:lang w:val="zh-TW" w:eastAsia="zh-TW" w:bidi="zh-TW"/>
    </w:rPr>
  </w:style>
  <w:style w:type="paragraph" w:customStyle="1" w:styleId="49">
    <w:name w:val="Body text|1"/>
    <w:basedOn w:val="1"/>
    <w:qFormat/>
    <w:uiPriority w:val="0"/>
    <w:pPr>
      <w:spacing w:line="480" w:lineRule="auto"/>
      <w:ind w:firstLine="140"/>
    </w:pPr>
    <w:rPr>
      <w:rFonts w:ascii="宋体" w:hAnsi="宋体" w:eastAsia="宋体" w:cs="宋体"/>
      <w:sz w:val="22"/>
      <w:szCs w:val="22"/>
      <w:lang w:val="zh-TW" w:eastAsia="zh-TW" w:bidi="zh-TW"/>
    </w:rPr>
  </w:style>
  <w:style w:type="paragraph" w:customStyle="1" w:styleId="5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91</Pages>
  <Words>35136</Words>
  <Characters>37850</Characters>
  <Lines>306</Lines>
  <Paragraphs>86</Paragraphs>
  <TotalTime>6</TotalTime>
  <ScaleCrop>false</ScaleCrop>
  <LinksUpToDate>false</LinksUpToDate>
  <CharactersWithSpaces>41619</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2017-09-27T23:47:00Z</dcterms:created>
  <dc:creator>zs</dc:creator>
  <cp:lastModifiedBy>Dear  u</cp:lastModifiedBy>
  <cp:lastPrinted>2022-07-17T18:36:00Z</cp:lastPrinted>
  <dcterms:modified xsi:type="dcterms:W3CDTF">2022-11-10T13:21:52Z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6BC11240D16E47E38A42443E4354989B</vt:lpwstr>
  </property>
</Properties>
</file>