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rFonts w:ascii="仿宋" w:hAnsi="仿宋" w:eastAsia="仿宋" w:cs="仿宋"/>
          <w:b/>
          <w:bCs/>
          <w:color w:val="auto"/>
          <w:sz w:val="28"/>
          <w:szCs w:val="28"/>
          <w:highlight w:val="none"/>
        </w:rPr>
      </w:pPr>
    </w:p>
    <w:p>
      <w:pPr>
        <w:pStyle w:val="10"/>
        <w:shd w:val="clear"/>
        <w:spacing w:line="360" w:lineRule="auto"/>
        <w:ind w:firstLine="0"/>
        <w:jc w:val="center"/>
        <w:rPr>
          <w:rFonts w:ascii="仿宋" w:hAnsi="仿宋" w:eastAsia="仿宋" w:cs="仿宋"/>
          <w:bCs/>
          <w:color w:val="auto"/>
          <w:sz w:val="48"/>
          <w:szCs w:val="32"/>
          <w:highlight w:val="none"/>
        </w:rPr>
      </w:pPr>
    </w:p>
    <w:p>
      <w:pPr>
        <w:pStyle w:val="10"/>
        <w:shd w:val="clear"/>
        <w:spacing w:line="360" w:lineRule="auto"/>
        <w:ind w:firstLine="0"/>
        <w:jc w:val="center"/>
        <w:rPr>
          <w:rFonts w:hint="default" w:ascii="仿宋" w:hAnsi="仿宋" w:eastAsia="仿宋" w:cs="仿宋"/>
          <w:bCs/>
          <w:color w:val="auto"/>
          <w:sz w:val="48"/>
          <w:szCs w:val="32"/>
          <w:highlight w:val="none"/>
          <w:lang w:val="en-US" w:eastAsia="zh-CN"/>
        </w:rPr>
      </w:pPr>
      <w:r>
        <w:rPr>
          <w:rFonts w:hint="eastAsia" w:ascii="仿宋" w:hAnsi="仿宋" w:eastAsia="仿宋" w:cs="仿宋"/>
          <w:bCs/>
          <w:i w:val="0"/>
          <w:iCs w:val="0"/>
          <w:color w:val="auto"/>
          <w:sz w:val="48"/>
          <w:szCs w:val="32"/>
          <w:highlight w:val="none"/>
          <w:lang w:eastAsia="zh-CN"/>
        </w:rPr>
        <w:t>阜康市第三小学校园文化建设项目</w:t>
      </w:r>
      <w:r>
        <w:rPr>
          <w:rFonts w:hint="eastAsia" w:ascii="仿宋" w:hAnsi="仿宋" w:eastAsia="仿宋" w:cs="仿宋"/>
          <w:bCs/>
          <w:color w:val="auto"/>
          <w:sz w:val="48"/>
          <w:szCs w:val="32"/>
          <w:highlight w:val="none"/>
          <w:lang w:val="en-US" w:eastAsia="zh-CN"/>
        </w:rPr>
        <w:t xml:space="preserve">                        </w:t>
      </w:r>
    </w:p>
    <w:p>
      <w:pPr>
        <w:pStyle w:val="10"/>
        <w:shd w:val="clear"/>
        <w:ind w:firstLine="0"/>
        <w:jc w:val="center"/>
        <w:rPr>
          <w:rFonts w:ascii="仿宋" w:hAnsi="仿宋" w:eastAsia="仿宋" w:cs="仿宋"/>
          <w:b w:val="0"/>
          <w:bCs/>
          <w:color w:val="auto"/>
          <w:sz w:val="48"/>
          <w:szCs w:val="32"/>
          <w:highlight w:val="none"/>
        </w:rPr>
      </w:pPr>
    </w:p>
    <w:p>
      <w:pPr>
        <w:pStyle w:val="10"/>
        <w:shd w:val="clear"/>
        <w:ind w:firstLine="0"/>
        <w:jc w:val="center"/>
        <w:rPr>
          <w:rFonts w:ascii="仿宋" w:hAnsi="仿宋" w:eastAsia="仿宋" w:cs="仿宋"/>
          <w:b w:val="0"/>
          <w:bCs/>
          <w:color w:val="auto"/>
          <w:sz w:val="48"/>
          <w:szCs w:val="32"/>
          <w:highlight w:val="none"/>
        </w:rPr>
      </w:pPr>
    </w:p>
    <w:p>
      <w:pPr>
        <w:pStyle w:val="10"/>
        <w:shd w:val="clear"/>
        <w:ind w:firstLine="0"/>
        <w:jc w:val="center"/>
        <w:rPr>
          <w:rFonts w:ascii="仿宋" w:hAnsi="仿宋" w:eastAsia="仿宋" w:cs="仿宋"/>
          <w:b w:val="0"/>
          <w:bCs/>
          <w:color w:val="auto"/>
          <w:sz w:val="48"/>
          <w:szCs w:val="32"/>
          <w:highlight w:val="none"/>
        </w:rPr>
      </w:pPr>
    </w:p>
    <w:p>
      <w:pPr>
        <w:pStyle w:val="10"/>
        <w:shd w:val="clear"/>
        <w:ind w:firstLine="0"/>
        <w:jc w:val="center"/>
        <w:rPr>
          <w:rFonts w:ascii="仿宋" w:hAnsi="仿宋" w:eastAsia="仿宋" w:cs="仿宋"/>
          <w:b w:val="0"/>
          <w:bCs/>
          <w:color w:val="auto"/>
          <w:sz w:val="48"/>
          <w:szCs w:val="32"/>
          <w:highlight w:val="none"/>
        </w:rPr>
      </w:pPr>
    </w:p>
    <w:p>
      <w:pPr>
        <w:pStyle w:val="10"/>
        <w:shd w:val="clear"/>
        <w:ind w:firstLine="0"/>
        <w:jc w:val="center"/>
        <w:rPr>
          <w:rFonts w:ascii="仿宋" w:hAnsi="仿宋" w:eastAsia="仿宋" w:cs="仿宋"/>
          <w:b w:val="0"/>
          <w:bCs/>
          <w:color w:val="auto"/>
          <w:sz w:val="48"/>
          <w:szCs w:val="32"/>
          <w:highlight w:val="none"/>
        </w:rPr>
      </w:pPr>
    </w:p>
    <w:p>
      <w:pPr>
        <w:pStyle w:val="10"/>
        <w:shd w:val="clear"/>
        <w:ind w:firstLine="0"/>
        <w:jc w:val="center"/>
        <w:rPr>
          <w:rFonts w:ascii="仿宋" w:hAnsi="仿宋" w:eastAsia="仿宋" w:cs="仿宋"/>
          <w:color w:val="auto"/>
          <w:sz w:val="72"/>
          <w:szCs w:val="72"/>
          <w:highlight w:val="none"/>
        </w:rPr>
      </w:pPr>
      <w:r>
        <w:rPr>
          <w:rFonts w:hint="eastAsia" w:ascii="仿宋" w:hAnsi="仿宋" w:eastAsia="仿宋" w:cs="仿宋"/>
          <w:color w:val="auto"/>
          <w:sz w:val="72"/>
          <w:szCs w:val="72"/>
          <w:highlight w:val="none"/>
        </w:rPr>
        <w:t>竞 争 性 磋 商 文 件</w:t>
      </w:r>
    </w:p>
    <w:p>
      <w:pPr>
        <w:shd w:val="clear"/>
        <w:jc w:val="center"/>
        <w:rPr>
          <w:rFonts w:ascii="仿宋" w:hAnsi="仿宋" w:eastAsia="仿宋" w:cs="仿宋"/>
          <w:color w:val="auto"/>
          <w:sz w:val="30"/>
          <w:szCs w:val="30"/>
          <w:highlight w:val="none"/>
        </w:rPr>
      </w:pPr>
    </w:p>
    <w:p>
      <w:pPr>
        <w:shd w:val="clear"/>
        <w:jc w:val="center"/>
        <w:rPr>
          <w:rFonts w:ascii="仿宋" w:hAnsi="仿宋" w:eastAsia="仿宋" w:cs="仿宋"/>
          <w:color w:val="auto"/>
          <w:sz w:val="30"/>
          <w:szCs w:val="30"/>
          <w:highlight w:val="none"/>
        </w:rPr>
      </w:pPr>
    </w:p>
    <w:p>
      <w:pPr>
        <w:shd w:val="clear"/>
        <w:jc w:val="center"/>
        <w:rPr>
          <w:rFonts w:hint="eastAsia" w:ascii="仿宋" w:hAnsi="仿宋" w:eastAsia="仿宋" w:cs="仿宋"/>
          <w:color w:val="auto"/>
          <w:sz w:val="30"/>
          <w:highlight w:val="none"/>
          <w:lang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XJBLZB-20220108022</w:t>
      </w:r>
    </w:p>
    <w:p>
      <w:pPr>
        <w:shd w:val="clear"/>
        <w:rPr>
          <w:rFonts w:ascii="仿宋" w:hAnsi="仿宋" w:eastAsia="仿宋" w:cs="仿宋"/>
          <w:color w:val="auto"/>
          <w:sz w:val="30"/>
          <w:szCs w:val="30"/>
          <w:highlight w:val="none"/>
        </w:rPr>
      </w:pPr>
    </w:p>
    <w:p>
      <w:pPr>
        <w:shd w:val="clear"/>
        <w:rPr>
          <w:rFonts w:ascii="仿宋" w:hAnsi="仿宋" w:eastAsia="仿宋" w:cs="仿宋"/>
          <w:color w:val="auto"/>
          <w:sz w:val="30"/>
          <w:szCs w:val="30"/>
          <w:highlight w:val="none"/>
        </w:rPr>
      </w:pPr>
    </w:p>
    <w:p>
      <w:pPr>
        <w:shd w:val="clear"/>
        <w:jc w:val="center"/>
        <w:rPr>
          <w:rFonts w:ascii="仿宋" w:hAnsi="仿宋" w:eastAsia="仿宋" w:cs="仿宋"/>
          <w:color w:val="auto"/>
          <w:sz w:val="30"/>
          <w:szCs w:val="30"/>
          <w:highlight w:val="none"/>
        </w:rPr>
      </w:pPr>
    </w:p>
    <w:p>
      <w:pPr>
        <w:shd w:val="clear"/>
        <w:jc w:val="center"/>
        <w:rPr>
          <w:rFonts w:ascii="仿宋" w:hAnsi="仿宋" w:eastAsia="仿宋" w:cs="仿宋"/>
          <w:color w:val="auto"/>
          <w:sz w:val="30"/>
          <w:szCs w:val="30"/>
          <w:highlight w:val="none"/>
        </w:rPr>
      </w:pPr>
    </w:p>
    <w:p>
      <w:pPr>
        <w:shd w:val="clear"/>
        <w:jc w:val="center"/>
        <w:rPr>
          <w:rFonts w:ascii="仿宋" w:hAnsi="仿宋" w:eastAsia="仿宋" w:cs="仿宋"/>
          <w:color w:val="auto"/>
          <w:sz w:val="30"/>
          <w:szCs w:val="30"/>
          <w:highlight w:val="none"/>
        </w:rPr>
      </w:pPr>
    </w:p>
    <w:p>
      <w:pPr>
        <w:shd w:val="clear"/>
        <w:jc w:val="center"/>
        <w:rPr>
          <w:rFonts w:ascii="仿宋" w:hAnsi="仿宋" w:eastAsia="仿宋" w:cs="仿宋"/>
          <w:color w:val="auto"/>
          <w:sz w:val="30"/>
          <w:szCs w:val="30"/>
          <w:highlight w:val="none"/>
        </w:rPr>
      </w:pPr>
    </w:p>
    <w:p>
      <w:pPr>
        <w:shd w:val="clear"/>
        <w:jc w:val="center"/>
        <w:rPr>
          <w:rFonts w:ascii="仿宋" w:hAnsi="仿宋" w:eastAsia="仿宋" w:cs="仿宋"/>
          <w:color w:val="auto"/>
          <w:sz w:val="30"/>
          <w:szCs w:val="30"/>
          <w:highlight w:val="none"/>
        </w:rPr>
      </w:pPr>
    </w:p>
    <w:p>
      <w:pPr>
        <w:shd w:val="clear"/>
        <w:jc w:val="center"/>
        <w:rPr>
          <w:rFonts w:ascii="仿宋" w:hAnsi="仿宋" w:eastAsia="仿宋" w:cs="仿宋"/>
          <w:color w:val="auto"/>
          <w:sz w:val="30"/>
          <w:szCs w:val="30"/>
          <w:highlight w:val="none"/>
        </w:rPr>
      </w:pPr>
    </w:p>
    <w:p>
      <w:pPr>
        <w:shd w:val="clear"/>
        <w:rPr>
          <w:rFonts w:ascii="仿宋" w:hAnsi="仿宋" w:eastAsia="仿宋" w:cs="仿宋"/>
          <w:color w:val="auto"/>
          <w:sz w:val="30"/>
          <w:szCs w:val="30"/>
          <w:highlight w:val="none"/>
        </w:rPr>
      </w:pPr>
    </w:p>
    <w:p>
      <w:pPr>
        <w:shd w:val="clear"/>
        <w:jc w:val="center"/>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采购人：</w:t>
      </w:r>
      <w:r>
        <w:rPr>
          <w:rFonts w:hint="eastAsia" w:ascii="仿宋" w:hAnsi="仿宋" w:eastAsia="仿宋" w:cs="仿宋"/>
          <w:b/>
          <w:color w:val="auto"/>
          <w:sz w:val="32"/>
          <w:highlight w:val="none"/>
          <w:lang w:eastAsia="zh-CN"/>
        </w:rPr>
        <w:t>阜康市第三小学</w:t>
      </w:r>
    </w:p>
    <w:p>
      <w:pPr>
        <w:shd w:val="clear"/>
        <w:jc w:val="center"/>
        <w:rPr>
          <w:rFonts w:ascii="仿宋" w:hAnsi="仿宋" w:eastAsia="仿宋" w:cs="仿宋"/>
          <w:b/>
          <w:color w:val="auto"/>
          <w:sz w:val="32"/>
          <w:highlight w:val="none"/>
        </w:rPr>
      </w:pPr>
    </w:p>
    <w:p>
      <w:pPr>
        <w:shd w:val="clear"/>
        <w:jc w:val="center"/>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采购代理机构：</w:t>
      </w:r>
      <w:r>
        <w:rPr>
          <w:rFonts w:hint="eastAsia" w:ascii="仿宋" w:hAnsi="仿宋" w:eastAsia="仿宋" w:cs="仿宋"/>
          <w:b/>
          <w:color w:val="auto"/>
          <w:sz w:val="32"/>
          <w:highlight w:val="none"/>
          <w:lang w:eastAsia="zh-CN"/>
        </w:rPr>
        <w:t>新疆邦利工程项目管理咨询有限公司</w:t>
      </w:r>
    </w:p>
    <w:p>
      <w:pPr>
        <w:shd w:val="clear"/>
        <w:jc w:val="center"/>
        <w:rPr>
          <w:rFonts w:ascii="仿宋" w:hAnsi="仿宋" w:eastAsia="仿宋" w:cs="仿宋"/>
          <w:b/>
          <w:color w:val="auto"/>
          <w:sz w:val="32"/>
          <w:highlight w:val="none"/>
        </w:rPr>
      </w:pPr>
    </w:p>
    <w:p>
      <w:pPr>
        <w:shd w:val="clear"/>
        <w:jc w:val="center"/>
        <w:rPr>
          <w:rFonts w:ascii="仿宋" w:hAnsi="仿宋" w:eastAsia="仿宋" w:cs="仿宋"/>
          <w:b/>
          <w:color w:val="auto"/>
          <w:sz w:val="32"/>
          <w:highlight w:val="none"/>
        </w:rPr>
      </w:pPr>
      <w:r>
        <w:rPr>
          <w:rFonts w:hint="eastAsia" w:ascii="仿宋" w:hAnsi="仿宋" w:eastAsia="仿宋" w:cs="仿宋"/>
          <w:b/>
          <w:color w:val="auto"/>
          <w:sz w:val="32"/>
          <w:highlight w:val="none"/>
        </w:rPr>
        <w:t>编制日期：  202</w:t>
      </w:r>
      <w:r>
        <w:rPr>
          <w:rFonts w:hint="eastAsia" w:ascii="仿宋" w:hAnsi="仿宋" w:eastAsia="仿宋" w:cs="仿宋"/>
          <w:b/>
          <w:color w:val="auto"/>
          <w:sz w:val="32"/>
          <w:highlight w:val="none"/>
          <w:lang w:val="en-US" w:eastAsia="zh-CN"/>
        </w:rPr>
        <w:t>2</w:t>
      </w:r>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lang w:val="en-US" w:eastAsia="zh-CN"/>
        </w:rPr>
        <w:t>10</w:t>
      </w:r>
      <w:r>
        <w:rPr>
          <w:rFonts w:hint="eastAsia" w:ascii="仿宋" w:hAnsi="仿宋" w:eastAsia="仿宋" w:cs="仿宋"/>
          <w:b/>
          <w:color w:val="auto"/>
          <w:sz w:val="32"/>
          <w:highlight w:val="none"/>
        </w:rPr>
        <w:t>月</w:t>
      </w:r>
    </w:p>
    <w:p>
      <w:pPr>
        <w:shd w:val="clear"/>
        <w:rPr>
          <w:rFonts w:ascii="仿宋" w:hAnsi="仿宋" w:eastAsia="仿宋" w:cs="仿宋"/>
          <w:b/>
          <w:bCs/>
          <w:color w:val="auto"/>
          <w:sz w:val="28"/>
          <w:szCs w:val="28"/>
          <w:highlight w:val="none"/>
        </w:rPr>
        <w:sectPr>
          <w:headerReference r:id="rId4" w:type="first"/>
          <w:headerReference r:id="rId3" w:type="default"/>
          <w:pgSz w:w="11906" w:h="16838"/>
          <w:pgMar w:top="1418" w:right="1133" w:bottom="709" w:left="1701" w:header="851" w:footer="992" w:gutter="0"/>
          <w:cols w:space="720" w:num="1"/>
          <w:titlePg/>
          <w:docGrid w:linePitch="332" w:charSpace="0"/>
        </w:sectPr>
      </w:pPr>
    </w:p>
    <w:p>
      <w:pPr>
        <w:pStyle w:val="6"/>
        <w:shd w:val="clear"/>
        <w:ind w:firstLine="420"/>
        <w:rPr>
          <w:rFonts w:ascii="仿宋" w:hAnsi="仿宋" w:eastAsia="仿宋" w:cs="仿宋"/>
          <w:color w:val="auto"/>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jc w:val="center"/>
        <w:rPr>
          <w:rFonts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目  录</w:t>
      </w:r>
    </w:p>
    <w:p>
      <w:pPr>
        <w:pStyle w:val="14"/>
        <w:tabs>
          <w:tab w:val="right" w:leader="dot" w:pos="9072"/>
          <w:tab w:val="clear" w:pos="540"/>
          <w:tab w:val="clear" w:pos="8460"/>
        </w:tabs>
        <w:rPr>
          <w:color w:val="auto"/>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TOC \o "1-2" \h \u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_Toc15321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第一部分  响应须知</w:t>
      </w:r>
      <w:r>
        <w:rPr>
          <w:color w:val="auto"/>
          <w:highlight w:val="none"/>
        </w:rPr>
        <w:tab/>
      </w:r>
      <w:r>
        <w:rPr>
          <w:color w:val="auto"/>
          <w:highlight w:val="none"/>
        </w:rPr>
        <w:fldChar w:fldCharType="begin"/>
      </w:r>
      <w:r>
        <w:rPr>
          <w:color w:val="auto"/>
          <w:highlight w:val="none"/>
        </w:rPr>
        <w:instrText xml:space="preserve"> PAGEREF _Toc15321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bCs/>
          <w:color w:val="auto"/>
          <w:szCs w:val="28"/>
          <w:highlight w:val="none"/>
        </w:rPr>
        <w:fldChar w:fldCharType="end"/>
      </w:r>
    </w:p>
    <w:p>
      <w:pPr>
        <w:pStyle w:val="14"/>
        <w:tabs>
          <w:tab w:val="right" w:leader="dot" w:pos="9072"/>
          <w:tab w:val="clear" w:pos="540"/>
          <w:tab w:val="clear" w:pos="8460"/>
        </w:tabs>
        <w:rPr>
          <w:color w:val="auto"/>
          <w:highlight w:val="none"/>
        </w:rPr>
      </w:pP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_Toc9161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第二部分  磋商说明</w:t>
      </w:r>
      <w:r>
        <w:rPr>
          <w:color w:val="auto"/>
          <w:highlight w:val="none"/>
        </w:rPr>
        <w:tab/>
      </w:r>
      <w:r>
        <w:rPr>
          <w:color w:val="auto"/>
          <w:highlight w:val="none"/>
        </w:rPr>
        <w:fldChar w:fldCharType="begin"/>
      </w:r>
      <w:r>
        <w:rPr>
          <w:color w:val="auto"/>
          <w:highlight w:val="none"/>
        </w:rPr>
        <w:instrText xml:space="preserve"> PAGEREF _Toc9161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bCs/>
          <w:color w:val="auto"/>
          <w:szCs w:val="28"/>
          <w:highlight w:val="none"/>
        </w:rPr>
        <w:fldChar w:fldCharType="end"/>
      </w:r>
    </w:p>
    <w:p>
      <w:pPr>
        <w:pStyle w:val="14"/>
        <w:tabs>
          <w:tab w:val="right" w:leader="dot" w:pos="9072"/>
          <w:tab w:val="clear" w:pos="540"/>
          <w:tab w:val="clear" w:pos="8460"/>
        </w:tabs>
        <w:rPr>
          <w:color w:val="auto"/>
          <w:highlight w:val="none"/>
        </w:rPr>
      </w:pP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_Toc12224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第三部分  响应说明</w:t>
      </w:r>
      <w:r>
        <w:rPr>
          <w:color w:val="auto"/>
          <w:highlight w:val="none"/>
        </w:rPr>
        <w:tab/>
      </w:r>
      <w:r>
        <w:rPr>
          <w:color w:val="auto"/>
          <w:highlight w:val="none"/>
        </w:rPr>
        <w:fldChar w:fldCharType="begin"/>
      </w:r>
      <w:r>
        <w:rPr>
          <w:color w:val="auto"/>
          <w:highlight w:val="none"/>
        </w:rPr>
        <w:instrText xml:space="preserve"> PAGEREF _Toc12224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bCs/>
          <w:color w:val="auto"/>
          <w:szCs w:val="28"/>
          <w:highlight w:val="none"/>
        </w:rPr>
        <w:fldChar w:fldCharType="end"/>
      </w:r>
    </w:p>
    <w:p>
      <w:pPr>
        <w:pStyle w:val="15"/>
        <w:tabs>
          <w:tab w:val="right" w:leader="dot" w:pos="9072"/>
          <w:tab w:val="clear" w:pos="630"/>
          <w:tab w:val="clear" w:pos="8658"/>
        </w:tabs>
        <w:rPr>
          <w:color w:val="auto"/>
          <w:highlight w:val="none"/>
        </w:rPr>
      </w:pP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_Toc8177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第一章  对响应人的资质要求</w:t>
      </w:r>
      <w:r>
        <w:rPr>
          <w:color w:val="auto"/>
          <w:highlight w:val="none"/>
        </w:rPr>
        <w:tab/>
      </w:r>
      <w:r>
        <w:rPr>
          <w:color w:val="auto"/>
          <w:highlight w:val="none"/>
        </w:rPr>
        <w:fldChar w:fldCharType="begin"/>
      </w:r>
      <w:r>
        <w:rPr>
          <w:color w:val="auto"/>
          <w:highlight w:val="none"/>
        </w:rPr>
        <w:instrText xml:space="preserve"> PAGEREF _Toc8177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bCs/>
          <w:color w:val="auto"/>
          <w:szCs w:val="28"/>
          <w:highlight w:val="none"/>
        </w:rPr>
        <w:fldChar w:fldCharType="end"/>
      </w:r>
    </w:p>
    <w:p>
      <w:pPr>
        <w:pStyle w:val="15"/>
        <w:tabs>
          <w:tab w:val="right" w:leader="dot" w:pos="9072"/>
          <w:tab w:val="clear" w:pos="630"/>
          <w:tab w:val="clear" w:pos="8658"/>
        </w:tabs>
        <w:rPr>
          <w:color w:val="auto"/>
          <w:highlight w:val="none"/>
        </w:rPr>
      </w:pP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_Toc18319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第二章  响应文件的编写及编制顺序</w:t>
      </w:r>
      <w:r>
        <w:rPr>
          <w:color w:val="auto"/>
          <w:highlight w:val="none"/>
        </w:rPr>
        <w:tab/>
      </w:r>
      <w:r>
        <w:rPr>
          <w:color w:val="auto"/>
          <w:highlight w:val="none"/>
        </w:rPr>
        <w:fldChar w:fldCharType="begin"/>
      </w:r>
      <w:r>
        <w:rPr>
          <w:color w:val="auto"/>
          <w:highlight w:val="none"/>
        </w:rPr>
        <w:instrText xml:space="preserve"> PAGEREF _Toc18319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bCs/>
          <w:color w:val="auto"/>
          <w:szCs w:val="28"/>
          <w:highlight w:val="none"/>
        </w:rPr>
        <w:fldChar w:fldCharType="end"/>
      </w:r>
    </w:p>
    <w:p>
      <w:pPr>
        <w:pStyle w:val="15"/>
        <w:tabs>
          <w:tab w:val="right" w:leader="dot" w:pos="9072"/>
          <w:tab w:val="clear" w:pos="630"/>
          <w:tab w:val="clear" w:pos="8658"/>
        </w:tabs>
        <w:rPr>
          <w:color w:val="auto"/>
          <w:highlight w:val="none"/>
        </w:rPr>
      </w:pP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_Toc14992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第三章  响应文件的递交</w:t>
      </w:r>
      <w:r>
        <w:rPr>
          <w:color w:val="auto"/>
          <w:highlight w:val="none"/>
        </w:rPr>
        <w:tab/>
      </w:r>
      <w:r>
        <w:rPr>
          <w:color w:val="auto"/>
          <w:highlight w:val="none"/>
        </w:rPr>
        <w:fldChar w:fldCharType="begin"/>
      </w:r>
      <w:r>
        <w:rPr>
          <w:color w:val="auto"/>
          <w:highlight w:val="none"/>
        </w:rPr>
        <w:instrText xml:space="preserve"> PAGEREF _Toc14992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bCs/>
          <w:color w:val="auto"/>
          <w:szCs w:val="28"/>
          <w:highlight w:val="none"/>
        </w:rPr>
        <w:fldChar w:fldCharType="end"/>
      </w:r>
    </w:p>
    <w:p>
      <w:pPr>
        <w:pStyle w:val="15"/>
        <w:tabs>
          <w:tab w:val="right" w:leader="dot" w:pos="9072"/>
          <w:tab w:val="clear" w:pos="630"/>
          <w:tab w:val="clear" w:pos="8658"/>
        </w:tabs>
        <w:rPr>
          <w:color w:val="auto"/>
          <w:highlight w:val="none"/>
        </w:rPr>
      </w:pP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_Toc27823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第四章、开标、磋商</w:t>
      </w:r>
      <w:r>
        <w:rPr>
          <w:color w:val="auto"/>
          <w:highlight w:val="none"/>
        </w:rPr>
        <w:tab/>
      </w:r>
      <w:r>
        <w:rPr>
          <w:color w:val="auto"/>
          <w:highlight w:val="none"/>
        </w:rPr>
        <w:fldChar w:fldCharType="begin"/>
      </w:r>
      <w:r>
        <w:rPr>
          <w:color w:val="auto"/>
          <w:highlight w:val="none"/>
        </w:rPr>
        <w:instrText xml:space="preserve"> PAGEREF _Toc27823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bCs/>
          <w:color w:val="auto"/>
          <w:szCs w:val="28"/>
          <w:highlight w:val="none"/>
        </w:rPr>
        <w:fldChar w:fldCharType="end"/>
      </w:r>
    </w:p>
    <w:p>
      <w:pPr>
        <w:pStyle w:val="15"/>
        <w:tabs>
          <w:tab w:val="right" w:leader="dot" w:pos="9072"/>
          <w:tab w:val="clear" w:pos="630"/>
          <w:tab w:val="clear" w:pos="8658"/>
        </w:tabs>
        <w:rPr>
          <w:color w:val="auto"/>
          <w:highlight w:val="none"/>
        </w:rPr>
      </w:pP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_Toc6879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第五章  确定成交人</w:t>
      </w:r>
      <w:r>
        <w:rPr>
          <w:color w:val="auto"/>
          <w:highlight w:val="none"/>
        </w:rPr>
        <w:tab/>
      </w:r>
      <w:r>
        <w:rPr>
          <w:color w:val="auto"/>
          <w:highlight w:val="none"/>
        </w:rPr>
        <w:fldChar w:fldCharType="begin"/>
      </w:r>
      <w:r>
        <w:rPr>
          <w:color w:val="auto"/>
          <w:highlight w:val="none"/>
        </w:rPr>
        <w:instrText xml:space="preserve"> PAGEREF _Toc6879 \h </w:instrText>
      </w:r>
      <w:r>
        <w:rPr>
          <w:color w:val="auto"/>
          <w:highlight w:val="none"/>
        </w:rPr>
        <w:fldChar w:fldCharType="separate"/>
      </w:r>
      <w:r>
        <w:rPr>
          <w:color w:val="auto"/>
          <w:highlight w:val="none"/>
        </w:rPr>
        <w:t>21</w:t>
      </w:r>
      <w:r>
        <w:rPr>
          <w:color w:val="auto"/>
          <w:highlight w:val="none"/>
        </w:rPr>
        <w:fldChar w:fldCharType="end"/>
      </w:r>
      <w:r>
        <w:rPr>
          <w:rFonts w:hint="eastAsia" w:ascii="仿宋" w:hAnsi="仿宋" w:eastAsia="仿宋" w:cs="仿宋"/>
          <w:bCs/>
          <w:color w:val="auto"/>
          <w:szCs w:val="28"/>
          <w:highlight w:val="none"/>
        </w:rPr>
        <w:fldChar w:fldCharType="end"/>
      </w:r>
    </w:p>
    <w:p>
      <w:pPr>
        <w:pStyle w:val="15"/>
        <w:tabs>
          <w:tab w:val="right" w:leader="dot" w:pos="9072"/>
          <w:tab w:val="clear" w:pos="630"/>
          <w:tab w:val="clear" w:pos="8658"/>
        </w:tabs>
        <w:rPr>
          <w:color w:val="auto"/>
          <w:highlight w:val="none"/>
        </w:rPr>
      </w:pP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_Toc20694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第六章 授予合同</w:t>
      </w:r>
      <w:r>
        <w:rPr>
          <w:color w:val="auto"/>
          <w:highlight w:val="none"/>
        </w:rPr>
        <w:tab/>
      </w:r>
      <w:r>
        <w:rPr>
          <w:color w:val="auto"/>
          <w:highlight w:val="none"/>
        </w:rPr>
        <w:fldChar w:fldCharType="begin"/>
      </w:r>
      <w:r>
        <w:rPr>
          <w:color w:val="auto"/>
          <w:highlight w:val="none"/>
        </w:rPr>
        <w:instrText xml:space="preserve"> PAGEREF _Toc20694 \h </w:instrText>
      </w:r>
      <w:r>
        <w:rPr>
          <w:color w:val="auto"/>
          <w:highlight w:val="none"/>
        </w:rPr>
        <w:fldChar w:fldCharType="separate"/>
      </w:r>
      <w:r>
        <w:rPr>
          <w:color w:val="auto"/>
          <w:highlight w:val="none"/>
        </w:rPr>
        <w:t>21</w:t>
      </w:r>
      <w:r>
        <w:rPr>
          <w:color w:val="auto"/>
          <w:highlight w:val="none"/>
        </w:rPr>
        <w:fldChar w:fldCharType="end"/>
      </w:r>
      <w:r>
        <w:rPr>
          <w:rFonts w:hint="eastAsia" w:ascii="仿宋" w:hAnsi="仿宋" w:eastAsia="仿宋" w:cs="仿宋"/>
          <w:bCs/>
          <w:color w:val="auto"/>
          <w:szCs w:val="28"/>
          <w:highlight w:val="none"/>
        </w:rPr>
        <w:fldChar w:fldCharType="end"/>
      </w:r>
    </w:p>
    <w:p>
      <w:pPr>
        <w:pStyle w:val="14"/>
        <w:tabs>
          <w:tab w:val="right" w:leader="dot" w:pos="9072"/>
          <w:tab w:val="clear" w:pos="540"/>
          <w:tab w:val="clear" w:pos="8460"/>
        </w:tabs>
        <w:rPr>
          <w:color w:val="auto"/>
          <w:highlight w:val="none"/>
        </w:rPr>
      </w:pP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_Toc717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 xml:space="preserve">第四部分 </w:t>
      </w:r>
      <w:r>
        <w:rPr>
          <w:rFonts w:hint="eastAsia" w:ascii="仿宋" w:hAnsi="仿宋" w:eastAsia="仿宋" w:cs="仿宋"/>
          <w:color w:val="auto"/>
          <w:highlight w:val="none"/>
          <w:lang w:val="en-US" w:eastAsia="zh-CN"/>
        </w:rPr>
        <w:t>采购需求</w:t>
      </w:r>
      <w:r>
        <w:rPr>
          <w:color w:val="auto"/>
          <w:highlight w:val="none"/>
        </w:rPr>
        <w:tab/>
      </w:r>
      <w:r>
        <w:rPr>
          <w:color w:val="auto"/>
          <w:highlight w:val="none"/>
        </w:rPr>
        <w:fldChar w:fldCharType="begin"/>
      </w:r>
      <w:r>
        <w:rPr>
          <w:color w:val="auto"/>
          <w:highlight w:val="none"/>
        </w:rPr>
        <w:instrText xml:space="preserve"> PAGEREF _Toc717 \h </w:instrText>
      </w:r>
      <w:r>
        <w:rPr>
          <w:color w:val="auto"/>
          <w:highlight w:val="none"/>
        </w:rPr>
        <w:fldChar w:fldCharType="separate"/>
      </w:r>
      <w:r>
        <w:rPr>
          <w:color w:val="auto"/>
          <w:highlight w:val="none"/>
        </w:rPr>
        <w:t>23</w:t>
      </w:r>
      <w:r>
        <w:rPr>
          <w:color w:val="auto"/>
          <w:highlight w:val="none"/>
        </w:rPr>
        <w:fldChar w:fldCharType="end"/>
      </w:r>
      <w:r>
        <w:rPr>
          <w:rFonts w:hint="eastAsia" w:ascii="仿宋" w:hAnsi="仿宋" w:eastAsia="仿宋" w:cs="仿宋"/>
          <w:bCs/>
          <w:color w:val="auto"/>
          <w:szCs w:val="28"/>
          <w:highlight w:val="none"/>
        </w:rPr>
        <w:fldChar w:fldCharType="end"/>
      </w:r>
    </w:p>
    <w:p>
      <w:pPr>
        <w:pStyle w:val="14"/>
        <w:tabs>
          <w:tab w:val="right" w:leader="dot" w:pos="9072"/>
          <w:tab w:val="clear" w:pos="540"/>
          <w:tab w:val="clear" w:pos="8460"/>
        </w:tabs>
        <w:rPr>
          <w:color w:val="auto"/>
          <w:highlight w:val="none"/>
        </w:rPr>
      </w:pP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_Toc28932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部分 合同</w:t>
      </w:r>
      <w:r>
        <w:rPr>
          <w:color w:val="auto"/>
          <w:highlight w:val="none"/>
        </w:rPr>
        <w:tab/>
      </w:r>
      <w:r>
        <w:rPr>
          <w:color w:val="auto"/>
          <w:highlight w:val="none"/>
        </w:rPr>
        <w:fldChar w:fldCharType="begin"/>
      </w:r>
      <w:r>
        <w:rPr>
          <w:color w:val="auto"/>
          <w:highlight w:val="none"/>
        </w:rPr>
        <w:instrText xml:space="preserve"> PAGEREF _Toc28932 \h </w:instrText>
      </w:r>
      <w:r>
        <w:rPr>
          <w:color w:val="auto"/>
          <w:highlight w:val="none"/>
        </w:rPr>
        <w:fldChar w:fldCharType="separate"/>
      </w:r>
      <w:r>
        <w:rPr>
          <w:color w:val="auto"/>
          <w:highlight w:val="none"/>
        </w:rPr>
        <w:t>23</w:t>
      </w:r>
      <w:r>
        <w:rPr>
          <w:color w:val="auto"/>
          <w:highlight w:val="none"/>
        </w:rPr>
        <w:fldChar w:fldCharType="end"/>
      </w:r>
      <w:r>
        <w:rPr>
          <w:rFonts w:hint="eastAsia" w:ascii="仿宋" w:hAnsi="仿宋" w:eastAsia="仿宋" w:cs="仿宋"/>
          <w:bCs/>
          <w:color w:val="auto"/>
          <w:szCs w:val="28"/>
          <w:highlight w:val="none"/>
        </w:rPr>
        <w:fldChar w:fldCharType="end"/>
      </w:r>
    </w:p>
    <w:p>
      <w:pPr>
        <w:pStyle w:val="14"/>
        <w:tabs>
          <w:tab w:val="right" w:leader="dot" w:pos="9072"/>
          <w:tab w:val="clear" w:pos="540"/>
          <w:tab w:val="clear" w:pos="8460"/>
        </w:tabs>
        <w:rPr>
          <w:color w:val="auto"/>
          <w:highlight w:val="none"/>
        </w:rPr>
      </w:pPr>
      <w:r>
        <w:rPr>
          <w:rFonts w:hint="eastAsia" w:ascii="仿宋" w:hAnsi="仿宋" w:eastAsia="仿宋" w:cs="仿宋"/>
          <w:bCs/>
          <w:color w:val="auto"/>
          <w:szCs w:val="28"/>
          <w:highlight w:val="none"/>
        </w:rPr>
        <w:fldChar w:fldCharType="begin"/>
      </w:r>
      <w:r>
        <w:rPr>
          <w:rFonts w:hint="eastAsia" w:ascii="仿宋" w:hAnsi="仿宋" w:eastAsia="仿宋" w:cs="仿宋"/>
          <w:bCs/>
          <w:color w:val="auto"/>
          <w:szCs w:val="28"/>
          <w:highlight w:val="none"/>
        </w:rPr>
        <w:instrText xml:space="preserve"> HYPERLINK \l _Toc23293 </w:instrText>
      </w:r>
      <w:r>
        <w:rPr>
          <w:rFonts w:hint="eastAsia" w:ascii="仿宋" w:hAnsi="仿宋" w:eastAsia="仿宋" w:cs="仿宋"/>
          <w:bCs/>
          <w:color w:val="auto"/>
          <w:szCs w:val="28"/>
          <w:highlight w:val="none"/>
        </w:rPr>
        <w:fldChar w:fldCharType="separate"/>
      </w:r>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部分  附 件</w:t>
      </w:r>
      <w:r>
        <w:rPr>
          <w:color w:val="auto"/>
          <w:highlight w:val="none"/>
        </w:rPr>
        <w:tab/>
      </w:r>
      <w:r>
        <w:rPr>
          <w:color w:val="auto"/>
          <w:highlight w:val="none"/>
        </w:rPr>
        <w:fldChar w:fldCharType="begin"/>
      </w:r>
      <w:r>
        <w:rPr>
          <w:color w:val="auto"/>
          <w:highlight w:val="none"/>
        </w:rPr>
        <w:instrText xml:space="preserve"> PAGEREF _Toc23293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bCs/>
          <w:color w:val="auto"/>
          <w:szCs w:val="28"/>
          <w:highlight w:val="none"/>
        </w:rPr>
        <w:fldChar w:fldCharType="end"/>
      </w:r>
    </w:p>
    <w:p>
      <w:pPr>
        <w:pStyle w:val="14"/>
        <w:shd w:val="clear"/>
        <w:tabs>
          <w:tab w:val="right" w:leader="dot" w:pos="9072"/>
          <w:tab w:val="clear" w:pos="540"/>
          <w:tab w:val="clear" w:pos="8460"/>
        </w:tabs>
        <w:spacing w:before="120" w:after="120"/>
        <w:rPr>
          <w:rFonts w:ascii="仿宋" w:hAnsi="仿宋" w:eastAsia="仿宋" w:cs="仿宋"/>
          <w:bCs/>
          <w:color w:val="auto"/>
          <w:sz w:val="28"/>
          <w:szCs w:val="28"/>
          <w:highlight w:val="none"/>
        </w:rPr>
      </w:pPr>
      <w:r>
        <w:rPr>
          <w:rFonts w:hint="eastAsia" w:ascii="仿宋" w:hAnsi="仿宋" w:eastAsia="仿宋" w:cs="仿宋"/>
          <w:bCs/>
          <w:color w:val="auto"/>
          <w:szCs w:val="28"/>
          <w:highlight w:val="none"/>
        </w:rPr>
        <w:fldChar w:fldCharType="end"/>
      </w: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rPr>
          <w:rFonts w:ascii="仿宋" w:hAnsi="仿宋" w:eastAsia="仿宋" w:cs="仿宋"/>
          <w:b/>
          <w:bCs/>
          <w:color w:val="auto"/>
          <w:sz w:val="28"/>
          <w:szCs w:val="28"/>
          <w:highlight w:val="none"/>
        </w:rPr>
      </w:pPr>
    </w:p>
    <w:p>
      <w:pPr>
        <w:shd w:val="clear"/>
        <w:spacing w:line="440" w:lineRule="exact"/>
        <w:jc w:val="both"/>
        <w:rPr>
          <w:rFonts w:ascii="仿宋" w:hAnsi="仿宋" w:eastAsia="仿宋" w:cs="仿宋"/>
          <w:b/>
          <w:color w:val="auto"/>
          <w:sz w:val="32"/>
          <w:szCs w:val="32"/>
          <w:highlight w:val="none"/>
        </w:rPr>
      </w:pPr>
    </w:p>
    <w:p>
      <w:pPr>
        <w:shd w:val="clear"/>
        <w:spacing w:line="440" w:lineRule="exact"/>
        <w:jc w:val="center"/>
        <w:rPr>
          <w:rFonts w:ascii="仿宋" w:hAnsi="仿宋" w:eastAsia="仿宋" w:cs="仿宋"/>
          <w:b/>
          <w:color w:val="auto"/>
          <w:sz w:val="32"/>
          <w:szCs w:val="32"/>
          <w:highlight w:val="none"/>
        </w:rPr>
        <w:sectPr>
          <w:footerReference r:id="rId6" w:type="first"/>
          <w:footerReference r:id="rId5" w:type="default"/>
          <w:pgSz w:w="11906" w:h="16838"/>
          <w:pgMar w:top="1418" w:right="1133" w:bottom="709" w:left="1701" w:header="851" w:footer="992" w:gutter="0"/>
          <w:cols w:space="720" w:num="1"/>
          <w:titlePg/>
          <w:docGrid w:linePitch="332" w:charSpace="0"/>
        </w:sectPr>
      </w:pPr>
    </w:p>
    <w:p>
      <w:pPr>
        <w:widowControl/>
        <w:shd w:val="clear"/>
        <w:jc w:val="center"/>
        <w:textAlignment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竞争性磋商公告</w:t>
      </w:r>
      <w:bookmarkStart w:id="0" w:name="_Toc492300742"/>
      <w:r>
        <w:rPr>
          <w:rFonts w:hint="eastAsia" w:ascii="仿宋" w:hAnsi="仿宋" w:eastAsia="仿宋" w:cs="仿宋"/>
          <w:b/>
          <w:bCs/>
          <w:color w:val="auto"/>
          <w:sz w:val="28"/>
          <w:szCs w:val="28"/>
          <w:highlight w:val="none"/>
          <w:lang w:val="en-US" w:eastAsia="zh-CN"/>
        </w:rPr>
        <w:t>(二次)</w:t>
      </w:r>
    </w:p>
    <w:p>
      <w:pPr>
        <w:shd w:val="clear"/>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阜康市第三小学校园文化建设项目</w:t>
      </w:r>
      <w:r>
        <w:rPr>
          <w:rFonts w:hint="eastAsia" w:ascii="仿宋" w:hAnsi="仿宋" w:eastAsia="仿宋" w:cs="仿宋"/>
          <w:color w:val="auto"/>
          <w:kern w:val="0"/>
          <w:sz w:val="24"/>
          <w:highlight w:val="none"/>
          <w:lang w:eastAsia="zh-CN"/>
        </w:rPr>
        <w:t>的潜在投标人应在新疆昌吉州昌吉市石河子西路环宇广场2号入口709室获取招标文件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并于</w:t>
      </w:r>
      <w:r>
        <w:rPr>
          <w:rFonts w:hint="eastAsia" w:ascii="仿宋" w:hAnsi="仿宋" w:eastAsia="仿宋" w:cs="仿宋"/>
          <w:color w:val="auto"/>
          <w:sz w:val="24"/>
          <w:highlight w:val="green"/>
          <w:lang w:val="en-US" w:eastAsia="zh-CN"/>
        </w:rPr>
        <w:t>2022年10月24日11:00（</w:t>
      </w:r>
      <w:r>
        <w:rPr>
          <w:rFonts w:hint="eastAsia" w:ascii="仿宋" w:hAnsi="仿宋" w:eastAsia="仿宋" w:cs="仿宋"/>
          <w:color w:val="auto"/>
          <w:sz w:val="24"/>
          <w:highlight w:val="none"/>
          <w:lang w:val="en-US" w:eastAsia="zh-CN"/>
        </w:rPr>
        <w:t>北京时间）前递交投标文件</w:t>
      </w:r>
    </w:p>
    <w:p>
      <w:pPr>
        <w:pStyle w:val="2"/>
      </w:pPr>
    </w:p>
    <w:p>
      <w:pPr>
        <w:shd w:val="clear"/>
        <w:adjustRightInd w:val="0"/>
        <w:snapToGrid w:val="0"/>
        <w:spacing w:line="360" w:lineRule="auto"/>
        <w:ind w:firstLine="482" w:firstLineChars="20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 xml:space="preserve">1. </w:t>
      </w:r>
      <w:bookmarkEnd w:id="0"/>
      <w:bookmarkStart w:id="1" w:name="_Toc492300743"/>
      <w:r>
        <w:rPr>
          <w:rFonts w:hint="eastAsia" w:ascii="仿宋" w:hAnsi="仿宋" w:eastAsia="仿宋" w:cs="仿宋"/>
          <w:b/>
          <w:color w:val="auto"/>
          <w:sz w:val="24"/>
          <w:highlight w:val="none"/>
          <w:lang w:eastAsia="zh-CN"/>
        </w:rPr>
        <w:t>项目基本情况</w:t>
      </w:r>
    </w:p>
    <w:p>
      <w:pPr>
        <w:pStyle w:val="16"/>
        <w:shd w:val="clea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项目编号：XJBLZB-20220108022</w:t>
      </w:r>
    </w:p>
    <w:p>
      <w:pPr>
        <w:pStyle w:val="16"/>
        <w:shd w:val="clear"/>
        <w:adjustRightInd w:val="0"/>
        <w:snapToGrid w:val="0"/>
        <w:spacing w:line="360" w:lineRule="auto"/>
        <w:ind w:firstLine="480" w:firstLineChars="200"/>
        <w:rPr>
          <w:rFonts w:hint="eastAsia" w:ascii="仿宋" w:hAnsi="仿宋" w:eastAsia="仿宋" w:cs="仿宋"/>
          <w:color w:val="auto"/>
          <w:sz w:val="24"/>
          <w:highlight w:val="none"/>
          <w:lang w:eastAsia="zh-CN"/>
        </w:rPr>
      </w:pPr>
      <w:r>
        <w:rPr>
          <w:rFonts w:hint="default" w:ascii="仿宋" w:hAnsi="仿宋" w:eastAsia="仿宋" w:cs="仿宋"/>
          <w:color w:val="auto"/>
          <w:sz w:val="24"/>
          <w:szCs w:val="24"/>
          <w:highlight w:val="none"/>
          <w:lang w:val="en-US" w:eastAsia="zh-CN"/>
        </w:rPr>
        <w:t>项目名称：</w:t>
      </w:r>
      <w:r>
        <w:rPr>
          <w:rFonts w:hint="eastAsia" w:ascii="仿宋" w:hAnsi="仿宋" w:eastAsia="仿宋" w:cs="仿宋"/>
          <w:color w:val="auto"/>
          <w:sz w:val="24"/>
          <w:highlight w:val="none"/>
          <w:lang w:eastAsia="zh-CN"/>
        </w:rPr>
        <w:t>阜康市第三小学校园文化建设项目</w:t>
      </w:r>
    </w:p>
    <w:p>
      <w:pPr>
        <w:pStyle w:val="16"/>
        <w:shd w:val="clea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采购方式：</w:t>
      </w:r>
      <w:r>
        <w:rPr>
          <w:rFonts w:hint="eastAsia" w:ascii="仿宋" w:hAnsi="仿宋" w:eastAsia="仿宋" w:cs="仿宋"/>
          <w:color w:val="auto"/>
          <w:sz w:val="24"/>
          <w:szCs w:val="24"/>
          <w:highlight w:val="none"/>
          <w:lang w:val="en-US" w:eastAsia="zh-CN"/>
        </w:rPr>
        <w:t>竞争性磋商</w:t>
      </w:r>
    </w:p>
    <w:p>
      <w:pPr>
        <w:pStyle w:val="16"/>
        <w:shd w:val="clea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预算金额（元）：</w:t>
      </w:r>
      <w:r>
        <w:rPr>
          <w:rFonts w:hint="eastAsia" w:ascii="仿宋" w:hAnsi="仿宋" w:eastAsia="仿宋" w:cs="仿宋"/>
          <w:color w:val="auto"/>
          <w:sz w:val="24"/>
          <w:szCs w:val="24"/>
          <w:highlight w:val="none"/>
          <w:lang w:val="en-US" w:eastAsia="zh-CN"/>
        </w:rPr>
        <w:t>900000.00</w:t>
      </w:r>
    </w:p>
    <w:p>
      <w:pPr>
        <w:pStyle w:val="16"/>
        <w:shd w:val="clea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最高限价（元）：</w:t>
      </w:r>
      <w:r>
        <w:rPr>
          <w:rFonts w:hint="eastAsia" w:ascii="仿宋" w:hAnsi="仿宋" w:eastAsia="仿宋" w:cs="仿宋"/>
          <w:color w:val="auto"/>
          <w:sz w:val="24"/>
          <w:szCs w:val="24"/>
          <w:highlight w:val="none"/>
          <w:lang w:val="en-US" w:eastAsia="zh-CN"/>
        </w:rPr>
        <w:t>900000.00</w:t>
      </w:r>
    </w:p>
    <w:p>
      <w:pPr>
        <w:pStyle w:val="16"/>
        <w:shd w:val="clea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采购需求：</w:t>
      </w:r>
    </w:p>
    <w:p>
      <w:pPr>
        <w:pStyle w:val="16"/>
        <w:shd w:val="clea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标项名称:阜康市第三小学校园文化建设项目</w:t>
      </w:r>
    </w:p>
    <w:p>
      <w:pPr>
        <w:pStyle w:val="16"/>
        <w:shd w:val="clea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数量:1</w:t>
      </w:r>
    </w:p>
    <w:p>
      <w:pPr>
        <w:pStyle w:val="16"/>
        <w:shd w:val="clear"/>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预算金额（元）:</w:t>
      </w:r>
      <w:r>
        <w:rPr>
          <w:rFonts w:hint="eastAsia" w:ascii="仿宋" w:hAnsi="仿宋" w:eastAsia="仿宋" w:cs="仿宋"/>
          <w:color w:val="auto"/>
          <w:sz w:val="24"/>
          <w:szCs w:val="24"/>
          <w:highlight w:val="none"/>
          <w:lang w:val="en-US" w:eastAsia="zh-CN"/>
        </w:rPr>
        <w:t>900000.00</w:t>
      </w:r>
    </w:p>
    <w:p>
      <w:pPr>
        <w:pStyle w:val="16"/>
        <w:shd w:val="clear"/>
        <w:adjustRightInd w:val="0"/>
        <w:snapToGrid w:val="0"/>
        <w:spacing w:line="360" w:lineRule="auto"/>
        <w:ind w:firstLine="480" w:firstLineChars="200"/>
        <w:rPr>
          <w:rFonts w:hint="eastAsia" w:ascii="仿宋" w:hAnsi="仿宋" w:eastAsia="仿宋" w:cs="仿宋"/>
          <w:color w:val="auto"/>
          <w:sz w:val="24"/>
          <w:highlight w:val="none"/>
          <w:lang w:eastAsia="zh-CN"/>
        </w:rPr>
      </w:pPr>
      <w:r>
        <w:rPr>
          <w:rFonts w:hint="default" w:ascii="仿宋" w:hAnsi="仿宋" w:eastAsia="仿宋" w:cs="仿宋"/>
          <w:color w:val="auto"/>
          <w:sz w:val="24"/>
          <w:szCs w:val="24"/>
          <w:highlight w:val="none"/>
          <w:lang w:val="en-US" w:eastAsia="zh-CN"/>
        </w:rPr>
        <w:t>   简要规格描述或项目基本概况介绍、用途：</w:t>
      </w:r>
      <w:r>
        <w:rPr>
          <w:rFonts w:hint="eastAsia" w:ascii="仿宋" w:hAnsi="仿宋" w:eastAsia="仿宋" w:cs="仿宋"/>
          <w:color w:val="auto"/>
          <w:sz w:val="24"/>
          <w:highlight w:val="none"/>
          <w:lang w:eastAsia="zh-CN"/>
        </w:rPr>
        <w:t>阜康市第三小学校园文化建设项目，详见采购文件清单</w:t>
      </w:r>
    </w:p>
    <w:p>
      <w:pPr>
        <w:pStyle w:val="16"/>
        <w:shd w:val="clea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备注：</w:t>
      </w:r>
    </w:p>
    <w:p>
      <w:pPr>
        <w:pStyle w:val="16"/>
        <w:shd w:val="clea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合同履约期限：标项 1，以签订的合同为准。</w:t>
      </w:r>
    </w:p>
    <w:p>
      <w:pPr>
        <w:pStyle w:val="16"/>
        <w:shd w:val="clea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本项目（否）接受联合体投标。</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eastAsia="zh-CN"/>
        </w:rPr>
        <w:t>申请</w:t>
      </w:r>
      <w:r>
        <w:rPr>
          <w:rFonts w:hint="eastAsia" w:ascii="仿宋" w:hAnsi="仿宋" w:eastAsia="仿宋" w:cs="仿宋"/>
          <w:b/>
          <w:color w:val="auto"/>
          <w:sz w:val="24"/>
          <w:highlight w:val="none"/>
        </w:rPr>
        <w:t>人资格要求</w:t>
      </w:r>
      <w:bookmarkEnd w:id="1"/>
    </w:p>
    <w:p>
      <w:pPr>
        <w:shd w:val="clear"/>
        <w:adjustRightInd w:val="0"/>
        <w:snapToGrid w:val="0"/>
        <w:spacing w:line="360" w:lineRule="auto"/>
        <w:ind w:firstLine="480" w:firstLineChars="200"/>
        <w:rPr>
          <w:rFonts w:ascii="仿宋" w:hAnsi="仿宋" w:eastAsia="仿宋" w:cs="仿宋"/>
          <w:bCs/>
          <w:color w:val="auto"/>
          <w:sz w:val="24"/>
          <w:highlight w:val="none"/>
        </w:rPr>
      </w:pPr>
      <w:bookmarkStart w:id="2" w:name="_Toc492300744"/>
      <w:r>
        <w:rPr>
          <w:rFonts w:hint="eastAsia" w:ascii="仿宋" w:hAnsi="仿宋" w:eastAsia="仿宋" w:cs="仿宋"/>
          <w:bCs/>
          <w:color w:val="auto"/>
          <w:sz w:val="24"/>
          <w:highlight w:val="none"/>
        </w:rPr>
        <w:t>2.1、响应人必须是中华人民共和国境内注册的，具有独立法人资格的</w:t>
      </w:r>
      <w:r>
        <w:rPr>
          <w:rFonts w:hint="eastAsia" w:ascii="仿宋" w:hAnsi="仿宋" w:eastAsia="仿宋" w:cs="仿宋"/>
          <w:color w:val="auto"/>
          <w:sz w:val="24"/>
          <w:highlight w:val="none"/>
        </w:rPr>
        <w:t>企、事业单位</w:t>
      </w:r>
      <w:r>
        <w:rPr>
          <w:rFonts w:hint="eastAsia" w:ascii="仿宋" w:hAnsi="仿宋" w:eastAsia="仿宋" w:cs="仿宋"/>
          <w:bCs/>
          <w:color w:val="auto"/>
          <w:sz w:val="24"/>
          <w:highlight w:val="none"/>
        </w:rPr>
        <w:t>或其他类型的组织，具有有效的营业执照；</w:t>
      </w:r>
    </w:p>
    <w:p>
      <w:pPr>
        <w:shd w:val="clear"/>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2.2、凡拟参加本次磋商的响应人，如在“信用中国”（www.creditchina.gov.vn ）、中国政府采购网（www.ccgp.gov.vn ）被列入失信被执行人、重大税收违法案件当事人名单、政府采购严重违法失信行为记录名单的（尚在处罚期内的）,将拒绝其参本次采购活动；投标人近三年无因投标申请人违约或不恰当履约引起的合同终止、纠纷、争议、仲裁和公诉纪录；</w:t>
      </w:r>
    </w:p>
    <w:p>
      <w:pPr>
        <w:shd w:val="clea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2.3、其他说明：（1）与采购人存在利害关系可能影响磋商公正性的法人、其他组织或者个人，不得参加磋商。（2）单位负责人为同一人或者存在控股、管理关系的不同单位，不得参加同一标段或者未划分标段的同一磋商项目磋商。违反前两款规定的，相关磋商均无效；</w:t>
      </w:r>
    </w:p>
    <w:p>
      <w:pPr>
        <w:shd w:val="clea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、本项目不接受联合体磋商。</w:t>
      </w:r>
    </w:p>
    <w:bookmarkEnd w:id="2"/>
    <w:p>
      <w:pPr>
        <w:shd w:val="clear"/>
        <w:adjustRightInd w:val="0"/>
        <w:snapToGrid w:val="0"/>
        <w:spacing w:line="360" w:lineRule="auto"/>
        <w:ind w:firstLine="482" w:firstLineChars="20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eastAsia="zh-CN"/>
        </w:rPr>
        <w:t>采购文件的获取</w:t>
      </w:r>
    </w:p>
    <w:p>
      <w:pPr>
        <w:shd w:val="clea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3.1</w:t>
      </w:r>
      <w:r>
        <w:rPr>
          <w:rFonts w:hint="eastAsia" w:ascii="仿宋" w:hAnsi="仿宋" w:eastAsia="仿宋" w:cs="仿宋"/>
          <w:bCs/>
          <w:color w:val="auto"/>
          <w:sz w:val="24"/>
          <w:highlight w:val="none"/>
        </w:rPr>
        <w:t>时间：</w:t>
      </w:r>
      <w:r>
        <w:rPr>
          <w:rFonts w:hint="eastAsia" w:ascii="仿宋" w:hAnsi="仿宋" w:eastAsia="仿宋" w:cs="仿宋"/>
          <w:bCs/>
          <w:color w:val="auto"/>
          <w:sz w:val="24"/>
          <w:highlight w:val="green"/>
        </w:rPr>
        <w:t>2022年</w:t>
      </w:r>
      <w:r>
        <w:rPr>
          <w:rFonts w:hint="eastAsia" w:ascii="仿宋" w:hAnsi="仿宋" w:eastAsia="仿宋" w:cs="仿宋"/>
          <w:bCs/>
          <w:color w:val="auto"/>
          <w:sz w:val="24"/>
          <w:highlight w:val="green"/>
          <w:lang w:val="en-US" w:eastAsia="zh-CN"/>
        </w:rPr>
        <w:t>10</w:t>
      </w:r>
      <w:r>
        <w:rPr>
          <w:rFonts w:hint="eastAsia" w:ascii="仿宋" w:hAnsi="仿宋" w:eastAsia="仿宋" w:cs="仿宋"/>
          <w:bCs/>
          <w:color w:val="auto"/>
          <w:sz w:val="24"/>
          <w:highlight w:val="green"/>
        </w:rPr>
        <w:t>月</w:t>
      </w:r>
      <w:r>
        <w:rPr>
          <w:rFonts w:hint="eastAsia" w:ascii="仿宋" w:hAnsi="仿宋" w:eastAsia="仿宋" w:cs="仿宋"/>
          <w:bCs/>
          <w:color w:val="auto"/>
          <w:sz w:val="24"/>
          <w:highlight w:val="green"/>
          <w:lang w:val="en-US" w:eastAsia="zh-CN"/>
        </w:rPr>
        <w:t>14</w:t>
      </w:r>
      <w:r>
        <w:rPr>
          <w:rFonts w:hint="eastAsia" w:ascii="仿宋" w:hAnsi="仿宋" w:eastAsia="仿宋" w:cs="仿宋"/>
          <w:bCs/>
          <w:color w:val="auto"/>
          <w:sz w:val="24"/>
          <w:highlight w:val="green"/>
        </w:rPr>
        <w:t>日至2022年</w:t>
      </w:r>
      <w:r>
        <w:rPr>
          <w:rFonts w:hint="eastAsia" w:ascii="仿宋" w:hAnsi="仿宋" w:eastAsia="仿宋" w:cs="仿宋"/>
          <w:bCs/>
          <w:color w:val="auto"/>
          <w:sz w:val="24"/>
          <w:highlight w:val="green"/>
          <w:lang w:val="en-US" w:eastAsia="zh-CN"/>
        </w:rPr>
        <w:t>10</w:t>
      </w:r>
      <w:r>
        <w:rPr>
          <w:rFonts w:hint="eastAsia" w:ascii="仿宋" w:hAnsi="仿宋" w:eastAsia="仿宋" w:cs="仿宋"/>
          <w:bCs/>
          <w:color w:val="auto"/>
          <w:sz w:val="24"/>
          <w:highlight w:val="green"/>
        </w:rPr>
        <w:t>月</w:t>
      </w:r>
      <w:r>
        <w:rPr>
          <w:rFonts w:hint="eastAsia" w:ascii="仿宋" w:hAnsi="仿宋" w:eastAsia="仿宋" w:cs="仿宋"/>
          <w:bCs/>
          <w:color w:val="auto"/>
          <w:sz w:val="24"/>
          <w:highlight w:val="green"/>
          <w:lang w:val="en-US" w:eastAsia="zh-CN"/>
        </w:rPr>
        <w:t>21</w:t>
      </w:r>
      <w:r>
        <w:rPr>
          <w:rFonts w:hint="eastAsia" w:ascii="仿宋" w:hAnsi="仿宋" w:eastAsia="仿宋" w:cs="仿宋"/>
          <w:bCs/>
          <w:color w:val="auto"/>
          <w:sz w:val="24"/>
          <w:highlight w:val="green"/>
        </w:rPr>
        <w:t>日</w:t>
      </w:r>
      <w:r>
        <w:rPr>
          <w:rFonts w:hint="eastAsia" w:ascii="仿宋" w:hAnsi="仿宋" w:eastAsia="仿宋" w:cs="仿宋"/>
          <w:bCs/>
          <w:color w:val="auto"/>
          <w:sz w:val="24"/>
          <w:highlight w:val="none"/>
        </w:rPr>
        <w:t>，每天上午10:00至14:00，下午15:30至19:30（北京时间，法定节假日除外）</w:t>
      </w:r>
    </w:p>
    <w:p>
      <w:pPr>
        <w:shd w:val="clea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3.2</w:t>
      </w:r>
      <w:r>
        <w:rPr>
          <w:rFonts w:hint="eastAsia" w:ascii="仿宋" w:hAnsi="仿宋" w:eastAsia="仿宋" w:cs="仿宋"/>
          <w:bCs/>
          <w:color w:val="auto"/>
          <w:sz w:val="24"/>
          <w:highlight w:val="none"/>
        </w:rPr>
        <w:t>地点：</w:t>
      </w:r>
      <w:r>
        <w:rPr>
          <w:rFonts w:hint="eastAsia" w:ascii="仿宋" w:hAnsi="仿宋" w:eastAsia="仿宋" w:cs="仿宋"/>
          <w:bCs/>
          <w:color w:val="auto"/>
          <w:sz w:val="24"/>
          <w:highlight w:val="none"/>
          <w:lang w:eastAsia="zh-CN"/>
        </w:rPr>
        <w:t>新疆昌吉州昌吉市石河子西路环宇广场2号入口709室</w:t>
      </w:r>
      <w:r>
        <w:rPr>
          <w:rFonts w:hint="eastAsia" w:ascii="仿宋" w:hAnsi="仿宋" w:eastAsia="仿宋" w:cs="仿宋"/>
          <w:bCs/>
          <w:color w:val="auto"/>
          <w:sz w:val="24"/>
          <w:highlight w:val="none"/>
        </w:rPr>
        <w:t> </w:t>
      </w:r>
    </w:p>
    <w:p>
      <w:pPr>
        <w:shd w:val="clea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3.3</w:t>
      </w:r>
      <w:r>
        <w:rPr>
          <w:rFonts w:hint="eastAsia" w:ascii="仿宋" w:hAnsi="仿宋" w:eastAsia="仿宋" w:cs="仿宋"/>
          <w:bCs/>
          <w:color w:val="auto"/>
          <w:sz w:val="24"/>
          <w:highlight w:val="none"/>
        </w:rPr>
        <w:t>方式：</w:t>
      </w:r>
      <w:bookmarkStart w:id="3" w:name="OLE_LINK9"/>
      <w:r>
        <w:rPr>
          <w:rFonts w:hint="eastAsia" w:ascii="仿宋" w:hAnsi="仿宋" w:eastAsia="仿宋" w:cs="仿宋"/>
          <w:bCs/>
          <w:color w:val="auto"/>
          <w:sz w:val="24"/>
          <w:highlight w:val="none"/>
        </w:rPr>
        <w:t>线上邮箱方式获取。（各潜在投标人按公告要求提交材料扫描件至邮箱：</w:t>
      </w:r>
      <w:r>
        <w:rPr>
          <w:rFonts w:hint="eastAsia" w:ascii="仿宋" w:hAnsi="仿宋" w:eastAsia="仿宋" w:cs="仿宋"/>
          <w:bCs/>
          <w:color w:val="auto"/>
          <w:sz w:val="24"/>
          <w:highlight w:val="none"/>
          <w:lang w:val="en-US" w:eastAsia="zh-CN"/>
        </w:rPr>
        <w:t>1667846826</w:t>
      </w:r>
      <w:r>
        <w:rPr>
          <w:rFonts w:hint="eastAsia" w:ascii="仿宋" w:hAnsi="仿宋" w:eastAsia="仿宋" w:cs="仿宋"/>
          <w:bCs/>
          <w:color w:val="auto"/>
          <w:sz w:val="24"/>
          <w:highlight w:val="none"/>
        </w:rPr>
        <w:t>@qq.com，并在邮件内注明所投项目名称、供应商名称、联系人及电话，收到邮件登记成功的单位由代理公司发放采购文件） </w:t>
      </w:r>
      <w:bookmarkEnd w:id="3"/>
    </w:p>
    <w:p>
      <w:pPr>
        <w:pStyle w:val="6"/>
        <w:numPr>
          <w:ilvl w:val="0"/>
          <w:numId w:val="0"/>
        </w:numPr>
        <w:shd w:val="clea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售价（元）： 300 </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4. 响应文件提交</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4.1</w:t>
      </w:r>
      <w:r>
        <w:rPr>
          <w:rFonts w:hint="eastAsia" w:ascii="仿宋" w:hAnsi="仿宋" w:eastAsia="仿宋" w:cs="仿宋"/>
          <w:bCs/>
          <w:color w:val="auto"/>
          <w:sz w:val="24"/>
          <w:highlight w:val="none"/>
          <w:lang w:eastAsia="zh-CN"/>
        </w:rPr>
        <w:t>截止时间：</w:t>
      </w:r>
      <w:r>
        <w:rPr>
          <w:rFonts w:hint="eastAsia" w:ascii="仿宋" w:hAnsi="仿宋" w:eastAsia="仿宋" w:cs="仿宋"/>
          <w:bCs/>
          <w:color w:val="auto"/>
          <w:sz w:val="24"/>
          <w:highlight w:val="green"/>
          <w:lang w:eastAsia="zh-CN"/>
        </w:rPr>
        <w:t>2022年</w:t>
      </w:r>
      <w:r>
        <w:rPr>
          <w:rFonts w:hint="eastAsia" w:ascii="仿宋" w:hAnsi="仿宋" w:eastAsia="仿宋" w:cs="仿宋"/>
          <w:bCs/>
          <w:color w:val="auto"/>
          <w:sz w:val="24"/>
          <w:highlight w:val="green"/>
          <w:lang w:val="en-US" w:eastAsia="zh-CN"/>
        </w:rPr>
        <w:t>10</w:t>
      </w:r>
      <w:r>
        <w:rPr>
          <w:rFonts w:hint="eastAsia" w:ascii="仿宋" w:hAnsi="仿宋" w:eastAsia="仿宋" w:cs="仿宋"/>
          <w:bCs/>
          <w:color w:val="auto"/>
          <w:sz w:val="24"/>
          <w:highlight w:val="green"/>
          <w:lang w:eastAsia="zh-CN"/>
        </w:rPr>
        <w:t>月</w:t>
      </w:r>
      <w:r>
        <w:rPr>
          <w:rFonts w:hint="eastAsia" w:ascii="仿宋" w:hAnsi="仿宋" w:eastAsia="仿宋" w:cs="仿宋"/>
          <w:bCs/>
          <w:color w:val="auto"/>
          <w:sz w:val="24"/>
          <w:highlight w:val="green"/>
          <w:lang w:val="en-US" w:eastAsia="zh-CN"/>
        </w:rPr>
        <w:t>24</w:t>
      </w:r>
      <w:r>
        <w:rPr>
          <w:rFonts w:hint="eastAsia" w:ascii="仿宋" w:hAnsi="仿宋" w:eastAsia="仿宋" w:cs="仿宋"/>
          <w:bCs/>
          <w:color w:val="auto"/>
          <w:sz w:val="24"/>
          <w:highlight w:val="green"/>
          <w:lang w:eastAsia="zh-CN"/>
        </w:rPr>
        <w:t>日 11:00（北京时间）</w:t>
      </w:r>
    </w:p>
    <w:p>
      <w:pPr>
        <w:shd w:val="clear"/>
        <w:adjustRightInd w:val="0"/>
        <w:snapToGrid w:val="0"/>
        <w:spacing w:line="360" w:lineRule="auto"/>
        <w:ind w:firstLine="480" w:firstLineChars="200"/>
      </w:pPr>
      <w:r>
        <w:rPr>
          <w:rFonts w:hint="eastAsia" w:ascii="仿宋" w:hAnsi="仿宋" w:eastAsia="仿宋" w:cs="仿宋"/>
          <w:bCs/>
          <w:color w:val="auto"/>
          <w:sz w:val="24"/>
          <w:highlight w:val="none"/>
          <w:lang w:val="en-US" w:eastAsia="zh-CN"/>
        </w:rPr>
        <w:t>4.2</w:t>
      </w:r>
      <w:r>
        <w:rPr>
          <w:rFonts w:hint="eastAsia" w:ascii="仿宋" w:hAnsi="仿宋" w:eastAsia="仿宋" w:cs="仿宋"/>
          <w:bCs/>
          <w:color w:val="auto"/>
          <w:sz w:val="24"/>
          <w:highlight w:val="none"/>
          <w:lang w:eastAsia="zh-CN"/>
        </w:rPr>
        <w:t>地点：新疆昌吉州昌吉市石河子西路环宇广场2号入口709室 </w:t>
      </w:r>
    </w:p>
    <w:p>
      <w:pPr>
        <w:shd w:val="clear"/>
        <w:adjustRightInd w:val="0"/>
        <w:snapToGrid w:val="0"/>
        <w:spacing w:line="360" w:lineRule="auto"/>
        <w:ind w:firstLine="482" w:firstLineChars="200"/>
        <w:rPr>
          <w:rFonts w:ascii="仿宋" w:hAnsi="仿宋" w:eastAsia="仿宋" w:cs="仿宋"/>
          <w:b/>
          <w:color w:val="auto"/>
          <w:sz w:val="24"/>
          <w:highlight w:val="none"/>
        </w:rPr>
      </w:pPr>
      <w:bookmarkStart w:id="4" w:name="_Toc492300745"/>
      <w:r>
        <w:rPr>
          <w:rFonts w:hint="eastAsia" w:ascii="仿宋" w:hAnsi="仿宋" w:eastAsia="仿宋" w:cs="仿宋"/>
          <w:b/>
          <w:color w:val="auto"/>
          <w:sz w:val="24"/>
          <w:highlight w:val="none"/>
        </w:rPr>
        <w:t xml:space="preserve">5. </w:t>
      </w:r>
      <w:bookmarkEnd w:id="4"/>
      <w:r>
        <w:rPr>
          <w:rFonts w:hint="eastAsia" w:ascii="仿宋" w:hAnsi="仿宋" w:eastAsia="仿宋" w:cs="仿宋"/>
          <w:b/>
          <w:color w:val="auto"/>
          <w:sz w:val="24"/>
          <w:highlight w:val="none"/>
        </w:rPr>
        <w:t>响应文件开启</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eastAsia="zh-CN"/>
        </w:rPr>
      </w:pPr>
      <w:bookmarkStart w:id="5" w:name="_Toc492300746"/>
      <w:r>
        <w:rPr>
          <w:rFonts w:hint="eastAsia" w:ascii="仿宋" w:hAnsi="仿宋" w:eastAsia="仿宋" w:cs="仿宋"/>
          <w:bCs/>
          <w:color w:val="auto"/>
          <w:sz w:val="24"/>
          <w:highlight w:val="none"/>
          <w:lang w:val="en-US" w:eastAsia="zh-CN"/>
        </w:rPr>
        <w:t>4.1开启</w:t>
      </w:r>
      <w:r>
        <w:rPr>
          <w:rFonts w:hint="eastAsia" w:ascii="仿宋" w:hAnsi="仿宋" w:eastAsia="仿宋" w:cs="仿宋"/>
          <w:bCs/>
          <w:color w:val="auto"/>
          <w:sz w:val="24"/>
          <w:highlight w:val="none"/>
          <w:lang w:eastAsia="zh-CN"/>
        </w:rPr>
        <w:t>时间：</w:t>
      </w:r>
      <w:r>
        <w:rPr>
          <w:rFonts w:hint="eastAsia" w:ascii="仿宋" w:hAnsi="仿宋" w:eastAsia="仿宋" w:cs="仿宋"/>
          <w:bCs/>
          <w:color w:val="auto"/>
          <w:sz w:val="24"/>
          <w:highlight w:val="green"/>
          <w:lang w:eastAsia="zh-CN"/>
        </w:rPr>
        <w:t>2022年</w:t>
      </w:r>
      <w:r>
        <w:rPr>
          <w:rFonts w:hint="eastAsia" w:ascii="仿宋" w:hAnsi="仿宋" w:eastAsia="仿宋" w:cs="仿宋"/>
          <w:bCs/>
          <w:color w:val="auto"/>
          <w:sz w:val="24"/>
          <w:highlight w:val="green"/>
          <w:lang w:val="en-US" w:eastAsia="zh-CN"/>
        </w:rPr>
        <w:t>10</w:t>
      </w:r>
      <w:r>
        <w:rPr>
          <w:rFonts w:hint="eastAsia" w:ascii="仿宋" w:hAnsi="仿宋" w:eastAsia="仿宋" w:cs="仿宋"/>
          <w:bCs/>
          <w:color w:val="auto"/>
          <w:sz w:val="24"/>
          <w:highlight w:val="green"/>
          <w:lang w:eastAsia="zh-CN"/>
        </w:rPr>
        <w:t>月</w:t>
      </w:r>
      <w:r>
        <w:rPr>
          <w:rFonts w:hint="eastAsia" w:ascii="仿宋" w:hAnsi="仿宋" w:eastAsia="仿宋" w:cs="仿宋"/>
          <w:bCs/>
          <w:color w:val="auto"/>
          <w:sz w:val="24"/>
          <w:highlight w:val="green"/>
          <w:lang w:val="en-US" w:eastAsia="zh-CN"/>
        </w:rPr>
        <w:t>24</w:t>
      </w:r>
      <w:r>
        <w:rPr>
          <w:rFonts w:hint="eastAsia" w:ascii="仿宋" w:hAnsi="仿宋" w:eastAsia="仿宋" w:cs="仿宋"/>
          <w:bCs/>
          <w:color w:val="auto"/>
          <w:sz w:val="24"/>
          <w:highlight w:val="green"/>
          <w:lang w:eastAsia="zh-CN"/>
        </w:rPr>
        <w:t>日 11:00（北京时间）</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4.2</w:t>
      </w:r>
      <w:r>
        <w:rPr>
          <w:rFonts w:hint="eastAsia" w:ascii="仿宋" w:hAnsi="仿宋" w:eastAsia="仿宋" w:cs="仿宋"/>
          <w:bCs/>
          <w:color w:val="auto"/>
          <w:sz w:val="24"/>
          <w:highlight w:val="none"/>
          <w:lang w:eastAsia="zh-CN"/>
        </w:rPr>
        <w:t>地点：新</w:t>
      </w:r>
      <w:r>
        <w:rPr>
          <w:rFonts w:hint="eastAsia" w:ascii="仿宋" w:hAnsi="仿宋" w:eastAsia="仿宋" w:cs="仿宋"/>
          <w:bCs/>
          <w:color w:val="auto"/>
          <w:sz w:val="24"/>
          <w:highlight w:val="none"/>
          <w:lang w:val="en-US" w:eastAsia="zh-CN"/>
        </w:rPr>
        <w:t>疆昌吉州昌吉市石河子西路环宇广场2号入口709室 </w:t>
      </w:r>
    </w:p>
    <w:p>
      <w:pPr>
        <w:shd w:val="clear"/>
        <w:adjustRightInd w:val="0"/>
        <w:snapToGrid w:val="0"/>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6.公告期限</w:t>
      </w:r>
    </w:p>
    <w:bookmarkEnd w:id="5"/>
    <w:p>
      <w:pPr>
        <w:shd w:val="clear"/>
        <w:adjustRightInd w:val="0"/>
        <w:snapToGrid w:val="0"/>
        <w:spacing w:line="360" w:lineRule="auto"/>
        <w:ind w:firstLine="480" w:firstLineChars="200"/>
        <w:rPr>
          <w:rFonts w:hint="eastAsia" w:ascii="仿宋" w:hAnsi="仿宋" w:eastAsia="仿宋" w:cs="仿宋"/>
          <w:bCs/>
          <w:color w:val="auto"/>
          <w:sz w:val="24"/>
          <w:highlight w:val="none"/>
          <w:lang w:val="en-US" w:eastAsia="zh-CN"/>
        </w:rPr>
      </w:pPr>
      <w:bookmarkStart w:id="6" w:name="_Toc492300747"/>
      <w:r>
        <w:rPr>
          <w:rFonts w:hint="eastAsia" w:ascii="仿宋" w:hAnsi="仿宋" w:eastAsia="仿宋" w:cs="仿宋"/>
          <w:bCs/>
          <w:color w:val="auto"/>
          <w:sz w:val="24"/>
          <w:highlight w:val="none"/>
          <w:lang w:val="en-US" w:eastAsia="zh-CN"/>
        </w:rPr>
        <w:t>自本公告发布之日起5个工作日。</w:t>
      </w:r>
    </w:p>
    <w:p>
      <w:pPr>
        <w:shd w:val="clear"/>
        <w:adjustRightInd w:val="0"/>
        <w:snapToGrid w:val="0"/>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7、其他补充事宜 </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投标人领取采购文件时请下载附件（填写文件领取登记表），并将以下内容按先后顺序排列好，扫描成PDF格式发送到以上指定邮箱：</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1）法定代表人参加投标的，应提供法定代表人居民身份证；法定代表人授权人参加投标的，应提供法定代表人授权书及被授权人居民身份证；</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2）有效的《营业执照》或公证书；</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3）获取文件期限内“信用中国”网站中“失信被执行名单”、“税收违法黑名单”的查询截图（需加盖公章）；</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4）获取文件期限内“中国政府采购网”中“政府采购严重违法失信行为记录名单”的查询截图（需加盖公章）； </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特别提示：</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hd w:val="clear"/>
        <w:adjustRightInd w:val="0"/>
        <w:snapToGrid w:val="0"/>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hd w:val="clear"/>
        <w:adjustRightInd w:val="0"/>
        <w:snapToGrid w:val="0"/>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 xml:space="preserve">8. </w:t>
      </w:r>
      <w:bookmarkEnd w:id="6"/>
      <w:r>
        <w:rPr>
          <w:rFonts w:hint="eastAsia" w:ascii="仿宋" w:hAnsi="仿宋" w:eastAsia="仿宋" w:cs="仿宋"/>
          <w:b/>
          <w:bCs w:val="0"/>
          <w:color w:val="auto"/>
          <w:sz w:val="24"/>
          <w:highlight w:val="none"/>
          <w:lang w:val="en-US" w:eastAsia="zh-CN"/>
        </w:rPr>
        <w:t>凡对本次招标提出询问，请按以下方式联系</w:t>
      </w:r>
    </w:p>
    <w:p>
      <w:pPr>
        <w:shd w:val="clea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1.采购人信息</w:t>
      </w:r>
    </w:p>
    <w:p>
      <w:pPr>
        <w:shd w:val="clear"/>
        <w:adjustRightInd w:val="0"/>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阜康市第三小学</w:t>
      </w:r>
    </w:p>
    <w:p>
      <w:pPr>
        <w:shd w:val="clear"/>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地址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阜康市博峰路</w:t>
      </w:r>
      <w:r>
        <w:rPr>
          <w:rFonts w:hint="eastAsia" w:ascii="仿宋" w:hAnsi="仿宋" w:eastAsia="仿宋" w:cs="仿宋"/>
          <w:color w:val="auto"/>
          <w:sz w:val="24"/>
          <w:highlight w:val="none"/>
          <w:lang w:val="en-US" w:eastAsia="zh-CN"/>
        </w:rPr>
        <w:t>89号</w:t>
      </w:r>
    </w:p>
    <w:p>
      <w:pPr>
        <w:shd w:val="clear"/>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19999425775</w:t>
      </w:r>
    </w:p>
    <w:p>
      <w:pPr>
        <w:numPr>
          <w:ilvl w:val="0"/>
          <w:numId w:val="1"/>
        </w:numPr>
        <w:shd w:val="clea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采购代理机构信心</w:t>
      </w:r>
    </w:p>
    <w:p>
      <w:pPr>
        <w:numPr>
          <w:ilvl w:val="0"/>
          <w:numId w:val="0"/>
        </w:numPr>
        <w:shd w:val="clear"/>
        <w:adjustRightInd w:val="0"/>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新疆邦利工程项目管理咨询有限公司</w:t>
      </w:r>
    </w:p>
    <w:p>
      <w:pPr>
        <w:shd w:val="clear"/>
        <w:adjustRightInd w:val="0"/>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bookmarkStart w:id="7" w:name="OLE_LINK10"/>
      <w:r>
        <w:rPr>
          <w:rFonts w:hint="eastAsia" w:ascii="仿宋" w:hAnsi="仿宋" w:eastAsia="仿宋" w:cs="仿宋"/>
          <w:bCs/>
          <w:color w:val="auto"/>
          <w:sz w:val="24"/>
          <w:highlight w:val="none"/>
          <w:lang w:eastAsia="zh-CN"/>
        </w:rPr>
        <w:t>新</w:t>
      </w:r>
      <w:r>
        <w:rPr>
          <w:rFonts w:hint="eastAsia" w:ascii="仿宋" w:hAnsi="仿宋" w:eastAsia="仿宋" w:cs="仿宋"/>
          <w:bCs/>
          <w:color w:val="auto"/>
          <w:sz w:val="24"/>
          <w:highlight w:val="none"/>
          <w:lang w:val="en-US" w:eastAsia="zh-CN"/>
        </w:rPr>
        <w:t>疆昌吉州昌吉市石河子西路环宇广场2号入口709室</w:t>
      </w:r>
      <w:bookmarkEnd w:id="7"/>
    </w:p>
    <w:p>
      <w:pPr>
        <w:pStyle w:val="6"/>
        <w:shd w:val="clear"/>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联系电话：13095020653</w:t>
      </w:r>
    </w:p>
    <w:p>
      <w:pPr>
        <w:pStyle w:val="6"/>
        <w:numPr>
          <w:ilvl w:val="0"/>
          <w:numId w:val="1"/>
        </w:numPr>
        <w:shd w:val="clear"/>
        <w:adjustRightInd w:val="0"/>
        <w:snapToGrid w:val="0"/>
        <w:spacing w:line="360" w:lineRule="auto"/>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项目联系方式</w:t>
      </w:r>
    </w:p>
    <w:p>
      <w:pPr>
        <w:pStyle w:val="6"/>
        <w:numPr>
          <w:ilvl w:val="0"/>
          <w:numId w:val="0"/>
        </w:numPr>
        <w:shd w:val="clear"/>
        <w:adjustRightInd w:val="0"/>
        <w:snapToGrid w:val="0"/>
        <w:spacing w:line="360" w:lineRule="auto"/>
        <w:ind w:left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项目联系人：李波、王勇</w:t>
      </w:r>
    </w:p>
    <w:p>
      <w:pPr>
        <w:pStyle w:val="6"/>
        <w:numPr>
          <w:ilvl w:val="0"/>
          <w:numId w:val="0"/>
        </w:numPr>
        <w:shd w:val="clear"/>
        <w:adjustRightInd w:val="0"/>
        <w:snapToGrid w:val="0"/>
        <w:spacing w:line="360" w:lineRule="auto"/>
        <w:ind w:left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电话：13095020653</w:t>
      </w:r>
    </w:p>
    <w:p>
      <w:pPr>
        <w:pStyle w:val="6"/>
        <w:shd w:val="clear"/>
        <w:ind w:firstLine="0" w:firstLineChars="0"/>
        <w:rPr>
          <w:rFonts w:ascii="仿宋" w:hAnsi="仿宋" w:eastAsia="仿宋" w:cs="仿宋"/>
          <w:color w:val="auto"/>
          <w:sz w:val="28"/>
          <w:szCs w:val="28"/>
          <w:highlight w:val="none"/>
        </w:rPr>
      </w:pPr>
    </w:p>
    <w:p>
      <w:pPr>
        <w:pStyle w:val="6"/>
        <w:shd w:val="clear"/>
        <w:ind w:firstLine="0" w:firstLineChars="0"/>
        <w:rPr>
          <w:rFonts w:ascii="仿宋" w:hAnsi="仿宋" w:eastAsia="仿宋" w:cs="仿宋"/>
          <w:color w:val="auto"/>
          <w:sz w:val="28"/>
          <w:szCs w:val="28"/>
          <w:highlight w:val="none"/>
        </w:rPr>
      </w:pPr>
    </w:p>
    <w:p>
      <w:pPr>
        <w:pStyle w:val="6"/>
        <w:shd w:val="clear"/>
        <w:ind w:firstLine="0" w:firstLineChars="0"/>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r>
        <w:rPr>
          <w:rFonts w:ascii="仿宋" w:hAnsi="仿宋" w:eastAsia="仿宋" w:cs="仿宋"/>
          <w:color w:val="auto"/>
          <w:sz w:val="28"/>
          <w:szCs w:val="28"/>
          <w:highlight w:val="none"/>
        </w:rPr>
        <w:br w:type="page"/>
      </w:r>
    </w:p>
    <w:p>
      <w:pPr>
        <w:pStyle w:val="3"/>
        <w:shd w:val="clear"/>
        <w:adjustRightInd w:val="0"/>
        <w:snapToGrid w:val="0"/>
        <w:spacing w:before="0" w:after="0" w:line="240" w:lineRule="auto"/>
        <w:ind w:leftChars="0"/>
        <w:rPr>
          <w:rFonts w:ascii="仿宋" w:hAnsi="仿宋" w:eastAsia="仿宋" w:cs="仿宋"/>
          <w:color w:val="auto"/>
          <w:highlight w:val="none"/>
        </w:rPr>
      </w:pPr>
      <w:bookmarkStart w:id="8" w:name="_Toc15321"/>
      <w:r>
        <w:rPr>
          <w:rFonts w:hint="eastAsia" w:ascii="仿宋" w:hAnsi="仿宋" w:eastAsia="仿宋" w:cs="仿宋"/>
          <w:color w:val="auto"/>
          <w:highlight w:val="none"/>
        </w:rPr>
        <w:t>第一部分  响应须知</w:t>
      </w:r>
      <w:bookmarkEnd w:id="8"/>
    </w:p>
    <w:p>
      <w:pPr>
        <w:shd w:val="clear"/>
        <w:adjustRightInd w:val="0"/>
        <w:snapToGrid w:val="0"/>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响应人须知附表</w:t>
      </w:r>
    </w:p>
    <w:tbl>
      <w:tblPr>
        <w:tblStyle w:val="1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21"/>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项号</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SEQ 前附表 \* MERGEFORMAT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w:t>
            </w:r>
            <w:r>
              <w:rPr>
                <w:rFonts w:hint="eastAsia" w:ascii="仿宋" w:hAnsi="仿宋" w:eastAsia="仿宋" w:cs="仿宋"/>
                <w:color w:val="auto"/>
                <w:sz w:val="24"/>
                <w:highlight w:val="none"/>
              </w:rPr>
              <w:fldChar w:fldCharType="end"/>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阜康市第三小学校园文化建设项目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XJBLZB-20220108022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磋商内容</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lang w:eastAsia="zh-CN"/>
              </w:rPr>
              <w:t>阜康市第三小学校园文化建设项目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868" w:type="dxa"/>
            <w:tcBorders>
              <w:top w:val="single" w:color="auto" w:sz="4" w:space="0"/>
              <w:left w:val="single" w:color="auto" w:sz="4" w:space="0"/>
              <w:bottom w:val="single" w:color="auto" w:sz="4" w:space="0"/>
              <w:right w:val="single" w:color="auto" w:sz="4" w:space="0"/>
            </w:tcBorders>
            <w:vAlign w:val="center"/>
          </w:tcPr>
          <w:p>
            <w:pPr>
              <w:pStyle w:val="30"/>
              <w:shd w:val="clear"/>
              <w:ind w:firstLine="0" w:firstLineChars="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采购人：</w:t>
            </w:r>
            <w:r>
              <w:rPr>
                <w:rFonts w:hint="eastAsia" w:ascii="仿宋" w:hAnsi="仿宋" w:eastAsia="仿宋" w:cs="仿宋"/>
                <w:color w:val="auto"/>
                <w:szCs w:val="21"/>
                <w:highlight w:val="none"/>
                <w:lang w:eastAsia="zh-CN"/>
              </w:rPr>
              <w:t>阜康市第三小学</w:t>
            </w:r>
          </w:p>
          <w:p>
            <w:pPr>
              <w:pStyle w:val="30"/>
              <w:shd w:val="clear"/>
              <w:ind w:firstLine="0" w:firstLineChars="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lang w:eastAsia="zh-CN"/>
              </w:rPr>
              <w:t>吴老师</w:t>
            </w:r>
          </w:p>
          <w:p>
            <w:pPr>
              <w:pStyle w:val="30"/>
              <w:shd w:val="clear"/>
              <w:ind w:firstLine="0" w:firstLineChars="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 w:val="24"/>
                <w:highlight w:val="none"/>
                <w:lang w:val="en-US" w:eastAsia="zh-CN"/>
              </w:rPr>
              <w:t>19999425775</w:t>
            </w:r>
          </w:p>
          <w:p>
            <w:pPr>
              <w:pStyle w:val="30"/>
              <w:shd w:val="clear"/>
              <w:ind w:firstLine="0" w:firstLineChars="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采购代理机构：</w:t>
            </w:r>
            <w:r>
              <w:rPr>
                <w:rFonts w:hint="eastAsia" w:ascii="仿宋" w:hAnsi="仿宋" w:eastAsia="仿宋" w:cs="仿宋"/>
                <w:color w:val="auto"/>
                <w:szCs w:val="21"/>
                <w:highlight w:val="none"/>
                <w:lang w:eastAsia="zh-CN"/>
              </w:rPr>
              <w:t>新疆邦利工程项目管理咨询有限公司</w:t>
            </w:r>
          </w:p>
          <w:p>
            <w:pPr>
              <w:pStyle w:val="30"/>
              <w:shd w:val="clear"/>
              <w:ind w:firstLine="0" w:firstLineChars="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lang w:eastAsia="zh-CN"/>
              </w:rPr>
              <w:t>新疆昌吉州昌吉市石河子西路环宇广场2号入口709室</w:t>
            </w:r>
          </w:p>
          <w:p>
            <w:pPr>
              <w:pStyle w:val="30"/>
              <w:shd w:val="clear"/>
              <w:ind w:firstLine="0" w:firstLineChars="0"/>
              <w:rPr>
                <w:rFonts w:ascii="仿宋" w:hAnsi="仿宋" w:eastAsia="仿宋" w:cs="仿宋"/>
                <w:color w:val="auto"/>
                <w:szCs w:val="21"/>
                <w:highlight w:val="none"/>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lang w:eastAsia="zh-CN"/>
              </w:rPr>
              <w:t>王勇</w:t>
            </w:r>
            <w:r>
              <w:rPr>
                <w:rFonts w:hint="eastAsia" w:ascii="仿宋" w:hAnsi="仿宋" w:eastAsia="仿宋" w:cs="仿宋"/>
                <w:color w:val="auto"/>
                <w:szCs w:val="21"/>
                <w:highlight w:val="none"/>
              </w:rPr>
              <w:t>、李波</w:t>
            </w:r>
          </w:p>
          <w:p>
            <w:pPr>
              <w:pStyle w:val="30"/>
              <w:shd w:val="clear"/>
              <w:ind w:firstLine="0" w:firstLineChars="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val="en-US" w:eastAsia="zh-CN"/>
              </w:rPr>
              <w:t>1309502653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资金来源</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采购方式</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响应人必备资质</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1、响应人必须是中华人民共和国境内注册的，具有独立法人资格的</w:t>
            </w:r>
            <w:r>
              <w:rPr>
                <w:rFonts w:hint="eastAsia" w:ascii="仿宋" w:hAnsi="仿宋" w:eastAsia="仿宋" w:cs="仿宋"/>
                <w:color w:val="auto"/>
                <w:sz w:val="24"/>
                <w:highlight w:val="none"/>
              </w:rPr>
              <w:t>企、事业单位</w:t>
            </w:r>
            <w:r>
              <w:rPr>
                <w:rFonts w:hint="eastAsia" w:ascii="仿宋" w:hAnsi="仿宋" w:eastAsia="仿宋" w:cs="仿宋"/>
                <w:bCs/>
                <w:color w:val="auto"/>
                <w:sz w:val="24"/>
                <w:highlight w:val="none"/>
              </w:rPr>
              <w:t>或其他类型的组织，具有有效的营业执照；</w:t>
            </w:r>
          </w:p>
          <w:p>
            <w:pPr>
              <w:shd w:val="clear"/>
              <w:adjustRightInd w:val="0"/>
              <w:snapToGrid w:val="0"/>
              <w:spacing w:line="360" w:lineRule="auto"/>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2、凡拟参加本次磋商的响应人，如在“信用中国”（www.creditchina.gov.vn ）、中国政府采购网（www.ccgp.gov.vn ）被列入失信被执行人、重大税收违法案件当事人名单、政府采购严重违法失信行为记录名单的（尚在处罚期内的）,将拒绝其参本次采购活动；投标人近三年无因投标申请人违约或不恰当履约引起的合同终止、纠纷、争议、仲裁和公诉纪录；</w:t>
            </w:r>
          </w:p>
          <w:p>
            <w:pPr>
              <w:shd w:val="clear"/>
              <w:adjustRightInd w:val="0"/>
              <w:snapToGrid w:val="0"/>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3、其他说明：（1）与采购人存在利害关系可能影响磋商公正性的法人、其他组织或者个人，不得参加磋商。（2）单位负责人为同一人或者存在控股、管理关系的不同单位，不得参加同一标段或者未划分标段的同一磋商项目磋商。违反前两款规定的，相关磋商均无效；</w:t>
            </w:r>
          </w:p>
          <w:p>
            <w:pPr>
              <w:shd w:val="clear"/>
              <w:adjustRightInd w:val="0"/>
              <w:snapToGrid w:val="0"/>
              <w:spacing w:line="360" w:lineRule="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磋商时间</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green"/>
              </w:rPr>
              <w:t>202</w:t>
            </w:r>
            <w:r>
              <w:rPr>
                <w:rFonts w:hint="eastAsia" w:ascii="仿宋" w:hAnsi="仿宋" w:eastAsia="仿宋" w:cs="仿宋"/>
                <w:color w:val="auto"/>
                <w:sz w:val="24"/>
                <w:highlight w:val="green"/>
                <w:lang w:val="en-US" w:eastAsia="zh-CN"/>
              </w:rPr>
              <w:t>2</w:t>
            </w:r>
            <w:r>
              <w:rPr>
                <w:rFonts w:hint="eastAsia" w:ascii="仿宋" w:hAnsi="仿宋" w:eastAsia="仿宋" w:cs="仿宋"/>
                <w:color w:val="auto"/>
                <w:sz w:val="24"/>
                <w:highlight w:val="green"/>
              </w:rPr>
              <w:t>年</w:t>
            </w:r>
            <w:r>
              <w:rPr>
                <w:rFonts w:hint="eastAsia" w:ascii="仿宋" w:hAnsi="仿宋" w:eastAsia="仿宋" w:cs="仿宋"/>
                <w:color w:val="auto"/>
                <w:sz w:val="24"/>
                <w:highlight w:val="green"/>
                <w:lang w:val="en-US" w:eastAsia="zh-CN"/>
              </w:rPr>
              <w:t>10</w:t>
            </w:r>
            <w:r>
              <w:rPr>
                <w:rFonts w:hint="eastAsia" w:ascii="仿宋" w:hAnsi="仿宋" w:eastAsia="仿宋" w:cs="仿宋"/>
                <w:color w:val="auto"/>
                <w:sz w:val="24"/>
                <w:highlight w:val="green"/>
              </w:rPr>
              <w:t>月</w:t>
            </w:r>
            <w:r>
              <w:rPr>
                <w:rFonts w:hint="eastAsia" w:ascii="仿宋" w:hAnsi="仿宋" w:eastAsia="仿宋" w:cs="仿宋"/>
                <w:color w:val="auto"/>
                <w:sz w:val="24"/>
                <w:highlight w:val="green"/>
                <w:lang w:val="en-US" w:eastAsia="zh-CN"/>
              </w:rPr>
              <w:t>24</w:t>
            </w:r>
            <w:r>
              <w:rPr>
                <w:rFonts w:hint="eastAsia" w:ascii="仿宋" w:hAnsi="仿宋" w:eastAsia="仿宋" w:cs="仿宋"/>
                <w:color w:val="auto"/>
                <w:sz w:val="24"/>
                <w:highlight w:val="green"/>
              </w:rPr>
              <w:t>日</w:t>
            </w:r>
            <w:r>
              <w:rPr>
                <w:rFonts w:hint="eastAsia" w:ascii="仿宋" w:hAnsi="仿宋" w:eastAsia="仿宋" w:cs="仿宋"/>
                <w:color w:val="auto"/>
                <w:sz w:val="24"/>
                <w:highlight w:val="green"/>
                <w:lang w:val="en-US" w:eastAsia="zh-CN"/>
              </w:rPr>
              <w:t>11</w:t>
            </w:r>
            <w:r>
              <w:rPr>
                <w:rFonts w:hint="eastAsia" w:ascii="仿宋" w:hAnsi="仿宋" w:eastAsia="仿宋" w:cs="仿宋"/>
                <w:color w:val="auto"/>
                <w:sz w:val="24"/>
                <w:highlight w:val="green"/>
              </w:rPr>
              <w:t>:00 时</w:t>
            </w:r>
            <w:r>
              <w:rPr>
                <w:rFonts w:hint="eastAsia" w:ascii="仿宋" w:hAnsi="仿宋" w:eastAsia="仿宋" w:cs="仿宋"/>
                <w:color w:val="auto"/>
                <w:sz w:val="24"/>
                <w:highlight w:val="none"/>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磋商地点</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新疆邦利工程项目管理咨询有限公司</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lang w:eastAsia="zh-CN"/>
              </w:rPr>
              <w:t>新疆昌吉州昌吉市石河子西路环宇广场2号入口709室</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资格审查方式</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磋商截止时间</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green"/>
              </w:rPr>
              <w:t>202</w:t>
            </w:r>
            <w:r>
              <w:rPr>
                <w:rFonts w:hint="eastAsia" w:ascii="仿宋" w:hAnsi="仿宋" w:eastAsia="仿宋" w:cs="仿宋"/>
                <w:color w:val="auto"/>
                <w:sz w:val="24"/>
                <w:highlight w:val="green"/>
                <w:lang w:val="en-US" w:eastAsia="zh-CN"/>
              </w:rPr>
              <w:t>2</w:t>
            </w:r>
            <w:r>
              <w:rPr>
                <w:rFonts w:hint="eastAsia" w:ascii="仿宋" w:hAnsi="仿宋" w:eastAsia="仿宋" w:cs="仿宋"/>
                <w:color w:val="auto"/>
                <w:sz w:val="24"/>
                <w:highlight w:val="green"/>
              </w:rPr>
              <w:t>年</w:t>
            </w:r>
            <w:r>
              <w:rPr>
                <w:rFonts w:hint="eastAsia" w:ascii="仿宋" w:hAnsi="仿宋" w:eastAsia="仿宋" w:cs="仿宋"/>
                <w:color w:val="auto"/>
                <w:sz w:val="24"/>
                <w:highlight w:val="green"/>
                <w:lang w:val="en-US" w:eastAsia="zh-CN"/>
              </w:rPr>
              <w:t>10</w:t>
            </w:r>
            <w:r>
              <w:rPr>
                <w:rFonts w:hint="eastAsia" w:ascii="仿宋" w:hAnsi="仿宋" w:eastAsia="仿宋" w:cs="仿宋"/>
                <w:color w:val="auto"/>
                <w:sz w:val="24"/>
                <w:highlight w:val="green"/>
              </w:rPr>
              <w:t>月</w:t>
            </w:r>
            <w:r>
              <w:rPr>
                <w:rFonts w:hint="eastAsia" w:ascii="仿宋" w:hAnsi="仿宋" w:eastAsia="仿宋" w:cs="仿宋"/>
                <w:color w:val="auto"/>
                <w:sz w:val="24"/>
                <w:highlight w:val="green"/>
                <w:lang w:val="en-US" w:eastAsia="zh-CN"/>
              </w:rPr>
              <w:t>24</w:t>
            </w:r>
            <w:r>
              <w:rPr>
                <w:rFonts w:hint="eastAsia" w:ascii="仿宋" w:hAnsi="仿宋" w:eastAsia="仿宋" w:cs="仿宋"/>
                <w:color w:val="auto"/>
                <w:sz w:val="24"/>
                <w:highlight w:val="green"/>
              </w:rPr>
              <w:t>日</w:t>
            </w:r>
            <w:r>
              <w:rPr>
                <w:rFonts w:hint="eastAsia" w:ascii="仿宋" w:hAnsi="仿宋" w:eastAsia="仿宋" w:cs="仿宋"/>
                <w:color w:val="auto"/>
                <w:sz w:val="24"/>
                <w:highlight w:val="green"/>
                <w:lang w:val="en-US" w:eastAsia="zh-CN"/>
              </w:rPr>
              <w:t>11</w:t>
            </w:r>
            <w:r>
              <w:rPr>
                <w:rFonts w:hint="eastAsia" w:ascii="仿宋" w:hAnsi="仿宋" w:eastAsia="仿宋" w:cs="仿宋"/>
                <w:color w:val="auto"/>
                <w:sz w:val="24"/>
                <w:highlight w:val="green"/>
              </w:rPr>
              <w:t>:00 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磋商地点</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新疆邦利工程项目管理咨询有限公司</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lang w:eastAsia="zh-CN"/>
              </w:rPr>
              <w:t>新疆昌吉州昌吉市石河子西路环宇广场2号入口709室</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联合体</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磋商有效期</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90日历日（从响应截止之日算起）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15</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响应保证金额</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rPr>
                <w:rFonts w:ascii="仿宋" w:hAnsi="仿宋" w:eastAsia="仿宋" w:cs="仿宋"/>
                <w:color w:val="auto"/>
                <w:sz w:val="24"/>
                <w:highlight w:val="none"/>
              </w:rPr>
            </w:pPr>
            <w:r>
              <w:rPr>
                <w:rFonts w:ascii="仿宋" w:hAnsi="仿宋" w:eastAsia="仿宋" w:cs="仿宋"/>
                <w:color w:val="auto"/>
                <w:sz w:val="24"/>
                <w:highlight w:val="none"/>
              </w:rPr>
              <w:t>投标保证金的形式：</w:t>
            </w:r>
          </w:p>
          <w:p>
            <w:pPr>
              <w:shd w:val="clea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递交方式：投标保证金可以电汇方式；</w:t>
            </w:r>
          </w:p>
          <w:p>
            <w:pPr>
              <w:shd w:val="clea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开户名称：新疆邦利工程项目管理咨询有限公司</w:t>
            </w:r>
          </w:p>
          <w:p>
            <w:pPr>
              <w:shd w:val="clea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开户银行名称：交通银行乌鲁木齐克拉玛依西路支行</w:t>
            </w:r>
          </w:p>
          <w:p>
            <w:pPr>
              <w:shd w:val="clea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账        号：651100033018010007569</w:t>
            </w:r>
          </w:p>
          <w:p>
            <w:pPr>
              <w:shd w:val="clea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交款截止时间：本项目投标截止时间前，投标保证金的交纳以到账时间为准。</w:t>
            </w:r>
          </w:p>
          <w:p>
            <w:pPr>
              <w:shd w:val="clear"/>
              <w:spacing w:line="440" w:lineRule="exact"/>
              <w:rPr>
                <w:rFonts w:ascii="仿宋" w:hAnsi="仿宋" w:eastAsia="仿宋" w:cs="仿宋"/>
                <w:color w:val="auto"/>
                <w:sz w:val="24"/>
                <w:highlight w:val="none"/>
              </w:rPr>
            </w:pPr>
            <w:r>
              <w:rPr>
                <w:rFonts w:ascii="仿宋" w:hAnsi="仿宋" w:eastAsia="仿宋" w:cs="仿宋"/>
                <w:color w:val="auto"/>
                <w:sz w:val="24"/>
                <w:highlight w:val="none"/>
              </w:rPr>
              <w:t>投标保证金的金额：</w:t>
            </w:r>
            <w:r>
              <w:rPr>
                <w:rFonts w:hint="eastAsia" w:ascii="仿宋" w:hAnsi="仿宋" w:eastAsia="仿宋" w:cs="仿宋"/>
                <w:color w:val="auto"/>
                <w:sz w:val="24"/>
                <w:highlight w:val="none"/>
                <w:lang w:val="en-US" w:eastAsia="zh-CN"/>
              </w:rPr>
              <w:t>18000元整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磋商文件</w:t>
            </w:r>
          </w:p>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发售时间</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green"/>
              </w:rPr>
              <w:t>202</w:t>
            </w:r>
            <w:r>
              <w:rPr>
                <w:rFonts w:hint="eastAsia" w:ascii="仿宋" w:hAnsi="仿宋" w:eastAsia="仿宋" w:cs="仿宋"/>
                <w:color w:val="auto"/>
                <w:sz w:val="24"/>
                <w:highlight w:val="green"/>
                <w:lang w:val="en-US" w:eastAsia="zh-CN"/>
              </w:rPr>
              <w:t>2</w:t>
            </w:r>
            <w:r>
              <w:rPr>
                <w:rFonts w:hint="eastAsia" w:ascii="仿宋" w:hAnsi="仿宋" w:eastAsia="仿宋" w:cs="仿宋"/>
                <w:color w:val="auto"/>
                <w:sz w:val="24"/>
                <w:highlight w:val="green"/>
              </w:rPr>
              <w:t>年</w:t>
            </w:r>
            <w:r>
              <w:rPr>
                <w:rFonts w:hint="eastAsia" w:ascii="仿宋" w:hAnsi="仿宋" w:eastAsia="仿宋" w:cs="仿宋"/>
                <w:color w:val="auto"/>
                <w:sz w:val="24"/>
                <w:highlight w:val="green"/>
                <w:lang w:val="en-US" w:eastAsia="zh-CN"/>
              </w:rPr>
              <w:t>10</w:t>
            </w:r>
            <w:r>
              <w:rPr>
                <w:rFonts w:hint="eastAsia" w:ascii="仿宋" w:hAnsi="仿宋" w:eastAsia="仿宋" w:cs="仿宋"/>
                <w:color w:val="auto"/>
                <w:sz w:val="24"/>
                <w:highlight w:val="green"/>
              </w:rPr>
              <w:t>月</w:t>
            </w:r>
            <w:r>
              <w:rPr>
                <w:rFonts w:hint="eastAsia" w:ascii="仿宋" w:hAnsi="仿宋" w:eastAsia="仿宋" w:cs="仿宋"/>
                <w:color w:val="auto"/>
                <w:sz w:val="24"/>
                <w:highlight w:val="green"/>
                <w:lang w:val="en-US" w:eastAsia="zh-CN"/>
              </w:rPr>
              <w:t>14</w:t>
            </w:r>
            <w:r>
              <w:rPr>
                <w:rFonts w:hint="eastAsia" w:ascii="仿宋" w:hAnsi="仿宋" w:eastAsia="仿宋" w:cs="仿宋"/>
                <w:color w:val="auto"/>
                <w:sz w:val="24"/>
                <w:highlight w:val="green"/>
              </w:rPr>
              <w:t>日至20</w:t>
            </w:r>
            <w:r>
              <w:rPr>
                <w:rFonts w:hint="eastAsia" w:ascii="仿宋" w:hAnsi="仿宋" w:eastAsia="仿宋" w:cs="仿宋"/>
                <w:color w:val="auto"/>
                <w:sz w:val="24"/>
                <w:highlight w:val="green"/>
                <w:lang w:val="en-US" w:eastAsia="zh-CN"/>
              </w:rPr>
              <w:t>22</w:t>
            </w:r>
            <w:r>
              <w:rPr>
                <w:rFonts w:hint="eastAsia" w:ascii="仿宋" w:hAnsi="仿宋" w:eastAsia="仿宋" w:cs="仿宋"/>
                <w:color w:val="auto"/>
                <w:sz w:val="24"/>
                <w:highlight w:val="green"/>
              </w:rPr>
              <w:t>年</w:t>
            </w:r>
            <w:r>
              <w:rPr>
                <w:rFonts w:hint="eastAsia" w:ascii="仿宋" w:hAnsi="仿宋" w:eastAsia="仿宋" w:cs="仿宋"/>
                <w:color w:val="auto"/>
                <w:sz w:val="24"/>
                <w:highlight w:val="green"/>
                <w:lang w:val="en-US" w:eastAsia="zh-CN"/>
              </w:rPr>
              <w:t>10</w:t>
            </w:r>
            <w:r>
              <w:rPr>
                <w:rFonts w:hint="eastAsia" w:ascii="仿宋" w:hAnsi="仿宋" w:eastAsia="仿宋" w:cs="仿宋"/>
                <w:color w:val="auto"/>
                <w:sz w:val="24"/>
                <w:highlight w:val="green"/>
              </w:rPr>
              <w:t>月</w:t>
            </w:r>
            <w:r>
              <w:rPr>
                <w:rFonts w:hint="eastAsia" w:ascii="仿宋" w:hAnsi="仿宋" w:eastAsia="仿宋" w:cs="仿宋"/>
                <w:color w:val="auto"/>
                <w:sz w:val="24"/>
                <w:highlight w:val="green"/>
                <w:lang w:val="en-US" w:eastAsia="zh-CN"/>
              </w:rPr>
              <w:t>21</w:t>
            </w:r>
            <w:r>
              <w:rPr>
                <w:rFonts w:hint="eastAsia" w:ascii="仿宋" w:hAnsi="仿宋" w:eastAsia="仿宋" w:cs="仿宋"/>
                <w:color w:val="auto"/>
                <w:sz w:val="24"/>
                <w:highlight w:val="green"/>
              </w:rPr>
              <w:t>日</w:t>
            </w:r>
            <w:r>
              <w:rPr>
                <w:rFonts w:hint="eastAsia" w:ascii="仿宋" w:hAnsi="仿宋" w:eastAsia="仿宋" w:cs="仿宋"/>
                <w:color w:val="auto"/>
                <w:sz w:val="24"/>
                <w:highlight w:val="none"/>
              </w:rPr>
              <w:t>(北京时间)（每日10：00-13：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0，15：30-18：</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17</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磋商文件份数</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响应文件：正本壹份、副本</w:t>
            </w:r>
            <w:r>
              <w:rPr>
                <w:rFonts w:hint="eastAsia" w:ascii="仿宋" w:hAnsi="仿宋" w:eastAsia="仿宋" w:cs="仿宋"/>
                <w:color w:val="auto"/>
                <w:sz w:val="24"/>
                <w:highlight w:val="none"/>
                <w:lang w:eastAsia="zh-CN"/>
              </w:rPr>
              <w:t>叁</w:t>
            </w:r>
            <w:r>
              <w:rPr>
                <w:rFonts w:hint="eastAsia" w:ascii="仿宋" w:hAnsi="仿宋" w:eastAsia="仿宋" w:cs="仿宋"/>
                <w:color w:val="auto"/>
                <w:sz w:val="24"/>
                <w:highlight w:val="none"/>
              </w:rPr>
              <w:t>份（副本可以为正本复印件，但</w:t>
            </w:r>
            <w:r>
              <w:rPr>
                <w:rFonts w:hint="eastAsia" w:ascii="仿宋" w:hAnsi="仿宋" w:eastAsia="仿宋" w:cs="仿宋"/>
                <w:color w:val="auto"/>
                <w:sz w:val="24"/>
                <w:highlight w:val="none"/>
                <w:lang w:val="en-US" w:eastAsia="zh-CN"/>
              </w:rPr>
              <w:t>封面</w:t>
            </w:r>
            <w:r>
              <w:rPr>
                <w:rFonts w:hint="eastAsia" w:ascii="仿宋" w:hAnsi="仿宋" w:eastAsia="仿宋" w:cs="仿宋"/>
                <w:color w:val="auto"/>
                <w:sz w:val="24"/>
                <w:highlight w:val="none"/>
              </w:rPr>
              <w:t>必须加盖鲜章）</w:t>
            </w:r>
          </w:p>
          <w:p>
            <w:pPr>
              <w:shd w:val="clea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磋商响应报价表一份（单独密封）</w:t>
            </w:r>
          </w:p>
          <w:p>
            <w:pPr>
              <w:shd w:val="clea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响应文件电子版（必须是响应文件加盖公章的扫描件光盘）1份，随正本一起密封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18</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磋商文件</w:t>
            </w:r>
          </w:p>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递交地点</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新疆邦利工程项目管理咨询有限公司</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lang w:eastAsia="zh-CN"/>
              </w:rPr>
              <w:t>新疆昌吉州昌吉市石河子西路环宇广场2号入口709室</w:t>
            </w:r>
            <w:r>
              <w:rPr>
                <w:rFonts w:hint="eastAsia" w:ascii="仿宋" w:hAnsi="仿宋" w:eastAsia="仿宋" w:cs="仿宋"/>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19</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6868" w:type="dxa"/>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以最终签订合同为准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20</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代理机构</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eastAsia="zh-CN"/>
              </w:rPr>
              <w:t>王勇</w:t>
            </w:r>
            <w:r>
              <w:rPr>
                <w:rFonts w:hint="eastAsia" w:ascii="仿宋" w:hAnsi="仿宋" w:eastAsia="仿宋" w:cs="仿宋"/>
                <w:color w:val="auto"/>
                <w:sz w:val="24"/>
                <w:highlight w:val="none"/>
              </w:rPr>
              <w:t>、李波</w:t>
            </w:r>
          </w:p>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联系电话：13095020653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最高限价</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本次采购设置最高限价，最高限价：</w:t>
            </w:r>
            <w:r>
              <w:rPr>
                <w:rFonts w:hint="eastAsia" w:ascii="仿宋" w:hAnsi="仿宋" w:eastAsia="仿宋" w:cs="仿宋"/>
                <w:color w:val="auto"/>
                <w:sz w:val="24"/>
                <w:szCs w:val="24"/>
                <w:highlight w:val="none"/>
                <w:lang w:val="en-US" w:eastAsia="zh-CN"/>
              </w:rPr>
              <w:t>90万元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资格审查原件</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44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响应人参加本次磋商会议时，须携带法定代表人资格证明文件或法定代表人授权委托书原件，及法定代表人身份证原件或被授权人身份证原件。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tcBorders>
              <w:left w:val="single" w:color="auto" w:sz="4" w:space="0"/>
              <w:right w:val="single" w:color="auto" w:sz="4" w:space="0"/>
            </w:tcBorders>
            <w:vAlign w:val="center"/>
          </w:tcPr>
          <w:p>
            <w:pPr>
              <w:shd w:val="clear"/>
              <w:spacing w:line="440" w:lineRule="exact"/>
              <w:jc w:val="center"/>
              <w:rPr>
                <w:rFonts w:hint="default" w:ascii="仿宋" w:hAnsi="仿宋" w:eastAsia="仿宋" w:cs="仿宋"/>
                <w:color w:val="auto"/>
                <w:sz w:val="24"/>
                <w:highlight w:val="green"/>
                <w:lang w:val="en-US" w:eastAsia="zh-CN"/>
              </w:rPr>
            </w:pPr>
            <w:r>
              <w:rPr>
                <w:rFonts w:hint="eastAsia" w:ascii="仿宋" w:hAnsi="仿宋" w:eastAsia="仿宋" w:cs="仿宋"/>
                <w:color w:val="auto"/>
                <w:sz w:val="24"/>
                <w:highlight w:val="green"/>
                <w:lang w:val="en-US" w:eastAsia="zh-CN"/>
              </w:rPr>
              <w:t>23</w:t>
            </w:r>
          </w:p>
        </w:tc>
        <w:tc>
          <w:tcPr>
            <w:tcW w:w="192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color w:val="auto"/>
                <w:sz w:val="24"/>
                <w:highlight w:val="green"/>
                <w:lang w:val="en-US" w:eastAsia="zh-CN"/>
              </w:rPr>
            </w:pPr>
            <w:r>
              <w:rPr>
                <w:rFonts w:hint="eastAsia" w:ascii="仿宋" w:hAnsi="仿宋" w:eastAsia="仿宋" w:cs="仿宋"/>
                <w:color w:val="auto"/>
                <w:sz w:val="24"/>
                <w:highlight w:val="green"/>
                <w:lang w:val="en-US" w:eastAsia="zh-CN"/>
              </w:rPr>
              <w:t>完工期</w:t>
            </w:r>
          </w:p>
        </w:tc>
        <w:tc>
          <w:tcPr>
            <w:tcW w:w="686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int="default" w:ascii="仿宋" w:hAnsi="仿宋" w:eastAsia="仿宋" w:cs="仿宋"/>
                <w:color w:val="auto"/>
                <w:sz w:val="24"/>
                <w:highlight w:val="green"/>
                <w:lang w:val="en-US" w:eastAsia="zh-CN"/>
              </w:rPr>
            </w:pPr>
            <w:r>
              <w:rPr>
                <w:rFonts w:hint="eastAsia" w:ascii="仿宋" w:hAnsi="仿宋" w:eastAsia="仿宋" w:cs="仿宋"/>
                <w:color w:val="auto"/>
                <w:sz w:val="24"/>
                <w:highlight w:val="green"/>
                <w:lang w:val="en-US" w:eastAsia="zh-CN"/>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tcBorders>
              <w:left w:val="single" w:color="auto" w:sz="4" w:space="0"/>
              <w:bottom w:val="single" w:color="auto" w:sz="4" w:space="0"/>
              <w:right w:val="single" w:color="auto" w:sz="4" w:space="0"/>
            </w:tcBorders>
            <w:vAlign w:val="center"/>
          </w:tcPr>
          <w:p>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8789"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1、响应人应认真阅读磋商文件中的每一个条款及要求，因误读磋商文件而造成的后果，采购人概不负责。</w:t>
            </w:r>
          </w:p>
        </w:tc>
      </w:tr>
    </w:tbl>
    <w:p>
      <w:pPr>
        <w:shd w:val="clear"/>
        <w:spacing w:line="360" w:lineRule="auto"/>
        <w:jc w:val="center"/>
        <w:rPr>
          <w:rFonts w:ascii="仿宋" w:hAnsi="仿宋" w:eastAsia="仿宋" w:cs="仿宋"/>
          <w:b/>
          <w:color w:val="auto"/>
          <w:sz w:val="24"/>
          <w:highlight w:val="none"/>
        </w:rPr>
      </w:pPr>
      <w:bookmarkStart w:id="55" w:name="_GoBack"/>
      <w:bookmarkEnd w:id="55"/>
    </w:p>
    <w:p>
      <w:pPr>
        <w:shd w:val="clear"/>
        <w:spacing w:line="360" w:lineRule="auto"/>
        <w:rPr>
          <w:rFonts w:ascii="仿宋" w:hAnsi="仿宋" w:eastAsia="仿宋" w:cs="仿宋"/>
          <w:b/>
          <w:color w:val="auto"/>
          <w:sz w:val="30"/>
          <w:szCs w:val="30"/>
          <w:highlight w:val="none"/>
        </w:rPr>
      </w:pPr>
    </w:p>
    <w:p>
      <w:pPr>
        <w:pStyle w:val="3"/>
        <w:shd w:val="clear"/>
        <w:adjustRightInd w:val="0"/>
        <w:snapToGrid w:val="0"/>
        <w:spacing w:before="0" w:after="0" w:line="360" w:lineRule="auto"/>
        <w:ind w:left="0" w:leftChars="0"/>
        <w:rPr>
          <w:rFonts w:ascii="仿宋" w:hAnsi="仿宋" w:eastAsia="仿宋" w:cs="仿宋"/>
          <w:color w:val="auto"/>
          <w:highlight w:val="none"/>
        </w:rPr>
      </w:pPr>
      <w:bookmarkStart w:id="9" w:name="_Toc9161"/>
      <w:r>
        <w:rPr>
          <w:rFonts w:hint="eastAsia" w:ascii="仿宋" w:hAnsi="仿宋" w:eastAsia="仿宋" w:cs="仿宋"/>
          <w:color w:val="auto"/>
          <w:highlight w:val="none"/>
        </w:rPr>
        <w:t>第二部分  磋商说明</w:t>
      </w:r>
      <w:bookmarkEnd w:id="9"/>
    </w:p>
    <w:p>
      <w:pPr>
        <w:shd w:val="clear"/>
        <w:adjustRightInd w:val="0"/>
        <w:snapToGrid w:val="0"/>
        <w:spacing w:line="360" w:lineRule="auto"/>
        <w:outlineLvl w:val="0"/>
        <w:rPr>
          <w:rFonts w:ascii="仿宋" w:hAnsi="仿宋" w:eastAsia="仿宋" w:cs="仿宋"/>
          <w:b/>
          <w:color w:val="auto"/>
          <w:sz w:val="24"/>
          <w:highlight w:val="none"/>
        </w:rPr>
      </w:pPr>
      <w:bookmarkStart w:id="10" w:name="_Toc5720"/>
      <w:bookmarkStart w:id="11" w:name="_Toc30764"/>
      <w:bookmarkStart w:id="12" w:name="_Toc18139"/>
      <w:bookmarkStart w:id="13" w:name="_Toc30850"/>
      <w:r>
        <w:rPr>
          <w:rFonts w:hint="eastAsia" w:ascii="仿宋" w:hAnsi="仿宋" w:eastAsia="仿宋" w:cs="仿宋"/>
          <w:b/>
          <w:color w:val="auto"/>
          <w:sz w:val="24"/>
          <w:highlight w:val="none"/>
        </w:rPr>
        <w:t>1. 适用范围</w:t>
      </w:r>
      <w:bookmarkEnd w:id="10"/>
      <w:bookmarkEnd w:id="11"/>
      <w:bookmarkEnd w:id="12"/>
      <w:bookmarkEnd w:id="13"/>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  本磋商文件是采购人在本项目采购过程中的规范性文件，仅适用于本采购中所叙述项目的服务采购等内容。和采购人组织的答疑纪要一起是各响应人（以下简称响应人）编制响应文件的依据，也是采购人与成交人签订合同的依据，并作为合同的附件之一，与合同具有同等的法律效力（除非合同另有约定的部分，以正式合同内容为准）。</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1.2响应人需提供参与本项目实施的人员名单及工作简介。响应人成交后履约过程中，必须遵守国家有关法律的规定，如实提供检查所必需的材料，不得拒绝。</w:t>
      </w:r>
    </w:p>
    <w:p>
      <w:pPr>
        <w:shd w:val="clea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1.3服务范围</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1.3.1响应人应确保服务范围完整，以满足用户要求，若在服务中发现缺项（属响应人服务范围）由采购人协议补充。</w:t>
      </w:r>
    </w:p>
    <w:p>
      <w:pPr>
        <w:shd w:val="clea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1.4</w:t>
      </w:r>
      <w:r>
        <w:rPr>
          <w:rFonts w:hint="eastAsia" w:ascii="仿宋" w:hAnsi="仿宋" w:eastAsia="仿宋" w:cs="仿宋"/>
          <w:b/>
          <w:bCs/>
          <w:color w:val="auto"/>
          <w:sz w:val="24"/>
          <w:highlight w:val="none"/>
        </w:rPr>
        <w:t>采购代理服务费</w:t>
      </w:r>
    </w:p>
    <w:p>
      <w:pPr>
        <w:pStyle w:val="6"/>
        <w:shd w:val="clea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采购代理服务费参照国家计委《招标代理服务收费管理暂行办法》(计价格﹝2002﹞1980号)所规定取费，由中标人支付，该代理服务费在中标人领取成交通知书时向采购代理机构缴纳。此费由磋商响应人综合考虑到磋商报价中，不再单独列项。</w:t>
      </w:r>
    </w:p>
    <w:p>
      <w:pPr>
        <w:shd w:val="clea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1.6定义</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下列术语和缩写的定义为：</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1.6.1.1采购人：是指提出国内采购项目的国家机关、企业、事业单位或其它组织。本磋商文件中采购人系指“</w:t>
      </w:r>
      <w:r>
        <w:rPr>
          <w:rFonts w:hint="eastAsia" w:ascii="仿宋" w:hAnsi="仿宋" w:eastAsia="仿宋" w:cs="仿宋"/>
          <w:color w:val="auto"/>
          <w:sz w:val="24"/>
          <w:highlight w:val="none"/>
          <w:lang w:eastAsia="zh-CN"/>
        </w:rPr>
        <w:t>阜康市第三小学</w:t>
      </w:r>
      <w:r>
        <w:rPr>
          <w:rFonts w:hint="eastAsia" w:ascii="仿宋" w:hAnsi="仿宋" w:eastAsia="仿宋" w:cs="仿宋"/>
          <w:color w:val="auto"/>
          <w:sz w:val="24"/>
          <w:highlight w:val="none"/>
        </w:rPr>
        <w:t>”。</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1.6.1.2代理机构：是指依照国家有关部门的管理规定，依法设立并取得招标资格证书、从事招标代理业务的中介组织。本磋商文件中代理机构是指受采购人委托组织开标的</w:t>
      </w:r>
      <w:r>
        <w:rPr>
          <w:rFonts w:hint="eastAsia" w:ascii="仿宋" w:hAnsi="仿宋" w:eastAsia="仿宋" w:cs="仿宋"/>
          <w:color w:val="auto"/>
          <w:sz w:val="24"/>
          <w:highlight w:val="none"/>
          <w:lang w:eastAsia="zh-CN"/>
        </w:rPr>
        <w:t>新疆邦利工程项目管理咨询有限公司</w:t>
      </w:r>
      <w:r>
        <w:rPr>
          <w:rFonts w:hint="eastAsia" w:ascii="仿宋" w:hAnsi="仿宋" w:eastAsia="仿宋" w:cs="仿宋"/>
          <w:color w:val="auto"/>
          <w:sz w:val="24"/>
          <w:highlight w:val="none"/>
        </w:rPr>
        <w:t>。</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1.6.1.3“服务”系指磋商文件规定的，响应人须向采购人提供的一切服务、设备、附件、备品备件、工具、手册及其它有关资料和材料。</w:t>
      </w:r>
    </w:p>
    <w:p>
      <w:pPr>
        <w:shd w:val="clear"/>
        <w:spacing w:line="360" w:lineRule="auto"/>
        <w:ind w:firstLine="480" w:firstLineChars="200"/>
        <w:outlineLvl w:val="0"/>
        <w:rPr>
          <w:rFonts w:ascii="仿宋" w:hAnsi="仿宋" w:eastAsia="仿宋" w:cs="仿宋"/>
          <w:color w:val="auto"/>
          <w:sz w:val="24"/>
          <w:highlight w:val="none"/>
        </w:rPr>
      </w:pPr>
      <w:bookmarkStart w:id="14" w:name="_Toc29147"/>
      <w:bookmarkStart w:id="15" w:name="_Toc10918"/>
      <w:bookmarkStart w:id="16" w:name="_Toc5789"/>
      <w:bookmarkStart w:id="17" w:name="_Toc2219"/>
      <w:r>
        <w:rPr>
          <w:rFonts w:hint="eastAsia" w:ascii="仿宋" w:hAnsi="仿宋" w:eastAsia="仿宋" w:cs="仿宋"/>
          <w:color w:val="auto"/>
          <w:sz w:val="24"/>
          <w:highlight w:val="none"/>
        </w:rPr>
        <w:t>1.6.2 响应费用</w:t>
      </w:r>
      <w:bookmarkEnd w:id="14"/>
      <w:bookmarkEnd w:id="15"/>
      <w:bookmarkEnd w:id="16"/>
      <w:bookmarkEnd w:id="17"/>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1.6.2.1无论响应结果如何，与参与开标、响应活动有关的所有费用将由响应人自行承担。</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1.6.2.2响应人被视为熟悉本采购项目的各种情况以及履行合同有关的一切情况。</w:t>
      </w:r>
    </w:p>
    <w:p>
      <w:pPr>
        <w:shd w:val="clea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1.6.2.3 响应人应承担其编制响应文件与递交响应文件所涉及的一切费用，不论响应结果如何，采购人对上述费用不做任何补偿。</w:t>
      </w:r>
    </w:p>
    <w:p>
      <w:pPr>
        <w:shd w:val="clea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1.6.2.4 与相关联工作间的联系协调工作，如有费用发生已包含在报价一览表内。</w:t>
      </w:r>
    </w:p>
    <w:p>
      <w:pPr>
        <w:shd w:val="clea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1.6.2.5成交人承担本项目采购代理服务费。</w:t>
      </w:r>
    </w:p>
    <w:p>
      <w:pPr>
        <w:shd w:val="clea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1.7  磋商文件的组成：</w:t>
      </w:r>
    </w:p>
    <w:p>
      <w:pPr>
        <w:shd w:val="clea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fldChar w:fldCharType="begin"/>
      </w:r>
      <w:r>
        <w:rPr>
          <w:rFonts w:hint="eastAsia" w:ascii="仿宋" w:hAnsi="仿宋" w:eastAsia="仿宋" w:cs="仿宋"/>
          <w:b/>
          <w:color w:val="auto"/>
          <w:sz w:val="24"/>
          <w:highlight w:val="none"/>
        </w:rPr>
        <w:instrText xml:space="preserve">TOC \o "1-2" \h \u </w:instrText>
      </w:r>
      <w:r>
        <w:rPr>
          <w:rFonts w:hint="eastAsia" w:ascii="仿宋" w:hAnsi="仿宋" w:eastAsia="仿宋" w:cs="仿宋"/>
          <w:b/>
          <w:color w:val="auto"/>
          <w:sz w:val="24"/>
          <w:highlight w:val="none"/>
        </w:rPr>
        <w:fldChar w:fldCharType="separate"/>
      </w:r>
      <w:r>
        <w:rPr>
          <w:color w:val="auto"/>
          <w:highlight w:val="none"/>
        </w:rPr>
        <w:fldChar w:fldCharType="begin"/>
      </w:r>
      <w:r>
        <w:rPr>
          <w:color w:val="auto"/>
          <w:highlight w:val="none"/>
        </w:rPr>
        <w:instrText xml:space="preserve"> HYPERLINK \l "_Toc32462" </w:instrText>
      </w:r>
      <w:r>
        <w:rPr>
          <w:color w:val="auto"/>
          <w:highlight w:val="none"/>
        </w:rPr>
        <w:fldChar w:fldCharType="separate"/>
      </w:r>
      <w:r>
        <w:rPr>
          <w:rFonts w:hint="eastAsia" w:ascii="仿宋" w:hAnsi="仿宋" w:eastAsia="仿宋" w:cs="仿宋"/>
          <w:b/>
          <w:color w:val="auto"/>
          <w:sz w:val="24"/>
          <w:highlight w:val="none"/>
        </w:rPr>
        <w:t>第一部分  响应须知</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fldChar w:fldCharType="end"/>
      </w:r>
    </w:p>
    <w:p>
      <w:pPr>
        <w:shd w:val="clear"/>
        <w:spacing w:line="360" w:lineRule="auto"/>
        <w:ind w:firstLine="420" w:firstLineChars="200"/>
        <w:rPr>
          <w:rFonts w:ascii="仿宋" w:hAnsi="仿宋" w:eastAsia="仿宋" w:cs="仿宋"/>
          <w:b/>
          <w:color w:val="auto"/>
          <w:sz w:val="24"/>
          <w:highlight w:val="none"/>
        </w:rPr>
      </w:pPr>
      <w:r>
        <w:rPr>
          <w:color w:val="auto"/>
          <w:highlight w:val="none"/>
        </w:rPr>
        <w:fldChar w:fldCharType="begin"/>
      </w:r>
      <w:r>
        <w:rPr>
          <w:color w:val="auto"/>
          <w:highlight w:val="none"/>
        </w:rPr>
        <w:instrText xml:space="preserve"> HYPERLINK \l "_Toc12972" </w:instrText>
      </w:r>
      <w:r>
        <w:rPr>
          <w:color w:val="auto"/>
          <w:highlight w:val="none"/>
        </w:rPr>
        <w:fldChar w:fldCharType="separate"/>
      </w:r>
      <w:r>
        <w:rPr>
          <w:rFonts w:hint="eastAsia" w:ascii="仿宋" w:hAnsi="仿宋" w:eastAsia="仿宋" w:cs="仿宋"/>
          <w:b/>
          <w:color w:val="auto"/>
          <w:sz w:val="24"/>
          <w:highlight w:val="none"/>
        </w:rPr>
        <w:t>第二部分  采购说明</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fldChar w:fldCharType="end"/>
      </w:r>
    </w:p>
    <w:p>
      <w:pPr>
        <w:shd w:val="clear"/>
        <w:spacing w:line="360" w:lineRule="auto"/>
        <w:ind w:firstLine="420" w:firstLineChars="200"/>
        <w:rPr>
          <w:rFonts w:ascii="仿宋" w:hAnsi="仿宋" w:eastAsia="仿宋" w:cs="仿宋"/>
          <w:b/>
          <w:color w:val="auto"/>
          <w:sz w:val="24"/>
          <w:highlight w:val="none"/>
        </w:rPr>
      </w:pPr>
      <w:r>
        <w:rPr>
          <w:color w:val="auto"/>
          <w:highlight w:val="none"/>
        </w:rPr>
        <w:fldChar w:fldCharType="begin"/>
      </w:r>
      <w:r>
        <w:rPr>
          <w:color w:val="auto"/>
          <w:highlight w:val="none"/>
        </w:rPr>
        <w:instrText xml:space="preserve"> HYPERLINK \l "_Toc22833" </w:instrText>
      </w:r>
      <w:r>
        <w:rPr>
          <w:color w:val="auto"/>
          <w:highlight w:val="none"/>
        </w:rPr>
        <w:fldChar w:fldCharType="separate"/>
      </w:r>
      <w:r>
        <w:rPr>
          <w:rFonts w:hint="eastAsia" w:ascii="仿宋" w:hAnsi="仿宋" w:eastAsia="仿宋" w:cs="仿宋"/>
          <w:b/>
          <w:color w:val="auto"/>
          <w:sz w:val="24"/>
          <w:highlight w:val="none"/>
        </w:rPr>
        <w:t>第三部分  响应说明</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fldChar w:fldCharType="end"/>
      </w:r>
    </w:p>
    <w:p>
      <w:pPr>
        <w:shd w:val="clear"/>
        <w:spacing w:line="360" w:lineRule="auto"/>
        <w:ind w:firstLine="420" w:firstLineChars="200"/>
        <w:rPr>
          <w:rFonts w:ascii="仿宋" w:hAnsi="仿宋" w:eastAsia="仿宋" w:cs="仿宋"/>
          <w:b/>
          <w:color w:val="auto"/>
          <w:sz w:val="24"/>
          <w:highlight w:val="none"/>
        </w:rPr>
      </w:pPr>
      <w:r>
        <w:rPr>
          <w:color w:val="auto"/>
          <w:highlight w:val="none"/>
        </w:rPr>
        <w:fldChar w:fldCharType="begin"/>
      </w:r>
      <w:r>
        <w:rPr>
          <w:color w:val="auto"/>
          <w:highlight w:val="none"/>
        </w:rPr>
        <w:instrText xml:space="preserve"> HYPERLINK \l "_Toc27637" </w:instrText>
      </w:r>
      <w:r>
        <w:rPr>
          <w:color w:val="auto"/>
          <w:highlight w:val="none"/>
        </w:rPr>
        <w:fldChar w:fldCharType="separate"/>
      </w:r>
      <w:r>
        <w:rPr>
          <w:rFonts w:hint="eastAsia" w:ascii="仿宋" w:hAnsi="仿宋" w:eastAsia="仿宋" w:cs="仿宋"/>
          <w:b/>
          <w:color w:val="auto"/>
          <w:sz w:val="24"/>
          <w:highlight w:val="none"/>
        </w:rPr>
        <w:t>第四部分  合同</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fldChar w:fldCharType="end"/>
      </w:r>
    </w:p>
    <w:p>
      <w:pPr>
        <w:shd w:val="clear"/>
        <w:spacing w:line="360" w:lineRule="auto"/>
        <w:ind w:firstLine="420" w:firstLineChars="200"/>
        <w:rPr>
          <w:rFonts w:ascii="仿宋" w:hAnsi="仿宋" w:eastAsia="仿宋" w:cs="仿宋"/>
          <w:b/>
          <w:color w:val="auto"/>
          <w:sz w:val="24"/>
          <w:highlight w:val="none"/>
        </w:rPr>
      </w:pPr>
      <w:r>
        <w:rPr>
          <w:color w:val="auto"/>
          <w:highlight w:val="none"/>
        </w:rPr>
        <w:fldChar w:fldCharType="begin"/>
      </w:r>
      <w:r>
        <w:rPr>
          <w:color w:val="auto"/>
          <w:highlight w:val="none"/>
        </w:rPr>
        <w:instrText xml:space="preserve"> HYPERLINK \l "_Toc21001" </w:instrText>
      </w:r>
      <w:r>
        <w:rPr>
          <w:color w:val="auto"/>
          <w:highlight w:val="none"/>
        </w:rPr>
        <w:fldChar w:fldCharType="separate"/>
      </w:r>
      <w:r>
        <w:rPr>
          <w:rFonts w:hint="eastAsia" w:ascii="仿宋" w:hAnsi="仿宋" w:eastAsia="仿宋" w:cs="仿宋"/>
          <w:b/>
          <w:color w:val="auto"/>
          <w:sz w:val="24"/>
          <w:highlight w:val="none"/>
        </w:rPr>
        <w:t>第五部分  附件</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fldChar w:fldCharType="end"/>
      </w:r>
    </w:p>
    <w:p>
      <w:pPr>
        <w:shd w:val="clea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fldChar w:fldCharType="end"/>
      </w:r>
      <w:r>
        <w:rPr>
          <w:rFonts w:hint="eastAsia" w:ascii="仿宋" w:hAnsi="仿宋" w:eastAsia="仿宋" w:cs="仿宋"/>
          <w:b/>
          <w:color w:val="auto"/>
          <w:sz w:val="24"/>
          <w:highlight w:val="none"/>
        </w:rPr>
        <w:t>1.8. 磋商文件的澄清</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1.8.1响应人对磋商文件如有疑点，可在磋商截止日前3日内按磋商文件中载明的地址以书面形式（电子邮件，下同）通知采购人要求澄清。采购人将视情况确定采用以书面形式予以答复。采购人认为有必要时，可将答复内容（包括原提出问题，但不包括问题的来源）分发给所有拟响应人。</w:t>
      </w:r>
    </w:p>
    <w:p>
      <w:pPr>
        <w:shd w:val="clear"/>
        <w:spacing w:line="360" w:lineRule="auto"/>
        <w:ind w:firstLine="482" w:firstLineChars="200"/>
        <w:outlineLvl w:val="0"/>
        <w:rPr>
          <w:rFonts w:ascii="仿宋" w:hAnsi="仿宋" w:eastAsia="仿宋" w:cs="仿宋"/>
          <w:b/>
          <w:color w:val="auto"/>
          <w:sz w:val="24"/>
          <w:highlight w:val="none"/>
        </w:rPr>
      </w:pPr>
      <w:bookmarkStart w:id="18" w:name="_Toc26605"/>
      <w:bookmarkStart w:id="19" w:name="_Toc6068"/>
      <w:bookmarkStart w:id="20" w:name="_Toc26933"/>
      <w:bookmarkStart w:id="21" w:name="_Toc19779"/>
      <w:r>
        <w:rPr>
          <w:rFonts w:hint="eastAsia" w:ascii="仿宋" w:hAnsi="仿宋" w:eastAsia="仿宋" w:cs="仿宋"/>
          <w:b/>
          <w:color w:val="auto"/>
          <w:sz w:val="24"/>
          <w:highlight w:val="none"/>
        </w:rPr>
        <w:t>1.9  磋商文件的修改或补充及约束力</w:t>
      </w:r>
      <w:bookmarkEnd w:id="18"/>
      <w:bookmarkEnd w:id="19"/>
      <w:bookmarkEnd w:id="20"/>
      <w:bookmarkEnd w:id="21"/>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1.9.1在磋商截止期的3日内的任何时间，采购人可主动或依据响应人要求澄清的问题而修改或补充磋商文件，并以书面形式通知所有响应人，响应人在收到该通知后应立即以书面形式予以确认。</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1.9.2为使响应人在准备响应时有适当的时间考虑响应文件的修改，采购人有权决定推迟磋商截止日期和磋商日期，并将此变更通知所有响应人。</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1.9.3磋商文件的修改和补充文件将构成磋商文件的一部分，并且对响应人具有优先约束力。</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1.9.4响应人一旦参加采购会议，即被认为接受了本文件中的所有条款和规定。</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1.9.5响应人如认为本采购文件含有倾向性或排斥潜在响应人的条款而使自己的权益受到损害的，请以书面形式向采购人提出，否则，将视为对本文件要求无任何异议，并不得因此在采购会开始后提出任何异议。</w:t>
      </w:r>
    </w:p>
    <w:p>
      <w:pPr>
        <w:pStyle w:val="30"/>
        <w:shd w:val="clear"/>
        <w:ind w:firstLine="480"/>
        <w:rPr>
          <w:rFonts w:ascii="仿宋" w:hAnsi="仿宋" w:eastAsia="仿宋" w:cs="仿宋"/>
          <w:color w:val="auto"/>
          <w:szCs w:val="24"/>
          <w:highlight w:val="none"/>
        </w:rPr>
      </w:pPr>
    </w:p>
    <w:p>
      <w:pPr>
        <w:pStyle w:val="30"/>
        <w:shd w:val="clear"/>
        <w:ind w:firstLine="480"/>
        <w:rPr>
          <w:rFonts w:ascii="仿宋" w:hAnsi="仿宋" w:eastAsia="仿宋" w:cs="仿宋"/>
          <w:color w:val="auto"/>
          <w:szCs w:val="24"/>
          <w:highlight w:val="none"/>
        </w:rPr>
      </w:pPr>
    </w:p>
    <w:p>
      <w:pPr>
        <w:pStyle w:val="3"/>
        <w:shd w:val="clear"/>
        <w:adjustRightInd w:val="0"/>
        <w:snapToGrid w:val="0"/>
        <w:spacing w:before="0" w:after="0" w:line="360" w:lineRule="auto"/>
        <w:ind w:leftChars="0"/>
        <w:rPr>
          <w:rFonts w:ascii="仿宋" w:hAnsi="仿宋" w:eastAsia="仿宋" w:cs="仿宋"/>
          <w:color w:val="auto"/>
          <w:highlight w:val="none"/>
        </w:rPr>
      </w:pPr>
      <w:bookmarkStart w:id="22" w:name="_Toc12224"/>
      <w:r>
        <w:rPr>
          <w:rFonts w:hint="eastAsia" w:ascii="仿宋" w:hAnsi="仿宋" w:eastAsia="仿宋" w:cs="仿宋"/>
          <w:color w:val="auto"/>
          <w:highlight w:val="none"/>
        </w:rPr>
        <w:t>第三部分  响应说明</w:t>
      </w:r>
      <w:bookmarkEnd w:id="22"/>
    </w:p>
    <w:p>
      <w:pPr>
        <w:pStyle w:val="4"/>
        <w:shd w:val="clear"/>
        <w:adjustRightInd w:val="0"/>
        <w:snapToGrid w:val="0"/>
        <w:spacing w:before="0" w:after="0" w:line="360" w:lineRule="auto"/>
        <w:jc w:val="center"/>
        <w:rPr>
          <w:rFonts w:ascii="仿宋" w:hAnsi="仿宋" w:eastAsia="仿宋" w:cs="仿宋"/>
          <w:color w:val="auto"/>
          <w:highlight w:val="none"/>
        </w:rPr>
      </w:pPr>
      <w:bookmarkStart w:id="23" w:name="_Toc8177"/>
      <w:r>
        <w:rPr>
          <w:rFonts w:hint="eastAsia" w:ascii="仿宋" w:hAnsi="仿宋" w:eastAsia="仿宋" w:cs="仿宋"/>
          <w:color w:val="auto"/>
          <w:highlight w:val="none"/>
        </w:rPr>
        <w:t>第一章  对响应人的资质要求</w:t>
      </w:r>
      <w:bookmarkEnd w:id="23"/>
    </w:p>
    <w:p>
      <w:pPr>
        <w:shd w:val="clea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1、响应资质</w:t>
      </w:r>
    </w:p>
    <w:p>
      <w:pPr>
        <w:shd w:val="clear"/>
        <w:adjustRightInd w:val="0"/>
        <w:snapToGrid w:val="0"/>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1、响应人必须是中华人民共和国境内注册的，具有独立法人资格的</w:t>
      </w:r>
      <w:r>
        <w:rPr>
          <w:rFonts w:hint="eastAsia" w:ascii="仿宋" w:hAnsi="仿宋" w:eastAsia="仿宋" w:cs="仿宋"/>
          <w:color w:val="auto"/>
          <w:sz w:val="24"/>
          <w:highlight w:val="none"/>
        </w:rPr>
        <w:t>企、事业单位</w:t>
      </w:r>
      <w:r>
        <w:rPr>
          <w:rFonts w:hint="eastAsia" w:ascii="仿宋" w:hAnsi="仿宋" w:eastAsia="仿宋" w:cs="仿宋"/>
          <w:bCs/>
          <w:color w:val="auto"/>
          <w:sz w:val="24"/>
          <w:highlight w:val="none"/>
        </w:rPr>
        <w:t>或其他类型的组织，具有有效的营业执照；</w:t>
      </w:r>
    </w:p>
    <w:p>
      <w:pPr>
        <w:shd w:val="clear"/>
        <w:adjustRightInd w:val="0"/>
        <w:snapToGrid w:val="0"/>
        <w:spacing w:line="360" w:lineRule="auto"/>
        <w:jc w:val="left"/>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2、凡拟参加本次磋商的响应人，如在“信用中国”（www.creditchina.gov.vn ）、中国政府采购网（www.ccgp.gov.vn ）被列入失信被执行人、重大税收违法案件当事人名单、政府采购严重违法失信行为记录名单的（尚在处罚期内的）,将拒绝其参本次采购活动；投标人近三年无因投标申请人违约或不恰当履约引起的合同终止、纠纷、争议、仲裁和公诉纪录；</w:t>
      </w:r>
    </w:p>
    <w:p>
      <w:pPr>
        <w:shd w:val="clear"/>
        <w:adjustRightInd w:val="0"/>
        <w:snapToGrid w:val="0"/>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3、其他说明：（1）与采购人存在利害关系可能影响磋商公正性的法人、其他组织或者个人，不得参加磋商。（2）单位负责人为同一人或者存在控股、管理关系的不同单位，不得参加同一标段或者未划分标段的同一磋商项目磋商。违反前两款规定的，相关磋商均无效；</w:t>
      </w:r>
    </w:p>
    <w:p>
      <w:pPr>
        <w:shd w:val="clear"/>
        <w:adjustRightInd w:val="0"/>
        <w:snapToGrid w:val="0"/>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1.4</w:t>
      </w:r>
      <w:r>
        <w:rPr>
          <w:rFonts w:hint="eastAsia" w:ascii="仿宋" w:hAnsi="仿宋" w:eastAsia="仿宋" w:cs="仿宋"/>
          <w:bCs/>
          <w:color w:val="auto"/>
          <w:sz w:val="24"/>
          <w:highlight w:val="none"/>
        </w:rPr>
        <w:t>、本项目不接受联合体磋商。</w:t>
      </w:r>
    </w:p>
    <w:p>
      <w:pPr>
        <w:pStyle w:val="6"/>
        <w:shd w:val="clear"/>
        <w:ind w:firstLine="482"/>
        <w:rPr>
          <w:rFonts w:ascii="仿宋" w:hAnsi="仿宋" w:eastAsia="仿宋" w:cs="仿宋"/>
          <w:color w:val="auto"/>
          <w:sz w:val="24"/>
          <w:highlight w:val="none"/>
        </w:rPr>
      </w:pPr>
      <w:r>
        <w:rPr>
          <w:rFonts w:hint="eastAsia" w:ascii="仿宋" w:hAnsi="仿宋" w:eastAsia="仿宋" w:cs="仿宋"/>
          <w:b/>
          <w:color w:val="auto"/>
          <w:sz w:val="24"/>
          <w:highlight w:val="none"/>
        </w:rPr>
        <w:t>2响应人参加本次磋商会议时，须携带法定代表人资格证明文件或法定代表人授权委托书原件，及法定代表人身份证原件或被授权人身份证原件。由监督人开标时查验，否则将拒绝参加磋商会议。</w:t>
      </w:r>
    </w:p>
    <w:p>
      <w:pPr>
        <w:pStyle w:val="4"/>
        <w:shd w:val="clear"/>
        <w:adjustRightInd w:val="0"/>
        <w:snapToGrid w:val="0"/>
        <w:spacing w:before="0" w:after="0" w:line="360" w:lineRule="auto"/>
        <w:jc w:val="center"/>
        <w:rPr>
          <w:rFonts w:ascii="仿宋" w:hAnsi="仿宋" w:eastAsia="仿宋" w:cs="仿宋"/>
          <w:color w:val="auto"/>
          <w:highlight w:val="none"/>
        </w:rPr>
      </w:pPr>
    </w:p>
    <w:p>
      <w:pPr>
        <w:pStyle w:val="4"/>
        <w:shd w:val="clear"/>
        <w:adjustRightInd w:val="0"/>
        <w:snapToGrid w:val="0"/>
        <w:spacing w:before="0" w:after="0" w:line="360" w:lineRule="auto"/>
        <w:jc w:val="center"/>
        <w:rPr>
          <w:rFonts w:ascii="仿宋" w:hAnsi="仿宋" w:eastAsia="仿宋" w:cs="仿宋"/>
          <w:color w:val="auto"/>
          <w:highlight w:val="none"/>
        </w:rPr>
      </w:pPr>
      <w:bookmarkStart w:id="24" w:name="_Toc18319"/>
      <w:r>
        <w:rPr>
          <w:rFonts w:hint="eastAsia" w:ascii="仿宋" w:hAnsi="仿宋" w:eastAsia="仿宋" w:cs="仿宋"/>
          <w:color w:val="auto"/>
          <w:highlight w:val="none"/>
        </w:rPr>
        <w:t>第二章  响应文件的编写及编制顺序</w:t>
      </w:r>
      <w:bookmarkEnd w:id="24"/>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1.要求</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响应人应详细阅读磋商文件中的条款、规范、表示、条件和格式等所有内容，按磋商文件的要求份数提供响应文件，并保证所提供全部材料的真实性，以使其响应对磋商文件做出实质性响应。响应文件必须按要求封装，并标注所投包段。否则，其响应会被拒绝。</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2.响应文件语言和度量单位</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2.1磋商文件及响应人和采购人就磋商文件、响应交换的文件和往来信件，须以中文书写。</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2.2除在磋商文件的技术规格中另有规定外，计量单位应使用中华人民共和国法定计量单位。</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3. 响应文件的构成</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 响应文件由三卷组成，合装订成一册，响应人应按照下列顺序编写响应文件：</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3.2 第一卷：报价一览表</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3.2.1 报价一览表（按附件的格式提供，正、副本中均应附入）</w:t>
      </w:r>
      <w:r>
        <w:rPr>
          <w:rFonts w:hint="eastAsia" w:ascii="仿宋" w:hAnsi="仿宋" w:eastAsia="仿宋" w:cs="仿宋"/>
          <w:b/>
          <w:color w:val="auto"/>
          <w:sz w:val="24"/>
          <w:highlight w:val="none"/>
        </w:rPr>
        <w:t>报价一览表必须再另行制作原件一份，单独密封于一独立包装物内并在封面上标明“×××项目报价一览表”，随同响应文件一并递交开标地点，否则视为无效标处理</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如单独提交的报价一览表内容与响应文件中报价一览表表内容不一致的，以单独提交的报价一览表内容为准。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3.2.2 报价分类明细表（按附件的格式提供，正、副本中均应附入）。</w:t>
      </w:r>
    </w:p>
    <w:p>
      <w:pPr>
        <w:shd w:val="clear"/>
        <w:adjustRightInd w:val="0"/>
        <w:snapToGrid w:val="0"/>
        <w:spacing w:line="360" w:lineRule="auto"/>
        <w:ind w:firstLine="479" w:firstLineChars="199"/>
        <w:rPr>
          <w:rFonts w:ascii="仿宋" w:hAnsi="仿宋" w:eastAsia="仿宋" w:cs="仿宋"/>
          <w:b/>
          <w:color w:val="auto"/>
          <w:sz w:val="24"/>
          <w:highlight w:val="none"/>
        </w:rPr>
      </w:pPr>
      <w:r>
        <w:rPr>
          <w:rFonts w:hint="eastAsia" w:ascii="仿宋" w:hAnsi="仿宋" w:eastAsia="仿宋" w:cs="仿宋"/>
          <w:b/>
          <w:color w:val="auto"/>
          <w:sz w:val="24"/>
          <w:highlight w:val="none"/>
        </w:rPr>
        <w:t>3.3 第二卷：商务响应文件</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响应人必须按要求如实、准确、完整的提供评估因素要求的各类文件资料。否则响应将不被接受。响应文件包括以下部分（但不局限于以下部分）：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3.3.1响应人有效营业执照、其他相关资质；</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3.3.2法人代表或法人授权代表身份证；</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3.3.3法人授权委托书；</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3.3.4响应人认为能证明响应人是合格的，且成交后有能力履行合同的资格证明文件；</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3.3.5响应人自述；</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3.3.6商务条款偏离表；乙方如对商务条款有偏离意向，必须在标书中注明偏离事项，凡是未注明偏离意向的标书视认为响应本标书条款；</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3.3.7服务方案对服务达到的质量标准、拟采取的措施作出承诺（详细服务方案及实施细节）</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3.3.8其它需说明的事项。</w:t>
      </w:r>
    </w:p>
    <w:p>
      <w:pPr>
        <w:shd w:val="clear"/>
        <w:adjustRightInd w:val="0"/>
        <w:snapToGrid w:val="0"/>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3.4 第三卷：技术响应文件</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3.4.1技术服务标准、服务内容偏离表，详细服务说明；</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3.4.2响应人认为需要说明的其他部分。</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4、响应文件格式</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 本项目要求按照上述内容编制标书，并按照标书中所附的响应文件规格编写，并要求打印装订成册。</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4.2 响应人应按磋商文件的内容与要求和提供的格式编写其响应文件，响应人不得缺少或留空任何磋商文件要求填写的表格或提交的资料。</w:t>
      </w:r>
      <w:r>
        <w:rPr>
          <w:rFonts w:hint="eastAsia" w:ascii="仿宋" w:hAnsi="仿宋" w:eastAsia="仿宋" w:cs="仿宋"/>
          <w:b/>
          <w:color w:val="auto"/>
          <w:kern w:val="0"/>
          <w:sz w:val="24"/>
          <w:highlight w:val="none"/>
          <w:u w:val="single"/>
        </w:rPr>
        <w:t>如磋商文件没有提供格式的，响应人可自行设置。技术服务标准、服务内容偏离表要求逐条对应填写，否则视为不响应磋商文件</w:t>
      </w:r>
      <w:r>
        <w:rPr>
          <w:rFonts w:hint="eastAsia" w:ascii="仿宋" w:hAnsi="仿宋" w:eastAsia="仿宋" w:cs="仿宋"/>
          <w:b/>
          <w:color w:val="auto"/>
          <w:kern w:val="0"/>
          <w:sz w:val="24"/>
          <w:highlight w:val="none"/>
        </w:rPr>
        <w:t>。</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4.3响应人应将响应文件按规定的顺序编排、并应编制目录、逐页标注连续页码，并装定成册。</w:t>
      </w:r>
      <w:r>
        <w:rPr>
          <w:rFonts w:hint="eastAsia" w:ascii="仿宋" w:hAnsi="仿宋" w:eastAsia="仿宋" w:cs="仿宋"/>
          <w:b/>
          <w:color w:val="auto"/>
          <w:sz w:val="24"/>
          <w:highlight w:val="none"/>
          <w:u w:val="single"/>
        </w:rPr>
        <w:t>不得采用活页装订</w:t>
      </w:r>
      <w:r>
        <w:rPr>
          <w:rFonts w:hint="eastAsia" w:ascii="仿宋" w:hAnsi="仿宋" w:eastAsia="仿宋" w:cs="仿宋"/>
          <w:color w:val="auto"/>
          <w:sz w:val="24"/>
          <w:highlight w:val="none"/>
        </w:rPr>
        <w:t>（否则视为无效标处理）。</w:t>
      </w:r>
    </w:p>
    <w:p>
      <w:pPr>
        <w:shd w:val="clear"/>
        <w:adjustRightInd w:val="0"/>
        <w:snapToGrid w:val="0"/>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5、报价一览表</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报价必须包含本次服务所有可能发生的一切费用。采购人不再支付任何费用；</w:t>
      </w:r>
    </w:p>
    <w:p>
      <w:pPr>
        <w:widowControl/>
        <w:shd w:val="clear"/>
        <w:adjustRightInd w:val="0"/>
        <w:snapToGrid w:val="0"/>
        <w:spacing w:line="360" w:lineRule="auto"/>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5.1响应人应在响应文件中的报价一览表上标明本次服务拟提供单价及总价。</w:t>
      </w:r>
    </w:p>
    <w:p>
      <w:pPr>
        <w:widowControl/>
        <w:shd w:val="clear"/>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响应文件报价出现前后不一致的，除磋商文件另有规定外，按照下列规定修正：</w:t>
      </w:r>
    </w:p>
    <w:p>
      <w:pPr>
        <w:widowControl/>
        <w:shd w:val="clear"/>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（一）响应文件中开标一览表（报价表）内容与响应文件中相应内容不一致的，以开标一览表（报价表）为准；</w:t>
      </w:r>
    </w:p>
    <w:p>
      <w:pPr>
        <w:widowControl/>
        <w:shd w:val="clear"/>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（二）大写金额和小写金额不一致的，以大写金额为准；</w:t>
      </w:r>
    </w:p>
    <w:p>
      <w:pPr>
        <w:widowControl/>
        <w:shd w:val="clear"/>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（三）单价金额小数点或者百分比有明显错位的，以开标一览表的总价为准，并修改单价；</w:t>
      </w:r>
    </w:p>
    <w:p>
      <w:pPr>
        <w:widowControl/>
        <w:shd w:val="clear"/>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（四）总价金额与按单价汇总金额不一致的，以单价金额计算结果为准。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如果响应人不接受修正后的价格，则其报价将被拒绝。</w:t>
      </w:r>
    </w:p>
    <w:p>
      <w:pPr>
        <w:shd w:val="clear"/>
        <w:adjustRightInd w:val="0"/>
        <w:snapToGrid w:val="0"/>
        <w:spacing w:line="360" w:lineRule="auto"/>
        <w:ind w:firstLine="472" w:firstLineChars="196"/>
        <w:rPr>
          <w:rFonts w:ascii="仿宋" w:hAnsi="仿宋" w:eastAsia="仿宋" w:cs="仿宋"/>
          <w:color w:val="auto"/>
          <w:sz w:val="24"/>
          <w:highlight w:val="none"/>
        </w:rPr>
      </w:pPr>
      <w:r>
        <w:rPr>
          <w:rFonts w:hint="eastAsia" w:ascii="仿宋" w:hAnsi="仿宋" w:eastAsia="仿宋" w:cs="仿宋"/>
          <w:b/>
          <w:color w:val="auto"/>
          <w:sz w:val="24"/>
          <w:highlight w:val="none"/>
        </w:rPr>
        <w:t>5.2 报价超过最高限价的，该报价为无效报价，不进入商务评审。</w:t>
      </w:r>
    </w:p>
    <w:p>
      <w:pPr>
        <w:shd w:val="clear"/>
        <w:adjustRightInd w:val="0"/>
        <w:snapToGrid w:val="0"/>
        <w:spacing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5.3磋商委员会发现响应人的报价明显低于其他报价一览表，或者在设有标底时明显低于标底，使得其报价一览表可能低于其个别成本的，应当要求该响应人作出书面说明并提供相应的证明材料。响应人不能合理说明或者不能提供相应证明材料的，由磋商委员会认定该响应人以低于成本报价竞标，其响应视为无效标处理。</w:t>
      </w:r>
    </w:p>
    <w:p>
      <w:pPr>
        <w:shd w:val="clear"/>
        <w:adjustRightInd w:val="0"/>
        <w:snapToGrid w:val="0"/>
        <w:spacing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6、报价一览表的货币单位</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6.1报价一览表的货币单位为人民币。</w:t>
      </w:r>
    </w:p>
    <w:p>
      <w:pPr>
        <w:shd w:val="clear"/>
        <w:adjustRightInd w:val="0"/>
        <w:snapToGrid w:val="0"/>
        <w:spacing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7、磋商文件规定的技术响应文件</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7.1响应人须提交证明服务符合磋商文件规定的文件资料，作为响应文件的一部分。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7.2上述文件可以是文字资料、图纸和数据等，并提供服务标准。</w:t>
      </w:r>
    </w:p>
    <w:p>
      <w:pPr>
        <w:shd w:val="clear"/>
        <w:adjustRightInd w:val="0"/>
        <w:snapToGrid w:val="0"/>
        <w:spacing w:line="360" w:lineRule="auto"/>
        <w:ind w:firstLine="472" w:firstLineChars="196"/>
        <w:rPr>
          <w:rFonts w:ascii="仿宋" w:hAnsi="仿宋" w:eastAsia="仿宋" w:cs="仿宋"/>
          <w:color w:val="auto"/>
          <w:sz w:val="24"/>
          <w:highlight w:val="none"/>
        </w:rPr>
      </w:pPr>
      <w:r>
        <w:rPr>
          <w:rFonts w:hint="eastAsia" w:ascii="仿宋" w:hAnsi="仿宋" w:eastAsia="仿宋" w:cs="仿宋"/>
          <w:b/>
          <w:color w:val="auto"/>
          <w:sz w:val="24"/>
          <w:highlight w:val="none"/>
        </w:rPr>
        <w:t>8、磋商有效期</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b/>
          <w:bCs/>
          <w:color w:val="auto"/>
          <w:sz w:val="24"/>
          <w:highlight w:val="none"/>
        </w:rPr>
        <w:t>响应文件从磋商之日起，磋商有效期90日历日（如不满足将导致废标）</w:t>
      </w:r>
      <w:r>
        <w:rPr>
          <w:rFonts w:hint="eastAsia" w:ascii="仿宋" w:hAnsi="仿宋" w:eastAsia="仿宋" w:cs="仿宋"/>
          <w:color w:val="auto"/>
          <w:sz w:val="24"/>
          <w:highlight w:val="none"/>
        </w:rPr>
        <w:t>。</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8.2在特殊情况下，采购人可与响应人协商延长响应文件的有效期。</w:t>
      </w:r>
    </w:p>
    <w:p>
      <w:pPr>
        <w:shd w:val="clear"/>
        <w:adjustRightInd w:val="0"/>
        <w:snapToGrid w:val="0"/>
        <w:spacing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9、响应文件的签署规定</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9.1响应文件的页面必须用印刷体打印。</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9.2响应文件应清楚工整，一般不准修改。个别非实质性修改之处应由响应人的被授权人或法人(或负责人)代表签章。</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9.3响应文件应由法人(或负责人)代表或授权代表在规定的签章处逐一签署并加盖单位公章。所有响应人签字、法人(或负责人)代表签字、法人(或负责人)代表授权人签字和其它签字处必须加盖具有法律效力的响应人的印章后，响应文件方为有效。</w:t>
      </w:r>
    </w:p>
    <w:p>
      <w:pPr>
        <w:shd w:val="clear"/>
        <w:adjustRightInd w:val="0"/>
        <w:snapToGrid w:val="0"/>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9.4</w:t>
      </w:r>
      <w:r>
        <w:rPr>
          <w:rFonts w:hint="eastAsia" w:ascii="仿宋" w:hAnsi="仿宋" w:eastAsia="仿宋" w:cs="仿宋"/>
          <w:b/>
          <w:color w:val="auto"/>
          <w:sz w:val="24"/>
          <w:highlight w:val="none"/>
        </w:rPr>
        <w:t>所有响应文件必须提交一式叁份，其中响应文件：正本壹份、副本</w:t>
      </w:r>
      <w:r>
        <w:rPr>
          <w:rFonts w:hint="eastAsia" w:ascii="仿宋" w:hAnsi="仿宋" w:eastAsia="仿宋" w:cs="仿宋"/>
          <w:b/>
          <w:color w:val="auto"/>
          <w:sz w:val="24"/>
          <w:highlight w:val="none"/>
          <w:lang w:eastAsia="zh-CN"/>
        </w:rPr>
        <w:t>叁</w:t>
      </w:r>
      <w:r>
        <w:rPr>
          <w:rFonts w:hint="eastAsia" w:ascii="仿宋" w:hAnsi="仿宋" w:eastAsia="仿宋" w:cs="仿宋"/>
          <w:b/>
          <w:color w:val="auto"/>
          <w:sz w:val="24"/>
          <w:highlight w:val="none"/>
        </w:rPr>
        <w:t xml:space="preserve">份，磋商响应报价表一份（单独密封），响应文件电子版（必须是响应文件加盖公章的扫描件光盘）1份，随正本一起密封。 </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9.5响应文件正本必须用计算机打印，响应文件的签名均必须用黑色墨水填写，并由响应人正式授权的代表在响应文件每一页签字并加盖响应单位公章，正本为鲜章，副本可以为正本</w:t>
      </w:r>
      <w:r>
        <w:rPr>
          <w:rFonts w:hint="eastAsia" w:ascii="仿宋" w:hAnsi="仿宋" w:eastAsia="仿宋" w:cs="仿宋"/>
          <w:color w:val="auto"/>
          <w:sz w:val="24"/>
          <w:highlight w:val="none"/>
          <w:lang w:val="en-US" w:eastAsia="zh-CN"/>
        </w:rPr>
        <w:t>复印件</w:t>
      </w:r>
      <w:r>
        <w:rPr>
          <w:rFonts w:hint="eastAsia" w:ascii="仿宋" w:hAnsi="仿宋" w:eastAsia="仿宋" w:cs="仿宋"/>
          <w:color w:val="auto"/>
          <w:sz w:val="24"/>
          <w:highlight w:val="none"/>
        </w:rPr>
        <w:t>。响应人授权代表须以书面形式出具“授权委托书”附在响应文件中。</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9.6响应文件的正本与副本应当完全一致。当正本和副本之间出现差异时，以正本为准。</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10、响应保证金</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10.1 响应保证金是为了保护采购人免遭因响应人的行为而蒙受损失。采购人在因响应人的行为受到损害时可根据本须知的规定没收响应人的响应保证金。</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10.2 响应保证金的币种为人民币，并采用电汇形式，如电汇产生的一切费用由响应人自行承担。(电汇须在递交响应保证金截止时间前确认到账)</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10.3 凡没有根据本须知的规定随附响应保证金凭据的响应，将被视为非响应性响应予以拒绝，其响应无效。</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10.4 未成交响应人的响应保证金, 我公司将在成交通知书发出后5个工作日内，予以退还，不计利息。</w:t>
      </w:r>
    </w:p>
    <w:p>
      <w:pPr>
        <w:shd w:val="clear"/>
        <w:adjustRightInd w:val="0"/>
        <w:snapToGrid w:val="0"/>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10.5成交人的响应保证金，在成交人与采购人签订合同后</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个工作日内予以退还，不计利息</w:t>
      </w:r>
      <w:r>
        <w:rPr>
          <w:rFonts w:hint="eastAsia" w:ascii="仿宋" w:hAnsi="仿宋" w:eastAsia="仿宋" w:cs="仿宋"/>
          <w:b/>
          <w:color w:val="auto"/>
          <w:sz w:val="24"/>
          <w:highlight w:val="none"/>
        </w:rPr>
        <w:t>。</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10.6下列任何情况发生时，响应保证金将被没收。</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响应人在响应截止期后，磋商有效期内撤回响应；</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成交方未按响应人须知规定缴纳采购代理费；</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  以他人名义响应或者以其他方式弄虚作假，骗取成交；</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  打架斗殴，扰乱磋商标场秩序；</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  本竞争性磋商文件中或其他现行法律法规规定的其他不予退还响应保证金的情形。</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上述不予退还响应保证金的情况并给代理机构造成损失的，还要承担赔偿责任。</w:t>
      </w:r>
    </w:p>
    <w:p>
      <w:pPr>
        <w:pStyle w:val="4"/>
        <w:shd w:val="clear"/>
        <w:adjustRightInd w:val="0"/>
        <w:snapToGrid w:val="0"/>
        <w:spacing w:before="0" w:after="0" w:line="360" w:lineRule="auto"/>
        <w:jc w:val="center"/>
        <w:rPr>
          <w:rFonts w:ascii="仿宋" w:hAnsi="仿宋" w:eastAsia="仿宋" w:cs="仿宋"/>
          <w:color w:val="auto"/>
          <w:highlight w:val="none"/>
        </w:rPr>
      </w:pPr>
      <w:bookmarkStart w:id="25" w:name="_Toc14992"/>
      <w:r>
        <w:rPr>
          <w:rFonts w:hint="eastAsia" w:ascii="仿宋" w:hAnsi="仿宋" w:eastAsia="仿宋" w:cs="仿宋"/>
          <w:color w:val="auto"/>
          <w:highlight w:val="none"/>
        </w:rPr>
        <w:t>第三章  响应文件的递交</w:t>
      </w:r>
      <w:bookmarkEnd w:id="25"/>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 响应文件的密封和标记</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 为方便开标唱标，响应人应将开标一览表单独密封一份，并在信封上标明“开标一览表”字样。</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 响应人应将响应文件的“正本”单独密封一份，所有“副本”密封装在一起，且标明 “正本”“副本”字样。响应文件电子版（必须是响应文件加盖公章的扫描件光盘）1份，随正本一起密封。</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1.3所有密封文件均应：</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清楚标明递交至“响应人须知附表”中指明的地址。</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注明“响应人须知附表”中指明的项目名称、项目编号和“在**年**月**日**时之前不得启封”的字样。响应人名称和地址。加盖响应人公章。</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2、磋商截止时间</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2.1响应文件的递交不得迟于响应须知前附表的规定。响应文件以密封形式递交至磋商文件指定开标地点。</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2.2所有响应文件都必须在采购人规定的磋商截止时间之前送达磋商文件指定的地点，在此之后送达的响应文件，为无效响应，响应文件将一律被拒绝。</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2.3出现因磋商文件的修改而推迟开标截止时间的情况时，响应人则须按采购人的书面修改通知重新规定的响应时间递交。</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3、响应文件的修改和撤销</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3.1响应人在递交响应文件后，可在规定的磋商截止时间之前，对其响应文件以书面通知的形式进行修改或撤销。该通知须有响应代理人的签字，并得到采购人的确认。</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响应人对响应文件修改的书面材料或撤销通知应按磋商文件要求进行密封、标注和递交，并注明“修改响应文件”或“撤销响应”字样，修改或撤销的内容须按磋商文件的要求签署、盖章，并作为响应文件和组成部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3.3对响应文件修改的书面材料应于响应截止日前送达采购人，磋商截止时间以后不得修改响应文件。</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14.4响应人不得在开标后至响应有期满前撤销响应文件，否则采购人将没收其响应保证金。</w:t>
      </w:r>
    </w:p>
    <w:p>
      <w:pPr>
        <w:pStyle w:val="4"/>
        <w:shd w:val="clear"/>
        <w:adjustRightInd w:val="0"/>
        <w:snapToGrid w:val="0"/>
        <w:spacing w:before="0" w:after="0" w:line="360" w:lineRule="auto"/>
        <w:jc w:val="center"/>
        <w:rPr>
          <w:rFonts w:ascii="仿宋" w:hAnsi="仿宋" w:eastAsia="仿宋" w:cs="仿宋"/>
          <w:color w:val="auto"/>
          <w:highlight w:val="none"/>
        </w:rPr>
      </w:pPr>
      <w:bookmarkStart w:id="26" w:name="_Toc27823"/>
      <w:r>
        <w:rPr>
          <w:rFonts w:hint="eastAsia" w:ascii="仿宋" w:hAnsi="仿宋" w:eastAsia="仿宋" w:cs="仿宋"/>
          <w:color w:val="auto"/>
          <w:highlight w:val="none"/>
        </w:rPr>
        <w:t>第四章、开标、磋商</w:t>
      </w:r>
      <w:bookmarkEnd w:id="26"/>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1、开标</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1.1本次磋商按磋商文件中规定的时间和地点进行磋商，允许响应人的法定代表人或其授权人参加磋商会议。</w:t>
      </w:r>
    </w:p>
    <w:p>
      <w:pPr>
        <w:shd w:val="clear"/>
        <w:adjustRightInd w:val="0"/>
        <w:snapToGrid w:val="0"/>
        <w:spacing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1.1.1响应人未按本文件中要求进行标记、装订和密封的，其响应将会被拒绝。</w:t>
      </w:r>
    </w:p>
    <w:p>
      <w:pPr>
        <w:shd w:val="clear"/>
        <w:adjustRightInd w:val="0"/>
        <w:snapToGrid w:val="0"/>
        <w:spacing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1.1.2响应人的法定代表人或委托代理人未参加磋商会议的，其响应将会被拒绝。</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1.2磋商时将检查所有响应文件的密封情况，并在确认无误后拆封响应文件进行唱标。如响应文件中开标一览表内容与响应文件中明细表内容不一致的，以单独提交的开标一览表为准。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1.3开标和唱标的顺序，按照递交响应文件的</w:t>
      </w:r>
      <w:r>
        <w:rPr>
          <w:rFonts w:hint="eastAsia" w:ascii="仿宋" w:hAnsi="仿宋" w:eastAsia="仿宋" w:cs="仿宋"/>
          <w:color w:val="auto"/>
          <w:sz w:val="24"/>
          <w:highlight w:val="none"/>
          <w:lang w:val="en-US" w:eastAsia="zh-CN"/>
        </w:rPr>
        <w:t>逆</w:t>
      </w:r>
      <w:r>
        <w:rPr>
          <w:rFonts w:hint="eastAsia" w:ascii="仿宋" w:hAnsi="仿宋" w:eastAsia="仿宋" w:cs="仿宋"/>
          <w:color w:val="auto"/>
          <w:sz w:val="24"/>
          <w:highlight w:val="none"/>
        </w:rPr>
        <w:t>顺序依次进行。</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1.4磋商时间截止后，提交响应文件的响应人不足三家时，按照采购的相关法规处理。</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2、磋商依据</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2.1评审的依据为磋商文件（包括采购人的磋商文件和响应人的响应文件）。</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磋商文件的因素主要包括下列内容</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（1）对响应人的响应文件的审查和响应性的确定；</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（2）对响应人的响应文件中财务、技术服务和服务能力的确定；</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（3）对服务质量的评估确定；</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（4）对响应人报价一览表的确定；</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（5）对响应人服务机构设置和能力的确定；</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（6）对响应人递交文件商务偏差的调整确定；</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（7）对响应人的技术、商务澄清内容答复的确定；</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3、磋商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3.1磋商小组</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3.1.1采购人将根据《中华人民共和国</w:t>
      </w:r>
      <w:r>
        <w:rPr>
          <w:rFonts w:hint="eastAsia" w:ascii="仿宋" w:hAnsi="仿宋" w:eastAsia="仿宋" w:cs="仿宋"/>
          <w:color w:val="auto"/>
          <w:sz w:val="24"/>
          <w:highlight w:val="none"/>
          <w:lang w:val="en-US" w:eastAsia="zh-CN"/>
        </w:rPr>
        <w:t>招标投标法</w:t>
      </w:r>
      <w:r>
        <w:rPr>
          <w:rFonts w:hint="eastAsia" w:ascii="仿宋" w:hAnsi="仿宋" w:eastAsia="仿宋" w:cs="仿宋"/>
          <w:color w:val="auto"/>
          <w:sz w:val="24"/>
          <w:highlight w:val="none"/>
        </w:rPr>
        <w:t>》和《中华人民共和国政府采购法》及相关法律的规定，依法组建本次采购的磋商小组，负责本次磋商的磋商活动。</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3.1.2磋商小组人选开标前确定。磋商小组成员名单在成交结果确定前保密。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3.1.3磋商小组有关技术、经济等方面的专家和采购人熟悉相关业务的代表人员组成，成员为三人及以上的单数，其中技术、经济等方面的成员人数不少于成员总数的三分之二。</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3.1.4磋商小组由受聘的技术和经济专家3名组成，经济、技术专家在专家库中随机抽取，且采用回避制度。</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3.1.5按前款规定，磋商小组的成员，由</w:t>
      </w:r>
      <w:r>
        <w:rPr>
          <w:rFonts w:hint="eastAsia" w:ascii="仿宋" w:hAnsi="仿宋" w:eastAsia="仿宋" w:cs="仿宋"/>
          <w:color w:val="auto"/>
          <w:sz w:val="24"/>
          <w:highlight w:val="none"/>
          <w:lang w:eastAsia="zh-CN"/>
        </w:rPr>
        <w:t>新疆邦利工程项目管理咨询有限公司</w:t>
      </w:r>
      <w:r>
        <w:rPr>
          <w:rFonts w:hint="eastAsia" w:ascii="仿宋" w:hAnsi="仿宋" w:eastAsia="仿宋" w:cs="仿宋"/>
          <w:color w:val="auto"/>
          <w:sz w:val="24"/>
          <w:highlight w:val="none"/>
        </w:rPr>
        <w:t>在相关部门的监督下从专家库中采取随机抽取的方式确定。</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3.1.6磋商小组成员遵循法定的回避规定。</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4、磋 商 标 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4.1.评审的准备与初步评审</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4.1.1评审小组成员认真研究磋商文件，至少应了解和熟悉以下内容：</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4.1.2评审的目标；</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4.1.3项目的范围和性质；</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4.1.3.1磋商文件中规定的主要服务要求、服务标准和商务条款；</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4.1.3.2磋商文件规定的磋商标准、磋商方法和在磋商过程中考虑的相关因素。</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4.1.3.3采购人或者其委托的采购代理机构应当向评委提供磋商所需的重要信息和数据。</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4.1.3.4评委应当根据磋商文件规定的磋商标准和方法，对响应文件进行系统地评审和比较。</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4.1.3.5磋商文件中没有规定的标准和方法不得作为磋商标的依据。</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4.1.3.6 评委可以书面方式要求响应人对响应文件中含义不明确、对同类问题表述不一致或者有明显文字和计算错误的内容作必要的澄清、说明或者补正。澄清、说明或者补正应以书面方式进行并不得超出响应文件的范围或者改变响应文件的实质性内容。 </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4.1.3.7在评审过程中，磋商小组发现响应人以他人的的名义响应、串通响应、以行贿手段谋取成交或者以其他弄虚作假方式响应的，该响应人的响应应作废标处理。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4.1.3.8在磋商过程中，评委发现响应人的报价明显低于其他报价一览表或者在设有标底时明显低于标底，使得其报价一览表可能低于其个别成本，由磋商小组认定该响应人以低于成本报价竞标的，其响应应作废标处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4.1.3.9响应人资格条件不符合国家有关规定和磋商文件要求的，或者拒不按照要求对响应文件进行澄清、说明或者补正的，磋商小组可以否决其响应。</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4.1.3.10评委应当审查每一响应文件是否对磋商文件提出的所有实质性要求和条件作出响应。未能在实质上响应的响应，应作废标处理。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4.1.3.11响应人不得误导、干扰采购人的磋商活动，否则将废除其响应。</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
          <w:color w:val="auto"/>
          <w:sz w:val="24"/>
          <w:highlight w:val="none"/>
        </w:rPr>
        <w:t>.磋商程序：</w:t>
      </w:r>
    </w:p>
    <w:p>
      <w:pPr>
        <w:shd w:val="clear"/>
        <w:autoSpaceDE w:val="0"/>
        <w:autoSpaceDN w:val="0"/>
        <w:adjustRightInd w:val="0"/>
        <w:snapToGrid w:val="0"/>
        <w:spacing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5.1按照递交响应文件先后顺序，磋商小组所有成员集体与符合性审查合格的响应人分别进行磋商；</w:t>
      </w:r>
    </w:p>
    <w:p>
      <w:pPr>
        <w:shd w:val="clear"/>
        <w:autoSpaceDE w:val="0"/>
        <w:autoSpaceDN w:val="0"/>
        <w:adjustRightInd w:val="0"/>
        <w:snapToGrid w:val="0"/>
        <w:spacing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5.2磋商小组制定一个符合采购人要求的最优方案，或直接根据响应文件与响应人磋商。竞争性磋商文件如有实质性变动的，磋商小组将以书面形式通知所有参加磋商的响应人；</w:t>
      </w:r>
    </w:p>
    <w:p>
      <w:pPr>
        <w:shd w:val="clear"/>
        <w:autoSpaceDE w:val="0"/>
        <w:autoSpaceDN w:val="0"/>
        <w:adjustRightInd w:val="0"/>
        <w:snapToGrid w:val="0"/>
        <w:spacing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5.3首轮</w:t>
      </w:r>
      <w:r>
        <w:rPr>
          <w:rFonts w:hint="eastAsia" w:ascii="仿宋" w:hAnsi="仿宋" w:eastAsia="仿宋" w:cs="仿宋"/>
          <w:color w:val="auto"/>
          <w:kern w:val="0"/>
          <w:sz w:val="24"/>
          <w:highlight w:val="none"/>
        </w:rPr>
        <w:t>磋商结束后，磋商小组应当要求所有参加磋商的响应人在规定时间内进行</w:t>
      </w: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rPr>
        <w:t>次报价。</w:t>
      </w:r>
      <w:r>
        <w:rPr>
          <w:rFonts w:hint="eastAsia" w:ascii="仿宋" w:hAnsi="仿宋" w:eastAsia="仿宋" w:cs="仿宋"/>
          <w:color w:val="auto"/>
          <w:sz w:val="24"/>
          <w:highlight w:val="none"/>
          <w:lang w:val="zh-CN"/>
        </w:rPr>
        <w:t xml:space="preserve">参加磋商的响应人应当对磋商的承诺和最后报价以书面形式确认，并由法定代表人或其授权人签署或盖章； </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5.4对报价一览表是否均超过采购预算的审查和确认：根据《中华人民共和国政府采购法》的规定，所有响应人的报价均超过采购预算，采购人不能支付时，应予废标。出现此种情况时，磋商小组有权决定拒绝所有响应文件。</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5.5</w:t>
      </w:r>
      <w:r>
        <w:rPr>
          <w:rFonts w:hint="eastAsia" w:ascii="仿宋" w:hAnsi="仿宋" w:eastAsia="仿宋" w:cs="仿宋"/>
          <w:b/>
          <w:color w:val="auto"/>
          <w:sz w:val="24"/>
          <w:highlight w:val="none"/>
        </w:rPr>
        <w:t>磋商小组对响应文件进行符合性审查时，对属于下列情况之一的响应文件，将作无效报价处理：</w:t>
      </w:r>
    </w:p>
    <w:p>
      <w:pPr>
        <w:widowControl/>
        <w:shd w:val="clear" w:color="auto"/>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(1)没有按照磋商文件要求提供保证金； </w:t>
      </w:r>
    </w:p>
    <w:p>
      <w:pPr>
        <w:widowControl/>
        <w:shd w:val="clear" w:color="auto"/>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(2)响应文件没有响应人授权代表签字和加盖公章； </w:t>
      </w:r>
    </w:p>
    <w:p>
      <w:pPr>
        <w:widowControl/>
        <w:shd w:val="clear" w:color="auto"/>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(3)响应文件载明的服务期限未达到磋商文件规定的期限；  </w:t>
      </w:r>
    </w:p>
    <w:p>
      <w:pPr>
        <w:widowControl/>
        <w:shd w:val="clear" w:color="auto"/>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(4)响应文件载明的服务要求、服务标准和方法等不符合磋商文件的要求； </w:t>
      </w:r>
    </w:p>
    <w:p>
      <w:pPr>
        <w:widowControl/>
        <w:shd w:val="clear" w:color="auto"/>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(5)响应文件附有采购人不能接受的条件； </w:t>
      </w:r>
    </w:p>
    <w:p>
      <w:pPr>
        <w:widowControl/>
        <w:shd w:val="clear" w:color="auto"/>
        <w:adjustRightInd w:val="0"/>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(6)不符合</w:t>
      </w:r>
      <w:r>
        <w:rPr>
          <w:rFonts w:hint="eastAsia" w:ascii="仿宋" w:hAnsi="仿宋" w:eastAsia="仿宋" w:cs="仿宋"/>
          <w:color w:val="auto"/>
          <w:sz w:val="24"/>
          <w:highlight w:val="none"/>
        </w:rPr>
        <w:t>磋商文件</w:t>
      </w:r>
      <w:r>
        <w:rPr>
          <w:rFonts w:hint="eastAsia" w:ascii="仿宋" w:hAnsi="仿宋" w:eastAsia="仿宋" w:cs="仿宋"/>
          <w:color w:val="auto"/>
          <w:kern w:val="0"/>
          <w:sz w:val="24"/>
          <w:highlight w:val="none"/>
        </w:rPr>
        <w:t xml:space="preserve">中规定的其他实质性要求。 </w:t>
      </w:r>
    </w:p>
    <w:p>
      <w:pPr>
        <w:shd w:val="clear"/>
        <w:adjustRightInd w:val="0"/>
        <w:snapToGrid w:val="0"/>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5.6对报价一览表的审查：</w:t>
      </w:r>
      <w:r>
        <w:rPr>
          <w:rFonts w:hint="eastAsia" w:ascii="仿宋" w:hAnsi="仿宋" w:eastAsia="仿宋" w:cs="仿宋"/>
          <w:color w:val="auto"/>
          <w:sz w:val="24"/>
          <w:highlight w:val="none"/>
        </w:rPr>
        <w:t>磋商小组将对确定为实质上响应竞争性磋商文件要求的响应文件的价格进行审核，看其是否有计算和累加上的错误。</w:t>
      </w:r>
    </w:p>
    <w:p>
      <w:pPr>
        <w:shd w:val="clear"/>
        <w:adjustRightInd w:val="0"/>
        <w:snapToGrid w:val="0"/>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5.7澄清：</w:t>
      </w:r>
      <w:r>
        <w:rPr>
          <w:rFonts w:hint="eastAsia" w:ascii="仿宋" w:hAnsi="仿宋" w:eastAsia="仿宋" w:cs="仿宋"/>
          <w:color w:val="auto"/>
          <w:sz w:val="24"/>
          <w:highlight w:val="none"/>
        </w:rPr>
        <w:t>磋商小组对于响应文件中个别地方含义不明确、同类问题表述不一致或者有明显文字和计算错误的内容，可以书面形式（由磋商小组专家签字）要求响应人在规定的时间内（评审结束前）作出必要的澄清、说明或者补正。响应人的澄清、说明或者补正应当采用书面形式，由其法定代表人或授权代理人签字，并不得超出响应文件的范围或者改变响应文件的实质性内容。响应人拒不进行澄清、说明、补正的，或者不能在规定时间内做出书面澄清、说明、补正的，磋商小组将取消其继续参加磋商的资格。</w:t>
      </w:r>
    </w:p>
    <w:p>
      <w:pPr>
        <w:shd w:val="clear"/>
        <w:adjustRightInd w:val="0"/>
        <w:snapToGrid w:val="0"/>
        <w:spacing w:line="360" w:lineRule="auto"/>
        <w:ind w:firstLine="482" w:firstLineChars="200"/>
        <w:rPr>
          <w:rFonts w:ascii="仿宋" w:hAnsi="仿宋" w:eastAsia="仿宋" w:cs="仿宋"/>
          <w:b/>
          <w:color w:val="auto"/>
          <w:sz w:val="24"/>
          <w:highlight w:val="none"/>
        </w:rPr>
      </w:pPr>
      <w:bookmarkStart w:id="27" w:name="_Toc88382160"/>
      <w:bookmarkStart w:id="28" w:name="_Toc98943108"/>
      <w:bookmarkStart w:id="29" w:name="_Toc73332652"/>
      <w:bookmarkStart w:id="30" w:name="_Toc93747399"/>
      <w:bookmarkStart w:id="31" w:name="_Toc121212625"/>
      <w:bookmarkStart w:id="32" w:name="_Toc106522500"/>
      <w:r>
        <w:rPr>
          <w:rFonts w:hint="eastAsia" w:ascii="仿宋" w:hAnsi="仿宋" w:eastAsia="仿宋" w:cs="仿宋"/>
          <w:b/>
          <w:color w:val="auto"/>
          <w:sz w:val="24"/>
          <w:highlight w:val="none"/>
        </w:rPr>
        <w:t xml:space="preserve">6. </w:t>
      </w:r>
      <w:bookmarkEnd w:id="27"/>
      <w:bookmarkEnd w:id="28"/>
      <w:bookmarkEnd w:id="29"/>
      <w:bookmarkEnd w:id="30"/>
      <w:bookmarkEnd w:id="31"/>
      <w:bookmarkEnd w:id="32"/>
      <w:r>
        <w:rPr>
          <w:rFonts w:hint="eastAsia" w:ascii="仿宋" w:hAnsi="仿宋" w:eastAsia="仿宋" w:cs="仿宋"/>
          <w:b/>
          <w:color w:val="auto"/>
          <w:sz w:val="24"/>
          <w:highlight w:val="none"/>
        </w:rPr>
        <w:t>初步评审</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6.1发生下列情况之一的响应文件被视为无效：</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无单位盖章并无法定代表人或法定代表人授权的代理人签字或盖章的；</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无法定代表人出具的授权委托书的；</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 未按规定的格式填写，内容不全或关键字迹模糊、无法辨认的；</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 响应人名称或组织结构与购买磋商文件时不一致且未提供有效证明的；</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 磋商有效期不满足磋商文件要求的；</w:t>
      </w:r>
    </w:p>
    <w:p>
      <w:pPr>
        <w:shd w:val="clea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（6）法定代表人为同一个人的两个及两个以上法人(或负责人)，母公司、全资子公司及其控股公司，在同一项目采购中同时响应；</w:t>
      </w:r>
    </w:p>
    <w:p>
      <w:pPr>
        <w:shd w:val="clea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（7）对磋商文件主要条款和承诺存在重大出入或保留；</w:t>
      </w:r>
    </w:p>
    <w:p>
      <w:pPr>
        <w:shd w:val="clea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(8) 响应人违反以下采购响应纪律的将作废标处理：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a、响应人采取相互串标，排挤其他响应人的不公平竞争，损害采购人或其他响应人的合法权益的；</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b、响应人以行贿手段谋取成交或者以其他弄虚作假方式响应，违反采购纪律的；</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c、扰乱会场秩序经劝阻无效的。</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6.2提交响应文件的响应人不足三家时，按照相关法规处理。</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6.3 对响应文件的审查和响应性的确定</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6.3.1开标后，采购人将组织对响应文件进行审查，检查响应文件是否完整，是否出现任何计算性错误，是否满足磋商文件的格式要求。</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6.3.2采购人将确定每一响应人是否对响应文件的要求作出了实质性的响应，而没有重大偏离。实质性响应的响应是指符合磋商文件的所有条款、条件和规定且没有重大偏离和保留。重大偏离或保留系指影响到磋商文件规定的服务范围，或限制了采购方的权力和响应人的义务的规定，而纠正这些偏离将影响到其他提交实质性响应响应的响应人的公平竞争地位。</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6.3.3采购人判断响应文件的响应性仅基于响应文件本身而不靠外部证据。</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6.3.4采购人将拒绝被确定为非实质性响应的响应，响应人不能通过修正或撤销不符合之处而使其响应成为实质性响应的响应。</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6.4  响应文件的澄清</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6.4.1 为了有助于对响应文件进行审查、评议和比较，采购人有权向响应人质疑，要求响应人澄清其响应内容。响应人有责任按照采购人的时间、地点指派专人进行答疑和澄清。</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6.4.2 所有澄清的答复必须是书面形式。</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6.4.3 响应人的澄清不得对响应内容进行实质性修改。</w:t>
      </w:r>
    </w:p>
    <w:p>
      <w:pPr>
        <w:shd w:val="clear"/>
        <w:adjustRightInd w:val="0"/>
        <w:snapToGrid w:val="0"/>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b/>
          <w:color w:val="auto"/>
          <w:sz w:val="24"/>
          <w:highlight w:val="none"/>
        </w:rPr>
        <w:t>.5竞争性磋商的报价方式</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6.5.1 报价。</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响应人提交的响应文件中的报价，在开标现场以公开的方式当场公布。该报价只允许有一个报价，任何有选择性的报价将不予接受。</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磋商小组所有成员与响应人分别进行单独磋商。在磋商中，磋商的任何一方不得透露与磋商有关的其他响应人的技术服务资料、价格和其他信息。竞争性磋商文件有实质性变动的，磋商小组应以书面形式通知所有参加磋商的响应人。</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6.5.2  响应人可根据磋商情况，在规定时间内进行最后报价，该报价为磋商的最终报价。响应人认为没有必要进行报价时，也可以维持原价。</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6.5.3　采购人按照签到逆顺序通知有效响应人磋商。参与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次报价及服务承诺的人员须是响应人法定代表人或其授权代表（核对身份证）。响应人在进行报价时，报价应用大写和小写同时书写，大小写不一致时，以大写为准，同时报价上还应写明响应人名称并签字或盖章后，报价不进行公开唱标。</w:t>
      </w:r>
    </w:p>
    <w:p>
      <w:pPr>
        <w:shd w:val="clear"/>
        <w:adjustRightInd w:val="0"/>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7.详细评审：</w:t>
      </w:r>
      <w:r>
        <w:rPr>
          <w:rFonts w:hint="eastAsia" w:ascii="仿宋" w:hAnsi="仿宋" w:eastAsia="仿宋" w:cs="仿宋"/>
          <w:b/>
          <w:color w:val="auto"/>
          <w:kern w:val="0"/>
          <w:sz w:val="24"/>
          <w:highlight w:val="none"/>
        </w:rPr>
        <w:t>(如磋商小组对评审内容有异议，以少数服从多数为原则)</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7.1由磋商小组成员对参加竞争性磋商企业的响应文件进行响应程度初步审查，审查内容见下表：</w:t>
      </w:r>
    </w:p>
    <w:p>
      <w:pPr>
        <w:shd w:val="clear"/>
        <w:spacing w:line="360" w:lineRule="auto"/>
        <w:ind w:firstLine="474" w:firstLineChars="200"/>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响应文件响应程度初步审查表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1"/>
        <w:gridCol w:w="6197"/>
        <w:gridCol w:w="591"/>
        <w:gridCol w:w="607"/>
        <w:gridCol w:w="573"/>
        <w:gridCol w:w="5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668" w:type="dxa"/>
            <w:gridSpan w:val="2"/>
            <w:vMerge w:val="restart"/>
            <w:tcBorders>
              <w:top w:val="single" w:color="auto" w:sz="12" w:space="0"/>
              <w:left w:val="single" w:color="auto" w:sz="12" w:space="0"/>
              <w:bottom w:val="single" w:color="auto" w:sz="6" w:space="0"/>
              <w:right w:val="single" w:color="auto" w:sz="4" w:space="0"/>
            </w:tcBorders>
            <w:vAlign w:val="center"/>
          </w:tcPr>
          <w:p>
            <w:pPr>
              <w:shd w:val="clea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2335" w:type="dxa"/>
            <w:gridSpan w:val="4"/>
            <w:tcBorders>
              <w:top w:val="single" w:color="auto" w:sz="12" w:space="0"/>
              <w:left w:val="single" w:color="auto" w:sz="4" w:space="0"/>
              <w:bottom w:val="single" w:color="auto" w:sz="4" w:space="0"/>
              <w:right w:val="single" w:color="auto" w:sz="12" w:space="0"/>
            </w:tcBorders>
            <w:vAlign w:val="center"/>
          </w:tcPr>
          <w:p>
            <w:pPr>
              <w:shd w:val="clea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响应企业名称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668"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hd w:val="clear"/>
              <w:spacing w:line="360" w:lineRule="auto"/>
              <w:jc w:val="left"/>
              <w:rPr>
                <w:rFonts w:ascii="仿宋" w:hAnsi="仿宋" w:eastAsia="仿宋" w:cs="仿宋"/>
                <w:b/>
                <w:color w:val="auto"/>
                <w:sz w:val="24"/>
                <w:highlight w:val="none"/>
              </w:rPr>
            </w:pPr>
          </w:p>
        </w:tc>
        <w:tc>
          <w:tcPr>
            <w:tcW w:w="591" w:type="dxa"/>
            <w:tcBorders>
              <w:top w:val="single" w:color="auto" w:sz="4" w:space="0"/>
              <w:left w:val="single" w:color="auto" w:sz="4" w:space="0"/>
              <w:bottom w:val="single" w:color="auto" w:sz="6" w:space="0"/>
              <w:right w:val="single" w:color="auto" w:sz="4" w:space="0"/>
            </w:tcBorders>
          </w:tcPr>
          <w:p>
            <w:pPr>
              <w:shd w:val="clea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607" w:type="dxa"/>
            <w:tcBorders>
              <w:top w:val="single" w:color="auto" w:sz="4" w:space="0"/>
              <w:left w:val="single" w:color="auto" w:sz="4" w:space="0"/>
              <w:bottom w:val="single" w:color="auto" w:sz="6" w:space="0"/>
              <w:right w:val="single" w:color="auto" w:sz="6" w:space="0"/>
            </w:tcBorders>
          </w:tcPr>
          <w:p>
            <w:pPr>
              <w:shd w:val="clea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5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564" w:type="dxa"/>
            <w:tcBorders>
              <w:top w:val="single" w:color="auto" w:sz="6" w:space="0"/>
              <w:left w:val="single" w:color="auto" w:sz="6" w:space="0"/>
              <w:bottom w:val="single" w:color="auto" w:sz="6" w:space="0"/>
              <w:right w:val="single" w:color="auto" w:sz="12" w:space="0"/>
            </w:tcBorders>
            <w:vAlign w:val="center"/>
          </w:tcPr>
          <w:p>
            <w:pPr>
              <w:shd w:val="clea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71" w:type="dxa"/>
            <w:tcBorders>
              <w:top w:val="single" w:color="auto" w:sz="6" w:space="0"/>
              <w:left w:val="single" w:color="auto" w:sz="12" w:space="0"/>
              <w:bottom w:val="single" w:color="auto" w:sz="6" w:space="0"/>
              <w:right w:val="single" w:color="auto" w:sz="6" w:space="0"/>
            </w:tcBorders>
            <w:vAlign w:val="center"/>
          </w:tcPr>
          <w:p>
            <w:pPr>
              <w:shd w:val="clea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6197" w:type="dxa"/>
            <w:tcBorders>
              <w:top w:val="single" w:color="auto" w:sz="6" w:space="0"/>
              <w:left w:val="single" w:color="auto" w:sz="6" w:space="0"/>
              <w:bottom w:val="single" w:color="auto" w:sz="6" w:space="0"/>
              <w:right w:val="single" w:color="auto" w:sz="4" w:space="0"/>
            </w:tcBorders>
            <w:vAlign w:val="bottom"/>
          </w:tcPr>
          <w:p>
            <w:pPr>
              <w:shd w:val="clea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承诺函必须按磋商文件规定格式完整提供，并要有单位盖章及法定代表人(或负责人)或法定代表人(或负责人)授权的代理人签字或盖章；</w:t>
            </w:r>
          </w:p>
        </w:tc>
        <w:tc>
          <w:tcPr>
            <w:tcW w:w="59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rPr>
                <w:rFonts w:ascii="仿宋" w:hAnsi="仿宋" w:eastAsia="仿宋" w:cs="仿宋"/>
                <w:color w:val="auto"/>
                <w:kern w:val="0"/>
                <w:sz w:val="24"/>
                <w:highlight w:val="none"/>
              </w:rPr>
            </w:pPr>
          </w:p>
        </w:tc>
        <w:tc>
          <w:tcPr>
            <w:tcW w:w="607"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rFonts w:ascii="仿宋" w:hAnsi="仿宋" w:eastAsia="仿宋" w:cs="仿宋"/>
                <w:color w:val="auto"/>
                <w:kern w:val="0"/>
                <w:sz w:val="24"/>
                <w:highlight w:val="none"/>
              </w:rPr>
            </w:pPr>
          </w:p>
        </w:tc>
        <w:tc>
          <w:tcPr>
            <w:tcW w:w="573" w:type="dxa"/>
            <w:tcBorders>
              <w:top w:val="single" w:color="auto" w:sz="6" w:space="0"/>
              <w:left w:val="single" w:color="auto" w:sz="6" w:space="0"/>
              <w:bottom w:val="single" w:color="auto" w:sz="6" w:space="0"/>
              <w:right w:val="single" w:color="auto" w:sz="4" w:space="0"/>
            </w:tcBorders>
          </w:tcPr>
          <w:p>
            <w:pPr>
              <w:shd w:val="clear"/>
              <w:spacing w:line="360" w:lineRule="auto"/>
              <w:rPr>
                <w:rFonts w:ascii="仿宋" w:hAnsi="仿宋" w:eastAsia="仿宋" w:cs="仿宋"/>
                <w:color w:val="auto"/>
                <w:kern w:val="0"/>
                <w:sz w:val="24"/>
                <w:highlight w:val="none"/>
              </w:rPr>
            </w:pPr>
          </w:p>
        </w:tc>
        <w:tc>
          <w:tcPr>
            <w:tcW w:w="564" w:type="dxa"/>
            <w:tcBorders>
              <w:top w:val="single" w:color="auto" w:sz="6" w:space="0"/>
              <w:left w:val="single" w:color="auto" w:sz="4" w:space="0"/>
              <w:bottom w:val="single" w:color="auto" w:sz="6" w:space="0"/>
              <w:right w:val="single" w:color="auto" w:sz="12" w:space="0"/>
            </w:tcBorders>
          </w:tcPr>
          <w:p>
            <w:pPr>
              <w:shd w:val="clear"/>
              <w:spacing w:line="360" w:lineRule="auto"/>
              <w:rPr>
                <w:rFonts w:ascii="仿宋" w:hAnsi="仿宋" w:eastAsia="仿宋" w:cs="仿宋"/>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71" w:type="dxa"/>
            <w:tcBorders>
              <w:top w:val="single" w:color="auto" w:sz="6" w:space="0"/>
              <w:left w:val="single" w:color="auto" w:sz="12" w:space="0"/>
              <w:bottom w:val="single" w:color="auto" w:sz="6" w:space="0"/>
              <w:right w:val="single" w:color="auto" w:sz="6" w:space="0"/>
            </w:tcBorders>
            <w:vAlign w:val="center"/>
          </w:tcPr>
          <w:p>
            <w:pPr>
              <w:shd w:val="clea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6197" w:type="dxa"/>
            <w:tcBorders>
              <w:top w:val="single" w:color="auto" w:sz="6" w:space="0"/>
              <w:left w:val="single" w:color="auto" w:sz="6" w:space="0"/>
              <w:bottom w:val="single" w:color="auto" w:sz="6" w:space="0"/>
              <w:right w:val="single" w:color="auto" w:sz="4" w:space="0"/>
            </w:tcBorders>
            <w:vAlign w:val="bottom"/>
          </w:tcPr>
          <w:p>
            <w:pPr>
              <w:shd w:val="clea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法人(或负责人)授权委托书必须按磋商文件规定格式完整提供，并要有单位盖章、法定代表人签字或盖章；</w:t>
            </w:r>
          </w:p>
        </w:tc>
        <w:tc>
          <w:tcPr>
            <w:tcW w:w="59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rPr>
                <w:rFonts w:ascii="仿宋" w:hAnsi="仿宋" w:eastAsia="仿宋" w:cs="仿宋"/>
                <w:color w:val="auto"/>
                <w:kern w:val="0"/>
                <w:sz w:val="24"/>
                <w:highlight w:val="none"/>
              </w:rPr>
            </w:pPr>
          </w:p>
        </w:tc>
        <w:tc>
          <w:tcPr>
            <w:tcW w:w="607"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rFonts w:ascii="仿宋" w:hAnsi="仿宋" w:eastAsia="仿宋" w:cs="仿宋"/>
                <w:color w:val="auto"/>
                <w:kern w:val="0"/>
                <w:sz w:val="24"/>
                <w:highlight w:val="none"/>
              </w:rPr>
            </w:pPr>
          </w:p>
        </w:tc>
        <w:tc>
          <w:tcPr>
            <w:tcW w:w="573" w:type="dxa"/>
            <w:tcBorders>
              <w:top w:val="single" w:color="auto" w:sz="6" w:space="0"/>
              <w:left w:val="single" w:color="auto" w:sz="6" w:space="0"/>
              <w:bottom w:val="single" w:color="auto" w:sz="6" w:space="0"/>
              <w:right w:val="single" w:color="auto" w:sz="4" w:space="0"/>
            </w:tcBorders>
          </w:tcPr>
          <w:p>
            <w:pPr>
              <w:shd w:val="clear"/>
              <w:spacing w:line="360" w:lineRule="auto"/>
              <w:rPr>
                <w:rFonts w:ascii="仿宋" w:hAnsi="仿宋" w:eastAsia="仿宋" w:cs="仿宋"/>
                <w:color w:val="auto"/>
                <w:kern w:val="0"/>
                <w:sz w:val="24"/>
                <w:highlight w:val="none"/>
              </w:rPr>
            </w:pPr>
          </w:p>
        </w:tc>
        <w:tc>
          <w:tcPr>
            <w:tcW w:w="564" w:type="dxa"/>
            <w:tcBorders>
              <w:top w:val="single" w:color="auto" w:sz="6" w:space="0"/>
              <w:left w:val="single" w:color="auto" w:sz="4" w:space="0"/>
              <w:bottom w:val="single" w:color="auto" w:sz="6" w:space="0"/>
              <w:right w:val="single" w:color="auto" w:sz="12" w:space="0"/>
            </w:tcBorders>
          </w:tcPr>
          <w:p>
            <w:pPr>
              <w:shd w:val="clear"/>
              <w:spacing w:line="360" w:lineRule="auto"/>
              <w:rPr>
                <w:rFonts w:ascii="仿宋" w:hAnsi="仿宋" w:eastAsia="仿宋" w:cs="仿宋"/>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71" w:type="dxa"/>
            <w:tcBorders>
              <w:top w:val="single" w:color="auto" w:sz="6" w:space="0"/>
              <w:left w:val="single" w:color="auto" w:sz="12" w:space="0"/>
              <w:bottom w:val="single" w:color="auto" w:sz="6" w:space="0"/>
              <w:right w:val="single" w:color="auto" w:sz="6" w:space="0"/>
            </w:tcBorders>
            <w:vAlign w:val="center"/>
          </w:tcPr>
          <w:p>
            <w:pPr>
              <w:shd w:val="clea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6197" w:type="dxa"/>
            <w:tcBorders>
              <w:top w:val="single" w:color="auto" w:sz="6" w:space="0"/>
              <w:left w:val="single" w:color="auto" w:sz="6" w:space="0"/>
              <w:bottom w:val="single" w:color="auto" w:sz="6" w:space="0"/>
              <w:right w:val="single" w:color="auto" w:sz="4" w:space="0"/>
            </w:tcBorders>
            <w:vAlign w:val="bottom"/>
          </w:tcPr>
          <w:p>
            <w:pPr>
              <w:shd w:val="clea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法定代表人(或负责人)为同一个人的两个及两个以上法人(或负责人)，全资子公司及其控股公司，未在同一项目中同时响应；</w:t>
            </w:r>
          </w:p>
        </w:tc>
        <w:tc>
          <w:tcPr>
            <w:tcW w:w="59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rPr>
                <w:rFonts w:ascii="仿宋" w:hAnsi="仿宋" w:eastAsia="仿宋" w:cs="仿宋"/>
                <w:color w:val="auto"/>
                <w:kern w:val="0"/>
                <w:sz w:val="24"/>
                <w:highlight w:val="none"/>
              </w:rPr>
            </w:pPr>
          </w:p>
        </w:tc>
        <w:tc>
          <w:tcPr>
            <w:tcW w:w="607"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rFonts w:ascii="仿宋" w:hAnsi="仿宋" w:eastAsia="仿宋" w:cs="仿宋"/>
                <w:color w:val="auto"/>
                <w:kern w:val="0"/>
                <w:sz w:val="24"/>
                <w:highlight w:val="none"/>
              </w:rPr>
            </w:pPr>
          </w:p>
        </w:tc>
        <w:tc>
          <w:tcPr>
            <w:tcW w:w="573" w:type="dxa"/>
            <w:tcBorders>
              <w:top w:val="single" w:color="auto" w:sz="6" w:space="0"/>
              <w:left w:val="single" w:color="auto" w:sz="6" w:space="0"/>
              <w:bottom w:val="single" w:color="auto" w:sz="6" w:space="0"/>
              <w:right w:val="single" w:color="auto" w:sz="4" w:space="0"/>
            </w:tcBorders>
          </w:tcPr>
          <w:p>
            <w:pPr>
              <w:shd w:val="clear"/>
              <w:spacing w:line="360" w:lineRule="auto"/>
              <w:rPr>
                <w:rFonts w:ascii="仿宋" w:hAnsi="仿宋" w:eastAsia="仿宋" w:cs="仿宋"/>
                <w:color w:val="auto"/>
                <w:kern w:val="0"/>
                <w:sz w:val="24"/>
                <w:highlight w:val="none"/>
              </w:rPr>
            </w:pPr>
          </w:p>
        </w:tc>
        <w:tc>
          <w:tcPr>
            <w:tcW w:w="564" w:type="dxa"/>
            <w:tcBorders>
              <w:top w:val="single" w:color="auto" w:sz="6" w:space="0"/>
              <w:left w:val="single" w:color="auto" w:sz="4" w:space="0"/>
              <w:bottom w:val="single" w:color="auto" w:sz="6" w:space="0"/>
              <w:right w:val="single" w:color="auto" w:sz="12" w:space="0"/>
            </w:tcBorders>
          </w:tcPr>
          <w:p>
            <w:pPr>
              <w:shd w:val="clear"/>
              <w:spacing w:line="360" w:lineRule="auto"/>
              <w:rPr>
                <w:rFonts w:ascii="仿宋" w:hAnsi="仿宋" w:eastAsia="仿宋" w:cs="仿宋"/>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71" w:type="dxa"/>
            <w:tcBorders>
              <w:top w:val="single" w:color="auto" w:sz="6" w:space="0"/>
              <w:left w:val="single" w:color="auto" w:sz="12" w:space="0"/>
              <w:bottom w:val="single" w:color="auto" w:sz="6" w:space="0"/>
              <w:right w:val="single" w:color="auto" w:sz="6" w:space="0"/>
            </w:tcBorders>
            <w:vAlign w:val="center"/>
          </w:tcPr>
          <w:p>
            <w:pPr>
              <w:shd w:val="clea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6197" w:type="dxa"/>
            <w:tcBorders>
              <w:top w:val="single" w:color="auto" w:sz="6" w:space="0"/>
              <w:left w:val="single" w:color="auto" w:sz="6" w:space="0"/>
              <w:bottom w:val="single" w:color="auto" w:sz="6" w:space="0"/>
              <w:right w:val="single" w:color="auto" w:sz="4" w:space="0"/>
            </w:tcBorders>
            <w:vAlign w:val="bottom"/>
          </w:tcPr>
          <w:p>
            <w:pPr>
              <w:shd w:val="clea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响应人名称或组织机构与购买磋商文件时不一致，必须提供有效证明文件；</w:t>
            </w:r>
          </w:p>
        </w:tc>
        <w:tc>
          <w:tcPr>
            <w:tcW w:w="59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rPr>
                <w:rFonts w:ascii="仿宋" w:hAnsi="仿宋" w:eastAsia="仿宋" w:cs="仿宋"/>
                <w:color w:val="auto"/>
                <w:kern w:val="0"/>
                <w:sz w:val="24"/>
                <w:highlight w:val="none"/>
              </w:rPr>
            </w:pPr>
          </w:p>
        </w:tc>
        <w:tc>
          <w:tcPr>
            <w:tcW w:w="607"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rFonts w:ascii="仿宋" w:hAnsi="仿宋" w:eastAsia="仿宋" w:cs="仿宋"/>
                <w:color w:val="auto"/>
                <w:kern w:val="0"/>
                <w:sz w:val="24"/>
                <w:highlight w:val="none"/>
              </w:rPr>
            </w:pPr>
          </w:p>
        </w:tc>
        <w:tc>
          <w:tcPr>
            <w:tcW w:w="573" w:type="dxa"/>
            <w:tcBorders>
              <w:top w:val="single" w:color="auto" w:sz="6" w:space="0"/>
              <w:left w:val="single" w:color="auto" w:sz="6" w:space="0"/>
              <w:bottom w:val="single" w:color="auto" w:sz="6" w:space="0"/>
              <w:right w:val="single" w:color="auto" w:sz="4" w:space="0"/>
            </w:tcBorders>
          </w:tcPr>
          <w:p>
            <w:pPr>
              <w:shd w:val="clear"/>
              <w:spacing w:line="360" w:lineRule="auto"/>
              <w:rPr>
                <w:rFonts w:ascii="仿宋" w:hAnsi="仿宋" w:eastAsia="仿宋" w:cs="仿宋"/>
                <w:color w:val="auto"/>
                <w:kern w:val="0"/>
                <w:sz w:val="24"/>
                <w:highlight w:val="none"/>
              </w:rPr>
            </w:pPr>
          </w:p>
        </w:tc>
        <w:tc>
          <w:tcPr>
            <w:tcW w:w="564" w:type="dxa"/>
            <w:tcBorders>
              <w:top w:val="single" w:color="auto" w:sz="6" w:space="0"/>
              <w:left w:val="single" w:color="auto" w:sz="4" w:space="0"/>
              <w:bottom w:val="single" w:color="auto" w:sz="6" w:space="0"/>
              <w:right w:val="single" w:color="auto" w:sz="12" w:space="0"/>
            </w:tcBorders>
          </w:tcPr>
          <w:p>
            <w:pPr>
              <w:shd w:val="clear"/>
              <w:spacing w:line="360" w:lineRule="auto"/>
              <w:rPr>
                <w:rFonts w:ascii="仿宋" w:hAnsi="仿宋" w:eastAsia="仿宋" w:cs="仿宋"/>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71" w:type="dxa"/>
            <w:tcBorders>
              <w:top w:val="single" w:color="auto" w:sz="6" w:space="0"/>
              <w:left w:val="single" w:color="auto" w:sz="12" w:space="0"/>
              <w:bottom w:val="single" w:color="auto" w:sz="6" w:space="0"/>
              <w:right w:val="single" w:color="auto" w:sz="6" w:space="0"/>
            </w:tcBorders>
            <w:vAlign w:val="center"/>
          </w:tcPr>
          <w:p>
            <w:pPr>
              <w:shd w:val="clea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6197" w:type="dxa"/>
            <w:tcBorders>
              <w:top w:val="single" w:color="auto" w:sz="6" w:space="0"/>
              <w:left w:val="single" w:color="auto" w:sz="6" w:space="0"/>
              <w:bottom w:val="single" w:color="auto" w:sz="6" w:space="0"/>
              <w:right w:val="single" w:color="auto" w:sz="4" w:space="0"/>
            </w:tcBorders>
            <w:vAlign w:val="bottom"/>
          </w:tcPr>
          <w:p>
            <w:pPr>
              <w:shd w:val="clea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对磋商文件主要条款和承诺不存在重大出入或保留；</w:t>
            </w:r>
          </w:p>
        </w:tc>
        <w:tc>
          <w:tcPr>
            <w:tcW w:w="59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rPr>
                <w:rFonts w:ascii="仿宋" w:hAnsi="仿宋" w:eastAsia="仿宋" w:cs="仿宋"/>
                <w:color w:val="auto"/>
                <w:kern w:val="0"/>
                <w:sz w:val="24"/>
                <w:highlight w:val="none"/>
              </w:rPr>
            </w:pPr>
          </w:p>
        </w:tc>
        <w:tc>
          <w:tcPr>
            <w:tcW w:w="607"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rFonts w:ascii="仿宋" w:hAnsi="仿宋" w:eastAsia="仿宋" w:cs="仿宋"/>
                <w:color w:val="auto"/>
                <w:kern w:val="0"/>
                <w:sz w:val="24"/>
                <w:highlight w:val="none"/>
              </w:rPr>
            </w:pPr>
          </w:p>
        </w:tc>
        <w:tc>
          <w:tcPr>
            <w:tcW w:w="573" w:type="dxa"/>
            <w:tcBorders>
              <w:top w:val="single" w:color="auto" w:sz="6" w:space="0"/>
              <w:left w:val="single" w:color="auto" w:sz="6" w:space="0"/>
              <w:bottom w:val="single" w:color="auto" w:sz="6" w:space="0"/>
              <w:right w:val="single" w:color="auto" w:sz="4" w:space="0"/>
            </w:tcBorders>
          </w:tcPr>
          <w:p>
            <w:pPr>
              <w:shd w:val="clear"/>
              <w:spacing w:line="360" w:lineRule="auto"/>
              <w:rPr>
                <w:rFonts w:ascii="仿宋" w:hAnsi="仿宋" w:eastAsia="仿宋" w:cs="仿宋"/>
                <w:color w:val="auto"/>
                <w:kern w:val="0"/>
                <w:sz w:val="24"/>
                <w:highlight w:val="none"/>
              </w:rPr>
            </w:pPr>
          </w:p>
        </w:tc>
        <w:tc>
          <w:tcPr>
            <w:tcW w:w="564" w:type="dxa"/>
            <w:tcBorders>
              <w:top w:val="single" w:color="auto" w:sz="6" w:space="0"/>
              <w:left w:val="single" w:color="auto" w:sz="4" w:space="0"/>
              <w:bottom w:val="single" w:color="auto" w:sz="6" w:space="0"/>
              <w:right w:val="single" w:color="auto" w:sz="12" w:space="0"/>
            </w:tcBorders>
          </w:tcPr>
          <w:p>
            <w:pPr>
              <w:shd w:val="clear"/>
              <w:spacing w:line="360" w:lineRule="auto"/>
              <w:rPr>
                <w:rFonts w:ascii="仿宋" w:hAnsi="仿宋" w:eastAsia="仿宋" w:cs="仿宋"/>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71" w:type="dxa"/>
            <w:tcBorders>
              <w:top w:val="single" w:color="auto" w:sz="6" w:space="0"/>
              <w:left w:val="single" w:color="auto" w:sz="12" w:space="0"/>
              <w:bottom w:val="single" w:color="auto" w:sz="6" w:space="0"/>
              <w:right w:val="single" w:color="auto" w:sz="6" w:space="0"/>
            </w:tcBorders>
            <w:vAlign w:val="center"/>
          </w:tcPr>
          <w:p>
            <w:pPr>
              <w:shd w:val="clea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6197" w:type="dxa"/>
            <w:tcBorders>
              <w:top w:val="single" w:color="auto" w:sz="6" w:space="0"/>
              <w:left w:val="single" w:color="auto" w:sz="6" w:space="0"/>
              <w:bottom w:val="single" w:color="auto" w:sz="6" w:space="0"/>
              <w:right w:val="single" w:color="auto" w:sz="4" w:space="0"/>
            </w:tcBorders>
            <w:vAlign w:val="bottom"/>
          </w:tcPr>
          <w:p>
            <w:pPr>
              <w:shd w:val="clea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响应人必须按磋商文件规定提交响应文件份数，正本壹份；副本</w:t>
            </w:r>
            <w:r>
              <w:rPr>
                <w:rFonts w:hint="eastAsia" w:ascii="仿宋" w:hAnsi="仿宋" w:eastAsia="仿宋" w:cs="仿宋"/>
                <w:color w:val="auto"/>
                <w:kern w:val="0"/>
                <w:sz w:val="24"/>
                <w:highlight w:val="none"/>
                <w:lang w:eastAsia="zh-CN"/>
              </w:rPr>
              <w:t>叁</w:t>
            </w:r>
            <w:r>
              <w:rPr>
                <w:rFonts w:hint="eastAsia" w:ascii="仿宋" w:hAnsi="仿宋" w:eastAsia="仿宋" w:cs="仿宋"/>
                <w:color w:val="auto"/>
                <w:kern w:val="0"/>
                <w:sz w:val="24"/>
                <w:highlight w:val="none"/>
              </w:rPr>
              <w:t>份；</w:t>
            </w:r>
          </w:p>
        </w:tc>
        <w:tc>
          <w:tcPr>
            <w:tcW w:w="59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rPr>
                <w:rFonts w:ascii="仿宋" w:hAnsi="仿宋" w:eastAsia="仿宋" w:cs="仿宋"/>
                <w:color w:val="auto"/>
                <w:kern w:val="0"/>
                <w:sz w:val="24"/>
                <w:highlight w:val="none"/>
              </w:rPr>
            </w:pPr>
          </w:p>
        </w:tc>
        <w:tc>
          <w:tcPr>
            <w:tcW w:w="607"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rFonts w:ascii="仿宋" w:hAnsi="仿宋" w:eastAsia="仿宋" w:cs="仿宋"/>
                <w:color w:val="auto"/>
                <w:kern w:val="0"/>
                <w:sz w:val="24"/>
                <w:highlight w:val="none"/>
              </w:rPr>
            </w:pPr>
          </w:p>
        </w:tc>
        <w:tc>
          <w:tcPr>
            <w:tcW w:w="573" w:type="dxa"/>
            <w:tcBorders>
              <w:top w:val="single" w:color="auto" w:sz="6" w:space="0"/>
              <w:left w:val="single" w:color="auto" w:sz="6" w:space="0"/>
              <w:bottom w:val="single" w:color="auto" w:sz="6" w:space="0"/>
              <w:right w:val="single" w:color="auto" w:sz="4" w:space="0"/>
            </w:tcBorders>
          </w:tcPr>
          <w:p>
            <w:pPr>
              <w:shd w:val="clear"/>
              <w:spacing w:line="360" w:lineRule="auto"/>
              <w:rPr>
                <w:rFonts w:ascii="仿宋" w:hAnsi="仿宋" w:eastAsia="仿宋" w:cs="仿宋"/>
                <w:color w:val="auto"/>
                <w:kern w:val="0"/>
                <w:sz w:val="24"/>
                <w:highlight w:val="none"/>
              </w:rPr>
            </w:pPr>
          </w:p>
        </w:tc>
        <w:tc>
          <w:tcPr>
            <w:tcW w:w="564" w:type="dxa"/>
            <w:tcBorders>
              <w:top w:val="single" w:color="auto" w:sz="6" w:space="0"/>
              <w:left w:val="single" w:color="auto" w:sz="4" w:space="0"/>
              <w:bottom w:val="single" w:color="auto" w:sz="6" w:space="0"/>
              <w:right w:val="single" w:color="auto" w:sz="12" w:space="0"/>
            </w:tcBorders>
          </w:tcPr>
          <w:p>
            <w:pPr>
              <w:shd w:val="clear"/>
              <w:spacing w:line="360" w:lineRule="auto"/>
              <w:rPr>
                <w:rFonts w:ascii="仿宋" w:hAnsi="仿宋" w:eastAsia="仿宋" w:cs="仿宋"/>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71" w:type="dxa"/>
            <w:tcBorders>
              <w:top w:val="single" w:color="auto" w:sz="6" w:space="0"/>
              <w:left w:val="single" w:color="auto" w:sz="12" w:space="0"/>
              <w:bottom w:val="single" w:color="auto" w:sz="6" w:space="0"/>
              <w:right w:val="single" w:color="auto" w:sz="6" w:space="0"/>
            </w:tcBorders>
            <w:vAlign w:val="center"/>
          </w:tcPr>
          <w:p>
            <w:pPr>
              <w:shd w:val="clea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6197" w:type="dxa"/>
            <w:tcBorders>
              <w:top w:val="single" w:color="auto" w:sz="6" w:space="0"/>
              <w:left w:val="single" w:color="auto" w:sz="6" w:space="0"/>
              <w:bottom w:val="single" w:color="auto" w:sz="6" w:space="0"/>
              <w:right w:val="single" w:color="auto" w:sz="4" w:space="0"/>
            </w:tcBorders>
            <w:vAlign w:val="bottom"/>
          </w:tcPr>
          <w:p>
            <w:pPr>
              <w:shd w:val="clea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响应人必须按磋商文件要求的格式填写，无内容不全或关键字迹模糊、无法辨认的情况；</w:t>
            </w:r>
          </w:p>
        </w:tc>
        <w:tc>
          <w:tcPr>
            <w:tcW w:w="59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rPr>
                <w:rFonts w:ascii="仿宋" w:hAnsi="仿宋" w:eastAsia="仿宋" w:cs="仿宋"/>
                <w:color w:val="auto"/>
                <w:kern w:val="0"/>
                <w:sz w:val="24"/>
                <w:highlight w:val="none"/>
              </w:rPr>
            </w:pPr>
          </w:p>
        </w:tc>
        <w:tc>
          <w:tcPr>
            <w:tcW w:w="607"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rFonts w:ascii="仿宋" w:hAnsi="仿宋" w:eastAsia="仿宋" w:cs="仿宋"/>
                <w:color w:val="auto"/>
                <w:kern w:val="0"/>
                <w:sz w:val="24"/>
                <w:highlight w:val="none"/>
              </w:rPr>
            </w:pPr>
          </w:p>
        </w:tc>
        <w:tc>
          <w:tcPr>
            <w:tcW w:w="573" w:type="dxa"/>
            <w:tcBorders>
              <w:top w:val="single" w:color="auto" w:sz="6" w:space="0"/>
              <w:left w:val="single" w:color="auto" w:sz="6" w:space="0"/>
              <w:bottom w:val="single" w:color="auto" w:sz="6" w:space="0"/>
              <w:right w:val="single" w:color="auto" w:sz="4" w:space="0"/>
            </w:tcBorders>
          </w:tcPr>
          <w:p>
            <w:pPr>
              <w:shd w:val="clear"/>
              <w:spacing w:line="360" w:lineRule="auto"/>
              <w:rPr>
                <w:rFonts w:ascii="仿宋" w:hAnsi="仿宋" w:eastAsia="仿宋" w:cs="仿宋"/>
                <w:color w:val="auto"/>
                <w:kern w:val="0"/>
                <w:sz w:val="24"/>
                <w:highlight w:val="none"/>
              </w:rPr>
            </w:pPr>
          </w:p>
        </w:tc>
        <w:tc>
          <w:tcPr>
            <w:tcW w:w="564" w:type="dxa"/>
            <w:tcBorders>
              <w:top w:val="single" w:color="auto" w:sz="6" w:space="0"/>
              <w:left w:val="single" w:color="auto" w:sz="4" w:space="0"/>
              <w:bottom w:val="single" w:color="auto" w:sz="6" w:space="0"/>
              <w:right w:val="single" w:color="auto" w:sz="12" w:space="0"/>
            </w:tcBorders>
          </w:tcPr>
          <w:p>
            <w:pPr>
              <w:shd w:val="clear"/>
              <w:spacing w:line="360" w:lineRule="auto"/>
              <w:rPr>
                <w:rFonts w:ascii="仿宋" w:hAnsi="仿宋" w:eastAsia="仿宋" w:cs="仿宋"/>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71" w:type="dxa"/>
            <w:tcBorders>
              <w:top w:val="single" w:color="auto" w:sz="6" w:space="0"/>
              <w:left w:val="single" w:color="auto" w:sz="12" w:space="0"/>
              <w:bottom w:val="single" w:color="auto" w:sz="6" w:space="0"/>
              <w:right w:val="single" w:color="auto" w:sz="6" w:space="0"/>
            </w:tcBorders>
            <w:vAlign w:val="center"/>
          </w:tcPr>
          <w:p>
            <w:pPr>
              <w:shd w:val="clea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6197" w:type="dxa"/>
            <w:tcBorders>
              <w:top w:val="single" w:color="auto" w:sz="6" w:space="0"/>
              <w:left w:val="single" w:color="auto" w:sz="6" w:space="0"/>
              <w:bottom w:val="single" w:color="auto" w:sz="6" w:space="0"/>
              <w:right w:val="single" w:color="auto" w:sz="4" w:space="0"/>
            </w:tcBorders>
            <w:vAlign w:val="bottom"/>
          </w:tcPr>
          <w:p>
            <w:pPr>
              <w:shd w:val="clea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响应文件按照磋商文件要求编写、签署盖章、装订；</w:t>
            </w:r>
          </w:p>
        </w:tc>
        <w:tc>
          <w:tcPr>
            <w:tcW w:w="59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rPr>
                <w:rFonts w:ascii="仿宋" w:hAnsi="仿宋" w:eastAsia="仿宋" w:cs="仿宋"/>
                <w:color w:val="auto"/>
                <w:kern w:val="0"/>
                <w:sz w:val="24"/>
                <w:highlight w:val="none"/>
              </w:rPr>
            </w:pPr>
          </w:p>
        </w:tc>
        <w:tc>
          <w:tcPr>
            <w:tcW w:w="607"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rFonts w:ascii="仿宋" w:hAnsi="仿宋" w:eastAsia="仿宋" w:cs="仿宋"/>
                <w:color w:val="auto"/>
                <w:kern w:val="0"/>
                <w:sz w:val="24"/>
                <w:highlight w:val="none"/>
              </w:rPr>
            </w:pPr>
          </w:p>
        </w:tc>
        <w:tc>
          <w:tcPr>
            <w:tcW w:w="573" w:type="dxa"/>
            <w:tcBorders>
              <w:top w:val="single" w:color="auto" w:sz="6" w:space="0"/>
              <w:left w:val="single" w:color="auto" w:sz="6" w:space="0"/>
              <w:bottom w:val="single" w:color="auto" w:sz="6" w:space="0"/>
              <w:right w:val="single" w:color="auto" w:sz="4" w:space="0"/>
            </w:tcBorders>
          </w:tcPr>
          <w:p>
            <w:pPr>
              <w:shd w:val="clear"/>
              <w:spacing w:line="360" w:lineRule="auto"/>
              <w:rPr>
                <w:rFonts w:ascii="仿宋" w:hAnsi="仿宋" w:eastAsia="仿宋" w:cs="仿宋"/>
                <w:color w:val="auto"/>
                <w:kern w:val="0"/>
                <w:sz w:val="24"/>
                <w:highlight w:val="none"/>
              </w:rPr>
            </w:pPr>
          </w:p>
        </w:tc>
        <w:tc>
          <w:tcPr>
            <w:tcW w:w="564" w:type="dxa"/>
            <w:tcBorders>
              <w:top w:val="single" w:color="auto" w:sz="6" w:space="0"/>
              <w:left w:val="single" w:color="auto" w:sz="4" w:space="0"/>
              <w:bottom w:val="single" w:color="auto" w:sz="6" w:space="0"/>
              <w:right w:val="single" w:color="auto" w:sz="12" w:space="0"/>
            </w:tcBorders>
          </w:tcPr>
          <w:p>
            <w:pPr>
              <w:shd w:val="clear"/>
              <w:spacing w:line="360" w:lineRule="auto"/>
              <w:rPr>
                <w:rFonts w:ascii="仿宋" w:hAnsi="仿宋" w:eastAsia="仿宋" w:cs="仿宋"/>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471" w:type="dxa"/>
            <w:tcBorders>
              <w:top w:val="single" w:color="auto" w:sz="6" w:space="0"/>
              <w:left w:val="single" w:color="auto" w:sz="12" w:space="0"/>
              <w:bottom w:val="single" w:color="auto" w:sz="6" w:space="0"/>
              <w:right w:val="single" w:color="auto" w:sz="6" w:space="0"/>
            </w:tcBorders>
            <w:vAlign w:val="center"/>
          </w:tcPr>
          <w:p>
            <w:pPr>
              <w:shd w:val="clea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w:t>
            </w:r>
          </w:p>
        </w:tc>
        <w:tc>
          <w:tcPr>
            <w:tcW w:w="6197" w:type="dxa"/>
            <w:tcBorders>
              <w:top w:val="single" w:color="auto" w:sz="6" w:space="0"/>
              <w:left w:val="single" w:color="auto" w:sz="6" w:space="0"/>
              <w:bottom w:val="single" w:color="auto" w:sz="6" w:space="0"/>
              <w:right w:val="single" w:color="auto" w:sz="4" w:space="0"/>
            </w:tcBorders>
            <w:vAlign w:val="bottom"/>
          </w:tcPr>
          <w:p>
            <w:pPr>
              <w:shd w:val="clea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响应文件中磋商有效期满足磋商文件要求的；</w:t>
            </w:r>
          </w:p>
        </w:tc>
        <w:tc>
          <w:tcPr>
            <w:tcW w:w="591" w:type="dxa"/>
            <w:tcBorders>
              <w:top w:val="single" w:color="auto" w:sz="6" w:space="0"/>
              <w:left w:val="single" w:color="auto" w:sz="4" w:space="0"/>
              <w:bottom w:val="single" w:color="auto" w:sz="6" w:space="0"/>
              <w:right w:val="single" w:color="auto" w:sz="4" w:space="0"/>
            </w:tcBorders>
            <w:vAlign w:val="center"/>
          </w:tcPr>
          <w:p>
            <w:pPr>
              <w:shd w:val="clear"/>
              <w:snapToGrid w:val="0"/>
              <w:spacing w:line="360" w:lineRule="auto"/>
              <w:rPr>
                <w:rFonts w:ascii="仿宋" w:hAnsi="仿宋" w:eastAsia="仿宋" w:cs="仿宋"/>
                <w:color w:val="auto"/>
                <w:kern w:val="0"/>
                <w:sz w:val="24"/>
                <w:highlight w:val="none"/>
              </w:rPr>
            </w:pPr>
          </w:p>
        </w:tc>
        <w:tc>
          <w:tcPr>
            <w:tcW w:w="607" w:type="dxa"/>
            <w:tcBorders>
              <w:top w:val="single" w:color="auto" w:sz="6" w:space="0"/>
              <w:left w:val="single" w:color="auto" w:sz="4" w:space="0"/>
              <w:bottom w:val="single" w:color="auto" w:sz="6" w:space="0"/>
              <w:right w:val="single" w:color="auto" w:sz="6" w:space="0"/>
            </w:tcBorders>
            <w:vAlign w:val="center"/>
          </w:tcPr>
          <w:p>
            <w:pPr>
              <w:shd w:val="clear"/>
              <w:snapToGrid w:val="0"/>
              <w:spacing w:line="360" w:lineRule="auto"/>
              <w:rPr>
                <w:rFonts w:ascii="仿宋" w:hAnsi="仿宋" w:eastAsia="仿宋" w:cs="仿宋"/>
                <w:color w:val="auto"/>
                <w:kern w:val="0"/>
                <w:sz w:val="24"/>
                <w:highlight w:val="none"/>
              </w:rPr>
            </w:pPr>
          </w:p>
        </w:tc>
        <w:tc>
          <w:tcPr>
            <w:tcW w:w="573" w:type="dxa"/>
            <w:tcBorders>
              <w:top w:val="single" w:color="auto" w:sz="6" w:space="0"/>
              <w:left w:val="single" w:color="auto" w:sz="6" w:space="0"/>
              <w:bottom w:val="single" w:color="auto" w:sz="6" w:space="0"/>
              <w:right w:val="single" w:color="auto" w:sz="4" w:space="0"/>
            </w:tcBorders>
          </w:tcPr>
          <w:p>
            <w:pPr>
              <w:shd w:val="clear"/>
              <w:spacing w:line="360" w:lineRule="auto"/>
              <w:rPr>
                <w:rFonts w:ascii="仿宋" w:hAnsi="仿宋" w:eastAsia="仿宋" w:cs="仿宋"/>
                <w:color w:val="auto"/>
                <w:kern w:val="0"/>
                <w:sz w:val="24"/>
                <w:highlight w:val="none"/>
              </w:rPr>
            </w:pPr>
          </w:p>
        </w:tc>
        <w:tc>
          <w:tcPr>
            <w:tcW w:w="564" w:type="dxa"/>
            <w:tcBorders>
              <w:top w:val="single" w:color="auto" w:sz="6" w:space="0"/>
              <w:left w:val="single" w:color="auto" w:sz="4" w:space="0"/>
              <w:bottom w:val="single" w:color="auto" w:sz="6" w:space="0"/>
              <w:right w:val="single" w:color="auto" w:sz="12" w:space="0"/>
            </w:tcBorders>
          </w:tcPr>
          <w:p>
            <w:pPr>
              <w:shd w:val="clear"/>
              <w:spacing w:line="360" w:lineRule="auto"/>
              <w:rPr>
                <w:rFonts w:ascii="仿宋" w:hAnsi="仿宋" w:eastAsia="仿宋" w:cs="仿宋"/>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71" w:type="dxa"/>
            <w:tcBorders>
              <w:top w:val="single" w:color="auto" w:sz="6" w:space="0"/>
              <w:left w:val="single" w:color="auto" w:sz="12" w:space="0"/>
              <w:bottom w:val="single" w:color="auto" w:sz="6" w:space="0"/>
              <w:right w:val="single" w:color="auto" w:sz="6" w:space="0"/>
            </w:tcBorders>
            <w:vAlign w:val="center"/>
          </w:tcPr>
          <w:p>
            <w:pPr>
              <w:shd w:val="clea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6197" w:type="dxa"/>
            <w:tcBorders>
              <w:top w:val="single" w:color="auto" w:sz="6" w:space="0"/>
              <w:left w:val="single" w:color="auto" w:sz="6" w:space="0"/>
              <w:bottom w:val="single" w:color="auto" w:sz="6" w:space="0"/>
              <w:right w:val="single" w:color="auto" w:sz="4" w:space="0"/>
            </w:tcBorders>
            <w:vAlign w:val="bottom"/>
          </w:tcPr>
          <w:p>
            <w:pPr>
              <w:shd w:val="clea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响应人无违反</w:t>
            </w:r>
            <w:r>
              <w:rPr>
                <w:rFonts w:hint="eastAsia" w:ascii="仿宋" w:hAnsi="仿宋" w:eastAsia="仿宋" w:cs="仿宋"/>
                <w:color w:val="auto"/>
                <w:sz w:val="24"/>
                <w:highlight w:val="none"/>
              </w:rPr>
              <w:t>采购</w:t>
            </w:r>
            <w:r>
              <w:rPr>
                <w:rFonts w:hint="eastAsia" w:ascii="仿宋" w:hAnsi="仿宋" w:eastAsia="仿宋" w:cs="仿宋"/>
                <w:color w:val="auto"/>
                <w:kern w:val="0"/>
                <w:sz w:val="24"/>
                <w:highlight w:val="none"/>
              </w:rPr>
              <w:t>响应纪律的情况</w:t>
            </w:r>
          </w:p>
        </w:tc>
        <w:tc>
          <w:tcPr>
            <w:tcW w:w="59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rPr>
                <w:rFonts w:ascii="仿宋" w:hAnsi="仿宋" w:eastAsia="仿宋" w:cs="仿宋"/>
                <w:color w:val="auto"/>
                <w:kern w:val="0"/>
                <w:sz w:val="24"/>
                <w:highlight w:val="none"/>
              </w:rPr>
            </w:pPr>
          </w:p>
        </w:tc>
        <w:tc>
          <w:tcPr>
            <w:tcW w:w="607"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rFonts w:ascii="仿宋" w:hAnsi="仿宋" w:eastAsia="仿宋" w:cs="仿宋"/>
                <w:color w:val="auto"/>
                <w:kern w:val="0"/>
                <w:sz w:val="24"/>
                <w:highlight w:val="none"/>
              </w:rPr>
            </w:pPr>
          </w:p>
        </w:tc>
        <w:tc>
          <w:tcPr>
            <w:tcW w:w="573" w:type="dxa"/>
            <w:tcBorders>
              <w:top w:val="single" w:color="auto" w:sz="6" w:space="0"/>
              <w:left w:val="single" w:color="auto" w:sz="6" w:space="0"/>
              <w:bottom w:val="single" w:color="auto" w:sz="6" w:space="0"/>
              <w:right w:val="single" w:color="auto" w:sz="4" w:space="0"/>
            </w:tcBorders>
          </w:tcPr>
          <w:p>
            <w:pPr>
              <w:shd w:val="clear"/>
              <w:spacing w:line="360" w:lineRule="auto"/>
              <w:rPr>
                <w:rFonts w:ascii="仿宋" w:hAnsi="仿宋" w:eastAsia="仿宋" w:cs="仿宋"/>
                <w:color w:val="auto"/>
                <w:kern w:val="0"/>
                <w:sz w:val="24"/>
                <w:highlight w:val="none"/>
              </w:rPr>
            </w:pPr>
          </w:p>
        </w:tc>
        <w:tc>
          <w:tcPr>
            <w:tcW w:w="564" w:type="dxa"/>
            <w:tcBorders>
              <w:top w:val="single" w:color="auto" w:sz="6" w:space="0"/>
              <w:left w:val="single" w:color="auto" w:sz="4" w:space="0"/>
              <w:bottom w:val="single" w:color="auto" w:sz="6" w:space="0"/>
              <w:right w:val="single" w:color="auto" w:sz="12" w:space="0"/>
            </w:tcBorders>
          </w:tcPr>
          <w:p>
            <w:pPr>
              <w:shd w:val="clear"/>
              <w:spacing w:line="360" w:lineRule="auto"/>
              <w:rPr>
                <w:rFonts w:ascii="仿宋" w:hAnsi="仿宋" w:eastAsia="仿宋" w:cs="仿宋"/>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668" w:type="dxa"/>
            <w:gridSpan w:val="2"/>
            <w:tcBorders>
              <w:top w:val="single" w:color="auto" w:sz="6" w:space="0"/>
              <w:left w:val="single" w:color="auto" w:sz="12" w:space="0"/>
              <w:bottom w:val="single" w:color="auto" w:sz="12" w:space="0"/>
              <w:right w:val="single" w:color="auto" w:sz="4" w:space="0"/>
            </w:tcBorders>
          </w:tcPr>
          <w:p>
            <w:pPr>
              <w:shd w:val="clea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结论：是否通过评审</w:t>
            </w:r>
          </w:p>
        </w:tc>
        <w:tc>
          <w:tcPr>
            <w:tcW w:w="591" w:type="dxa"/>
            <w:tcBorders>
              <w:top w:val="single" w:color="auto" w:sz="6" w:space="0"/>
              <w:left w:val="single" w:color="auto" w:sz="4" w:space="0"/>
              <w:bottom w:val="single" w:color="auto" w:sz="12" w:space="0"/>
              <w:right w:val="single" w:color="auto" w:sz="4" w:space="0"/>
            </w:tcBorders>
          </w:tcPr>
          <w:p>
            <w:pPr>
              <w:shd w:val="clear"/>
              <w:spacing w:line="360" w:lineRule="auto"/>
              <w:rPr>
                <w:rFonts w:ascii="仿宋" w:hAnsi="仿宋" w:eastAsia="仿宋" w:cs="仿宋"/>
                <w:color w:val="auto"/>
                <w:kern w:val="0"/>
                <w:sz w:val="24"/>
                <w:highlight w:val="none"/>
              </w:rPr>
            </w:pPr>
          </w:p>
        </w:tc>
        <w:tc>
          <w:tcPr>
            <w:tcW w:w="607" w:type="dxa"/>
            <w:tcBorders>
              <w:top w:val="single" w:color="auto" w:sz="6" w:space="0"/>
              <w:left w:val="single" w:color="auto" w:sz="4" w:space="0"/>
              <w:bottom w:val="single" w:color="auto" w:sz="12" w:space="0"/>
              <w:right w:val="single" w:color="auto" w:sz="6" w:space="0"/>
            </w:tcBorders>
          </w:tcPr>
          <w:p>
            <w:pPr>
              <w:shd w:val="clear"/>
              <w:spacing w:line="360" w:lineRule="auto"/>
              <w:rPr>
                <w:rFonts w:ascii="仿宋" w:hAnsi="仿宋" w:eastAsia="仿宋" w:cs="仿宋"/>
                <w:color w:val="auto"/>
                <w:kern w:val="0"/>
                <w:sz w:val="24"/>
                <w:highlight w:val="none"/>
              </w:rPr>
            </w:pPr>
          </w:p>
        </w:tc>
        <w:tc>
          <w:tcPr>
            <w:tcW w:w="573" w:type="dxa"/>
            <w:tcBorders>
              <w:top w:val="single" w:color="auto" w:sz="6" w:space="0"/>
              <w:left w:val="single" w:color="auto" w:sz="6" w:space="0"/>
              <w:bottom w:val="single" w:color="auto" w:sz="12" w:space="0"/>
              <w:right w:val="single" w:color="auto" w:sz="6" w:space="0"/>
            </w:tcBorders>
          </w:tcPr>
          <w:p>
            <w:pPr>
              <w:shd w:val="clear"/>
              <w:spacing w:line="360" w:lineRule="auto"/>
              <w:rPr>
                <w:rFonts w:ascii="仿宋" w:hAnsi="仿宋" w:eastAsia="仿宋" w:cs="仿宋"/>
                <w:color w:val="auto"/>
                <w:kern w:val="0"/>
                <w:sz w:val="24"/>
                <w:highlight w:val="none"/>
              </w:rPr>
            </w:pPr>
          </w:p>
        </w:tc>
        <w:tc>
          <w:tcPr>
            <w:tcW w:w="564" w:type="dxa"/>
            <w:tcBorders>
              <w:top w:val="single" w:color="auto" w:sz="6" w:space="0"/>
              <w:left w:val="single" w:color="auto" w:sz="6" w:space="0"/>
              <w:bottom w:val="single" w:color="auto" w:sz="12" w:space="0"/>
              <w:right w:val="single" w:color="auto" w:sz="12" w:space="0"/>
            </w:tcBorders>
          </w:tcPr>
          <w:p>
            <w:pPr>
              <w:shd w:val="clear"/>
              <w:spacing w:line="360" w:lineRule="auto"/>
              <w:rPr>
                <w:rFonts w:ascii="仿宋" w:hAnsi="仿宋" w:eastAsia="仿宋" w:cs="仿宋"/>
                <w:color w:val="auto"/>
                <w:kern w:val="0"/>
                <w:sz w:val="24"/>
                <w:highlight w:val="none"/>
              </w:rPr>
            </w:pPr>
          </w:p>
        </w:tc>
      </w:tr>
    </w:tbl>
    <w:p>
      <w:pPr>
        <w:shd w:val="clear"/>
        <w:spacing w:line="360" w:lineRule="auto"/>
        <w:ind w:firstLine="472" w:firstLineChars="200"/>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如果响应文件中有一项未通过上述审查标准，评审委员会将认定整个响应文件不响应磋商文件而予以废标，并且不允许响应人通过修改或撤销其不符合要求的差异或保留，使之成为具有响应性的磋商。</w:t>
      </w:r>
    </w:p>
    <w:p>
      <w:pPr>
        <w:shd w:val="clear"/>
        <w:snapToGrid w:val="0"/>
        <w:spacing w:line="360" w:lineRule="auto"/>
        <w:ind w:firstLine="3990" w:firstLineChars="1684"/>
        <w:rPr>
          <w:rFonts w:ascii="仿宋" w:hAnsi="仿宋" w:eastAsia="仿宋" w:cs="仿宋"/>
          <w:b/>
          <w:color w:val="auto"/>
          <w:spacing w:val="-2"/>
          <w:sz w:val="24"/>
          <w:highlight w:val="none"/>
        </w:rPr>
      </w:pPr>
    </w:p>
    <w:p>
      <w:pPr>
        <w:pStyle w:val="2"/>
        <w:rPr>
          <w:color w:val="auto"/>
          <w:highlight w:val="none"/>
        </w:rPr>
      </w:pPr>
    </w:p>
    <w:p>
      <w:pPr>
        <w:shd w:val="clear"/>
        <w:snapToGrid w:val="0"/>
        <w:spacing w:line="360" w:lineRule="auto"/>
        <w:ind w:firstLine="3990" w:firstLineChars="1684"/>
        <w:rPr>
          <w:rFonts w:hint="eastAsia" w:ascii="仿宋" w:hAnsi="仿宋" w:eastAsia="仿宋" w:cs="仿宋"/>
          <w:b/>
          <w:color w:val="auto"/>
          <w:spacing w:val="-2"/>
          <w:sz w:val="24"/>
          <w:highlight w:val="none"/>
        </w:rPr>
      </w:pPr>
    </w:p>
    <w:p>
      <w:pPr>
        <w:rPr>
          <w:rFonts w:hint="eastAsia"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br w:type="page"/>
      </w:r>
    </w:p>
    <w:p>
      <w:pPr>
        <w:shd w:val="clear"/>
        <w:snapToGrid w:val="0"/>
        <w:spacing w:line="360" w:lineRule="auto"/>
        <w:ind w:firstLine="3990" w:firstLineChars="1684"/>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商务标评议表</w:t>
      </w:r>
    </w:p>
    <w:p>
      <w:pPr>
        <w:shd w:val="clear"/>
        <w:spacing w:line="36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项目编号：</w:t>
      </w:r>
      <w:r>
        <w:rPr>
          <w:rFonts w:hint="eastAsia" w:ascii="仿宋" w:hAnsi="仿宋" w:eastAsia="仿宋" w:cs="仿宋"/>
          <w:color w:val="auto"/>
          <w:kern w:val="0"/>
          <w:sz w:val="24"/>
          <w:highlight w:val="none"/>
          <w:lang w:eastAsia="zh-CN"/>
        </w:rPr>
        <w:t>XJBLZB-20220108022</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51"/>
        <w:gridCol w:w="4170"/>
        <w:gridCol w:w="655"/>
        <w:gridCol w:w="655"/>
        <w:gridCol w:w="655"/>
        <w:gridCol w:w="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9003" w:type="dxa"/>
            <w:gridSpan w:val="6"/>
            <w:vAlign w:val="center"/>
          </w:tcPr>
          <w:p>
            <w:pPr>
              <w:shd w:val="clea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521" w:type="dxa"/>
            <w:gridSpan w:val="2"/>
            <w:vAlign w:val="center"/>
          </w:tcPr>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响应单位名称</w:t>
            </w:r>
          </w:p>
        </w:tc>
        <w:tc>
          <w:tcPr>
            <w:tcW w:w="655" w:type="dxa"/>
            <w:vAlign w:val="center"/>
          </w:tcPr>
          <w:p>
            <w:pPr>
              <w:shd w:val="clear"/>
              <w:spacing w:line="360" w:lineRule="auto"/>
              <w:rPr>
                <w:rFonts w:ascii="仿宋" w:hAnsi="仿宋" w:eastAsia="仿宋" w:cs="仿宋"/>
                <w:color w:val="auto"/>
                <w:sz w:val="24"/>
                <w:highlight w:val="none"/>
              </w:rPr>
            </w:pPr>
          </w:p>
        </w:tc>
        <w:tc>
          <w:tcPr>
            <w:tcW w:w="655" w:type="dxa"/>
            <w:vAlign w:val="center"/>
          </w:tcPr>
          <w:p>
            <w:pPr>
              <w:shd w:val="clear"/>
              <w:spacing w:line="360" w:lineRule="auto"/>
              <w:rPr>
                <w:rFonts w:ascii="仿宋" w:hAnsi="仿宋" w:eastAsia="仿宋" w:cs="仿宋"/>
                <w:color w:val="auto"/>
                <w:sz w:val="24"/>
                <w:highlight w:val="none"/>
              </w:rPr>
            </w:pPr>
          </w:p>
        </w:tc>
        <w:tc>
          <w:tcPr>
            <w:tcW w:w="655" w:type="dxa"/>
            <w:vAlign w:val="center"/>
          </w:tcPr>
          <w:p>
            <w:pPr>
              <w:shd w:val="clear"/>
              <w:spacing w:line="360" w:lineRule="auto"/>
              <w:rPr>
                <w:rFonts w:ascii="仿宋" w:hAnsi="仿宋" w:eastAsia="仿宋" w:cs="仿宋"/>
                <w:color w:val="auto"/>
                <w:sz w:val="24"/>
                <w:highlight w:val="none"/>
              </w:rPr>
            </w:pPr>
          </w:p>
        </w:tc>
        <w:tc>
          <w:tcPr>
            <w:tcW w:w="517" w:type="dxa"/>
            <w:vAlign w:val="center"/>
          </w:tcPr>
          <w:p>
            <w:pPr>
              <w:shd w:val="clear"/>
              <w:spacing w:line="360" w:lineRule="auto"/>
              <w:rPr>
                <w:rFonts w:ascii="仿宋" w:hAnsi="仿宋" w:eastAsia="仿宋" w:cs="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351" w:type="dxa"/>
            <w:tcBorders>
              <w:right w:val="single" w:color="auto" w:sz="4" w:space="0"/>
            </w:tcBorders>
            <w:vAlign w:val="center"/>
          </w:tcPr>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资格证件</w:t>
            </w:r>
          </w:p>
        </w:tc>
        <w:tc>
          <w:tcPr>
            <w:tcW w:w="4170" w:type="dxa"/>
            <w:tcBorders>
              <w:left w:val="single" w:color="auto" w:sz="4" w:space="0"/>
            </w:tcBorders>
            <w:vAlign w:val="center"/>
          </w:tcPr>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响应人所提供的营业执照等相关资格证件真实有效且在有效期内</w:t>
            </w:r>
          </w:p>
        </w:tc>
        <w:tc>
          <w:tcPr>
            <w:tcW w:w="655" w:type="dxa"/>
            <w:vAlign w:val="center"/>
          </w:tcPr>
          <w:p>
            <w:pPr>
              <w:shd w:val="clear"/>
              <w:spacing w:line="360" w:lineRule="auto"/>
              <w:rPr>
                <w:rFonts w:ascii="仿宋" w:hAnsi="仿宋" w:eastAsia="仿宋" w:cs="仿宋"/>
                <w:color w:val="auto"/>
                <w:sz w:val="24"/>
                <w:highlight w:val="none"/>
              </w:rPr>
            </w:pPr>
          </w:p>
        </w:tc>
        <w:tc>
          <w:tcPr>
            <w:tcW w:w="655" w:type="dxa"/>
            <w:vAlign w:val="center"/>
          </w:tcPr>
          <w:p>
            <w:pPr>
              <w:shd w:val="clear"/>
              <w:spacing w:line="360" w:lineRule="auto"/>
              <w:rPr>
                <w:rFonts w:ascii="仿宋" w:hAnsi="仿宋" w:eastAsia="仿宋" w:cs="仿宋"/>
                <w:color w:val="auto"/>
                <w:sz w:val="24"/>
                <w:highlight w:val="none"/>
              </w:rPr>
            </w:pPr>
          </w:p>
        </w:tc>
        <w:tc>
          <w:tcPr>
            <w:tcW w:w="655" w:type="dxa"/>
            <w:vAlign w:val="center"/>
          </w:tcPr>
          <w:p>
            <w:pPr>
              <w:shd w:val="clear"/>
              <w:spacing w:line="360" w:lineRule="auto"/>
              <w:rPr>
                <w:rFonts w:ascii="仿宋" w:hAnsi="仿宋" w:eastAsia="仿宋" w:cs="仿宋"/>
                <w:color w:val="auto"/>
                <w:sz w:val="24"/>
                <w:highlight w:val="none"/>
              </w:rPr>
            </w:pPr>
          </w:p>
        </w:tc>
        <w:tc>
          <w:tcPr>
            <w:tcW w:w="517" w:type="dxa"/>
            <w:vAlign w:val="center"/>
          </w:tcPr>
          <w:p>
            <w:pPr>
              <w:shd w:val="clear"/>
              <w:spacing w:line="360" w:lineRule="auto"/>
              <w:rPr>
                <w:rFonts w:ascii="仿宋" w:hAnsi="仿宋" w:eastAsia="仿宋" w:cs="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351" w:type="dxa"/>
            <w:tcBorders>
              <w:right w:val="single" w:color="auto" w:sz="4" w:space="0"/>
            </w:tcBorders>
            <w:vAlign w:val="center"/>
          </w:tcPr>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是否超出最高限价</w:t>
            </w:r>
          </w:p>
        </w:tc>
        <w:tc>
          <w:tcPr>
            <w:tcW w:w="4170" w:type="dxa"/>
            <w:tcBorders>
              <w:left w:val="single" w:color="auto" w:sz="4" w:space="0"/>
            </w:tcBorders>
            <w:vAlign w:val="center"/>
          </w:tcPr>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报价未超出最高限价</w:t>
            </w:r>
          </w:p>
        </w:tc>
        <w:tc>
          <w:tcPr>
            <w:tcW w:w="655" w:type="dxa"/>
            <w:vAlign w:val="center"/>
          </w:tcPr>
          <w:p>
            <w:pPr>
              <w:shd w:val="clear"/>
              <w:spacing w:line="360" w:lineRule="auto"/>
              <w:rPr>
                <w:rFonts w:ascii="仿宋" w:hAnsi="仿宋" w:eastAsia="仿宋" w:cs="仿宋"/>
                <w:color w:val="auto"/>
                <w:sz w:val="24"/>
                <w:highlight w:val="none"/>
              </w:rPr>
            </w:pPr>
          </w:p>
        </w:tc>
        <w:tc>
          <w:tcPr>
            <w:tcW w:w="655" w:type="dxa"/>
            <w:vAlign w:val="center"/>
          </w:tcPr>
          <w:p>
            <w:pPr>
              <w:shd w:val="clear"/>
              <w:spacing w:line="360" w:lineRule="auto"/>
              <w:rPr>
                <w:rFonts w:ascii="仿宋" w:hAnsi="仿宋" w:eastAsia="仿宋" w:cs="仿宋"/>
                <w:color w:val="auto"/>
                <w:sz w:val="24"/>
                <w:highlight w:val="none"/>
              </w:rPr>
            </w:pPr>
          </w:p>
        </w:tc>
        <w:tc>
          <w:tcPr>
            <w:tcW w:w="655" w:type="dxa"/>
            <w:vAlign w:val="center"/>
          </w:tcPr>
          <w:p>
            <w:pPr>
              <w:shd w:val="clear"/>
              <w:spacing w:line="360" w:lineRule="auto"/>
              <w:rPr>
                <w:rFonts w:ascii="仿宋" w:hAnsi="仿宋" w:eastAsia="仿宋" w:cs="仿宋"/>
                <w:color w:val="auto"/>
                <w:sz w:val="24"/>
                <w:highlight w:val="none"/>
              </w:rPr>
            </w:pPr>
          </w:p>
        </w:tc>
        <w:tc>
          <w:tcPr>
            <w:tcW w:w="517" w:type="dxa"/>
            <w:vAlign w:val="center"/>
          </w:tcPr>
          <w:p>
            <w:pPr>
              <w:shd w:val="clear"/>
              <w:spacing w:line="360" w:lineRule="auto"/>
              <w:rPr>
                <w:rFonts w:ascii="仿宋" w:hAnsi="仿宋" w:eastAsia="仿宋" w:cs="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351" w:type="dxa"/>
            <w:tcBorders>
              <w:right w:val="single" w:color="auto" w:sz="4" w:space="0"/>
            </w:tcBorders>
            <w:vAlign w:val="center"/>
          </w:tcPr>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付款条件和方式</w:t>
            </w:r>
          </w:p>
        </w:tc>
        <w:tc>
          <w:tcPr>
            <w:tcW w:w="4170" w:type="dxa"/>
            <w:tcBorders>
              <w:left w:val="single" w:color="auto" w:sz="4" w:space="0"/>
            </w:tcBorders>
            <w:vAlign w:val="center"/>
          </w:tcPr>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响应磋商文件要求</w:t>
            </w:r>
          </w:p>
        </w:tc>
        <w:tc>
          <w:tcPr>
            <w:tcW w:w="655" w:type="dxa"/>
            <w:vAlign w:val="center"/>
          </w:tcPr>
          <w:p>
            <w:pPr>
              <w:shd w:val="clear"/>
              <w:spacing w:line="360" w:lineRule="auto"/>
              <w:rPr>
                <w:rFonts w:ascii="仿宋" w:hAnsi="仿宋" w:eastAsia="仿宋" w:cs="仿宋"/>
                <w:color w:val="auto"/>
                <w:sz w:val="24"/>
                <w:highlight w:val="none"/>
              </w:rPr>
            </w:pPr>
          </w:p>
        </w:tc>
        <w:tc>
          <w:tcPr>
            <w:tcW w:w="655" w:type="dxa"/>
            <w:vAlign w:val="center"/>
          </w:tcPr>
          <w:p>
            <w:pPr>
              <w:shd w:val="clear"/>
              <w:spacing w:line="360" w:lineRule="auto"/>
              <w:rPr>
                <w:rFonts w:ascii="仿宋" w:hAnsi="仿宋" w:eastAsia="仿宋" w:cs="仿宋"/>
                <w:color w:val="auto"/>
                <w:sz w:val="24"/>
                <w:highlight w:val="none"/>
              </w:rPr>
            </w:pPr>
          </w:p>
        </w:tc>
        <w:tc>
          <w:tcPr>
            <w:tcW w:w="655" w:type="dxa"/>
            <w:vAlign w:val="center"/>
          </w:tcPr>
          <w:p>
            <w:pPr>
              <w:shd w:val="clear"/>
              <w:spacing w:line="360" w:lineRule="auto"/>
              <w:rPr>
                <w:rFonts w:ascii="仿宋" w:hAnsi="仿宋" w:eastAsia="仿宋" w:cs="仿宋"/>
                <w:color w:val="auto"/>
                <w:sz w:val="24"/>
                <w:highlight w:val="none"/>
              </w:rPr>
            </w:pPr>
          </w:p>
        </w:tc>
        <w:tc>
          <w:tcPr>
            <w:tcW w:w="517" w:type="dxa"/>
            <w:vAlign w:val="center"/>
          </w:tcPr>
          <w:p>
            <w:pPr>
              <w:shd w:val="clear"/>
              <w:spacing w:line="360" w:lineRule="auto"/>
              <w:rPr>
                <w:rFonts w:ascii="仿宋" w:hAnsi="仿宋" w:eastAsia="仿宋" w:cs="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351" w:type="dxa"/>
            <w:tcBorders>
              <w:right w:val="single" w:color="auto" w:sz="4" w:space="0"/>
            </w:tcBorders>
            <w:vAlign w:val="center"/>
          </w:tcPr>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结论</w:t>
            </w:r>
          </w:p>
        </w:tc>
        <w:tc>
          <w:tcPr>
            <w:tcW w:w="4170" w:type="dxa"/>
            <w:tcBorders>
              <w:left w:val="single" w:color="auto" w:sz="4" w:space="0"/>
            </w:tcBorders>
            <w:vAlign w:val="center"/>
          </w:tcPr>
          <w:p>
            <w:pPr>
              <w:shd w:val="clear"/>
              <w:spacing w:line="360" w:lineRule="auto"/>
              <w:rPr>
                <w:rFonts w:ascii="仿宋" w:hAnsi="仿宋" w:eastAsia="仿宋" w:cs="仿宋"/>
                <w:color w:val="auto"/>
                <w:sz w:val="24"/>
                <w:highlight w:val="none"/>
              </w:rPr>
            </w:pPr>
          </w:p>
        </w:tc>
        <w:tc>
          <w:tcPr>
            <w:tcW w:w="655" w:type="dxa"/>
            <w:vAlign w:val="center"/>
          </w:tcPr>
          <w:p>
            <w:pPr>
              <w:shd w:val="clear"/>
              <w:spacing w:line="360" w:lineRule="auto"/>
              <w:rPr>
                <w:rFonts w:ascii="仿宋" w:hAnsi="仿宋" w:eastAsia="仿宋" w:cs="仿宋"/>
                <w:color w:val="auto"/>
                <w:sz w:val="24"/>
                <w:highlight w:val="none"/>
              </w:rPr>
            </w:pPr>
          </w:p>
        </w:tc>
        <w:tc>
          <w:tcPr>
            <w:tcW w:w="655" w:type="dxa"/>
            <w:vAlign w:val="center"/>
          </w:tcPr>
          <w:p>
            <w:pPr>
              <w:shd w:val="clear"/>
              <w:spacing w:line="360" w:lineRule="auto"/>
              <w:rPr>
                <w:rFonts w:ascii="仿宋" w:hAnsi="仿宋" w:eastAsia="仿宋" w:cs="仿宋"/>
                <w:color w:val="auto"/>
                <w:sz w:val="24"/>
                <w:highlight w:val="none"/>
              </w:rPr>
            </w:pPr>
          </w:p>
        </w:tc>
        <w:tc>
          <w:tcPr>
            <w:tcW w:w="655" w:type="dxa"/>
            <w:vAlign w:val="center"/>
          </w:tcPr>
          <w:p>
            <w:pPr>
              <w:shd w:val="clear"/>
              <w:spacing w:line="360" w:lineRule="auto"/>
              <w:rPr>
                <w:rFonts w:ascii="仿宋" w:hAnsi="仿宋" w:eastAsia="仿宋" w:cs="仿宋"/>
                <w:color w:val="auto"/>
                <w:sz w:val="24"/>
                <w:highlight w:val="none"/>
              </w:rPr>
            </w:pPr>
          </w:p>
        </w:tc>
        <w:tc>
          <w:tcPr>
            <w:tcW w:w="517" w:type="dxa"/>
            <w:vAlign w:val="center"/>
          </w:tcPr>
          <w:p>
            <w:pPr>
              <w:shd w:val="clear"/>
              <w:spacing w:line="360" w:lineRule="auto"/>
              <w:rPr>
                <w:rFonts w:ascii="仿宋" w:hAnsi="仿宋" w:eastAsia="仿宋" w:cs="仿宋"/>
                <w:color w:val="auto"/>
                <w:sz w:val="24"/>
                <w:highlight w:val="none"/>
              </w:rPr>
            </w:pPr>
          </w:p>
        </w:tc>
      </w:tr>
    </w:tbl>
    <w:p>
      <w:pPr>
        <w:shd w:val="clea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注：在结论栏中填写“合格”或“不合格”。</w:t>
      </w:r>
    </w:p>
    <w:p>
      <w:pPr>
        <w:shd w:val="clear"/>
        <w:spacing w:line="360" w:lineRule="auto"/>
        <w:ind w:firstLine="474" w:firstLineChars="200"/>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如果响应文件商务标评议中有一项未通过上述审查标准，评审委员会将认定整个响应文件不响应磋商文件而予以废标，并且不允许响应人通过修改或撤销其不符合要求的差异或保留，使之成为具有响应性的磋商进入技术标评审阶段。</w:t>
      </w:r>
    </w:p>
    <w:p>
      <w:pPr>
        <w:shd w:val="clea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8.综合评审</w:t>
      </w:r>
    </w:p>
    <w:p>
      <w:pPr>
        <w:shd w:val="clear"/>
        <w:spacing w:line="360" w:lineRule="auto"/>
        <w:ind w:firstLine="472" w:firstLineChars="200"/>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8.1.经磋商确定最终采购需求和提交最后报价的响应人后，由磋商小组采用综合评分法对提交最后报价的响应人的响应文件和最后报价进行综合评分。</w:t>
      </w:r>
    </w:p>
    <w:p>
      <w:pPr>
        <w:shd w:val="clear"/>
        <w:spacing w:line="360" w:lineRule="auto"/>
        <w:ind w:firstLine="472" w:firstLineChars="200"/>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综合评分法，是指响应文件满足磋商文件全部实质性要求且按评审因素的量化指标评审得分最高的响应人为成交候选响应人的评审方法。</w:t>
      </w:r>
    </w:p>
    <w:p>
      <w:pPr>
        <w:shd w:val="clear"/>
        <w:spacing w:line="360" w:lineRule="auto"/>
        <w:ind w:firstLine="472" w:firstLineChars="200"/>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8.2.评审时，磋商小组各成员应当独立对每个有效响应的文件进行评价、打分，然后汇总每个响应人每项评分因素的得分。</w:t>
      </w:r>
    </w:p>
    <w:p>
      <w:pPr>
        <w:pStyle w:val="6"/>
        <w:shd w:val="clear"/>
        <w:ind w:firstLine="472"/>
        <w:jc w:val="center"/>
        <w:rPr>
          <w:rFonts w:ascii="仿宋" w:hAnsi="仿宋" w:eastAsia="仿宋" w:cs="仿宋"/>
          <w:color w:val="auto"/>
          <w:spacing w:val="-2"/>
          <w:sz w:val="24"/>
          <w:highlight w:val="none"/>
        </w:rPr>
      </w:pPr>
    </w:p>
    <w:p>
      <w:pPr>
        <w:pStyle w:val="6"/>
        <w:shd w:val="clear"/>
        <w:ind w:firstLine="472"/>
        <w:jc w:val="center"/>
        <w:rPr>
          <w:rFonts w:ascii="仿宋" w:hAnsi="仿宋" w:eastAsia="仿宋" w:cs="仿宋"/>
          <w:color w:val="auto"/>
          <w:spacing w:val="-2"/>
          <w:sz w:val="24"/>
          <w:highlight w:val="none"/>
        </w:rPr>
      </w:pPr>
    </w:p>
    <w:p>
      <w:pPr>
        <w:pStyle w:val="6"/>
        <w:shd w:val="clear"/>
        <w:ind w:firstLine="472"/>
        <w:jc w:val="center"/>
        <w:rPr>
          <w:rFonts w:ascii="仿宋" w:hAnsi="仿宋" w:eastAsia="仿宋" w:cs="仿宋"/>
          <w:color w:val="auto"/>
          <w:spacing w:val="-2"/>
          <w:sz w:val="24"/>
          <w:highlight w:val="none"/>
        </w:rPr>
      </w:pPr>
    </w:p>
    <w:p>
      <w:pPr>
        <w:pStyle w:val="6"/>
        <w:shd w:val="clear"/>
        <w:ind w:firstLine="472"/>
        <w:jc w:val="center"/>
        <w:rPr>
          <w:rFonts w:ascii="仿宋" w:hAnsi="仿宋" w:eastAsia="仿宋" w:cs="仿宋"/>
          <w:color w:val="auto"/>
          <w:spacing w:val="-2"/>
          <w:sz w:val="24"/>
          <w:highlight w:val="none"/>
        </w:rPr>
      </w:pPr>
    </w:p>
    <w:p>
      <w:pPr>
        <w:pStyle w:val="6"/>
        <w:shd w:val="clear"/>
        <w:ind w:firstLine="472"/>
        <w:jc w:val="center"/>
        <w:rPr>
          <w:rFonts w:ascii="仿宋" w:hAnsi="仿宋" w:eastAsia="仿宋" w:cs="仿宋"/>
          <w:color w:val="auto"/>
          <w:spacing w:val="-2"/>
          <w:sz w:val="24"/>
          <w:highlight w:val="none"/>
        </w:rPr>
      </w:pPr>
    </w:p>
    <w:p>
      <w:pPr>
        <w:pStyle w:val="6"/>
        <w:shd w:val="clear"/>
        <w:ind w:firstLine="472"/>
        <w:jc w:val="center"/>
        <w:rPr>
          <w:rFonts w:ascii="仿宋" w:hAnsi="仿宋" w:eastAsia="仿宋" w:cs="仿宋"/>
          <w:color w:val="auto"/>
          <w:spacing w:val="-2"/>
          <w:sz w:val="24"/>
          <w:highlight w:val="none"/>
        </w:rPr>
      </w:pPr>
    </w:p>
    <w:p>
      <w:pPr>
        <w:pStyle w:val="6"/>
        <w:shd w:val="clear"/>
        <w:ind w:firstLine="472"/>
        <w:jc w:val="center"/>
        <w:rPr>
          <w:rFonts w:ascii="仿宋" w:hAnsi="仿宋" w:eastAsia="仿宋" w:cs="仿宋"/>
          <w:color w:val="auto"/>
          <w:spacing w:val="-2"/>
          <w:sz w:val="24"/>
          <w:highlight w:val="none"/>
        </w:rPr>
      </w:pPr>
    </w:p>
    <w:p>
      <w:pPr>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br w:type="page"/>
      </w:r>
    </w:p>
    <w:p>
      <w:pPr>
        <w:pStyle w:val="6"/>
        <w:shd w:val="clear"/>
        <w:ind w:firstLine="472"/>
        <w:jc w:val="center"/>
        <w:rPr>
          <w:rFonts w:ascii="仿宋" w:hAnsi="仿宋" w:eastAsia="仿宋" w:cs="仿宋"/>
          <w:color w:val="auto"/>
          <w:sz w:val="24"/>
          <w:highlight w:val="none"/>
        </w:rPr>
      </w:pPr>
      <w:r>
        <w:rPr>
          <w:rFonts w:hint="eastAsia" w:ascii="仿宋" w:hAnsi="仿宋" w:eastAsia="仿宋" w:cs="仿宋"/>
          <w:color w:val="auto"/>
          <w:spacing w:val="-2"/>
          <w:sz w:val="24"/>
          <w:highlight w:val="none"/>
        </w:rPr>
        <w:t>详细评分表</w:t>
      </w:r>
    </w:p>
    <w:tbl>
      <w:tblPr>
        <w:tblStyle w:val="19"/>
        <w:tblW w:w="9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744"/>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1" w:type="dxa"/>
            <w:vAlign w:val="center"/>
          </w:tcPr>
          <w:p>
            <w:pPr>
              <w:pStyle w:val="35"/>
              <w:spacing w:line="440" w:lineRule="exac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评审项目</w:t>
            </w:r>
          </w:p>
        </w:tc>
        <w:tc>
          <w:tcPr>
            <w:tcW w:w="1744" w:type="dxa"/>
            <w:vAlign w:val="center"/>
          </w:tcPr>
          <w:p>
            <w:pPr>
              <w:pStyle w:val="35"/>
              <w:spacing w:line="440" w:lineRule="exac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评审分项</w:t>
            </w:r>
          </w:p>
        </w:tc>
        <w:tc>
          <w:tcPr>
            <w:tcW w:w="7301" w:type="dxa"/>
            <w:vAlign w:val="center"/>
          </w:tcPr>
          <w:p>
            <w:pPr>
              <w:pStyle w:val="35"/>
              <w:spacing w:line="440" w:lineRule="exac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61"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价格评分（30分）</w:t>
            </w:r>
          </w:p>
        </w:tc>
        <w:tc>
          <w:tcPr>
            <w:tcW w:w="1744"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投标报价</w:t>
            </w:r>
          </w:p>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（30分）</w:t>
            </w:r>
          </w:p>
        </w:tc>
        <w:tc>
          <w:tcPr>
            <w:tcW w:w="7301"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采用低价优先法计算，即满足磋商文件要求且最后投标 价格最低的报价为磋商基准价，其价格分为满分。 其他供应商的价格分统一按照下列公式计算磋商报价得分=（磋商基准价／最后磋商报价）×价格权值×100（小 数点保留两位）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61" w:type="dxa"/>
            <w:vMerge w:val="restart"/>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商务部分（20分）</w:t>
            </w:r>
          </w:p>
        </w:tc>
        <w:tc>
          <w:tcPr>
            <w:tcW w:w="1744"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企业综合实力 （6分）</w:t>
            </w:r>
          </w:p>
        </w:tc>
        <w:tc>
          <w:tcPr>
            <w:tcW w:w="7301"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61" w:type="dxa"/>
            <w:vMerge w:val="continue"/>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p>
        </w:tc>
        <w:tc>
          <w:tcPr>
            <w:tcW w:w="1744"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业绩</w:t>
            </w:r>
          </w:p>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（9分）</w:t>
            </w:r>
          </w:p>
        </w:tc>
        <w:tc>
          <w:tcPr>
            <w:tcW w:w="7301"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bookmarkStart w:id="33" w:name="OLE_LINK1"/>
            <w:r>
              <w:rPr>
                <w:rFonts w:hint="eastAsia" w:asciiTheme="minorEastAsia" w:hAnsiTheme="minorEastAsia" w:eastAsiaTheme="minorEastAsia" w:cstheme="minorEastAsia"/>
                <w:color w:val="auto"/>
                <w:sz w:val="24"/>
                <w:szCs w:val="24"/>
                <w:highlight w:val="none"/>
                <w:lang w:val="en-US" w:eastAsia="zh-CN"/>
              </w:rPr>
              <w:t xml:space="preserve">自 2019 年 8月 1 日至今，供应商承接过类似项目，每提 供一份有效业绩的得 3 分，最高 9 分。 </w:t>
            </w:r>
          </w:p>
          <w:bookmarkEnd w:id="33"/>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61" w:type="dxa"/>
            <w:vMerge w:val="continue"/>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p>
        </w:tc>
        <w:tc>
          <w:tcPr>
            <w:tcW w:w="1744"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售后 </w:t>
            </w:r>
          </w:p>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（5分）</w:t>
            </w:r>
          </w:p>
        </w:tc>
        <w:tc>
          <w:tcPr>
            <w:tcW w:w="7301"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bookmarkStart w:id="34" w:name="OLE_LINK5"/>
            <w:r>
              <w:rPr>
                <w:rFonts w:hint="eastAsia" w:asciiTheme="minorEastAsia" w:hAnsiTheme="minorEastAsia" w:eastAsiaTheme="minorEastAsia" w:cstheme="minorEastAsia"/>
                <w:color w:val="auto"/>
                <w:sz w:val="24"/>
                <w:szCs w:val="24"/>
                <w:highlight w:val="none"/>
                <w:lang w:val="en-US" w:eastAsia="zh-CN"/>
              </w:rPr>
              <w:t xml:space="preserve">售后服务承诺书，包括材料采购控制、施工过程控制以及售后服务体系，评分区间 0-5 分。 </w:t>
            </w:r>
          </w:p>
          <w:bookmarkEnd w:id="34"/>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61" w:type="dxa"/>
            <w:vMerge w:val="restart"/>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技术部分（50分）</w:t>
            </w:r>
          </w:p>
        </w:tc>
        <w:tc>
          <w:tcPr>
            <w:tcW w:w="1744"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项目设计方案 （10分）</w:t>
            </w:r>
          </w:p>
        </w:tc>
        <w:tc>
          <w:tcPr>
            <w:tcW w:w="7301"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bookmarkStart w:id="35" w:name="OLE_LINK2"/>
            <w:r>
              <w:rPr>
                <w:rFonts w:hint="eastAsia" w:asciiTheme="minorEastAsia" w:hAnsiTheme="minorEastAsia" w:eastAsiaTheme="minorEastAsia" w:cstheme="minorEastAsia"/>
                <w:color w:val="auto"/>
                <w:sz w:val="24"/>
                <w:szCs w:val="24"/>
                <w:highlight w:val="none"/>
                <w:lang w:val="en-US" w:eastAsia="zh-CN"/>
              </w:rPr>
              <w:t xml:space="preserve">1、整体搭配文化氛围浓厚、主题统一得 0-5 分； </w:t>
            </w:r>
          </w:p>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2、整体搭配具备创新的理念兼具经济合理性得 0-5 分。</w:t>
            </w:r>
            <w:bookmarkEnd w:id="35"/>
            <w:r>
              <w:rPr>
                <w:rFonts w:hint="eastAsia" w:asciiTheme="minorEastAsia" w:hAnsiTheme="minorEastAsia" w:eastAsiaTheme="minorEastAsia" w:cstheme="minorEastAsia"/>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1" w:type="dxa"/>
            <w:vMerge w:val="continue"/>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p>
        </w:tc>
        <w:tc>
          <w:tcPr>
            <w:tcW w:w="1744"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项目实施能力（3分）</w:t>
            </w:r>
          </w:p>
        </w:tc>
        <w:tc>
          <w:tcPr>
            <w:tcW w:w="7301" w:type="dxa"/>
            <w:vAlign w:val="center"/>
          </w:tcPr>
          <w:p>
            <w:pPr>
              <w:pStyle w:val="35"/>
              <w:spacing w:line="440" w:lineRule="exact"/>
              <w:jc w:val="left"/>
              <w:rPr>
                <w:rFonts w:hint="eastAsia" w:asciiTheme="minorEastAsia" w:hAnsiTheme="minorEastAsia" w:eastAsiaTheme="minorEastAsia" w:cstheme="minorEastAsia"/>
                <w:color w:val="auto"/>
                <w:sz w:val="24"/>
                <w:szCs w:val="24"/>
                <w:highlight w:val="none"/>
                <w:lang w:val="en-US" w:eastAsia="zh-CN"/>
              </w:rPr>
            </w:pPr>
            <w:bookmarkStart w:id="36" w:name="OLE_LINK6"/>
            <w:r>
              <w:rPr>
                <w:rFonts w:hint="eastAsia" w:asciiTheme="minorEastAsia" w:hAnsiTheme="minorEastAsia" w:eastAsiaTheme="minorEastAsia" w:cstheme="minorEastAsia"/>
                <w:color w:val="auto"/>
                <w:sz w:val="24"/>
                <w:szCs w:val="24"/>
                <w:highlight w:val="none"/>
                <w:lang w:val="en-US" w:eastAsia="zh-CN"/>
              </w:rPr>
              <w:t>对项目实施方案进行评价，包括：项目管理机制、项目实施周期、项目实施规范等，评分区间 0-3 分。</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61" w:type="dxa"/>
            <w:vMerge w:val="continue"/>
            <w:vAlign w:val="center"/>
          </w:tcPr>
          <w:p>
            <w:pPr>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p>
        </w:tc>
        <w:tc>
          <w:tcPr>
            <w:tcW w:w="1744" w:type="dxa"/>
            <w:vAlign w:val="center"/>
          </w:tcPr>
          <w:p>
            <w:pPr>
              <w:pStyle w:val="35"/>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组价（2分）</w:t>
            </w:r>
          </w:p>
        </w:tc>
        <w:tc>
          <w:tcPr>
            <w:tcW w:w="7301" w:type="dxa"/>
          </w:tcPr>
          <w:p>
            <w:pPr>
              <w:pStyle w:val="35"/>
              <w:spacing w:line="440" w:lineRule="exact"/>
              <w:rPr>
                <w:rFonts w:hint="eastAsia" w:asciiTheme="minorEastAsia" w:hAnsiTheme="minorEastAsia" w:eastAsiaTheme="minorEastAsia" w:cstheme="minorEastAsia"/>
                <w:color w:val="auto"/>
                <w:kern w:val="2"/>
                <w:sz w:val="24"/>
                <w:szCs w:val="24"/>
                <w:highlight w:val="none"/>
                <w:lang w:val="en-US" w:eastAsia="zh-CN" w:bidi="ar-SA"/>
              </w:rPr>
            </w:pPr>
            <w:bookmarkStart w:id="37" w:name="OLE_LINK7"/>
            <w:r>
              <w:rPr>
                <w:rFonts w:hint="eastAsia" w:asciiTheme="minorEastAsia" w:hAnsiTheme="minorEastAsia" w:eastAsiaTheme="minorEastAsia" w:cstheme="minorEastAsia"/>
                <w:color w:val="auto"/>
                <w:kern w:val="2"/>
                <w:sz w:val="24"/>
                <w:szCs w:val="24"/>
                <w:highlight w:val="none"/>
                <w:lang w:val="en-US" w:eastAsia="zh-CN" w:bidi="ar-SA"/>
              </w:rPr>
              <w:t xml:space="preserve">费用报价清晰明确，报价组成完备，与设计方案相符， 评分区间 0-2 分。 </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1" w:type="dxa"/>
            <w:vMerge w:val="continue"/>
            <w:vAlign w:val="center"/>
          </w:tcPr>
          <w:p>
            <w:pPr>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p>
        </w:tc>
        <w:tc>
          <w:tcPr>
            <w:tcW w:w="1744" w:type="dxa"/>
            <w:vAlign w:val="center"/>
          </w:tcPr>
          <w:p>
            <w:pPr>
              <w:pStyle w:val="35"/>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bookmarkStart w:id="38" w:name="OLE_LINK8"/>
            <w:r>
              <w:rPr>
                <w:rFonts w:hint="eastAsia" w:asciiTheme="minorEastAsia" w:hAnsiTheme="minorEastAsia" w:eastAsiaTheme="minorEastAsia" w:cstheme="minorEastAsia"/>
                <w:color w:val="auto"/>
                <w:kern w:val="2"/>
                <w:sz w:val="24"/>
                <w:szCs w:val="24"/>
                <w:highlight w:val="none"/>
                <w:lang w:val="en-US" w:eastAsia="zh-CN" w:bidi="ar-SA"/>
              </w:rPr>
              <w:t xml:space="preserve">针对本项目案 </w:t>
            </w:r>
          </w:p>
          <w:p>
            <w:pPr>
              <w:pStyle w:val="35"/>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的科学性、合理性 </w:t>
            </w:r>
            <w:bookmarkEnd w:id="38"/>
            <w:r>
              <w:rPr>
                <w:rFonts w:hint="eastAsia" w:asciiTheme="minorEastAsia" w:hAnsiTheme="minorEastAsia" w:eastAsiaTheme="minorEastAsia" w:cstheme="minorEastAsia"/>
                <w:color w:val="auto"/>
                <w:kern w:val="2"/>
                <w:sz w:val="24"/>
                <w:szCs w:val="24"/>
                <w:highlight w:val="none"/>
                <w:lang w:val="en-US" w:eastAsia="zh-CN" w:bidi="ar-SA"/>
              </w:rPr>
              <w:t>（12分）</w:t>
            </w:r>
          </w:p>
        </w:tc>
        <w:tc>
          <w:tcPr>
            <w:tcW w:w="7301" w:type="dxa"/>
          </w:tcPr>
          <w:p>
            <w:pPr>
              <w:keepNext w:val="0"/>
              <w:keepLines w:val="0"/>
              <w:widowControl/>
              <w:suppressLineNumbers w:val="0"/>
              <w:jc w:val="left"/>
              <w:rPr>
                <w:rFonts w:hint="eastAsia" w:asciiTheme="minorEastAsia" w:hAnsiTheme="minorEastAsia" w:eastAsiaTheme="minorEastAsia" w:cstheme="minorEastAsia"/>
                <w:color w:val="auto"/>
                <w:kern w:val="2"/>
                <w:sz w:val="24"/>
                <w:szCs w:val="24"/>
                <w:highlight w:val="none"/>
                <w:lang w:val="en-US" w:eastAsia="zh-CN" w:bidi="ar-SA"/>
              </w:rPr>
            </w:pPr>
            <w:bookmarkStart w:id="39" w:name="OLE_LINK3"/>
            <w:r>
              <w:rPr>
                <w:rFonts w:hint="eastAsia" w:asciiTheme="minorEastAsia" w:hAnsiTheme="minorEastAsia" w:eastAsiaTheme="minorEastAsia" w:cstheme="minorEastAsia"/>
                <w:color w:val="auto"/>
                <w:kern w:val="2"/>
                <w:sz w:val="24"/>
                <w:szCs w:val="24"/>
                <w:highlight w:val="none"/>
                <w:lang w:val="en-US" w:eastAsia="zh-CN" w:bidi="ar-SA"/>
              </w:rPr>
              <w:t xml:space="preserve">1、投标人提供的本项目方案完善，合情合理，可实施性 强，优于其他投标人的，得 8-12 分； </w:t>
            </w:r>
          </w:p>
          <w:p>
            <w:pPr>
              <w:keepNext w:val="0"/>
              <w:keepLines w:val="0"/>
              <w:widowControl/>
              <w:suppressLineNumbers w:val="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2、投标人提供的本项目方案较完善，合情合理，可实施 性强，优于招标文件要求的，得 4-7 分； </w:t>
            </w:r>
          </w:p>
          <w:p>
            <w:pPr>
              <w:keepNext w:val="0"/>
              <w:keepLines w:val="0"/>
              <w:widowControl/>
              <w:suppressLineNumbers w:val="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3、投标人提供的本项目方案一般，仅符合招标文件要求 的，得 1-3 分；</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1" w:type="dxa"/>
            <w:vMerge w:val="continue"/>
            <w:vAlign w:val="center"/>
          </w:tcPr>
          <w:p>
            <w:pPr>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p>
        </w:tc>
        <w:tc>
          <w:tcPr>
            <w:tcW w:w="1744" w:type="dxa"/>
            <w:vAlign w:val="center"/>
          </w:tcPr>
          <w:p>
            <w:pPr>
              <w:keepNext w:val="0"/>
              <w:keepLines w:val="0"/>
              <w:widowControl/>
              <w:suppressLineNumbers w:val="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保证项目实施的 人力资源安排 （8分）</w:t>
            </w:r>
          </w:p>
        </w:tc>
        <w:tc>
          <w:tcPr>
            <w:tcW w:w="7301" w:type="dxa"/>
          </w:tcPr>
          <w:p>
            <w:pPr>
              <w:keepNext w:val="0"/>
              <w:keepLines w:val="0"/>
              <w:widowControl/>
              <w:suppressLineNumbers w:val="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项目技术力量配备完善和人力资源配备充分，得 4-8 分； </w:t>
            </w:r>
          </w:p>
          <w:p>
            <w:pPr>
              <w:keepNext w:val="0"/>
              <w:keepLines w:val="0"/>
              <w:widowControl/>
              <w:suppressLineNumbers w:val="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人员配置基本可行 1-3 分；配置方案不合理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1" w:type="dxa"/>
            <w:vMerge w:val="continue"/>
            <w:vAlign w:val="center"/>
          </w:tcPr>
          <w:p>
            <w:pPr>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p>
        </w:tc>
        <w:tc>
          <w:tcPr>
            <w:tcW w:w="1744" w:type="dxa"/>
            <w:vAlign w:val="center"/>
          </w:tcPr>
          <w:p>
            <w:pPr>
              <w:pStyle w:val="35"/>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保证项目实施质量的技术方案和措施（5分） </w:t>
            </w:r>
          </w:p>
        </w:tc>
        <w:tc>
          <w:tcPr>
            <w:tcW w:w="7301" w:type="dxa"/>
          </w:tcPr>
          <w:p>
            <w:pPr>
              <w:keepNext w:val="0"/>
              <w:keepLines w:val="0"/>
              <w:widowControl/>
              <w:suppressLineNumbers w:val="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技术方案完善、工序质量标准明确、措施有力得 3-5 分； 技术方案较为完善、工序质量标准较明确、措施较有力 得 1-3 分； 技术方案不完善得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1" w:type="dxa"/>
            <w:vMerge w:val="continue"/>
            <w:vAlign w:val="center"/>
          </w:tcPr>
          <w:p>
            <w:pPr>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p>
        </w:tc>
        <w:tc>
          <w:tcPr>
            <w:tcW w:w="1744" w:type="dxa"/>
            <w:vAlign w:val="center"/>
          </w:tcPr>
          <w:p>
            <w:pPr>
              <w:pStyle w:val="35"/>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售后服务保障（10分）</w:t>
            </w:r>
          </w:p>
        </w:tc>
        <w:tc>
          <w:tcPr>
            <w:tcW w:w="7301" w:type="dxa"/>
          </w:tcPr>
          <w:p>
            <w:pPr>
              <w:keepNext w:val="0"/>
              <w:keepLines w:val="0"/>
              <w:widowControl/>
              <w:suppressLineNumbers w:val="0"/>
              <w:jc w:val="left"/>
              <w:rPr>
                <w:rFonts w:hint="eastAsia" w:asciiTheme="minorEastAsia" w:hAnsiTheme="minorEastAsia" w:eastAsiaTheme="minorEastAsia" w:cstheme="minorEastAsia"/>
                <w:color w:val="auto"/>
                <w:kern w:val="2"/>
                <w:sz w:val="24"/>
                <w:szCs w:val="24"/>
                <w:highlight w:val="none"/>
                <w:lang w:val="en-US" w:eastAsia="zh-CN" w:bidi="ar-SA"/>
              </w:rPr>
            </w:pPr>
            <w:bookmarkStart w:id="40" w:name="OLE_LINK4"/>
            <w:r>
              <w:rPr>
                <w:rFonts w:hint="eastAsia" w:asciiTheme="minorEastAsia" w:hAnsiTheme="minorEastAsia" w:eastAsiaTheme="minorEastAsia" w:cstheme="minorEastAsia"/>
                <w:color w:val="auto"/>
                <w:kern w:val="2"/>
                <w:sz w:val="24"/>
                <w:szCs w:val="24"/>
                <w:highlight w:val="none"/>
                <w:lang w:val="en-US" w:eastAsia="zh-CN" w:bidi="ar-SA"/>
              </w:rPr>
              <w:t xml:space="preserve">1、售后服务安排计划、说明周详，技术支持能力强,可 实施性强，响应程度高，且优于其他投标人的，得 7-10 分； </w:t>
            </w:r>
          </w:p>
          <w:p>
            <w:pPr>
              <w:keepNext w:val="0"/>
              <w:keepLines w:val="0"/>
              <w:widowControl/>
              <w:suppressLineNumbers w:val="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2、售后服务安排计划、说明周详，技术支持能力较强， 服务响应较快，可实施性较强，响应程度较高，优于招 标文件要求的，得 4-7 分； </w:t>
            </w:r>
          </w:p>
          <w:p>
            <w:pPr>
              <w:keepNext w:val="0"/>
              <w:keepLines w:val="0"/>
              <w:widowControl/>
              <w:suppressLineNumbers w:val="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3、售后服务安排计划一般，仅符合招标文件要求的，得 1-3 分</w:t>
            </w:r>
            <w:bookmarkEnd w:id="40"/>
          </w:p>
        </w:tc>
      </w:tr>
    </w:tbl>
    <w:p>
      <w:pPr>
        <w:shd w:val="clear"/>
        <w:spacing w:line="440" w:lineRule="exact"/>
        <w:rPr>
          <w:rFonts w:ascii="仿宋" w:hAnsi="仿宋" w:eastAsia="仿宋" w:cs="仿宋"/>
          <w:b/>
          <w:color w:val="auto"/>
          <w:sz w:val="24"/>
          <w:highlight w:val="none"/>
        </w:rPr>
      </w:pPr>
    </w:p>
    <w:p>
      <w:pPr>
        <w:pStyle w:val="4"/>
        <w:shd w:val="clear"/>
        <w:adjustRightInd w:val="0"/>
        <w:snapToGrid w:val="0"/>
        <w:spacing w:before="0" w:after="0" w:line="360" w:lineRule="auto"/>
        <w:jc w:val="center"/>
        <w:rPr>
          <w:rFonts w:ascii="仿宋" w:hAnsi="仿宋" w:eastAsia="仿宋" w:cs="仿宋"/>
          <w:color w:val="auto"/>
          <w:highlight w:val="none"/>
        </w:rPr>
      </w:pPr>
      <w:bookmarkStart w:id="41" w:name="_Toc6879"/>
      <w:r>
        <w:rPr>
          <w:rFonts w:hint="eastAsia" w:ascii="仿宋" w:hAnsi="仿宋" w:eastAsia="仿宋" w:cs="仿宋"/>
          <w:color w:val="auto"/>
          <w:highlight w:val="none"/>
        </w:rPr>
        <w:t>第五章  确定成交人</w:t>
      </w:r>
      <w:bookmarkEnd w:id="41"/>
    </w:p>
    <w:p>
      <w:pPr>
        <w:shd w:val="clear"/>
        <w:adjustRightInd w:val="0"/>
        <w:snapToGrid w:val="0"/>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1.成交原则</w:t>
      </w:r>
      <w:r>
        <w:rPr>
          <w:rFonts w:hint="eastAsia" w:ascii="仿宋" w:hAnsi="仿宋" w:eastAsia="仿宋" w:cs="仿宋"/>
          <w:color w:val="auto"/>
          <w:sz w:val="24"/>
          <w:highlight w:val="none"/>
        </w:rPr>
        <w:t>：本次磋商实行综合评分法。</w:t>
      </w:r>
    </w:p>
    <w:p>
      <w:pPr>
        <w:shd w:val="clear"/>
        <w:adjustRightInd w:val="0"/>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1.1成交标准：磋商委员会以响应人总分由高到低排序，得分最高为第一成交候选人，如果出现响应人最终得分相同的情况，报价低者排名顺序优先在前，以此类推，确定出前三名作为中标候选人推荐给采购人，采购人从三名成交候选人中确定出最终的成交响应人</w:t>
      </w:r>
    </w:p>
    <w:p>
      <w:pPr>
        <w:shd w:val="clear"/>
        <w:adjustRightInd w:val="0"/>
        <w:snapToGrid w:val="0"/>
        <w:spacing w:line="360" w:lineRule="auto"/>
        <w:ind w:firstLine="480" w:firstLineChars="200"/>
        <w:rPr>
          <w:rFonts w:ascii="仿宋" w:hAnsi="仿宋" w:eastAsia="仿宋" w:cs="仿宋"/>
          <w:color w:val="auto"/>
          <w:spacing w:val="-2"/>
          <w:sz w:val="24"/>
          <w:highlight w:val="none"/>
          <w:u w:val="single"/>
        </w:rPr>
      </w:pPr>
      <w:r>
        <w:rPr>
          <w:rFonts w:hint="eastAsia" w:ascii="仿宋" w:hAnsi="仿宋" w:eastAsia="仿宋" w:cs="仿宋"/>
          <w:color w:val="auto"/>
          <w:sz w:val="24"/>
          <w:highlight w:val="none"/>
        </w:rPr>
        <w:t>1.2、采购人确定成交人的原则：国有资金占控股或者主导地位的依法必须进行采购的项目，采购人应当确定排名第一的成交候选人为成交人。排名第一的成交候选人放弃中标、因不可抗力不能履行合同、不按照采购文件要求提交履约保证金，或者被查实存在影响成交结果的违法行为等情形，不符合中标条件的，采购人可以按照磋商委员会提出的成交候选人名单排序依次确定其他成交候选人为成交人，也可以重新采购。</w:t>
      </w:r>
    </w:p>
    <w:p>
      <w:pPr>
        <w:shd w:val="clear"/>
        <w:adjustRightInd w:val="0"/>
        <w:snapToGrid w:val="0"/>
        <w:spacing w:line="360" w:lineRule="auto"/>
        <w:ind w:firstLine="570"/>
        <w:rPr>
          <w:rFonts w:ascii="仿宋" w:hAnsi="仿宋" w:eastAsia="仿宋" w:cs="仿宋"/>
          <w:b/>
          <w:color w:val="auto"/>
          <w:sz w:val="24"/>
          <w:highlight w:val="none"/>
        </w:rPr>
      </w:pPr>
      <w:r>
        <w:rPr>
          <w:rFonts w:hint="eastAsia" w:ascii="仿宋" w:hAnsi="仿宋" w:eastAsia="仿宋" w:cs="仿宋"/>
          <w:b/>
          <w:color w:val="auto"/>
          <w:sz w:val="24"/>
          <w:highlight w:val="none"/>
        </w:rPr>
        <w:t>2、成交通知书</w:t>
      </w:r>
    </w:p>
    <w:p>
      <w:pPr>
        <w:shd w:val="clear"/>
        <w:adjustRightInd w:val="0"/>
        <w:snapToGrid w:val="0"/>
        <w:spacing w:line="360" w:lineRule="auto"/>
        <w:ind w:firstLine="570"/>
        <w:rPr>
          <w:rFonts w:ascii="仿宋" w:hAnsi="仿宋" w:eastAsia="仿宋" w:cs="仿宋"/>
          <w:color w:val="auto"/>
          <w:sz w:val="24"/>
          <w:highlight w:val="none"/>
        </w:rPr>
      </w:pPr>
      <w:r>
        <w:rPr>
          <w:rFonts w:hint="eastAsia" w:ascii="仿宋" w:hAnsi="仿宋" w:eastAsia="仿宋" w:cs="仿宋"/>
          <w:color w:val="auto"/>
          <w:sz w:val="24"/>
          <w:highlight w:val="none"/>
        </w:rPr>
        <w:t>2.1响应结束后响应结果在网上公示</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个工作日内无异议，</w:t>
      </w:r>
      <w:r>
        <w:rPr>
          <w:rFonts w:hint="eastAsia" w:ascii="仿宋" w:hAnsi="仿宋" w:eastAsia="仿宋" w:cs="仿宋"/>
          <w:color w:val="auto"/>
          <w:sz w:val="24"/>
          <w:highlight w:val="none"/>
          <w:lang w:eastAsia="zh-CN"/>
        </w:rPr>
        <w:t>新疆邦利工程项目管理咨询有限公司</w:t>
      </w:r>
      <w:r>
        <w:rPr>
          <w:rFonts w:hint="eastAsia" w:ascii="仿宋" w:hAnsi="仿宋" w:eastAsia="仿宋" w:cs="仿宋"/>
          <w:color w:val="auto"/>
          <w:sz w:val="24"/>
          <w:highlight w:val="none"/>
        </w:rPr>
        <w:t>将以书面形式发出《成交通知书》，《成交通知书》将作为签订合同的依据。</w:t>
      </w:r>
    </w:p>
    <w:p>
      <w:pPr>
        <w:pStyle w:val="4"/>
        <w:shd w:val="clear"/>
        <w:adjustRightInd w:val="0"/>
        <w:snapToGrid w:val="0"/>
        <w:spacing w:before="0" w:after="0" w:line="360" w:lineRule="auto"/>
        <w:jc w:val="center"/>
        <w:rPr>
          <w:rFonts w:ascii="仿宋" w:hAnsi="仿宋" w:eastAsia="仿宋" w:cs="仿宋"/>
          <w:color w:val="auto"/>
          <w:highlight w:val="none"/>
        </w:rPr>
      </w:pPr>
      <w:bookmarkStart w:id="42" w:name="_Toc20694"/>
      <w:r>
        <w:rPr>
          <w:rFonts w:hint="eastAsia" w:ascii="仿宋" w:hAnsi="仿宋" w:eastAsia="仿宋" w:cs="仿宋"/>
          <w:color w:val="auto"/>
          <w:highlight w:val="none"/>
        </w:rPr>
        <w:t>第六章 授予合同</w:t>
      </w:r>
      <w:bookmarkEnd w:id="42"/>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1、签订合同</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1.1成交人收到采购人的《成交通知书》后30日内，按照磋商文件的约定和成交人响应文件中的承诺与采购单位签订书面合同，所签订的合同不得对磋商文件和成交人的响应文件作实质性修改。</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1.2采购人在授予合同时，有权对磋商文件中规定的服务的数量内予以增加或减少。但不得对单价更改。</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1.3如成交人拒签合同，则按违约处理。采购人没收其响应保证金。</w:t>
      </w:r>
    </w:p>
    <w:p>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1.4磋商文件、成交人响应文件及其澄清文件等，均为签订经济合同的依据。</w:t>
      </w:r>
    </w:p>
    <w:p>
      <w:pPr>
        <w:shd w:val="clear"/>
        <w:adjustRightInd w:val="0"/>
        <w:snapToGrid w:val="0"/>
        <w:spacing w:line="360" w:lineRule="auto"/>
        <w:ind w:firstLine="480" w:firstLineChars="200"/>
        <w:jc w:val="left"/>
        <w:rPr>
          <w:rFonts w:ascii="仿宋" w:hAnsi="仿宋" w:eastAsia="仿宋" w:cs="仿宋"/>
          <w:b/>
          <w:color w:val="auto"/>
          <w:sz w:val="24"/>
          <w:highlight w:val="none"/>
        </w:rPr>
      </w:pPr>
      <w:r>
        <w:rPr>
          <w:rFonts w:hint="eastAsia" w:ascii="仿宋" w:hAnsi="仿宋" w:eastAsia="仿宋" w:cs="仿宋"/>
          <w:color w:val="auto"/>
          <w:sz w:val="24"/>
          <w:highlight w:val="none"/>
        </w:rPr>
        <w:t>1.5不允许成交人将成交项目分包或转交他人承担，特殊情况下，成交人必须与采购人协商后共同决定将合同标的中的部分由第三方承担供货和服务责任，但成交人必须对合同标的全部内容向采购人负责，并保证第三方提供的供货和服务符合磋商文件的约定和响应文件的承诺及相关约定。</w:t>
      </w:r>
    </w:p>
    <w:p>
      <w:pPr>
        <w:shd w:val="clear"/>
        <w:spacing w:line="440" w:lineRule="exact"/>
        <w:rPr>
          <w:rFonts w:ascii="仿宋" w:hAnsi="仿宋" w:eastAsia="仿宋" w:cs="仿宋"/>
          <w:b/>
          <w:color w:val="auto"/>
          <w:sz w:val="24"/>
          <w:highlight w:val="none"/>
        </w:rPr>
      </w:pPr>
    </w:p>
    <w:p>
      <w:pPr>
        <w:pStyle w:val="6"/>
        <w:shd w:val="clear"/>
        <w:ind w:firstLine="482"/>
        <w:rPr>
          <w:rFonts w:ascii="仿宋" w:hAnsi="仿宋" w:eastAsia="仿宋" w:cs="仿宋"/>
          <w:b/>
          <w:color w:val="auto"/>
          <w:sz w:val="24"/>
          <w:highlight w:val="none"/>
        </w:rPr>
      </w:pPr>
    </w:p>
    <w:p>
      <w:pPr>
        <w:pStyle w:val="6"/>
        <w:shd w:val="clear"/>
        <w:ind w:firstLine="482"/>
        <w:rPr>
          <w:rFonts w:ascii="仿宋" w:hAnsi="仿宋" w:eastAsia="仿宋" w:cs="仿宋"/>
          <w:b/>
          <w:color w:val="auto"/>
          <w:sz w:val="24"/>
          <w:highlight w:val="none"/>
        </w:rPr>
      </w:pPr>
    </w:p>
    <w:p>
      <w:pPr>
        <w:pStyle w:val="6"/>
        <w:shd w:val="clear"/>
        <w:ind w:firstLine="482"/>
        <w:rPr>
          <w:rFonts w:ascii="仿宋" w:hAnsi="仿宋" w:eastAsia="仿宋" w:cs="仿宋"/>
          <w:b/>
          <w:color w:val="auto"/>
          <w:sz w:val="24"/>
          <w:highlight w:val="none"/>
        </w:rPr>
      </w:pPr>
    </w:p>
    <w:p>
      <w:pPr>
        <w:pStyle w:val="6"/>
        <w:shd w:val="clear"/>
        <w:ind w:firstLine="482"/>
        <w:rPr>
          <w:rFonts w:ascii="仿宋" w:hAnsi="仿宋" w:eastAsia="仿宋" w:cs="仿宋"/>
          <w:b/>
          <w:color w:val="auto"/>
          <w:sz w:val="24"/>
          <w:highlight w:val="none"/>
        </w:rPr>
      </w:pPr>
    </w:p>
    <w:p>
      <w:pPr>
        <w:shd w:val="clear"/>
        <w:spacing w:line="440" w:lineRule="exact"/>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pStyle w:val="30"/>
        <w:shd w:val="clear"/>
        <w:rPr>
          <w:rFonts w:ascii="仿宋" w:hAnsi="仿宋" w:eastAsia="仿宋" w:cs="仿宋"/>
          <w:b/>
          <w:color w:val="auto"/>
          <w:sz w:val="24"/>
          <w:highlight w:val="none"/>
        </w:rPr>
      </w:pP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3"/>
        <w:shd w:val="clear"/>
        <w:adjustRightInd w:val="0"/>
        <w:snapToGrid w:val="0"/>
        <w:spacing w:before="0" w:after="0" w:line="360" w:lineRule="auto"/>
        <w:ind w:leftChars="0"/>
        <w:rPr>
          <w:rFonts w:hint="default" w:ascii="仿宋" w:hAnsi="仿宋" w:eastAsia="仿宋" w:cs="仿宋"/>
          <w:color w:val="auto"/>
          <w:highlight w:val="none"/>
          <w:lang w:val="en-US" w:eastAsia="zh-CN"/>
        </w:rPr>
      </w:pPr>
      <w:bookmarkStart w:id="43" w:name="_Toc717"/>
      <w:r>
        <w:rPr>
          <w:rFonts w:hint="eastAsia" w:ascii="仿宋" w:hAnsi="仿宋" w:eastAsia="仿宋" w:cs="仿宋"/>
          <w:color w:val="auto"/>
          <w:highlight w:val="none"/>
        </w:rPr>
        <w:t xml:space="preserve">第四部分 </w:t>
      </w:r>
      <w:r>
        <w:rPr>
          <w:rFonts w:hint="eastAsia" w:ascii="仿宋" w:hAnsi="仿宋" w:eastAsia="仿宋" w:cs="仿宋"/>
          <w:color w:val="auto"/>
          <w:highlight w:val="none"/>
          <w:lang w:val="en-US" w:eastAsia="zh-CN"/>
        </w:rPr>
        <w:t>采购需求</w:t>
      </w:r>
      <w:bookmarkEnd w:id="43"/>
    </w:p>
    <w:p>
      <w:pPr>
        <w:rPr>
          <w:rFonts w:hint="eastAsia" w:ascii="仿宋" w:hAnsi="仿宋" w:eastAsia="仿宋" w:cs="仿宋"/>
          <w:color w:val="auto"/>
          <w:highlight w:val="none"/>
        </w:rPr>
      </w:pPr>
    </w:p>
    <w:tbl>
      <w:tblPr>
        <w:tblStyle w:val="1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357"/>
        <w:gridCol w:w="2602"/>
        <w:gridCol w:w="1316"/>
        <w:gridCol w:w="575"/>
        <w:gridCol w:w="748"/>
        <w:gridCol w:w="869"/>
        <w:gridCol w:w="442"/>
        <w:gridCol w:w="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44" w:name="_Toc28932"/>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设计制作内容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设计制作材质要求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校徽  校名（二楼、三楼）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不锈钢围边吸塑字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2.0彩钢造型（液压开启）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320cm*280cm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2.5彩钢为党育人为国育才彩钢造型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2.5彩钢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800cm*280cm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（2.0PVC加亚克力8个字一套）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44cm*55cm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制作安装  发票税率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队风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（2.0PVC加亚克力8个字一套）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44cm*55cm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国旗、队徽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（2.0PVC加亚克力）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44cm*66cm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班级后墙文化（守则、规范、红花台）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（2.0PVC加亚克力）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580cm*160cm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中国地图、世界地图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（型材框架 PVC底板、地图＋0.3亚克力面板）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小组合作展示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PVC＋亚克力、4个白板）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600cm*140cm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班级信息栏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PVC＋亚克力盒子）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班级书架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生态板书架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班级卫生柜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140cm*100cm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学生储物柜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每班按45个学生配备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500cm*120cm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教师办公室文化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标准2.0PVC加亚克力双层立体雕刻(教风、国旗、信息栏、师德师风、核心价值观)亚克力盒子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间（每间5平方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教师办公室衣柜书柜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衣柜书柜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1号教学楼大厅（装修）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背景墙、舞台、三风一训、爱国主义教育材质为木纹实木板、石膏板、玻璃舞台  文字内容为1.5亚克力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100平方</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1号教学楼楼道（1、2、3、4层）及楼梯文化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360平方</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1号教学楼读书厅、棋文化厅、校史厅（装修）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按学校要求装修材质为实木板造型（2.0 PVC+亚克力异形雕刻）桌椅板凳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3间</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60平方/间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2号教学楼大厅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（木纹实木板+石膏板+2.0PVC+亚克力异形雕刻）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10平方</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2号教学楼道1、2、3、4层及楼梯文化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80平方</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3号教学楼大厅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木纹实木板+石膏板+2.0PVC+亚克力异形雕刻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25平方</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3号教学楼道2、3、4及楼梯文化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4号楼楼道及楼梯文化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功能室、会议室、工会之家（9间）装修、文化打造（装修）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Style w:val="53"/>
                <w:lang w:val="en-US" w:eastAsia="zh-CN" w:bidi="ar"/>
              </w:rPr>
              <w:t>图书室、二楼会议室、工会之家、综合实践室、大队室、美术室、书法室、象棋室、古筝室</w:t>
            </w:r>
            <w:r>
              <w:rPr>
                <w:rStyle w:val="54"/>
                <w:lang w:val="en-US" w:eastAsia="zh-CN" w:bidi="ar"/>
              </w:rPr>
              <w:t>房顶、墙面做造型装修、根据功能室的性质做文化打造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9间</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80平方/间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功能室文化（10间）文化打造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10间</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30平方/间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功能室（10间）储物柜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木制或不锈钢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楼体文化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2.0不锈钢字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3面</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楼体名称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楼梯贴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（0.3亚克力背喷）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120cm*15cm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楼层提示牌，消防疏散图（2.0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操场围栏墙面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雕刻 不锈钢、车贴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3"/>
        <w:shd w:val="clear"/>
        <w:adjustRightInd w:val="0"/>
        <w:snapToGrid w:val="0"/>
        <w:spacing w:before="0" w:after="0" w:line="360" w:lineRule="auto"/>
        <w:ind w:leftChars="0"/>
        <w:rPr>
          <w:rFonts w:ascii="仿宋" w:hAnsi="仿宋" w:eastAsia="仿宋" w:cs="仿宋"/>
          <w:color w:val="auto"/>
          <w:highlight w:val="none"/>
        </w:rPr>
      </w:pPr>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部分 合同</w:t>
      </w:r>
      <w:bookmarkEnd w:id="44"/>
    </w:p>
    <w:p>
      <w:pPr>
        <w:spacing w:line="360" w:lineRule="auto"/>
        <w:jc w:val="center"/>
        <w:rPr>
          <w:rFonts w:hint="eastAsia" w:ascii="仿宋" w:hAnsi="仿宋" w:eastAsia="仿宋" w:cs="仿宋"/>
          <w:b/>
          <w:bCs/>
          <w:color w:val="auto"/>
          <w:sz w:val="28"/>
          <w:szCs w:val="21"/>
          <w:highlight w:val="none"/>
        </w:rPr>
      </w:pPr>
      <w:bookmarkStart w:id="45" w:name="_Toc21001"/>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eastAsia="zh-CN"/>
        </w:rPr>
        <w:t>注：</w:t>
      </w:r>
      <w:r>
        <w:rPr>
          <w:rFonts w:hint="eastAsia" w:ascii="仿宋" w:hAnsi="仿宋" w:eastAsia="仿宋" w:cs="仿宋"/>
          <w:b/>
          <w:bCs/>
          <w:color w:val="auto"/>
          <w:szCs w:val="21"/>
          <w:highlight w:val="none"/>
        </w:rPr>
        <w:t>此合同仅供参考，具体的合同签订双方可根据项目的具体要求进行修订）</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                                       项目编号：</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甲方：（买方）_________</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乙方：（卖方）_________</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 xml:space="preserve">   </w:t>
      </w:r>
      <w:r>
        <w:rPr>
          <w:rFonts w:hint="eastAsia" w:ascii="仿宋" w:hAnsi="仿宋" w:eastAsia="仿宋" w:cs="仿宋"/>
          <w:color w:val="auto"/>
          <w:sz w:val="22"/>
          <w:szCs w:val="22"/>
          <w:highlight w:val="none"/>
        </w:rPr>
        <w:t>甲、乙双方根据</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项目招标的结果，签署本合同。</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一、产品内容</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 产品名称：</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 型号规格：</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 数量（单位）：</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二、合同金额</w:t>
      </w:r>
    </w:p>
    <w:p>
      <w:pPr>
        <w:pStyle w:val="11"/>
        <w:keepNext w:val="0"/>
        <w:keepLines w:val="0"/>
        <w:pageBreakBefore w:val="0"/>
        <w:kinsoku/>
        <w:wordWrap/>
        <w:overflowPunct/>
        <w:topLinePunct w:val="0"/>
        <w:autoSpaceDE/>
        <w:autoSpaceDN/>
        <w:bidi w:val="0"/>
        <w:adjustRightInd/>
        <w:snapToGrid/>
        <w:spacing w:line="360" w:lineRule="auto"/>
        <w:ind w:left="410" w:hanging="376" w:hangingChars="171"/>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 本合同金额为（大写）：___________________（_______________元）人民币或其他币种。</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三、技术资料</w:t>
      </w:r>
    </w:p>
    <w:p>
      <w:pPr>
        <w:pStyle w:val="11"/>
        <w:keepNext w:val="0"/>
        <w:keepLines w:val="0"/>
        <w:pageBreakBefore w:val="0"/>
        <w:kinsoku/>
        <w:wordWrap/>
        <w:overflowPunct/>
        <w:topLinePunct w:val="0"/>
        <w:autoSpaceDE/>
        <w:autoSpaceDN/>
        <w:bidi w:val="0"/>
        <w:adjustRightInd/>
        <w:snapToGrid/>
        <w:spacing w:line="360" w:lineRule="auto"/>
        <w:ind w:left="410" w:hanging="376" w:hangingChars="171"/>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3.1乙方应按招标文件规定的时间向甲方提供使用产品的有关技术资料。</w:t>
      </w:r>
    </w:p>
    <w:p>
      <w:pPr>
        <w:pStyle w:val="11"/>
        <w:keepNext w:val="0"/>
        <w:keepLines w:val="0"/>
        <w:pageBreakBefore w:val="0"/>
        <w:kinsoku/>
        <w:wordWrap/>
        <w:overflowPunct/>
        <w:topLinePunct w:val="0"/>
        <w:autoSpaceDE/>
        <w:autoSpaceDN/>
        <w:bidi w:val="0"/>
        <w:adjustRightInd/>
        <w:snapToGrid/>
        <w:spacing w:line="360" w:lineRule="auto"/>
        <w:ind w:left="410" w:hanging="376" w:hangingChars="171"/>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keepNext w:val="0"/>
        <w:keepLines w:val="0"/>
        <w:pageBreakBefore w:val="0"/>
        <w:kinsoku/>
        <w:wordWrap/>
        <w:overflowPunct/>
        <w:topLinePunct w:val="0"/>
        <w:autoSpaceDE/>
        <w:autoSpaceDN/>
        <w:bidi w:val="0"/>
        <w:adjustRightInd/>
        <w:snapToGrid/>
        <w:spacing w:line="360" w:lineRule="auto"/>
        <w:ind w:left="412" w:hanging="378" w:hangingChars="171"/>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四、知识产权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4.1乙方应保证甲方在使用、接受本合同产品和服务或其任何一部分时不受第三方提出侵犯其专利权、版权、商标权和工业设计权等知识产权的起诉。一旦出现侵权，由乙方负全部责任。</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u w:val="single"/>
        </w:rPr>
      </w:pPr>
      <w:r>
        <w:rPr>
          <w:rFonts w:hint="eastAsia" w:ascii="仿宋" w:hAnsi="仿宋" w:eastAsia="仿宋" w:cs="仿宋"/>
          <w:b/>
          <w:color w:val="auto"/>
          <w:sz w:val="22"/>
          <w:szCs w:val="22"/>
          <w:highlight w:val="none"/>
        </w:rPr>
        <w:t>五、产权担保</w:t>
      </w:r>
    </w:p>
    <w:p>
      <w:pPr>
        <w:pStyle w:val="11"/>
        <w:keepNext w:val="0"/>
        <w:keepLines w:val="0"/>
        <w:pageBreakBefore w:val="0"/>
        <w:kinsoku/>
        <w:wordWrap/>
        <w:overflowPunct/>
        <w:topLinePunct w:val="0"/>
        <w:autoSpaceDE/>
        <w:autoSpaceDN/>
        <w:bidi w:val="0"/>
        <w:adjustRightInd/>
        <w:snapToGrid/>
        <w:spacing w:line="360" w:lineRule="auto"/>
        <w:ind w:left="408" w:hanging="374" w:hangingChars="17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5.1 乙方保证所交付的产品的所有权完全属于乙方且无任何抵押、查封等产权瑕疵。</w:t>
      </w:r>
    </w:p>
    <w:p>
      <w:pPr>
        <w:pStyle w:val="11"/>
        <w:keepNext w:val="0"/>
        <w:keepLines w:val="0"/>
        <w:pageBreakBefore w:val="0"/>
        <w:kinsoku/>
        <w:wordWrap/>
        <w:overflowPunct/>
        <w:topLinePunct w:val="0"/>
        <w:autoSpaceDE/>
        <w:autoSpaceDN/>
        <w:bidi w:val="0"/>
        <w:adjustRightInd/>
        <w:snapToGrid/>
        <w:spacing w:line="360" w:lineRule="auto"/>
        <w:ind w:left="410" w:hanging="375" w:hangingChars="17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六、履约保证金</w:t>
      </w:r>
    </w:p>
    <w:p>
      <w:pPr>
        <w:pStyle w:val="11"/>
        <w:keepNext w:val="0"/>
        <w:keepLines w:val="0"/>
        <w:pageBreakBefore w:val="0"/>
        <w:kinsoku/>
        <w:wordWrap/>
        <w:overflowPunct/>
        <w:topLinePunct w:val="0"/>
        <w:autoSpaceDE/>
        <w:autoSpaceDN/>
        <w:bidi w:val="0"/>
        <w:adjustRightInd/>
        <w:snapToGrid/>
        <w:spacing w:line="360" w:lineRule="auto"/>
        <w:ind w:left="408" w:hanging="374" w:hangingChars="17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6.1 乙方交纳人民币_________元作为本合同的履约保证金。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七、转包或分包</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7.1本合同范围的产品，应由乙方直接供应，不得转让他人供应；</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7.2 除非得到甲方的书面同意，乙方不得部分分包给他人供应。</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7.3如有转让和未经甲方同意的分包行为，甲方有权给予终止合同。</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lang w:eastAsia="zh-CN"/>
        </w:rPr>
      </w:pPr>
      <w:r>
        <w:rPr>
          <w:rFonts w:hint="eastAsia" w:ascii="仿宋" w:hAnsi="仿宋" w:eastAsia="仿宋" w:cs="仿宋"/>
          <w:b/>
          <w:color w:val="auto"/>
          <w:sz w:val="22"/>
          <w:szCs w:val="22"/>
          <w:highlight w:val="none"/>
        </w:rPr>
        <w:t>八、</w:t>
      </w:r>
      <w:r>
        <w:rPr>
          <w:rFonts w:hint="eastAsia" w:ascii="仿宋" w:hAnsi="仿宋" w:eastAsia="仿宋" w:cs="仿宋"/>
          <w:b/>
          <w:color w:val="auto"/>
          <w:sz w:val="22"/>
          <w:szCs w:val="22"/>
          <w:highlight w:val="none"/>
          <w:lang w:eastAsia="zh-CN"/>
        </w:rPr>
        <w:t>质保期</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8.1 产品</w:t>
      </w:r>
      <w:r>
        <w:rPr>
          <w:rFonts w:hint="eastAsia" w:ascii="仿宋" w:hAnsi="仿宋" w:eastAsia="仿宋" w:cs="仿宋"/>
          <w:color w:val="auto"/>
          <w:sz w:val="22"/>
          <w:szCs w:val="22"/>
          <w:highlight w:val="none"/>
          <w:lang w:eastAsia="zh-CN"/>
        </w:rPr>
        <w:t>质保期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年。（自通过甲方验收合格之日起计）</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九、交货期、交货方式及交货地点</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Cs/>
          <w:color w:val="auto"/>
          <w:sz w:val="22"/>
          <w:szCs w:val="22"/>
          <w:highlight w:val="none"/>
          <w:lang w:val="en-US" w:eastAsia="zh-CN"/>
        </w:rPr>
      </w:pPr>
      <w:r>
        <w:rPr>
          <w:rFonts w:hint="eastAsia" w:ascii="仿宋" w:hAnsi="仿宋" w:eastAsia="仿宋" w:cs="仿宋"/>
          <w:bCs/>
          <w:color w:val="auto"/>
          <w:sz w:val="22"/>
          <w:szCs w:val="22"/>
          <w:highlight w:val="none"/>
        </w:rPr>
        <w:t>9.1 交货期：</w:t>
      </w:r>
      <w:r>
        <w:rPr>
          <w:rFonts w:hint="eastAsia" w:ascii="仿宋" w:hAnsi="仿宋" w:eastAsia="仿宋" w:cs="仿宋"/>
          <w:color w:val="auto"/>
          <w:spacing w:val="-3"/>
          <w:kern w:val="0"/>
          <w:sz w:val="24"/>
          <w:szCs w:val="24"/>
          <w:highlight w:val="none"/>
          <w:u w:val="single"/>
          <w:lang w:val="en-US" w:eastAsia="zh-CN" w:bidi="ar-SA"/>
        </w:rPr>
        <w:t xml:space="preserve">                    </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Cs/>
          <w:color w:val="auto"/>
          <w:sz w:val="22"/>
          <w:szCs w:val="22"/>
          <w:highlight w:val="none"/>
          <w:lang w:val="en-US" w:eastAsia="zh-CN"/>
        </w:rPr>
      </w:pPr>
      <w:r>
        <w:rPr>
          <w:rFonts w:hint="eastAsia" w:ascii="仿宋" w:hAnsi="仿宋" w:eastAsia="仿宋" w:cs="仿宋"/>
          <w:bCs/>
          <w:color w:val="auto"/>
          <w:sz w:val="22"/>
          <w:szCs w:val="22"/>
          <w:highlight w:val="none"/>
        </w:rPr>
        <w:t>9.2 交货方式：</w:t>
      </w:r>
      <w:r>
        <w:rPr>
          <w:rFonts w:hint="eastAsia" w:ascii="仿宋" w:hAnsi="仿宋" w:eastAsia="仿宋" w:cs="仿宋"/>
          <w:bCs/>
          <w:color w:val="auto"/>
          <w:sz w:val="22"/>
          <w:szCs w:val="22"/>
          <w:highlight w:val="none"/>
          <w:u w:val="single"/>
          <w:lang w:val="en-US" w:eastAsia="zh-CN"/>
        </w:rPr>
        <w:t xml:space="preserve">                  </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color w:val="auto"/>
          <w:sz w:val="22"/>
          <w:szCs w:val="22"/>
          <w:highlight w:val="none"/>
          <w:lang w:val="en-US" w:eastAsia="zh-CN"/>
        </w:rPr>
      </w:pPr>
      <w:r>
        <w:rPr>
          <w:rFonts w:hint="eastAsia" w:ascii="仿宋" w:hAnsi="仿宋" w:eastAsia="仿宋" w:cs="仿宋"/>
          <w:bCs/>
          <w:color w:val="auto"/>
          <w:sz w:val="22"/>
          <w:szCs w:val="22"/>
          <w:highlight w:val="none"/>
        </w:rPr>
        <w:t>9.3 交货地点：</w:t>
      </w:r>
      <w:r>
        <w:rPr>
          <w:rFonts w:hint="eastAsia" w:ascii="仿宋" w:hAnsi="仿宋" w:eastAsia="仿宋" w:cs="仿宋"/>
          <w:bCs/>
          <w:color w:val="auto"/>
          <w:sz w:val="22"/>
          <w:szCs w:val="22"/>
          <w:highlight w:val="none"/>
          <w:u w:val="single"/>
          <w:lang w:val="en-US" w:eastAsia="zh-CN"/>
        </w:rPr>
        <w:t xml:space="preserve">   </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2"/>
          <w:szCs w:val="22"/>
          <w:highlight w:val="none"/>
        </w:rPr>
      </w:pPr>
      <w:r>
        <w:rPr>
          <w:rFonts w:hint="eastAsia" w:ascii="仿宋" w:hAnsi="仿宋" w:eastAsia="仿宋" w:cs="仿宋"/>
          <w:b/>
          <w:color w:val="auto"/>
          <w:sz w:val="22"/>
          <w:szCs w:val="22"/>
          <w:highlight w:val="none"/>
        </w:rPr>
        <w:t>十、货款支付</w:t>
      </w:r>
    </w:p>
    <w:p>
      <w:pPr>
        <w:numPr>
          <w:ilvl w:val="0"/>
          <w:numId w:val="0"/>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1、交货完毕后，经甲方验收合格后，由甲方支付给乙方合同总金额</w:t>
      </w:r>
      <w:r>
        <w:rPr>
          <w:rFonts w:hint="eastAsia" w:ascii="仿宋" w:hAnsi="仿宋" w:eastAsia="仿宋" w:cs="仿宋"/>
          <w:color w:val="auto"/>
          <w:sz w:val="24"/>
          <w:szCs w:val="24"/>
          <w:highlight w:val="none"/>
          <w:lang w:val="en-US" w:eastAsia="zh-CN"/>
        </w:rPr>
        <w:t>100</w:t>
      </w:r>
      <w:r>
        <w:rPr>
          <w:rFonts w:hint="eastAsia" w:ascii="仿宋" w:hAnsi="仿宋" w:eastAsia="仿宋" w:cs="仿宋"/>
          <w:color w:val="auto"/>
          <w:sz w:val="24"/>
          <w:szCs w:val="24"/>
          <w:highlight w:val="none"/>
        </w:rPr>
        <w:t>%的货款；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rPr>
        <w:t>十一.税</w:t>
      </w:r>
      <w:r>
        <w:rPr>
          <w:rFonts w:hint="eastAsia" w:ascii="仿宋" w:hAnsi="仿宋" w:eastAsia="仿宋" w:cs="仿宋"/>
          <w:b/>
          <w:color w:val="auto"/>
          <w:sz w:val="22"/>
          <w:szCs w:val="22"/>
          <w:highlight w:val="none"/>
          <w:lang w:eastAsia="zh-CN"/>
        </w:rPr>
        <w:t>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11.1本合同执行中相关的一切税费均由乙方负担。</w:t>
      </w:r>
    </w:p>
    <w:p>
      <w:pPr>
        <w:pStyle w:val="11"/>
        <w:keepNext w:val="0"/>
        <w:keepLines w:val="0"/>
        <w:pageBreakBefore w:val="0"/>
        <w:kinsoku/>
        <w:wordWrap/>
        <w:overflowPunct/>
        <w:topLinePunct w:val="0"/>
        <w:autoSpaceDE/>
        <w:autoSpaceDN/>
        <w:bidi w:val="0"/>
        <w:adjustRightInd/>
        <w:snapToGrid/>
        <w:spacing w:line="360" w:lineRule="auto"/>
        <w:ind w:left="412" w:hanging="378" w:hangingChars="171"/>
        <w:textAlignment w:val="auto"/>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十二、质量保证及售后服务</w:t>
      </w:r>
    </w:p>
    <w:p>
      <w:pPr>
        <w:pStyle w:val="11"/>
        <w:keepNext w:val="0"/>
        <w:keepLines w:val="0"/>
        <w:pageBreakBefore w:val="0"/>
        <w:kinsoku/>
        <w:wordWrap/>
        <w:overflowPunct/>
        <w:topLinePunct w:val="0"/>
        <w:autoSpaceDE/>
        <w:autoSpaceDN/>
        <w:bidi w:val="0"/>
        <w:adjustRightInd/>
        <w:snapToGrid/>
        <w:spacing w:line="360" w:lineRule="auto"/>
        <w:ind w:left="410" w:hanging="376" w:hangingChars="171"/>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12.1 乙方应按招标文件规定的产品性能、技术要求、质量标准向甲方提供未经使用的全新产品。</w:t>
      </w:r>
    </w:p>
    <w:p>
      <w:pPr>
        <w:pStyle w:val="11"/>
        <w:keepNext w:val="0"/>
        <w:keepLines w:val="0"/>
        <w:pageBreakBefore w:val="0"/>
        <w:kinsoku/>
        <w:wordWrap/>
        <w:overflowPunct/>
        <w:topLinePunct w:val="0"/>
        <w:autoSpaceDE/>
        <w:autoSpaceDN/>
        <w:bidi w:val="0"/>
        <w:adjustRightInd/>
        <w:snapToGrid/>
        <w:spacing w:line="360" w:lineRule="auto"/>
        <w:ind w:left="480" w:hanging="440" w:hanging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12.2 乙方提供的产品在质量期内因产品本身的质量问题发生故障，乙方应负责免费更换。对达不到技术要求者，根据实际情况，经双方协商，可按以下办法处理：</w:t>
      </w:r>
    </w:p>
    <w:p>
      <w:pPr>
        <w:pStyle w:val="11"/>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⑴更换：由乙方承担所发生的全部费用。</w:t>
      </w:r>
    </w:p>
    <w:p>
      <w:pPr>
        <w:pStyle w:val="11"/>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⑵贬值处理：由甲乙双方合议定价。</w:t>
      </w:r>
    </w:p>
    <w:p>
      <w:pPr>
        <w:pStyle w:val="11"/>
        <w:keepNext w:val="0"/>
        <w:keepLines w:val="0"/>
        <w:pageBreakBefore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⑶退货处理：乙方应退还甲方支付的合同款，同时应承担该产品的直接费用（运输、保险、检验、货款利息及银行手续费等）。</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12.3 如在使用过程中发生质量问题，乙方在接到甲方通知后在___</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____小时内到达甲方现场。</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12.4 在</w:t>
      </w:r>
      <w:r>
        <w:rPr>
          <w:rFonts w:hint="eastAsia" w:ascii="仿宋" w:hAnsi="仿宋" w:eastAsia="仿宋" w:cs="仿宋"/>
          <w:color w:val="auto"/>
          <w:sz w:val="22"/>
          <w:szCs w:val="22"/>
          <w:highlight w:val="none"/>
          <w:lang w:eastAsia="zh-CN"/>
        </w:rPr>
        <w:t>质保期</w:t>
      </w:r>
      <w:r>
        <w:rPr>
          <w:rFonts w:hint="eastAsia" w:ascii="仿宋" w:hAnsi="仿宋" w:eastAsia="仿宋" w:cs="仿宋"/>
          <w:color w:val="auto"/>
          <w:sz w:val="22"/>
          <w:szCs w:val="22"/>
          <w:highlight w:val="none"/>
        </w:rPr>
        <w:t>内，乙方应对产品出现的质量及安全问题负责处理解决并承担一切费用。</w:t>
      </w:r>
    </w:p>
    <w:p>
      <w:pPr>
        <w:pStyle w:val="11"/>
        <w:keepNext w:val="0"/>
        <w:keepLines w:val="0"/>
        <w:pageBreakBefore w:val="0"/>
        <w:kinsoku/>
        <w:wordWrap/>
        <w:overflowPunct/>
        <w:topLinePunct w:val="0"/>
        <w:autoSpaceDE/>
        <w:autoSpaceDN/>
        <w:bidi w:val="0"/>
        <w:adjustRightInd/>
        <w:snapToGrid/>
        <w:spacing w:line="360" w:lineRule="auto"/>
        <w:ind w:left="480" w:hanging="440" w:hanging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12.5上述的产品的免费保修期为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年，因人为因素出现的故障不在免费保修范围内。超过保修期后，终生维修，维修时只收部件成本费。</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十三、调试和验收</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13.1 初验条件：所投软硬件产品全部安装部署到位，产品外观、数量、功能、性能、技术参数以及集成服务等符合招标文件要求。</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13.2 终验条件：通过甲方初验后，试运行3个月，所投软硬件产品运行正常，满足甲方</w:t>
      </w:r>
      <w:r>
        <w:rPr>
          <w:rFonts w:hint="eastAsia" w:ascii="仿宋" w:hAnsi="仿宋" w:eastAsia="仿宋" w:cs="仿宋"/>
          <w:color w:val="auto"/>
          <w:sz w:val="22"/>
          <w:szCs w:val="22"/>
          <w:highlight w:val="none"/>
          <w:lang w:val="en-US" w:eastAsia="zh-CN"/>
        </w:rPr>
        <w:t>对电梯</w:t>
      </w:r>
      <w:r>
        <w:rPr>
          <w:rFonts w:hint="eastAsia" w:ascii="仿宋" w:hAnsi="仿宋" w:eastAsia="仿宋" w:cs="仿宋"/>
          <w:color w:val="auto"/>
          <w:sz w:val="22"/>
          <w:szCs w:val="22"/>
          <w:highlight w:val="none"/>
        </w:rPr>
        <w:t>安全管理服务需求，提交全部报告材料。</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13.3 对技术复杂的产品，甲方可请国家认可的专业检测机构参与初步验收及最终验收，并由其出具质量检测报告，验收费用由乙方承担。</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十四、产品包装、发运及运输</w:t>
      </w:r>
    </w:p>
    <w:p>
      <w:pPr>
        <w:pStyle w:val="11"/>
        <w:keepNext w:val="0"/>
        <w:keepLines w:val="0"/>
        <w:pageBreakBefore w:val="0"/>
        <w:kinsoku/>
        <w:wordWrap/>
        <w:overflowPunct/>
        <w:topLinePunct w:val="0"/>
        <w:autoSpaceDE/>
        <w:autoSpaceDN/>
        <w:bidi w:val="0"/>
        <w:adjustRightInd/>
        <w:snapToGrid/>
        <w:spacing w:line="360" w:lineRule="auto"/>
        <w:ind w:left="480" w:hanging="440" w:hanging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14.1 乙方应在产品发运前对其进行满足运输距离、防潮、防震、防锈和防破损装卸等要求包装，以保证产品安全运达甲方指定地点。</w:t>
      </w:r>
    </w:p>
    <w:p>
      <w:pPr>
        <w:pStyle w:val="11"/>
        <w:keepNext w:val="0"/>
        <w:keepLines w:val="0"/>
        <w:pageBreakBefore w:val="0"/>
        <w:kinsoku/>
        <w:wordWrap/>
        <w:overflowPunct/>
        <w:topLinePunct w:val="0"/>
        <w:autoSpaceDE/>
        <w:autoSpaceDN/>
        <w:bidi w:val="0"/>
        <w:adjustRightInd/>
        <w:snapToGrid/>
        <w:spacing w:line="360" w:lineRule="auto"/>
        <w:ind w:left="480" w:hanging="440" w:hanging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14.2 使用说明书、质量检验证明书、随配附件和工具以及清单一并附于产品内。</w:t>
      </w:r>
    </w:p>
    <w:p>
      <w:pPr>
        <w:pStyle w:val="11"/>
        <w:keepNext w:val="0"/>
        <w:keepLines w:val="0"/>
        <w:pageBreakBefore w:val="0"/>
        <w:kinsoku/>
        <w:wordWrap/>
        <w:overflowPunct/>
        <w:topLinePunct w:val="0"/>
        <w:autoSpaceDE/>
        <w:autoSpaceDN/>
        <w:bidi w:val="0"/>
        <w:adjustRightInd/>
        <w:snapToGrid/>
        <w:spacing w:line="360" w:lineRule="auto"/>
        <w:ind w:left="480" w:hanging="440" w:hanging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14.3 乙方在产品发运手续办理完毕后24小时内或货到甲方48小时前通知甲方，以准备接货。</w:t>
      </w:r>
    </w:p>
    <w:p>
      <w:pPr>
        <w:pStyle w:val="11"/>
        <w:keepNext w:val="0"/>
        <w:keepLines w:val="0"/>
        <w:pageBreakBefore w:val="0"/>
        <w:kinsoku/>
        <w:wordWrap/>
        <w:overflowPunct/>
        <w:topLinePunct w:val="0"/>
        <w:autoSpaceDE/>
        <w:autoSpaceDN/>
        <w:bidi w:val="0"/>
        <w:adjustRightInd/>
        <w:snapToGrid/>
        <w:spacing w:line="360" w:lineRule="auto"/>
        <w:ind w:left="480" w:hanging="440" w:hanging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14.4 产品在交付甲方前发生的风险均由乙方负责。</w:t>
      </w:r>
    </w:p>
    <w:p>
      <w:pPr>
        <w:pStyle w:val="11"/>
        <w:keepNext w:val="0"/>
        <w:keepLines w:val="0"/>
        <w:pageBreakBefore w:val="0"/>
        <w:kinsoku/>
        <w:wordWrap/>
        <w:overflowPunct/>
        <w:topLinePunct w:val="0"/>
        <w:autoSpaceDE/>
        <w:autoSpaceDN/>
        <w:bidi w:val="0"/>
        <w:adjustRightInd/>
        <w:snapToGrid/>
        <w:spacing w:line="360" w:lineRule="auto"/>
        <w:ind w:left="480" w:right="26" w:hanging="440" w:hanging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14.5 产品在规定的交付期限内由乙方送达甲方指定的地点视为交付，乙方同时需通知甲方产品已送达。</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十五、违约责任</w:t>
      </w:r>
    </w:p>
    <w:p>
      <w:pPr>
        <w:pStyle w:val="11"/>
        <w:keepNext w:val="0"/>
        <w:keepLines w:val="0"/>
        <w:pageBreakBefore w:val="0"/>
        <w:kinsoku/>
        <w:wordWrap/>
        <w:overflowPunct/>
        <w:topLinePunct w:val="0"/>
        <w:autoSpaceDE/>
        <w:autoSpaceDN/>
        <w:bidi w:val="0"/>
        <w:adjustRightInd/>
        <w:snapToGrid/>
        <w:spacing w:line="360" w:lineRule="auto"/>
        <w:ind w:left="410" w:hanging="376" w:hangingChars="171"/>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15.1 甲方无正当理由拒收产品的，甲方向乙方偿付拒收货款总值的百分之五违约金。</w:t>
      </w:r>
    </w:p>
    <w:p>
      <w:pPr>
        <w:pStyle w:val="11"/>
        <w:keepNext w:val="0"/>
        <w:keepLines w:val="0"/>
        <w:pageBreakBefore w:val="0"/>
        <w:kinsoku/>
        <w:wordWrap/>
        <w:overflowPunct/>
        <w:topLinePunct w:val="0"/>
        <w:autoSpaceDE/>
        <w:autoSpaceDN/>
        <w:bidi w:val="0"/>
        <w:adjustRightInd/>
        <w:snapToGrid/>
        <w:spacing w:line="360" w:lineRule="auto"/>
        <w:ind w:left="410" w:hanging="376" w:hangingChars="171"/>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15.2 甲方无故逾期验收和办理货款支付手续的,甲方应按逾期付款总额每日万分之五向乙方支付违约金。</w:t>
      </w:r>
    </w:p>
    <w:p>
      <w:pPr>
        <w:pStyle w:val="11"/>
        <w:keepNext w:val="0"/>
        <w:keepLines w:val="0"/>
        <w:pageBreakBefore w:val="0"/>
        <w:kinsoku/>
        <w:wordWrap/>
        <w:overflowPunct/>
        <w:topLinePunct w:val="0"/>
        <w:autoSpaceDE/>
        <w:autoSpaceDN/>
        <w:bidi w:val="0"/>
        <w:adjustRightInd/>
        <w:snapToGrid/>
        <w:spacing w:line="360" w:lineRule="auto"/>
        <w:ind w:left="410" w:hanging="376" w:hangingChars="171"/>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15.3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1"/>
        <w:keepNext w:val="0"/>
        <w:keepLines w:val="0"/>
        <w:pageBreakBefore w:val="0"/>
        <w:kinsoku/>
        <w:wordWrap/>
        <w:overflowPunct/>
        <w:topLinePunct w:val="0"/>
        <w:autoSpaceDE/>
        <w:autoSpaceDN/>
        <w:bidi w:val="0"/>
        <w:adjustRightInd/>
        <w:snapToGrid/>
        <w:spacing w:line="360" w:lineRule="auto"/>
        <w:ind w:left="410" w:hanging="376" w:hangingChars="171"/>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15.4 乙方所交的产品品种、型号、规格、技术参数、质量不符合合同规定及招标文件规定标准的，甲方有权拒收该产品，乙方愿意更换产品但逾期交货的，按乙方逾期交货处理。乙方拒绝更换产品的，甲方可单方面解除合同。</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十六、不可抗力事件处理</w:t>
      </w:r>
    </w:p>
    <w:p>
      <w:pPr>
        <w:pStyle w:val="11"/>
        <w:keepNext w:val="0"/>
        <w:keepLines w:val="0"/>
        <w:pageBreakBefore w:val="0"/>
        <w:kinsoku/>
        <w:wordWrap/>
        <w:overflowPunct/>
        <w:topLinePunct w:val="0"/>
        <w:autoSpaceDE/>
        <w:autoSpaceDN/>
        <w:bidi w:val="0"/>
        <w:adjustRightInd/>
        <w:snapToGrid/>
        <w:spacing w:line="360" w:lineRule="auto"/>
        <w:ind w:left="480" w:hanging="440" w:hanging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16.1 在合同有效期内，任何一方因不可抗力事件导致不能履行合同，则合同履行期可延长，其延长期与不可抗力影响期相同。</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16.2 不可抗力事件发生后，应立即通知对方，并寄送有关权威机构出具的证明。</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16.3 不可抗力事件延续120天以上，双方应通过友好协商，确定是否继续履行合同。</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十七、诉讼</w:t>
      </w:r>
    </w:p>
    <w:p>
      <w:pPr>
        <w:pStyle w:val="11"/>
        <w:keepNext w:val="0"/>
        <w:keepLines w:val="0"/>
        <w:pageBreakBefore w:val="0"/>
        <w:kinsoku/>
        <w:wordWrap/>
        <w:overflowPunct/>
        <w:topLinePunct w:val="0"/>
        <w:autoSpaceDE/>
        <w:autoSpaceDN/>
        <w:bidi w:val="0"/>
        <w:adjustRightInd/>
        <w:snapToGrid/>
        <w:spacing w:line="360" w:lineRule="auto"/>
        <w:ind w:left="480" w:hanging="440" w:hanging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17.1 双方在执行合同中所发生的一切争议，应通过协商解决。如协商不成，可向合同签订地法院起诉，合同签订地在此约定为</w:t>
      </w:r>
      <w:r>
        <w:rPr>
          <w:rFonts w:hint="eastAsia" w:ascii="仿宋" w:hAnsi="仿宋" w:eastAsia="仿宋" w:cs="仿宋"/>
          <w:color w:val="auto"/>
          <w:sz w:val="22"/>
          <w:szCs w:val="22"/>
          <w:highlight w:val="none"/>
          <w:lang w:eastAsia="zh-CN"/>
        </w:rPr>
        <w:t>阜康</w:t>
      </w:r>
      <w:r>
        <w:rPr>
          <w:rFonts w:hint="eastAsia" w:ascii="仿宋" w:hAnsi="仿宋" w:eastAsia="仿宋" w:cs="仿宋"/>
          <w:color w:val="auto"/>
          <w:sz w:val="22"/>
          <w:szCs w:val="22"/>
          <w:highlight w:val="none"/>
          <w:u w:val="none"/>
        </w:rPr>
        <w:t>市</w:t>
      </w:r>
      <w:r>
        <w:rPr>
          <w:rFonts w:hint="eastAsia" w:ascii="仿宋" w:hAnsi="仿宋" w:eastAsia="仿宋" w:cs="仿宋"/>
          <w:color w:val="auto"/>
          <w:sz w:val="22"/>
          <w:szCs w:val="22"/>
          <w:highlight w:val="none"/>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2"/>
          <w:szCs w:val="22"/>
          <w:highlight w:val="none"/>
        </w:rPr>
        <w:t>十八、</w:t>
      </w:r>
      <w:r>
        <w:rPr>
          <w:rFonts w:hint="eastAsia" w:ascii="仿宋" w:hAnsi="仿宋" w:eastAsia="仿宋" w:cs="仿宋"/>
          <w:b/>
          <w:color w:val="auto"/>
          <w:sz w:val="24"/>
          <w:szCs w:val="24"/>
          <w:highlight w:val="none"/>
        </w:rPr>
        <w:t>组成本合同的文件包括：</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18.1合同通用条款和专用条款；</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18.2采购文件和乙方的投标文件；</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18.3中标通知书；</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18.4甲乙双方商定的其他必要文件。</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上述合同文件内容互为补充，如有不明确，由甲方负责解释。</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十九、合同生效及其它</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19.1 合同经双方法定代表人或授权委托代表人签字并加盖单位公章，并经采购中心见证盖章后生效。</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19.2本合同未尽事宜，遵照《合同法》有关条文执行。</w:t>
      </w:r>
    </w:p>
    <w:p>
      <w:pPr>
        <w:pStyle w:val="11"/>
        <w:keepNext w:val="0"/>
        <w:keepLines w:val="0"/>
        <w:pageBreakBefore w:val="0"/>
        <w:kinsoku/>
        <w:wordWrap/>
        <w:overflowPunct/>
        <w:topLinePunct w:val="0"/>
        <w:autoSpaceDE/>
        <w:autoSpaceDN/>
        <w:bidi w:val="0"/>
        <w:adjustRightInd/>
        <w:snapToGrid/>
        <w:spacing w:line="360" w:lineRule="auto"/>
        <w:ind w:left="480" w:hanging="440" w:hanging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19.3 本合同正本一式</w:t>
      </w:r>
      <w:r>
        <w:rPr>
          <w:rFonts w:hint="eastAsia" w:ascii="仿宋" w:hAnsi="仿宋" w:eastAsia="仿宋" w:cs="仿宋"/>
          <w:color w:val="auto"/>
          <w:sz w:val="22"/>
          <w:szCs w:val="22"/>
          <w:highlight w:val="none"/>
          <w:lang w:val="en-US" w:eastAsia="zh-CN"/>
        </w:rPr>
        <w:t>六</w:t>
      </w:r>
      <w:r>
        <w:rPr>
          <w:rFonts w:hint="eastAsia" w:ascii="仿宋" w:hAnsi="仿宋" w:eastAsia="仿宋" w:cs="仿宋"/>
          <w:color w:val="auto"/>
          <w:sz w:val="22"/>
          <w:szCs w:val="22"/>
          <w:highlight w:val="none"/>
        </w:rPr>
        <w:t>份，具有同等法律效力，甲方、乙方各执</w:t>
      </w:r>
      <w:r>
        <w:rPr>
          <w:rFonts w:hint="eastAsia" w:ascii="仿宋" w:hAnsi="仿宋" w:eastAsia="仿宋" w:cs="仿宋"/>
          <w:color w:val="auto"/>
          <w:sz w:val="22"/>
          <w:szCs w:val="22"/>
          <w:highlight w:val="none"/>
          <w:lang w:val="en-US" w:eastAsia="zh-CN"/>
        </w:rPr>
        <w:t>三</w:t>
      </w:r>
      <w:r>
        <w:rPr>
          <w:rFonts w:hint="eastAsia" w:ascii="仿宋" w:hAnsi="仿宋" w:eastAsia="仿宋" w:cs="仿宋"/>
          <w:color w:val="auto"/>
          <w:sz w:val="22"/>
          <w:szCs w:val="22"/>
          <w:highlight w:val="none"/>
        </w:rPr>
        <w:t>份。</w:t>
      </w:r>
    </w:p>
    <w:p>
      <w:pPr>
        <w:pStyle w:val="11"/>
        <w:keepNext w:val="0"/>
        <w:keepLines w:val="0"/>
        <w:pageBreakBefore w:val="0"/>
        <w:kinsoku/>
        <w:wordWrap/>
        <w:overflowPunct/>
        <w:topLinePunct w:val="0"/>
        <w:autoSpaceDE/>
        <w:autoSpaceDN/>
        <w:bidi w:val="0"/>
        <w:adjustRightInd/>
        <w:snapToGrid/>
        <w:spacing w:line="360" w:lineRule="auto"/>
        <w:ind w:left="480" w:hanging="440" w:hanging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甲方：                        乙方： </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地址：                        地址： </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法定代表人或授权代表：        法定代表人或授权代表：</w:t>
      </w:r>
    </w:p>
    <w:p>
      <w:pPr>
        <w:pStyle w:val="11"/>
        <w:keepNext w:val="0"/>
        <w:keepLines w:val="0"/>
        <w:pageBreakBefore w:val="0"/>
        <w:kinsoku/>
        <w:wordWrap/>
        <w:overflowPunct/>
        <w:topLinePunct w:val="0"/>
        <w:autoSpaceDE/>
        <w:autoSpaceDN/>
        <w:bidi w:val="0"/>
        <w:adjustRightInd/>
        <w:snapToGrid/>
        <w:spacing w:line="360" w:lineRule="auto"/>
        <w:ind w:firstLine="220" w:firstLineChars="1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联系电话：                    联系电话：       </w:t>
      </w:r>
    </w:p>
    <w:p>
      <w:pPr>
        <w:pStyle w:val="37"/>
        <w:adjustRightInd/>
        <w:ind w:firstLine="1980" w:firstLineChars="900"/>
        <w:rPr>
          <w:rFonts w:hint="eastAsia" w:ascii="Times New Roman" w:hAnsi="Times New Roman" w:eastAsia="宋体" w:cs="Times New Roman"/>
          <w:color w:val="auto"/>
          <w:sz w:val="32"/>
          <w:szCs w:val="32"/>
          <w:highlight w:val="none"/>
        </w:rPr>
      </w:pPr>
      <w:r>
        <w:rPr>
          <w:rFonts w:hint="eastAsia" w:ascii="仿宋" w:hAnsi="仿宋" w:eastAsia="仿宋" w:cs="仿宋"/>
          <w:color w:val="auto"/>
          <w:sz w:val="22"/>
          <w:szCs w:val="22"/>
          <w:highlight w:val="none"/>
        </w:rPr>
        <w:t>签订日期：      年  月  日</w:t>
      </w:r>
    </w:p>
    <w:p>
      <w:pPr>
        <w:shd w:val="clear"/>
        <w:spacing w:line="560" w:lineRule="exact"/>
        <w:rPr>
          <w:rFonts w:hint="default" w:ascii="Times New Roman" w:hAnsi="Times New Roman" w:eastAsia="宋体" w:cs="Times New Roman"/>
          <w:color w:val="auto"/>
          <w:sz w:val="32"/>
          <w:szCs w:val="32"/>
          <w:highlight w:val="none"/>
        </w:rPr>
      </w:pPr>
    </w:p>
    <w:p>
      <w:pPr>
        <w:shd w:val="clear"/>
        <w:spacing w:line="560" w:lineRule="exact"/>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甲方:（盖章）                乙方:（盖章）</w:t>
      </w:r>
    </w:p>
    <w:p>
      <w:pPr>
        <w:shd w:val="clear"/>
        <w:spacing w:line="560" w:lineRule="exact"/>
        <w:rPr>
          <w:rFonts w:hint="default" w:ascii="Times New Roman" w:hAnsi="Times New Roman" w:eastAsia="宋体" w:cs="Times New Roman"/>
          <w:color w:val="auto"/>
          <w:sz w:val="32"/>
          <w:szCs w:val="32"/>
          <w:highlight w:val="none"/>
        </w:rPr>
      </w:pPr>
    </w:p>
    <w:p>
      <w:pPr>
        <w:shd w:val="clear"/>
        <w:spacing w:line="560" w:lineRule="exact"/>
        <w:rPr>
          <w:rFonts w:hint="default" w:ascii="Times New Roman" w:hAnsi="Times New Roman" w:eastAsia="宋体" w:cs="Times New Roman"/>
          <w:color w:val="auto"/>
          <w:sz w:val="32"/>
          <w:szCs w:val="32"/>
          <w:highlight w:val="none"/>
        </w:rPr>
      </w:pPr>
    </w:p>
    <w:p>
      <w:pPr>
        <w:shd w:val="clear"/>
        <w:spacing w:line="560" w:lineRule="exact"/>
        <w:rPr>
          <w:rFonts w:hint="default" w:ascii="Times New Roman" w:hAnsi="Times New Roman" w:eastAsia="宋体" w:cs="Times New Roman"/>
          <w:color w:val="auto"/>
          <w:sz w:val="32"/>
          <w:szCs w:val="32"/>
          <w:highlight w:val="none"/>
        </w:rPr>
      </w:pPr>
    </w:p>
    <w:p>
      <w:pPr>
        <w:shd w:val="clear"/>
        <w:spacing w:line="560" w:lineRule="exact"/>
        <w:rPr>
          <w:rFonts w:hint="default" w:ascii="Times New Roman" w:hAnsi="Times New Roman" w:eastAsia="宋体" w:cs="Times New Roman"/>
          <w:color w:val="auto"/>
          <w:sz w:val="32"/>
          <w:szCs w:val="32"/>
          <w:highlight w:val="none"/>
        </w:rPr>
      </w:pPr>
    </w:p>
    <w:p>
      <w:pPr>
        <w:shd w:val="clear"/>
        <w:spacing w:line="560" w:lineRule="exact"/>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法定代表人（</w:t>
      </w:r>
      <w:r>
        <w:rPr>
          <w:rFonts w:hint="eastAsia" w:ascii="Times New Roman" w:hAnsi="Times New Roman" w:eastAsia="宋体" w:cs="Times New Roman"/>
          <w:color w:val="auto"/>
          <w:sz w:val="32"/>
          <w:szCs w:val="32"/>
          <w:highlight w:val="none"/>
          <w:lang w:val="en-US" w:eastAsia="zh-CN"/>
        </w:rPr>
        <w:t>盖章</w:t>
      </w:r>
      <w:r>
        <w:rPr>
          <w:rFonts w:hint="default"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lang w:val="en-US" w:eastAsia="zh-CN"/>
        </w:rPr>
        <w:t xml:space="preserve"> </w:t>
      </w:r>
      <w:r>
        <w:rPr>
          <w:rFonts w:hint="default" w:ascii="Times New Roman" w:hAnsi="Times New Roman" w:eastAsia="宋体" w:cs="Times New Roman"/>
          <w:color w:val="auto"/>
          <w:sz w:val="32"/>
          <w:szCs w:val="32"/>
          <w:highlight w:val="none"/>
        </w:rPr>
        <w:t>法定代表人（</w:t>
      </w:r>
      <w:r>
        <w:rPr>
          <w:rFonts w:hint="eastAsia" w:ascii="Times New Roman" w:hAnsi="Times New Roman" w:eastAsia="宋体" w:cs="Times New Roman"/>
          <w:color w:val="auto"/>
          <w:sz w:val="32"/>
          <w:szCs w:val="32"/>
          <w:highlight w:val="none"/>
          <w:lang w:val="en-US" w:eastAsia="zh-CN"/>
        </w:rPr>
        <w:t>盖章</w:t>
      </w:r>
      <w:r>
        <w:rPr>
          <w:rFonts w:hint="default" w:ascii="Times New Roman" w:hAnsi="Times New Roman" w:eastAsia="宋体" w:cs="Times New Roman"/>
          <w:color w:val="auto"/>
          <w:sz w:val="32"/>
          <w:szCs w:val="32"/>
          <w:highlight w:val="none"/>
        </w:rPr>
        <w:t>）</w:t>
      </w:r>
    </w:p>
    <w:p>
      <w:pPr>
        <w:shd w:val="clear"/>
        <w:spacing w:line="560" w:lineRule="exact"/>
        <w:rPr>
          <w:rFonts w:hint="default" w:ascii="Times New Roman" w:hAnsi="Times New Roman" w:eastAsia="宋体" w:cs="Times New Roman"/>
          <w:color w:val="auto"/>
          <w:sz w:val="32"/>
          <w:szCs w:val="32"/>
          <w:highlight w:val="none"/>
        </w:rPr>
      </w:pPr>
    </w:p>
    <w:p>
      <w:pPr>
        <w:shd w:val="clear"/>
        <w:spacing w:line="560" w:lineRule="exact"/>
        <w:rPr>
          <w:rFonts w:hint="default" w:ascii="Times New Roman" w:hAnsi="Times New Roman" w:eastAsia="宋体" w:cs="Times New Roman"/>
          <w:color w:val="auto"/>
          <w:sz w:val="32"/>
          <w:szCs w:val="32"/>
          <w:highlight w:val="none"/>
        </w:rPr>
      </w:pPr>
    </w:p>
    <w:p>
      <w:pPr>
        <w:shd w:val="clear"/>
        <w:spacing w:line="560" w:lineRule="exact"/>
        <w:rPr>
          <w:rFonts w:hint="default" w:ascii="Times New Roman" w:hAnsi="Times New Roman" w:eastAsia="宋体" w:cs="Times New Roman"/>
          <w:color w:val="auto"/>
          <w:sz w:val="32"/>
          <w:szCs w:val="32"/>
          <w:highlight w:val="none"/>
        </w:rPr>
      </w:pPr>
    </w:p>
    <w:p>
      <w:pPr>
        <w:shd w:val="clear"/>
        <w:spacing w:line="560" w:lineRule="exact"/>
        <w:rPr>
          <w:rFonts w:hint="default" w:ascii="Times New Roman" w:hAnsi="Times New Roman" w:eastAsia="宋体" w:cs="Times New Roman"/>
          <w:color w:val="auto"/>
          <w:sz w:val="32"/>
          <w:szCs w:val="32"/>
          <w:highlight w:val="none"/>
        </w:rPr>
      </w:pPr>
    </w:p>
    <w:p>
      <w:pPr>
        <w:shd w:val="clear"/>
        <w:spacing w:line="560" w:lineRule="exact"/>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签约时间:</w:t>
      </w:r>
      <w:r>
        <w:rPr>
          <w:rFonts w:hint="eastAsia" w:ascii="Times New Roman" w:hAnsi="Times New Roman" w:eastAsia="宋体" w:cs="Times New Roman"/>
          <w:color w:val="auto"/>
          <w:sz w:val="32"/>
          <w:szCs w:val="32"/>
          <w:highlight w:val="none"/>
          <w:lang w:val="en-US" w:eastAsia="zh-CN"/>
        </w:rPr>
        <w:t xml:space="preserve">   </w:t>
      </w:r>
      <w:r>
        <w:rPr>
          <w:rFonts w:hint="default" w:ascii="Times New Roman" w:hAnsi="Times New Roman" w:eastAsia="宋体" w:cs="Times New Roman"/>
          <w:color w:val="auto"/>
          <w:sz w:val="32"/>
          <w:szCs w:val="32"/>
          <w:highlight w:val="none"/>
        </w:rPr>
        <w:t>年</w:t>
      </w:r>
      <w:r>
        <w:rPr>
          <w:rFonts w:hint="eastAsia" w:ascii="Times New Roman" w:hAnsi="Times New Roman" w:eastAsia="宋体" w:cs="Times New Roman"/>
          <w:color w:val="auto"/>
          <w:sz w:val="32"/>
          <w:szCs w:val="32"/>
          <w:highlight w:val="none"/>
          <w:lang w:val="en-US" w:eastAsia="zh-CN"/>
        </w:rPr>
        <w:t xml:space="preserve">  </w:t>
      </w:r>
      <w:r>
        <w:rPr>
          <w:rFonts w:hint="default" w:ascii="Times New Roman" w:hAnsi="Times New Roman" w:eastAsia="宋体" w:cs="Times New Roman"/>
          <w:color w:val="auto"/>
          <w:sz w:val="32"/>
          <w:szCs w:val="32"/>
          <w:highlight w:val="none"/>
        </w:rPr>
        <w:t>月</w:t>
      </w:r>
      <w:r>
        <w:rPr>
          <w:rFonts w:hint="eastAsia" w:ascii="Times New Roman" w:hAnsi="Times New Roman" w:eastAsia="宋体" w:cs="Times New Roman"/>
          <w:color w:val="auto"/>
          <w:sz w:val="32"/>
          <w:szCs w:val="32"/>
          <w:highlight w:val="none"/>
          <w:lang w:val="en-US" w:eastAsia="zh-CN"/>
        </w:rPr>
        <w:t xml:space="preserve">  </w:t>
      </w:r>
      <w:r>
        <w:rPr>
          <w:rFonts w:hint="default" w:ascii="Times New Roman" w:hAnsi="Times New Roman" w:eastAsia="宋体" w:cs="Times New Roman"/>
          <w:color w:val="auto"/>
          <w:sz w:val="32"/>
          <w:szCs w:val="32"/>
          <w:highlight w:val="none"/>
        </w:rPr>
        <w:t>日      签约时间:</w:t>
      </w:r>
      <w:r>
        <w:rPr>
          <w:rFonts w:hint="eastAsia" w:ascii="Times New Roman" w:hAnsi="Times New Roman" w:eastAsia="宋体" w:cs="Times New Roman"/>
          <w:color w:val="auto"/>
          <w:sz w:val="32"/>
          <w:szCs w:val="32"/>
          <w:highlight w:val="none"/>
          <w:lang w:val="en-US" w:eastAsia="zh-CN"/>
        </w:rPr>
        <w:t xml:space="preserve">   </w:t>
      </w:r>
      <w:r>
        <w:rPr>
          <w:rFonts w:hint="default" w:ascii="Times New Roman" w:hAnsi="Times New Roman" w:eastAsia="宋体" w:cs="Times New Roman"/>
          <w:color w:val="auto"/>
          <w:sz w:val="32"/>
          <w:szCs w:val="32"/>
          <w:highlight w:val="none"/>
        </w:rPr>
        <w:t>年</w:t>
      </w:r>
      <w:r>
        <w:rPr>
          <w:rFonts w:hint="eastAsia" w:ascii="Times New Roman" w:hAnsi="Times New Roman" w:eastAsia="宋体" w:cs="Times New Roman"/>
          <w:color w:val="auto"/>
          <w:sz w:val="32"/>
          <w:szCs w:val="32"/>
          <w:highlight w:val="none"/>
          <w:lang w:val="en-US" w:eastAsia="zh-CN"/>
        </w:rPr>
        <w:t xml:space="preserve">  </w:t>
      </w:r>
      <w:r>
        <w:rPr>
          <w:rFonts w:hint="default" w:ascii="Times New Roman" w:hAnsi="Times New Roman" w:eastAsia="宋体" w:cs="Times New Roman"/>
          <w:color w:val="auto"/>
          <w:sz w:val="32"/>
          <w:szCs w:val="32"/>
          <w:highlight w:val="none"/>
        </w:rPr>
        <w:t>月</w:t>
      </w:r>
      <w:r>
        <w:rPr>
          <w:rFonts w:hint="eastAsia" w:ascii="Times New Roman" w:hAnsi="Times New Roman" w:eastAsia="宋体" w:cs="Times New Roman"/>
          <w:color w:val="auto"/>
          <w:sz w:val="32"/>
          <w:szCs w:val="32"/>
          <w:highlight w:val="none"/>
          <w:lang w:val="en-US" w:eastAsia="zh-CN"/>
        </w:rPr>
        <w:t xml:space="preserve">  </w:t>
      </w:r>
      <w:r>
        <w:rPr>
          <w:rFonts w:hint="default" w:ascii="Times New Roman" w:hAnsi="Times New Roman" w:eastAsia="宋体" w:cs="Times New Roman"/>
          <w:color w:val="auto"/>
          <w:sz w:val="32"/>
          <w:szCs w:val="32"/>
          <w:highlight w:val="none"/>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rPr>
          <w:rFonts w:hint="eastAsia" w:ascii="方正小标宋_GBK" w:hAnsi="方正小标宋_GBK" w:eastAsia="方正小标宋_GBK" w:cs="方正小标宋_GBK"/>
          <w:b/>
          <w:i w:val="0"/>
          <w:caps w:val="0"/>
          <w:color w:val="auto"/>
          <w:spacing w:val="0"/>
          <w:sz w:val="36"/>
          <w:szCs w:val="36"/>
          <w:highlight w:val="none"/>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rPr>
          <w:rFonts w:hint="eastAsia" w:ascii="方正小标宋_GBK" w:hAnsi="方正小标宋_GBK" w:eastAsia="方正小标宋_GBK" w:cs="方正小标宋_GBK"/>
          <w:b/>
          <w:i w:val="0"/>
          <w:caps w:val="0"/>
          <w:color w:val="auto"/>
          <w:spacing w:val="0"/>
          <w:sz w:val="36"/>
          <w:szCs w:val="36"/>
          <w:highlight w:val="none"/>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rPr>
          <w:rFonts w:hint="eastAsia" w:ascii="方正小标宋_GBK" w:hAnsi="方正小标宋_GBK" w:eastAsia="方正小标宋_GBK" w:cs="方正小标宋_GBK"/>
          <w:b/>
          <w:i w:val="0"/>
          <w:caps w:val="0"/>
          <w:color w:val="auto"/>
          <w:spacing w:val="0"/>
          <w:sz w:val="36"/>
          <w:szCs w:val="36"/>
          <w:highlight w:val="none"/>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rPr>
          <w:rFonts w:hint="eastAsia" w:ascii="方正小标宋_GBK" w:hAnsi="方正小标宋_GBK" w:eastAsia="方正小标宋_GBK" w:cs="方正小标宋_GBK"/>
          <w:b/>
          <w:i w:val="0"/>
          <w:caps w:val="0"/>
          <w:color w:val="auto"/>
          <w:spacing w:val="0"/>
          <w:sz w:val="36"/>
          <w:szCs w:val="36"/>
          <w:highlight w:val="none"/>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rPr>
          <w:rFonts w:hint="eastAsia" w:ascii="方正小标宋_GBK" w:hAnsi="方正小标宋_GBK" w:eastAsia="方正小标宋_GBK" w:cs="方正小标宋_GBK"/>
          <w:b/>
          <w:i w:val="0"/>
          <w:caps w:val="0"/>
          <w:color w:val="auto"/>
          <w:spacing w:val="0"/>
          <w:sz w:val="36"/>
          <w:szCs w:val="36"/>
          <w:highlight w:val="none"/>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rPr>
          <w:rFonts w:hint="eastAsia" w:ascii="方正小标宋_GBK" w:hAnsi="方正小标宋_GBK" w:eastAsia="方正小标宋_GBK" w:cs="方正小标宋_GBK"/>
          <w:b/>
          <w:i w:val="0"/>
          <w:caps w:val="0"/>
          <w:color w:val="auto"/>
          <w:spacing w:val="0"/>
          <w:sz w:val="36"/>
          <w:szCs w:val="36"/>
          <w:highlight w:val="none"/>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rPr>
          <w:rFonts w:hint="eastAsia" w:ascii="方正小标宋_GBK" w:hAnsi="方正小标宋_GBK" w:eastAsia="方正小标宋_GBK" w:cs="方正小标宋_GBK"/>
          <w:b/>
          <w:i w:val="0"/>
          <w:caps w:val="0"/>
          <w:color w:val="auto"/>
          <w:spacing w:val="0"/>
          <w:sz w:val="36"/>
          <w:szCs w:val="36"/>
          <w:highlight w:val="none"/>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rPr>
          <w:rFonts w:hint="eastAsia" w:ascii="方正小标宋_GBK" w:hAnsi="方正小标宋_GBK" w:eastAsia="方正小标宋_GBK" w:cs="方正小标宋_GBK"/>
          <w:b/>
          <w:i w:val="0"/>
          <w:caps w:val="0"/>
          <w:color w:val="auto"/>
          <w:spacing w:val="0"/>
          <w:sz w:val="36"/>
          <w:szCs w:val="36"/>
          <w:highlight w:val="none"/>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rPr>
          <w:rFonts w:hint="eastAsia" w:ascii="方正小标宋_GBK" w:hAnsi="方正小标宋_GBK" w:eastAsia="方正小标宋_GBK" w:cs="方正小标宋_GBK"/>
          <w:b/>
          <w:i w:val="0"/>
          <w:caps w:val="0"/>
          <w:color w:val="auto"/>
          <w:spacing w:val="0"/>
          <w:sz w:val="36"/>
          <w:szCs w:val="36"/>
          <w:highlight w:val="none"/>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rPr>
          <w:rFonts w:hint="eastAsia" w:ascii="方正小标宋_GBK" w:hAnsi="方正小标宋_GBK" w:eastAsia="方正小标宋_GBK" w:cs="方正小标宋_GBK"/>
          <w:b/>
          <w:i w:val="0"/>
          <w:caps w:val="0"/>
          <w:color w:val="auto"/>
          <w:spacing w:val="0"/>
          <w:sz w:val="36"/>
          <w:szCs w:val="36"/>
          <w:highlight w:val="none"/>
          <w:shd w:val="clear" w:fill="FFFFFF"/>
          <w:lang w:val="en-US" w:eastAsia="zh-CN"/>
        </w:rPr>
      </w:pPr>
    </w:p>
    <w:p>
      <w:pPr>
        <w:rPr>
          <w:rFonts w:hint="eastAsia" w:ascii="仿宋" w:hAnsi="仿宋" w:eastAsia="仿宋" w:cs="仿宋"/>
          <w:color w:val="auto"/>
          <w:highlight w:val="none"/>
        </w:rPr>
      </w:pPr>
    </w:p>
    <w:p>
      <w:pPr>
        <w:pStyle w:val="30"/>
        <w:rPr>
          <w:rFonts w:hint="eastAsia"/>
          <w:color w:val="auto"/>
          <w:highlight w:val="none"/>
        </w:rPr>
      </w:pPr>
    </w:p>
    <w:p>
      <w:pPr>
        <w:pStyle w:val="3"/>
        <w:shd w:val="clear"/>
        <w:ind w:left="210"/>
        <w:rPr>
          <w:rFonts w:ascii="仿宋" w:hAnsi="仿宋" w:eastAsia="仿宋" w:cs="仿宋"/>
          <w:color w:val="auto"/>
          <w:highlight w:val="none"/>
        </w:rPr>
      </w:pPr>
      <w:bookmarkStart w:id="46" w:name="_Toc23293"/>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 xml:space="preserve">部分  附 </w:t>
      </w:r>
      <w:bookmarkEnd w:id="45"/>
      <w:r>
        <w:rPr>
          <w:rFonts w:hint="eastAsia" w:ascii="仿宋" w:hAnsi="仿宋" w:eastAsia="仿宋" w:cs="仿宋"/>
          <w:color w:val="auto"/>
          <w:highlight w:val="none"/>
        </w:rPr>
        <w:t>件</w:t>
      </w:r>
      <w:bookmarkEnd w:id="46"/>
    </w:p>
    <w:p>
      <w:pPr>
        <w:spacing w:line="360" w:lineRule="auto"/>
        <w:ind w:left="840" w:leftChars="400"/>
        <w:jc w:val="right"/>
        <w:rPr>
          <w:rFonts w:hint="eastAsia" w:ascii="仿宋" w:hAnsi="仿宋" w:eastAsia="仿宋" w:cs="仿宋"/>
          <w:color w:val="auto"/>
          <w:sz w:val="32"/>
          <w:highlight w:val="none"/>
        </w:rPr>
      </w:pPr>
      <w:r>
        <w:rPr>
          <w:rFonts w:hint="eastAsia" w:ascii="仿宋" w:hAnsi="仿宋" w:eastAsia="仿宋" w:cs="仿宋"/>
          <w:b/>
          <w:bCs/>
          <w:color w:val="auto"/>
          <w:sz w:val="48"/>
          <w:szCs w:val="84"/>
          <w:highlight w:val="none"/>
        </w:rPr>
        <w:t>正/副本</w:t>
      </w:r>
    </w:p>
    <w:p>
      <w:pPr>
        <w:spacing w:line="360" w:lineRule="auto"/>
        <w:ind w:left="840"/>
        <w:rPr>
          <w:rFonts w:hint="eastAsia" w:ascii="仿宋" w:hAnsi="仿宋" w:eastAsia="仿宋" w:cs="仿宋"/>
          <w:color w:val="auto"/>
          <w:sz w:val="28"/>
          <w:highlight w:val="none"/>
        </w:rPr>
      </w:pPr>
    </w:p>
    <w:p>
      <w:pPr>
        <w:spacing w:line="360" w:lineRule="auto"/>
        <w:ind w:left="840"/>
        <w:rPr>
          <w:rFonts w:hint="eastAsia" w:ascii="仿宋" w:hAnsi="仿宋" w:eastAsia="仿宋" w:cs="仿宋"/>
          <w:color w:val="auto"/>
          <w:sz w:val="32"/>
          <w:szCs w:val="28"/>
          <w:highlight w:val="none"/>
        </w:rPr>
      </w:pPr>
    </w:p>
    <w:p>
      <w:pPr>
        <w:pStyle w:val="10"/>
        <w:shd w:val="clear"/>
        <w:spacing w:line="360" w:lineRule="auto"/>
        <w:ind w:firstLine="0"/>
        <w:jc w:val="center"/>
        <w:rPr>
          <w:rFonts w:hint="eastAsia" w:ascii="仿宋" w:hAnsi="仿宋" w:eastAsia="仿宋" w:cs="仿宋"/>
          <w:bCs/>
          <w:color w:val="auto"/>
          <w:sz w:val="48"/>
          <w:szCs w:val="32"/>
          <w:highlight w:val="none"/>
          <w:lang w:eastAsia="zh-CN"/>
        </w:rPr>
      </w:pPr>
      <w:r>
        <w:rPr>
          <w:rFonts w:hint="eastAsia" w:ascii="仿宋" w:hAnsi="仿宋" w:eastAsia="仿宋" w:cs="仿宋"/>
          <w:bCs/>
          <w:color w:val="auto"/>
          <w:sz w:val="48"/>
          <w:szCs w:val="32"/>
          <w:highlight w:val="none"/>
          <w:lang w:eastAsia="zh-CN"/>
        </w:rPr>
        <w:t>阜康市第三小学校园文化建设项目</w:t>
      </w:r>
    </w:p>
    <w:p>
      <w:pPr>
        <w:spacing w:line="360" w:lineRule="auto"/>
        <w:jc w:val="center"/>
        <w:rPr>
          <w:rFonts w:hint="eastAsia" w:ascii="仿宋" w:hAnsi="仿宋" w:eastAsia="仿宋" w:cs="仿宋"/>
          <w:b/>
          <w:bCs/>
          <w:color w:val="auto"/>
          <w:sz w:val="96"/>
          <w:highlight w:val="none"/>
        </w:rPr>
      </w:pPr>
    </w:p>
    <w:p>
      <w:pPr>
        <w:spacing w:line="360" w:lineRule="auto"/>
        <w:jc w:val="center"/>
        <w:rPr>
          <w:rFonts w:hint="eastAsia" w:ascii="仿宋" w:hAnsi="仿宋" w:eastAsia="仿宋" w:cs="仿宋"/>
          <w:b/>
          <w:bCs/>
          <w:color w:val="auto"/>
          <w:sz w:val="96"/>
          <w:highlight w:val="none"/>
          <w:u w:val="single"/>
        </w:rPr>
      </w:pPr>
      <w:r>
        <w:rPr>
          <w:rFonts w:hint="eastAsia" w:ascii="仿宋" w:hAnsi="仿宋" w:eastAsia="仿宋" w:cs="仿宋"/>
          <w:b/>
          <w:bCs/>
          <w:color w:val="auto"/>
          <w:sz w:val="96"/>
          <w:highlight w:val="none"/>
        </w:rPr>
        <w:t>响 应 文 件</w:t>
      </w:r>
    </w:p>
    <w:p>
      <w:pPr>
        <w:spacing w:line="360" w:lineRule="auto"/>
        <w:jc w:val="center"/>
        <w:rPr>
          <w:rFonts w:hint="eastAsia" w:ascii="仿宋" w:hAnsi="仿宋" w:eastAsia="仿宋" w:cs="仿宋"/>
          <w:b/>
          <w:bCs/>
          <w:color w:val="auto"/>
          <w:sz w:val="32"/>
          <w:szCs w:val="28"/>
          <w:highlight w:val="none"/>
          <w:lang w:val="en-US" w:eastAsia="zh-CN"/>
        </w:rPr>
      </w:pPr>
      <w:r>
        <w:rPr>
          <w:rFonts w:hint="eastAsia" w:ascii="仿宋" w:hAnsi="仿宋" w:eastAsia="仿宋" w:cs="仿宋"/>
          <w:b/>
          <w:bCs/>
          <w:color w:val="auto"/>
          <w:sz w:val="32"/>
          <w:szCs w:val="28"/>
          <w:highlight w:val="none"/>
        </w:rPr>
        <w:t xml:space="preserve">项目编号: </w:t>
      </w:r>
      <w:r>
        <w:rPr>
          <w:rFonts w:hint="eastAsia" w:ascii="仿宋" w:hAnsi="仿宋" w:eastAsia="仿宋" w:cs="仿宋"/>
          <w:color w:val="auto"/>
          <w:sz w:val="30"/>
          <w:szCs w:val="30"/>
          <w:highlight w:val="none"/>
          <w:lang w:eastAsia="zh-CN"/>
        </w:rPr>
        <w:t>XJBLZB-20220108022</w:t>
      </w:r>
    </w:p>
    <w:p>
      <w:pPr>
        <w:spacing w:line="360" w:lineRule="auto"/>
        <w:jc w:val="center"/>
        <w:rPr>
          <w:rFonts w:hint="eastAsia" w:ascii="仿宋" w:hAnsi="仿宋" w:eastAsia="仿宋" w:cs="仿宋"/>
          <w:color w:val="auto"/>
          <w:sz w:val="30"/>
          <w:highlight w:val="none"/>
        </w:rPr>
      </w:pPr>
    </w:p>
    <w:p>
      <w:pPr>
        <w:spacing w:line="360" w:lineRule="auto"/>
        <w:jc w:val="center"/>
        <w:rPr>
          <w:rFonts w:hint="eastAsia" w:ascii="仿宋" w:hAnsi="仿宋" w:eastAsia="仿宋" w:cs="仿宋"/>
          <w:color w:val="auto"/>
          <w:sz w:val="28"/>
          <w:highlight w:val="none"/>
        </w:rPr>
      </w:pPr>
    </w:p>
    <w:p>
      <w:pPr>
        <w:spacing w:line="360" w:lineRule="auto"/>
        <w:jc w:val="center"/>
        <w:rPr>
          <w:rFonts w:hint="eastAsia" w:ascii="仿宋" w:hAnsi="仿宋" w:eastAsia="仿宋" w:cs="仿宋"/>
          <w:color w:val="auto"/>
          <w:sz w:val="28"/>
          <w:highlight w:val="none"/>
        </w:rPr>
      </w:pPr>
    </w:p>
    <w:p>
      <w:pPr>
        <w:spacing w:line="360" w:lineRule="auto"/>
        <w:ind w:firstLine="560" w:firstLineChars="200"/>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lang w:eastAsia="zh-CN"/>
        </w:rPr>
        <w:t>供应商</w:t>
      </w:r>
      <w:r>
        <w:rPr>
          <w:rFonts w:hint="eastAsia" w:ascii="仿宋" w:hAnsi="仿宋" w:eastAsia="仿宋" w:cs="仿宋"/>
          <w:color w:val="auto"/>
          <w:sz w:val="28"/>
          <w:highlight w:val="none"/>
        </w:rPr>
        <w:t xml:space="preserve">名称： </w:t>
      </w:r>
      <w:r>
        <w:rPr>
          <w:rFonts w:hint="eastAsia" w:ascii="仿宋" w:hAnsi="仿宋" w:eastAsia="仿宋" w:cs="仿宋"/>
          <w:color w:val="auto"/>
          <w:sz w:val="28"/>
          <w:highlight w:val="none"/>
          <w:u w:val="single"/>
        </w:rPr>
        <w:t xml:space="preserve">               （盖章）                         </w:t>
      </w:r>
      <w:r>
        <w:rPr>
          <w:rFonts w:hint="eastAsia" w:ascii="仿宋" w:hAnsi="仿宋" w:eastAsia="仿宋" w:cs="仿宋"/>
          <w:color w:val="auto"/>
          <w:sz w:val="28"/>
          <w:highlight w:val="none"/>
        </w:rPr>
        <w:t xml:space="preserve"> </w:t>
      </w:r>
    </w:p>
    <w:p>
      <w:pPr>
        <w:spacing w:line="360" w:lineRule="auto"/>
        <w:ind w:firstLine="560" w:firstLineChars="200"/>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法定代表人或委托代理人 ：</w:t>
      </w:r>
      <w:r>
        <w:rPr>
          <w:rFonts w:hint="eastAsia" w:ascii="仿宋" w:hAnsi="仿宋" w:eastAsia="仿宋" w:cs="仿宋"/>
          <w:color w:val="auto"/>
          <w:sz w:val="28"/>
          <w:highlight w:val="none"/>
          <w:u w:val="single"/>
        </w:rPr>
        <w:t xml:space="preserve">   （签字</w:t>
      </w:r>
      <w:r>
        <w:rPr>
          <w:rFonts w:hint="eastAsia" w:ascii="仿宋" w:hAnsi="仿宋" w:eastAsia="仿宋" w:cs="仿宋"/>
          <w:color w:val="auto"/>
          <w:sz w:val="28"/>
          <w:highlight w:val="none"/>
          <w:u w:val="single"/>
          <w:lang w:eastAsia="zh-CN"/>
        </w:rPr>
        <w:t>或</w:t>
      </w:r>
      <w:r>
        <w:rPr>
          <w:rFonts w:hint="eastAsia" w:ascii="仿宋" w:hAnsi="仿宋" w:eastAsia="仿宋" w:cs="仿宋"/>
          <w:color w:val="auto"/>
          <w:sz w:val="28"/>
          <w:highlight w:val="none"/>
          <w:u w:val="single"/>
        </w:rPr>
        <w:t xml:space="preserve">盖章）                </w:t>
      </w:r>
    </w:p>
    <w:p>
      <w:pPr>
        <w:spacing w:line="360" w:lineRule="auto"/>
        <w:ind w:firstLine="560" w:firstLineChars="200"/>
        <w:jc w:val="lef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详细地址</w:t>
      </w:r>
      <w:r>
        <w:rPr>
          <w:rFonts w:hint="eastAsia" w:ascii="仿宋" w:hAnsi="仿宋" w:eastAsia="仿宋" w:cs="仿宋"/>
          <w:color w:val="auto"/>
          <w:spacing w:val="-20"/>
          <w:sz w:val="28"/>
          <w:szCs w:val="28"/>
          <w:highlight w:val="none"/>
        </w:rPr>
        <w:t xml:space="preserve">： </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z w:val="28"/>
          <w:szCs w:val="28"/>
          <w:highlight w:val="none"/>
        </w:rPr>
        <w:t xml:space="preserve"> </w:t>
      </w:r>
    </w:p>
    <w:p>
      <w:pPr>
        <w:spacing w:line="360" w:lineRule="auto"/>
        <w:ind w:firstLine="560" w:firstLineChars="200"/>
        <w:jc w:val="left"/>
        <w:rPr>
          <w:rFonts w:hint="eastAsia" w:ascii="仿宋" w:hAnsi="仿宋" w:eastAsia="仿宋" w:cs="仿宋"/>
          <w:color w:val="auto"/>
          <w:sz w:val="28"/>
          <w:highlight w:val="none"/>
          <w:u w:val="single"/>
        </w:rPr>
      </w:pPr>
      <w:r>
        <w:rPr>
          <w:rFonts w:hint="eastAsia" w:ascii="仿宋" w:hAnsi="仿宋" w:eastAsia="仿宋" w:cs="仿宋"/>
          <w:color w:val="auto"/>
          <w:sz w:val="28"/>
          <w:szCs w:val="28"/>
          <w:highlight w:val="none"/>
          <w:lang w:eastAsia="zh-CN"/>
        </w:rPr>
        <w:t>联系人及</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 xml:space="preserve">日    期： </w:t>
      </w:r>
      <w:r>
        <w:rPr>
          <w:rFonts w:hint="eastAsia" w:ascii="仿宋" w:hAnsi="仿宋" w:eastAsia="仿宋" w:cs="仿宋"/>
          <w:color w:val="auto"/>
          <w:sz w:val="28"/>
          <w:highlight w:val="none"/>
          <w:u w:val="single"/>
        </w:rPr>
        <w:t xml:space="preserve">           年         月        日           </w:t>
      </w:r>
    </w:p>
    <w:p>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pPr>
        <w:spacing w:line="40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目录</w:t>
      </w:r>
    </w:p>
    <w:p>
      <w:pPr>
        <w:numPr>
          <w:ilvl w:val="0"/>
          <w:numId w:val="0"/>
        </w:numPr>
        <w:spacing w:line="400" w:lineRule="atLeast"/>
        <w:ind w:lef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投标承诺书</w:t>
      </w:r>
    </w:p>
    <w:p>
      <w:pPr>
        <w:numPr>
          <w:ilvl w:val="0"/>
          <w:numId w:val="0"/>
        </w:numPr>
        <w:spacing w:line="400" w:lineRule="atLeast"/>
        <w:ind w:lef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报价一览表</w:t>
      </w:r>
    </w:p>
    <w:p>
      <w:pPr>
        <w:numPr>
          <w:ilvl w:val="0"/>
          <w:numId w:val="0"/>
        </w:numPr>
        <w:spacing w:line="400" w:lineRule="atLeast"/>
        <w:ind w:lef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3、明细报价表</w:t>
      </w:r>
    </w:p>
    <w:p>
      <w:pPr>
        <w:numPr>
          <w:ilvl w:val="0"/>
          <w:numId w:val="0"/>
        </w:numPr>
        <w:spacing w:line="400" w:lineRule="atLeast"/>
        <w:ind w:lef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法定代表人身份证明书</w:t>
      </w:r>
    </w:p>
    <w:p>
      <w:pPr>
        <w:numPr>
          <w:ilvl w:val="0"/>
          <w:numId w:val="0"/>
        </w:numPr>
        <w:spacing w:line="400" w:lineRule="atLeast"/>
        <w:ind w:lef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法定代表人授权委托书</w:t>
      </w:r>
    </w:p>
    <w:p>
      <w:pPr>
        <w:numPr>
          <w:ilvl w:val="0"/>
          <w:numId w:val="0"/>
        </w:numPr>
        <w:spacing w:line="400" w:lineRule="atLeast"/>
        <w:ind w:left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6、投标保证金</w:t>
      </w:r>
    </w:p>
    <w:p>
      <w:pPr>
        <w:numPr>
          <w:ilvl w:val="0"/>
          <w:numId w:val="0"/>
        </w:numPr>
        <w:spacing w:line="400" w:lineRule="atLeast"/>
        <w:ind w:left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7、供应商概况</w:t>
      </w:r>
    </w:p>
    <w:p>
      <w:pPr>
        <w:numPr>
          <w:ilvl w:val="0"/>
          <w:numId w:val="0"/>
        </w:numPr>
        <w:spacing w:line="400" w:lineRule="atLeast"/>
        <w:ind w:left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8、近三年（2019年8月1日至今）已完成类似项目业绩</w:t>
      </w:r>
    </w:p>
    <w:p>
      <w:pPr>
        <w:numPr>
          <w:ilvl w:val="0"/>
          <w:numId w:val="0"/>
        </w:numPr>
        <w:spacing w:line="400" w:lineRule="atLeast"/>
        <w:ind w:left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9、反商业贿赂承诺书</w:t>
      </w:r>
    </w:p>
    <w:p>
      <w:pPr>
        <w:numPr>
          <w:ilvl w:val="0"/>
          <w:numId w:val="0"/>
        </w:numPr>
        <w:spacing w:line="400" w:lineRule="atLeast"/>
        <w:ind w:left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10、无重大违法记录声明函</w:t>
      </w:r>
    </w:p>
    <w:p>
      <w:pPr>
        <w:numPr>
          <w:ilvl w:val="0"/>
          <w:numId w:val="0"/>
        </w:numPr>
        <w:spacing w:line="400" w:lineRule="atLeast"/>
        <w:ind w:left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11、项目实施方案</w:t>
      </w:r>
    </w:p>
    <w:p>
      <w:pPr>
        <w:numPr>
          <w:ilvl w:val="0"/>
          <w:numId w:val="0"/>
        </w:numPr>
        <w:spacing w:line="400" w:lineRule="atLeast"/>
        <w:ind w:left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12、信用查询</w:t>
      </w:r>
    </w:p>
    <w:p>
      <w:pPr>
        <w:bidi w:val="0"/>
        <w:rPr>
          <w:rFonts w:hint="default"/>
          <w:color w:val="auto"/>
          <w:highlight w:val="none"/>
          <w:lang w:val="en-US" w:eastAsia="zh-CN"/>
        </w:rPr>
      </w:pPr>
      <w:r>
        <w:rPr>
          <w:rFonts w:hint="eastAsia" w:ascii="仿宋" w:hAnsi="仿宋" w:eastAsia="仿宋" w:cs="仿宋"/>
          <w:color w:val="auto"/>
          <w:sz w:val="24"/>
          <w:highlight w:val="none"/>
          <w:lang w:val="en-US" w:eastAsia="zh-CN"/>
        </w:rPr>
        <w:t>13、投标人认为需要提交的其他资料</w:t>
      </w:r>
    </w:p>
    <w:p>
      <w:pPr>
        <w:spacing w:line="400" w:lineRule="atLeast"/>
        <w:jc w:val="center"/>
        <w:rPr>
          <w:rFonts w:hint="eastAsia" w:ascii="仿宋" w:hAnsi="仿宋" w:eastAsia="仿宋" w:cs="仿宋"/>
          <w:color w:val="auto"/>
          <w:sz w:val="24"/>
          <w:highlight w:val="none"/>
        </w:rPr>
      </w:pPr>
    </w:p>
    <w:p>
      <w:pPr>
        <w:spacing w:line="400" w:lineRule="atLeast"/>
        <w:jc w:val="center"/>
        <w:rPr>
          <w:rFonts w:hint="eastAsia" w:ascii="仿宋" w:hAnsi="仿宋" w:eastAsia="仿宋" w:cs="仿宋"/>
          <w:color w:val="auto"/>
          <w:sz w:val="24"/>
          <w:highlight w:val="none"/>
        </w:rPr>
      </w:pPr>
    </w:p>
    <w:p>
      <w:pP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注：为了便于查找，请按上述顺序编排商务标内容，并在目录中标明每项内容的起始页码。</w:t>
      </w:r>
    </w:p>
    <w:p>
      <w:pPr>
        <w:spacing w:line="400" w:lineRule="atLeast"/>
        <w:jc w:val="center"/>
        <w:rPr>
          <w:rFonts w:hint="eastAsia" w:ascii="仿宋" w:hAnsi="仿宋" w:eastAsia="仿宋" w:cs="仿宋"/>
          <w:color w:val="auto"/>
          <w:sz w:val="24"/>
          <w:highlight w:val="none"/>
        </w:rPr>
      </w:pPr>
    </w:p>
    <w:p>
      <w:pPr>
        <w:jc w:val="center"/>
        <w:rPr>
          <w:rFonts w:hint="eastAsia" w:ascii="仿宋" w:hAnsi="仿宋" w:eastAsia="仿宋" w:cs="仿宋"/>
          <w:b/>
          <w:bCs/>
          <w:color w:val="auto"/>
          <w:sz w:val="30"/>
          <w:szCs w:val="30"/>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0"/>
          <w:szCs w:val="30"/>
          <w:highlight w:val="none"/>
        </w:rPr>
        <w:t>1、投标承诺书</w:t>
      </w:r>
    </w:p>
    <w:p>
      <w:pPr>
        <w:jc w:val="center"/>
        <w:rPr>
          <w:rFonts w:hint="eastAsia" w:ascii="仿宋" w:hAnsi="仿宋" w:eastAsia="仿宋" w:cs="仿宋"/>
          <w:b/>
          <w:color w:val="auto"/>
          <w:sz w:val="28"/>
          <w:highlight w:val="none"/>
        </w:rPr>
      </w:pPr>
    </w:p>
    <w:p>
      <w:pPr>
        <w:shd w:val="clear" w:color="auto" w:fill="FFFFFF"/>
        <w:spacing w:line="4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（采购人名称）</w:t>
      </w:r>
    </w:p>
    <w:p>
      <w:pPr>
        <w:shd w:val="clear" w:color="auto" w:fill="FFFFFF"/>
        <w:spacing w:line="400" w:lineRule="exact"/>
        <w:ind w:firstLine="571" w:firstLineChars="20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我方收到并研究了贵方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（项目名称、项目编号）项目</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（包号）的</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文件，愿意按照</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文件规定的内容承担该项目的投标任务，严格执行我方所承诺的责任和义务。为此，我方郑重声明以下诸点，并负法律责任。</w:t>
      </w:r>
    </w:p>
    <w:p>
      <w:pPr>
        <w:shd w:val="clear" w:color="auto" w:fill="FFFFFF"/>
        <w:spacing w:line="400" w:lineRule="exact"/>
        <w:ind w:firstLine="571" w:firstLineChars="20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1、我方提交</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响应文件，正本壹份，副本</w:t>
      </w:r>
      <w:r>
        <w:rPr>
          <w:rFonts w:hint="eastAsia" w:ascii="仿宋" w:hAnsi="仿宋" w:eastAsia="仿宋" w:cs="仿宋"/>
          <w:color w:val="auto"/>
          <w:sz w:val="28"/>
          <w:szCs w:val="28"/>
          <w:highlight w:val="none"/>
          <w:lang w:eastAsia="zh-CN"/>
        </w:rPr>
        <w:t>贰</w:t>
      </w:r>
      <w:r>
        <w:rPr>
          <w:rFonts w:hint="eastAsia" w:ascii="仿宋" w:hAnsi="仿宋" w:eastAsia="仿宋" w:cs="仿宋"/>
          <w:color w:val="auto"/>
          <w:sz w:val="28"/>
          <w:szCs w:val="28"/>
          <w:highlight w:val="none"/>
        </w:rPr>
        <w:t>份，开标一览表壹份，电子版投标文件壹份；我方愿按《中华人民共和国政府采购法》及其他有关法律、法规的规定，自觉履行自己的全部责任。</w:t>
      </w:r>
    </w:p>
    <w:p>
      <w:pPr>
        <w:shd w:val="clear" w:color="auto" w:fill="FFFFFF"/>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2、我方同意在投标有效期内遵守本响应文件，在此期限期满前的任何时间，本响应文件一直对我们具有约束力；</w:t>
      </w:r>
    </w:p>
    <w:p>
      <w:pPr>
        <w:shd w:val="clear" w:color="auto" w:fill="FFFFFF"/>
        <w:spacing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3、如果我方响应文件被接受，我方将按照</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文件的规定，我方保证将按</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要求和响应文件中的承诺按期、按质、按量交付使用方；</w:t>
      </w:r>
    </w:p>
    <w:p>
      <w:pPr>
        <w:shd w:val="clear" w:color="auto" w:fill="FFFFFF"/>
        <w:spacing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4、如果我方中标，我方将在</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文件规定的时间内签订委托合同并按采购要求提供履约担保。如果我方违约，除投标保证金不予退还外，贵方有权终止我方中标并选择其它中标人。</w:t>
      </w:r>
    </w:p>
    <w:p>
      <w:pPr>
        <w:shd w:val="clear" w:color="auto" w:fill="FFFFFF"/>
        <w:spacing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5、如果我方中标，我方将在</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shd w:val="clear" w:color="auto" w:fill="FFFFFF"/>
        <w:spacing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6、一旦我方中标，我方愿意按采购要求承担采购代理服务费。</w:t>
      </w:r>
    </w:p>
    <w:p>
      <w:pPr>
        <w:shd w:val="clear" w:color="auto" w:fill="FFFFFF"/>
        <w:spacing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7、贵方的中标通知书和本投标文件将构成约束双方的合同。</w:t>
      </w:r>
    </w:p>
    <w:p>
      <w:pPr>
        <w:shd w:val="clear" w:color="auto" w:fill="FFFFFF"/>
        <w:spacing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8、如果我方未中标，贵方没有必要对我方做出任何解释和说明，我方将充分尊重和理解贵方的选择。</w:t>
      </w:r>
    </w:p>
    <w:p>
      <w:pPr>
        <w:shd w:val="clear" w:color="auto" w:fill="FFFFFF"/>
        <w:spacing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9、我方的</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文件自提交</w:t>
      </w:r>
      <w:r>
        <w:rPr>
          <w:rFonts w:hint="eastAsia" w:ascii="仿宋" w:hAnsi="仿宋" w:eastAsia="仿宋" w:cs="仿宋"/>
          <w:color w:val="auto"/>
          <w:sz w:val="28"/>
          <w:szCs w:val="28"/>
          <w:highlight w:val="none"/>
          <w:lang w:eastAsia="zh-CN"/>
        </w:rPr>
        <w:t>谈判响应</w:t>
      </w:r>
      <w:r>
        <w:rPr>
          <w:rFonts w:hint="eastAsia" w:ascii="仿宋" w:hAnsi="仿宋" w:eastAsia="仿宋" w:cs="仿宋"/>
          <w:color w:val="auto"/>
          <w:sz w:val="28"/>
          <w:szCs w:val="28"/>
          <w:highlight w:val="none"/>
        </w:rPr>
        <w:t>文件截止之日起有效期为</w:t>
      </w:r>
      <w:r>
        <w:rPr>
          <w:rFonts w:hint="eastAsia" w:ascii="仿宋" w:hAnsi="仿宋" w:eastAsia="仿宋" w:cs="仿宋"/>
          <w:color w:val="auto"/>
          <w:sz w:val="28"/>
          <w:szCs w:val="28"/>
          <w:highlight w:val="none"/>
          <w:u w:val="single"/>
          <w:lang w:val="en-US" w:eastAsia="zh-CN"/>
        </w:rPr>
        <w:t>90</w:t>
      </w:r>
      <w:r>
        <w:rPr>
          <w:rFonts w:hint="eastAsia" w:ascii="仿宋" w:hAnsi="仿宋" w:eastAsia="仿宋" w:cs="仿宋"/>
          <w:color w:val="auto"/>
          <w:sz w:val="28"/>
          <w:szCs w:val="28"/>
          <w:highlight w:val="none"/>
        </w:rPr>
        <w:t>天。</w:t>
      </w:r>
    </w:p>
    <w:p>
      <w:pPr>
        <w:pStyle w:val="37"/>
        <w:shd w:val="clear" w:color="auto" w:fill="FFFFFF"/>
        <w:snapToGrid w:val="0"/>
        <w:spacing w:line="400" w:lineRule="exact"/>
        <w:ind w:firstLine="560" w:firstLineChars="200"/>
        <w:rPr>
          <w:rFonts w:hint="eastAsia" w:ascii="仿宋" w:hAnsi="仿宋" w:eastAsia="仿宋" w:cs="仿宋"/>
          <w:color w:val="auto"/>
          <w:sz w:val="28"/>
          <w:szCs w:val="28"/>
          <w:highlight w:val="none"/>
        </w:rPr>
      </w:pPr>
    </w:p>
    <w:p>
      <w:pPr>
        <w:pStyle w:val="37"/>
        <w:shd w:val="clear" w:color="auto" w:fill="FFFFFF"/>
        <w:snapToGrid w:val="0"/>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供应商（盖公章）：</w:t>
      </w:r>
    </w:p>
    <w:p>
      <w:pPr>
        <w:shd w:val="clear" w:color="auto" w:fill="FFFFFF"/>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或其委托代理人</w:t>
      </w:r>
      <w:r>
        <w:rPr>
          <w:rFonts w:hint="eastAsia" w:ascii="仿宋" w:hAnsi="仿宋" w:eastAsia="仿宋" w:cs="仿宋"/>
          <w:color w:val="auto"/>
          <w:sz w:val="28"/>
          <w:szCs w:val="28"/>
          <w:highlight w:val="none"/>
        </w:rPr>
        <w:t>（签字或盖章）：</w:t>
      </w:r>
    </w:p>
    <w:p>
      <w:pPr>
        <w:wordWrap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pPr>
        <w:wordWrap w:val="0"/>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p>
    <w:p>
      <w:pPr>
        <w:pStyle w:val="9"/>
        <w:tabs>
          <w:tab w:val="left" w:pos="630"/>
        </w:tabs>
        <w:spacing w:line="360" w:lineRule="auto"/>
        <w:rPr>
          <w:rFonts w:hint="eastAsia" w:ascii="仿宋" w:hAnsi="仿宋" w:eastAsia="仿宋" w:cs="仿宋"/>
          <w:b/>
          <w:color w:val="auto"/>
          <w:sz w:val="30"/>
          <w:szCs w:val="30"/>
          <w:highlight w:val="none"/>
        </w:rPr>
      </w:pPr>
      <w:bookmarkStart w:id="47" w:name="_Toc277841205"/>
    </w:p>
    <w:p>
      <w:pPr>
        <w:spacing w:line="400" w:lineRule="atLeas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、报价一览表</w:t>
      </w:r>
    </w:p>
    <w:p>
      <w:pPr>
        <w:jc w:val="center"/>
        <w:rPr>
          <w:rFonts w:hint="eastAsia" w:ascii="仿宋" w:hAnsi="仿宋" w:eastAsia="仿宋" w:cs="仿宋"/>
          <w:color w:val="auto"/>
          <w:sz w:val="28"/>
          <w:highlight w:val="none"/>
        </w:rPr>
      </w:pPr>
    </w:p>
    <w:p>
      <w:pPr>
        <w:shd w:val="clear" w:color="auto" w:fill="FFFFFF"/>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105" w:type="dxa"/>
            <w:tcBorders>
              <w:bottom w:val="single" w:color="auto" w:sz="4" w:space="0"/>
            </w:tcBorders>
            <w:noWrap w:val="0"/>
            <w:vAlign w:val="center"/>
          </w:tcPr>
          <w:p>
            <w:pPr>
              <w:shd w:val="clear" w:color="auto" w:fill="FFFFFF"/>
              <w:tabs>
                <w:tab w:val="left" w:pos="3780"/>
              </w:tabs>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p>
        </w:tc>
        <w:tc>
          <w:tcPr>
            <w:tcW w:w="6984" w:type="dxa"/>
            <w:noWrap w:val="0"/>
            <w:vAlign w:val="center"/>
          </w:tcPr>
          <w:p>
            <w:pPr>
              <w:shd w:val="clear" w:color="auto" w:fill="FFFFFF"/>
              <w:tabs>
                <w:tab w:val="left" w:pos="3780"/>
              </w:tabs>
              <w:spacing w:line="400" w:lineRule="exact"/>
              <w:ind w:firstLine="420" w:firstLineChars="20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2105" w:type="dxa"/>
            <w:shd w:val="clear" w:color="auto" w:fill="F3F3F3"/>
            <w:noWrap w:val="0"/>
            <w:vAlign w:val="center"/>
          </w:tcPr>
          <w:p>
            <w:pPr>
              <w:shd w:val="clear" w:color="auto" w:fill="FFFFFF"/>
              <w:tabs>
                <w:tab w:val="left" w:pos="3780"/>
              </w:tabs>
              <w:spacing w:line="4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eastAsia="zh-CN"/>
              </w:rPr>
              <w:t>报价</w:t>
            </w:r>
          </w:p>
        </w:tc>
        <w:tc>
          <w:tcPr>
            <w:tcW w:w="6984" w:type="dxa"/>
            <w:shd w:val="clear" w:color="auto" w:fill="F3F3F3"/>
            <w:noWrap w:val="0"/>
            <w:vAlign w:val="center"/>
          </w:tcPr>
          <w:p>
            <w:pPr>
              <w:shd w:val="clear" w:color="auto" w:fill="FFFFFF"/>
              <w:tabs>
                <w:tab w:val="left" w:pos="3780"/>
              </w:tabs>
              <w:spacing w:line="40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u w:val="none"/>
              </w:rPr>
              <w:t>小写：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元</w:t>
            </w:r>
          </w:p>
          <w:p>
            <w:pPr>
              <w:shd w:val="clear" w:color="auto" w:fill="FFFFFF"/>
              <w:tabs>
                <w:tab w:val="left" w:pos="3780"/>
              </w:tabs>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（大写：人民币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105" w:type="dxa"/>
            <w:shd w:val="clear" w:color="auto" w:fill="F3F3F3"/>
            <w:noWrap w:val="0"/>
            <w:vAlign w:val="center"/>
          </w:tcPr>
          <w:p>
            <w:pPr>
              <w:shd w:val="clear" w:color="auto" w:fill="FFFFFF"/>
              <w:tabs>
                <w:tab w:val="left" w:pos="3780"/>
              </w:tabs>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供货</w:t>
            </w:r>
            <w:r>
              <w:rPr>
                <w:rFonts w:hint="eastAsia" w:ascii="仿宋" w:hAnsi="仿宋" w:eastAsia="仿宋" w:cs="仿宋"/>
                <w:color w:val="auto"/>
                <w:szCs w:val="21"/>
                <w:highlight w:val="none"/>
              </w:rPr>
              <w:t>期</w:t>
            </w:r>
          </w:p>
        </w:tc>
        <w:tc>
          <w:tcPr>
            <w:tcW w:w="6984" w:type="dxa"/>
            <w:shd w:val="clear" w:color="auto" w:fill="F3F3F3"/>
            <w:noWrap w:val="0"/>
            <w:vAlign w:val="center"/>
          </w:tcPr>
          <w:p>
            <w:pPr>
              <w:shd w:val="clear" w:color="auto" w:fill="FFFFFF"/>
              <w:tabs>
                <w:tab w:val="left" w:pos="3780"/>
              </w:tabs>
              <w:spacing w:line="40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2105" w:type="dxa"/>
            <w:shd w:val="clear" w:color="auto" w:fill="F3F3F3"/>
            <w:noWrap w:val="0"/>
            <w:vAlign w:val="center"/>
          </w:tcPr>
          <w:p>
            <w:pPr>
              <w:shd w:val="clear" w:color="auto" w:fill="FFFFFF"/>
              <w:tabs>
                <w:tab w:val="left" w:pos="3780"/>
              </w:tabs>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6984" w:type="dxa"/>
            <w:shd w:val="clear" w:color="auto" w:fill="F3F3F3"/>
            <w:noWrap w:val="0"/>
            <w:vAlign w:val="center"/>
          </w:tcPr>
          <w:p>
            <w:pPr>
              <w:shd w:val="clear" w:color="auto" w:fill="FFFFFF"/>
              <w:tabs>
                <w:tab w:val="left" w:pos="3780"/>
              </w:tabs>
              <w:spacing w:line="400" w:lineRule="exact"/>
              <w:rPr>
                <w:rFonts w:hint="eastAsia" w:ascii="仿宋" w:hAnsi="仿宋" w:eastAsia="仿宋" w:cs="仿宋"/>
                <w:color w:val="auto"/>
                <w:szCs w:val="21"/>
                <w:highlight w:val="none"/>
              </w:rPr>
            </w:pPr>
          </w:p>
        </w:tc>
      </w:tr>
    </w:tbl>
    <w:p>
      <w:pPr>
        <w:shd w:val="clear" w:color="auto" w:fill="FFFFFF"/>
        <w:tabs>
          <w:tab w:val="left" w:pos="3780"/>
        </w:tabs>
        <w:spacing w:line="40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备注：</w:t>
      </w:r>
    </w:p>
    <w:p>
      <w:pPr>
        <w:shd w:val="clear" w:color="auto" w:fill="FFFFFF"/>
        <w:tabs>
          <w:tab w:val="left" w:pos="3780"/>
        </w:tabs>
        <w:spacing w:line="400" w:lineRule="exact"/>
        <w:ind w:firstLine="422" w:firstLineChars="200"/>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lang w:val="en-US" w:eastAsia="zh-CN"/>
        </w:rPr>
        <w:t>1、</w:t>
      </w:r>
      <w:r>
        <w:rPr>
          <w:rFonts w:hint="eastAsia" w:ascii="仿宋" w:hAnsi="仿宋" w:eastAsia="仿宋" w:cs="仿宋"/>
          <w:b/>
          <w:bCs w:val="0"/>
          <w:color w:val="auto"/>
          <w:szCs w:val="21"/>
          <w:highlight w:val="none"/>
        </w:rPr>
        <w:t>报价须以元为单位，小数点后保留2位。</w:t>
      </w:r>
    </w:p>
    <w:p>
      <w:pPr>
        <w:shd w:val="clear" w:color="auto" w:fill="FFFFFF"/>
        <w:tabs>
          <w:tab w:val="left" w:pos="3780"/>
        </w:tabs>
        <w:spacing w:line="400" w:lineRule="exact"/>
        <w:ind w:firstLine="422" w:firstLineChars="200"/>
        <w:rPr>
          <w:rFonts w:hint="eastAsia"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lang w:val="en-US" w:eastAsia="zh-CN"/>
        </w:rPr>
        <w:t>2、投标报价说明:报价含一切费用（包括供方须承担的采购、运输、装卸、仓储、就位、税费、检测费，并经甲方验收合格等所有发生的一切费用，为到货价）。</w:t>
      </w:r>
    </w:p>
    <w:p>
      <w:pPr>
        <w:shd w:val="clear" w:color="auto" w:fill="FFFFFF"/>
        <w:tabs>
          <w:tab w:val="left" w:pos="3780"/>
        </w:tabs>
        <w:spacing w:line="40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、此表一式两份，一份单独密封，另一份装订在</w:t>
      </w:r>
      <w:r>
        <w:rPr>
          <w:rFonts w:hint="eastAsia" w:ascii="仿宋" w:hAnsi="仿宋" w:eastAsia="仿宋" w:cs="仿宋"/>
          <w:b/>
          <w:bCs/>
          <w:color w:val="auto"/>
          <w:highlight w:val="none"/>
          <w:lang w:eastAsia="zh-CN"/>
        </w:rPr>
        <w:t>谈判</w:t>
      </w:r>
      <w:r>
        <w:rPr>
          <w:rFonts w:hint="eastAsia" w:ascii="仿宋" w:hAnsi="仿宋" w:eastAsia="仿宋" w:cs="仿宋"/>
          <w:b/>
          <w:bCs/>
          <w:color w:val="auto"/>
          <w:highlight w:val="none"/>
        </w:rPr>
        <w:t>响应文件中，两个表内容必须一致。</w:t>
      </w:r>
    </w:p>
    <w:p>
      <w:pPr>
        <w:shd w:val="clear" w:color="auto" w:fill="FFFFFF"/>
        <w:tabs>
          <w:tab w:val="left" w:pos="3780"/>
        </w:tabs>
        <w:spacing w:line="400" w:lineRule="exact"/>
        <w:ind w:firstLine="420" w:firstLineChars="200"/>
        <w:rPr>
          <w:rFonts w:hint="eastAsia" w:ascii="仿宋" w:hAnsi="仿宋" w:eastAsia="仿宋" w:cs="仿宋"/>
          <w:color w:val="auto"/>
          <w:szCs w:val="21"/>
          <w:highlight w:val="none"/>
        </w:rPr>
      </w:pPr>
    </w:p>
    <w:p>
      <w:pPr>
        <w:shd w:val="clear" w:color="auto" w:fill="FFFFFF"/>
        <w:tabs>
          <w:tab w:val="left" w:pos="3780"/>
        </w:tabs>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供应商（盖公章）：</w:t>
      </w:r>
    </w:p>
    <w:p>
      <w:pPr>
        <w:shd w:val="clear" w:color="auto" w:fill="FFFFFF"/>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lang w:eastAsia="zh-CN"/>
        </w:rPr>
        <w:t>或其委托代理人</w:t>
      </w:r>
      <w:r>
        <w:rPr>
          <w:rFonts w:hint="eastAsia" w:ascii="仿宋" w:hAnsi="仿宋" w:eastAsia="仿宋" w:cs="仿宋"/>
          <w:color w:val="auto"/>
          <w:szCs w:val="21"/>
          <w:highlight w:val="none"/>
        </w:rPr>
        <w:t>（签字或盖章）：</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日期： 年  月  </w:t>
      </w:r>
    </w:p>
    <w:p>
      <w:pPr>
        <w:pStyle w:val="2"/>
        <w:rPr>
          <w:rFonts w:hint="eastAsia" w:ascii="仿宋" w:hAnsi="仿宋" w:eastAsia="仿宋" w:cs="仿宋"/>
          <w:color w:val="auto"/>
          <w:szCs w:val="21"/>
          <w:highlight w:val="none"/>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p>
    <w:p>
      <w:pPr>
        <w:jc w:val="center"/>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lang w:eastAsia="zh-CN"/>
        </w:rPr>
        <w:t>报价明细表</w:t>
      </w:r>
    </w:p>
    <w:p>
      <w:pPr>
        <w:rPr>
          <w:rFonts w:hint="eastAsia"/>
        </w:rPr>
      </w:pPr>
    </w:p>
    <w:tbl>
      <w:tblPr>
        <w:tblStyle w:val="1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357"/>
        <w:gridCol w:w="2602"/>
        <w:gridCol w:w="1316"/>
        <w:gridCol w:w="575"/>
        <w:gridCol w:w="748"/>
        <w:gridCol w:w="870"/>
        <w:gridCol w:w="442"/>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设计制作内容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设计制作材质要求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校徽  校名（二楼、三楼）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不锈钢围边吸塑字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2.0彩钢造型（液压开启）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320cm*280cm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2.5彩钢为党育人为国育才彩钢造型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2.5彩钢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800cm*280cm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（2.0PVC加亚克力8个字一套）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44cm*55cm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制作安装  发票税率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队风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（2.0PVC加亚克力8个字一套）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44cm*55cm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国旗、队徽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（2.0PVC加亚克力）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44cm*66cm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班级后墙文化（守则、规范、红花台）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（2.0PVC加亚克力）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580cm*160cm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中国地图、世界地图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（型材框架 PVC底板、地图＋0.3亚克力面板）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小组合作展示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PVC＋亚克力、4个白板）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600cm*140cm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班级信息栏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PVC＋亚克力盒子）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班级书架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生态板书架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班级卫生柜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140cm*100cm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学生储物柜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每班按45个学生配备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500cm*120cm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教师办公室文化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标准2.0PVC加亚克力双层立体雕刻(教风、国旗、信息栏、师德师风、核心价值观)亚克力盒子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间（每间5平方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教师办公室衣柜书柜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衣柜书柜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1号教学楼大厅（装修）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背景墙、舞台、三风一训、爱国主义教育材质为木纹实木板、石膏板、玻璃舞台  文字内容为1.5亚克力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100平方</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869"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1号教学楼楼道（1、2、3、4层）及楼梯文化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360平方</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1号教学楼读书厅、棋文化厅、校史厅（装修）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按学校要求装修材质为实木板造型（2.0 PVC+亚克力异形雕刻）桌椅板凳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3间</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60平方/间</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2号教学楼大厅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（木纹实木板+石膏板+2.0PVC+亚克力异形雕刻）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10平方</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2号教学楼道1、2、3、4层及楼梯文化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80平方</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3号教学楼大厅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木纹实木板+石膏板+2.0PVC+亚克力异形雕刻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25平方</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3号教学楼道2、3、4及楼梯文化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4号楼楼道及楼梯文化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功能室、会议室、工会之家（9间）装修、文化打造（装修）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图书室、二楼会议室、工会之家、综合实践室、大队室、美术室、书法室、象棋室、古筝室</w:t>
            </w:r>
            <w:r>
              <w:rPr>
                <w:rFonts w:hint="eastAsia" w:ascii="宋体" w:hAnsi="宋体" w:eastAsia="宋体" w:cs="宋体"/>
                <w:i w:val="0"/>
                <w:iCs w:val="0"/>
                <w:color w:val="000000"/>
                <w:kern w:val="0"/>
                <w:sz w:val="20"/>
                <w:szCs w:val="20"/>
                <w:u w:val="none"/>
                <w:lang w:val="en-US" w:eastAsia="zh-CN" w:bidi="ar"/>
              </w:rPr>
              <w:t>房顶、墙面做造型装修、根据功能室的性质做文化打造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9间</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80平方/间</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功能室文化（10间）文化打造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10间</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30平方/间</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功能室（10间）储物柜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木制或不锈钢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楼体文化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2.0不锈钢字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3面</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150平方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楼体名称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楼梯贴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（0.3亚克力背喷）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120cm*15cm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楼层提示牌，消防疏散图（2.0 PVC+亚克力异形雕刻）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操场围栏墙面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雕刻 不锈钢、车贴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38"/>
        <w:tabs>
          <w:tab w:val="left" w:pos="420"/>
        </w:tabs>
        <w:spacing w:before="153"/>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注：</w:t>
      </w:r>
      <w:r>
        <w:rPr>
          <w:rFonts w:hint="eastAsia" w:ascii="仿宋" w:hAnsi="仿宋" w:eastAsia="仿宋" w:cs="仿宋"/>
          <w:color w:val="auto"/>
          <w:kern w:val="0"/>
          <w:sz w:val="24"/>
          <w:highlight w:val="none"/>
          <w:lang w:val="en-US"/>
        </w:rPr>
        <w:t>1、</w:t>
      </w:r>
      <w:r>
        <w:rPr>
          <w:rFonts w:hint="eastAsia" w:ascii="仿宋" w:hAnsi="仿宋" w:eastAsia="仿宋" w:cs="仿宋"/>
          <w:color w:val="auto"/>
          <w:sz w:val="24"/>
          <w:highlight w:val="none"/>
        </w:rPr>
        <w:t>本单位承诺响应本次</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文件中的所有相关内容；</w:t>
      </w:r>
    </w:p>
    <w:p>
      <w:pPr>
        <w:pStyle w:val="38"/>
        <w:tabs>
          <w:tab w:val="left" w:pos="420"/>
        </w:tabs>
        <w:spacing w:before="153"/>
        <w:ind w:left="106"/>
        <w:rPr>
          <w:rFonts w:hint="eastAsia" w:ascii="仿宋" w:hAnsi="仿宋" w:eastAsia="仿宋" w:cs="仿宋"/>
          <w:color w:val="auto"/>
          <w:kern w:val="0"/>
          <w:sz w:val="24"/>
          <w:highlight w:val="none"/>
          <w:lang w:val="en-US"/>
        </w:rPr>
      </w:pPr>
      <w:r>
        <w:rPr>
          <w:rFonts w:hint="eastAsia" w:ascii="仿宋" w:hAnsi="仿宋" w:eastAsia="仿宋" w:cs="仿宋"/>
          <w:color w:val="auto"/>
          <w:kern w:val="0"/>
          <w:sz w:val="24"/>
          <w:highlight w:val="none"/>
          <w:lang w:val="en-US"/>
        </w:rPr>
        <w:t>2、本次报价包含本项目所有相关费用，如报价明细中出现漏项均视为包含在总价中，项目实施过程中不再追加任何费用；</w:t>
      </w:r>
    </w:p>
    <w:p>
      <w:pPr>
        <w:shd w:val="clear" w:color="auto" w:fill="FFFFFF"/>
        <w:tabs>
          <w:tab w:val="left" w:pos="3780"/>
        </w:tabs>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供应商（盖公章）：</w:t>
      </w:r>
    </w:p>
    <w:p>
      <w:pPr>
        <w:shd w:val="clear" w:color="auto" w:fill="FFFFFF"/>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lang w:eastAsia="zh-CN"/>
        </w:rPr>
        <w:t>或其委托代理人</w:t>
      </w:r>
      <w:r>
        <w:rPr>
          <w:rFonts w:hint="eastAsia" w:ascii="仿宋" w:hAnsi="仿宋" w:eastAsia="仿宋" w:cs="仿宋"/>
          <w:color w:val="auto"/>
          <w:szCs w:val="21"/>
          <w:highlight w:val="none"/>
        </w:rPr>
        <w:t>（签字或盖章）：</w:t>
      </w:r>
    </w:p>
    <w:p>
      <w:pPr>
        <w:pStyle w:val="2"/>
        <w:rPr>
          <w:rFonts w:hint="eastAsia"/>
          <w:color w:val="auto"/>
          <w:highlight w:val="none"/>
        </w:rPr>
      </w:pPr>
      <w:r>
        <w:rPr>
          <w:rFonts w:hint="eastAsia" w:ascii="仿宋" w:hAnsi="仿宋" w:eastAsia="仿宋" w:cs="仿宋"/>
          <w:color w:val="auto"/>
          <w:szCs w:val="21"/>
          <w:highlight w:val="none"/>
        </w:rPr>
        <w:t>日期： 年  月  日</w:t>
      </w:r>
    </w:p>
    <w:p>
      <w:pPr>
        <w:pStyle w:val="2"/>
        <w:ind w:left="0" w:leftChars="0" w:firstLine="0" w:firstLineChars="0"/>
        <w:rPr>
          <w:rFonts w:hint="eastAsia"/>
        </w:rPr>
        <w:sectPr>
          <w:footerReference r:id="rId8" w:type="first"/>
          <w:footerReference r:id="rId7" w:type="default"/>
          <w:pgSz w:w="11906" w:h="16838"/>
          <w:pgMar w:top="1418" w:right="1133" w:bottom="709" w:left="1701" w:header="851" w:footer="992" w:gutter="0"/>
          <w:pgNumType w:fmt="decimal" w:start="1"/>
          <w:cols w:space="720" w:num="1"/>
          <w:docGrid w:linePitch="332" w:charSpace="0"/>
        </w:sectPr>
      </w:pPr>
    </w:p>
    <w:bookmarkEnd w:id="47"/>
    <w:p>
      <w:pPr>
        <w:jc w:val="center"/>
        <w:rPr>
          <w:rFonts w:hint="eastAsia" w:ascii="仿宋" w:hAnsi="仿宋" w:eastAsia="仿宋" w:cs="仿宋"/>
          <w:bCs/>
          <w:color w:val="auto"/>
          <w:sz w:val="28"/>
          <w:highlight w:val="none"/>
        </w:rPr>
      </w:pPr>
    </w:p>
    <w:p>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4</w:t>
      </w:r>
      <w:r>
        <w:rPr>
          <w:rFonts w:hint="eastAsia" w:ascii="仿宋" w:hAnsi="仿宋" w:eastAsia="仿宋" w:cs="仿宋"/>
          <w:b/>
          <w:bCs/>
          <w:color w:val="auto"/>
          <w:sz w:val="30"/>
          <w:szCs w:val="30"/>
          <w:highlight w:val="none"/>
        </w:rPr>
        <w:t>、法定代表人身份证明书</w:t>
      </w:r>
    </w:p>
    <w:p>
      <w:pPr>
        <w:rPr>
          <w:rFonts w:hint="eastAsia" w:ascii="仿宋" w:hAnsi="仿宋" w:eastAsia="仿宋" w:cs="仿宋"/>
          <w:b/>
          <w:color w:val="auto"/>
          <w:sz w:val="28"/>
          <w:highlight w:val="none"/>
        </w:rPr>
      </w:pPr>
    </w:p>
    <w:p>
      <w:pPr>
        <w:jc w:val="center"/>
        <w:rPr>
          <w:rFonts w:hint="eastAsia" w:ascii="仿宋" w:hAnsi="仿宋" w:eastAsia="仿宋" w:cs="仿宋"/>
          <w:b/>
          <w:color w:val="auto"/>
          <w:sz w:val="28"/>
          <w:highlight w:val="none"/>
        </w:rPr>
      </w:pPr>
    </w:p>
    <w:p>
      <w:pPr>
        <w:jc w:val="center"/>
        <w:rPr>
          <w:rFonts w:hint="eastAsia" w:ascii="仿宋" w:hAnsi="仿宋" w:eastAsia="仿宋" w:cs="仿宋"/>
          <w:bCs/>
          <w:color w:val="auto"/>
          <w:sz w:val="28"/>
          <w:highlight w:val="none"/>
        </w:rPr>
      </w:pPr>
    </w:p>
    <w:p>
      <w:pPr>
        <w:rPr>
          <w:rFonts w:hint="eastAsia" w:ascii="仿宋" w:hAnsi="仿宋" w:eastAsia="仿宋" w:cs="仿宋"/>
          <w:bCs/>
          <w:color w:val="auto"/>
          <w:sz w:val="28"/>
          <w:highlight w:val="none"/>
          <w:u w:val="single"/>
        </w:rPr>
      </w:pPr>
      <w:r>
        <w:rPr>
          <w:rFonts w:hint="eastAsia" w:ascii="仿宋" w:hAnsi="仿宋" w:eastAsia="仿宋" w:cs="仿宋"/>
          <w:bCs/>
          <w:color w:val="auto"/>
          <w:sz w:val="28"/>
          <w:highlight w:val="none"/>
        </w:rPr>
        <w:t>单位名称：</w:t>
      </w:r>
      <w:r>
        <w:rPr>
          <w:rFonts w:hint="eastAsia" w:ascii="仿宋" w:hAnsi="仿宋" w:eastAsia="仿宋" w:cs="仿宋"/>
          <w:bCs/>
          <w:color w:val="auto"/>
          <w:sz w:val="28"/>
          <w:highlight w:val="none"/>
          <w:u w:val="single"/>
        </w:rPr>
        <w:t xml:space="preserve">                                                   </w:t>
      </w:r>
    </w:p>
    <w:p>
      <w:pPr>
        <w:rPr>
          <w:rFonts w:hint="eastAsia" w:ascii="仿宋" w:hAnsi="仿宋" w:eastAsia="仿宋" w:cs="仿宋"/>
          <w:bCs/>
          <w:color w:val="auto"/>
          <w:sz w:val="28"/>
          <w:highlight w:val="none"/>
          <w:u w:val="single"/>
        </w:rPr>
      </w:pPr>
    </w:p>
    <w:p>
      <w:pPr>
        <w:rPr>
          <w:rFonts w:hint="eastAsia" w:ascii="仿宋" w:hAnsi="仿宋" w:eastAsia="仿宋" w:cs="仿宋"/>
          <w:bCs/>
          <w:color w:val="auto"/>
          <w:sz w:val="28"/>
          <w:highlight w:val="none"/>
          <w:u w:val="single"/>
        </w:rPr>
      </w:pPr>
      <w:r>
        <w:rPr>
          <w:rFonts w:hint="eastAsia" w:ascii="仿宋" w:hAnsi="仿宋" w:eastAsia="仿宋" w:cs="仿宋"/>
          <w:bCs/>
          <w:color w:val="auto"/>
          <w:sz w:val="28"/>
          <w:highlight w:val="none"/>
        </w:rPr>
        <w:t>企业类型：</w:t>
      </w:r>
      <w:r>
        <w:rPr>
          <w:rFonts w:hint="eastAsia" w:ascii="仿宋" w:hAnsi="仿宋" w:eastAsia="仿宋" w:cs="仿宋"/>
          <w:bCs/>
          <w:color w:val="auto"/>
          <w:sz w:val="28"/>
          <w:highlight w:val="none"/>
          <w:u w:val="single"/>
        </w:rPr>
        <w:t xml:space="preserve">                                                   </w:t>
      </w:r>
    </w:p>
    <w:p>
      <w:pPr>
        <w:rPr>
          <w:rFonts w:hint="eastAsia" w:ascii="仿宋" w:hAnsi="仿宋" w:eastAsia="仿宋" w:cs="仿宋"/>
          <w:bCs/>
          <w:color w:val="auto"/>
          <w:sz w:val="28"/>
          <w:highlight w:val="none"/>
        </w:rPr>
      </w:pPr>
    </w:p>
    <w:p>
      <w:pPr>
        <w:rPr>
          <w:rFonts w:hint="eastAsia" w:ascii="仿宋" w:hAnsi="仿宋" w:eastAsia="仿宋" w:cs="仿宋"/>
          <w:bCs/>
          <w:color w:val="auto"/>
          <w:sz w:val="28"/>
          <w:highlight w:val="none"/>
          <w:u w:val="single"/>
        </w:rPr>
      </w:pPr>
      <w:r>
        <w:rPr>
          <w:rFonts w:hint="eastAsia" w:ascii="仿宋" w:hAnsi="仿宋" w:eastAsia="仿宋" w:cs="仿宋"/>
          <w:bCs/>
          <w:color w:val="auto"/>
          <w:sz w:val="28"/>
          <w:highlight w:val="none"/>
        </w:rPr>
        <w:t>地    址：</w:t>
      </w:r>
      <w:r>
        <w:rPr>
          <w:rFonts w:hint="eastAsia" w:ascii="仿宋" w:hAnsi="仿宋" w:eastAsia="仿宋" w:cs="仿宋"/>
          <w:bCs/>
          <w:color w:val="auto"/>
          <w:sz w:val="28"/>
          <w:highlight w:val="none"/>
          <w:u w:val="single"/>
        </w:rPr>
        <w:t xml:space="preserve">                                                   </w:t>
      </w:r>
    </w:p>
    <w:p>
      <w:pPr>
        <w:rPr>
          <w:rFonts w:hint="eastAsia" w:ascii="仿宋" w:hAnsi="仿宋" w:eastAsia="仿宋" w:cs="仿宋"/>
          <w:bCs/>
          <w:color w:val="auto"/>
          <w:sz w:val="28"/>
          <w:highlight w:val="none"/>
        </w:rPr>
      </w:pPr>
    </w:p>
    <w:p>
      <w:pPr>
        <w:rPr>
          <w:rFonts w:hint="eastAsia" w:ascii="仿宋" w:hAnsi="仿宋" w:eastAsia="仿宋" w:cs="仿宋"/>
          <w:bCs/>
          <w:color w:val="auto"/>
          <w:sz w:val="28"/>
          <w:highlight w:val="none"/>
          <w:u w:val="single"/>
        </w:rPr>
      </w:pPr>
      <w:r>
        <w:rPr>
          <w:rFonts w:hint="eastAsia" w:ascii="仿宋" w:hAnsi="仿宋" w:eastAsia="仿宋" w:cs="仿宋"/>
          <w:bCs/>
          <w:color w:val="auto"/>
          <w:sz w:val="28"/>
          <w:highlight w:val="none"/>
        </w:rPr>
        <w:t>营业期限：</w:t>
      </w:r>
      <w:r>
        <w:rPr>
          <w:rFonts w:hint="eastAsia" w:ascii="仿宋" w:hAnsi="仿宋" w:eastAsia="仿宋" w:cs="仿宋"/>
          <w:bCs/>
          <w:color w:val="auto"/>
          <w:sz w:val="28"/>
          <w:highlight w:val="none"/>
          <w:u w:val="single"/>
        </w:rPr>
        <w:t xml:space="preserve">                                                   </w:t>
      </w:r>
    </w:p>
    <w:p>
      <w:pPr>
        <w:rPr>
          <w:rFonts w:hint="eastAsia" w:ascii="仿宋" w:hAnsi="仿宋" w:eastAsia="仿宋" w:cs="仿宋"/>
          <w:bCs/>
          <w:color w:val="auto"/>
          <w:sz w:val="28"/>
          <w:highlight w:val="none"/>
        </w:rPr>
      </w:pPr>
    </w:p>
    <w:p>
      <w:pPr>
        <w:rPr>
          <w:rFonts w:hint="eastAsia" w:ascii="仿宋" w:hAnsi="仿宋" w:eastAsia="仿宋" w:cs="仿宋"/>
          <w:bCs/>
          <w:color w:val="auto"/>
          <w:sz w:val="28"/>
          <w:highlight w:val="none"/>
          <w:u w:val="single"/>
        </w:rPr>
      </w:pPr>
      <w:r>
        <w:rPr>
          <w:rFonts w:hint="eastAsia" w:ascii="仿宋" w:hAnsi="仿宋" w:eastAsia="仿宋" w:cs="仿宋"/>
          <w:bCs/>
          <w:color w:val="auto"/>
          <w:sz w:val="28"/>
          <w:highlight w:val="none"/>
        </w:rPr>
        <w:t>成立时间：</w:t>
      </w:r>
      <w:r>
        <w:rPr>
          <w:rFonts w:hint="eastAsia" w:ascii="仿宋" w:hAnsi="仿宋" w:eastAsia="仿宋" w:cs="仿宋"/>
          <w:bCs/>
          <w:color w:val="auto"/>
          <w:sz w:val="28"/>
          <w:highlight w:val="none"/>
          <w:u w:val="single"/>
        </w:rPr>
        <w:t xml:space="preserve">                                                   </w:t>
      </w:r>
    </w:p>
    <w:p>
      <w:pPr>
        <w:rPr>
          <w:rFonts w:hint="eastAsia" w:ascii="仿宋" w:hAnsi="仿宋" w:eastAsia="仿宋" w:cs="仿宋"/>
          <w:bCs/>
          <w:color w:val="auto"/>
          <w:sz w:val="28"/>
          <w:highlight w:val="none"/>
          <w:u w:val="single"/>
        </w:rPr>
      </w:pPr>
    </w:p>
    <w:p>
      <w:pPr>
        <w:rPr>
          <w:rFonts w:hint="eastAsia" w:ascii="仿宋" w:hAnsi="仿宋" w:eastAsia="仿宋" w:cs="仿宋"/>
          <w:bCs/>
          <w:color w:val="auto"/>
          <w:sz w:val="28"/>
          <w:highlight w:val="none"/>
          <w:u w:val="single"/>
        </w:rPr>
      </w:pPr>
    </w:p>
    <w:p>
      <w:pPr>
        <w:rPr>
          <w:rFonts w:hint="eastAsia" w:ascii="仿宋" w:hAnsi="仿宋" w:eastAsia="仿宋" w:cs="仿宋"/>
          <w:bCs/>
          <w:color w:val="auto"/>
          <w:sz w:val="28"/>
          <w:highlight w:val="none"/>
          <w:u w:val="single"/>
        </w:rPr>
      </w:pPr>
    </w:p>
    <w:p>
      <w:pPr>
        <w:rPr>
          <w:rFonts w:hint="eastAsia" w:ascii="仿宋" w:hAnsi="仿宋" w:eastAsia="仿宋" w:cs="仿宋"/>
          <w:bCs/>
          <w:color w:val="auto"/>
          <w:sz w:val="28"/>
          <w:highlight w:val="none"/>
          <w:u w:val="single"/>
        </w:rPr>
      </w:pPr>
      <w:r>
        <w:rPr>
          <w:rFonts w:hint="eastAsia" w:ascii="仿宋" w:hAnsi="仿宋" w:eastAsia="仿宋" w:cs="仿宋"/>
          <w:bCs/>
          <w:color w:val="auto"/>
          <w:sz w:val="28"/>
          <w:highlight w:val="none"/>
        </w:rPr>
        <w:t>姓名：</w:t>
      </w:r>
      <w:r>
        <w:rPr>
          <w:rFonts w:hint="eastAsia" w:ascii="仿宋" w:hAnsi="仿宋" w:eastAsia="仿宋" w:cs="仿宋"/>
          <w:bCs/>
          <w:color w:val="auto"/>
          <w:sz w:val="28"/>
          <w:highlight w:val="none"/>
          <w:u w:val="single"/>
        </w:rPr>
        <w:t xml:space="preserve">              </w:t>
      </w:r>
      <w:r>
        <w:rPr>
          <w:rFonts w:hint="eastAsia" w:ascii="仿宋" w:hAnsi="仿宋" w:eastAsia="仿宋" w:cs="仿宋"/>
          <w:bCs/>
          <w:color w:val="auto"/>
          <w:sz w:val="28"/>
          <w:highlight w:val="none"/>
        </w:rPr>
        <w:t xml:space="preserve">    性别：</w:t>
      </w:r>
      <w:r>
        <w:rPr>
          <w:rFonts w:hint="eastAsia" w:ascii="仿宋" w:hAnsi="仿宋" w:eastAsia="仿宋" w:cs="仿宋"/>
          <w:bCs/>
          <w:color w:val="auto"/>
          <w:sz w:val="28"/>
          <w:highlight w:val="none"/>
          <w:u w:val="single"/>
        </w:rPr>
        <w:t xml:space="preserve">              </w:t>
      </w:r>
      <w:r>
        <w:rPr>
          <w:rFonts w:hint="eastAsia" w:ascii="仿宋" w:hAnsi="仿宋" w:eastAsia="仿宋" w:cs="仿宋"/>
          <w:bCs/>
          <w:color w:val="auto"/>
          <w:sz w:val="28"/>
          <w:highlight w:val="none"/>
        </w:rPr>
        <w:t xml:space="preserve">   年龄：</w:t>
      </w:r>
      <w:r>
        <w:rPr>
          <w:rFonts w:hint="eastAsia" w:ascii="仿宋" w:hAnsi="仿宋" w:eastAsia="仿宋" w:cs="仿宋"/>
          <w:bCs/>
          <w:color w:val="auto"/>
          <w:sz w:val="28"/>
          <w:highlight w:val="none"/>
          <w:u w:val="single"/>
        </w:rPr>
        <w:t xml:space="preserve">              </w:t>
      </w:r>
      <w:r>
        <w:rPr>
          <w:rFonts w:hint="eastAsia" w:ascii="仿宋" w:hAnsi="仿宋" w:eastAsia="仿宋" w:cs="仿宋"/>
          <w:bCs/>
          <w:color w:val="auto"/>
          <w:sz w:val="28"/>
          <w:highlight w:val="none"/>
        </w:rPr>
        <w:t xml:space="preserve">  职务： </w:t>
      </w:r>
      <w:r>
        <w:rPr>
          <w:rFonts w:hint="eastAsia" w:ascii="仿宋" w:hAnsi="仿宋" w:eastAsia="仿宋" w:cs="仿宋"/>
          <w:bCs/>
          <w:color w:val="auto"/>
          <w:sz w:val="28"/>
          <w:highlight w:val="none"/>
          <w:u w:val="single"/>
        </w:rPr>
        <w:t xml:space="preserve">               </w:t>
      </w:r>
    </w:p>
    <w:p>
      <w:pPr>
        <w:rPr>
          <w:rFonts w:hint="eastAsia" w:ascii="仿宋" w:hAnsi="仿宋" w:eastAsia="仿宋" w:cs="仿宋"/>
          <w:bCs/>
          <w:color w:val="auto"/>
          <w:sz w:val="28"/>
          <w:highlight w:val="none"/>
        </w:rPr>
      </w:pPr>
      <w:r>
        <w:rPr>
          <w:rFonts w:hint="eastAsia" w:ascii="仿宋" w:hAnsi="仿宋" w:eastAsia="仿宋" w:cs="仿宋"/>
          <w:bCs/>
          <w:color w:val="auto"/>
          <w:sz w:val="28"/>
          <w:highlight w:val="none"/>
        </w:rPr>
        <w:t xml:space="preserve">系 </w:t>
      </w:r>
      <w:r>
        <w:rPr>
          <w:rFonts w:hint="eastAsia" w:ascii="仿宋" w:hAnsi="仿宋" w:eastAsia="仿宋" w:cs="仿宋"/>
          <w:bCs/>
          <w:color w:val="auto"/>
          <w:sz w:val="28"/>
          <w:highlight w:val="none"/>
          <w:u w:val="single"/>
        </w:rPr>
        <w:t xml:space="preserve">          （</w:t>
      </w:r>
      <w:r>
        <w:rPr>
          <w:rFonts w:hint="eastAsia" w:ascii="仿宋" w:hAnsi="仿宋" w:eastAsia="仿宋" w:cs="仿宋"/>
          <w:bCs/>
          <w:color w:val="auto"/>
          <w:sz w:val="28"/>
          <w:highlight w:val="none"/>
          <w:u w:val="single"/>
          <w:lang w:eastAsia="zh-CN"/>
        </w:rPr>
        <w:t>投标人</w:t>
      </w:r>
      <w:r>
        <w:rPr>
          <w:rFonts w:hint="eastAsia" w:ascii="仿宋" w:hAnsi="仿宋" w:eastAsia="仿宋" w:cs="仿宋"/>
          <w:bCs/>
          <w:color w:val="auto"/>
          <w:sz w:val="28"/>
          <w:highlight w:val="none"/>
          <w:u w:val="single"/>
        </w:rPr>
        <w:t xml:space="preserve">单位名称）              </w:t>
      </w:r>
      <w:r>
        <w:rPr>
          <w:rFonts w:hint="eastAsia" w:ascii="仿宋" w:hAnsi="仿宋" w:eastAsia="仿宋" w:cs="仿宋"/>
          <w:bCs/>
          <w:color w:val="auto"/>
          <w:sz w:val="28"/>
          <w:highlight w:val="none"/>
        </w:rPr>
        <w:t>的法定代表人。</w:t>
      </w:r>
    </w:p>
    <w:p>
      <w:pPr>
        <w:rPr>
          <w:rFonts w:hint="eastAsia" w:ascii="仿宋" w:hAnsi="仿宋" w:eastAsia="仿宋" w:cs="仿宋"/>
          <w:bCs/>
          <w:color w:val="auto"/>
          <w:sz w:val="28"/>
          <w:highlight w:val="none"/>
        </w:rPr>
      </w:pPr>
    </w:p>
    <w:p>
      <w:pPr>
        <w:rPr>
          <w:rFonts w:hint="eastAsia" w:ascii="仿宋" w:hAnsi="仿宋" w:eastAsia="仿宋" w:cs="仿宋"/>
          <w:bCs/>
          <w:color w:val="auto"/>
          <w:sz w:val="28"/>
          <w:highlight w:val="none"/>
        </w:rPr>
      </w:pPr>
    </w:p>
    <w:p>
      <w:pPr>
        <w:rPr>
          <w:rFonts w:hint="eastAsia" w:ascii="仿宋" w:hAnsi="仿宋" w:eastAsia="仿宋" w:cs="仿宋"/>
          <w:bCs/>
          <w:color w:val="auto"/>
          <w:sz w:val="28"/>
          <w:highlight w:val="none"/>
        </w:rPr>
      </w:pPr>
      <w:r>
        <w:rPr>
          <w:rFonts w:hint="eastAsia" w:ascii="仿宋" w:hAnsi="仿宋" w:eastAsia="仿宋" w:cs="仿宋"/>
          <w:bCs/>
          <w:color w:val="auto"/>
          <w:sz w:val="28"/>
          <w:highlight w:val="none"/>
        </w:rPr>
        <w:t>特此证明。</w:t>
      </w:r>
    </w:p>
    <w:p>
      <w:pPr>
        <w:rPr>
          <w:rFonts w:hint="eastAsia" w:ascii="仿宋" w:hAnsi="仿宋" w:eastAsia="仿宋" w:cs="仿宋"/>
          <w:bCs/>
          <w:color w:val="auto"/>
          <w:sz w:val="28"/>
          <w:highlight w:val="none"/>
        </w:rPr>
      </w:pPr>
    </w:p>
    <w:p>
      <w:pPr>
        <w:rPr>
          <w:rFonts w:hint="eastAsia" w:ascii="仿宋" w:hAnsi="仿宋" w:eastAsia="仿宋" w:cs="仿宋"/>
          <w:bCs/>
          <w:color w:val="auto"/>
          <w:sz w:val="28"/>
          <w:highlight w:val="none"/>
          <w:lang w:eastAsia="zh-CN"/>
        </w:rPr>
      </w:pPr>
      <w:r>
        <w:rPr>
          <w:rFonts w:hint="eastAsia" w:ascii="仿宋" w:hAnsi="仿宋" w:eastAsia="仿宋" w:cs="仿宋"/>
          <w:bCs/>
          <w:color w:val="auto"/>
          <w:sz w:val="28"/>
          <w:highlight w:val="none"/>
          <w:lang w:eastAsia="zh-CN"/>
        </w:rPr>
        <w:t>（附：法定代表人身份证复印件）</w:t>
      </w:r>
    </w:p>
    <w:p>
      <w:pPr>
        <w:rPr>
          <w:rFonts w:hint="eastAsia" w:ascii="仿宋" w:hAnsi="仿宋" w:eastAsia="仿宋" w:cs="仿宋"/>
          <w:bCs/>
          <w:color w:val="auto"/>
          <w:sz w:val="28"/>
          <w:highlight w:val="none"/>
        </w:rPr>
      </w:pPr>
    </w:p>
    <w:p>
      <w:pPr>
        <w:rPr>
          <w:rFonts w:hint="eastAsia" w:ascii="仿宋" w:hAnsi="仿宋" w:eastAsia="仿宋" w:cs="仿宋"/>
          <w:bCs/>
          <w:color w:val="auto"/>
          <w:sz w:val="28"/>
          <w:highlight w:val="none"/>
        </w:rPr>
      </w:pPr>
    </w:p>
    <w:p>
      <w:pPr>
        <w:rPr>
          <w:rFonts w:hint="eastAsia" w:ascii="仿宋" w:hAnsi="仿宋" w:eastAsia="仿宋" w:cs="仿宋"/>
          <w:bCs/>
          <w:color w:val="auto"/>
          <w:sz w:val="28"/>
          <w:highlight w:val="none"/>
        </w:rPr>
      </w:pPr>
    </w:p>
    <w:p>
      <w:pPr>
        <w:jc w:val="right"/>
        <w:rPr>
          <w:rFonts w:hint="eastAsia" w:ascii="仿宋" w:hAnsi="仿宋" w:eastAsia="仿宋" w:cs="仿宋"/>
          <w:bCs/>
          <w:color w:val="auto"/>
          <w:sz w:val="28"/>
          <w:highlight w:val="none"/>
          <w:u w:val="single"/>
        </w:rPr>
      </w:pPr>
      <w:r>
        <w:rPr>
          <w:rFonts w:hint="eastAsia" w:ascii="仿宋" w:hAnsi="仿宋" w:eastAsia="仿宋" w:cs="仿宋"/>
          <w:bCs/>
          <w:color w:val="auto"/>
          <w:sz w:val="28"/>
          <w:highlight w:val="none"/>
          <w:lang w:eastAsia="zh-CN"/>
        </w:rPr>
        <w:t>投标人</w:t>
      </w:r>
      <w:r>
        <w:rPr>
          <w:rFonts w:hint="eastAsia" w:ascii="仿宋" w:hAnsi="仿宋" w:eastAsia="仿宋" w:cs="仿宋"/>
          <w:bCs/>
          <w:color w:val="auto"/>
          <w:sz w:val="28"/>
          <w:highlight w:val="none"/>
        </w:rPr>
        <w:t>：</w:t>
      </w:r>
      <w:r>
        <w:rPr>
          <w:rFonts w:hint="eastAsia" w:ascii="仿宋" w:hAnsi="仿宋" w:eastAsia="仿宋" w:cs="仿宋"/>
          <w:bCs/>
          <w:color w:val="auto"/>
          <w:sz w:val="28"/>
          <w:highlight w:val="none"/>
          <w:u w:val="single"/>
        </w:rPr>
        <w:t xml:space="preserve">                      （盖章）</w:t>
      </w:r>
    </w:p>
    <w:p>
      <w:pPr>
        <w:jc w:val="right"/>
        <w:rPr>
          <w:rFonts w:hint="eastAsia" w:ascii="仿宋" w:hAnsi="仿宋" w:eastAsia="仿宋" w:cs="仿宋"/>
          <w:bCs/>
          <w:color w:val="auto"/>
          <w:sz w:val="28"/>
          <w:highlight w:val="none"/>
        </w:rPr>
      </w:pPr>
      <w:r>
        <w:rPr>
          <w:rFonts w:hint="eastAsia" w:ascii="仿宋" w:hAnsi="仿宋" w:eastAsia="仿宋" w:cs="仿宋"/>
          <w:bCs/>
          <w:color w:val="auto"/>
          <w:sz w:val="28"/>
          <w:highlight w:val="none"/>
        </w:rPr>
        <w:t>日  期：</w:t>
      </w:r>
      <w:r>
        <w:rPr>
          <w:rFonts w:hint="eastAsia" w:ascii="仿宋" w:hAnsi="仿宋" w:eastAsia="仿宋" w:cs="仿宋"/>
          <w:bCs/>
          <w:color w:val="auto"/>
          <w:sz w:val="28"/>
          <w:highlight w:val="none"/>
          <w:u w:val="single"/>
        </w:rPr>
        <w:t xml:space="preserve">        </w:t>
      </w:r>
      <w:r>
        <w:rPr>
          <w:rFonts w:hint="eastAsia" w:ascii="仿宋" w:hAnsi="仿宋" w:eastAsia="仿宋" w:cs="仿宋"/>
          <w:bCs/>
          <w:color w:val="auto"/>
          <w:sz w:val="28"/>
          <w:highlight w:val="none"/>
        </w:rPr>
        <w:t>年</w:t>
      </w:r>
      <w:r>
        <w:rPr>
          <w:rFonts w:hint="eastAsia" w:ascii="仿宋" w:hAnsi="仿宋" w:eastAsia="仿宋" w:cs="仿宋"/>
          <w:bCs/>
          <w:color w:val="auto"/>
          <w:sz w:val="28"/>
          <w:highlight w:val="none"/>
          <w:u w:val="single"/>
        </w:rPr>
        <w:t xml:space="preserve">        </w:t>
      </w:r>
      <w:r>
        <w:rPr>
          <w:rFonts w:hint="eastAsia" w:ascii="仿宋" w:hAnsi="仿宋" w:eastAsia="仿宋" w:cs="仿宋"/>
          <w:bCs/>
          <w:color w:val="auto"/>
          <w:sz w:val="28"/>
          <w:highlight w:val="none"/>
        </w:rPr>
        <w:t>月</w:t>
      </w:r>
      <w:r>
        <w:rPr>
          <w:rFonts w:hint="eastAsia" w:ascii="仿宋" w:hAnsi="仿宋" w:eastAsia="仿宋" w:cs="仿宋"/>
          <w:bCs/>
          <w:color w:val="auto"/>
          <w:sz w:val="28"/>
          <w:highlight w:val="none"/>
          <w:u w:val="single"/>
        </w:rPr>
        <w:t xml:space="preserve">        </w:t>
      </w:r>
      <w:r>
        <w:rPr>
          <w:rFonts w:hint="eastAsia" w:ascii="仿宋" w:hAnsi="仿宋" w:eastAsia="仿宋" w:cs="仿宋"/>
          <w:bCs/>
          <w:color w:val="auto"/>
          <w:sz w:val="28"/>
          <w:highlight w:val="none"/>
        </w:rPr>
        <w:t>日</w:t>
      </w:r>
    </w:p>
    <w:p>
      <w:pPr>
        <w:jc w:val="center"/>
        <w:rPr>
          <w:rFonts w:hint="eastAsia" w:ascii="仿宋" w:hAnsi="仿宋" w:eastAsia="仿宋" w:cs="仿宋"/>
          <w:bCs/>
          <w:color w:val="auto"/>
          <w:sz w:val="28"/>
          <w:highlight w:val="none"/>
        </w:rPr>
      </w:pPr>
    </w:p>
    <w:p>
      <w:pPr>
        <w:jc w:val="center"/>
        <w:rPr>
          <w:rFonts w:hint="eastAsia" w:ascii="仿宋" w:hAnsi="仿宋" w:eastAsia="仿宋" w:cs="仿宋"/>
          <w:bCs/>
          <w:color w:val="auto"/>
          <w:sz w:val="28"/>
          <w:highlight w:val="none"/>
        </w:rPr>
      </w:pPr>
      <w:r>
        <w:rPr>
          <w:rFonts w:hint="eastAsia" w:ascii="仿宋" w:hAnsi="仿宋" w:eastAsia="仿宋" w:cs="仿宋"/>
          <w:bCs/>
          <w:color w:val="auto"/>
          <w:sz w:val="28"/>
          <w:highlight w:val="none"/>
        </w:rPr>
        <w:br w:type="page"/>
      </w:r>
    </w:p>
    <w:p>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5</w:t>
      </w:r>
      <w:r>
        <w:rPr>
          <w:rFonts w:hint="eastAsia" w:ascii="仿宋" w:hAnsi="仿宋" w:eastAsia="仿宋" w:cs="仿宋"/>
          <w:b/>
          <w:bCs/>
          <w:color w:val="auto"/>
          <w:sz w:val="30"/>
          <w:szCs w:val="30"/>
          <w:highlight w:val="none"/>
        </w:rPr>
        <w:t>、法定代表人授权委托书</w:t>
      </w:r>
    </w:p>
    <w:p>
      <w:pPr>
        <w:jc w:val="center"/>
        <w:rPr>
          <w:rFonts w:hint="eastAsia" w:ascii="仿宋" w:hAnsi="仿宋" w:eastAsia="仿宋" w:cs="仿宋"/>
          <w:b/>
          <w:color w:val="auto"/>
          <w:sz w:val="28"/>
          <w:highlight w:val="none"/>
        </w:rPr>
      </w:pPr>
    </w:p>
    <w:p>
      <w:pPr>
        <w:rPr>
          <w:rFonts w:hint="eastAsia" w:ascii="仿宋" w:hAnsi="仿宋" w:eastAsia="仿宋" w:cs="仿宋"/>
          <w:color w:val="auto"/>
          <w:sz w:val="28"/>
          <w:highlight w:val="none"/>
        </w:rPr>
      </w:pPr>
    </w:p>
    <w:p>
      <w:pPr>
        <w:spacing w:line="360" w:lineRule="auto"/>
        <w:ind w:firstLine="630"/>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本授权委托书声明：我</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（姓名）系</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eastAsia="zh-CN"/>
        </w:rPr>
        <w:t>投标人</w:t>
      </w:r>
      <w:r>
        <w:rPr>
          <w:rFonts w:hint="eastAsia" w:ascii="仿宋" w:hAnsi="仿宋" w:eastAsia="仿宋" w:cs="仿宋"/>
          <w:color w:val="auto"/>
          <w:sz w:val="28"/>
          <w:highlight w:val="none"/>
        </w:rPr>
        <w:t>名称）的法人代表人，现授权委托</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eastAsia="zh-CN"/>
        </w:rPr>
        <w:t>投标人</w:t>
      </w:r>
      <w:r>
        <w:rPr>
          <w:rFonts w:hint="eastAsia" w:ascii="仿宋" w:hAnsi="仿宋" w:eastAsia="仿宋" w:cs="仿宋"/>
          <w:color w:val="auto"/>
          <w:sz w:val="28"/>
          <w:highlight w:val="none"/>
        </w:rPr>
        <w:t>名称）的</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（姓名）为我公司代理人，以本公司的名义参加</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（招标人）的</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招标工程的投标活动。代理人在参加整个工程招标投标活动、合同谈判过程中所签署的一切文件和处理与之有关的一切事物，我均予以承认。</w:t>
      </w:r>
    </w:p>
    <w:p>
      <w:pPr>
        <w:spacing w:line="360" w:lineRule="auto"/>
        <w:rPr>
          <w:rFonts w:hint="eastAsia" w:ascii="仿宋" w:hAnsi="仿宋" w:eastAsia="仿宋" w:cs="仿宋"/>
          <w:color w:val="auto"/>
          <w:sz w:val="28"/>
          <w:highlight w:val="none"/>
        </w:rPr>
      </w:pPr>
    </w:p>
    <w:p>
      <w:pPr>
        <w:spacing w:line="360" w:lineRule="auto"/>
        <w:rPr>
          <w:rFonts w:hint="eastAsia" w:ascii="仿宋" w:hAnsi="仿宋" w:eastAsia="仿宋" w:cs="仿宋"/>
          <w:color w:val="auto"/>
          <w:sz w:val="28"/>
          <w:highlight w:val="none"/>
        </w:rPr>
      </w:pPr>
    </w:p>
    <w:p>
      <w:pP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代理人：</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性别：</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年龄：</w:t>
      </w:r>
      <w:r>
        <w:rPr>
          <w:rFonts w:hint="eastAsia" w:ascii="仿宋" w:hAnsi="仿宋" w:eastAsia="仿宋" w:cs="仿宋"/>
          <w:color w:val="auto"/>
          <w:sz w:val="28"/>
          <w:highlight w:val="none"/>
          <w:u w:val="single"/>
        </w:rPr>
        <w:t xml:space="preserve">             </w:t>
      </w:r>
    </w:p>
    <w:p>
      <w:pPr>
        <w:spacing w:line="360" w:lineRule="auto"/>
        <w:rPr>
          <w:rFonts w:hint="eastAsia" w:ascii="仿宋" w:hAnsi="仿宋" w:eastAsia="仿宋" w:cs="仿宋"/>
          <w:color w:val="auto"/>
          <w:sz w:val="28"/>
          <w:highlight w:val="none"/>
        </w:rPr>
      </w:pPr>
    </w:p>
    <w:p>
      <w:pP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部门：</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职务：</w:t>
      </w:r>
      <w:r>
        <w:rPr>
          <w:rFonts w:hint="eastAsia" w:ascii="仿宋" w:hAnsi="仿宋" w:eastAsia="仿宋" w:cs="仿宋"/>
          <w:color w:val="auto"/>
          <w:sz w:val="28"/>
          <w:highlight w:val="none"/>
          <w:u w:val="single"/>
        </w:rPr>
        <w:t xml:space="preserve">             </w:t>
      </w:r>
    </w:p>
    <w:p>
      <w:pPr>
        <w:rPr>
          <w:rFonts w:hint="eastAsia" w:ascii="仿宋" w:hAnsi="仿宋" w:eastAsia="仿宋" w:cs="仿宋"/>
          <w:color w:val="auto"/>
          <w:sz w:val="28"/>
          <w:highlight w:val="none"/>
        </w:rPr>
      </w:pPr>
    </w:p>
    <w:p>
      <w:pPr>
        <w:rPr>
          <w:rFonts w:hint="eastAsia" w:ascii="仿宋" w:hAnsi="仿宋" w:eastAsia="仿宋" w:cs="仿宋"/>
          <w:color w:val="auto"/>
          <w:sz w:val="28"/>
          <w:highlight w:val="none"/>
        </w:rPr>
      </w:pPr>
    </w:p>
    <w:p>
      <w:pPr>
        <w:rPr>
          <w:rFonts w:hint="eastAsia" w:ascii="仿宋" w:hAnsi="仿宋" w:eastAsia="仿宋" w:cs="仿宋"/>
          <w:color w:val="auto"/>
          <w:sz w:val="28"/>
          <w:highlight w:val="none"/>
        </w:rPr>
      </w:pPr>
      <w:r>
        <w:rPr>
          <w:rFonts w:hint="eastAsia" w:ascii="仿宋" w:hAnsi="仿宋" w:eastAsia="仿宋" w:cs="仿宋"/>
          <w:color w:val="auto"/>
          <w:sz w:val="28"/>
          <w:highlight w:val="none"/>
        </w:rPr>
        <w:t>代理人无转委权。特此委托。</w:t>
      </w:r>
    </w:p>
    <w:p>
      <w:pPr>
        <w:rPr>
          <w:rFonts w:hint="eastAsia" w:ascii="仿宋" w:hAnsi="仿宋" w:eastAsia="仿宋" w:cs="仿宋"/>
          <w:color w:val="auto"/>
          <w:sz w:val="28"/>
          <w:highlight w:val="none"/>
        </w:rPr>
      </w:pPr>
    </w:p>
    <w:p>
      <w:pPr>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（附：法定代表人及授权代理人身份证复印件）</w:t>
      </w:r>
    </w:p>
    <w:p>
      <w:pPr>
        <w:rPr>
          <w:rFonts w:hint="eastAsia" w:ascii="仿宋" w:hAnsi="仿宋" w:eastAsia="仿宋" w:cs="仿宋"/>
          <w:color w:val="auto"/>
          <w:sz w:val="28"/>
          <w:highlight w:val="none"/>
        </w:rPr>
      </w:pPr>
    </w:p>
    <w:p>
      <w:pPr>
        <w:rPr>
          <w:rFonts w:hint="eastAsia" w:ascii="仿宋" w:hAnsi="仿宋" w:eastAsia="仿宋" w:cs="仿宋"/>
          <w:color w:val="auto"/>
          <w:sz w:val="28"/>
          <w:highlight w:val="none"/>
        </w:rPr>
      </w:pPr>
    </w:p>
    <w:p>
      <w:pPr>
        <w:rPr>
          <w:rFonts w:hint="eastAsia" w:ascii="仿宋" w:hAnsi="仿宋" w:eastAsia="仿宋" w:cs="仿宋"/>
          <w:color w:val="auto"/>
          <w:sz w:val="28"/>
          <w:highlight w:val="none"/>
        </w:rPr>
      </w:pPr>
    </w:p>
    <w:p>
      <w:pPr>
        <w:rPr>
          <w:rFonts w:hint="eastAsia" w:ascii="仿宋" w:hAnsi="仿宋" w:eastAsia="仿宋" w:cs="仿宋"/>
          <w:color w:val="auto"/>
          <w:sz w:val="28"/>
          <w:highlight w:val="none"/>
        </w:rPr>
      </w:pPr>
    </w:p>
    <w:p>
      <w:pPr>
        <w:bidi w:val="0"/>
        <w:rPr>
          <w:rFonts w:hint="eastAsia"/>
          <w:color w:val="auto"/>
          <w:highlight w:val="none"/>
        </w:rPr>
      </w:pPr>
    </w:p>
    <w:p>
      <w:pPr>
        <w:rPr>
          <w:rFonts w:hint="eastAsia" w:ascii="仿宋" w:hAnsi="仿宋" w:eastAsia="仿宋" w:cs="仿宋"/>
          <w:color w:val="auto"/>
          <w:sz w:val="28"/>
          <w:highlight w:val="none"/>
        </w:rPr>
      </w:pPr>
      <w:r>
        <w:rPr>
          <w:rFonts w:hint="eastAsia" w:ascii="仿宋" w:hAnsi="仿宋" w:eastAsia="仿宋" w:cs="仿宋"/>
          <w:color w:val="auto"/>
          <w:sz w:val="28"/>
          <w:highlight w:val="none"/>
          <w:lang w:eastAsia="zh-CN"/>
        </w:rPr>
        <w:t>投标人</w:t>
      </w:r>
      <w:r>
        <w:rPr>
          <w:rFonts w:hint="eastAsia" w:ascii="仿宋" w:hAnsi="仿宋" w:eastAsia="仿宋" w:cs="仿宋"/>
          <w:color w:val="auto"/>
          <w:sz w:val="28"/>
          <w:highlight w:val="none"/>
        </w:rPr>
        <w:t>：（盖章）</w:t>
      </w:r>
    </w:p>
    <w:p>
      <w:pPr>
        <w:rPr>
          <w:rFonts w:hint="eastAsia" w:ascii="仿宋" w:hAnsi="仿宋" w:eastAsia="仿宋" w:cs="仿宋"/>
          <w:color w:val="auto"/>
          <w:sz w:val="28"/>
          <w:highlight w:val="none"/>
        </w:rPr>
      </w:pPr>
    </w:p>
    <w:p>
      <w:pPr>
        <w:rPr>
          <w:rFonts w:hint="eastAsia" w:ascii="仿宋" w:hAnsi="仿宋" w:eastAsia="仿宋" w:cs="仿宋"/>
          <w:color w:val="auto"/>
          <w:sz w:val="28"/>
          <w:highlight w:val="none"/>
        </w:rPr>
      </w:pPr>
    </w:p>
    <w:p>
      <w:pPr>
        <w:rPr>
          <w:rFonts w:hint="eastAsia" w:ascii="仿宋" w:hAnsi="仿宋" w:eastAsia="仿宋" w:cs="仿宋"/>
          <w:color w:val="auto"/>
          <w:sz w:val="28"/>
          <w:highlight w:val="none"/>
        </w:rPr>
      </w:pPr>
      <w:r>
        <w:rPr>
          <w:rFonts w:hint="eastAsia" w:ascii="仿宋" w:hAnsi="仿宋" w:eastAsia="仿宋" w:cs="仿宋"/>
          <w:color w:val="auto"/>
          <w:sz w:val="28"/>
          <w:highlight w:val="none"/>
        </w:rPr>
        <w:t>法定代表人：（</w:t>
      </w:r>
      <w:r>
        <w:rPr>
          <w:rFonts w:hint="eastAsia" w:ascii="仿宋" w:hAnsi="仿宋" w:eastAsia="仿宋" w:cs="仿宋"/>
          <w:color w:val="auto"/>
          <w:sz w:val="28"/>
          <w:highlight w:val="none"/>
          <w:lang w:eastAsia="zh-CN"/>
        </w:rPr>
        <w:t>签字或</w:t>
      </w:r>
      <w:r>
        <w:rPr>
          <w:rFonts w:hint="eastAsia" w:ascii="仿宋" w:hAnsi="仿宋" w:eastAsia="仿宋" w:cs="仿宋"/>
          <w:color w:val="auto"/>
          <w:sz w:val="28"/>
          <w:highlight w:val="none"/>
        </w:rPr>
        <w:t>盖章）</w:t>
      </w:r>
    </w:p>
    <w:p>
      <w:pPr>
        <w:rPr>
          <w:rFonts w:hint="eastAsia" w:ascii="仿宋" w:hAnsi="仿宋" w:eastAsia="仿宋" w:cs="仿宋"/>
          <w:color w:val="auto"/>
          <w:sz w:val="28"/>
          <w:highlight w:val="none"/>
        </w:rPr>
      </w:pPr>
    </w:p>
    <w:p>
      <w:pPr>
        <w:spacing w:line="500" w:lineRule="exact"/>
        <w:rPr>
          <w:rFonts w:hint="eastAsia" w:ascii="仿宋" w:hAnsi="仿宋" w:eastAsia="仿宋" w:cs="仿宋"/>
          <w:color w:val="auto"/>
          <w:sz w:val="28"/>
          <w:highlight w:val="none"/>
        </w:rPr>
      </w:pPr>
      <w:r>
        <w:rPr>
          <w:rFonts w:hint="eastAsia" w:ascii="仿宋" w:hAnsi="仿宋" w:eastAsia="仿宋" w:cs="仿宋"/>
          <w:color w:val="auto"/>
          <w:sz w:val="28"/>
          <w:highlight w:val="none"/>
        </w:rPr>
        <w:t>委托代理人：（签字）</w:t>
      </w:r>
    </w:p>
    <w:p>
      <w:pPr>
        <w:jc w:val="center"/>
        <w:rPr>
          <w:rFonts w:hint="eastAsia" w:ascii="仿宋" w:hAnsi="仿宋" w:eastAsia="仿宋" w:cs="仿宋"/>
          <w:color w:val="auto"/>
          <w:sz w:val="28"/>
          <w:highlight w:val="none"/>
        </w:rPr>
      </w:pPr>
    </w:p>
    <w:p>
      <w:pPr>
        <w:jc w:val="center"/>
        <w:rPr>
          <w:rFonts w:hint="eastAsia" w:ascii="仿宋" w:hAnsi="仿宋" w:eastAsia="仿宋" w:cs="仿宋"/>
          <w:b/>
          <w:color w:val="auto"/>
          <w:sz w:val="28"/>
          <w:highlight w:val="none"/>
        </w:rPr>
      </w:pPr>
    </w:p>
    <w:p>
      <w:pPr>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日期：</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年</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日</w:t>
      </w:r>
    </w:p>
    <w:p>
      <w:pPr>
        <w:jc w:val="cente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6</w:t>
      </w:r>
      <w:r>
        <w:rPr>
          <w:rFonts w:hint="eastAsia" w:ascii="仿宋" w:hAnsi="仿宋" w:eastAsia="仿宋" w:cs="仿宋"/>
          <w:b/>
          <w:color w:val="auto"/>
          <w:sz w:val="30"/>
          <w:szCs w:val="30"/>
          <w:highlight w:val="none"/>
        </w:rPr>
        <w:t>、投标保证金</w:t>
      </w:r>
    </w:p>
    <w:p>
      <w:pPr>
        <w:tabs>
          <w:tab w:val="left" w:pos="9453"/>
        </w:tabs>
        <w:jc w:val="center"/>
        <w:rPr>
          <w:rFonts w:hint="eastAsia" w:ascii="仿宋" w:hAnsi="仿宋" w:eastAsia="仿宋" w:cs="仿宋"/>
          <w:bCs/>
          <w:color w:val="auto"/>
          <w:sz w:val="28"/>
          <w:highlight w:val="none"/>
        </w:rPr>
      </w:pPr>
    </w:p>
    <w:p>
      <w:pPr>
        <w:tabs>
          <w:tab w:val="left" w:pos="9453"/>
        </w:tabs>
        <w:jc w:val="center"/>
        <w:rPr>
          <w:rFonts w:hint="eastAsia" w:ascii="仿宋" w:hAnsi="仿宋" w:eastAsia="仿宋" w:cs="仿宋"/>
          <w:bCs/>
          <w:color w:val="auto"/>
          <w:sz w:val="28"/>
          <w:highlight w:val="none"/>
        </w:rPr>
      </w:pPr>
    </w:p>
    <w:p>
      <w:pPr>
        <w:tabs>
          <w:tab w:val="left" w:pos="9453"/>
        </w:tabs>
        <w:jc w:val="center"/>
        <w:rPr>
          <w:rFonts w:hint="eastAsia" w:ascii="仿宋" w:hAnsi="仿宋" w:eastAsia="仿宋" w:cs="仿宋"/>
          <w:bCs/>
          <w:color w:val="auto"/>
          <w:sz w:val="28"/>
          <w:highlight w:val="none"/>
        </w:rPr>
      </w:pPr>
    </w:p>
    <w:p>
      <w:pPr>
        <w:tabs>
          <w:tab w:val="left" w:pos="9453"/>
        </w:tabs>
        <w:jc w:val="center"/>
        <w:rPr>
          <w:rFonts w:hint="eastAsia" w:ascii="仿宋" w:hAnsi="仿宋" w:eastAsia="仿宋" w:cs="仿宋"/>
          <w:bCs/>
          <w:color w:val="auto"/>
          <w:sz w:val="28"/>
          <w:highlight w:val="none"/>
        </w:rPr>
      </w:pPr>
    </w:p>
    <w:p>
      <w:pPr>
        <w:tabs>
          <w:tab w:val="left" w:pos="9453"/>
        </w:tabs>
        <w:jc w:val="center"/>
        <w:rPr>
          <w:rFonts w:hint="eastAsia" w:ascii="仿宋" w:hAnsi="仿宋" w:eastAsia="仿宋" w:cs="仿宋"/>
          <w:bCs/>
          <w:color w:val="auto"/>
          <w:sz w:val="28"/>
          <w:highlight w:val="none"/>
        </w:rPr>
      </w:pPr>
    </w:p>
    <w:p>
      <w:pPr>
        <w:tabs>
          <w:tab w:val="left" w:pos="9453"/>
        </w:tabs>
        <w:jc w:val="center"/>
        <w:rPr>
          <w:rFonts w:hint="eastAsia" w:ascii="仿宋" w:hAnsi="仿宋" w:eastAsia="仿宋" w:cs="仿宋"/>
          <w:bCs/>
          <w:color w:val="auto"/>
          <w:sz w:val="28"/>
          <w:highlight w:val="none"/>
        </w:rPr>
      </w:pPr>
    </w:p>
    <w:p>
      <w:pPr>
        <w:tabs>
          <w:tab w:val="left" w:pos="9453"/>
        </w:tabs>
        <w:jc w:val="center"/>
        <w:rPr>
          <w:rFonts w:hint="eastAsia" w:ascii="仿宋" w:hAnsi="仿宋" w:eastAsia="仿宋" w:cs="仿宋"/>
          <w:bCs/>
          <w:color w:val="auto"/>
          <w:sz w:val="28"/>
          <w:highlight w:val="none"/>
        </w:rPr>
      </w:pPr>
      <w:r>
        <w:rPr>
          <w:rFonts w:hint="eastAsia" w:ascii="仿宋" w:hAnsi="仿宋" w:eastAsia="仿宋" w:cs="仿宋"/>
          <w:bCs/>
          <w:color w:val="auto"/>
          <w:sz w:val="28"/>
          <w:highlight w:val="none"/>
        </w:rPr>
        <w:t>附投标保证金打款凭证</w:t>
      </w:r>
    </w:p>
    <w:p>
      <w:pPr>
        <w:tabs>
          <w:tab w:val="left" w:pos="9453"/>
        </w:tabs>
        <w:jc w:val="left"/>
        <w:rPr>
          <w:rFonts w:hint="eastAsia" w:ascii="仿宋" w:hAnsi="仿宋" w:eastAsia="仿宋" w:cs="仿宋"/>
          <w:bCs/>
          <w:color w:val="auto"/>
          <w:sz w:val="28"/>
          <w:highlight w:val="none"/>
        </w:rPr>
      </w:pPr>
    </w:p>
    <w:p>
      <w:pPr>
        <w:tabs>
          <w:tab w:val="left" w:pos="9453"/>
        </w:tabs>
        <w:jc w:val="center"/>
        <w:rPr>
          <w:rFonts w:hint="eastAsia" w:ascii="仿宋" w:hAnsi="仿宋" w:eastAsia="仿宋" w:cs="仿宋"/>
          <w:bCs/>
          <w:color w:val="auto"/>
          <w:sz w:val="28"/>
          <w:highlight w:val="none"/>
          <w:lang w:eastAsia="zh-CN"/>
        </w:rPr>
      </w:pPr>
      <w:r>
        <w:rPr>
          <w:rFonts w:hint="eastAsia" w:ascii="仿宋" w:hAnsi="仿宋" w:eastAsia="仿宋" w:cs="仿宋"/>
          <w:bCs/>
          <w:color w:val="auto"/>
          <w:sz w:val="28"/>
          <w:highlight w:val="none"/>
        </w:rPr>
        <w:br w:type="page"/>
      </w:r>
      <w:r>
        <w:rPr>
          <w:rFonts w:hint="eastAsia" w:ascii="仿宋" w:hAnsi="仿宋" w:eastAsia="仿宋" w:cs="仿宋"/>
          <w:b/>
          <w:color w:val="auto"/>
          <w:sz w:val="30"/>
          <w:szCs w:val="30"/>
          <w:highlight w:val="none"/>
          <w:lang w:val="en-US" w:eastAsia="zh-CN"/>
        </w:rPr>
        <w:t>7</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eastAsia="zh-CN"/>
        </w:rPr>
        <w:t>供应商概况</w:t>
      </w:r>
    </w:p>
    <w:p>
      <w:pPr>
        <w:shd w:val="clear" w:color="auto" w:fill="FFFFFF"/>
        <w:spacing w:line="400" w:lineRule="exact"/>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供应商概况及企业综合实力</w:t>
      </w:r>
    </w:p>
    <w:tbl>
      <w:tblPr>
        <w:tblStyle w:val="19"/>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eastAsia" w:ascii="仿宋" w:hAnsi="仿宋" w:eastAsia="仿宋" w:cs="仿宋"/>
                <w:color w:val="auto"/>
                <w:highlight w:val="none"/>
              </w:rPr>
            </w:pPr>
            <w:r>
              <w:rPr>
                <w:rFonts w:hint="eastAsia" w:ascii="仿宋" w:hAnsi="仿宋" w:eastAsia="仿宋" w:cs="仿宋"/>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eastAsia" w:ascii="仿宋" w:hAnsi="仿宋" w:eastAsia="仿宋" w:cs="仿宋"/>
                <w:color w:val="auto"/>
                <w:highlight w:val="none"/>
              </w:rPr>
            </w:pPr>
            <w:r>
              <w:rPr>
                <w:rFonts w:hint="eastAsia" w:ascii="仿宋" w:hAnsi="仿宋" w:eastAsia="仿宋" w:cs="仿宋"/>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eastAsia" w:ascii="仿宋" w:hAnsi="仿宋" w:eastAsia="仿宋" w:cs="仿宋"/>
                <w:color w:val="auto"/>
                <w:highlight w:val="none"/>
              </w:rPr>
            </w:pPr>
            <w:r>
              <w:rPr>
                <w:rFonts w:hint="eastAsia" w:ascii="仿宋" w:hAnsi="仿宋" w:eastAsia="仿宋" w:cs="仿宋"/>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eastAsia" w:ascii="仿宋" w:hAnsi="仿宋" w:eastAsia="仿宋" w:cs="仿宋"/>
                <w:color w:val="auto"/>
                <w:highlight w:val="none"/>
              </w:rPr>
            </w:pPr>
            <w:r>
              <w:rPr>
                <w:rFonts w:hint="eastAsia" w:ascii="仿宋" w:hAnsi="仿宋" w:eastAsia="仿宋" w:cs="仿宋"/>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81"/>
              <w:rPr>
                <w:rFonts w:hint="eastAsia" w:ascii="仿宋" w:hAnsi="仿宋" w:eastAsia="仿宋" w:cs="仿宋"/>
                <w:color w:val="auto"/>
                <w:highlight w:val="none"/>
              </w:rPr>
            </w:pPr>
            <w:r>
              <w:rPr>
                <w:rFonts w:hint="eastAsia" w:ascii="仿宋" w:hAnsi="仿宋" w:eastAsia="仿宋" w:cs="仿宋"/>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6"/>
              <w:ind w:left="137"/>
              <w:rPr>
                <w:rFonts w:hint="eastAsia" w:ascii="仿宋" w:hAnsi="仿宋" w:eastAsia="仿宋" w:cs="仿宋"/>
                <w:color w:val="auto"/>
                <w:highlight w:val="none"/>
              </w:rPr>
            </w:pPr>
            <w:r>
              <w:rPr>
                <w:rFonts w:hint="eastAsia" w:ascii="仿宋" w:hAnsi="仿宋" w:eastAsia="仿宋" w:cs="仿宋"/>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1" w:line="312" w:lineRule="exact"/>
              <w:ind w:left="257" w:right="133" w:hanging="120"/>
              <w:rPr>
                <w:rFonts w:hint="eastAsia" w:ascii="仿宋" w:hAnsi="仿宋" w:eastAsia="仿宋" w:cs="仿宋"/>
                <w:color w:val="auto"/>
                <w:highlight w:val="none"/>
              </w:rPr>
            </w:pPr>
            <w:r>
              <w:rPr>
                <w:rFonts w:hint="eastAsia" w:ascii="仿宋" w:hAnsi="仿宋" w:eastAsia="仿宋" w:cs="仿宋"/>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4"/>
              <w:rPr>
                <w:rFonts w:hint="eastAsia" w:ascii="仿宋" w:hAnsi="仿宋" w:eastAsia="仿宋" w:cs="仿宋"/>
                <w:b/>
                <w:bCs/>
                <w:color w:val="auto"/>
                <w:sz w:val="20"/>
                <w:szCs w:val="20"/>
                <w:highlight w:val="none"/>
              </w:rPr>
            </w:pPr>
          </w:p>
          <w:p>
            <w:pPr>
              <w:pStyle w:val="38"/>
              <w:kinsoku w:val="0"/>
              <w:overflowPunct w:val="0"/>
              <w:ind w:left="366"/>
              <w:rPr>
                <w:rFonts w:hint="eastAsia" w:ascii="仿宋" w:hAnsi="仿宋" w:eastAsia="仿宋" w:cs="仿宋"/>
                <w:color w:val="auto"/>
                <w:highlight w:val="none"/>
              </w:rPr>
            </w:pPr>
            <w:r>
              <w:rPr>
                <w:rFonts w:hint="eastAsia" w:ascii="仿宋" w:hAnsi="仿宋" w:eastAsia="仿宋" w:cs="仿宋"/>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4"/>
              <w:rPr>
                <w:rFonts w:hint="eastAsia" w:ascii="仿宋" w:hAnsi="仿宋" w:eastAsia="仿宋" w:cs="仿宋"/>
                <w:b/>
                <w:bCs/>
                <w:color w:val="auto"/>
                <w:sz w:val="20"/>
                <w:szCs w:val="20"/>
                <w:highlight w:val="none"/>
              </w:rPr>
            </w:pPr>
          </w:p>
          <w:p>
            <w:pPr>
              <w:pStyle w:val="38"/>
              <w:kinsoku w:val="0"/>
              <w:overflowPunct w:val="0"/>
              <w:ind w:left="383"/>
              <w:rPr>
                <w:rFonts w:hint="eastAsia" w:ascii="仿宋" w:hAnsi="仿宋" w:eastAsia="仿宋" w:cs="仿宋"/>
                <w:color w:val="auto"/>
                <w:highlight w:val="none"/>
              </w:rPr>
            </w:pPr>
            <w:r>
              <w:rPr>
                <w:rFonts w:hint="eastAsia" w:ascii="仿宋" w:hAnsi="仿宋" w:eastAsia="仿宋" w:cs="仿宋"/>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rPr>
                <w:rFonts w:hint="eastAsia" w:ascii="仿宋" w:hAnsi="仿宋" w:eastAsia="仿宋" w:cs="仿宋"/>
                <w:b/>
                <w:bCs/>
                <w:color w:val="auto"/>
                <w:highlight w:val="none"/>
              </w:rPr>
            </w:pPr>
          </w:p>
          <w:p>
            <w:pPr>
              <w:pStyle w:val="38"/>
              <w:kinsoku w:val="0"/>
              <w:overflowPunct w:val="0"/>
              <w:rPr>
                <w:rFonts w:hint="eastAsia" w:ascii="仿宋" w:hAnsi="仿宋" w:eastAsia="仿宋" w:cs="仿宋"/>
                <w:b/>
                <w:bCs/>
                <w:color w:val="auto"/>
                <w:highlight w:val="none"/>
              </w:rPr>
            </w:pPr>
          </w:p>
          <w:p>
            <w:pPr>
              <w:pStyle w:val="38"/>
              <w:kinsoku w:val="0"/>
              <w:overflowPunct w:val="0"/>
              <w:rPr>
                <w:rFonts w:hint="eastAsia" w:ascii="仿宋" w:hAnsi="仿宋" w:eastAsia="仿宋" w:cs="仿宋"/>
                <w:b/>
                <w:bCs/>
                <w:color w:val="auto"/>
                <w:highlight w:val="none"/>
              </w:rPr>
            </w:pPr>
          </w:p>
          <w:p>
            <w:pPr>
              <w:pStyle w:val="38"/>
              <w:kinsoku w:val="0"/>
              <w:overflowPunct w:val="0"/>
              <w:spacing w:line="475" w:lineRule="auto"/>
              <w:ind w:left="497" w:right="493"/>
              <w:jc w:val="both"/>
              <w:rPr>
                <w:rFonts w:hint="eastAsia" w:ascii="仿宋" w:hAnsi="仿宋" w:eastAsia="仿宋" w:cs="仿宋"/>
                <w:color w:val="auto"/>
                <w:highlight w:val="none"/>
              </w:rPr>
            </w:pPr>
            <w:r>
              <w:rPr>
                <w:rFonts w:hint="eastAsia" w:ascii="仿宋" w:hAnsi="仿宋" w:eastAsia="仿宋" w:cs="仿宋"/>
                <w:color w:val="auto"/>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4"/>
              <w:ind w:left="236"/>
              <w:rPr>
                <w:rFonts w:hint="eastAsia" w:ascii="仿宋" w:hAnsi="仿宋" w:eastAsia="仿宋" w:cs="仿宋"/>
                <w:color w:val="auto"/>
                <w:highlight w:val="none"/>
              </w:rPr>
            </w:pPr>
            <w:r>
              <w:rPr>
                <w:rFonts w:hint="eastAsia" w:ascii="仿宋" w:hAnsi="仿宋" w:eastAsia="仿宋" w:cs="仿宋"/>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4"/>
              <w:ind w:left="118"/>
              <w:rPr>
                <w:rFonts w:hint="eastAsia" w:ascii="仿宋" w:hAnsi="仿宋" w:eastAsia="仿宋" w:cs="仿宋"/>
                <w:color w:val="auto"/>
                <w:highlight w:val="none"/>
              </w:rPr>
            </w:pPr>
            <w:r>
              <w:rPr>
                <w:rFonts w:hint="eastAsia" w:ascii="仿宋" w:hAnsi="仿宋" w:eastAsia="仿宋" w:cs="仿宋"/>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jc w:val="center"/>
              <w:rPr>
                <w:rFonts w:hint="eastAsia" w:ascii="仿宋" w:hAnsi="仿宋" w:eastAsia="仿宋" w:cs="仿宋"/>
                <w:color w:val="auto"/>
                <w:highlight w:val="none"/>
              </w:rPr>
            </w:pPr>
            <w:r>
              <w:rPr>
                <w:rFonts w:hint="eastAsia" w:ascii="仿宋" w:hAnsi="仿宋" w:eastAsia="仿宋" w:cs="仿宋"/>
                <w:color w:val="auto"/>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jc w:val="center"/>
              <w:rPr>
                <w:rFonts w:hint="eastAsia"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416"/>
              <w:rPr>
                <w:rFonts w:hint="eastAsia" w:ascii="仿宋" w:hAnsi="仿宋" w:eastAsia="仿宋" w:cs="仿宋"/>
                <w:color w:val="auto"/>
                <w:highlight w:val="none"/>
              </w:rPr>
            </w:pPr>
            <w:r>
              <w:rPr>
                <w:rFonts w:hint="eastAsia" w:ascii="仿宋" w:hAnsi="仿宋" w:eastAsia="仿宋" w:cs="仿宋"/>
                <w:color w:val="auto"/>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452"/>
              <w:rPr>
                <w:rFonts w:hint="eastAsia" w:ascii="仿宋" w:hAnsi="仿宋" w:eastAsia="仿宋" w:cs="仿宋"/>
                <w:color w:val="auto"/>
                <w:highlight w:val="none"/>
              </w:rPr>
            </w:pPr>
            <w:r>
              <w:rPr>
                <w:rFonts w:hint="eastAsia" w:ascii="仿宋" w:hAnsi="仿宋" w:eastAsia="仿宋" w:cs="仿宋"/>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450"/>
              <w:rPr>
                <w:rFonts w:hint="eastAsia" w:ascii="仿宋" w:hAnsi="仿宋" w:eastAsia="仿宋" w:cs="仿宋"/>
                <w:color w:val="auto"/>
                <w:highlight w:val="none"/>
              </w:rPr>
            </w:pPr>
            <w:r>
              <w:rPr>
                <w:rFonts w:hint="eastAsia" w:ascii="仿宋" w:hAnsi="仿宋" w:eastAsia="仿宋" w:cs="仿宋"/>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8"/>
              <w:tabs>
                <w:tab w:val="left" w:pos="479"/>
              </w:tabs>
              <w:kinsoku w:val="0"/>
              <w:overflowPunct w:val="0"/>
              <w:spacing w:before="145"/>
              <w:ind w:right="1"/>
              <w:jc w:val="center"/>
              <w:rPr>
                <w:rFonts w:hint="eastAsia" w:ascii="仿宋" w:hAnsi="仿宋" w:eastAsia="仿宋" w:cs="仿宋"/>
                <w:color w:val="auto"/>
                <w:highlight w:val="none"/>
              </w:rPr>
            </w:pPr>
            <w:r>
              <w:rPr>
                <w:rFonts w:hint="eastAsia" w:ascii="仿宋" w:hAnsi="仿宋" w:eastAsia="仿宋" w:cs="仿宋"/>
                <w:color w:val="auto"/>
                <w:highlight w:val="none"/>
              </w:rPr>
              <w:t>专</w:t>
            </w:r>
            <w:r>
              <w:rPr>
                <w:rFonts w:hint="eastAsia" w:ascii="仿宋" w:hAnsi="仿宋" w:eastAsia="仿宋" w:cs="仿宋"/>
                <w:color w:val="auto"/>
                <w:highlight w:val="none"/>
              </w:rPr>
              <w:tab/>
            </w:r>
            <w:r>
              <w:rPr>
                <w:rFonts w:hint="eastAsia" w:ascii="仿宋" w:hAnsi="仿宋" w:eastAsia="仿宋" w:cs="仿宋"/>
                <w:color w:val="auto"/>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8"/>
              <w:tabs>
                <w:tab w:val="left" w:pos="479"/>
              </w:tabs>
              <w:kinsoku w:val="0"/>
              <w:overflowPunct w:val="0"/>
              <w:spacing w:before="145"/>
              <w:ind w:right="1"/>
              <w:jc w:val="center"/>
              <w:rPr>
                <w:rFonts w:hint="eastAsia"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rPr>
                <w:rFonts w:hint="eastAsia" w:ascii="仿宋" w:hAnsi="仿宋" w:eastAsia="仿宋" w:cs="仿宋"/>
                <w:b/>
                <w:bCs/>
                <w:color w:val="auto"/>
                <w:highlight w:val="none"/>
              </w:rPr>
            </w:pPr>
          </w:p>
          <w:p>
            <w:pPr>
              <w:pStyle w:val="38"/>
              <w:kinsoku w:val="0"/>
              <w:overflowPunct w:val="0"/>
              <w:spacing w:before="1"/>
              <w:rPr>
                <w:rFonts w:hint="eastAsia" w:ascii="仿宋" w:hAnsi="仿宋" w:eastAsia="仿宋" w:cs="仿宋"/>
                <w:b/>
                <w:bCs/>
                <w:color w:val="auto"/>
                <w:sz w:val="23"/>
                <w:szCs w:val="23"/>
                <w:highlight w:val="none"/>
              </w:rPr>
            </w:pPr>
          </w:p>
          <w:p>
            <w:pPr>
              <w:pStyle w:val="38"/>
              <w:kinsoku w:val="0"/>
              <w:overflowPunct w:val="0"/>
              <w:spacing w:line="237" w:lineRule="auto"/>
              <w:ind w:left="497" w:right="493"/>
              <w:jc w:val="both"/>
              <w:rPr>
                <w:rFonts w:hint="eastAsia" w:ascii="仿宋" w:hAnsi="仿宋" w:eastAsia="仿宋" w:cs="仿宋"/>
                <w:color w:val="auto"/>
                <w:highlight w:val="none"/>
              </w:rPr>
            </w:pPr>
            <w:r>
              <w:rPr>
                <w:rFonts w:hint="eastAsia" w:ascii="仿宋" w:hAnsi="仿宋" w:eastAsia="仿宋" w:cs="仿宋"/>
                <w:color w:val="auto"/>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highlight w:val="none"/>
              </w:rPr>
            </w:pPr>
          </w:p>
        </w:tc>
      </w:tr>
    </w:tbl>
    <w:p>
      <w:pPr>
        <w:bidi w:val="0"/>
        <w:rPr>
          <w:rFonts w:hint="eastAsia" w:ascii="仿宋" w:hAnsi="仿宋" w:eastAsia="仿宋" w:cs="仿宋"/>
          <w:color w:val="auto"/>
          <w:kern w:val="2"/>
          <w:sz w:val="21"/>
          <w:szCs w:val="21"/>
          <w:highlight w:val="none"/>
        </w:rPr>
      </w:pPr>
    </w:p>
    <w:p>
      <w:pPr>
        <w:shd w:val="clear" w:color="auto" w:fill="FFFFFF"/>
        <w:tabs>
          <w:tab w:val="left" w:pos="996"/>
        </w:tabs>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1"/>
          <w:szCs w:val="21"/>
          <w:highlight w:val="none"/>
          <w:lang w:eastAsia="zh-CN"/>
        </w:rPr>
        <w:t>（后附企业法人营业执照、</w:t>
      </w:r>
      <w:r>
        <w:rPr>
          <w:rFonts w:hint="eastAsia" w:ascii="仿宋" w:hAnsi="仿宋" w:eastAsia="仿宋" w:cs="仿宋"/>
          <w:color w:val="auto"/>
          <w:sz w:val="21"/>
          <w:szCs w:val="21"/>
          <w:highlight w:val="none"/>
          <w:lang w:val="zh-CN"/>
        </w:rPr>
        <w:t>企业信誉状况</w:t>
      </w:r>
      <w:r>
        <w:rPr>
          <w:rFonts w:hint="eastAsia" w:ascii="仿宋" w:hAnsi="仿宋" w:eastAsia="仿宋" w:cs="仿宋"/>
          <w:color w:val="auto"/>
          <w:kern w:val="2"/>
          <w:sz w:val="21"/>
          <w:szCs w:val="21"/>
          <w:highlight w:val="none"/>
        </w:rPr>
        <w:t>、技术状况、服务水平及履约能力、后备技术实力等</w:t>
      </w:r>
      <w:r>
        <w:rPr>
          <w:rFonts w:hint="eastAsia" w:ascii="仿宋" w:hAnsi="仿宋" w:eastAsia="仿宋" w:cs="仿宋"/>
          <w:color w:val="auto"/>
          <w:kern w:val="2"/>
          <w:sz w:val="21"/>
          <w:szCs w:val="21"/>
          <w:highlight w:val="none"/>
          <w:lang w:eastAsia="zh-CN"/>
        </w:rPr>
        <w:t>）</w:t>
      </w:r>
    </w:p>
    <w:p>
      <w:pPr>
        <w:tabs>
          <w:tab w:val="left" w:pos="9453"/>
        </w:tabs>
        <w:jc w:val="left"/>
        <w:rPr>
          <w:rFonts w:hint="eastAsia" w:ascii="仿宋" w:hAnsi="仿宋" w:eastAsia="仿宋" w:cs="仿宋"/>
          <w:bCs/>
          <w:color w:val="auto"/>
          <w:sz w:val="28"/>
          <w:highlight w:val="none"/>
        </w:rPr>
      </w:pPr>
    </w:p>
    <w:p>
      <w:pPr>
        <w:jc w:val="center"/>
        <w:rPr>
          <w:rFonts w:hint="eastAsia" w:ascii="仿宋" w:hAnsi="仿宋" w:eastAsia="仿宋" w:cs="仿宋"/>
          <w:b/>
          <w:color w:val="auto"/>
          <w:sz w:val="30"/>
          <w:szCs w:val="30"/>
          <w:highlight w:val="none"/>
        </w:rPr>
      </w:pPr>
      <w:r>
        <w:rPr>
          <w:rFonts w:hint="eastAsia" w:ascii="仿宋" w:hAnsi="仿宋" w:eastAsia="仿宋" w:cs="仿宋"/>
          <w:bCs/>
          <w:color w:val="auto"/>
          <w:sz w:val="28"/>
          <w:highlight w:val="none"/>
        </w:rPr>
        <w:br w:type="page"/>
      </w:r>
      <w:r>
        <w:rPr>
          <w:rFonts w:hint="eastAsia" w:ascii="仿宋" w:hAnsi="仿宋" w:eastAsia="仿宋" w:cs="仿宋"/>
          <w:b/>
          <w:color w:val="auto"/>
          <w:sz w:val="30"/>
          <w:szCs w:val="30"/>
          <w:highlight w:val="none"/>
          <w:lang w:val="en-US" w:eastAsia="zh-CN"/>
        </w:rPr>
        <w:t>8</w:t>
      </w:r>
      <w:r>
        <w:rPr>
          <w:rFonts w:hint="eastAsia" w:ascii="仿宋" w:hAnsi="仿宋" w:eastAsia="仿宋" w:cs="仿宋"/>
          <w:b/>
          <w:color w:val="auto"/>
          <w:sz w:val="30"/>
          <w:szCs w:val="30"/>
          <w:highlight w:val="none"/>
        </w:rPr>
        <w:t>、近三年</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2019年8月1日至今</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已完成类似项目</w:t>
      </w:r>
      <w:r>
        <w:rPr>
          <w:rFonts w:hint="eastAsia" w:ascii="仿宋" w:hAnsi="仿宋" w:eastAsia="仿宋" w:cs="仿宋"/>
          <w:b/>
          <w:color w:val="auto"/>
          <w:sz w:val="30"/>
          <w:szCs w:val="30"/>
          <w:highlight w:val="none"/>
          <w:lang w:eastAsia="zh-CN"/>
        </w:rPr>
        <w:t>业绩</w:t>
      </w:r>
    </w:p>
    <w:p>
      <w:pPr>
        <w:autoSpaceDE w:val="0"/>
        <w:autoSpaceDN w:val="0"/>
        <w:adjustRightInd w:val="0"/>
        <w:rPr>
          <w:rFonts w:hint="eastAsia" w:ascii="仿宋" w:hAnsi="仿宋" w:eastAsia="仿宋" w:cs="仿宋"/>
          <w:color w:val="auto"/>
          <w:highlight w:val="none"/>
          <w:lang w:val="zh-CN"/>
        </w:rPr>
      </w:pPr>
    </w:p>
    <w:p>
      <w:pPr>
        <w:widowControl/>
        <w:spacing w:line="400" w:lineRule="exact"/>
        <w:jc w:val="left"/>
        <w:rPr>
          <w:rFonts w:hint="eastAsia" w:ascii="仿宋" w:hAnsi="仿宋" w:eastAsia="仿宋" w:cs="仿宋"/>
          <w:b/>
          <w:color w:val="auto"/>
          <w:szCs w:val="21"/>
          <w:highlight w:val="none"/>
          <w:lang w:val="en-GB"/>
        </w:rPr>
      </w:pPr>
    </w:p>
    <w:tbl>
      <w:tblPr>
        <w:tblStyle w:val="1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888"/>
        <w:gridCol w:w="1923"/>
        <w:gridCol w:w="1582"/>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noWrap w:val="0"/>
            <w:vAlign w:val="center"/>
          </w:tcPr>
          <w:p>
            <w:pPr>
              <w:widowControl/>
              <w:spacing w:line="4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2888" w:type="dxa"/>
            <w:shd w:val="clear" w:color="auto" w:fill="F3F3F3"/>
            <w:noWrap w:val="0"/>
            <w:vAlign w:val="center"/>
          </w:tcPr>
          <w:p>
            <w:pPr>
              <w:widowControl/>
              <w:spacing w:line="4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项目名称</w:t>
            </w:r>
          </w:p>
        </w:tc>
        <w:tc>
          <w:tcPr>
            <w:tcW w:w="1923" w:type="dxa"/>
            <w:shd w:val="clear" w:color="auto" w:fill="F3F3F3"/>
            <w:noWrap w:val="0"/>
            <w:vAlign w:val="center"/>
          </w:tcPr>
          <w:p>
            <w:pPr>
              <w:widowControl/>
              <w:spacing w:line="400" w:lineRule="exact"/>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使用单位</w:t>
            </w:r>
          </w:p>
        </w:tc>
        <w:tc>
          <w:tcPr>
            <w:tcW w:w="1582" w:type="dxa"/>
            <w:shd w:val="clear" w:color="auto" w:fill="F3F3F3"/>
            <w:noWrap w:val="0"/>
            <w:vAlign w:val="center"/>
          </w:tcPr>
          <w:p>
            <w:pPr>
              <w:widowControl/>
              <w:spacing w:line="4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合同总额</w:t>
            </w:r>
          </w:p>
        </w:tc>
        <w:tc>
          <w:tcPr>
            <w:tcW w:w="1720" w:type="dxa"/>
            <w:shd w:val="clear" w:color="auto" w:fill="F3F3F3"/>
            <w:noWrap w:val="0"/>
            <w:vAlign w:val="center"/>
          </w:tcPr>
          <w:p>
            <w:pPr>
              <w:widowControl/>
              <w:spacing w:line="400" w:lineRule="exact"/>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noWrap w:val="0"/>
            <w:vAlign w:val="center"/>
          </w:tcPr>
          <w:p>
            <w:pPr>
              <w:widowControl/>
              <w:spacing w:line="400" w:lineRule="exact"/>
              <w:jc w:val="left"/>
              <w:rPr>
                <w:rFonts w:hint="eastAsia" w:ascii="仿宋" w:hAnsi="仿宋" w:eastAsia="仿宋" w:cs="仿宋"/>
                <w:color w:val="auto"/>
                <w:szCs w:val="21"/>
                <w:highlight w:val="none"/>
              </w:rPr>
            </w:pPr>
          </w:p>
        </w:tc>
        <w:tc>
          <w:tcPr>
            <w:tcW w:w="2888"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923" w:type="dxa"/>
            <w:noWrap w:val="0"/>
            <w:vAlign w:val="top"/>
          </w:tcPr>
          <w:p>
            <w:pPr>
              <w:widowControl/>
              <w:spacing w:line="400" w:lineRule="exact"/>
              <w:jc w:val="left"/>
              <w:rPr>
                <w:rFonts w:hint="eastAsia" w:ascii="仿宋" w:hAnsi="仿宋" w:eastAsia="仿宋" w:cs="仿宋"/>
                <w:color w:val="auto"/>
                <w:szCs w:val="21"/>
                <w:highlight w:val="none"/>
              </w:rPr>
            </w:pPr>
          </w:p>
        </w:tc>
        <w:tc>
          <w:tcPr>
            <w:tcW w:w="1582"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720" w:type="dxa"/>
            <w:noWrap w:val="0"/>
            <w:vAlign w:val="center"/>
          </w:tcPr>
          <w:p>
            <w:pPr>
              <w:widowControl/>
              <w:spacing w:line="400" w:lineRule="exact"/>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noWrap w:val="0"/>
            <w:vAlign w:val="center"/>
          </w:tcPr>
          <w:p>
            <w:pPr>
              <w:widowControl/>
              <w:spacing w:line="400" w:lineRule="exact"/>
              <w:jc w:val="left"/>
              <w:rPr>
                <w:rFonts w:hint="eastAsia" w:ascii="仿宋" w:hAnsi="仿宋" w:eastAsia="仿宋" w:cs="仿宋"/>
                <w:color w:val="auto"/>
                <w:szCs w:val="21"/>
                <w:highlight w:val="none"/>
              </w:rPr>
            </w:pPr>
          </w:p>
        </w:tc>
        <w:tc>
          <w:tcPr>
            <w:tcW w:w="2888"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923" w:type="dxa"/>
            <w:noWrap w:val="0"/>
            <w:vAlign w:val="top"/>
          </w:tcPr>
          <w:p>
            <w:pPr>
              <w:widowControl/>
              <w:spacing w:line="400" w:lineRule="exact"/>
              <w:jc w:val="left"/>
              <w:rPr>
                <w:rFonts w:hint="eastAsia" w:ascii="仿宋" w:hAnsi="仿宋" w:eastAsia="仿宋" w:cs="仿宋"/>
                <w:color w:val="auto"/>
                <w:szCs w:val="21"/>
                <w:highlight w:val="none"/>
              </w:rPr>
            </w:pPr>
          </w:p>
        </w:tc>
        <w:tc>
          <w:tcPr>
            <w:tcW w:w="1582"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720" w:type="dxa"/>
            <w:noWrap w:val="0"/>
            <w:vAlign w:val="center"/>
          </w:tcPr>
          <w:p>
            <w:pPr>
              <w:widowControl/>
              <w:spacing w:line="400" w:lineRule="exact"/>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noWrap w:val="0"/>
            <w:vAlign w:val="center"/>
          </w:tcPr>
          <w:p>
            <w:pPr>
              <w:widowControl/>
              <w:spacing w:line="400" w:lineRule="exact"/>
              <w:jc w:val="left"/>
              <w:rPr>
                <w:rFonts w:hint="eastAsia" w:ascii="仿宋" w:hAnsi="仿宋" w:eastAsia="仿宋" w:cs="仿宋"/>
                <w:color w:val="auto"/>
                <w:szCs w:val="21"/>
                <w:highlight w:val="none"/>
              </w:rPr>
            </w:pPr>
          </w:p>
        </w:tc>
        <w:tc>
          <w:tcPr>
            <w:tcW w:w="2888"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923" w:type="dxa"/>
            <w:noWrap w:val="0"/>
            <w:vAlign w:val="top"/>
          </w:tcPr>
          <w:p>
            <w:pPr>
              <w:widowControl/>
              <w:spacing w:line="400" w:lineRule="exact"/>
              <w:jc w:val="left"/>
              <w:rPr>
                <w:rFonts w:hint="eastAsia" w:ascii="仿宋" w:hAnsi="仿宋" w:eastAsia="仿宋" w:cs="仿宋"/>
                <w:color w:val="auto"/>
                <w:szCs w:val="21"/>
                <w:highlight w:val="none"/>
              </w:rPr>
            </w:pPr>
          </w:p>
        </w:tc>
        <w:tc>
          <w:tcPr>
            <w:tcW w:w="1582"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720" w:type="dxa"/>
            <w:noWrap w:val="0"/>
            <w:vAlign w:val="center"/>
          </w:tcPr>
          <w:p>
            <w:pPr>
              <w:widowControl/>
              <w:spacing w:line="400" w:lineRule="exact"/>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noWrap w:val="0"/>
            <w:vAlign w:val="center"/>
          </w:tcPr>
          <w:p>
            <w:pPr>
              <w:widowControl/>
              <w:spacing w:line="400" w:lineRule="exact"/>
              <w:jc w:val="left"/>
              <w:rPr>
                <w:rFonts w:hint="eastAsia" w:ascii="仿宋" w:hAnsi="仿宋" w:eastAsia="仿宋" w:cs="仿宋"/>
                <w:color w:val="auto"/>
                <w:szCs w:val="21"/>
                <w:highlight w:val="none"/>
              </w:rPr>
            </w:pPr>
          </w:p>
        </w:tc>
        <w:tc>
          <w:tcPr>
            <w:tcW w:w="2888"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923" w:type="dxa"/>
            <w:noWrap w:val="0"/>
            <w:vAlign w:val="top"/>
          </w:tcPr>
          <w:p>
            <w:pPr>
              <w:widowControl/>
              <w:spacing w:line="400" w:lineRule="exact"/>
              <w:jc w:val="left"/>
              <w:rPr>
                <w:rFonts w:hint="eastAsia" w:ascii="仿宋" w:hAnsi="仿宋" w:eastAsia="仿宋" w:cs="仿宋"/>
                <w:color w:val="auto"/>
                <w:szCs w:val="21"/>
                <w:highlight w:val="none"/>
              </w:rPr>
            </w:pPr>
          </w:p>
        </w:tc>
        <w:tc>
          <w:tcPr>
            <w:tcW w:w="1582"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720" w:type="dxa"/>
            <w:noWrap w:val="0"/>
            <w:vAlign w:val="center"/>
          </w:tcPr>
          <w:p>
            <w:pPr>
              <w:widowControl/>
              <w:spacing w:line="400" w:lineRule="exact"/>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noWrap w:val="0"/>
            <w:vAlign w:val="center"/>
          </w:tcPr>
          <w:p>
            <w:pPr>
              <w:widowControl/>
              <w:spacing w:line="400" w:lineRule="exact"/>
              <w:jc w:val="left"/>
              <w:rPr>
                <w:rFonts w:hint="eastAsia" w:ascii="仿宋" w:hAnsi="仿宋" w:eastAsia="仿宋" w:cs="仿宋"/>
                <w:color w:val="auto"/>
                <w:szCs w:val="21"/>
                <w:highlight w:val="none"/>
              </w:rPr>
            </w:pPr>
          </w:p>
        </w:tc>
        <w:tc>
          <w:tcPr>
            <w:tcW w:w="2888"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923" w:type="dxa"/>
            <w:noWrap w:val="0"/>
            <w:vAlign w:val="top"/>
          </w:tcPr>
          <w:p>
            <w:pPr>
              <w:widowControl/>
              <w:spacing w:line="400" w:lineRule="exact"/>
              <w:jc w:val="left"/>
              <w:rPr>
                <w:rFonts w:hint="eastAsia" w:ascii="仿宋" w:hAnsi="仿宋" w:eastAsia="仿宋" w:cs="仿宋"/>
                <w:color w:val="auto"/>
                <w:szCs w:val="21"/>
                <w:highlight w:val="none"/>
              </w:rPr>
            </w:pPr>
          </w:p>
        </w:tc>
        <w:tc>
          <w:tcPr>
            <w:tcW w:w="1582"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720" w:type="dxa"/>
            <w:noWrap w:val="0"/>
            <w:vAlign w:val="center"/>
          </w:tcPr>
          <w:p>
            <w:pPr>
              <w:widowControl/>
              <w:spacing w:line="400" w:lineRule="exact"/>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noWrap w:val="0"/>
            <w:vAlign w:val="center"/>
          </w:tcPr>
          <w:p>
            <w:pPr>
              <w:widowControl/>
              <w:spacing w:line="400" w:lineRule="exact"/>
              <w:jc w:val="left"/>
              <w:rPr>
                <w:rFonts w:hint="eastAsia" w:ascii="仿宋" w:hAnsi="仿宋" w:eastAsia="仿宋" w:cs="仿宋"/>
                <w:color w:val="auto"/>
                <w:szCs w:val="21"/>
                <w:highlight w:val="none"/>
              </w:rPr>
            </w:pPr>
          </w:p>
        </w:tc>
        <w:tc>
          <w:tcPr>
            <w:tcW w:w="2888"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923" w:type="dxa"/>
            <w:noWrap w:val="0"/>
            <w:vAlign w:val="top"/>
          </w:tcPr>
          <w:p>
            <w:pPr>
              <w:widowControl/>
              <w:spacing w:line="400" w:lineRule="exact"/>
              <w:jc w:val="left"/>
              <w:rPr>
                <w:rFonts w:hint="eastAsia" w:ascii="仿宋" w:hAnsi="仿宋" w:eastAsia="仿宋" w:cs="仿宋"/>
                <w:color w:val="auto"/>
                <w:szCs w:val="21"/>
                <w:highlight w:val="none"/>
              </w:rPr>
            </w:pPr>
          </w:p>
        </w:tc>
        <w:tc>
          <w:tcPr>
            <w:tcW w:w="1582"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720" w:type="dxa"/>
            <w:noWrap w:val="0"/>
            <w:vAlign w:val="center"/>
          </w:tcPr>
          <w:p>
            <w:pPr>
              <w:widowControl/>
              <w:spacing w:line="400" w:lineRule="exact"/>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noWrap w:val="0"/>
            <w:vAlign w:val="center"/>
          </w:tcPr>
          <w:p>
            <w:pPr>
              <w:widowControl/>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888" w:type="dxa"/>
            <w:noWrap w:val="0"/>
            <w:vAlign w:val="center"/>
          </w:tcPr>
          <w:p>
            <w:pPr>
              <w:widowControl/>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923" w:type="dxa"/>
            <w:noWrap w:val="0"/>
            <w:vAlign w:val="top"/>
          </w:tcPr>
          <w:p>
            <w:pPr>
              <w:widowControl/>
              <w:spacing w:line="400" w:lineRule="exact"/>
              <w:jc w:val="left"/>
              <w:rPr>
                <w:rFonts w:hint="eastAsia" w:ascii="仿宋" w:hAnsi="仿宋" w:eastAsia="仿宋" w:cs="仿宋"/>
                <w:color w:val="auto"/>
                <w:szCs w:val="21"/>
                <w:highlight w:val="none"/>
              </w:rPr>
            </w:pPr>
          </w:p>
        </w:tc>
        <w:tc>
          <w:tcPr>
            <w:tcW w:w="1582" w:type="dxa"/>
            <w:noWrap w:val="0"/>
            <w:vAlign w:val="center"/>
          </w:tcPr>
          <w:p>
            <w:pPr>
              <w:widowControl/>
              <w:spacing w:line="400" w:lineRule="exact"/>
              <w:jc w:val="left"/>
              <w:rPr>
                <w:rFonts w:hint="eastAsia" w:ascii="仿宋" w:hAnsi="仿宋" w:eastAsia="仿宋" w:cs="仿宋"/>
                <w:color w:val="auto"/>
                <w:szCs w:val="21"/>
                <w:highlight w:val="none"/>
              </w:rPr>
            </w:pPr>
          </w:p>
        </w:tc>
        <w:tc>
          <w:tcPr>
            <w:tcW w:w="1720" w:type="dxa"/>
            <w:noWrap w:val="0"/>
            <w:vAlign w:val="center"/>
          </w:tcPr>
          <w:p>
            <w:pPr>
              <w:widowControl/>
              <w:spacing w:line="400" w:lineRule="exact"/>
              <w:jc w:val="left"/>
              <w:rPr>
                <w:rFonts w:hint="eastAsia" w:ascii="仿宋" w:hAnsi="仿宋" w:eastAsia="仿宋" w:cs="仿宋"/>
                <w:color w:val="auto"/>
                <w:szCs w:val="21"/>
                <w:highlight w:val="none"/>
              </w:rPr>
            </w:pPr>
          </w:p>
        </w:tc>
      </w:tr>
    </w:tbl>
    <w:p>
      <w:pPr>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后附</w:t>
      </w:r>
      <w:r>
        <w:rPr>
          <w:rFonts w:hint="eastAsia" w:ascii="仿宋" w:hAnsi="仿宋" w:eastAsia="仿宋" w:cs="仿宋"/>
          <w:color w:val="auto"/>
          <w:szCs w:val="21"/>
          <w:highlight w:val="none"/>
        </w:rPr>
        <w:t>证明材料</w:t>
      </w:r>
      <w:r>
        <w:rPr>
          <w:rFonts w:hint="eastAsia" w:ascii="仿宋" w:hAnsi="仿宋" w:eastAsia="仿宋" w:cs="仿宋"/>
          <w:color w:val="auto"/>
          <w:szCs w:val="21"/>
          <w:highlight w:val="none"/>
          <w:lang w:eastAsia="zh-CN"/>
        </w:rPr>
        <w:t>（</w:t>
      </w:r>
      <w:r>
        <w:rPr>
          <w:rFonts w:hint="eastAsia" w:ascii="仿宋" w:hAnsi="仿宋" w:eastAsia="仿宋" w:cs="仿宋"/>
          <w:color w:val="auto"/>
          <w:kern w:val="2"/>
          <w:sz w:val="21"/>
          <w:szCs w:val="21"/>
          <w:highlight w:val="none"/>
          <w:lang w:val="en-US" w:eastAsia="zh-CN"/>
        </w:rPr>
        <w:t>需提供中标通知书或合同或供货协议等证明材料复印件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p>
    <w:p>
      <w:pPr>
        <w:shd w:val="clear" w:color="auto" w:fill="FFFFFF"/>
        <w:spacing w:line="400" w:lineRule="exact"/>
        <w:ind w:firstLine="723" w:firstLineChars="300"/>
        <w:rPr>
          <w:rFonts w:hint="eastAsia" w:ascii="仿宋" w:hAnsi="仿宋" w:eastAsia="仿宋" w:cs="仿宋"/>
          <w:color w:val="auto"/>
          <w:szCs w:val="21"/>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highlight w:val="none"/>
          <w:lang w:val="zh-CN"/>
        </w:rPr>
        <w:t>供应商</w:t>
      </w:r>
      <w:r>
        <w:rPr>
          <w:rFonts w:hint="eastAsia" w:ascii="仿宋" w:hAnsi="仿宋" w:eastAsia="仿宋" w:cs="仿宋"/>
          <w:b/>
          <w:bCs/>
          <w:color w:val="auto"/>
          <w:sz w:val="24"/>
          <w:szCs w:val="22"/>
          <w:highlight w:val="none"/>
          <w:lang w:val="zh-CN"/>
        </w:rPr>
        <w:t>应提供类似项目业绩不少于二项（含二项）（须</w:t>
      </w:r>
      <w:r>
        <w:rPr>
          <w:rFonts w:hint="eastAsia" w:ascii="仿宋" w:hAnsi="仿宋" w:eastAsia="仿宋" w:cs="仿宋"/>
          <w:b/>
          <w:bCs/>
          <w:color w:val="auto"/>
          <w:sz w:val="24"/>
          <w:szCs w:val="22"/>
          <w:highlight w:val="none"/>
          <w:lang w:val="zh-CN" w:eastAsia="zh-CN"/>
        </w:rPr>
        <w:t>提供中标通知书或合同或供货协议等证明材料复印件</w:t>
      </w:r>
      <w:r>
        <w:rPr>
          <w:rFonts w:hint="eastAsia" w:ascii="仿宋" w:hAnsi="仿宋" w:eastAsia="仿宋" w:cs="仿宋"/>
          <w:b/>
          <w:bCs/>
          <w:color w:val="auto"/>
          <w:sz w:val="24"/>
          <w:szCs w:val="22"/>
          <w:highlight w:val="none"/>
          <w:lang w:val="zh-CN"/>
        </w:rPr>
        <w:t>），否则按无效投标处理。</w:t>
      </w:r>
    </w:p>
    <w:p>
      <w:pPr>
        <w:widowControl/>
        <w:spacing w:line="400" w:lineRule="exact"/>
        <w:jc w:val="left"/>
        <w:rPr>
          <w:rFonts w:hint="eastAsia" w:ascii="仿宋" w:hAnsi="仿宋" w:eastAsia="仿宋" w:cs="仿宋"/>
          <w:color w:val="auto"/>
          <w:szCs w:val="21"/>
          <w:highlight w:val="none"/>
          <w:lang w:val="en-GB"/>
        </w:rPr>
      </w:pPr>
    </w:p>
    <w:p>
      <w:pPr>
        <w:pStyle w:val="37"/>
        <w:shd w:val="clear" w:color="auto" w:fill="FFFFFF"/>
        <w:snapToGrid w:val="0"/>
        <w:spacing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供应商（盖公章）：</w:t>
      </w:r>
    </w:p>
    <w:p>
      <w:pPr>
        <w:shd w:val="clear" w:color="auto" w:fill="FFFFFF"/>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lang w:eastAsia="zh-CN"/>
        </w:rPr>
        <w:t>或其委托代理人</w:t>
      </w:r>
      <w:r>
        <w:rPr>
          <w:rFonts w:hint="eastAsia" w:ascii="仿宋" w:hAnsi="仿宋" w:eastAsia="仿宋" w:cs="仿宋"/>
          <w:color w:val="auto"/>
          <w:szCs w:val="21"/>
          <w:highlight w:val="none"/>
        </w:rPr>
        <w:t>（签字或盖章）：</w:t>
      </w:r>
    </w:p>
    <w:p>
      <w:pPr>
        <w:autoSpaceDE w:val="0"/>
        <w:autoSpaceDN w:val="0"/>
        <w:adjustRightInd w:val="0"/>
        <w:ind w:firstLine="420" w:firstLineChars="200"/>
        <w:rPr>
          <w:rFonts w:hint="eastAsia" w:ascii="仿宋" w:hAnsi="仿宋" w:eastAsia="仿宋" w:cs="仿宋"/>
          <w:color w:val="auto"/>
          <w:sz w:val="24"/>
          <w:highlight w:val="none"/>
          <w:lang w:val="zh-CN"/>
        </w:rPr>
      </w:pPr>
      <w:r>
        <w:rPr>
          <w:rFonts w:hint="eastAsia" w:ascii="仿宋" w:hAnsi="仿宋" w:eastAsia="仿宋" w:cs="仿宋"/>
          <w:color w:val="auto"/>
          <w:szCs w:val="21"/>
          <w:highlight w:val="none"/>
        </w:rPr>
        <w:t>日期：  年  月  日</w:t>
      </w:r>
    </w:p>
    <w:p>
      <w:pPr>
        <w:autoSpaceDE w:val="0"/>
        <w:autoSpaceDN w:val="0"/>
        <w:adjustRightInd w:val="0"/>
        <w:rPr>
          <w:rFonts w:hint="eastAsia" w:ascii="仿宋" w:hAnsi="仿宋" w:eastAsia="仿宋" w:cs="仿宋"/>
          <w:b/>
          <w:bCs/>
          <w:color w:val="auto"/>
          <w:sz w:val="24"/>
          <w:szCs w:val="22"/>
          <w:highlight w:val="none"/>
          <w:lang w:val="zh-CN"/>
        </w:rPr>
      </w:pPr>
    </w:p>
    <w:p>
      <w:pPr>
        <w:autoSpaceDE w:val="0"/>
        <w:autoSpaceDN w:val="0"/>
        <w:adjustRightInd w:val="0"/>
        <w:jc w:val="center"/>
        <w:rPr>
          <w:rFonts w:hint="eastAsia" w:ascii="仿宋" w:hAnsi="仿宋" w:eastAsia="仿宋" w:cs="仿宋"/>
          <w:color w:val="auto"/>
          <w:highlight w:val="none"/>
          <w:lang w:val="zh-CN"/>
        </w:rPr>
      </w:pPr>
    </w:p>
    <w:p>
      <w:pPr>
        <w:pStyle w:val="3"/>
        <w:numPr>
          <w:ilvl w:val="0"/>
          <w:numId w:val="0"/>
        </w:numPr>
        <w:spacing w:before="120" w:after="120" w:line="360" w:lineRule="auto"/>
        <w:ind w:left="360"/>
        <w:jc w:val="center"/>
        <w:rPr>
          <w:rFonts w:hint="eastAsia" w:ascii="仿宋" w:hAnsi="仿宋" w:eastAsia="仿宋" w:cs="仿宋"/>
          <w:color w:val="auto"/>
          <w:sz w:val="30"/>
          <w:szCs w:val="30"/>
          <w:highlight w:val="none"/>
        </w:rPr>
      </w:pPr>
      <w:r>
        <w:rPr>
          <w:rFonts w:hint="eastAsia" w:ascii="仿宋" w:hAnsi="仿宋" w:eastAsia="仿宋" w:cs="仿宋"/>
          <w:color w:val="auto"/>
          <w:highlight w:val="none"/>
          <w:lang w:val="zh-CN"/>
        </w:rPr>
        <w:br w:type="page"/>
      </w:r>
      <w:bookmarkStart w:id="48" w:name="_Toc518299460"/>
      <w:bookmarkStart w:id="49" w:name="_Toc31847"/>
      <w:bookmarkStart w:id="50" w:name="_Toc23667"/>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、反商业贿赂承诺书</w:t>
      </w:r>
      <w:bookmarkEnd w:id="48"/>
      <w:bookmarkEnd w:id="49"/>
      <w:bookmarkEnd w:id="50"/>
    </w:p>
    <w:p>
      <w:pPr>
        <w:autoSpaceDE w:val="0"/>
        <w:autoSpaceDN w:val="0"/>
        <w:adjustRightInd w:val="0"/>
        <w:spacing w:line="360" w:lineRule="auto"/>
        <w:ind w:firstLine="304" w:firstLineChars="127"/>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我公司承诺：</w:t>
      </w:r>
    </w:p>
    <w:p>
      <w:pPr>
        <w:autoSpaceDE w:val="0"/>
        <w:autoSpaceDN w:val="0"/>
        <w:adjustRightInd w:val="0"/>
        <w:spacing w:line="360" w:lineRule="auto"/>
        <w:ind w:firstLine="304" w:firstLineChars="127"/>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在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招标采购活动中，我公司保证做到：</w:t>
      </w:r>
    </w:p>
    <w:p>
      <w:pPr>
        <w:autoSpaceDE w:val="0"/>
        <w:autoSpaceDN w:val="0"/>
        <w:adjustRightInd w:val="0"/>
        <w:spacing w:line="360" w:lineRule="auto"/>
        <w:ind w:firstLine="304" w:firstLineChars="127"/>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一、公平竞争参加本次招标采购活动。</w:t>
      </w:r>
    </w:p>
    <w:p>
      <w:pPr>
        <w:autoSpaceDE w:val="0"/>
        <w:autoSpaceDN w:val="0"/>
        <w:adjustRightInd w:val="0"/>
        <w:spacing w:line="360" w:lineRule="auto"/>
        <w:ind w:firstLine="304" w:firstLineChars="127"/>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pPr>
        <w:autoSpaceDE w:val="0"/>
        <w:autoSpaceDN w:val="0"/>
        <w:adjustRightInd w:val="0"/>
        <w:spacing w:line="360" w:lineRule="auto"/>
        <w:ind w:firstLine="304" w:firstLineChars="127"/>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三、若出现上述行为，我公司及参与投标的工作人员愿意接受按照国家法律法规等有关规定给予的处罚。</w:t>
      </w:r>
    </w:p>
    <w:p>
      <w:pPr>
        <w:autoSpaceDE w:val="0"/>
        <w:autoSpaceDN w:val="0"/>
        <w:adjustRightInd w:val="0"/>
        <w:spacing w:line="360" w:lineRule="auto"/>
        <w:ind w:firstLine="304" w:firstLineChars="127"/>
        <w:jc w:val="left"/>
        <w:rPr>
          <w:rFonts w:hint="eastAsia" w:ascii="仿宋" w:hAnsi="仿宋" w:eastAsia="仿宋" w:cs="仿宋"/>
          <w:color w:val="auto"/>
          <w:kern w:val="0"/>
          <w:sz w:val="24"/>
          <w:highlight w:val="none"/>
        </w:rPr>
      </w:pPr>
    </w:p>
    <w:p>
      <w:pPr>
        <w:autoSpaceDE w:val="0"/>
        <w:autoSpaceDN w:val="0"/>
        <w:adjustRightInd w:val="0"/>
        <w:spacing w:line="360" w:lineRule="auto"/>
        <w:ind w:firstLine="304" w:firstLineChars="127"/>
        <w:jc w:val="left"/>
        <w:rPr>
          <w:rFonts w:hint="eastAsia" w:ascii="仿宋" w:hAnsi="仿宋" w:eastAsia="仿宋" w:cs="仿宋"/>
          <w:color w:val="auto"/>
          <w:kern w:val="0"/>
          <w:sz w:val="24"/>
          <w:highlight w:val="none"/>
        </w:rPr>
      </w:pPr>
    </w:p>
    <w:p>
      <w:pPr>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供应商（盖公章）：</w:t>
      </w:r>
    </w:p>
    <w:p>
      <w:pPr>
        <w:rPr>
          <w:rFonts w:hint="eastAsia" w:ascii="仿宋" w:hAnsi="仿宋" w:eastAsia="仿宋" w:cs="仿宋"/>
          <w:color w:val="auto"/>
          <w:sz w:val="28"/>
          <w:highlight w:val="none"/>
        </w:rPr>
      </w:pPr>
      <w:r>
        <w:rPr>
          <w:rFonts w:hint="eastAsia" w:ascii="仿宋" w:hAnsi="仿宋" w:eastAsia="仿宋" w:cs="仿宋"/>
          <w:color w:val="auto"/>
          <w:sz w:val="28"/>
          <w:highlight w:val="none"/>
        </w:rPr>
        <w:t>法定代表人</w:t>
      </w:r>
      <w:r>
        <w:rPr>
          <w:rFonts w:hint="eastAsia" w:ascii="仿宋" w:hAnsi="仿宋" w:eastAsia="仿宋" w:cs="仿宋"/>
          <w:color w:val="auto"/>
          <w:sz w:val="28"/>
          <w:highlight w:val="none"/>
          <w:lang w:eastAsia="zh-CN"/>
        </w:rPr>
        <w:t>或其委托代理人</w:t>
      </w:r>
      <w:r>
        <w:rPr>
          <w:rFonts w:hint="eastAsia" w:ascii="仿宋" w:hAnsi="仿宋" w:eastAsia="仿宋" w:cs="仿宋"/>
          <w:color w:val="auto"/>
          <w:sz w:val="28"/>
          <w:highlight w:val="none"/>
        </w:rPr>
        <w:t>（签字或盖章）：</w:t>
      </w:r>
    </w:p>
    <w:p>
      <w:pPr>
        <w:rPr>
          <w:rFonts w:hint="eastAsia" w:ascii="仿宋" w:hAnsi="仿宋" w:eastAsia="仿宋" w:cs="仿宋"/>
          <w:color w:val="auto"/>
          <w:sz w:val="28"/>
          <w:highlight w:val="none"/>
        </w:rPr>
      </w:pPr>
      <w:r>
        <w:rPr>
          <w:rFonts w:hint="eastAsia" w:ascii="仿宋" w:hAnsi="仿宋" w:eastAsia="仿宋" w:cs="仿宋"/>
          <w:color w:val="auto"/>
          <w:sz w:val="28"/>
          <w:highlight w:val="none"/>
        </w:rPr>
        <w:t>日期：  年  月  日</w:t>
      </w:r>
    </w:p>
    <w:p>
      <w:pPr>
        <w:jc w:val="center"/>
        <w:rPr>
          <w:rFonts w:hint="eastAsia" w:ascii="仿宋" w:hAnsi="仿宋" w:eastAsia="仿宋" w:cs="仿宋"/>
          <w:color w:val="auto"/>
          <w:sz w:val="28"/>
          <w:highlight w:val="none"/>
        </w:rPr>
      </w:pPr>
    </w:p>
    <w:p>
      <w:pPr>
        <w:jc w:val="center"/>
        <w:rPr>
          <w:rFonts w:hint="eastAsia" w:ascii="仿宋" w:hAnsi="仿宋" w:eastAsia="仿宋" w:cs="仿宋"/>
          <w:b/>
          <w:color w:val="auto"/>
          <w:sz w:val="28"/>
          <w:highlight w:val="none"/>
        </w:rPr>
      </w:pPr>
    </w:p>
    <w:p>
      <w:pPr>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日期：</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年</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日</w:t>
      </w:r>
    </w:p>
    <w:p>
      <w:pPr>
        <w:autoSpaceDE w:val="0"/>
        <w:autoSpaceDN w:val="0"/>
        <w:adjustRightInd w:val="0"/>
        <w:spacing w:line="360" w:lineRule="auto"/>
        <w:ind w:firstLine="304" w:firstLineChars="127"/>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pPr>
        <w:autoSpaceDE w:val="0"/>
        <w:autoSpaceDN w:val="0"/>
        <w:adjustRightInd w:val="0"/>
        <w:spacing w:line="360" w:lineRule="auto"/>
        <w:ind w:firstLine="304" w:firstLineChars="127"/>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br w:type="page"/>
      </w:r>
      <w:r>
        <w:rPr>
          <w:rFonts w:hint="eastAsia" w:ascii="仿宋" w:hAnsi="仿宋" w:eastAsia="仿宋" w:cs="仿宋"/>
          <w:color w:val="auto"/>
          <w:kern w:val="0"/>
          <w:sz w:val="24"/>
          <w:highlight w:val="none"/>
        </w:rPr>
        <w:t xml:space="preserve"> </w:t>
      </w:r>
    </w:p>
    <w:p>
      <w:pPr>
        <w:pStyle w:val="3"/>
        <w:numPr>
          <w:ilvl w:val="0"/>
          <w:numId w:val="0"/>
        </w:numPr>
        <w:spacing w:before="120" w:after="120" w:line="360" w:lineRule="auto"/>
        <w:ind w:left="360"/>
        <w:jc w:val="center"/>
        <w:rPr>
          <w:rFonts w:hint="eastAsia" w:ascii="仿宋" w:hAnsi="仿宋" w:eastAsia="仿宋" w:cs="仿宋"/>
          <w:color w:val="auto"/>
          <w:sz w:val="30"/>
          <w:szCs w:val="30"/>
          <w:highlight w:val="none"/>
        </w:rPr>
      </w:pPr>
      <w:bookmarkStart w:id="51" w:name="_Toc10974"/>
      <w:bookmarkStart w:id="52" w:name="_Toc518299461"/>
      <w:bookmarkStart w:id="53" w:name="_Toc476825248"/>
      <w:bookmarkStart w:id="54" w:name="_Toc17044"/>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、无重大违法记录声明函</w:t>
      </w:r>
      <w:bookmarkEnd w:id="51"/>
      <w:bookmarkEnd w:id="52"/>
      <w:bookmarkEnd w:id="53"/>
      <w:bookmarkEnd w:id="54"/>
    </w:p>
    <w:p>
      <w:pPr>
        <w:tabs>
          <w:tab w:val="left" w:pos="6300"/>
        </w:tabs>
        <w:snapToGrid w:val="0"/>
        <w:spacing w:line="360" w:lineRule="auto"/>
        <w:ind w:firstLine="449" w:firstLineChars="149"/>
        <w:rPr>
          <w:rFonts w:hint="eastAsia" w:ascii="仿宋" w:hAnsi="仿宋" w:eastAsia="仿宋" w:cs="仿宋"/>
          <w:b/>
          <w:color w:val="auto"/>
          <w:spacing w:val="10"/>
          <w:kern w:val="0"/>
          <w:sz w:val="28"/>
          <w:szCs w:val="28"/>
          <w:highlight w:val="none"/>
        </w:rPr>
      </w:pPr>
    </w:p>
    <w:p>
      <w:pPr>
        <w:tabs>
          <w:tab w:val="left" w:pos="6300"/>
        </w:tabs>
        <w:snapToGrid w:val="0"/>
        <w:spacing w:line="360" w:lineRule="auto"/>
        <w:ind w:firstLine="357" w:firstLineChars="149"/>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本公司郑重声明：</w:t>
      </w:r>
    </w:p>
    <w:p>
      <w:pPr>
        <w:tabs>
          <w:tab w:val="left" w:pos="6300"/>
        </w:tabs>
        <w:snapToGrid w:val="0"/>
        <w:spacing w:line="360" w:lineRule="auto"/>
        <w:ind w:firstLine="837" w:firstLineChars="34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（单位名称）               </w:t>
      </w:r>
      <w:r>
        <w:rPr>
          <w:rFonts w:hint="eastAsia" w:ascii="仿宋" w:hAnsi="仿宋" w:eastAsia="仿宋" w:cs="仿宋"/>
          <w:color w:val="auto"/>
          <w:sz w:val="24"/>
          <w:highlight w:val="none"/>
        </w:rPr>
        <w:t>在参加本项目（编号）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政府采购活动前3年内的经营活动中没有重大违法记录。</w:t>
      </w:r>
    </w:p>
    <w:p>
      <w:pPr>
        <w:tabs>
          <w:tab w:val="left" w:pos="6300"/>
        </w:tabs>
        <w:snapToGrid w:val="0"/>
        <w:spacing w:line="360" w:lineRule="auto"/>
        <w:ind w:firstLine="879" w:firstLineChars="349"/>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本公司对上述声明的真实性负责。如有虚假，将依法承担相应责任。</w:t>
      </w:r>
    </w:p>
    <w:p>
      <w:pPr>
        <w:tabs>
          <w:tab w:val="left" w:pos="6300"/>
        </w:tabs>
        <w:snapToGrid w:val="0"/>
        <w:spacing w:line="360" w:lineRule="auto"/>
        <w:ind w:firstLine="237" w:firstLineChars="99"/>
        <w:rPr>
          <w:rFonts w:hint="eastAsia" w:ascii="仿宋" w:hAnsi="仿宋" w:eastAsia="仿宋" w:cs="仿宋"/>
          <w:color w:val="auto"/>
          <w:sz w:val="24"/>
          <w:highlight w:val="none"/>
        </w:rPr>
      </w:pPr>
    </w:p>
    <w:p>
      <w:pPr>
        <w:tabs>
          <w:tab w:val="left" w:pos="6300"/>
        </w:tabs>
        <w:snapToGrid w:val="0"/>
        <w:spacing w:line="360" w:lineRule="auto"/>
        <w:ind w:firstLine="237" w:firstLineChars="99"/>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tabs>
          <w:tab w:val="left" w:pos="6300"/>
        </w:tabs>
        <w:snapToGrid w:val="0"/>
        <w:spacing w:line="360" w:lineRule="auto"/>
        <w:ind w:firstLine="237" w:firstLineChars="99"/>
        <w:rPr>
          <w:rFonts w:hint="eastAsia" w:ascii="仿宋" w:hAnsi="仿宋" w:eastAsia="仿宋" w:cs="仿宋"/>
          <w:color w:val="auto"/>
          <w:sz w:val="24"/>
          <w:highlight w:val="none"/>
        </w:rPr>
      </w:pPr>
    </w:p>
    <w:p>
      <w:pPr>
        <w:tabs>
          <w:tab w:val="left" w:pos="6300"/>
        </w:tabs>
        <w:snapToGrid w:val="0"/>
        <w:spacing w:line="360" w:lineRule="auto"/>
        <w:ind w:firstLine="237" w:firstLineChars="99"/>
        <w:rPr>
          <w:rFonts w:hint="eastAsia" w:ascii="仿宋" w:hAnsi="仿宋" w:eastAsia="仿宋" w:cs="仿宋"/>
          <w:color w:val="auto"/>
          <w:sz w:val="24"/>
          <w:highlight w:val="none"/>
        </w:rPr>
      </w:pPr>
    </w:p>
    <w:p>
      <w:pPr>
        <w:tabs>
          <w:tab w:val="left" w:pos="6300"/>
        </w:tabs>
        <w:snapToGrid w:val="0"/>
        <w:spacing w:line="360" w:lineRule="auto"/>
        <w:ind w:firstLine="237" w:firstLineChars="99"/>
        <w:rPr>
          <w:rFonts w:hint="eastAsia" w:ascii="仿宋" w:hAnsi="仿宋" w:eastAsia="仿宋" w:cs="仿宋"/>
          <w:color w:val="auto"/>
          <w:sz w:val="24"/>
          <w:highlight w:val="none"/>
        </w:rPr>
      </w:pPr>
    </w:p>
    <w:p>
      <w:pPr>
        <w:tabs>
          <w:tab w:val="left" w:pos="6300"/>
        </w:tabs>
        <w:snapToGrid w:val="0"/>
        <w:spacing w:line="360" w:lineRule="auto"/>
        <w:ind w:firstLine="237" w:firstLineChars="9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p>
    <w:p>
      <w:pPr>
        <w:tabs>
          <w:tab w:val="left" w:pos="6300"/>
        </w:tabs>
        <w:snapToGrid w:val="0"/>
        <w:spacing w:line="360" w:lineRule="auto"/>
        <w:ind w:firstLine="237" w:firstLineChars="9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或其委托代理人</w:t>
      </w:r>
      <w:r>
        <w:rPr>
          <w:rFonts w:hint="eastAsia" w:ascii="仿宋" w:hAnsi="仿宋" w:eastAsia="仿宋" w:cs="仿宋"/>
          <w:color w:val="auto"/>
          <w:sz w:val="24"/>
          <w:highlight w:val="none"/>
        </w:rPr>
        <w:t>（签字或盖章）：</w:t>
      </w:r>
    </w:p>
    <w:p>
      <w:pPr>
        <w:tabs>
          <w:tab w:val="left" w:pos="6300"/>
        </w:tabs>
        <w:snapToGrid w:val="0"/>
        <w:spacing w:line="360" w:lineRule="auto"/>
        <w:ind w:firstLine="237" w:firstLineChars="9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jc w:val="center"/>
        <w:rPr>
          <w:rFonts w:hint="eastAsia" w:ascii="仿宋" w:hAnsi="仿宋" w:eastAsia="仿宋" w:cs="仿宋"/>
          <w:bCs/>
          <w:color w:val="auto"/>
          <w:sz w:val="28"/>
          <w:highlight w:val="none"/>
        </w:rPr>
      </w:pPr>
    </w:p>
    <w:p>
      <w:pPr>
        <w:shd w:val="clear" w:color="auto" w:fill="FFFFFF"/>
        <w:tabs>
          <w:tab w:val="left" w:pos="3780"/>
        </w:tabs>
        <w:spacing w:line="400" w:lineRule="exact"/>
        <w:jc w:val="center"/>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br w:type="page"/>
      </w:r>
      <w:r>
        <w:rPr>
          <w:rFonts w:hint="eastAsia" w:ascii="仿宋" w:hAnsi="仿宋" w:eastAsia="仿宋" w:cs="仿宋"/>
          <w:b/>
          <w:color w:val="auto"/>
          <w:sz w:val="28"/>
          <w:highlight w:val="none"/>
          <w:lang w:val="en-US" w:eastAsia="zh-CN"/>
        </w:rPr>
        <w:t>11</w:t>
      </w:r>
      <w:r>
        <w:rPr>
          <w:rFonts w:hint="eastAsia" w:ascii="仿宋" w:hAnsi="仿宋" w:eastAsia="仿宋" w:cs="仿宋"/>
          <w:b/>
          <w:color w:val="auto"/>
          <w:sz w:val="28"/>
          <w:highlight w:val="none"/>
        </w:rPr>
        <w:t>、</w:t>
      </w:r>
      <w:r>
        <w:rPr>
          <w:rFonts w:hint="eastAsia" w:ascii="仿宋" w:hAnsi="仿宋" w:eastAsia="仿宋" w:cs="仿宋"/>
          <w:b/>
          <w:color w:val="auto"/>
          <w:sz w:val="28"/>
          <w:highlight w:val="none"/>
          <w:lang w:eastAsia="zh-CN"/>
        </w:rPr>
        <w:t>信用记录查询</w:t>
      </w:r>
    </w:p>
    <w:p>
      <w:pPr>
        <w:shd w:val="clear" w:color="auto" w:fill="FFFFFF"/>
        <w:tabs>
          <w:tab w:val="left" w:pos="3780"/>
        </w:tabs>
        <w:spacing w:line="400" w:lineRule="exact"/>
        <w:ind w:firstLine="420" w:firstLineChars="200"/>
        <w:jc w:val="left"/>
        <w:rPr>
          <w:rFonts w:hint="eastAsia" w:ascii="仿宋" w:hAnsi="仿宋" w:eastAsia="仿宋" w:cs="仿宋"/>
          <w:color w:val="auto"/>
          <w:szCs w:val="21"/>
          <w:highlight w:val="none"/>
          <w:lang w:val="en-US" w:eastAsia="zh-CN"/>
        </w:rPr>
      </w:pPr>
    </w:p>
    <w:p>
      <w:pPr>
        <w:shd w:val="clear" w:color="auto" w:fill="FFFFFF"/>
        <w:tabs>
          <w:tab w:val="left" w:pos="3780"/>
        </w:tabs>
        <w:spacing w:line="400" w:lineRule="exact"/>
        <w:ind w:firstLine="480" w:firstLineChars="200"/>
        <w:jc w:val="left"/>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2"/>
          <w:sz w:val="24"/>
          <w:szCs w:val="21"/>
          <w:highlight w:val="none"/>
          <w:lang w:val="en-US" w:eastAsia="zh-CN" w:bidi="ar-SA"/>
        </w:rPr>
        <w:t>供应商须附“信用中国（www.creditchina.gov.cn）”网站及“中国政府采购网（www.ccgp.gov.cn）”查询截图。自公告发布之日起至磋商响应文件文件递交截止时间内（该时间段内任一时间）。</w:t>
      </w:r>
    </w:p>
    <w:p>
      <w:pPr>
        <w:pStyle w:val="10"/>
        <w:rPr>
          <w:rFonts w:hint="eastAsia" w:ascii="仿宋" w:hAnsi="仿宋" w:eastAsia="仿宋" w:cs="仿宋"/>
          <w:color w:val="auto"/>
          <w:sz w:val="28"/>
          <w:highlight w:val="none"/>
        </w:rPr>
      </w:pPr>
      <w:r>
        <w:rPr>
          <w:rFonts w:hint="eastAsia" w:ascii="仿宋" w:hAnsi="仿宋" w:eastAsia="仿宋" w:cs="仿宋"/>
          <w:color w:val="auto"/>
          <w:szCs w:val="21"/>
          <w:highlight w:val="none"/>
          <w:lang w:val="en-US" w:eastAsia="zh-CN"/>
        </w:rPr>
        <w:t>上述网站查询截图，截图内容必须清晰可辨。</w:t>
      </w:r>
    </w:p>
    <w:p>
      <w:pPr>
        <w:ind w:firstLine="630"/>
        <w:rPr>
          <w:rFonts w:hint="eastAsia" w:ascii="仿宋" w:hAnsi="仿宋" w:eastAsia="仿宋" w:cs="仿宋"/>
          <w:color w:val="auto"/>
          <w:sz w:val="28"/>
          <w:highlight w:val="none"/>
        </w:rPr>
      </w:pPr>
    </w:p>
    <w:p>
      <w:pPr>
        <w:jc w:val="center"/>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br w:type="page"/>
      </w:r>
      <w:r>
        <w:rPr>
          <w:rFonts w:hint="eastAsia" w:ascii="仿宋" w:hAnsi="仿宋" w:eastAsia="仿宋" w:cs="仿宋"/>
          <w:b/>
          <w:color w:val="auto"/>
          <w:sz w:val="28"/>
          <w:highlight w:val="none"/>
          <w:lang w:val="en-US" w:eastAsia="zh-CN"/>
        </w:rPr>
        <w:t>12</w:t>
      </w:r>
      <w:r>
        <w:rPr>
          <w:rFonts w:hint="eastAsia" w:ascii="仿宋" w:hAnsi="仿宋" w:eastAsia="仿宋" w:cs="仿宋"/>
          <w:b/>
          <w:color w:val="auto"/>
          <w:sz w:val="28"/>
          <w:highlight w:val="none"/>
        </w:rPr>
        <w:t>、</w:t>
      </w:r>
      <w:r>
        <w:rPr>
          <w:rFonts w:hint="eastAsia" w:ascii="仿宋" w:hAnsi="仿宋" w:eastAsia="仿宋" w:cs="仿宋"/>
          <w:b/>
          <w:color w:val="auto"/>
          <w:sz w:val="28"/>
          <w:highlight w:val="none"/>
          <w:lang w:eastAsia="zh-CN"/>
        </w:rPr>
        <w:t>项目实施方案</w:t>
      </w:r>
    </w:p>
    <w:p>
      <w:pPr>
        <w:ind w:firstLine="630"/>
        <w:rPr>
          <w:rFonts w:hint="eastAsia" w:ascii="仿宋" w:hAnsi="仿宋" w:eastAsia="仿宋" w:cs="仿宋"/>
          <w:bCs/>
          <w:color w:val="auto"/>
          <w:kern w:val="0"/>
          <w:sz w:val="24"/>
          <w:highlight w:val="none"/>
        </w:rPr>
      </w:pPr>
    </w:p>
    <w:p>
      <w:pPr>
        <w:ind w:firstLine="630"/>
        <w:rPr>
          <w:rFonts w:hint="eastAsia" w:ascii="仿宋" w:hAnsi="仿宋" w:eastAsia="仿宋" w:cs="仿宋"/>
          <w:color w:val="auto"/>
          <w:sz w:val="28"/>
          <w:highlight w:val="none"/>
        </w:rPr>
      </w:pP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rPr>
        <w:t>投标单位</w:t>
      </w:r>
      <w:r>
        <w:rPr>
          <w:rFonts w:hint="eastAsia" w:ascii="仿宋" w:hAnsi="仿宋" w:eastAsia="仿宋" w:cs="仿宋"/>
          <w:bCs/>
          <w:color w:val="auto"/>
          <w:kern w:val="0"/>
          <w:sz w:val="24"/>
          <w:highlight w:val="none"/>
          <w:lang w:eastAsia="zh-CN"/>
        </w:rPr>
        <w:t>根据项目需求自行编制，包括但不限于供货方案、售后服务方案及措施、质保期承诺及备品备件等，格式自拟）</w:t>
      </w: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shd w:val="clear"/>
        <w:rPr>
          <w:rFonts w:ascii="仿宋" w:hAnsi="仿宋" w:eastAsia="仿宋" w:cs="仿宋"/>
          <w:color w:val="auto"/>
          <w:highlight w:val="none"/>
        </w:rPr>
      </w:pPr>
    </w:p>
    <w:sectPr>
      <w:pgSz w:w="11906" w:h="16838"/>
      <w:pgMar w:top="1418" w:right="1133" w:bottom="709" w:left="1701" w:header="851" w:footer="992" w:gutter="0"/>
      <w:pgNumType w:fmt="decimal"/>
      <w:cols w:space="720" w:num="1"/>
      <w:docGrid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lang w:eastAsia="zh-CN"/>
      </w:rPr>
    </w:pPr>
    <w:r>
      <w:rPr>
        <w:rFonts w:hint="eastAsia" w:ascii="宋体" w:hAnsi="宋体"/>
        <w:lang w:eastAsia="zh-CN"/>
      </w:rPr>
      <w:t>阜康市第三小学校园文化建设项目</w:t>
    </w:r>
  </w:p>
  <w:p>
    <w:pPr>
      <w:pStyle w:val="13"/>
      <w:jc w:val="both"/>
      <w:rPr>
        <w:rFonts w:ascii="宋体" w:hAnsi="宋体"/>
      </w:rPr>
    </w:pPr>
    <w:r>
      <w:rPr>
        <w:rFonts w:hint="eastAsia" w:ascii="宋体" w:hAnsi="宋体"/>
      </w:rPr>
      <w:t>采购项目编号：</w:t>
    </w:r>
    <w:r>
      <w:rPr>
        <w:rFonts w:hint="eastAsia" w:ascii="Arial" w:hAnsi="Arial" w:cs="Arial"/>
        <w:color w:val="000000"/>
        <w:szCs w:val="24"/>
        <w:lang w:eastAsia="zh-CN"/>
      </w:rPr>
      <w:t>XJBLZB-20220108022</w:t>
    </w:r>
    <w:r>
      <w:rPr>
        <w:rFonts w:hint="eastAsia" w:ascii="宋体" w:hAnsi="宋体"/>
        <w:sz w:val="11"/>
      </w:rPr>
      <w:t xml:space="preserve">   </w:t>
    </w: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lang w:eastAsia="zh-CN"/>
      </w:rPr>
    </w:pPr>
    <w:r>
      <w:rPr>
        <w:rFonts w:hint="eastAsia" w:ascii="宋体" w:hAnsi="宋体"/>
        <w:lang w:eastAsia="zh-CN"/>
      </w:rPr>
      <w:t>阜康市第三小学校园文化建设项目</w:t>
    </w:r>
  </w:p>
  <w:p>
    <w:pPr>
      <w:pStyle w:val="13"/>
      <w:jc w:val="both"/>
      <w:rPr>
        <w:rFonts w:hint="eastAsia" w:ascii="宋体" w:hAnsi="宋体" w:eastAsia="宋体"/>
        <w:lang w:eastAsia="zh-CN"/>
      </w:rPr>
    </w:pPr>
    <w:r>
      <w:rPr>
        <w:rFonts w:hint="eastAsia" w:ascii="宋体" w:hAnsi="宋体"/>
      </w:rPr>
      <w:t>采购项目编号：</w:t>
    </w:r>
    <w:r>
      <w:rPr>
        <w:rFonts w:hint="eastAsia" w:ascii="宋体" w:hAnsi="宋体"/>
        <w:lang w:eastAsia="zh-CN"/>
      </w:rPr>
      <w:t>XJBLZB-20220108022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A3E5F"/>
    <w:multiLevelType w:val="singleLevel"/>
    <w:tmpl w:val="B66A3E5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NDdmNDIyNTk4OTgzN2M0YTY0NzI3YjVmMjQ2ZGMifQ=="/>
  </w:docVars>
  <w:rsids>
    <w:rsidRoot w:val="3B6669F6"/>
    <w:rsid w:val="00181BD2"/>
    <w:rsid w:val="003405C4"/>
    <w:rsid w:val="0168240E"/>
    <w:rsid w:val="01C21E8F"/>
    <w:rsid w:val="028D2428"/>
    <w:rsid w:val="03385AE8"/>
    <w:rsid w:val="034836E2"/>
    <w:rsid w:val="044F12D6"/>
    <w:rsid w:val="047A2237"/>
    <w:rsid w:val="05111B61"/>
    <w:rsid w:val="052C6D28"/>
    <w:rsid w:val="066B2E99"/>
    <w:rsid w:val="06D6204C"/>
    <w:rsid w:val="0A6455CE"/>
    <w:rsid w:val="0A6D6469"/>
    <w:rsid w:val="0ACC443C"/>
    <w:rsid w:val="0C5E5983"/>
    <w:rsid w:val="0DB75C1C"/>
    <w:rsid w:val="0E351675"/>
    <w:rsid w:val="0F674939"/>
    <w:rsid w:val="0FAF1D9C"/>
    <w:rsid w:val="11F832E2"/>
    <w:rsid w:val="14D001A9"/>
    <w:rsid w:val="162675A9"/>
    <w:rsid w:val="1661531C"/>
    <w:rsid w:val="16721D71"/>
    <w:rsid w:val="168E589B"/>
    <w:rsid w:val="173825AD"/>
    <w:rsid w:val="18870FAE"/>
    <w:rsid w:val="1A2D0630"/>
    <w:rsid w:val="1C0C649C"/>
    <w:rsid w:val="1D5A5A79"/>
    <w:rsid w:val="1E0947A3"/>
    <w:rsid w:val="20825E6B"/>
    <w:rsid w:val="20D06E47"/>
    <w:rsid w:val="245E0F7A"/>
    <w:rsid w:val="257C5A37"/>
    <w:rsid w:val="259F361E"/>
    <w:rsid w:val="26667A94"/>
    <w:rsid w:val="26E5233D"/>
    <w:rsid w:val="27A64D9B"/>
    <w:rsid w:val="27B146B2"/>
    <w:rsid w:val="28AD366F"/>
    <w:rsid w:val="28AE44AA"/>
    <w:rsid w:val="2A9869F7"/>
    <w:rsid w:val="2AEE7557"/>
    <w:rsid w:val="2B605EB2"/>
    <w:rsid w:val="2C300F77"/>
    <w:rsid w:val="2C3F487A"/>
    <w:rsid w:val="2CBF4E36"/>
    <w:rsid w:val="2D6A0ECC"/>
    <w:rsid w:val="2DDB6AAA"/>
    <w:rsid w:val="2E9734C6"/>
    <w:rsid w:val="2F4524B6"/>
    <w:rsid w:val="2F9934D5"/>
    <w:rsid w:val="31084B9D"/>
    <w:rsid w:val="329A5046"/>
    <w:rsid w:val="343B35FF"/>
    <w:rsid w:val="349116DC"/>
    <w:rsid w:val="35FA1C82"/>
    <w:rsid w:val="368E749E"/>
    <w:rsid w:val="369005D7"/>
    <w:rsid w:val="36A361F7"/>
    <w:rsid w:val="36CC6E38"/>
    <w:rsid w:val="37ED4EB6"/>
    <w:rsid w:val="38050593"/>
    <w:rsid w:val="393A063A"/>
    <w:rsid w:val="3A606169"/>
    <w:rsid w:val="3B6669F6"/>
    <w:rsid w:val="3C2912B1"/>
    <w:rsid w:val="3CB9757F"/>
    <w:rsid w:val="3D57349B"/>
    <w:rsid w:val="3E7F5C10"/>
    <w:rsid w:val="3F087593"/>
    <w:rsid w:val="3F6D435B"/>
    <w:rsid w:val="404E5D32"/>
    <w:rsid w:val="416C3BC8"/>
    <w:rsid w:val="41706B5C"/>
    <w:rsid w:val="42326A6C"/>
    <w:rsid w:val="44B4474B"/>
    <w:rsid w:val="466034F0"/>
    <w:rsid w:val="47452127"/>
    <w:rsid w:val="47D74250"/>
    <w:rsid w:val="49847187"/>
    <w:rsid w:val="4AF106C4"/>
    <w:rsid w:val="4CC06AAE"/>
    <w:rsid w:val="4CE9258A"/>
    <w:rsid w:val="4DAE4AEF"/>
    <w:rsid w:val="4DFD1389"/>
    <w:rsid w:val="4E233FF5"/>
    <w:rsid w:val="50864F97"/>
    <w:rsid w:val="539E248C"/>
    <w:rsid w:val="53AC0531"/>
    <w:rsid w:val="544E79B3"/>
    <w:rsid w:val="548419BB"/>
    <w:rsid w:val="54C34EF6"/>
    <w:rsid w:val="54FD7D21"/>
    <w:rsid w:val="55CD730E"/>
    <w:rsid w:val="56180672"/>
    <w:rsid w:val="56F814FB"/>
    <w:rsid w:val="571F2BA7"/>
    <w:rsid w:val="57221C4C"/>
    <w:rsid w:val="58056488"/>
    <w:rsid w:val="59973B5E"/>
    <w:rsid w:val="5AC713F6"/>
    <w:rsid w:val="5B3660A5"/>
    <w:rsid w:val="5C2325AF"/>
    <w:rsid w:val="5CE76D7C"/>
    <w:rsid w:val="5E021D6F"/>
    <w:rsid w:val="5EEC0A8D"/>
    <w:rsid w:val="5FA06428"/>
    <w:rsid w:val="601612E1"/>
    <w:rsid w:val="60394ECE"/>
    <w:rsid w:val="610B56CE"/>
    <w:rsid w:val="63F7423F"/>
    <w:rsid w:val="64064388"/>
    <w:rsid w:val="641444F5"/>
    <w:rsid w:val="665070E4"/>
    <w:rsid w:val="667E0922"/>
    <w:rsid w:val="67574CEF"/>
    <w:rsid w:val="68116EAD"/>
    <w:rsid w:val="68477217"/>
    <w:rsid w:val="68DD0499"/>
    <w:rsid w:val="6C5B7AD4"/>
    <w:rsid w:val="6C920B45"/>
    <w:rsid w:val="6CEA5431"/>
    <w:rsid w:val="6D0F1DB8"/>
    <w:rsid w:val="6D5F0C80"/>
    <w:rsid w:val="6EED0566"/>
    <w:rsid w:val="6F927E95"/>
    <w:rsid w:val="6F9F006C"/>
    <w:rsid w:val="6FE2470A"/>
    <w:rsid w:val="715D69FF"/>
    <w:rsid w:val="72224DCE"/>
    <w:rsid w:val="72427310"/>
    <w:rsid w:val="73B3334A"/>
    <w:rsid w:val="740039DC"/>
    <w:rsid w:val="74294F2C"/>
    <w:rsid w:val="74E07712"/>
    <w:rsid w:val="756A7E47"/>
    <w:rsid w:val="76696BEF"/>
    <w:rsid w:val="77C77F23"/>
    <w:rsid w:val="7B401B54"/>
    <w:rsid w:val="7BC67A99"/>
    <w:rsid w:val="7D3713A2"/>
    <w:rsid w:val="7D96763F"/>
    <w:rsid w:val="7E0F4336"/>
    <w:rsid w:val="7F55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ind w:left="100" w:leftChars="100"/>
      <w:jc w:val="center"/>
      <w:outlineLvl w:val="0"/>
    </w:pPr>
    <w:rPr>
      <w:b/>
      <w:kern w:val="44"/>
      <w:sz w:val="44"/>
      <w:szCs w:val="20"/>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6">
    <w:name w:val="Normal Indent"/>
    <w:basedOn w:val="1"/>
    <w:qFormat/>
    <w:uiPriority w:val="0"/>
    <w:pPr>
      <w:spacing w:line="300" w:lineRule="auto"/>
      <w:ind w:firstLine="200" w:firstLineChars="200"/>
    </w:p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
    <w:qFormat/>
    <w:uiPriority w:val="99"/>
    <w:pPr>
      <w:jc w:val="left"/>
    </w:pPr>
    <w:rPr>
      <w:rFonts w:ascii="宋体"/>
      <w:sz w:val="24"/>
    </w:rPr>
  </w:style>
  <w:style w:type="paragraph" w:styleId="10">
    <w:name w:val="Body Text Indent"/>
    <w:basedOn w:val="1"/>
    <w:qFormat/>
    <w:uiPriority w:val="0"/>
    <w:pPr>
      <w:ind w:firstLine="444"/>
    </w:pPr>
    <w:rPr>
      <w:b/>
      <w:sz w:val="24"/>
    </w:rPr>
  </w:style>
  <w:style w:type="paragraph" w:styleId="11">
    <w:name w:val="Plain Text"/>
    <w:basedOn w:val="1"/>
    <w:qFormat/>
    <w:uiPriority w:val="0"/>
    <w:rPr>
      <w:rFonts w:ascii="宋体" w:hAnsi="Courier New"/>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540"/>
        <w:tab w:val="right" w:leader="dot" w:pos="8460"/>
      </w:tabs>
      <w:spacing w:before="156" w:beforeLines="50" w:after="156" w:afterLines="50" w:line="360" w:lineRule="auto"/>
    </w:pPr>
    <w:rPr>
      <w:rFonts w:ascii="宋体" w:hAnsi="宋体" w:cs="Arial"/>
      <w:b/>
      <w:sz w:val="24"/>
    </w:rPr>
  </w:style>
  <w:style w:type="paragraph" w:styleId="15">
    <w:name w:val="toc 2"/>
    <w:basedOn w:val="1"/>
    <w:next w:val="1"/>
    <w:qFormat/>
    <w:uiPriority w:val="39"/>
    <w:pPr>
      <w:tabs>
        <w:tab w:val="left" w:pos="630"/>
        <w:tab w:val="right" w:leader="dot" w:pos="8658"/>
      </w:tabs>
      <w:spacing w:line="360" w:lineRule="auto"/>
      <w:ind w:left="630" w:leftChars="50" w:hanging="525" w:hangingChars="218"/>
    </w:pPr>
    <w:rPr>
      <w:b/>
      <w:smallCaps/>
      <w:sz w:val="24"/>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9"/>
    <w:qFormat/>
    <w:uiPriority w:val="0"/>
    <w:pPr>
      <w:tabs>
        <w:tab w:val="left" w:pos="567"/>
      </w:tabs>
      <w:spacing w:after="120" w:line="360" w:lineRule="auto"/>
      <w:ind w:firstLine="420" w:firstLineChars="100"/>
    </w:pPr>
    <w:rPr>
      <w:rFonts w:ascii="Arial" w:hAnsi="Arial"/>
      <w:sz w:val="21"/>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qFormat/>
    <w:uiPriority w:val="0"/>
    <w:rPr>
      <w:rFonts w:cs="Times New Roman"/>
      <w:lang w:bidi="ar-SA"/>
    </w:rPr>
  </w:style>
  <w:style w:type="character" w:styleId="24">
    <w:name w:val="FollowedHyperlink"/>
    <w:basedOn w:val="21"/>
    <w:qFormat/>
    <w:uiPriority w:val="0"/>
    <w:rPr>
      <w:color w:val="3177FD"/>
      <w:u w:val="none"/>
    </w:rPr>
  </w:style>
  <w:style w:type="character" w:styleId="25">
    <w:name w:val="HTML Definition"/>
    <w:basedOn w:val="21"/>
    <w:qFormat/>
    <w:uiPriority w:val="0"/>
    <w:rPr>
      <w:i/>
      <w:iCs/>
    </w:rPr>
  </w:style>
  <w:style w:type="character" w:styleId="26">
    <w:name w:val="Hyperlink"/>
    <w:basedOn w:val="21"/>
    <w:qFormat/>
    <w:uiPriority w:val="0"/>
    <w:rPr>
      <w:color w:val="3177FD"/>
      <w:u w:val="none"/>
    </w:rPr>
  </w:style>
  <w:style w:type="character" w:styleId="27">
    <w:name w:val="HTML Code"/>
    <w:basedOn w:val="21"/>
    <w:qFormat/>
    <w:uiPriority w:val="0"/>
    <w:rPr>
      <w:rFonts w:ascii="Consolas" w:hAnsi="Consolas" w:eastAsia="Consolas" w:cs="Consolas"/>
      <w:sz w:val="21"/>
      <w:szCs w:val="21"/>
    </w:rPr>
  </w:style>
  <w:style w:type="character" w:styleId="28">
    <w:name w:val="HTML Keyboard"/>
    <w:basedOn w:val="21"/>
    <w:qFormat/>
    <w:uiPriority w:val="0"/>
    <w:rPr>
      <w:rFonts w:hint="default" w:ascii="Consolas" w:hAnsi="Consolas" w:eastAsia="Consolas" w:cs="Consolas"/>
      <w:sz w:val="21"/>
      <w:szCs w:val="21"/>
    </w:rPr>
  </w:style>
  <w:style w:type="character" w:styleId="29">
    <w:name w:val="HTML Sample"/>
    <w:basedOn w:val="21"/>
    <w:qFormat/>
    <w:uiPriority w:val="0"/>
    <w:rPr>
      <w:rFonts w:hint="default" w:ascii="Consolas" w:hAnsi="Consolas" w:eastAsia="Consolas" w:cs="Consolas"/>
      <w:sz w:val="21"/>
      <w:szCs w:val="21"/>
    </w:rPr>
  </w:style>
  <w:style w:type="paragraph" w:customStyle="1" w:styleId="30">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3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4">
    <w:name w:val="List Paragraph"/>
    <w:basedOn w:val="1"/>
    <w:qFormat/>
    <w:uiPriority w:val="0"/>
    <w:pPr>
      <w:ind w:firstLine="420" w:firstLineChars="200"/>
    </w:pPr>
    <w:rPr>
      <w:rFonts w:ascii="Calibri" w:hAnsi="Calibri"/>
      <w:szCs w:val="22"/>
    </w:rPr>
  </w:style>
  <w:style w:type="paragraph" w:customStyle="1" w:styleId="35">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样式 样式 样式 左侧:  2 字符1 + 首行缩进:  2 字符1 + 首行缩进:  2 字符"/>
    <w:basedOn w:val="1"/>
    <w:qFormat/>
    <w:uiPriority w:val="0"/>
    <w:pPr>
      <w:adjustRightInd w:val="0"/>
      <w:spacing w:before="60" w:after="120" w:line="440" w:lineRule="atLeast"/>
      <w:ind w:firstLine="480"/>
    </w:pPr>
    <w:rPr>
      <w:sz w:val="24"/>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Table Paragraph"/>
    <w:basedOn w:val="1"/>
    <w:qFormat/>
    <w:uiPriority w:val="1"/>
    <w:rPr>
      <w:rFonts w:ascii="宋体" w:hAnsi="宋体" w:eastAsia="宋体" w:cs="宋体"/>
      <w:lang w:val="zh-CN" w:eastAsia="zh-CN" w:bidi="zh-CN"/>
    </w:rPr>
  </w:style>
  <w:style w:type="character" w:customStyle="1" w:styleId="39">
    <w:name w:val="ant-radio+*"/>
    <w:basedOn w:val="21"/>
    <w:qFormat/>
    <w:uiPriority w:val="0"/>
  </w:style>
  <w:style w:type="character" w:customStyle="1" w:styleId="40">
    <w:name w:val="ant-tree-icon_loading"/>
    <w:basedOn w:val="21"/>
    <w:qFormat/>
    <w:uiPriority w:val="0"/>
    <w:rPr>
      <w:shd w:val="clear" w:fill="FFFFFF"/>
    </w:rPr>
  </w:style>
  <w:style w:type="character" w:customStyle="1" w:styleId="41">
    <w:name w:val="ant-select-tree-iconele"/>
    <w:basedOn w:val="21"/>
    <w:qFormat/>
    <w:uiPriority w:val="0"/>
  </w:style>
  <w:style w:type="character" w:customStyle="1" w:styleId="42">
    <w:name w:val="ant-tree-switcher"/>
    <w:basedOn w:val="21"/>
    <w:qFormat/>
    <w:uiPriority w:val="0"/>
  </w:style>
  <w:style w:type="character" w:customStyle="1" w:styleId="43">
    <w:name w:val="ant-tree-checkbox"/>
    <w:basedOn w:val="21"/>
    <w:qFormat/>
    <w:uiPriority w:val="0"/>
  </w:style>
  <w:style w:type="character" w:customStyle="1" w:styleId="44">
    <w:name w:val="ant-transfer-list-search-action"/>
    <w:basedOn w:val="21"/>
    <w:qFormat/>
    <w:uiPriority w:val="0"/>
  </w:style>
  <w:style w:type="character" w:customStyle="1" w:styleId="45">
    <w:name w:val="ant-tree-iconele"/>
    <w:basedOn w:val="21"/>
    <w:qFormat/>
    <w:uiPriority w:val="0"/>
  </w:style>
  <w:style w:type="character" w:customStyle="1" w:styleId="46">
    <w:name w:val="ant-input16"/>
    <w:basedOn w:val="21"/>
    <w:qFormat/>
    <w:uiPriority w:val="0"/>
  </w:style>
  <w:style w:type="character" w:customStyle="1" w:styleId="47">
    <w:name w:val="ant-input17"/>
    <w:basedOn w:val="21"/>
    <w:qFormat/>
    <w:uiPriority w:val="0"/>
  </w:style>
  <w:style w:type="character" w:customStyle="1" w:styleId="48">
    <w:name w:val="ant-select-tree-switcher"/>
    <w:basedOn w:val="21"/>
    <w:qFormat/>
    <w:uiPriority w:val="0"/>
  </w:style>
  <w:style w:type="character" w:customStyle="1" w:styleId="49">
    <w:name w:val="ant-select-tree-checkbox2"/>
    <w:basedOn w:val="21"/>
    <w:qFormat/>
    <w:uiPriority w:val="0"/>
  </w:style>
  <w:style w:type="character" w:customStyle="1" w:styleId="50">
    <w:name w:val="ant-table-tbody1"/>
    <w:basedOn w:val="21"/>
    <w:qFormat/>
    <w:uiPriority w:val="0"/>
  </w:style>
  <w:style w:type="character" w:customStyle="1" w:styleId="51">
    <w:name w:val="ant-tree-checkbox2"/>
    <w:basedOn w:val="21"/>
    <w:qFormat/>
    <w:uiPriority w:val="0"/>
  </w:style>
  <w:style w:type="character" w:customStyle="1" w:styleId="52">
    <w:name w:val="ant-radio+*1"/>
    <w:basedOn w:val="21"/>
    <w:qFormat/>
    <w:uiPriority w:val="0"/>
  </w:style>
  <w:style w:type="character" w:customStyle="1" w:styleId="53">
    <w:name w:val="font11"/>
    <w:basedOn w:val="21"/>
    <w:uiPriority w:val="0"/>
    <w:rPr>
      <w:rFonts w:hint="eastAsia" w:ascii="宋体" w:hAnsi="宋体" w:eastAsia="宋体" w:cs="宋体"/>
      <w:color w:val="FF0000"/>
      <w:sz w:val="20"/>
      <w:szCs w:val="20"/>
      <w:u w:val="none"/>
    </w:rPr>
  </w:style>
  <w:style w:type="character" w:customStyle="1" w:styleId="54">
    <w:name w:val="font21"/>
    <w:basedOn w:val="2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20526</Words>
  <Characters>22435</Characters>
  <Lines>44</Lines>
  <Paragraphs>48</Paragraphs>
  <TotalTime>27</TotalTime>
  <ScaleCrop>false</ScaleCrop>
  <LinksUpToDate>false</LinksUpToDate>
  <CharactersWithSpaces>24149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2020-12-03T09:04:00Z</dcterms:created>
  <dc:creator>李波</dc:creator>
  <cp:lastModifiedBy>Administrator</cp:lastModifiedBy>
  <dcterms:modified xsi:type="dcterms:W3CDTF">2022-10-12T17:16:07Z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DA4BE149E38F4137AF4487CE4D2A0116</vt:lpwstr>
  </property>
  <property fmtid="{D5CDD505-2E9C-101B-9397-08002B2CF9AE}" pid="4" name="commondata">
    <vt:lpwstr>eyJoZGlkIjoiMzQyOTdhOTI4NDYxMWE0ZmUzMjY3YmIzYjgyY2Q4NjgifQ==</vt:lpwstr>
  </property>
</Properties>
</file>