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305" w:rightChars="127"/>
        <w:rPr>
          <w:b/>
          <w:bCs/>
          <w:sz w:val="52"/>
          <w:szCs w:val="52"/>
        </w:rPr>
      </w:pPr>
    </w:p>
    <w:p>
      <w:pPr>
        <w:tabs>
          <w:tab w:val="left" w:pos="315"/>
          <w:tab w:val="left" w:pos="8820"/>
        </w:tabs>
        <w:spacing w:beforeLines="100" w:afterLines="50" w:line="500" w:lineRule="exact"/>
        <w:ind w:right="305" w:rightChars="127"/>
        <w:jc w:val="center"/>
        <w:rPr>
          <w:b/>
          <w:bCs/>
          <w:sz w:val="52"/>
          <w:szCs w:val="52"/>
        </w:rPr>
      </w:pPr>
    </w:p>
    <w:p>
      <w:pPr>
        <w:tabs>
          <w:tab w:val="left" w:pos="315"/>
          <w:tab w:val="left" w:pos="8820"/>
        </w:tabs>
        <w:spacing w:beforeLines="100" w:afterLines="50" w:line="480" w:lineRule="auto"/>
        <w:ind w:right="305" w:rightChars="127"/>
        <w:jc w:val="center"/>
        <w:rPr>
          <w:b/>
          <w:bCs/>
          <w:sz w:val="52"/>
          <w:szCs w:val="52"/>
        </w:rPr>
      </w:pPr>
      <w:bookmarkStart w:id="0" w:name="_Hlk9544796"/>
    </w:p>
    <w:p>
      <w:pPr>
        <w:tabs>
          <w:tab w:val="left" w:pos="315"/>
          <w:tab w:val="left" w:pos="8820"/>
        </w:tabs>
        <w:spacing w:beforeLines="100" w:afterLines="50" w:line="480" w:lineRule="auto"/>
        <w:ind w:right="305" w:rightChars="127"/>
        <w:jc w:val="center"/>
        <w:rPr>
          <w:b/>
          <w:bCs/>
          <w:sz w:val="52"/>
          <w:szCs w:val="52"/>
        </w:rPr>
      </w:pPr>
      <w:r>
        <w:rPr>
          <w:rFonts w:hint="eastAsia"/>
          <w:b/>
          <w:bCs/>
          <w:sz w:val="52"/>
          <w:szCs w:val="52"/>
        </w:rPr>
        <w:t>政府采购公开招标文件</w:t>
      </w:r>
    </w:p>
    <w:p>
      <w:pPr>
        <w:pStyle w:val="41"/>
        <w:ind w:firstLine="0" w:firstLineChars="0"/>
        <w:jc w:val="center"/>
        <w:rPr>
          <w:sz w:val="20"/>
          <w:szCs w:val="18"/>
        </w:rPr>
      </w:pPr>
      <w:r>
        <w:rPr>
          <w:rFonts w:hint="eastAsia"/>
          <w:sz w:val="48"/>
          <w:szCs w:val="48"/>
        </w:rPr>
        <w:t>（货物类）</w:t>
      </w:r>
    </w:p>
    <w:bookmarkEnd w:id="0"/>
    <w:p>
      <w:pPr>
        <w:tabs>
          <w:tab w:val="left" w:pos="315"/>
          <w:tab w:val="left" w:pos="8820"/>
        </w:tabs>
        <w:spacing w:beforeLines="100" w:afterLines="50" w:line="500" w:lineRule="exact"/>
        <w:ind w:right="305" w:rightChars="127"/>
        <w:rPr>
          <w:b/>
          <w:bCs/>
          <w:sz w:val="44"/>
          <w:szCs w:val="44"/>
        </w:rPr>
      </w:pPr>
    </w:p>
    <w:p>
      <w:pPr>
        <w:tabs>
          <w:tab w:val="left" w:pos="315"/>
          <w:tab w:val="left" w:pos="8820"/>
        </w:tabs>
        <w:spacing w:beforeLines="100" w:afterLines="50" w:line="500" w:lineRule="exact"/>
        <w:ind w:right="305" w:rightChars="127"/>
        <w:jc w:val="center"/>
        <w:rPr>
          <w:b/>
          <w:bCs/>
          <w:sz w:val="36"/>
          <w:szCs w:val="36"/>
        </w:rPr>
      </w:pPr>
    </w:p>
    <w:p>
      <w:pPr>
        <w:tabs>
          <w:tab w:val="left" w:pos="2410"/>
        </w:tabs>
        <w:autoSpaceDE w:val="0"/>
        <w:autoSpaceDN w:val="0"/>
        <w:adjustRightInd w:val="0"/>
        <w:snapToGrid w:val="0"/>
        <w:spacing w:line="480" w:lineRule="auto"/>
        <w:jc w:val="both"/>
        <w:rPr>
          <w:b/>
          <w:spacing w:val="20"/>
          <w:sz w:val="30"/>
          <w:szCs w:val="30"/>
        </w:rPr>
      </w:pPr>
      <w:r>
        <w:rPr>
          <w:rFonts w:hint="eastAsia"/>
          <w:b/>
          <w:spacing w:val="20"/>
          <w:sz w:val="30"/>
          <w:szCs w:val="30"/>
        </w:rPr>
        <w:t>项目名称：新疆大学学生餐饮管理服务中心2022-2023</w:t>
      </w:r>
    </w:p>
    <w:p>
      <w:pPr>
        <w:tabs>
          <w:tab w:val="left" w:pos="2410"/>
        </w:tabs>
        <w:autoSpaceDE w:val="0"/>
        <w:autoSpaceDN w:val="0"/>
        <w:adjustRightInd w:val="0"/>
        <w:snapToGrid w:val="0"/>
        <w:spacing w:line="480" w:lineRule="auto"/>
        <w:ind w:firstLine="682" w:firstLineChars="200"/>
        <w:jc w:val="both"/>
        <w:rPr>
          <w:rFonts w:hint="eastAsia" w:eastAsia="宋体"/>
          <w:b/>
          <w:spacing w:val="20"/>
          <w:sz w:val="30"/>
          <w:szCs w:val="30"/>
          <w:lang w:eastAsia="zh-CN"/>
        </w:rPr>
      </w:pPr>
      <w:r>
        <w:rPr>
          <w:rFonts w:hint="eastAsia"/>
          <w:b/>
          <w:spacing w:val="20"/>
          <w:sz w:val="30"/>
          <w:szCs w:val="30"/>
        </w:rPr>
        <w:t>学年大宗物资招标采购项目(包2</w:t>
      </w:r>
      <w:r>
        <w:rPr>
          <w:rFonts w:hint="eastAsia"/>
          <w:b/>
          <w:spacing w:val="20"/>
          <w:sz w:val="30"/>
          <w:szCs w:val="30"/>
          <w:lang w:eastAsia="zh-CN"/>
        </w:rPr>
        <w:t>面粉</w:t>
      </w:r>
      <w:r>
        <w:rPr>
          <w:rFonts w:hint="eastAsia"/>
          <w:b/>
          <w:spacing w:val="20"/>
          <w:sz w:val="30"/>
          <w:szCs w:val="30"/>
        </w:rPr>
        <w:t>)</w:t>
      </w:r>
      <w:r>
        <w:rPr>
          <w:rFonts w:hint="eastAsia"/>
          <w:b/>
          <w:spacing w:val="20"/>
          <w:sz w:val="30"/>
          <w:szCs w:val="30"/>
          <w:lang w:eastAsia="zh-CN"/>
        </w:rPr>
        <w:t>（二次）</w:t>
      </w:r>
    </w:p>
    <w:p>
      <w:pPr>
        <w:tabs>
          <w:tab w:val="left" w:pos="2410"/>
        </w:tabs>
        <w:autoSpaceDE w:val="0"/>
        <w:autoSpaceDN w:val="0"/>
        <w:adjustRightInd w:val="0"/>
        <w:snapToGrid w:val="0"/>
        <w:spacing w:line="480" w:lineRule="auto"/>
        <w:rPr>
          <w:rFonts w:hint="eastAsia"/>
          <w:b/>
          <w:spacing w:val="20"/>
          <w:sz w:val="30"/>
          <w:szCs w:val="30"/>
          <w:lang w:val="en-US" w:eastAsia="zh-CN"/>
        </w:rPr>
      </w:pPr>
      <w:r>
        <w:rPr>
          <w:rFonts w:hint="eastAsia"/>
          <w:b/>
          <w:spacing w:val="20"/>
          <w:sz w:val="30"/>
          <w:szCs w:val="30"/>
        </w:rPr>
        <w:t>项目编号</w:t>
      </w:r>
      <w:r>
        <w:rPr>
          <w:rFonts w:hint="eastAsia"/>
          <w:b/>
          <w:spacing w:val="20"/>
          <w:sz w:val="30"/>
          <w:szCs w:val="30"/>
          <w:lang w:eastAsia="zh-CN"/>
        </w:rPr>
        <w:t>：</w:t>
      </w:r>
      <w:r>
        <w:rPr>
          <w:rFonts w:hint="eastAsia"/>
          <w:b/>
          <w:spacing w:val="20"/>
          <w:sz w:val="30"/>
          <w:szCs w:val="30"/>
        </w:rPr>
        <w:t>XJTY2022-GK-0023-</w:t>
      </w:r>
      <w:r>
        <w:rPr>
          <w:rFonts w:hint="eastAsia"/>
          <w:b/>
          <w:spacing w:val="20"/>
          <w:sz w:val="30"/>
          <w:szCs w:val="30"/>
          <w:lang w:val="en-US" w:eastAsia="zh-CN"/>
        </w:rPr>
        <w:t>02-1</w:t>
      </w:r>
      <w:r>
        <w:rPr>
          <w:rFonts w:hint="eastAsia"/>
          <w:b/>
          <w:spacing w:val="20"/>
          <w:sz w:val="30"/>
          <w:szCs w:val="30"/>
          <w:lang w:eastAsia="zh-CN"/>
        </w:rPr>
        <w:t>（</w:t>
      </w:r>
      <w:r>
        <w:rPr>
          <w:rFonts w:hint="eastAsia"/>
          <w:b/>
          <w:spacing w:val="20"/>
          <w:sz w:val="30"/>
          <w:szCs w:val="30"/>
          <w:lang w:val="en-US" w:eastAsia="zh-CN"/>
        </w:rPr>
        <w:t>包2</w:t>
      </w:r>
      <w:r>
        <w:rPr>
          <w:rFonts w:hint="eastAsia"/>
          <w:b/>
          <w:spacing w:val="20"/>
          <w:sz w:val="30"/>
          <w:szCs w:val="30"/>
          <w:lang w:eastAsia="zh-CN"/>
        </w:rPr>
        <w:t>）</w:t>
      </w:r>
    </w:p>
    <w:p>
      <w:pPr>
        <w:tabs>
          <w:tab w:val="left" w:pos="2410"/>
        </w:tabs>
        <w:autoSpaceDE w:val="0"/>
        <w:autoSpaceDN w:val="0"/>
        <w:adjustRightInd w:val="0"/>
        <w:snapToGrid w:val="0"/>
        <w:spacing w:line="480" w:lineRule="auto"/>
        <w:jc w:val="both"/>
        <w:rPr>
          <w:b/>
          <w:sz w:val="30"/>
          <w:szCs w:val="30"/>
        </w:rPr>
      </w:pPr>
      <w:r>
        <w:rPr>
          <w:rFonts w:hint="eastAsia"/>
          <w:b/>
          <w:sz w:val="30"/>
          <w:szCs w:val="30"/>
        </w:rPr>
        <w:t>代理机构：新疆拓源工程管理咨询有限公司</w:t>
      </w:r>
    </w:p>
    <w:p>
      <w:pPr>
        <w:tabs>
          <w:tab w:val="left" w:pos="2410"/>
        </w:tabs>
        <w:autoSpaceDE w:val="0"/>
        <w:autoSpaceDN w:val="0"/>
        <w:adjustRightInd w:val="0"/>
        <w:snapToGrid w:val="0"/>
        <w:spacing w:line="480" w:lineRule="auto"/>
        <w:jc w:val="both"/>
        <w:rPr>
          <w:b/>
          <w:sz w:val="30"/>
          <w:szCs w:val="30"/>
        </w:rPr>
      </w:pPr>
      <w:r>
        <w:rPr>
          <w:rFonts w:hint="eastAsia"/>
          <w:b/>
          <w:sz w:val="30"/>
          <w:szCs w:val="30"/>
        </w:rPr>
        <w:t>联 系 人：谷静雯 13699353096  13565862462</w:t>
      </w:r>
    </w:p>
    <w:p>
      <w:pPr>
        <w:tabs>
          <w:tab w:val="left" w:pos="2410"/>
        </w:tabs>
        <w:autoSpaceDE w:val="0"/>
        <w:autoSpaceDN w:val="0"/>
        <w:adjustRightInd w:val="0"/>
        <w:snapToGrid w:val="0"/>
        <w:spacing w:line="480" w:lineRule="auto"/>
        <w:jc w:val="both"/>
        <w:rPr>
          <w:b/>
          <w:spacing w:val="20"/>
          <w:sz w:val="32"/>
          <w:szCs w:val="32"/>
        </w:rPr>
      </w:pPr>
      <w:r>
        <w:rPr>
          <w:rFonts w:hint="eastAsia"/>
          <w:b/>
          <w:sz w:val="30"/>
          <w:szCs w:val="30"/>
        </w:rPr>
        <w:t>日</w:t>
      </w:r>
      <w:r>
        <w:rPr>
          <w:rFonts w:hint="eastAsia"/>
          <w:b/>
          <w:sz w:val="30"/>
          <w:szCs w:val="30"/>
          <w:lang w:val="en-US" w:eastAsia="zh-CN"/>
        </w:rPr>
        <w:t xml:space="preserve">    </w:t>
      </w:r>
      <w:r>
        <w:rPr>
          <w:rFonts w:hint="eastAsia"/>
          <w:b/>
          <w:sz w:val="30"/>
          <w:szCs w:val="30"/>
        </w:rPr>
        <w:t>期：二○二二年</w:t>
      </w:r>
      <w:r>
        <w:rPr>
          <w:rFonts w:hint="eastAsia"/>
          <w:b/>
          <w:sz w:val="30"/>
          <w:szCs w:val="30"/>
          <w:lang w:val="en-US" w:eastAsia="zh-CN"/>
        </w:rPr>
        <w:t>十</w:t>
      </w:r>
      <w:r>
        <w:rPr>
          <w:rFonts w:hint="eastAsia"/>
          <w:b/>
          <w:sz w:val="30"/>
          <w:szCs w:val="30"/>
        </w:rPr>
        <w:t>月</w:t>
      </w:r>
      <w:r>
        <w:rPr>
          <w:rFonts w:hint="eastAsia"/>
          <w:b/>
          <w:sz w:val="32"/>
          <w:szCs w:val="32"/>
        </w:rPr>
        <w:br w:type="page"/>
      </w:r>
    </w:p>
    <w:p/>
    <w:p>
      <w:pPr>
        <w:pStyle w:val="2"/>
      </w:pPr>
    </w:p>
    <w:p>
      <w:pPr>
        <w:tabs>
          <w:tab w:val="left" w:pos="2410"/>
        </w:tabs>
        <w:autoSpaceDE w:val="0"/>
        <w:autoSpaceDN w:val="0"/>
        <w:adjustRightInd w:val="0"/>
        <w:snapToGrid w:val="0"/>
        <w:spacing w:line="360" w:lineRule="auto"/>
        <w:jc w:val="center"/>
        <w:rPr>
          <w:b/>
          <w:sz w:val="28"/>
        </w:rPr>
      </w:pPr>
      <w:r>
        <w:rPr>
          <w:rFonts w:hint="eastAsia"/>
          <w:b/>
          <w:sz w:val="28"/>
        </w:rPr>
        <w:t>目  录</w:t>
      </w:r>
    </w:p>
    <w:p>
      <w:pPr>
        <w:pStyle w:val="21"/>
        <w:tabs>
          <w:tab w:val="right" w:leader="dot" w:pos="8296"/>
        </w:tabs>
        <w:rPr>
          <w:rFonts w:eastAsiaTheme="minorEastAsia" w:cstheme="minorBidi"/>
          <w:b w:val="0"/>
          <w:bCs w:val="0"/>
          <w:i/>
          <w:iCs/>
          <w:kern w:val="2"/>
          <w:sz w:val="21"/>
        </w:rPr>
      </w:pPr>
      <w:r>
        <w:rPr>
          <w:rFonts w:hint="eastAsia" w:ascii="宋体" w:hAnsi="宋体" w:cs="宋体"/>
          <w:sz w:val="24"/>
          <w:szCs w:val="24"/>
        </w:rPr>
        <w:fldChar w:fldCharType="begin"/>
      </w:r>
      <w:r>
        <w:rPr>
          <w:rFonts w:hint="eastAsia" w:ascii="宋体" w:hAnsi="宋体" w:cs="宋体"/>
          <w:sz w:val="24"/>
          <w:szCs w:val="24"/>
        </w:rPr>
        <w:instrText xml:space="preserve"> TOC \o "1-2" \h \z \u </w:instrText>
      </w:r>
      <w:r>
        <w:rPr>
          <w:rFonts w:hint="eastAsia" w:ascii="宋体" w:hAnsi="宋体" w:cs="宋体"/>
          <w:sz w:val="24"/>
          <w:szCs w:val="24"/>
        </w:rPr>
        <w:fldChar w:fldCharType="separate"/>
      </w:r>
      <w:r>
        <w:fldChar w:fldCharType="begin"/>
      </w:r>
      <w:r>
        <w:instrText xml:space="preserve"> HYPERLINK \l "_Toc92733667" </w:instrText>
      </w:r>
      <w:r>
        <w:fldChar w:fldCharType="separate"/>
      </w:r>
      <w:r>
        <w:rPr>
          <w:rStyle w:val="38"/>
        </w:rPr>
        <w:t>第一章  招标公告</w:t>
      </w:r>
      <w:r>
        <w:tab/>
      </w:r>
      <w:r>
        <w:rPr>
          <w:rFonts w:hint="eastAsia"/>
        </w:rPr>
        <w:t>1</w:t>
      </w:r>
      <w:r>
        <w:rPr>
          <w:rFonts w:hint="eastAsia"/>
        </w:rPr>
        <w:fldChar w:fldCharType="end"/>
      </w:r>
    </w:p>
    <w:p>
      <w:pPr>
        <w:pStyle w:val="21"/>
        <w:tabs>
          <w:tab w:val="right" w:leader="dot" w:pos="8296"/>
        </w:tabs>
        <w:rPr>
          <w:rFonts w:eastAsiaTheme="minorEastAsia" w:cstheme="minorBidi"/>
          <w:b w:val="0"/>
          <w:bCs w:val="0"/>
          <w:i/>
          <w:iCs/>
          <w:kern w:val="2"/>
          <w:sz w:val="21"/>
        </w:rPr>
      </w:pPr>
      <w:r>
        <w:fldChar w:fldCharType="begin"/>
      </w:r>
      <w:r>
        <w:instrText xml:space="preserve"> HYPERLINK \l "_Toc92733674" </w:instrText>
      </w:r>
      <w:r>
        <w:fldChar w:fldCharType="separate"/>
      </w:r>
      <w:r>
        <w:rPr>
          <w:rStyle w:val="38"/>
        </w:rPr>
        <w:t xml:space="preserve">第二章  </w:t>
      </w:r>
      <w:r>
        <w:rPr>
          <w:rStyle w:val="38"/>
          <w:rFonts w:hint="eastAsia"/>
        </w:rPr>
        <w:t>供应商</w:t>
      </w:r>
      <w:r>
        <w:rPr>
          <w:rStyle w:val="38"/>
        </w:rPr>
        <w:t>须知</w:t>
      </w:r>
      <w:r>
        <w:tab/>
      </w:r>
      <w:r>
        <w:rPr>
          <w:rFonts w:hint="eastAsia"/>
        </w:rPr>
        <w:t>4</w:t>
      </w:r>
      <w:r>
        <w:rPr>
          <w:rFonts w:hint="eastAsia"/>
        </w:rPr>
        <w:fldChar w:fldCharType="end"/>
      </w:r>
    </w:p>
    <w:p>
      <w:pPr>
        <w:pStyle w:val="21"/>
        <w:tabs>
          <w:tab w:val="right" w:leader="dot" w:pos="8296"/>
        </w:tabs>
        <w:rPr>
          <w:rFonts w:eastAsiaTheme="minorEastAsia" w:cstheme="minorBidi"/>
          <w:b w:val="0"/>
          <w:bCs w:val="0"/>
          <w:i/>
          <w:iCs/>
          <w:kern w:val="2"/>
          <w:sz w:val="21"/>
        </w:rPr>
      </w:pPr>
      <w:r>
        <w:fldChar w:fldCharType="begin"/>
      </w:r>
      <w:r>
        <w:instrText xml:space="preserve"> HYPERLINK \l "_Toc92733675" </w:instrText>
      </w:r>
      <w:r>
        <w:fldChar w:fldCharType="separate"/>
      </w:r>
      <w:r>
        <w:rPr>
          <w:rStyle w:val="38"/>
        </w:rPr>
        <w:t>第三章  评标方法和标准（综合评分法）</w:t>
      </w:r>
      <w:r>
        <w:tab/>
      </w:r>
      <w:r>
        <w:fldChar w:fldCharType="begin"/>
      </w:r>
      <w:r>
        <w:instrText xml:space="preserve"> PAGEREF _Toc92733675 \h </w:instrText>
      </w:r>
      <w:r>
        <w:fldChar w:fldCharType="separate"/>
      </w:r>
      <w:r>
        <w:t>35</w:t>
      </w:r>
      <w:r>
        <w:fldChar w:fldCharType="end"/>
      </w:r>
      <w:r>
        <w:fldChar w:fldCharType="end"/>
      </w:r>
    </w:p>
    <w:p>
      <w:pPr>
        <w:pStyle w:val="21"/>
        <w:tabs>
          <w:tab w:val="right" w:leader="dot" w:pos="8296"/>
        </w:tabs>
        <w:rPr>
          <w:rFonts w:eastAsiaTheme="minorEastAsia" w:cstheme="minorBidi"/>
          <w:b w:val="0"/>
          <w:bCs w:val="0"/>
          <w:i/>
          <w:iCs/>
          <w:kern w:val="2"/>
          <w:sz w:val="21"/>
        </w:rPr>
      </w:pPr>
      <w:r>
        <w:fldChar w:fldCharType="begin"/>
      </w:r>
      <w:r>
        <w:instrText xml:space="preserve"> HYPERLINK \l "_Toc92733676" </w:instrText>
      </w:r>
      <w:r>
        <w:fldChar w:fldCharType="separate"/>
      </w:r>
      <w:r>
        <w:rPr>
          <w:rStyle w:val="38"/>
        </w:rPr>
        <w:t>第四章  采购需求书</w:t>
      </w:r>
      <w:r>
        <w:tab/>
      </w:r>
      <w:r>
        <w:fldChar w:fldCharType="begin"/>
      </w:r>
      <w:r>
        <w:instrText xml:space="preserve"> PAGEREF _Toc92733676 \h </w:instrText>
      </w:r>
      <w:r>
        <w:fldChar w:fldCharType="separate"/>
      </w:r>
      <w:r>
        <w:t>46</w:t>
      </w:r>
      <w:r>
        <w:fldChar w:fldCharType="end"/>
      </w:r>
      <w:r>
        <w:fldChar w:fldCharType="end"/>
      </w:r>
    </w:p>
    <w:p>
      <w:pPr>
        <w:pStyle w:val="24"/>
        <w:tabs>
          <w:tab w:val="right" w:leader="dot" w:pos="8296"/>
        </w:tabs>
        <w:rPr>
          <w:rFonts w:eastAsiaTheme="minorEastAsia" w:cstheme="minorBidi"/>
          <w:i w:val="0"/>
          <w:iCs w:val="0"/>
          <w:kern w:val="2"/>
          <w:sz w:val="21"/>
          <w:szCs w:val="24"/>
        </w:rPr>
      </w:pPr>
      <w:r>
        <w:fldChar w:fldCharType="begin"/>
      </w:r>
      <w:r>
        <w:instrText xml:space="preserve"> HYPERLINK \l "_Toc92733677" </w:instrText>
      </w:r>
      <w:r>
        <w:fldChar w:fldCharType="separate"/>
      </w:r>
      <w:r>
        <w:rPr>
          <w:rStyle w:val="38"/>
          <w:b/>
          <w:bCs/>
        </w:rPr>
        <w:t>一、货物需求清单</w:t>
      </w:r>
      <w:r>
        <w:tab/>
      </w:r>
      <w:r>
        <w:fldChar w:fldCharType="begin"/>
      </w:r>
      <w:r>
        <w:instrText xml:space="preserve"> PAGEREF _Toc92733677 \h </w:instrText>
      </w:r>
      <w:r>
        <w:fldChar w:fldCharType="separate"/>
      </w:r>
      <w:r>
        <w:t>49</w:t>
      </w:r>
      <w:r>
        <w:fldChar w:fldCharType="end"/>
      </w:r>
      <w:r>
        <w:fldChar w:fldCharType="end"/>
      </w:r>
    </w:p>
    <w:p>
      <w:pPr>
        <w:pStyle w:val="24"/>
        <w:tabs>
          <w:tab w:val="right" w:leader="dot" w:pos="8296"/>
        </w:tabs>
        <w:rPr>
          <w:rFonts w:eastAsiaTheme="minorEastAsia" w:cstheme="minorBidi"/>
          <w:i w:val="0"/>
          <w:iCs w:val="0"/>
          <w:kern w:val="2"/>
          <w:sz w:val="21"/>
          <w:szCs w:val="24"/>
        </w:rPr>
      </w:pPr>
      <w:r>
        <w:fldChar w:fldCharType="begin"/>
      </w:r>
      <w:r>
        <w:instrText xml:space="preserve"> HYPERLINK \l "_Toc92733683" </w:instrText>
      </w:r>
      <w:r>
        <w:fldChar w:fldCharType="separate"/>
      </w:r>
      <w:r>
        <w:rPr>
          <w:rStyle w:val="38"/>
          <w:b/>
          <w:bCs/>
        </w:rPr>
        <w:t>二、技术要求</w:t>
      </w:r>
      <w:r>
        <w:tab/>
      </w:r>
      <w:r>
        <w:fldChar w:fldCharType="begin"/>
      </w:r>
      <w:r>
        <w:instrText xml:space="preserve"> PAGEREF _Toc92733683 \h </w:instrText>
      </w:r>
      <w:r>
        <w:fldChar w:fldCharType="separate"/>
      </w:r>
      <w:r>
        <w:t>49</w:t>
      </w:r>
      <w:r>
        <w:fldChar w:fldCharType="end"/>
      </w:r>
      <w:r>
        <w:fldChar w:fldCharType="end"/>
      </w:r>
    </w:p>
    <w:p>
      <w:pPr>
        <w:pStyle w:val="21"/>
        <w:tabs>
          <w:tab w:val="right" w:leader="dot" w:pos="8296"/>
        </w:tabs>
        <w:rPr>
          <w:rFonts w:eastAsiaTheme="minorEastAsia" w:cstheme="minorBidi"/>
          <w:b w:val="0"/>
          <w:bCs w:val="0"/>
          <w:i/>
          <w:iCs/>
          <w:kern w:val="2"/>
          <w:sz w:val="21"/>
        </w:rPr>
      </w:pPr>
      <w:r>
        <w:fldChar w:fldCharType="begin"/>
      </w:r>
      <w:r>
        <w:instrText xml:space="preserve"> HYPERLINK \l "_Toc92733685" </w:instrText>
      </w:r>
      <w:r>
        <w:fldChar w:fldCharType="separate"/>
      </w:r>
      <w:r>
        <w:rPr>
          <w:rStyle w:val="38"/>
        </w:rPr>
        <w:t>第五章  政府采购合同</w:t>
      </w:r>
      <w:r>
        <w:tab/>
      </w:r>
      <w:r>
        <w:fldChar w:fldCharType="begin"/>
      </w:r>
      <w:r>
        <w:instrText xml:space="preserve"> PAGEREF _Toc92733685 \h </w:instrText>
      </w:r>
      <w:r>
        <w:fldChar w:fldCharType="separate"/>
      </w:r>
      <w:r>
        <w:t>53</w:t>
      </w:r>
      <w:r>
        <w:fldChar w:fldCharType="end"/>
      </w:r>
      <w:r>
        <w:fldChar w:fldCharType="end"/>
      </w:r>
    </w:p>
    <w:p>
      <w:pPr>
        <w:pStyle w:val="21"/>
        <w:tabs>
          <w:tab w:val="right" w:leader="dot" w:pos="8296"/>
        </w:tabs>
        <w:rPr>
          <w:rFonts w:eastAsiaTheme="minorEastAsia" w:cstheme="minorBidi"/>
          <w:b w:val="0"/>
          <w:bCs w:val="0"/>
          <w:i/>
          <w:iCs/>
          <w:kern w:val="2"/>
          <w:sz w:val="21"/>
        </w:rPr>
      </w:pPr>
      <w:r>
        <w:fldChar w:fldCharType="begin"/>
      </w:r>
      <w:r>
        <w:instrText xml:space="preserve"> HYPERLINK \l "_Toc92733686" </w:instrText>
      </w:r>
      <w:r>
        <w:fldChar w:fldCharType="separate"/>
      </w:r>
      <w:r>
        <w:rPr>
          <w:rStyle w:val="38"/>
        </w:rPr>
        <w:t xml:space="preserve">第六章 </w:t>
      </w:r>
      <w:r>
        <w:rPr>
          <w:rStyle w:val="38"/>
          <w:rFonts w:hint="eastAsia"/>
        </w:rPr>
        <w:t>响应文件</w:t>
      </w:r>
      <w:r>
        <w:rPr>
          <w:rStyle w:val="38"/>
        </w:rPr>
        <w:t>格式</w:t>
      </w:r>
      <w:r>
        <w:tab/>
      </w:r>
      <w:r>
        <w:fldChar w:fldCharType="begin"/>
      </w:r>
      <w:r>
        <w:instrText xml:space="preserve"> PAGEREF _Toc92733686 \h </w:instrText>
      </w:r>
      <w:r>
        <w:fldChar w:fldCharType="separate"/>
      </w:r>
      <w:r>
        <w:t>62</w:t>
      </w:r>
      <w:r>
        <w:fldChar w:fldCharType="end"/>
      </w:r>
      <w:r>
        <w:fldChar w:fldCharType="end"/>
      </w:r>
    </w:p>
    <w:p>
      <w:pPr>
        <w:spacing w:line="360" w:lineRule="auto"/>
        <w:rPr>
          <w:b/>
          <w:sz w:val="32"/>
        </w:rPr>
      </w:pPr>
      <w:r>
        <w:rPr>
          <w:rFonts w:hint="eastAsia"/>
        </w:rPr>
        <w:fldChar w:fldCharType="end"/>
      </w:r>
    </w:p>
    <w:p>
      <w:pPr>
        <w:spacing w:line="360" w:lineRule="auto"/>
        <w:jc w:val="center"/>
        <w:rPr>
          <w:b/>
          <w:sz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val="0"/>
        <w:spacing w:line="360" w:lineRule="auto"/>
        <w:jc w:val="center"/>
        <w:rPr>
          <w:b/>
          <w:bCs/>
        </w:rPr>
      </w:pPr>
      <w:bookmarkStart w:id="1" w:name="_Toc3771"/>
      <w:bookmarkStart w:id="2" w:name="_Toc92733674"/>
      <w:r>
        <w:rPr>
          <w:rFonts w:hint="eastAsia"/>
          <w:b/>
          <w:bCs/>
        </w:rPr>
        <w:t>第一章  招标公告</w:t>
      </w:r>
      <w:bookmarkEnd w:id="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tcPr>
          <w:p>
            <w:pPr>
              <w:widowControl w:val="0"/>
              <w:spacing w:line="360" w:lineRule="auto"/>
              <w:rPr>
                <w:b/>
                <w:bCs/>
              </w:rPr>
            </w:pPr>
            <w:r>
              <w:rPr>
                <w:rFonts w:hint="eastAsia"/>
                <w:b/>
                <w:bCs/>
              </w:rPr>
              <w:t>项目概况</w:t>
            </w:r>
          </w:p>
          <w:p>
            <w:pPr>
              <w:widowControl w:val="0"/>
              <w:spacing w:line="360" w:lineRule="auto"/>
            </w:pPr>
            <w:r>
              <w:rPr>
                <w:rFonts w:hint="eastAsia"/>
              </w:rPr>
              <w:t>新疆大学学生餐饮管理服务中心2022-2023学年大宗物资招标采购项目(包</w:t>
            </w:r>
            <w:r>
              <w:rPr>
                <w:rFonts w:hint="eastAsia"/>
                <w:lang w:val="en-US" w:eastAsia="zh-CN"/>
              </w:rPr>
              <w:t>2</w:t>
            </w:r>
            <w:r>
              <w:rPr>
                <w:rFonts w:hint="eastAsia"/>
                <w:lang w:eastAsia="zh-CN"/>
              </w:rPr>
              <w:t>面粉</w:t>
            </w:r>
            <w:r>
              <w:rPr>
                <w:rFonts w:hint="eastAsia"/>
              </w:rPr>
              <w:t>)</w:t>
            </w:r>
            <w:r>
              <w:rPr>
                <w:rFonts w:hint="eastAsia"/>
                <w:lang w:eastAsia="zh-CN"/>
              </w:rPr>
              <w:t>（二次）</w:t>
            </w:r>
            <w:r>
              <w:rPr>
                <w:rFonts w:hint="eastAsia"/>
              </w:rPr>
              <w:t>的潜在供应商应在新疆拓源工程管理咨询有限公司获取招标文件，并于</w:t>
            </w:r>
            <w:r>
              <w:rPr>
                <w:rFonts w:hint="eastAsia"/>
                <w:highlight w:val="none"/>
              </w:rPr>
              <w:t>2022年</w:t>
            </w:r>
            <w:r>
              <w:rPr>
                <w:rFonts w:hint="eastAsia"/>
                <w:highlight w:val="none"/>
                <w:lang w:val="en-US" w:eastAsia="zh-CN"/>
              </w:rPr>
              <w:t xml:space="preserve"> 10 </w:t>
            </w:r>
            <w:r>
              <w:rPr>
                <w:rFonts w:hint="eastAsia"/>
                <w:highlight w:val="none"/>
              </w:rPr>
              <w:t>月</w:t>
            </w:r>
            <w:r>
              <w:rPr>
                <w:rFonts w:hint="eastAsia"/>
                <w:highlight w:val="none"/>
                <w:lang w:val="en-US" w:eastAsia="zh-CN"/>
              </w:rPr>
              <w:t xml:space="preserve">  25 </w:t>
            </w:r>
            <w:r>
              <w:rPr>
                <w:rFonts w:hint="eastAsia"/>
                <w:highlight w:val="none"/>
              </w:rPr>
              <w:t>日11点00分</w:t>
            </w:r>
            <w:r>
              <w:rPr>
                <w:rFonts w:hint="eastAsia"/>
              </w:rPr>
              <w:t>（北京时间）前递交响应文件。</w:t>
            </w:r>
          </w:p>
        </w:tc>
      </w:tr>
    </w:tbl>
    <w:p>
      <w:pPr>
        <w:widowControl w:val="0"/>
        <w:spacing w:line="360" w:lineRule="auto"/>
        <w:rPr>
          <w:b/>
          <w:bCs/>
        </w:rPr>
      </w:pPr>
      <w:bookmarkStart w:id="3" w:name="_Toc15790"/>
      <w:r>
        <w:rPr>
          <w:rFonts w:hint="eastAsia"/>
          <w:b/>
          <w:bCs/>
        </w:rPr>
        <w:t>一、项目基本情况</w:t>
      </w:r>
      <w:bookmarkEnd w:id="3"/>
    </w:p>
    <w:p>
      <w:pPr>
        <w:widowControl w:val="0"/>
        <w:spacing w:line="360" w:lineRule="auto"/>
        <w:rPr>
          <w:rFonts w:hint="default" w:eastAsia="宋体"/>
          <w:lang w:val="en-US" w:eastAsia="zh-CN"/>
        </w:rPr>
      </w:pPr>
      <w:r>
        <w:rPr>
          <w:rFonts w:hint="eastAsia"/>
        </w:rPr>
        <w:t>项目编号： XJTY2022-GK-0023-02</w:t>
      </w:r>
      <w:r>
        <w:rPr>
          <w:rFonts w:hint="eastAsia"/>
          <w:lang w:val="en-US" w:eastAsia="zh-CN"/>
        </w:rPr>
        <w:t>-1</w:t>
      </w:r>
    </w:p>
    <w:p>
      <w:pPr>
        <w:widowControl w:val="0"/>
        <w:spacing w:line="360" w:lineRule="auto"/>
        <w:rPr>
          <w:rFonts w:hint="eastAsia"/>
        </w:rPr>
      </w:pPr>
      <w:r>
        <w:rPr>
          <w:rFonts w:hint="eastAsia"/>
        </w:rPr>
        <w:t>项目名称：新疆大学学生餐饮管理服务中心2022-2023学年大宗物资招标采购</w:t>
      </w:r>
    </w:p>
    <w:p>
      <w:pPr>
        <w:widowControl w:val="0"/>
        <w:spacing w:line="360" w:lineRule="auto"/>
        <w:ind w:firstLine="1200" w:firstLineChars="500"/>
        <w:rPr>
          <w:rFonts w:hint="eastAsia" w:eastAsia="宋体"/>
          <w:lang w:eastAsia="zh-CN"/>
        </w:rPr>
      </w:pPr>
      <w:r>
        <w:rPr>
          <w:rFonts w:hint="eastAsia"/>
        </w:rPr>
        <w:t>项目(包2</w:t>
      </w:r>
      <w:r>
        <w:rPr>
          <w:rFonts w:hint="eastAsia"/>
          <w:lang w:eastAsia="zh-CN"/>
        </w:rPr>
        <w:t>面粉</w:t>
      </w:r>
      <w:r>
        <w:rPr>
          <w:rFonts w:hint="eastAsia"/>
        </w:rPr>
        <w:t>)</w:t>
      </w:r>
      <w:r>
        <w:rPr>
          <w:rFonts w:hint="eastAsia"/>
          <w:lang w:eastAsia="zh-CN"/>
        </w:rPr>
        <w:t>（二次）</w:t>
      </w:r>
    </w:p>
    <w:p>
      <w:pPr>
        <w:widowControl w:val="0"/>
        <w:spacing w:line="360" w:lineRule="auto"/>
        <w:jc w:val="both"/>
      </w:pPr>
      <w:r>
        <w:rPr>
          <w:rFonts w:hint="eastAsia"/>
        </w:rPr>
        <w:t>预算金额：（包</w:t>
      </w:r>
      <w:r>
        <w:rPr>
          <w:rFonts w:hint="eastAsia"/>
          <w:lang w:val="en-US" w:eastAsia="zh-CN"/>
        </w:rPr>
        <w:t>2</w:t>
      </w:r>
      <w:r>
        <w:rPr>
          <w:rFonts w:hint="eastAsia"/>
        </w:rPr>
        <w:t>）2045720元</w:t>
      </w:r>
    </w:p>
    <w:p>
      <w:pPr>
        <w:widowControl w:val="0"/>
        <w:spacing w:line="360" w:lineRule="auto"/>
        <w:ind w:left="1200" w:hanging="1200" w:hangingChars="500"/>
      </w:pPr>
      <w:r>
        <w:rPr>
          <w:rFonts w:hint="eastAsia"/>
        </w:rPr>
        <w:t>采购需求：本项目内容的供应、运输、装卸、搬运、验收及售后服务等（详见采购文件第四章采购需求书中采购货物清单及技术参数）</w:t>
      </w:r>
    </w:p>
    <w:tbl>
      <w:tblPr>
        <w:tblStyle w:val="33"/>
        <w:tblpPr w:leftFromText="180" w:rightFromText="180" w:vertAnchor="text" w:horzAnchor="page" w:tblpX="1295" w:tblpY="275"/>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051"/>
        <w:gridCol w:w="799"/>
        <w:gridCol w:w="1032"/>
        <w:gridCol w:w="933"/>
        <w:gridCol w:w="2281"/>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74" w:type="dxa"/>
            <w:noWrap/>
            <w:vAlign w:val="center"/>
          </w:tcPr>
          <w:p>
            <w:pPr>
              <w:widowControl w:val="0"/>
              <w:jc w:val="center"/>
            </w:pPr>
            <w:r>
              <w:rPr>
                <w:rFonts w:hint="eastAsia"/>
              </w:rPr>
              <w:t>序号</w:t>
            </w:r>
          </w:p>
        </w:tc>
        <w:tc>
          <w:tcPr>
            <w:tcW w:w="2051" w:type="dxa"/>
            <w:noWrap/>
            <w:vAlign w:val="center"/>
          </w:tcPr>
          <w:p>
            <w:pPr>
              <w:widowControl w:val="0"/>
              <w:jc w:val="center"/>
            </w:pPr>
            <w:r>
              <w:rPr>
                <w:rFonts w:hint="eastAsia"/>
              </w:rPr>
              <w:t>内容</w:t>
            </w:r>
          </w:p>
        </w:tc>
        <w:tc>
          <w:tcPr>
            <w:tcW w:w="799" w:type="dxa"/>
            <w:noWrap/>
            <w:vAlign w:val="center"/>
          </w:tcPr>
          <w:p>
            <w:pPr>
              <w:widowControl w:val="0"/>
              <w:jc w:val="center"/>
            </w:pPr>
            <w:r>
              <w:rPr>
                <w:rFonts w:hint="eastAsia"/>
              </w:rPr>
              <w:t>规格</w:t>
            </w:r>
          </w:p>
        </w:tc>
        <w:tc>
          <w:tcPr>
            <w:tcW w:w="1032" w:type="dxa"/>
            <w:noWrap/>
            <w:vAlign w:val="center"/>
          </w:tcPr>
          <w:p>
            <w:pPr>
              <w:widowControl w:val="0"/>
              <w:jc w:val="center"/>
            </w:pPr>
            <w:r>
              <w:rPr>
                <w:rFonts w:hint="eastAsia"/>
              </w:rPr>
              <w:t>交货期</w:t>
            </w:r>
          </w:p>
        </w:tc>
        <w:tc>
          <w:tcPr>
            <w:tcW w:w="933" w:type="dxa"/>
            <w:noWrap/>
            <w:vAlign w:val="center"/>
          </w:tcPr>
          <w:p>
            <w:pPr>
              <w:widowControl w:val="0"/>
              <w:jc w:val="center"/>
            </w:pPr>
            <w:r>
              <w:rPr>
                <w:rFonts w:hint="eastAsia"/>
              </w:rPr>
              <w:t>交货地点</w:t>
            </w:r>
          </w:p>
        </w:tc>
        <w:tc>
          <w:tcPr>
            <w:tcW w:w="2281" w:type="dxa"/>
            <w:noWrap/>
            <w:vAlign w:val="center"/>
          </w:tcPr>
          <w:p>
            <w:pPr>
              <w:widowControl w:val="0"/>
              <w:jc w:val="center"/>
            </w:pPr>
            <w:r>
              <w:rPr>
                <w:rFonts w:hint="eastAsia"/>
              </w:rPr>
              <w:t>拟定供应商数量</w:t>
            </w:r>
          </w:p>
        </w:tc>
        <w:tc>
          <w:tcPr>
            <w:tcW w:w="1448" w:type="dxa"/>
            <w:noWrap/>
            <w:vAlign w:val="center"/>
          </w:tcPr>
          <w:p>
            <w:pPr>
              <w:widowControl w:val="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74" w:type="dxa"/>
            <w:noWrap/>
            <w:vAlign w:val="center"/>
          </w:tcPr>
          <w:p>
            <w:pPr>
              <w:widowControl w:val="0"/>
            </w:pPr>
            <w:r>
              <w:rPr>
                <w:rFonts w:hint="eastAsia"/>
              </w:rPr>
              <w:t>标包2</w:t>
            </w:r>
          </w:p>
        </w:tc>
        <w:tc>
          <w:tcPr>
            <w:tcW w:w="2051" w:type="dxa"/>
            <w:noWrap/>
            <w:vAlign w:val="center"/>
          </w:tcPr>
          <w:p>
            <w:pPr>
              <w:widowControl w:val="0"/>
              <w:jc w:val="center"/>
            </w:pPr>
            <w:r>
              <w:rPr>
                <w:rFonts w:hint="eastAsia"/>
              </w:rPr>
              <w:t>面粉</w:t>
            </w:r>
          </w:p>
        </w:tc>
        <w:tc>
          <w:tcPr>
            <w:tcW w:w="799" w:type="dxa"/>
            <w:noWrap/>
            <w:vAlign w:val="center"/>
          </w:tcPr>
          <w:p>
            <w:pPr>
              <w:widowControl w:val="0"/>
            </w:pPr>
            <w:r>
              <w:rPr>
                <w:rFonts w:hint="eastAsia"/>
              </w:rPr>
              <w:t>详见招标文件</w:t>
            </w:r>
          </w:p>
        </w:tc>
        <w:tc>
          <w:tcPr>
            <w:tcW w:w="1032" w:type="dxa"/>
            <w:noWrap/>
            <w:vAlign w:val="center"/>
          </w:tcPr>
          <w:p>
            <w:pPr>
              <w:widowControl w:val="0"/>
            </w:pPr>
            <w:r>
              <w:rPr>
                <w:rFonts w:hint="eastAsia"/>
              </w:rPr>
              <w:t>自合同签订日起一年</w:t>
            </w:r>
          </w:p>
        </w:tc>
        <w:tc>
          <w:tcPr>
            <w:tcW w:w="933" w:type="dxa"/>
            <w:noWrap/>
            <w:vAlign w:val="center"/>
          </w:tcPr>
          <w:p>
            <w:pPr>
              <w:widowControl w:val="0"/>
            </w:pPr>
            <w:r>
              <w:rPr>
                <w:rFonts w:hint="eastAsia"/>
              </w:rPr>
              <w:t>甲方指定交货地点</w:t>
            </w:r>
          </w:p>
        </w:tc>
        <w:tc>
          <w:tcPr>
            <w:tcW w:w="2281" w:type="dxa"/>
            <w:noWrap/>
            <w:vAlign w:val="center"/>
          </w:tcPr>
          <w:p>
            <w:pPr>
              <w:widowControl w:val="0"/>
            </w:pPr>
            <w:r>
              <w:rPr>
                <w:rFonts w:hint="eastAsia"/>
              </w:rPr>
              <w:t>拟采购1家供应商</w:t>
            </w:r>
          </w:p>
        </w:tc>
        <w:tc>
          <w:tcPr>
            <w:tcW w:w="1448" w:type="dxa"/>
            <w:noWrap/>
            <w:vAlign w:val="center"/>
          </w:tcPr>
          <w:p>
            <w:pPr>
              <w:widowControl w:val="0"/>
            </w:pPr>
          </w:p>
        </w:tc>
      </w:tr>
    </w:tbl>
    <w:p>
      <w:pPr>
        <w:widowControl w:val="0"/>
        <w:spacing w:line="360" w:lineRule="auto"/>
        <w:rPr>
          <w:b/>
          <w:bCs/>
        </w:rPr>
      </w:pPr>
      <w:bookmarkStart w:id="4" w:name="_Toc864"/>
      <w:r>
        <w:rPr>
          <w:rFonts w:hint="eastAsia"/>
          <w:b/>
          <w:bCs/>
        </w:rPr>
        <w:t>二、申请人的资格要求</w:t>
      </w:r>
      <w:bookmarkEnd w:id="4"/>
    </w:p>
    <w:p>
      <w:pPr>
        <w:widowControl w:val="0"/>
        <w:spacing w:line="360" w:lineRule="auto"/>
        <w:ind w:firstLine="482" w:firstLineChars="200"/>
        <w:rPr>
          <w:b/>
          <w:bCs/>
        </w:rPr>
      </w:pPr>
      <w:r>
        <w:rPr>
          <w:rFonts w:hint="eastAsia"/>
          <w:b/>
          <w:bCs/>
        </w:rPr>
        <w:t>1.满足《中华人民共和国政府采购法》第二十二条规定；</w:t>
      </w:r>
    </w:p>
    <w:p>
      <w:pPr>
        <w:widowControl w:val="0"/>
        <w:spacing w:line="360" w:lineRule="auto"/>
        <w:ind w:firstLine="482" w:firstLineChars="200"/>
        <w:rPr>
          <w:b/>
          <w:bCs/>
          <w:highlight w:val="none"/>
        </w:rPr>
      </w:pPr>
      <w:r>
        <w:rPr>
          <w:rFonts w:hint="eastAsia"/>
          <w:b/>
          <w:bCs/>
          <w:highlight w:val="none"/>
        </w:rPr>
        <w:t>2.落实政府采购政策需满足的资格要求：</w:t>
      </w:r>
    </w:p>
    <w:p>
      <w:pPr>
        <w:widowControl w:val="0"/>
        <w:spacing w:line="360" w:lineRule="auto"/>
        <w:ind w:firstLine="480" w:firstLineChars="200"/>
        <w:rPr>
          <w:rFonts w:hint="eastAsia"/>
          <w:lang w:eastAsia="zh-CN"/>
        </w:rPr>
      </w:pPr>
      <w:r>
        <w:rPr>
          <w:rFonts w:hint="eastAsia"/>
          <w:highlight w:val="none"/>
        </w:rPr>
        <w:t>《关于进一步加大政府采购支持中小企业力度的通知》（财库[2022]19号）文件、《政府</w:t>
      </w:r>
      <w:r>
        <w:rPr>
          <w:rFonts w:hint="eastAsia"/>
        </w:rPr>
        <w:t>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发展改革委生态环境部市场监管总局关于调整优化节能产品、环境标志产品政府采购执行机制的通知》（财库〔2019〕9号）。关于运用政府采购政策支持脱贫攻坚的通知</w:t>
      </w:r>
      <w:r>
        <w:rPr>
          <w:rFonts w:hint="eastAsia"/>
          <w:lang w:eastAsia="zh-CN"/>
        </w:rPr>
        <w:t>《</w:t>
      </w:r>
      <w:r>
        <w:rPr>
          <w:rFonts w:hint="eastAsia"/>
        </w:rPr>
        <w:t>财库〔2019〕27号</w:t>
      </w:r>
      <w:r>
        <w:rPr>
          <w:rFonts w:hint="eastAsia"/>
          <w:lang w:eastAsia="zh-CN"/>
        </w:rPr>
        <w:t>》；</w:t>
      </w:r>
    </w:p>
    <w:p>
      <w:pPr>
        <w:widowControl w:val="0"/>
        <w:numPr>
          <w:ilvl w:val="0"/>
          <w:numId w:val="1"/>
        </w:numPr>
        <w:spacing w:line="360" w:lineRule="auto"/>
        <w:ind w:firstLine="482" w:firstLineChars="200"/>
        <w:rPr>
          <w:rFonts w:hint="default"/>
          <w:lang w:val="en-US"/>
        </w:rPr>
      </w:pPr>
      <w:r>
        <w:rPr>
          <w:rFonts w:hint="eastAsia"/>
          <w:b/>
          <w:bCs/>
          <w:sz w:val="24"/>
          <w:szCs w:val="24"/>
          <w:lang w:val="en-US" w:eastAsia="zh-CN"/>
        </w:rPr>
        <w:t>包2（面粉）面向大型、中型及小微型企业</w:t>
      </w:r>
      <w:r>
        <w:rPr>
          <w:rFonts w:hint="eastAsia" w:ascii="宋体" w:hAnsi="宋体" w:eastAsia="宋体"/>
          <w:b w:val="0"/>
          <w:bCs w:val="0"/>
          <w:sz w:val="24"/>
          <w:szCs w:val="24"/>
          <w:lang w:val="en-US" w:eastAsia="zh-CN"/>
        </w:rPr>
        <w:t>。</w:t>
      </w:r>
    </w:p>
    <w:p>
      <w:pPr>
        <w:widowControl w:val="0"/>
        <w:spacing w:line="360" w:lineRule="auto"/>
        <w:ind w:firstLine="482" w:firstLineChars="200"/>
        <w:rPr>
          <w:b/>
          <w:bCs/>
        </w:rPr>
      </w:pPr>
      <w:r>
        <w:rPr>
          <w:rFonts w:hint="eastAsia"/>
          <w:b/>
          <w:bCs/>
          <w:lang w:val="en-US" w:eastAsia="zh-CN"/>
        </w:rPr>
        <w:t>4.</w:t>
      </w:r>
      <w:r>
        <w:rPr>
          <w:rFonts w:hint="eastAsia"/>
          <w:b/>
          <w:bCs/>
        </w:rPr>
        <w:t>本项目的特定资格要求：</w:t>
      </w:r>
    </w:p>
    <w:p>
      <w:pPr>
        <w:widowControl w:val="0"/>
        <w:numPr>
          <w:ilvl w:val="0"/>
          <w:numId w:val="2"/>
        </w:numPr>
        <w:spacing w:line="360" w:lineRule="auto"/>
        <w:ind w:firstLine="480" w:firstLineChars="200"/>
      </w:pPr>
      <w:bookmarkStart w:id="5" w:name="_Toc14557"/>
      <w:r>
        <w:rPr>
          <w:rFonts w:hint="eastAsia"/>
        </w:rPr>
        <w:t>供应商须具有有效的营业执照；</w:t>
      </w:r>
    </w:p>
    <w:p>
      <w:pPr>
        <w:widowControl w:val="0"/>
        <w:numPr>
          <w:ilvl w:val="0"/>
          <w:numId w:val="2"/>
        </w:numPr>
        <w:spacing w:line="360" w:lineRule="auto"/>
        <w:ind w:firstLine="480" w:firstLineChars="200"/>
      </w:pPr>
      <w:r>
        <w:rPr>
          <w:rFonts w:hint="eastAsia"/>
        </w:rPr>
        <w:t>如是生产商须提供有效的食品生产许可证；如是经销商须提供有效的食品经营许可证</w:t>
      </w:r>
      <w:r>
        <w:rPr>
          <w:rFonts w:hint="eastAsia"/>
          <w:lang w:eastAsia="zh-CN"/>
        </w:rPr>
        <w:t>；</w:t>
      </w:r>
    </w:p>
    <w:p>
      <w:pPr>
        <w:widowControl w:val="0"/>
        <w:numPr>
          <w:ilvl w:val="0"/>
          <w:numId w:val="2"/>
        </w:numPr>
        <w:spacing w:line="360" w:lineRule="auto"/>
        <w:ind w:firstLine="480" w:firstLineChars="200"/>
        <w:rPr>
          <w:highlight w:val="none"/>
        </w:rPr>
      </w:pPr>
      <w:r>
        <w:rPr>
          <w:rFonts w:hint="eastAsia"/>
          <w:highlight w:val="none"/>
        </w:rPr>
        <w:t>投标产品具有市级（含）（含产地）以上食品质检部门出具的投标产品质量检测报告</w:t>
      </w:r>
      <w:bookmarkStart w:id="6" w:name="_Hlk38785149"/>
      <w:r>
        <w:rPr>
          <w:rFonts w:hint="eastAsia"/>
          <w:highlight w:val="none"/>
          <w:lang w:eastAsia="zh-CN"/>
        </w:rPr>
        <w:t>（</w:t>
      </w:r>
      <w:r>
        <w:rPr>
          <w:rFonts w:hint="eastAsia"/>
          <w:highlight w:val="none"/>
          <w:lang w:val="en-US" w:eastAsia="zh-CN"/>
        </w:rPr>
        <w:t>标截止时间前半年内任一</w:t>
      </w:r>
      <w:r>
        <w:rPr>
          <w:rFonts w:hint="eastAsia"/>
          <w:highlight w:val="none"/>
        </w:rPr>
        <w:t>个月</w:t>
      </w:r>
      <w:r>
        <w:rPr>
          <w:rFonts w:hint="eastAsia"/>
          <w:highlight w:val="none"/>
          <w:lang w:eastAsia="zh-CN"/>
        </w:rPr>
        <w:t>）；</w:t>
      </w:r>
    </w:p>
    <w:bookmarkEnd w:id="6"/>
    <w:p>
      <w:pPr>
        <w:pStyle w:val="5"/>
        <w:numPr>
          <w:ilvl w:val="0"/>
          <w:numId w:val="3"/>
        </w:numPr>
        <w:spacing w:line="360" w:lineRule="auto"/>
        <w:ind w:firstLine="480" w:firstLineChars="200"/>
        <w:rPr>
          <w:rFonts w:hint="eastAsia" w:hAnsi="宋体"/>
          <w:kern w:val="2"/>
          <w:highlight w:val="none"/>
        </w:rPr>
      </w:pPr>
      <w:r>
        <w:rPr>
          <w:rFonts w:hint="eastAsia" w:hAnsi="宋体"/>
          <w:kern w:val="2"/>
          <w:highlight w:val="none"/>
        </w:rPr>
        <w:t>凡拟参加本次招标</w:t>
      </w:r>
      <w:r>
        <w:rPr>
          <w:rFonts w:hint="eastAsia" w:hAnsi="宋体"/>
          <w:kern w:val="2"/>
        </w:rPr>
        <w:t>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系统失信惩戒企业名单。近三年政府采购合同履约过程</w:t>
      </w:r>
      <w:r>
        <w:rPr>
          <w:rFonts w:hint="eastAsia" w:hAnsi="宋体"/>
          <w:kern w:val="2"/>
          <w:highlight w:val="none"/>
        </w:rPr>
        <w:t>中及其他经营活动履约过程中因围标串标、偷税漏税、制售假冒伪劣商品等行为被有关行政部门处罚（处理）记录的，本项目不认定其具有良好的商业信誉，将拒绝其参与本次投标活动；</w:t>
      </w:r>
    </w:p>
    <w:p>
      <w:pPr>
        <w:pStyle w:val="5"/>
        <w:numPr>
          <w:ilvl w:val="0"/>
          <w:numId w:val="3"/>
        </w:numPr>
        <w:spacing w:line="360" w:lineRule="auto"/>
        <w:ind w:firstLine="480" w:firstLineChars="200"/>
        <w:rPr>
          <w:highlight w:val="none"/>
        </w:rPr>
      </w:pPr>
      <w:r>
        <w:rPr>
          <w:rFonts w:hint="eastAsia" w:hAnsi="宋体"/>
          <w:kern w:val="2"/>
          <w:highlight w:val="none"/>
        </w:rPr>
        <w:t>有依法缴纳税收和社保部门出具一个月（标截止时间前半年内任一个月）的企业员工缴纳社保证明（社保缴费凭证及个人明细表）及税务系统出据的完税证明；具有良好的商业信誉和健全的财务会计制度（提供近一年度经审计的财务报表或审计报告【成立不满一年不需要提供，审计报告指2021年】或其基本户开户银行开具的资信证明）；</w:t>
      </w:r>
      <w:r>
        <w:rPr>
          <w:rFonts w:hint="eastAsia" w:hAnsi="宋体"/>
          <w:kern w:val="2"/>
          <w:highlight w:val="none"/>
          <w:lang w:eastAsia="zh-CN"/>
        </w:rPr>
        <w:t>（投标人如为个体工商户不需提供）</w:t>
      </w:r>
    </w:p>
    <w:p>
      <w:pPr>
        <w:widowControl w:val="0"/>
        <w:spacing w:line="360" w:lineRule="auto"/>
        <w:ind w:firstLine="480" w:firstLineChars="200"/>
        <w:rPr>
          <w:highlight w:val="none"/>
        </w:rPr>
      </w:pPr>
      <w:r>
        <w:rPr>
          <w:rFonts w:hint="eastAsia"/>
          <w:highlight w:val="none"/>
          <w:lang w:val="en-US" w:eastAsia="zh-CN"/>
        </w:rPr>
        <w:t>6</w:t>
      </w:r>
      <w:r>
        <w:rPr>
          <w:rFonts w:hint="eastAsia"/>
          <w:highlight w:val="none"/>
        </w:rPr>
        <w:t>）单位负责人为同一人或者存在直接控股、管理关系的不同供应商，不得同时参加同一包的采购活动；</w:t>
      </w:r>
    </w:p>
    <w:p>
      <w:pPr>
        <w:spacing w:line="360" w:lineRule="auto"/>
        <w:ind w:firstLine="480" w:firstLineChars="200"/>
        <w:rPr>
          <w:rFonts w:hint="eastAsia"/>
        </w:rPr>
      </w:pPr>
      <w:r>
        <w:rPr>
          <w:rFonts w:hint="eastAsia"/>
          <w:lang w:val="en-US" w:eastAsia="zh-CN"/>
        </w:rPr>
        <w:t>7</w:t>
      </w:r>
      <w:r>
        <w:rPr>
          <w:rFonts w:hint="eastAsia"/>
        </w:rPr>
        <w:t>）本项目招标不接受联合体投标</w:t>
      </w:r>
      <w:r>
        <w:rPr>
          <w:rFonts w:hint="eastAsia"/>
          <w:lang w:eastAsia="zh-CN"/>
        </w:rPr>
        <w:t>；</w:t>
      </w:r>
    </w:p>
    <w:p>
      <w:pPr>
        <w:widowControl w:val="0"/>
        <w:spacing w:line="360" w:lineRule="auto"/>
        <w:rPr>
          <w:b/>
          <w:bCs/>
        </w:rPr>
      </w:pPr>
      <w:r>
        <w:rPr>
          <w:rFonts w:hint="eastAsia"/>
          <w:b/>
          <w:bCs/>
        </w:rPr>
        <w:t>三、获取招标文件</w:t>
      </w:r>
      <w:bookmarkEnd w:id="5"/>
    </w:p>
    <w:p>
      <w:pPr>
        <w:widowControl w:val="0"/>
        <w:spacing w:line="360" w:lineRule="auto"/>
        <w:ind w:firstLine="480" w:firstLineChars="200"/>
        <w:rPr>
          <w:highlight w:val="none"/>
        </w:rPr>
      </w:pPr>
      <w:r>
        <w:rPr>
          <w:rFonts w:hint="eastAsia"/>
        </w:rPr>
        <w:t>时间：</w:t>
      </w:r>
      <w:r>
        <w:rPr>
          <w:rFonts w:hint="eastAsia"/>
          <w:highlight w:val="none"/>
        </w:rPr>
        <w:t>2022年</w:t>
      </w:r>
      <w:r>
        <w:rPr>
          <w:rFonts w:hint="eastAsia"/>
          <w:highlight w:val="none"/>
          <w:lang w:val="en-US" w:eastAsia="zh-CN"/>
        </w:rPr>
        <w:t>10</w:t>
      </w:r>
      <w:r>
        <w:rPr>
          <w:rFonts w:hint="eastAsia"/>
          <w:highlight w:val="none"/>
        </w:rPr>
        <w:t>月</w:t>
      </w:r>
      <w:r>
        <w:rPr>
          <w:rFonts w:hint="eastAsia"/>
          <w:highlight w:val="none"/>
          <w:lang w:val="en-US" w:eastAsia="zh-CN"/>
        </w:rPr>
        <w:t>5</w:t>
      </w:r>
      <w:r>
        <w:rPr>
          <w:rFonts w:hint="eastAsia"/>
          <w:highlight w:val="none"/>
        </w:rPr>
        <w:t>日</w:t>
      </w:r>
      <w:r>
        <w:rPr>
          <w:rFonts w:hint="eastAsia"/>
          <w:highlight w:val="none"/>
          <w:lang w:val="en-US" w:eastAsia="zh-CN"/>
        </w:rPr>
        <w:t>10:00</w:t>
      </w:r>
      <w:r>
        <w:rPr>
          <w:rFonts w:hint="eastAsia"/>
          <w:highlight w:val="none"/>
        </w:rPr>
        <w:t>至2022年</w:t>
      </w:r>
      <w:r>
        <w:rPr>
          <w:rFonts w:hint="eastAsia"/>
          <w:highlight w:val="none"/>
          <w:lang w:val="en-US" w:eastAsia="zh-CN"/>
        </w:rPr>
        <w:t>10</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19:00</w:t>
      </w:r>
      <w:r>
        <w:rPr>
          <w:rFonts w:hint="eastAsia"/>
          <w:highlight w:val="none"/>
        </w:rPr>
        <w:t>，节假日除外（北京时间）</w:t>
      </w:r>
      <w:bookmarkStart w:id="110" w:name="_GoBack"/>
      <w:bookmarkEnd w:id="110"/>
    </w:p>
    <w:p>
      <w:pPr>
        <w:spacing w:line="360" w:lineRule="auto"/>
        <w:ind w:firstLine="480" w:firstLineChars="200"/>
      </w:pPr>
      <w:r>
        <w:rPr>
          <w:rFonts w:hint="eastAsia"/>
        </w:rPr>
        <w:t>地点：新疆拓源工程管理咨询有限公司（新疆乌鲁木齐市水磨沟区龙盛街898号万科中央公园S6栋5层）</w:t>
      </w:r>
    </w:p>
    <w:p>
      <w:pPr>
        <w:pStyle w:val="5"/>
        <w:spacing w:line="360" w:lineRule="auto"/>
        <w:rPr>
          <w:rFonts w:hAnsi="宋体" w:cs="宋体"/>
        </w:rPr>
      </w:pPr>
      <w:r>
        <w:rPr>
          <w:rFonts w:hint="eastAsia" w:hAnsi="宋体" w:cs="宋体"/>
        </w:rPr>
        <w:t>方式：</w:t>
      </w:r>
      <w:r>
        <w:rPr>
          <w:rFonts w:hint="eastAsia" w:hAnsi="宋体" w:cs="宋体"/>
          <w:lang w:eastAsia="zh-CN"/>
        </w:rPr>
        <w:t>线上</w:t>
      </w:r>
      <w:r>
        <w:rPr>
          <w:rFonts w:hint="eastAsia" w:hAnsi="宋体" w:cs="宋体"/>
        </w:rPr>
        <w:t>购买，获取招标文件需将有效的营业执照副本、食品生产许可证或食品经营许可证、投标产品具有市级（含）（含产地）以上食品质检部门出具的投标产品质量检测报告（标截止时间前半年内任一个月）、法定代表人身份证明书及身份证（正反面）或法定代表人授权委托书及委托代理人的身份证（正反面）、“信用中国”查询失信被执行人、重大税收违法案件当事人名单及“中国政府采购网”查询政府采购严重违法失信行为记录名单截图、税务系统未被列入失信惩戒企业名单截图等加盖公章的扫描件以PDF格式+单位名称+联系人及联系方式发送至</w:t>
      </w:r>
      <w:r>
        <w:rPr>
          <w:rFonts w:hint="eastAsia" w:hAnsi="宋体" w:cs="宋体"/>
          <w:lang w:val="en-US" w:eastAsia="zh-CN"/>
        </w:rPr>
        <w:t>353254689</w:t>
      </w:r>
      <w:r>
        <w:rPr>
          <w:rFonts w:hint="eastAsia" w:hAnsi="宋体" w:cs="宋体"/>
        </w:rPr>
        <w:t>@qq.com进行查验报名(受疫情影响，报名资料若无法签章，仅需提供PDF扫描件），查验符合相关要求的供应商以电子版格式发售招标文件。以上复印件一式肆份纸质版加盖公章</w:t>
      </w:r>
      <w:r>
        <w:rPr>
          <w:rFonts w:hint="eastAsia" w:hAnsi="宋体" w:cs="宋体"/>
          <w:lang w:eastAsia="zh-CN"/>
        </w:rPr>
        <w:t>开标时</w:t>
      </w:r>
      <w:r>
        <w:rPr>
          <w:rFonts w:hint="eastAsia" w:hAnsi="宋体" w:cs="宋体"/>
        </w:rPr>
        <w:t>交采购代理机构留存。</w:t>
      </w:r>
    </w:p>
    <w:p>
      <w:pPr>
        <w:widowControl w:val="0"/>
        <w:spacing w:line="360" w:lineRule="auto"/>
        <w:ind w:firstLine="480" w:firstLineChars="200"/>
      </w:pPr>
      <w:r>
        <w:rPr>
          <w:rFonts w:hint="eastAsia"/>
        </w:rPr>
        <w:t>售价（元）：200元/包</w:t>
      </w:r>
    </w:p>
    <w:p>
      <w:pPr>
        <w:widowControl w:val="0"/>
        <w:spacing w:line="360" w:lineRule="auto"/>
        <w:rPr>
          <w:b/>
          <w:bCs/>
        </w:rPr>
      </w:pPr>
      <w:bookmarkStart w:id="7" w:name="_Toc18974"/>
      <w:r>
        <w:rPr>
          <w:rFonts w:hint="eastAsia"/>
          <w:b/>
          <w:bCs/>
        </w:rPr>
        <w:t>四、提交响应文件截止时间、开标时间和地点</w:t>
      </w:r>
      <w:bookmarkEnd w:id="7"/>
    </w:p>
    <w:p>
      <w:pPr>
        <w:widowControl w:val="0"/>
        <w:spacing w:line="360" w:lineRule="auto"/>
        <w:ind w:firstLine="480" w:firstLineChars="200"/>
        <w:rPr>
          <w:highlight w:val="none"/>
        </w:rPr>
      </w:pPr>
      <w:r>
        <w:rPr>
          <w:rFonts w:hint="eastAsia"/>
          <w:highlight w:val="none"/>
        </w:rPr>
        <w:t>截止时间：2022年</w:t>
      </w:r>
      <w:r>
        <w:rPr>
          <w:rFonts w:hint="eastAsia"/>
          <w:highlight w:val="none"/>
          <w:lang w:val="en-US" w:eastAsia="zh-CN"/>
        </w:rPr>
        <w:t xml:space="preserve"> 10 </w:t>
      </w:r>
      <w:r>
        <w:rPr>
          <w:rFonts w:hint="eastAsia"/>
          <w:highlight w:val="none"/>
        </w:rPr>
        <w:t>月</w:t>
      </w:r>
      <w:r>
        <w:rPr>
          <w:rFonts w:hint="eastAsia"/>
          <w:highlight w:val="none"/>
          <w:lang w:val="en-US" w:eastAsia="zh-CN"/>
        </w:rPr>
        <w:t xml:space="preserve">25 </w:t>
      </w:r>
      <w:r>
        <w:rPr>
          <w:rFonts w:hint="eastAsia"/>
          <w:highlight w:val="none"/>
        </w:rPr>
        <w:t>日11时00</w:t>
      </w:r>
      <w:r>
        <w:rPr>
          <w:rFonts w:hint="eastAsia"/>
          <w:highlight w:val="none"/>
          <w:lang w:val="en-US" w:eastAsia="zh-CN"/>
        </w:rPr>
        <w:t>分</w:t>
      </w:r>
      <w:r>
        <w:rPr>
          <w:rFonts w:hint="eastAsia"/>
          <w:highlight w:val="none"/>
        </w:rPr>
        <w:t>（北京时间）</w:t>
      </w:r>
    </w:p>
    <w:p>
      <w:pPr>
        <w:spacing w:line="360" w:lineRule="auto"/>
        <w:ind w:firstLine="480" w:firstLineChars="200"/>
      </w:pPr>
      <w:r>
        <w:rPr>
          <w:rFonts w:hint="eastAsia"/>
        </w:rPr>
        <w:t>地点：新疆拓源工程管理咨询有限公司（新疆乌鲁木齐市水磨沟区龙盛街898号万科中央公园S6栋5层）。</w:t>
      </w:r>
    </w:p>
    <w:p>
      <w:pPr>
        <w:widowControl w:val="0"/>
        <w:spacing w:line="360" w:lineRule="auto"/>
        <w:rPr>
          <w:b/>
          <w:bCs/>
        </w:rPr>
      </w:pPr>
      <w:bookmarkStart w:id="8" w:name="_Toc28897"/>
      <w:r>
        <w:rPr>
          <w:rFonts w:hint="eastAsia"/>
          <w:b/>
          <w:bCs/>
        </w:rPr>
        <w:t>五、公告期限</w:t>
      </w:r>
      <w:bookmarkEnd w:id="8"/>
    </w:p>
    <w:p>
      <w:pPr>
        <w:widowControl w:val="0"/>
        <w:spacing w:line="360" w:lineRule="auto"/>
        <w:ind w:firstLine="480" w:firstLineChars="200"/>
      </w:pPr>
      <w:r>
        <w:rPr>
          <w:rFonts w:hint="eastAsia"/>
        </w:rPr>
        <w:t>自本公告发布之日起5个工作日。</w:t>
      </w:r>
    </w:p>
    <w:p>
      <w:pPr>
        <w:widowControl w:val="0"/>
        <w:spacing w:line="360" w:lineRule="auto"/>
        <w:rPr>
          <w:b/>
          <w:bCs/>
        </w:rPr>
      </w:pPr>
      <w:bookmarkStart w:id="9" w:name="_Toc24051"/>
      <w:r>
        <w:rPr>
          <w:rFonts w:hint="eastAsia"/>
          <w:b/>
          <w:bCs/>
        </w:rPr>
        <w:t>六、其他补充事宜</w:t>
      </w:r>
      <w:bookmarkEnd w:id="9"/>
    </w:p>
    <w:p>
      <w:pPr>
        <w:widowControl w:val="0"/>
        <w:spacing w:line="360" w:lineRule="auto"/>
        <w:ind w:firstLine="480" w:firstLineChars="200"/>
      </w:pPr>
      <w:bookmarkStart w:id="10" w:name="_Toc24544"/>
      <w:r>
        <w:rPr>
          <w:rFonts w:hint="eastAsia"/>
        </w:rPr>
        <w:t>无</w:t>
      </w:r>
    </w:p>
    <w:p>
      <w:pPr>
        <w:widowControl w:val="0"/>
        <w:spacing w:line="360" w:lineRule="auto"/>
        <w:ind w:firstLine="0" w:firstLineChars="0"/>
        <w:rPr>
          <w:b/>
          <w:bCs/>
        </w:rPr>
      </w:pPr>
      <w:r>
        <w:rPr>
          <w:rFonts w:hint="eastAsia"/>
          <w:b/>
          <w:bCs/>
        </w:rPr>
        <w:t>七、对本次招标提出询问，请按以下方式联系</w:t>
      </w:r>
      <w:bookmarkEnd w:id="10"/>
    </w:p>
    <w:p>
      <w:pPr>
        <w:widowControl w:val="0"/>
        <w:spacing w:line="360" w:lineRule="auto"/>
        <w:ind w:firstLine="480" w:firstLineChars="200"/>
      </w:pPr>
      <w:r>
        <w:rPr>
          <w:rFonts w:hint="eastAsia"/>
        </w:rPr>
        <w:t>1.采购人信息</w:t>
      </w:r>
    </w:p>
    <w:p>
      <w:pPr>
        <w:widowControl w:val="0"/>
        <w:spacing w:line="360" w:lineRule="auto"/>
        <w:ind w:firstLine="480" w:firstLineChars="200"/>
        <w:rPr>
          <w:rFonts w:hint="eastAsia"/>
          <w:szCs w:val="24"/>
        </w:rPr>
      </w:pPr>
      <w:r>
        <w:rPr>
          <w:rFonts w:hint="eastAsia"/>
          <w:szCs w:val="24"/>
        </w:rPr>
        <w:t>名 称：新疆大学</w:t>
      </w:r>
    </w:p>
    <w:p>
      <w:pPr>
        <w:widowControl w:val="0"/>
        <w:spacing w:line="360" w:lineRule="auto"/>
        <w:ind w:firstLine="480" w:firstLineChars="200"/>
        <w:rPr>
          <w:rFonts w:hint="eastAsia"/>
          <w:szCs w:val="24"/>
        </w:rPr>
      </w:pPr>
      <w:r>
        <w:rPr>
          <w:rFonts w:hint="eastAsia"/>
          <w:szCs w:val="24"/>
        </w:rPr>
        <w:t>地址：乌鲁木齐市天山区胜利路666号</w:t>
      </w:r>
    </w:p>
    <w:p>
      <w:pPr>
        <w:widowControl w:val="0"/>
        <w:spacing w:line="360" w:lineRule="auto"/>
        <w:ind w:firstLine="480" w:firstLineChars="200"/>
      </w:pPr>
      <w:r>
        <w:rPr>
          <w:rFonts w:hint="eastAsia"/>
        </w:rPr>
        <w:t>联系人：郭老师</w:t>
      </w:r>
    </w:p>
    <w:p>
      <w:pPr>
        <w:widowControl w:val="0"/>
        <w:spacing w:line="360" w:lineRule="auto"/>
        <w:ind w:firstLine="480" w:firstLineChars="200"/>
        <w:rPr>
          <w:rFonts w:hint="default" w:eastAsia="宋体"/>
          <w:highlight w:val="none"/>
          <w:lang w:val="en-US" w:eastAsia="zh-CN"/>
        </w:rPr>
      </w:pPr>
      <w:r>
        <w:rPr>
          <w:rFonts w:hint="eastAsia"/>
        </w:rPr>
        <w:t>联系方式：</w:t>
      </w:r>
      <w:r>
        <w:rPr>
          <w:rFonts w:hint="eastAsia"/>
          <w:highlight w:val="none"/>
        </w:rPr>
        <w:t>0991-85</w:t>
      </w:r>
      <w:r>
        <w:rPr>
          <w:rFonts w:hint="eastAsia"/>
          <w:highlight w:val="none"/>
          <w:lang w:val="en-US" w:eastAsia="zh-CN"/>
        </w:rPr>
        <w:t>80035</w:t>
      </w:r>
    </w:p>
    <w:p>
      <w:pPr>
        <w:widowControl w:val="0"/>
        <w:spacing w:line="360" w:lineRule="auto"/>
        <w:ind w:firstLine="480" w:firstLineChars="200"/>
      </w:pPr>
      <w:r>
        <w:rPr>
          <w:rFonts w:hint="eastAsia"/>
        </w:rPr>
        <w:t>2.采购代理机构信息</w:t>
      </w:r>
    </w:p>
    <w:p>
      <w:pPr>
        <w:widowControl w:val="0"/>
        <w:spacing w:line="360" w:lineRule="auto"/>
        <w:ind w:firstLine="480" w:firstLineChars="200"/>
      </w:pPr>
      <w:r>
        <w:rPr>
          <w:rFonts w:hint="eastAsia"/>
        </w:rPr>
        <w:t>名称：新疆拓源工程管理咨询有限公司</w:t>
      </w:r>
    </w:p>
    <w:p>
      <w:pPr>
        <w:spacing w:line="360" w:lineRule="auto"/>
        <w:ind w:firstLine="480" w:firstLineChars="200"/>
        <w:rPr>
          <w:bCs/>
        </w:rPr>
      </w:pPr>
      <w:r>
        <w:rPr>
          <w:rFonts w:hint="eastAsia"/>
        </w:rPr>
        <w:t>地址：新疆乌鲁木齐市水磨沟区龙盛街898号万科中央公园S6栋5层</w:t>
      </w:r>
    </w:p>
    <w:p>
      <w:pPr>
        <w:widowControl w:val="0"/>
        <w:spacing w:line="360" w:lineRule="auto"/>
        <w:ind w:firstLine="480" w:firstLineChars="200"/>
      </w:pPr>
      <w:r>
        <w:rPr>
          <w:rFonts w:hint="eastAsia"/>
        </w:rPr>
        <w:t>项目联系人：谷静雯</w:t>
      </w:r>
    </w:p>
    <w:p>
      <w:pPr>
        <w:widowControl w:val="0"/>
        <w:spacing w:line="360" w:lineRule="auto"/>
        <w:ind w:firstLine="480" w:firstLineChars="200"/>
      </w:pPr>
      <w:r>
        <w:rPr>
          <w:rFonts w:hint="eastAsia"/>
        </w:rPr>
        <w:t xml:space="preserve">电话：13699353096、13565862462   </w:t>
      </w:r>
    </w:p>
    <w:p>
      <w:pPr>
        <w:widowControl w:val="0"/>
        <w:spacing w:line="360" w:lineRule="auto"/>
        <w:ind w:firstLine="480" w:firstLineChars="200"/>
      </w:pPr>
    </w:p>
    <w:p>
      <w:pPr>
        <w:rPr>
          <w:b/>
          <w:sz w:val="28"/>
        </w:rPr>
      </w:pPr>
      <w:r>
        <w:rPr>
          <w:rFonts w:hint="eastAsia"/>
          <w:b/>
          <w:sz w:val="28"/>
        </w:rPr>
        <w:br w:type="page"/>
      </w:r>
    </w:p>
    <w:p>
      <w:pPr>
        <w:spacing w:line="360" w:lineRule="auto"/>
        <w:jc w:val="center"/>
        <w:outlineLvl w:val="0"/>
        <w:rPr>
          <w:b/>
          <w:sz w:val="28"/>
        </w:rPr>
      </w:pPr>
      <w:r>
        <w:rPr>
          <w:rFonts w:hint="eastAsia"/>
          <w:b/>
          <w:sz w:val="28"/>
        </w:rPr>
        <w:t>第二章  供应商须知</w:t>
      </w:r>
      <w:bookmarkEnd w:id="2"/>
    </w:p>
    <w:p>
      <w:pPr>
        <w:snapToGrid w:val="0"/>
        <w:spacing w:line="400" w:lineRule="atLeast"/>
        <w:jc w:val="center"/>
        <w:rPr>
          <w:rFonts w:ascii="Tahoma" w:hAnsi="Tahoma" w:eastAsia="黑体" w:cs="Tahoma"/>
          <w:b/>
          <w:sz w:val="28"/>
          <w:szCs w:val="28"/>
        </w:rPr>
      </w:pPr>
      <w:r>
        <w:rPr>
          <w:rFonts w:hint="eastAsia" w:ascii="Tahoma" w:hAnsi="Tahoma" w:eastAsia="黑体" w:cs="Tahoma"/>
          <w:b/>
          <w:sz w:val="28"/>
          <w:szCs w:val="28"/>
        </w:rPr>
        <w:t>供应商</w:t>
      </w:r>
      <w:r>
        <w:rPr>
          <w:rFonts w:ascii="Tahoma" w:hAnsi="Tahoma" w:eastAsia="黑体" w:cs="Tahoma"/>
          <w:b/>
          <w:sz w:val="28"/>
          <w:szCs w:val="28"/>
        </w:rPr>
        <w:t>须知前附表</w:t>
      </w:r>
    </w:p>
    <w:tbl>
      <w:tblPr>
        <w:tblStyle w:val="33"/>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
        <w:gridCol w:w="1705"/>
        <w:gridCol w:w="7760"/>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69" w:type="dxa"/>
            <w:gridSpan w:val="2"/>
            <w:vAlign w:val="center"/>
          </w:tcPr>
          <w:p>
            <w:pPr>
              <w:keepNext w:val="0"/>
              <w:keepLines w:val="0"/>
              <w:pageBreakBefore w:val="0"/>
              <w:kinsoku/>
              <w:wordWrap/>
              <w:overflowPunct/>
              <w:topLinePunct w:val="0"/>
              <w:bidi w:val="0"/>
              <w:adjustRightInd w:val="0"/>
              <w:spacing w:line="348" w:lineRule="auto"/>
              <w:jc w:val="center"/>
              <w:textAlignment w:val="baseline"/>
              <w:rPr>
                <w:rFonts w:ascii="Tahoma" w:hAnsi="Tahoma" w:cs="Tahoma"/>
                <w:b/>
                <w:bCs/>
                <w:sz w:val="20"/>
              </w:rPr>
            </w:pPr>
            <w:r>
              <w:rPr>
                <w:rFonts w:ascii="Tahoma" w:hAnsi="Tahoma" w:cs="Tahoma"/>
                <w:b/>
                <w:bCs/>
                <w:sz w:val="20"/>
              </w:rPr>
              <w:t>条款号</w:t>
            </w:r>
          </w:p>
        </w:tc>
        <w:tc>
          <w:tcPr>
            <w:tcW w:w="1705" w:type="dxa"/>
            <w:vAlign w:val="center"/>
          </w:tcPr>
          <w:p>
            <w:pPr>
              <w:keepNext w:val="0"/>
              <w:keepLines w:val="0"/>
              <w:pageBreakBefore w:val="0"/>
              <w:kinsoku/>
              <w:wordWrap/>
              <w:overflowPunct/>
              <w:topLinePunct w:val="0"/>
              <w:bidi w:val="0"/>
              <w:adjustRightInd w:val="0"/>
              <w:spacing w:line="348" w:lineRule="auto"/>
              <w:jc w:val="center"/>
              <w:textAlignment w:val="baseline"/>
              <w:rPr>
                <w:rFonts w:ascii="Tahoma" w:hAnsi="Tahoma" w:cs="Tahoma"/>
                <w:b/>
                <w:bCs/>
                <w:sz w:val="20"/>
              </w:rPr>
            </w:pPr>
            <w:r>
              <w:rPr>
                <w:rFonts w:ascii="Tahoma" w:hAnsi="Tahoma" w:cs="Tahoma"/>
                <w:b/>
                <w:bCs/>
                <w:sz w:val="20"/>
              </w:rPr>
              <w:t>条款名称</w:t>
            </w:r>
          </w:p>
        </w:tc>
        <w:tc>
          <w:tcPr>
            <w:tcW w:w="7779" w:type="dxa"/>
            <w:gridSpan w:val="2"/>
            <w:vAlign w:val="center"/>
          </w:tcPr>
          <w:p>
            <w:pPr>
              <w:keepNext w:val="0"/>
              <w:keepLines w:val="0"/>
              <w:pageBreakBefore w:val="0"/>
              <w:kinsoku/>
              <w:wordWrap/>
              <w:overflowPunct/>
              <w:topLinePunct w:val="0"/>
              <w:bidi w:val="0"/>
              <w:adjustRightInd w:val="0"/>
              <w:spacing w:line="348" w:lineRule="auto"/>
              <w:jc w:val="center"/>
              <w:textAlignment w:val="baseline"/>
              <w:rPr>
                <w:rFonts w:ascii="Tahoma" w:hAnsi="Tahoma" w:cs="Tahoma"/>
                <w:b/>
                <w:bCs/>
                <w:sz w:val="20"/>
              </w:rPr>
            </w:pPr>
            <w:r>
              <w:rPr>
                <w:rFonts w:ascii="Tahoma" w:hAnsi="Tahoma" w:cs="Tahoma"/>
                <w:b/>
                <w:bCs/>
                <w:sz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gridSpan w:val="2"/>
            <w:vMerge w:val="restart"/>
            <w:vAlign w:val="center"/>
          </w:tcPr>
          <w:p>
            <w:pPr>
              <w:keepNext w:val="0"/>
              <w:keepLines w:val="0"/>
              <w:pageBreakBefore w:val="0"/>
              <w:widowControl w:val="0"/>
              <w:kinsoku/>
              <w:wordWrap/>
              <w:overflowPunct/>
              <w:topLinePunct w:val="0"/>
              <w:bidi w:val="0"/>
              <w:spacing w:line="348" w:lineRule="auto"/>
            </w:pPr>
            <w:r>
              <w:rPr>
                <w:rFonts w:hint="eastAsia"/>
              </w:rPr>
              <w:t>1.1</w:t>
            </w: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项目名称</w:t>
            </w:r>
          </w:p>
        </w:tc>
        <w:tc>
          <w:tcPr>
            <w:tcW w:w="7779" w:type="dxa"/>
            <w:gridSpan w:val="2"/>
            <w:vAlign w:val="center"/>
          </w:tcPr>
          <w:p>
            <w:pPr>
              <w:keepNext w:val="0"/>
              <w:keepLines w:val="0"/>
              <w:pageBreakBefore w:val="0"/>
              <w:widowControl w:val="0"/>
              <w:kinsoku/>
              <w:wordWrap/>
              <w:overflowPunct/>
              <w:topLinePunct w:val="0"/>
              <w:bidi w:val="0"/>
              <w:spacing w:line="348" w:lineRule="auto"/>
              <w:rPr>
                <w:rFonts w:hint="eastAsia" w:eastAsia="宋体"/>
                <w:lang w:eastAsia="zh-CN"/>
              </w:rPr>
            </w:pPr>
            <w:r>
              <w:rPr>
                <w:rFonts w:hint="eastAsia"/>
              </w:rPr>
              <w:t>新疆大学学生餐饮管理服务中心2022-2023学年大宗物资招标采购项目</w:t>
            </w:r>
            <w:r>
              <w:rPr>
                <w:rFonts w:hint="eastAsia"/>
                <w:lang w:eastAsia="zh-CN"/>
              </w:rPr>
              <w:t>（包</w:t>
            </w:r>
            <w:r>
              <w:rPr>
                <w:rFonts w:hint="eastAsia"/>
              </w:rPr>
              <w:t>2</w:t>
            </w:r>
            <w:r>
              <w:rPr>
                <w:rFonts w:hint="eastAsia"/>
                <w:lang w:eastAsia="zh-CN"/>
              </w:rPr>
              <w:t>面粉</w:t>
            </w:r>
            <w:r>
              <w:rPr>
                <w:rFonts w:hint="eastAsia"/>
              </w:rPr>
              <w:t>)</w:t>
            </w:r>
            <w:r>
              <w:rPr>
                <w:rFonts w:hint="eastAsia"/>
                <w:lang w:eastAsia="zh-CN"/>
              </w:rPr>
              <w:t>（二次）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gridSpan w:val="2"/>
            <w:vMerge w:val="continue"/>
            <w:vAlign w:val="center"/>
          </w:tcPr>
          <w:p>
            <w:pPr>
              <w:keepNext w:val="0"/>
              <w:keepLines w:val="0"/>
              <w:pageBreakBefore w:val="0"/>
              <w:widowControl w:val="0"/>
              <w:kinsoku/>
              <w:wordWrap/>
              <w:overflowPunct/>
              <w:topLinePunct w:val="0"/>
              <w:bidi w:val="0"/>
              <w:spacing w:line="348" w:lineRule="auto"/>
            </w:pPr>
          </w:p>
        </w:tc>
        <w:tc>
          <w:tcPr>
            <w:tcW w:w="1705" w:type="dxa"/>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采购人</w:t>
            </w:r>
          </w:p>
        </w:tc>
        <w:tc>
          <w:tcPr>
            <w:tcW w:w="7779" w:type="dxa"/>
            <w:gridSpan w:val="2"/>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新疆大学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gridSpan w:val="2"/>
            <w:vMerge w:val="continue"/>
            <w:vAlign w:val="center"/>
          </w:tcPr>
          <w:p>
            <w:pPr>
              <w:keepNext w:val="0"/>
              <w:keepLines w:val="0"/>
              <w:pageBreakBefore w:val="0"/>
              <w:widowControl w:val="0"/>
              <w:kinsoku/>
              <w:wordWrap/>
              <w:overflowPunct/>
              <w:topLinePunct w:val="0"/>
              <w:bidi w:val="0"/>
              <w:spacing w:line="348" w:lineRule="auto"/>
            </w:pP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招标代理人</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新疆拓源工程管理咨询有限公司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9" w:type="dxa"/>
            <w:gridSpan w:val="2"/>
            <w:vMerge w:val="continue"/>
            <w:vAlign w:val="center"/>
          </w:tcPr>
          <w:p>
            <w:pPr>
              <w:keepNext w:val="0"/>
              <w:keepLines w:val="0"/>
              <w:pageBreakBefore w:val="0"/>
              <w:widowControl w:val="0"/>
              <w:kinsoku/>
              <w:wordWrap/>
              <w:overflowPunct/>
              <w:topLinePunct w:val="0"/>
              <w:bidi w:val="0"/>
              <w:spacing w:line="348" w:lineRule="auto"/>
            </w:pP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招标范围</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详见招标文件第四章采购需求书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9" w:type="dxa"/>
            <w:gridSpan w:val="2"/>
            <w:vMerge w:val="continue"/>
            <w:vAlign w:val="center"/>
          </w:tcPr>
          <w:p>
            <w:pPr>
              <w:keepNext w:val="0"/>
              <w:keepLines w:val="0"/>
              <w:pageBreakBefore w:val="0"/>
              <w:widowControl w:val="0"/>
              <w:kinsoku/>
              <w:wordWrap/>
              <w:overflowPunct/>
              <w:topLinePunct w:val="0"/>
              <w:bidi w:val="0"/>
              <w:spacing w:line="348" w:lineRule="auto"/>
            </w:pP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项目编号</w:t>
            </w:r>
          </w:p>
        </w:tc>
        <w:tc>
          <w:tcPr>
            <w:tcW w:w="7779" w:type="dxa"/>
            <w:gridSpan w:val="2"/>
            <w:vAlign w:val="center"/>
          </w:tcPr>
          <w:p>
            <w:pPr>
              <w:keepNext w:val="0"/>
              <w:keepLines w:val="0"/>
              <w:pageBreakBefore w:val="0"/>
              <w:widowControl w:val="0"/>
              <w:kinsoku/>
              <w:wordWrap/>
              <w:overflowPunct/>
              <w:topLinePunct w:val="0"/>
              <w:bidi w:val="0"/>
              <w:spacing w:line="348" w:lineRule="auto"/>
              <w:rPr>
                <w:rFonts w:hint="default"/>
                <w:lang w:val="en-US"/>
              </w:rPr>
            </w:pPr>
            <w:r>
              <w:rPr>
                <w:rFonts w:hint="eastAsia"/>
                <w:b w:val="0"/>
                <w:spacing w:val="0"/>
                <w:sz w:val="24"/>
                <w:szCs w:val="24"/>
              </w:rPr>
              <w:t>XJTY2022-GK-0023-</w:t>
            </w:r>
            <w:r>
              <w:rPr>
                <w:rFonts w:hint="eastAsia"/>
                <w:b w:val="0"/>
                <w:spacing w:val="0"/>
                <w:sz w:val="24"/>
                <w:szCs w:val="24"/>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69" w:type="dxa"/>
            <w:gridSpan w:val="2"/>
            <w:vMerge w:val="continue"/>
            <w:vAlign w:val="center"/>
          </w:tcPr>
          <w:p>
            <w:pPr>
              <w:keepNext w:val="0"/>
              <w:keepLines w:val="0"/>
              <w:pageBreakBefore w:val="0"/>
              <w:widowControl w:val="0"/>
              <w:kinsoku/>
              <w:wordWrap/>
              <w:overflowPunct/>
              <w:topLinePunct w:val="0"/>
              <w:bidi w:val="0"/>
              <w:spacing w:line="348" w:lineRule="auto"/>
            </w:pP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资金来源</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highlight w:val="none"/>
              </w:rPr>
              <w:t>自收自支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69" w:type="dxa"/>
            <w:gridSpan w:val="2"/>
            <w:vMerge w:val="continue"/>
            <w:vAlign w:val="center"/>
          </w:tcPr>
          <w:p>
            <w:pPr>
              <w:keepNext w:val="0"/>
              <w:keepLines w:val="0"/>
              <w:pageBreakBefore w:val="0"/>
              <w:widowControl w:val="0"/>
              <w:kinsoku/>
              <w:wordWrap/>
              <w:overflowPunct/>
              <w:topLinePunct w:val="0"/>
              <w:bidi w:val="0"/>
              <w:spacing w:line="348" w:lineRule="auto"/>
            </w:pP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资金落实情况</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869" w:type="dxa"/>
            <w:gridSpan w:val="2"/>
            <w:vMerge w:val="continue"/>
            <w:vAlign w:val="center"/>
          </w:tcPr>
          <w:p>
            <w:pPr>
              <w:keepNext w:val="0"/>
              <w:keepLines w:val="0"/>
              <w:pageBreakBefore w:val="0"/>
              <w:widowControl w:val="0"/>
              <w:kinsoku/>
              <w:wordWrap/>
              <w:overflowPunct/>
              <w:topLinePunct w:val="0"/>
              <w:bidi w:val="0"/>
              <w:spacing w:line="348" w:lineRule="auto"/>
            </w:pP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供货周期</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自合同签订日起一年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69" w:type="dxa"/>
            <w:gridSpan w:val="2"/>
            <w:vAlign w:val="center"/>
          </w:tcPr>
          <w:p>
            <w:pPr>
              <w:keepNext w:val="0"/>
              <w:keepLines w:val="0"/>
              <w:pageBreakBefore w:val="0"/>
              <w:widowControl w:val="0"/>
              <w:kinsoku/>
              <w:wordWrap/>
              <w:overflowPunct/>
              <w:topLinePunct w:val="0"/>
              <w:bidi w:val="0"/>
              <w:spacing w:line="348" w:lineRule="auto"/>
            </w:pPr>
            <w:r>
              <w:rPr>
                <w:rFonts w:hint="eastAsia"/>
              </w:rPr>
              <w:t>1.2</w:t>
            </w: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资格要求</w:t>
            </w:r>
          </w:p>
        </w:tc>
        <w:tc>
          <w:tcPr>
            <w:tcW w:w="7779" w:type="dxa"/>
            <w:gridSpan w:val="2"/>
            <w:vAlign w:val="center"/>
          </w:tcPr>
          <w:p>
            <w:pPr>
              <w:keepNext w:val="0"/>
              <w:keepLines w:val="0"/>
              <w:pageBreakBefore w:val="0"/>
              <w:widowControl w:val="0"/>
              <w:kinsoku/>
              <w:wordWrap/>
              <w:overflowPunct/>
              <w:topLinePunct w:val="0"/>
              <w:bidi w:val="0"/>
              <w:spacing w:line="348" w:lineRule="auto"/>
              <w:rPr>
                <w:b/>
                <w:bCs/>
              </w:rPr>
            </w:pPr>
            <w:r>
              <w:rPr>
                <w:rFonts w:hint="eastAsia"/>
                <w:b/>
                <w:bCs/>
              </w:rPr>
              <w:t>供应商资格要求：</w:t>
            </w:r>
          </w:p>
          <w:p>
            <w:pPr>
              <w:keepNext w:val="0"/>
              <w:keepLines w:val="0"/>
              <w:pageBreakBefore w:val="0"/>
              <w:widowControl w:val="0"/>
              <w:kinsoku/>
              <w:wordWrap/>
              <w:overflowPunct/>
              <w:topLinePunct w:val="0"/>
              <w:bidi w:val="0"/>
              <w:spacing w:line="348" w:lineRule="auto"/>
              <w:rPr>
                <w:b/>
                <w:bCs/>
              </w:rPr>
            </w:pPr>
            <w:r>
              <w:rPr>
                <w:rFonts w:hint="eastAsia"/>
                <w:b/>
                <w:bCs/>
              </w:rPr>
              <w:t>1.满足《中华人民共和国政府采购法》第二十二条规定；</w:t>
            </w:r>
          </w:p>
          <w:p>
            <w:pPr>
              <w:keepNext w:val="0"/>
              <w:keepLines w:val="0"/>
              <w:pageBreakBefore w:val="0"/>
              <w:kinsoku/>
              <w:wordWrap/>
              <w:overflowPunct/>
              <w:topLinePunct w:val="0"/>
              <w:bidi w:val="0"/>
              <w:snapToGrid w:val="0"/>
              <w:spacing w:line="348" w:lineRule="auto"/>
              <w:rPr>
                <w:rFonts w:hint="eastAsia"/>
                <w:b/>
                <w:bCs/>
                <w:szCs w:val="24"/>
                <w:highlight w:val="none"/>
              </w:rPr>
            </w:pPr>
            <w:r>
              <w:rPr>
                <w:rFonts w:hint="eastAsia"/>
                <w:b/>
                <w:bCs/>
                <w:szCs w:val="24"/>
              </w:rPr>
              <w:t>2.落实政府采购政策需满足的资格要求</w:t>
            </w:r>
            <w:r>
              <w:rPr>
                <w:rFonts w:hint="eastAsia"/>
                <w:b/>
                <w:bCs/>
                <w:szCs w:val="24"/>
                <w:highlight w:val="none"/>
              </w:rPr>
              <w:t>：</w:t>
            </w:r>
          </w:p>
          <w:p>
            <w:pPr>
              <w:keepNext w:val="0"/>
              <w:keepLines w:val="0"/>
              <w:pageBreakBefore w:val="0"/>
              <w:kinsoku/>
              <w:wordWrap/>
              <w:overflowPunct/>
              <w:topLinePunct w:val="0"/>
              <w:bidi w:val="0"/>
              <w:snapToGrid w:val="0"/>
              <w:spacing w:line="348" w:lineRule="auto"/>
              <w:rPr>
                <w:rFonts w:hint="eastAsia"/>
                <w:szCs w:val="24"/>
                <w:lang w:eastAsia="zh-CN"/>
              </w:rPr>
            </w:pPr>
            <w:r>
              <w:rPr>
                <w:rFonts w:hint="eastAsia" w:hAnsi="宋体" w:eastAsia="宋体" w:cs="宋体"/>
                <w:szCs w:val="24"/>
                <w:highlight w:val="none"/>
              </w:rPr>
              <w:t>《关于进一步加大政府采购支持中小企业力度的通知》（财库[2022]19号）文件、</w:t>
            </w:r>
            <w:r>
              <w:rPr>
                <w:rFonts w:hint="eastAsia"/>
                <w:szCs w:val="24"/>
                <w:highlight w:val="none"/>
              </w:rPr>
              <w:t>《政府采购促进中小企业发展管理办法》（财库〔2020〕46号）、《关于</w:t>
            </w:r>
            <w:r>
              <w:rPr>
                <w:rFonts w:hint="eastAsia"/>
                <w:szCs w:val="24"/>
              </w:rPr>
              <w:t>政府采购支持监狱企业发展有关问题的通知》(财库〔2014〕68号)、《关于促进残疾人就业政府采购政策的通知》（财库〔2017〕141号)、《关于环境标志产品政府采购实施的意见》（财库〔2006〕90号）、《节能产品政府采购实施意见》的通知（财库〔2004〕185号）。《财政部发展改革委生态环境部市场监管总局关于调整优化节能产品、环境标志产品政府采购执行机制的通知》（财库〔2019〕9号）。关于运用政府采购政策支持脱贫攻坚的通知</w:t>
            </w:r>
            <w:r>
              <w:rPr>
                <w:rFonts w:hint="eastAsia"/>
                <w:szCs w:val="24"/>
                <w:lang w:eastAsia="zh-CN"/>
              </w:rPr>
              <w:t>《</w:t>
            </w:r>
            <w:r>
              <w:rPr>
                <w:rFonts w:hint="eastAsia"/>
                <w:szCs w:val="24"/>
              </w:rPr>
              <w:t>财库〔2019〕27号</w:t>
            </w:r>
            <w:r>
              <w:rPr>
                <w:rFonts w:hint="eastAsia"/>
                <w:szCs w:val="24"/>
                <w:lang w:eastAsia="zh-CN"/>
              </w:rPr>
              <w:t>》；</w:t>
            </w:r>
          </w:p>
          <w:p>
            <w:pPr>
              <w:widowControl w:val="0"/>
              <w:numPr>
                <w:ilvl w:val="0"/>
                <w:numId w:val="0"/>
              </w:numPr>
              <w:spacing w:line="360" w:lineRule="auto"/>
              <w:rPr>
                <w:rFonts w:hint="eastAsia"/>
                <w:b/>
                <w:bCs/>
                <w:szCs w:val="24"/>
                <w:lang w:eastAsia="zh-CN"/>
              </w:rPr>
            </w:pPr>
            <w:r>
              <w:rPr>
                <w:rFonts w:hint="eastAsia" w:hAnsi="宋体" w:eastAsia="宋体"/>
                <w:b/>
                <w:bCs/>
                <w:sz w:val="24"/>
                <w:szCs w:val="24"/>
                <w:lang w:val="en-US" w:eastAsia="zh-CN"/>
              </w:rPr>
              <w:t>3.</w:t>
            </w:r>
            <w:r>
              <w:rPr>
                <w:rFonts w:hint="eastAsia"/>
                <w:b/>
                <w:bCs/>
                <w:sz w:val="24"/>
                <w:szCs w:val="24"/>
                <w:lang w:val="en-US" w:eastAsia="zh-CN"/>
              </w:rPr>
              <w:t>包2（面粉）面向大型、中型及小微型企业</w:t>
            </w:r>
            <w:r>
              <w:rPr>
                <w:rFonts w:hint="eastAsia" w:ascii="宋体" w:hAnsi="宋体" w:eastAsia="宋体"/>
                <w:b w:val="0"/>
                <w:bCs w:val="0"/>
                <w:sz w:val="24"/>
                <w:szCs w:val="24"/>
                <w:lang w:val="en-US" w:eastAsia="zh-CN"/>
              </w:rPr>
              <w:t>。</w:t>
            </w:r>
          </w:p>
          <w:p>
            <w:pPr>
              <w:keepNext w:val="0"/>
              <w:keepLines w:val="0"/>
              <w:pageBreakBefore w:val="0"/>
              <w:widowControl w:val="0"/>
              <w:kinsoku/>
              <w:wordWrap/>
              <w:overflowPunct/>
              <w:topLinePunct w:val="0"/>
              <w:bidi w:val="0"/>
              <w:spacing w:line="348" w:lineRule="auto"/>
              <w:rPr>
                <w:b/>
                <w:bCs/>
              </w:rPr>
            </w:pPr>
            <w:r>
              <w:rPr>
                <w:rFonts w:hint="eastAsia"/>
                <w:b/>
                <w:bCs/>
                <w:lang w:val="en-US" w:eastAsia="zh-CN"/>
              </w:rPr>
              <w:t>4</w:t>
            </w:r>
            <w:r>
              <w:rPr>
                <w:rFonts w:hint="eastAsia"/>
                <w:b/>
                <w:bCs/>
              </w:rPr>
              <w:t>.本项目的特定资格要求：</w:t>
            </w:r>
          </w:p>
          <w:p>
            <w:pPr>
              <w:widowControl w:val="0"/>
              <w:numPr>
                <w:ilvl w:val="0"/>
                <w:numId w:val="0"/>
              </w:numPr>
              <w:spacing w:line="360" w:lineRule="auto"/>
            </w:pPr>
            <w:r>
              <w:rPr>
                <w:rFonts w:hint="eastAsia"/>
                <w:lang w:val="en-US" w:eastAsia="zh-CN"/>
              </w:rPr>
              <w:t>1）</w:t>
            </w:r>
            <w:r>
              <w:rPr>
                <w:rFonts w:hint="eastAsia"/>
              </w:rPr>
              <w:t>供应商须具有有效的营业执照；</w:t>
            </w:r>
          </w:p>
          <w:p>
            <w:pPr>
              <w:widowControl w:val="0"/>
              <w:numPr>
                <w:ilvl w:val="0"/>
                <w:numId w:val="0"/>
              </w:numPr>
              <w:spacing w:line="360" w:lineRule="auto"/>
            </w:pPr>
            <w:r>
              <w:rPr>
                <w:rFonts w:hint="eastAsia"/>
                <w:lang w:val="en-US" w:eastAsia="zh-CN"/>
              </w:rPr>
              <w:t>2）</w:t>
            </w:r>
            <w:r>
              <w:rPr>
                <w:rFonts w:hint="eastAsia"/>
              </w:rPr>
              <w:t>如是生产商须提供有效的食品生产许可证；如是经销商须提供有效的食品经营许可证</w:t>
            </w:r>
            <w:r>
              <w:rPr>
                <w:rFonts w:hint="eastAsia"/>
                <w:lang w:eastAsia="zh-CN"/>
              </w:rPr>
              <w:t>；</w:t>
            </w:r>
          </w:p>
          <w:p>
            <w:pPr>
              <w:widowControl w:val="0"/>
              <w:numPr>
                <w:ilvl w:val="0"/>
                <w:numId w:val="0"/>
              </w:numPr>
              <w:spacing w:line="360" w:lineRule="auto"/>
              <w:rPr>
                <w:highlight w:val="none"/>
              </w:rPr>
            </w:pPr>
            <w:r>
              <w:rPr>
                <w:rFonts w:hint="eastAsia"/>
                <w:highlight w:val="none"/>
                <w:lang w:val="en-US" w:eastAsia="zh-CN"/>
              </w:rPr>
              <w:t>3）</w:t>
            </w:r>
            <w:r>
              <w:rPr>
                <w:rFonts w:hint="eastAsia"/>
                <w:highlight w:val="none"/>
              </w:rPr>
              <w:t>投标产品具有市级（含）（含产地）以上食品质检部门出具的投标产品质量检测报告</w:t>
            </w:r>
            <w:r>
              <w:rPr>
                <w:rFonts w:hint="eastAsia"/>
                <w:highlight w:val="none"/>
                <w:lang w:eastAsia="zh-CN"/>
              </w:rPr>
              <w:t>（</w:t>
            </w:r>
            <w:r>
              <w:rPr>
                <w:rFonts w:hint="eastAsia"/>
                <w:highlight w:val="none"/>
                <w:lang w:val="en-US" w:eastAsia="zh-CN"/>
              </w:rPr>
              <w:t>标截止时间前半年内任一</w:t>
            </w:r>
            <w:r>
              <w:rPr>
                <w:rFonts w:hint="eastAsia"/>
                <w:highlight w:val="none"/>
              </w:rPr>
              <w:t>个月</w:t>
            </w:r>
            <w:r>
              <w:rPr>
                <w:rFonts w:hint="eastAsia"/>
                <w:highlight w:val="none"/>
                <w:lang w:eastAsia="zh-CN"/>
              </w:rPr>
              <w:t>）；</w:t>
            </w:r>
          </w:p>
          <w:p>
            <w:pPr>
              <w:pStyle w:val="5"/>
              <w:spacing w:line="360" w:lineRule="auto"/>
              <w:ind w:left="0" w:leftChars="0" w:firstLine="0" w:firstLineChars="0"/>
              <w:rPr>
                <w:rFonts w:hint="eastAsia" w:hAnsi="宋体"/>
                <w:kern w:val="2"/>
              </w:rPr>
            </w:pPr>
            <w:r>
              <w:rPr>
                <w:rFonts w:hint="eastAsia"/>
                <w:highlight w:val="none"/>
                <w:lang w:val="en-US" w:eastAsia="zh-CN"/>
              </w:rPr>
              <w:t>4</w:t>
            </w:r>
            <w:r>
              <w:rPr>
                <w:rFonts w:hint="eastAsia"/>
                <w:highlight w:val="none"/>
              </w:rPr>
              <w:t>)</w:t>
            </w:r>
            <w:r>
              <w:rPr>
                <w:rFonts w:hint="eastAsia" w:hAnsi="宋体"/>
                <w:kern w:val="2"/>
                <w:highlight w:val="none"/>
              </w:rPr>
              <w:t>凡拟参加本次招标</w:t>
            </w:r>
            <w:r>
              <w:rPr>
                <w:rFonts w:hint="eastAsia" w:hAnsi="宋体"/>
                <w:kern w:val="2"/>
              </w:rPr>
              <w:t>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系统失信惩戒企业名单。近三年政府采购合同履约过程中及其他经营活动履约过程中因围标串标、偷税漏税、制售假冒伪劣商品等行为被有关行政部门处罚（处理）记录的，本项目不认定其具有良好的商业信誉，将拒绝其参与本次投标活动；</w:t>
            </w:r>
          </w:p>
          <w:p>
            <w:pPr>
              <w:pStyle w:val="5"/>
              <w:spacing w:line="360" w:lineRule="auto"/>
              <w:ind w:left="0" w:leftChars="0" w:firstLine="0" w:firstLineChars="0"/>
              <w:rPr>
                <w:highlight w:val="yellow"/>
              </w:rPr>
            </w:pPr>
            <w:r>
              <w:rPr>
                <w:rFonts w:hint="eastAsia" w:hAnsi="宋体"/>
                <w:kern w:val="2"/>
                <w:lang w:val="en-US" w:eastAsia="zh-CN"/>
              </w:rPr>
              <w:t>5</w:t>
            </w:r>
            <w:r>
              <w:rPr>
                <w:rFonts w:hint="eastAsia" w:hAnsi="宋体"/>
                <w:kern w:val="2"/>
                <w:lang w:eastAsia="zh-CN"/>
              </w:rPr>
              <w:t>）</w:t>
            </w:r>
            <w:r>
              <w:rPr>
                <w:rFonts w:hint="eastAsia" w:hAnsi="宋体"/>
                <w:kern w:val="2"/>
              </w:rPr>
              <w:t>有依法缴纳税收和社保部门出具一个月（标截止时间前半年内任一个月）的企业员工缴纳社保证明（社保缴费凭证及个人明细表）及税务系统出据的完税证明；具有良好的商业信誉和健全的财务会计制度（提供近一年度经审计的财务报表或审计报告【成立不满一年不需要提供，审计报告指2021年】或其基本户开户银行开具的资信证明）；</w:t>
            </w:r>
            <w:r>
              <w:rPr>
                <w:rFonts w:hint="eastAsia" w:hAnsi="宋体"/>
                <w:kern w:val="2"/>
                <w:lang w:eastAsia="zh-CN"/>
              </w:rPr>
              <w:t>（投标人如为个体工商户不需提供）</w:t>
            </w:r>
          </w:p>
          <w:p>
            <w:pPr>
              <w:widowControl w:val="0"/>
              <w:spacing w:line="360" w:lineRule="auto"/>
            </w:pPr>
            <w:r>
              <w:rPr>
                <w:rFonts w:hint="eastAsia"/>
                <w:lang w:val="en-US" w:eastAsia="zh-CN"/>
              </w:rPr>
              <w:t>6</w:t>
            </w:r>
            <w:r>
              <w:rPr>
                <w:rFonts w:hint="eastAsia"/>
              </w:rPr>
              <w:t>）单位负责人为同一人或者存在直接控股、管理关系的不同供应商，不得同时参加同一包的采购活动；</w:t>
            </w:r>
          </w:p>
          <w:p>
            <w:pPr>
              <w:spacing w:line="360" w:lineRule="auto"/>
              <w:rPr>
                <w:rFonts w:hint="eastAsia" w:eastAsia="宋体"/>
                <w:lang w:eastAsia="zh-CN"/>
              </w:rPr>
            </w:pPr>
            <w:r>
              <w:rPr>
                <w:rFonts w:hint="eastAsia"/>
                <w:lang w:val="en-US" w:eastAsia="zh-CN"/>
              </w:rPr>
              <w:t>7</w:t>
            </w:r>
            <w:r>
              <w:rPr>
                <w:rFonts w:hint="eastAsia"/>
              </w:rPr>
              <w:t>）本项目招标不接受联合体投标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69" w:type="dxa"/>
            <w:gridSpan w:val="2"/>
            <w:vAlign w:val="center"/>
          </w:tcPr>
          <w:p>
            <w:pPr>
              <w:keepNext w:val="0"/>
              <w:keepLines w:val="0"/>
              <w:pageBreakBefore w:val="0"/>
              <w:widowControl w:val="0"/>
              <w:kinsoku/>
              <w:wordWrap/>
              <w:overflowPunct/>
              <w:topLinePunct w:val="0"/>
              <w:bidi w:val="0"/>
              <w:spacing w:line="348" w:lineRule="auto"/>
            </w:pPr>
            <w:r>
              <w:rPr>
                <w:rFonts w:hint="eastAsia"/>
              </w:rPr>
              <w:t>1.3</w:t>
            </w: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澄清或修改</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获取招标文件的供应商如认为招标文件如有表述不清晰、缺页、漏页、损页或疑问等，应当在投标截止时间前10日，以书面形式要求采购人做出书面解释、澄清或补齐；采购人（采购代理机构）将在收到书面函的3个工作日内组织澄清或补齐；澄清或补齐内容是招标文件的组成部份，并将以招标文件的补充文件形式在规定的发布渠道（招标公告发布网站）书面发布通知所有已获取招标文件的供应商。供应商应自行留意采购人（采购代理机构）发出的对招标文件的澄清、修改或补充文件，并及时在发布的网站自行下载获取相应的文本文件获取即可，无须回签确认收到的函。供应商未按规定时间在发布渠道的网站下载的，视同已收到。因其他紧急情况影响本项目正常招标活动的，采购方将在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gridSpan w:val="2"/>
            <w:vAlign w:val="center"/>
          </w:tcPr>
          <w:p>
            <w:pPr>
              <w:keepNext w:val="0"/>
              <w:keepLines w:val="0"/>
              <w:pageBreakBefore w:val="0"/>
              <w:widowControl w:val="0"/>
              <w:kinsoku/>
              <w:wordWrap/>
              <w:overflowPunct/>
              <w:topLinePunct w:val="0"/>
              <w:bidi w:val="0"/>
              <w:spacing w:line="348" w:lineRule="auto"/>
            </w:pPr>
            <w:r>
              <w:rPr>
                <w:rFonts w:hint="eastAsia"/>
              </w:rPr>
              <w:t>1.4</w:t>
            </w:r>
          </w:p>
        </w:tc>
        <w:tc>
          <w:tcPr>
            <w:tcW w:w="1705" w:type="dxa"/>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响应文件份数</w:t>
            </w:r>
          </w:p>
        </w:tc>
        <w:tc>
          <w:tcPr>
            <w:tcW w:w="7779" w:type="dxa"/>
            <w:gridSpan w:val="2"/>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响应文件的数量：正本1份、副本4份；</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供应商须按采购文件的规定制作响应文件，正、副本可以密封在同一文件袋中。应响应节能环保，减少环境污染，请采用双面打印。</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2、报价一览表的数量：1份（单独密封），并在信封上标明“报价一览表”字样。（注：报价一览表及报价明细表密封在一个信封袋）</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3、电子版响应文件：1份（□Word，☑ PDF，以U盘形式提交，单独密封）</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各密封袋注明：项目名称、供应商名称和地址，加盖供应商公章。（响应文件一律不退）。</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（注：1、装订形式：不得采用活页、拉杆等方式，必须采用胶装；2、若供应商同时参两个及两个以上合同包的投标，必须按不同合同包分别编制响应文件。）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gridSpan w:val="2"/>
            <w:vAlign w:val="center"/>
          </w:tcPr>
          <w:p>
            <w:pPr>
              <w:keepNext w:val="0"/>
              <w:keepLines w:val="0"/>
              <w:pageBreakBefore w:val="0"/>
              <w:widowControl w:val="0"/>
              <w:kinsoku/>
              <w:wordWrap/>
              <w:overflowPunct/>
              <w:topLinePunct w:val="0"/>
              <w:bidi w:val="0"/>
              <w:spacing w:line="348" w:lineRule="auto"/>
            </w:pPr>
            <w:r>
              <w:rPr>
                <w:rFonts w:hint="eastAsia"/>
              </w:rPr>
              <w:t>1.5</w:t>
            </w: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采购预算金额</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包2（面粉）：2045720元（贰佰零肆万伍仟柒佰贰拾元整）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9" w:type="dxa"/>
            <w:gridSpan w:val="2"/>
            <w:vAlign w:val="center"/>
          </w:tcPr>
          <w:p>
            <w:pPr>
              <w:keepNext w:val="0"/>
              <w:keepLines w:val="0"/>
              <w:pageBreakBefore w:val="0"/>
              <w:widowControl w:val="0"/>
              <w:kinsoku/>
              <w:wordWrap/>
              <w:overflowPunct/>
              <w:topLinePunct w:val="0"/>
              <w:bidi w:val="0"/>
              <w:spacing w:line="348" w:lineRule="auto"/>
            </w:pPr>
            <w:r>
              <w:rPr>
                <w:rFonts w:hint="eastAsia"/>
              </w:rPr>
              <w:t>1.6</w:t>
            </w: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投标报价</w:t>
            </w:r>
          </w:p>
        </w:tc>
        <w:tc>
          <w:tcPr>
            <w:tcW w:w="7779" w:type="dxa"/>
            <w:gridSpan w:val="2"/>
            <w:vAlign w:val="center"/>
          </w:tcPr>
          <w:p>
            <w:pPr>
              <w:keepNext w:val="0"/>
              <w:keepLines w:val="0"/>
              <w:pageBreakBefore w:val="0"/>
              <w:widowControl w:val="0"/>
              <w:kinsoku/>
              <w:wordWrap/>
              <w:overflowPunct/>
              <w:topLinePunct w:val="0"/>
              <w:bidi w:val="0"/>
              <w:spacing w:line="348" w:lineRule="auto"/>
            </w:pPr>
            <w:r>
              <w:t>1、采用固定价报价</w:t>
            </w:r>
          </w:p>
          <w:p>
            <w:pPr>
              <w:keepNext w:val="0"/>
              <w:keepLines w:val="0"/>
              <w:pageBreakBefore w:val="0"/>
              <w:widowControl w:val="0"/>
              <w:kinsoku/>
              <w:wordWrap/>
              <w:overflowPunct/>
              <w:topLinePunct w:val="0"/>
              <w:bidi w:val="0"/>
              <w:spacing w:line="348" w:lineRule="auto"/>
            </w:pPr>
            <w:r>
              <w:t>2、验收标准：执行国家标准。</w:t>
            </w:r>
          </w:p>
          <w:p>
            <w:pPr>
              <w:keepNext w:val="0"/>
              <w:keepLines w:val="0"/>
              <w:pageBreakBefore w:val="0"/>
              <w:widowControl w:val="0"/>
              <w:kinsoku/>
              <w:wordWrap/>
              <w:overflowPunct/>
              <w:topLinePunct w:val="0"/>
              <w:bidi w:val="0"/>
              <w:spacing w:line="348" w:lineRule="auto"/>
            </w:pPr>
            <w:r>
              <w:t>3、应根据项目的实际需要整体报价，报价应包含合同期限内服务及其他相关工作的所有费用。</w:t>
            </w:r>
          </w:p>
          <w:p>
            <w:pPr>
              <w:keepNext w:val="0"/>
              <w:keepLines w:val="0"/>
              <w:pageBreakBefore w:val="0"/>
              <w:widowControl w:val="0"/>
              <w:kinsoku/>
              <w:wordWrap/>
              <w:overflowPunct/>
              <w:topLinePunct w:val="0"/>
              <w:bidi w:val="0"/>
              <w:spacing w:line="348" w:lineRule="auto"/>
            </w:pPr>
            <w:r>
              <w:t>4、配送价格应包含乙方所有税费、成本、利润、运输、装卸、各类劳保、保险等一切费用。</w:t>
            </w:r>
          </w:p>
          <w:p>
            <w:pPr>
              <w:keepNext w:val="0"/>
              <w:keepLines w:val="0"/>
              <w:pageBreakBefore w:val="0"/>
              <w:widowControl w:val="0"/>
              <w:kinsoku/>
              <w:wordWrap/>
              <w:overflowPunct/>
              <w:topLinePunct w:val="0"/>
              <w:bidi w:val="0"/>
              <w:spacing w:line="348" w:lineRule="auto"/>
            </w:pPr>
            <w:r>
              <w:t>5、具体数量以实际供货为准。</w:t>
            </w:r>
          </w:p>
          <w:p>
            <w:pPr>
              <w:keepNext w:val="0"/>
              <w:keepLines w:val="0"/>
              <w:pageBreakBefore w:val="0"/>
              <w:widowControl w:val="0"/>
              <w:kinsoku/>
              <w:wordWrap/>
              <w:overflowPunct/>
              <w:topLinePunct w:val="0"/>
              <w:bidi w:val="0"/>
              <w:spacing w:line="348" w:lineRule="auto"/>
            </w:pPr>
            <w:r>
              <w:t>6、请供应商慎重考虑所投报价，后期一旦中标，将严格按照该所投报价执行每种产品。</w:t>
            </w:r>
          </w:p>
          <w:p>
            <w:pPr>
              <w:keepNext w:val="0"/>
              <w:keepLines w:val="0"/>
              <w:pageBreakBefore w:val="0"/>
              <w:widowControl w:val="0"/>
              <w:kinsoku/>
              <w:wordWrap/>
              <w:overflowPunct/>
              <w:topLinePunct w:val="0"/>
              <w:bidi w:val="0"/>
              <w:spacing w:line="348" w:lineRule="auto"/>
            </w:pPr>
            <w:r>
              <w:t>7、供应商应在招标文件所附相应的《报价明细表》中标明所提供产品含税单价和总价。如含税单价和总价不符，以含税</w:t>
            </w:r>
            <w:r>
              <w:rPr>
                <w:rFonts w:hint="eastAsia"/>
              </w:rPr>
              <w:t>单</w:t>
            </w:r>
            <w:r>
              <w:t>价累计为准。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869" w:type="dxa"/>
            <w:gridSpan w:val="2"/>
            <w:vAlign w:val="center"/>
          </w:tcPr>
          <w:p>
            <w:pPr>
              <w:keepNext w:val="0"/>
              <w:keepLines w:val="0"/>
              <w:pageBreakBefore w:val="0"/>
              <w:widowControl w:val="0"/>
              <w:kinsoku/>
              <w:wordWrap/>
              <w:overflowPunct/>
              <w:topLinePunct w:val="0"/>
              <w:bidi w:val="0"/>
              <w:spacing w:line="348" w:lineRule="auto"/>
            </w:pPr>
            <w:r>
              <w:rPr>
                <w:rFonts w:hint="eastAsia"/>
              </w:rPr>
              <w:t>1.7</w:t>
            </w: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投标有效期</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投标有效期为：投标截止期结束后90日历日，有效期不足将导致其响应文件被拒绝。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69" w:type="dxa"/>
            <w:gridSpan w:val="2"/>
            <w:vAlign w:val="center"/>
          </w:tcPr>
          <w:p>
            <w:pPr>
              <w:keepNext w:val="0"/>
              <w:keepLines w:val="0"/>
              <w:pageBreakBefore w:val="0"/>
              <w:widowControl w:val="0"/>
              <w:kinsoku/>
              <w:wordWrap/>
              <w:overflowPunct/>
              <w:topLinePunct w:val="0"/>
              <w:bidi w:val="0"/>
              <w:spacing w:line="348" w:lineRule="auto"/>
            </w:pPr>
            <w:r>
              <w:rPr>
                <w:rFonts w:hint="eastAsia"/>
              </w:rPr>
              <w:t>1.8</w:t>
            </w:r>
          </w:p>
        </w:tc>
        <w:tc>
          <w:tcPr>
            <w:tcW w:w="1705" w:type="dxa"/>
            <w:vAlign w:val="center"/>
          </w:tcPr>
          <w:p>
            <w:pPr>
              <w:keepNext w:val="0"/>
              <w:keepLines w:val="0"/>
              <w:pageBreakBefore w:val="0"/>
              <w:widowControl w:val="0"/>
              <w:kinsoku/>
              <w:wordWrap/>
              <w:overflowPunct/>
              <w:topLinePunct w:val="0"/>
              <w:bidi w:val="0"/>
              <w:spacing w:line="348" w:lineRule="auto"/>
            </w:pPr>
            <w:r>
              <w:rPr>
                <w:rFonts w:hint="eastAsia"/>
              </w:rPr>
              <w:t>投标保证金</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szCs w:val="21"/>
              </w:rPr>
              <w:t>投标保证金递交截止时间：递交响应文件截止时间前（以到账时间为准）</w:t>
            </w:r>
          </w:p>
          <w:p>
            <w:pPr>
              <w:keepNext w:val="0"/>
              <w:keepLines w:val="0"/>
              <w:pageBreakBefore w:val="0"/>
              <w:widowControl w:val="0"/>
              <w:kinsoku/>
              <w:wordWrap/>
              <w:overflowPunct/>
              <w:topLinePunct w:val="0"/>
              <w:bidi w:val="0"/>
              <w:spacing w:line="348" w:lineRule="auto"/>
            </w:pPr>
            <w:r>
              <w:rPr>
                <w:rFonts w:hint="eastAsia"/>
              </w:rPr>
              <w:t>投标保证金金额：</w:t>
            </w:r>
          </w:p>
          <w:p>
            <w:pPr>
              <w:keepNext w:val="0"/>
              <w:keepLines w:val="0"/>
              <w:pageBreakBefore w:val="0"/>
              <w:widowControl w:val="0"/>
              <w:kinsoku/>
              <w:wordWrap/>
              <w:overflowPunct/>
              <w:topLinePunct w:val="0"/>
              <w:bidi w:val="0"/>
              <w:spacing w:line="348" w:lineRule="auto"/>
            </w:pPr>
            <w:r>
              <w:rPr>
                <w:rFonts w:hint="eastAsia"/>
              </w:rPr>
              <w:t>包2：40000元（肆万元整）</w:t>
            </w:r>
          </w:p>
          <w:p>
            <w:pPr>
              <w:keepNext w:val="0"/>
              <w:keepLines w:val="0"/>
              <w:pageBreakBefore w:val="0"/>
              <w:widowControl w:val="0"/>
              <w:kinsoku/>
              <w:wordWrap/>
              <w:overflowPunct/>
              <w:topLinePunct w:val="0"/>
              <w:bidi w:val="0"/>
              <w:spacing w:line="348" w:lineRule="auto"/>
              <w:rPr>
                <w:b/>
                <w:bCs/>
              </w:rPr>
            </w:pPr>
            <w:r>
              <w:rPr>
                <w:rFonts w:hint="eastAsia"/>
                <w:b/>
                <w:bCs/>
              </w:rPr>
              <w:t>户名：新疆拓源工程管理咨询有限公司</w:t>
            </w:r>
          </w:p>
          <w:p>
            <w:pPr>
              <w:keepNext w:val="0"/>
              <w:keepLines w:val="0"/>
              <w:pageBreakBefore w:val="0"/>
              <w:widowControl w:val="0"/>
              <w:kinsoku/>
              <w:wordWrap/>
              <w:overflowPunct/>
              <w:topLinePunct w:val="0"/>
              <w:bidi w:val="0"/>
              <w:spacing w:line="348" w:lineRule="auto"/>
              <w:rPr>
                <w:b/>
                <w:bCs/>
              </w:rPr>
            </w:pPr>
            <w:r>
              <w:rPr>
                <w:rFonts w:hint="eastAsia"/>
                <w:b/>
                <w:bCs/>
              </w:rPr>
              <w:t>账号：</w:t>
            </w:r>
            <w:r>
              <w:rPr>
                <w:rFonts w:hint="eastAsia"/>
                <w:b/>
                <w:bCs/>
                <w:szCs w:val="21"/>
              </w:rPr>
              <w:t>107675470537</w:t>
            </w:r>
          </w:p>
          <w:p>
            <w:pPr>
              <w:keepNext w:val="0"/>
              <w:keepLines w:val="0"/>
              <w:pageBreakBefore w:val="0"/>
              <w:widowControl w:val="0"/>
              <w:kinsoku/>
              <w:wordWrap/>
              <w:overflowPunct/>
              <w:topLinePunct w:val="0"/>
              <w:bidi w:val="0"/>
              <w:spacing w:line="348" w:lineRule="auto"/>
              <w:rPr>
                <w:b/>
                <w:bCs/>
              </w:rPr>
            </w:pPr>
            <w:r>
              <w:rPr>
                <w:rFonts w:hint="eastAsia"/>
                <w:b/>
                <w:bCs/>
              </w:rPr>
              <w:t>开户银行：中国银行乌鲁木齐延安路支行</w:t>
            </w:r>
          </w:p>
          <w:p>
            <w:pPr>
              <w:keepNext w:val="0"/>
              <w:keepLines w:val="0"/>
              <w:pageBreakBefore w:val="0"/>
              <w:widowControl w:val="0"/>
              <w:kinsoku/>
              <w:wordWrap/>
              <w:overflowPunct/>
              <w:topLinePunct w:val="0"/>
              <w:bidi w:val="0"/>
              <w:spacing w:line="348" w:lineRule="auto"/>
              <w:rPr>
                <w:b/>
                <w:bCs/>
              </w:rPr>
            </w:pPr>
            <w:r>
              <w:rPr>
                <w:rFonts w:hint="eastAsia"/>
                <w:b/>
                <w:bCs/>
              </w:rPr>
              <w:t>行号：104881006135</w:t>
            </w:r>
          </w:p>
          <w:p>
            <w:pPr>
              <w:keepNext w:val="0"/>
              <w:keepLines w:val="0"/>
              <w:pageBreakBefore w:val="0"/>
              <w:widowControl w:val="0"/>
              <w:kinsoku/>
              <w:wordWrap/>
              <w:overflowPunct/>
              <w:topLinePunct w:val="0"/>
              <w:bidi w:val="0"/>
              <w:spacing w:line="348" w:lineRule="auto"/>
            </w:pPr>
            <w:r>
              <w:rPr>
                <w:rFonts w:hint="eastAsia"/>
              </w:rPr>
              <w:t>请于</w:t>
            </w:r>
            <w:r>
              <w:rPr>
                <w:rFonts w:hint="eastAsia"/>
                <w:highlight w:val="none"/>
              </w:rPr>
              <w:t>2022年</w:t>
            </w:r>
            <w:r>
              <w:rPr>
                <w:rFonts w:hint="eastAsia"/>
                <w:highlight w:val="none"/>
                <w:lang w:val="en-US" w:eastAsia="zh-CN"/>
              </w:rPr>
              <w:t>10</w:t>
            </w:r>
            <w:r>
              <w:rPr>
                <w:rFonts w:hint="eastAsia"/>
                <w:highlight w:val="none"/>
              </w:rPr>
              <w:t>月</w:t>
            </w:r>
            <w:r>
              <w:rPr>
                <w:rFonts w:hint="eastAsia"/>
                <w:highlight w:val="none"/>
                <w:lang w:val="en-US" w:eastAsia="zh-CN"/>
              </w:rPr>
              <w:t>25</w:t>
            </w:r>
            <w:r>
              <w:rPr>
                <w:rFonts w:hint="eastAsia"/>
                <w:highlight w:val="none"/>
              </w:rPr>
              <w:t>日11：00之前</w:t>
            </w:r>
            <w:r>
              <w:rPr>
                <w:rFonts w:hint="eastAsia"/>
              </w:rPr>
              <w:t>将投标保证金足额网银或电汇</w:t>
            </w:r>
            <w:r>
              <w:rPr>
                <w:rFonts w:hint="eastAsia"/>
                <w:lang w:eastAsia="zh-CN"/>
              </w:rPr>
              <w:t>提交</w:t>
            </w:r>
            <w:r>
              <w:rPr>
                <w:rFonts w:hint="eastAsia"/>
              </w:rPr>
              <w:t>到新疆拓源工程管理咨询有限公司指定账号。</w:t>
            </w:r>
          </w:p>
          <w:p>
            <w:pPr>
              <w:keepNext w:val="0"/>
              <w:keepLines w:val="0"/>
              <w:pageBreakBefore w:val="0"/>
              <w:widowControl w:val="0"/>
              <w:kinsoku/>
              <w:wordWrap/>
              <w:overflowPunct/>
              <w:topLinePunct w:val="0"/>
              <w:bidi w:val="0"/>
              <w:spacing w:line="348" w:lineRule="auto"/>
            </w:pPr>
            <w:r>
              <w:rPr>
                <w:rFonts w:hint="eastAsia"/>
              </w:rPr>
              <w:t>备注：需备注项目名称及包号，项目名称可以简写。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1.9</w:t>
            </w:r>
          </w:p>
        </w:tc>
        <w:tc>
          <w:tcPr>
            <w:tcW w:w="1722" w:type="dxa"/>
            <w:gridSpan w:val="2"/>
            <w:vAlign w:val="center"/>
          </w:tcPr>
          <w:p>
            <w:pPr>
              <w:keepNext w:val="0"/>
              <w:keepLines w:val="0"/>
              <w:pageBreakBefore w:val="0"/>
              <w:widowControl w:val="0"/>
              <w:kinsoku/>
              <w:wordWrap/>
              <w:overflowPunct/>
              <w:topLinePunct w:val="0"/>
              <w:bidi w:val="0"/>
              <w:spacing w:line="348" w:lineRule="auto"/>
              <w:rPr>
                <w:rFonts w:ascii="宋体" w:hAnsi="宋体" w:eastAsia="宋体" w:cs="宋体"/>
                <w:sz w:val="24"/>
                <w:szCs w:val="24"/>
                <w:lang w:val="en-US" w:eastAsia="zh-CN" w:bidi="ar-SA"/>
              </w:rPr>
            </w:pPr>
            <w:r>
              <w:rPr>
                <w:rFonts w:hint="eastAsia"/>
              </w:rPr>
              <w:t>封套上写明</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项目名称：本采购项目</w:t>
            </w:r>
          </w:p>
          <w:p>
            <w:pPr>
              <w:keepNext w:val="0"/>
              <w:keepLines w:val="0"/>
              <w:pageBreakBefore w:val="0"/>
              <w:widowControl w:val="0"/>
              <w:kinsoku/>
              <w:wordWrap/>
              <w:overflowPunct/>
              <w:topLinePunct w:val="0"/>
              <w:bidi w:val="0"/>
              <w:spacing w:line="348" w:lineRule="auto"/>
              <w:rPr>
                <w:rFonts w:hint="eastAsia"/>
              </w:rPr>
            </w:pPr>
            <w:r>
              <w:rPr>
                <w:rFonts w:hint="eastAsia"/>
              </w:rPr>
              <w:t>供应商名称：供应商全称（加盖公章）</w:t>
            </w:r>
          </w:p>
          <w:p>
            <w:pPr>
              <w:keepNext w:val="0"/>
              <w:keepLines w:val="0"/>
              <w:pageBreakBefore w:val="0"/>
              <w:widowControl w:val="0"/>
              <w:kinsoku/>
              <w:wordWrap/>
              <w:overflowPunct/>
              <w:topLinePunct w:val="0"/>
              <w:bidi w:val="0"/>
              <w:spacing w:line="348" w:lineRule="auto"/>
              <w:rPr>
                <w:rFonts w:hint="default" w:eastAsia="宋体"/>
                <w:lang w:val="en-US" w:eastAsia="zh-CN"/>
              </w:rPr>
            </w:pPr>
            <w:r>
              <w:rPr>
                <w:rFonts w:hint="eastAsia"/>
                <w:lang w:val="en-US" w:eastAsia="zh-CN"/>
              </w:rPr>
              <w:t>供应商地址：</w:t>
            </w:r>
          </w:p>
          <w:p>
            <w:pPr>
              <w:keepNext w:val="0"/>
              <w:keepLines w:val="0"/>
              <w:pageBreakBefore w:val="0"/>
              <w:widowControl w:val="0"/>
              <w:kinsoku/>
              <w:wordWrap/>
              <w:overflowPunct/>
              <w:topLinePunct w:val="0"/>
              <w:bidi w:val="0"/>
              <w:spacing w:line="348" w:lineRule="auto"/>
              <w:rPr>
                <w:rFonts w:ascii="宋体" w:hAnsi="宋体" w:eastAsia="宋体" w:cs="宋体"/>
                <w:sz w:val="24"/>
                <w:szCs w:val="24"/>
                <w:lang w:val="en-US" w:eastAsia="zh-CN" w:bidi="ar-SA"/>
              </w:rPr>
            </w:pPr>
            <w:r>
              <w:rPr>
                <w:rFonts w:hint="eastAsia"/>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1.10</w:t>
            </w:r>
          </w:p>
        </w:tc>
        <w:tc>
          <w:tcPr>
            <w:tcW w:w="1722" w:type="dxa"/>
            <w:gridSpan w:val="2"/>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响应文件递交</w:t>
            </w:r>
          </w:p>
        </w:tc>
        <w:tc>
          <w:tcPr>
            <w:tcW w:w="7779" w:type="dxa"/>
            <w:gridSpan w:val="2"/>
            <w:vAlign w:val="center"/>
          </w:tcPr>
          <w:p>
            <w:pPr>
              <w:keepNext w:val="0"/>
              <w:keepLines w:val="0"/>
              <w:pageBreakBefore w:val="0"/>
              <w:widowControl w:val="0"/>
              <w:kinsoku/>
              <w:wordWrap/>
              <w:overflowPunct/>
              <w:topLinePunct w:val="0"/>
              <w:bidi w:val="0"/>
              <w:spacing w:line="348" w:lineRule="auto"/>
              <w:rPr>
                <w:highlight w:val="none"/>
                <w:u w:val="single"/>
              </w:rPr>
            </w:pPr>
            <w:r>
              <w:rPr>
                <w:rFonts w:hint="eastAsia"/>
                <w:highlight w:val="none"/>
              </w:rPr>
              <w:t>投标截止时间（开标时间）：</w:t>
            </w:r>
            <w:r>
              <w:rPr>
                <w:rFonts w:hint="eastAsia"/>
                <w:highlight w:val="none"/>
                <w:u w:val="single"/>
              </w:rPr>
              <w:t xml:space="preserve"> 2022 年 </w:t>
            </w:r>
            <w:r>
              <w:rPr>
                <w:rFonts w:hint="eastAsia"/>
                <w:highlight w:val="none"/>
                <w:u w:val="single"/>
                <w:lang w:val="en-US" w:eastAsia="zh-CN"/>
              </w:rPr>
              <w:t xml:space="preserve"> 10 </w:t>
            </w:r>
            <w:r>
              <w:rPr>
                <w:rFonts w:hint="eastAsia"/>
                <w:highlight w:val="none"/>
                <w:u w:val="single"/>
              </w:rPr>
              <w:t xml:space="preserve">月 </w:t>
            </w:r>
            <w:r>
              <w:rPr>
                <w:rFonts w:hint="eastAsia"/>
                <w:highlight w:val="none"/>
                <w:u w:val="single"/>
                <w:lang w:val="en-US" w:eastAsia="zh-CN"/>
              </w:rPr>
              <w:t xml:space="preserve"> 25 </w:t>
            </w:r>
            <w:r>
              <w:rPr>
                <w:rFonts w:hint="eastAsia"/>
                <w:highlight w:val="none"/>
                <w:u w:val="single"/>
              </w:rPr>
              <w:t>日 11 时 00 分</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响应文件递交地址：新疆拓源工程管理咨询有限公司（新疆乌鲁木齐市水磨沟区龙盛街898号万科中央公园S6栋5层）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1.11</w:t>
            </w:r>
          </w:p>
        </w:tc>
        <w:tc>
          <w:tcPr>
            <w:tcW w:w="1722" w:type="dxa"/>
            <w:gridSpan w:val="2"/>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开标时间</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和</w:t>
            </w:r>
            <w:r>
              <w:rPr>
                <w:rFonts w:hint="eastAsia"/>
                <w:highlight w:val="none"/>
                <w:lang w:val="en-US" w:eastAsia="zh-CN"/>
              </w:rPr>
              <w:t xml:space="preserve"> </w:t>
            </w:r>
            <w:r>
              <w:rPr>
                <w:rFonts w:hint="eastAsia"/>
                <w:highlight w:val="none"/>
              </w:rPr>
              <w:t>地</w:t>
            </w:r>
            <w:r>
              <w:rPr>
                <w:rFonts w:hint="eastAsia"/>
                <w:highlight w:val="none"/>
                <w:lang w:val="en-US" w:eastAsia="zh-CN"/>
              </w:rPr>
              <w:t xml:space="preserve"> </w:t>
            </w:r>
            <w:r>
              <w:rPr>
                <w:rFonts w:hint="eastAsia"/>
                <w:highlight w:val="none"/>
              </w:rPr>
              <w:t>点</w:t>
            </w:r>
          </w:p>
        </w:tc>
        <w:tc>
          <w:tcPr>
            <w:tcW w:w="7779" w:type="dxa"/>
            <w:gridSpan w:val="2"/>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开标时间：</w:t>
            </w:r>
            <w:r>
              <w:rPr>
                <w:rFonts w:hint="eastAsia"/>
                <w:highlight w:val="none"/>
                <w:u w:val="single"/>
              </w:rPr>
              <w:t xml:space="preserve"> 2022 年 </w:t>
            </w:r>
            <w:r>
              <w:rPr>
                <w:rFonts w:hint="eastAsia"/>
                <w:highlight w:val="none"/>
                <w:u w:val="single"/>
                <w:lang w:val="en-US" w:eastAsia="zh-CN"/>
              </w:rPr>
              <w:t xml:space="preserve">10 </w:t>
            </w:r>
            <w:r>
              <w:rPr>
                <w:rFonts w:hint="eastAsia"/>
                <w:highlight w:val="none"/>
                <w:u w:val="single"/>
              </w:rPr>
              <w:t>月</w:t>
            </w:r>
            <w:r>
              <w:rPr>
                <w:rFonts w:hint="eastAsia"/>
                <w:highlight w:val="none"/>
                <w:u w:val="single"/>
                <w:lang w:val="en-US" w:eastAsia="zh-CN"/>
              </w:rPr>
              <w:t xml:space="preserve"> 25</w:t>
            </w:r>
            <w:r>
              <w:rPr>
                <w:rFonts w:hint="eastAsia"/>
                <w:highlight w:val="none"/>
                <w:u w:val="single"/>
              </w:rPr>
              <w:t>日 11 时 00 分</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开标地点：新疆拓源工程管理咨询有限公司（新疆乌鲁木齐市水磨沟区龙盛街898号万科中央公园S6栋5层）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1.12</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开标程序</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（1）密封情况检查：密封性完好</w:t>
            </w:r>
          </w:p>
          <w:p>
            <w:pPr>
              <w:keepNext w:val="0"/>
              <w:keepLines w:val="0"/>
              <w:pageBreakBefore w:val="0"/>
              <w:widowControl w:val="0"/>
              <w:kinsoku/>
              <w:wordWrap/>
              <w:overflowPunct/>
              <w:topLinePunct w:val="0"/>
              <w:bidi w:val="0"/>
              <w:spacing w:line="348" w:lineRule="auto"/>
              <w:rPr>
                <w:rFonts w:hint="eastAsia" w:eastAsia="宋体"/>
                <w:lang w:val="en-US" w:eastAsia="zh-CN"/>
              </w:rPr>
            </w:pPr>
            <w:r>
              <w:rPr>
                <w:rFonts w:hint="eastAsia"/>
              </w:rPr>
              <w:t>（2）开标顺序：以递交响应文件逆顺序拆取为</w:t>
            </w:r>
            <w:r>
              <w:rPr>
                <w:rFonts w:hint="eastAsia"/>
                <w:lang w:val="en-US" w:eastAsia="zh-CN"/>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1.13</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评评标委员会</w:t>
            </w:r>
          </w:p>
        </w:tc>
        <w:tc>
          <w:tcPr>
            <w:tcW w:w="7779" w:type="dxa"/>
            <w:gridSpan w:val="2"/>
            <w:vAlign w:val="center"/>
          </w:tcPr>
          <w:p>
            <w:pPr>
              <w:keepNext w:val="0"/>
              <w:keepLines w:val="0"/>
              <w:pageBreakBefore w:val="0"/>
              <w:widowControl w:val="0"/>
              <w:kinsoku/>
              <w:wordWrap/>
              <w:overflowPunct/>
              <w:topLinePunct w:val="0"/>
              <w:bidi w:val="0"/>
              <w:spacing w:line="348" w:lineRule="auto"/>
              <w:rPr>
                <w:rFonts w:hint="default"/>
                <w:highlight w:val="yellow"/>
                <w:lang w:val="en-US"/>
              </w:rPr>
            </w:pPr>
            <w:r>
              <w:rPr>
                <w:rFonts w:hint="eastAsia"/>
              </w:rPr>
              <w:t>（1）人员构成：</w:t>
            </w:r>
            <w:r>
              <w:rPr>
                <w:rFonts w:ascii="Tahoma" w:hAnsi="Tahoma" w:cs="Tahoma"/>
                <w:bCs/>
                <w:szCs w:val="21"/>
              </w:rPr>
              <w:t>成员人数应当为</w:t>
            </w:r>
            <w:r>
              <w:rPr>
                <w:rFonts w:hint="eastAsia" w:ascii="Tahoma" w:hAnsi="Tahoma" w:cs="Tahoma"/>
                <w:bCs/>
                <w:szCs w:val="21"/>
                <w:highlight w:val="none"/>
                <w:u w:val="single"/>
                <w:lang w:val="en-US" w:eastAsia="zh-CN"/>
              </w:rPr>
              <w:t>3</w:t>
            </w:r>
            <w:r>
              <w:rPr>
                <w:rFonts w:ascii="Tahoma" w:hAnsi="Tahoma" w:cs="Tahoma"/>
                <w:bCs/>
                <w:szCs w:val="21"/>
              </w:rPr>
              <w:t>人以上单数，其中，技术、经济等方面的专家不得少于成员总数的2/3</w:t>
            </w:r>
          </w:p>
          <w:p>
            <w:pPr>
              <w:keepNext w:val="0"/>
              <w:keepLines w:val="0"/>
              <w:pageBreakBefore w:val="0"/>
              <w:widowControl w:val="0"/>
              <w:kinsoku/>
              <w:wordWrap/>
              <w:overflowPunct/>
              <w:topLinePunct w:val="0"/>
              <w:bidi w:val="0"/>
              <w:spacing w:line="348" w:lineRule="auto"/>
            </w:pPr>
            <w:r>
              <w:rPr>
                <w:rFonts w:hint="eastAsia"/>
              </w:rPr>
              <w:t>（2）抽取方式：政采云评标专家库中随机抽取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1.14</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评标办法</w:t>
            </w:r>
          </w:p>
        </w:tc>
        <w:tc>
          <w:tcPr>
            <w:tcW w:w="7779" w:type="dxa"/>
            <w:gridSpan w:val="2"/>
            <w:vAlign w:val="center"/>
          </w:tcPr>
          <w:p>
            <w:pPr>
              <w:keepNext w:val="0"/>
              <w:keepLines w:val="0"/>
              <w:pageBreakBefore w:val="0"/>
              <w:widowControl w:val="0"/>
              <w:kinsoku/>
              <w:wordWrap/>
              <w:overflowPunct/>
              <w:topLinePunct w:val="0"/>
              <w:bidi w:val="0"/>
              <w:spacing w:line="348" w:lineRule="auto"/>
            </w:pPr>
            <w:r>
              <w:rPr>
                <w:rFonts w:hint="eastAsia"/>
              </w:rPr>
              <w:t>根据《政府采购货物和服务招标投标管理办法》（中华人民共和国财政部令第87号）等相关法律法规规定的评审标准，采用综合评分法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1.15</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评标</w:t>
            </w:r>
          </w:p>
        </w:tc>
        <w:tc>
          <w:tcPr>
            <w:tcW w:w="7779" w:type="dxa"/>
            <w:gridSpan w:val="2"/>
            <w:vAlign w:val="center"/>
          </w:tcPr>
          <w:p>
            <w:pPr>
              <w:keepNext w:val="0"/>
              <w:keepLines w:val="0"/>
              <w:pageBreakBefore w:val="0"/>
              <w:widowControl w:val="0"/>
              <w:numPr>
                <w:ilvl w:val="0"/>
                <w:numId w:val="4"/>
              </w:numPr>
              <w:kinsoku/>
              <w:wordWrap/>
              <w:overflowPunct/>
              <w:topLinePunct w:val="0"/>
              <w:bidi w:val="0"/>
              <w:spacing w:line="348" w:lineRule="auto"/>
            </w:pPr>
            <w:r>
              <w:rPr>
                <w:rFonts w:hint="eastAsia"/>
              </w:rPr>
              <w:t>由评标委员会依据有关法律、法规及招标文件的有关规定，对各供应商提供的响应文件有效性、完整性和响应程度进行审查，只有通过审查的供应商才能进入下一阶段的评审</w:t>
            </w:r>
            <w:r>
              <w:rPr>
                <w:rFonts w:hint="eastAsia"/>
                <w:lang w:val="en-US" w:eastAsia="zh-CN"/>
              </w:rPr>
              <w:t>；</w:t>
            </w:r>
          </w:p>
          <w:p>
            <w:pPr>
              <w:keepNext w:val="0"/>
              <w:keepLines w:val="0"/>
              <w:pageBreakBefore w:val="0"/>
              <w:widowControl w:val="0"/>
              <w:kinsoku/>
              <w:wordWrap/>
              <w:overflowPunct/>
              <w:topLinePunct w:val="0"/>
              <w:bidi w:val="0"/>
              <w:spacing w:line="348" w:lineRule="auto"/>
              <w:rPr>
                <w:rFonts w:hint="default"/>
                <w:highlight w:val="yellow"/>
                <w:lang w:val="en-US"/>
              </w:rPr>
            </w:pPr>
            <w:r>
              <w:rPr>
                <w:rFonts w:hint="eastAsia"/>
              </w:rPr>
              <w:t>（2）通过有效性、完整性和响应程度审查（响应文件在商务、技术等满足招标文件全部实质性要求）的有效供应商，本项目一共分为十四个标包，同一个供应商可同时投多个标包</w:t>
            </w:r>
            <w:r>
              <w:rPr>
                <w:rFonts w:hint="eastAsia"/>
                <w:lang w:eastAsia="zh-CN"/>
              </w:rPr>
              <w:t>，</w:t>
            </w:r>
            <w:r>
              <w:rPr>
                <w:rFonts w:hint="eastAsia"/>
                <w:lang w:val="en-US" w:eastAsia="zh-CN"/>
              </w:rPr>
              <w:t>其中标包九和标包十可兼中兼得；</w:t>
            </w:r>
          </w:p>
          <w:p>
            <w:pPr>
              <w:keepNext w:val="0"/>
              <w:keepLines w:val="0"/>
              <w:pageBreakBefore w:val="0"/>
              <w:widowControl w:val="0"/>
              <w:kinsoku/>
              <w:wordWrap/>
              <w:overflowPunct/>
              <w:topLinePunct w:val="0"/>
              <w:bidi w:val="0"/>
              <w:spacing w:line="348" w:lineRule="auto"/>
            </w:pPr>
            <w:r>
              <w:rPr>
                <w:rFonts w:hint="eastAsia"/>
              </w:rPr>
              <w:t>（3）各供应商的响应文件将提交评标委员会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1.16</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符合性要求</w:t>
            </w:r>
          </w:p>
        </w:tc>
        <w:tc>
          <w:tcPr>
            <w:tcW w:w="7779" w:type="dxa"/>
            <w:gridSpan w:val="2"/>
            <w:vAlign w:val="center"/>
          </w:tcPr>
          <w:p>
            <w:pPr>
              <w:keepNext w:val="0"/>
              <w:keepLines w:val="0"/>
              <w:pageBreakBefore w:val="0"/>
              <w:widowControl w:val="0"/>
              <w:kinsoku/>
              <w:wordWrap/>
              <w:overflowPunct/>
              <w:topLinePunct w:val="0"/>
              <w:bidi w:val="0"/>
              <w:spacing w:line="348" w:lineRule="auto"/>
              <w:rPr>
                <w:b/>
                <w:bCs/>
              </w:rPr>
            </w:pPr>
            <w:r>
              <w:rPr>
                <w:rFonts w:hint="eastAsia"/>
                <w:b/>
                <w:bCs/>
              </w:rPr>
              <w:t>一、凡有下列情形之一者，响应文件将被视为未实质性响应招标文件要求，其投标无效！</w:t>
            </w:r>
          </w:p>
          <w:p>
            <w:pPr>
              <w:keepNext w:val="0"/>
              <w:keepLines w:val="0"/>
              <w:pageBreakBefore w:val="0"/>
              <w:widowControl w:val="0"/>
              <w:kinsoku/>
              <w:wordWrap/>
              <w:overflowPunct/>
              <w:topLinePunct w:val="0"/>
              <w:bidi w:val="0"/>
              <w:spacing w:line="348" w:lineRule="auto"/>
              <w:rPr>
                <w:rFonts w:hint="eastAsia"/>
              </w:rPr>
            </w:pPr>
            <w:r>
              <w:rPr>
                <w:rFonts w:hint="eastAsia"/>
              </w:rPr>
              <w:t>（1）不具备招标文件中规定的资格要求的，或响应文件中提供的资格证明文件与原件不一致的；</w:t>
            </w:r>
          </w:p>
          <w:p>
            <w:pPr>
              <w:keepNext w:val="0"/>
              <w:keepLines w:val="0"/>
              <w:pageBreakBefore w:val="0"/>
              <w:widowControl w:val="0"/>
              <w:kinsoku/>
              <w:wordWrap/>
              <w:overflowPunct/>
              <w:topLinePunct w:val="0"/>
              <w:bidi w:val="0"/>
              <w:spacing w:line="348" w:lineRule="auto"/>
              <w:rPr>
                <w:rFonts w:hint="eastAsia"/>
              </w:rPr>
            </w:pPr>
            <w:r>
              <w:rPr>
                <w:rFonts w:hint="eastAsia"/>
              </w:rPr>
              <w:t>（2）响应文件</w:t>
            </w:r>
            <w:r>
              <w:rPr>
                <w:rFonts w:hint="eastAsia"/>
                <w:lang w:val="en-US" w:eastAsia="zh-CN"/>
              </w:rPr>
              <w:t>未</w:t>
            </w:r>
            <w:r>
              <w:rPr>
                <w:rFonts w:hint="eastAsia"/>
              </w:rPr>
              <w:t>按招标文件规定格式完整提供，并</w:t>
            </w:r>
            <w:r>
              <w:rPr>
                <w:rFonts w:hint="eastAsia"/>
                <w:lang w:val="en-US" w:eastAsia="zh-CN"/>
              </w:rPr>
              <w:t>要</w:t>
            </w:r>
            <w:r>
              <w:rPr>
                <w:rFonts w:hint="eastAsia"/>
              </w:rPr>
              <w:t>盖供应商章、法定代表人或授权委托人签字或盖章；</w:t>
            </w:r>
          </w:p>
          <w:p>
            <w:pPr>
              <w:keepNext w:val="0"/>
              <w:keepLines w:val="0"/>
              <w:pageBreakBefore w:val="0"/>
              <w:widowControl w:val="0"/>
              <w:kinsoku/>
              <w:wordWrap/>
              <w:overflowPunct/>
              <w:topLinePunct w:val="0"/>
              <w:bidi w:val="0"/>
              <w:spacing w:line="348" w:lineRule="auto"/>
              <w:rPr>
                <w:rFonts w:hint="eastAsia"/>
              </w:rPr>
            </w:pPr>
            <w:r>
              <w:rPr>
                <w:rFonts w:hint="eastAsia"/>
              </w:rPr>
              <w:t>（3）法定代表人身份证明书</w:t>
            </w:r>
            <w:r>
              <w:rPr>
                <w:rFonts w:hint="eastAsia"/>
                <w:lang w:val="en-US" w:eastAsia="zh-CN"/>
              </w:rPr>
              <w:t>未</w:t>
            </w:r>
            <w:r>
              <w:rPr>
                <w:rFonts w:hint="eastAsia"/>
              </w:rPr>
              <w:t>按招标文件规定格式完整提供，并要盖供应商章；</w:t>
            </w:r>
          </w:p>
          <w:p>
            <w:pPr>
              <w:keepNext w:val="0"/>
              <w:keepLines w:val="0"/>
              <w:pageBreakBefore w:val="0"/>
              <w:widowControl w:val="0"/>
              <w:kinsoku/>
              <w:wordWrap/>
              <w:overflowPunct/>
              <w:topLinePunct w:val="0"/>
              <w:bidi w:val="0"/>
              <w:spacing w:line="348" w:lineRule="auto"/>
              <w:rPr>
                <w:rFonts w:hint="eastAsia"/>
              </w:rPr>
            </w:pPr>
            <w:r>
              <w:rPr>
                <w:rFonts w:hint="eastAsia"/>
              </w:rPr>
              <w:t>（4）法定代表人授权委托书</w:t>
            </w:r>
            <w:r>
              <w:rPr>
                <w:rFonts w:hint="eastAsia"/>
                <w:lang w:val="en-US" w:eastAsia="zh-CN"/>
              </w:rPr>
              <w:t>未</w:t>
            </w:r>
            <w:r>
              <w:rPr>
                <w:rFonts w:hint="eastAsia"/>
              </w:rPr>
              <w:t>按招标文件规定格式完整提供，并要盖供应商章、法定代表人章；</w:t>
            </w:r>
          </w:p>
          <w:p>
            <w:pPr>
              <w:keepNext w:val="0"/>
              <w:keepLines w:val="0"/>
              <w:pageBreakBefore w:val="0"/>
              <w:widowControl w:val="0"/>
              <w:kinsoku/>
              <w:wordWrap/>
              <w:overflowPunct/>
              <w:topLinePunct w:val="0"/>
              <w:bidi w:val="0"/>
              <w:spacing w:line="348" w:lineRule="auto"/>
              <w:rPr>
                <w:rFonts w:hint="eastAsia"/>
              </w:rPr>
            </w:pPr>
            <w:r>
              <w:rPr>
                <w:rFonts w:hint="eastAsia"/>
              </w:rPr>
              <w:t>（5）响应文件封面右上角</w:t>
            </w:r>
            <w:r>
              <w:rPr>
                <w:rFonts w:hint="eastAsia"/>
                <w:lang w:val="en-US" w:eastAsia="zh-CN"/>
              </w:rPr>
              <w:t>未</w:t>
            </w:r>
            <w:r>
              <w:rPr>
                <w:rFonts w:hint="eastAsia"/>
              </w:rPr>
              <w:t>注明“正本”或“副本”字样；</w:t>
            </w:r>
          </w:p>
          <w:p>
            <w:pPr>
              <w:keepNext w:val="0"/>
              <w:keepLines w:val="0"/>
              <w:pageBreakBefore w:val="0"/>
              <w:widowControl w:val="0"/>
              <w:kinsoku/>
              <w:wordWrap/>
              <w:overflowPunct/>
              <w:topLinePunct w:val="0"/>
              <w:bidi w:val="0"/>
              <w:spacing w:line="348" w:lineRule="auto"/>
              <w:rPr>
                <w:rFonts w:hint="eastAsia"/>
              </w:rPr>
            </w:pPr>
            <w:r>
              <w:rPr>
                <w:rFonts w:hint="eastAsia"/>
              </w:rPr>
              <w:t>（6）响应文件份数</w:t>
            </w:r>
            <w:r>
              <w:rPr>
                <w:rFonts w:hint="eastAsia"/>
                <w:lang w:val="en-US" w:eastAsia="zh-CN"/>
              </w:rPr>
              <w:t>未</w:t>
            </w:r>
            <w:r>
              <w:rPr>
                <w:rFonts w:hint="eastAsia"/>
              </w:rPr>
              <w:t>按招标文件要求提供；</w:t>
            </w:r>
          </w:p>
          <w:p>
            <w:pPr>
              <w:keepNext w:val="0"/>
              <w:keepLines w:val="0"/>
              <w:pageBreakBefore w:val="0"/>
              <w:widowControl w:val="0"/>
              <w:kinsoku/>
              <w:wordWrap/>
              <w:overflowPunct/>
              <w:topLinePunct w:val="0"/>
              <w:bidi w:val="0"/>
              <w:spacing w:line="348" w:lineRule="auto"/>
              <w:rPr>
                <w:rFonts w:hint="eastAsia"/>
              </w:rPr>
            </w:pPr>
            <w:r>
              <w:rPr>
                <w:rFonts w:hint="eastAsia"/>
              </w:rPr>
              <w:t>（7）</w:t>
            </w:r>
            <w:r>
              <w:rPr>
                <w:rFonts w:hint="eastAsia"/>
                <w:lang w:val="en-US" w:eastAsia="zh-CN"/>
              </w:rPr>
              <w:t>未</w:t>
            </w:r>
            <w:r>
              <w:rPr>
                <w:rFonts w:hint="eastAsia"/>
              </w:rPr>
              <w:t>按照招标文件要求缴纳投标保证金；</w:t>
            </w:r>
          </w:p>
          <w:p>
            <w:pPr>
              <w:keepNext w:val="0"/>
              <w:keepLines w:val="0"/>
              <w:pageBreakBefore w:val="0"/>
              <w:widowControl w:val="0"/>
              <w:kinsoku/>
              <w:wordWrap/>
              <w:overflowPunct/>
              <w:topLinePunct w:val="0"/>
              <w:bidi w:val="0"/>
              <w:spacing w:line="348" w:lineRule="auto"/>
              <w:rPr>
                <w:rFonts w:hint="eastAsia"/>
              </w:rPr>
            </w:pPr>
            <w:r>
              <w:rPr>
                <w:rFonts w:hint="eastAsia"/>
              </w:rPr>
              <w:t>（8）响应文件中所报投标有效期</w:t>
            </w:r>
            <w:r>
              <w:rPr>
                <w:rFonts w:hint="eastAsia"/>
                <w:lang w:val="en-US" w:eastAsia="zh-CN"/>
              </w:rPr>
              <w:t>不</w:t>
            </w:r>
            <w:r>
              <w:rPr>
                <w:rFonts w:hint="eastAsia"/>
              </w:rPr>
              <w:t>满足招标文件规定；</w:t>
            </w:r>
          </w:p>
          <w:p>
            <w:pPr>
              <w:keepNext w:val="0"/>
              <w:keepLines w:val="0"/>
              <w:pageBreakBefore w:val="0"/>
              <w:kinsoku/>
              <w:wordWrap/>
              <w:overflowPunct/>
              <w:topLinePunct w:val="0"/>
              <w:bidi w:val="0"/>
              <w:spacing w:line="348" w:lineRule="auto"/>
            </w:pPr>
            <w:r>
              <w:rPr>
                <w:rFonts w:hint="eastAsia"/>
              </w:rPr>
              <w:t>（9）</w:t>
            </w:r>
            <w:r>
              <w:rPr>
                <w:rFonts w:hint="eastAsia"/>
                <w:highlight w:val="none"/>
              </w:rPr>
              <w:t>报价超出采购预算金额</w:t>
            </w:r>
            <w:r>
              <w:rPr>
                <w:rFonts w:hint="eastAsia"/>
              </w:rPr>
              <w:t>。</w:t>
            </w:r>
          </w:p>
          <w:p>
            <w:pPr>
              <w:keepNext w:val="0"/>
              <w:keepLines w:val="0"/>
              <w:pageBreakBefore w:val="0"/>
              <w:widowControl w:val="0"/>
              <w:kinsoku/>
              <w:wordWrap/>
              <w:overflowPunct/>
              <w:topLinePunct w:val="0"/>
              <w:bidi w:val="0"/>
              <w:spacing w:line="348" w:lineRule="auto"/>
              <w:rPr>
                <w:b/>
                <w:bCs/>
              </w:rPr>
            </w:pPr>
            <w:r>
              <w:rPr>
                <w:rFonts w:hint="eastAsia"/>
                <w:b/>
                <w:bCs/>
              </w:rPr>
              <w:t>二、有下列情形之一的，视为供应商串通投标，其投标无效：</w:t>
            </w:r>
          </w:p>
          <w:p>
            <w:pPr>
              <w:keepNext w:val="0"/>
              <w:keepLines w:val="0"/>
              <w:pageBreakBefore w:val="0"/>
              <w:widowControl w:val="0"/>
              <w:kinsoku/>
              <w:wordWrap/>
              <w:overflowPunct/>
              <w:topLinePunct w:val="0"/>
              <w:bidi w:val="0"/>
              <w:spacing w:line="348" w:lineRule="auto"/>
            </w:pPr>
            <w:r>
              <w:rPr>
                <w:rFonts w:hint="eastAsia"/>
              </w:rPr>
              <w:t>（1）不同供应商的响应文件由同一单位或者个人编制；</w:t>
            </w:r>
          </w:p>
          <w:p>
            <w:pPr>
              <w:keepNext w:val="0"/>
              <w:keepLines w:val="0"/>
              <w:pageBreakBefore w:val="0"/>
              <w:widowControl w:val="0"/>
              <w:kinsoku/>
              <w:wordWrap/>
              <w:overflowPunct/>
              <w:topLinePunct w:val="0"/>
              <w:bidi w:val="0"/>
              <w:spacing w:line="348" w:lineRule="auto"/>
            </w:pPr>
            <w:r>
              <w:rPr>
                <w:rFonts w:hint="eastAsia"/>
              </w:rPr>
              <w:t>（2）不同供应商委托同一单位或者个人办理投标事宜；</w:t>
            </w:r>
          </w:p>
          <w:p>
            <w:pPr>
              <w:keepNext w:val="0"/>
              <w:keepLines w:val="0"/>
              <w:pageBreakBefore w:val="0"/>
              <w:widowControl w:val="0"/>
              <w:kinsoku/>
              <w:wordWrap/>
              <w:overflowPunct/>
              <w:topLinePunct w:val="0"/>
              <w:bidi w:val="0"/>
              <w:spacing w:line="348" w:lineRule="auto"/>
            </w:pPr>
            <w:r>
              <w:rPr>
                <w:rFonts w:hint="eastAsia"/>
              </w:rPr>
              <w:t>（3）不同供应商的响应文件载明的项目管理成员或者联系人员为同一人；</w:t>
            </w:r>
          </w:p>
          <w:p>
            <w:pPr>
              <w:keepNext w:val="0"/>
              <w:keepLines w:val="0"/>
              <w:pageBreakBefore w:val="0"/>
              <w:widowControl w:val="0"/>
              <w:kinsoku/>
              <w:wordWrap/>
              <w:overflowPunct/>
              <w:topLinePunct w:val="0"/>
              <w:bidi w:val="0"/>
              <w:spacing w:line="348" w:lineRule="auto"/>
            </w:pPr>
            <w:r>
              <w:rPr>
                <w:rFonts w:hint="eastAsia"/>
              </w:rPr>
              <w:t>（4）不同供应商的响应文件异常一致或者投标报价呈规律性差异；</w:t>
            </w:r>
          </w:p>
          <w:p>
            <w:pPr>
              <w:keepNext w:val="0"/>
              <w:keepLines w:val="0"/>
              <w:pageBreakBefore w:val="0"/>
              <w:widowControl w:val="0"/>
              <w:kinsoku/>
              <w:wordWrap/>
              <w:overflowPunct/>
              <w:topLinePunct w:val="0"/>
              <w:bidi w:val="0"/>
              <w:spacing w:line="348" w:lineRule="auto"/>
            </w:pPr>
            <w:r>
              <w:rPr>
                <w:rFonts w:hint="eastAsia"/>
              </w:rPr>
              <w:t>（5）不同供应商的响应文件相互混装；</w:t>
            </w:r>
          </w:p>
          <w:p>
            <w:pPr>
              <w:keepNext w:val="0"/>
              <w:keepLines w:val="0"/>
              <w:pageBreakBefore w:val="0"/>
              <w:widowControl w:val="0"/>
              <w:kinsoku/>
              <w:wordWrap/>
              <w:overflowPunct/>
              <w:topLinePunct w:val="0"/>
              <w:bidi w:val="0"/>
              <w:spacing w:line="348" w:lineRule="auto"/>
            </w:pPr>
            <w:r>
              <w:rPr>
                <w:rFonts w:hint="eastAsia"/>
              </w:rPr>
              <w:t>（6）不同供应商的投标保证金从同一单位或者个人的账户转出。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60"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1.17</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中标公示</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对中标结果在规定的媒体上进行公示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90"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1.18</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重新招标或其他方式采购</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pPr>
              <w:keepNext w:val="0"/>
              <w:keepLines w:val="0"/>
              <w:pageBreakBefore w:val="0"/>
              <w:widowControl w:val="0"/>
              <w:kinsoku/>
              <w:wordWrap/>
              <w:overflowPunct/>
              <w:topLinePunct w:val="0"/>
              <w:bidi w:val="0"/>
              <w:spacing w:line="348" w:lineRule="auto"/>
            </w:pPr>
            <w:r>
              <w:rPr>
                <w:rFonts w:hint="eastAsia"/>
              </w:rPr>
              <w:t>（1）招标文件存在不合理条款或者招标程序不符合规定的，采购人、采购代理机构改正后依法重新招标；</w:t>
            </w:r>
          </w:p>
          <w:p>
            <w:pPr>
              <w:keepNext w:val="0"/>
              <w:keepLines w:val="0"/>
              <w:pageBreakBefore w:val="0"/>
              <w:widowControl w:val="0"/>
              <w:kinsoku/>
              <w:wordWrap/>
              <w:overflowPunct/>
              <w:topLinePunct w:val="0"/>
              <w:bidi w:val="0"/>
              <w:spacing w:line="348" w:lineRule="auto"/>
            </w:pPr>
            <w:r>
              <w:rPr>
                <w:rFonts w:hint="eastAsia"/>
              </w:rPr>
              <w:t>（2）招标文件没有不合理条款、招标程序符合规定，需要采用其他采购方式采购的，采购人应当依法报财政部门批准。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20"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1.19</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供应商出</w:t>
            </w:r>
          </w:p>
          <w:p>
            <w:pPr>
              <w:keepNext w:val="0"/>
              <w:keepLines w:val="0"/>
              <w:pageBreakBefore w:val="0"/>
              <w:widowControl w:val="0"/>
              <w:kinsoku/>
              <w:wordWrap/>
              <w:overflowPunct/>
              <w:topLinePunct w:val="0"/>
              <w:bidi w:val="0"/>
              <w:spacing w:line="348" w:lineRule="auto"/>
            </w:pPr>
            <w:r>
              <w:rPr>
                <w:rFonts w:hint="eastAsia"/>
              </w:rPr>
              <w:t>席开标会</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（一）关于资格审查：供应商在报名获取招标文件时的资格审查，仅代表其在获取招标文件时的资格审查获得通过，并不能代表供应商在出席开标会时要求其提供的全部资格证件的合格。</w:t>
            </w:r>
            <w:r>
              <w:rPr>
                <w:rFonts w:hint="eastAsia"/>
                <w:b/>
                <w:bCs/>
              </w:rPr>
              <w:t>供应商出席开标会时，须携带以下全部资格证明文件的复印件加盖公章（注明要求原件现场备查的须提供原件）交由监督人员进行初步审查</w:t>
            </w:r>
            <w:r>
              <w:rPr>
                <w:rFonts w:hint="eastAsia"/>
              </w:rPr>
              <w:t>（初步审查不合格的，不得进入下一阶段的评审），初步审查合格的由评标委员会进一步进行详细审查其响应文件中提供的全部资格资料等是否符合，具备投标资格（并随时可以要求供应商提供所携带的证件进行复核，以查验其响应文件中的资格资料是否一致），经评标委员会评审，所提交的（或响应文件中的）资格证件不符合要求或不具备投标资格的其投标无效）；</w:t>
            </w:r>
          </w:p>
          <w:p>
            <w:pPr>
              <w:keepNext w:val="0"/>
              <w:keepLines w:val="0"/>
              <w:pageBreakBefore w:val="0"/>
              <w:widowControl w:val="0"/>
              <w:kinsoku/>
              <w:wordWrap/>
              <w:overflowPunct/>
              <w:topLinePunct w:val="0"/>
              <w:bidi w:val="0"/>
              <w:spacing w:line="348" w:lineRule="auto"/>
              <w:rPr>
                <w:b/>
                <w:bCs/>
              </w:rPr>
            </w:pPr>
            <w:r>
              <w:rPr>
                <w:rFonts w:hint="eastAsia"/>
                <w:b/>
                <w:bCs/>
              </w:rPr>
              <w:t>（二）开标会：供应商出席开标会时，应提交下列有效的资格证件：</w:t>
            </w:r>
          </w:p>
          <w:p>
            <w:pPr>
              <w:keepNext w:val="0"/>
              <w:keepLines w:val="0"/>
              <w:pageBreakBefore w:val="0"/>
              <w:widowControl w:val="0"/>
              <w:numPr>
                <w:ilvl w:val="255"/>
                <w:numId w:val="0"/>
              </w:numPr>
              <w:kinsoku/>
              <w:wordWrap/>
              <w:overflowPunct/>
              <w:topLinePunct w:val="0"/>
              <w:bidi w:val="0"/>
              <w:spacing w:line="348" w:lineRule="auto"/>
            </w:pPr>
            <w:r>
              <w:rPr>
                <w:rFonts w:hint="eastAsia"/>
              </w:rPr>
              <w:t>（1）供应商具有有效的营业执照；</w:t>
            </w:r>
            <w:r>
              <w:rPr>
                <w:rFonts w:hint="eastAsia"/>
                <w:b/>
                <w:bCs/>
              </w:rPr>
              <w:t>（原件或扫描彩印件）</w:t>
            </w:r>
            <w:r>
              <w:rPr>
                <w:rFonts w:hint="eastAsia"/>
              </w:rPr>
              <w:t>；</w:t>
            </w:r>
          </w:p>
          <w:p>
            <w:pPr>
              <w:keepNext w:val="0"/>
              <w:keepLines w:val="0"/>
              <w:pageBreakBefore w:val="0"/>
              <w:widowControl w:val="0"/>
              <w:numPr>
                <w:ilvl w:val="255"/>
                <w:numId w:val="0"/>
              </w:numPr>
              <w:kinsoku/>
              <w:wordWrap/>
              <w:overflowPunct/>
              <w:topLinePunct w:val="0"/>
              <w:bidi w:val="0"/>
              <w:spacing w:line="348" w:lineRule="auto"/>
            </w:pPr>
            <w:r>
              <w:rPr>
                <w:rFonts w:hint="eastAsia"/>
              </w:rPr>
              <w:t>（2）如是生产商须提供有效的食品生产许可证；如是经销商须提供有效的食品经营许可证</w:t>
            </w:r>
            <w:r>
              <w:rPr>
                <w:rFonts w:hint="eastAsia"/>
                <w:b/>
                <w:bCs/>
              </w:rPr>
              <w:t>（原件或扫描彩印件）</w:t>
            </w:r>
            <w:r>
              <w:rPr>
                <w:rFonts w:hint="eastAsia"/>
              </w:rPr>
              <w:t>；</w:t>
            </w:r>
          </w:p>
          <w:p>
            <w:pPr>
              <w:keepNext w:val="0"/>
              <w:keepLines w:val="0"/>
              <w:pageBreakBefore w:val="0"/>
              <w:widowControl w:val="0"/>
              <w:kinsoku/>
              <w:wordWrap/>
              <w:overflowPunct/>
              <w:topLinePunct w:val="0"/>
              <w:bidi w:val="0"/>
              <w:spacing w:line="348" w:lineRule="auto"/>
              <w:rPr>
                <w:rFonts w:hint="eastAsia"/>
              </w:rPr>
            </w:pPr>
            <w:r>
              <w:rPr>
                <w:rFonts w:hint="eastAsia"/>
              </w:rPr>
              <w:t>（3）投标产品具有市级（含）（含产地）以上食品质检部门出具的投标产品质量检测报告</w:t>
            </w:r>
            <w:r>
              <w:rPr>
                <w:rFonts w:hint="eastAsia"/>
                <w:lang w:eastAsia="zh-CN"/>
              </w:rPr>
              <w:t>（</w:t>
            </w:r>
            <w:r>
              <w:rPr>
                <w:rFonts w:hint="eastAsia"/>
                <w:lang w:val="en-US" w:eastAsia="zh-CN"/>
              </w:rPr>
              <w:t>投标截止时间前半年内任一</w:t>
            </w:r>
            <w:r>
              <w:rPr>
                <w:rFonts w:hint="eastAsia"/>
              </w:rPr>
              <w:t>个月</w:t>
            </w:r>
            <w:r>
              <w:rPr>
                <w:rFonts w:hint="eastAsia"/>
                <w:lang w:eastAsia="zh-CN"/>
              </w:rPr>
              <w:t>）</w:t>
            </w:r>
            <w:r>
              <w:rPr>
                <w:rFonts w:hint="eastAsia"/>
                <w:b/>
                <w:bCs/>
              </w:rPr>
              <w:t>（原件或扫描彩印件）</w:t>
            </w:r>
            <w:r>
              <w:rPr>
                <w:rFonts w:hint="eastAsia"/>
              </w:rPr>
              <w:t>；</w:t>
            </w:r>
          </w:p>
          <w:p>
            <w:pPr>
              <w:keepNext w:val="0"/>
              <w:keepLines w:val="0"/>
              <w:pageBreakBefore w:val="0"/>
              <w:widowControl w:val="0"/>
              <w:kinsoku/>
              <w:wordWrap/>
              <w:overflowPunct/>
              <w:topLinePunct w:val="0"/>
              <w:bidi w:val="0"/>
              <w:spacing w:line="348" w:lineRule="auto"/>
              <w:rPr>
                <w:rFonts w:hint="eastAsia" w:eastAsia="宋体"/>
                <w:b/>
                <w:bCs/>
                <w:highlight w:val="yellow"/>
                <w:lang w:eastAsia="zh-CN"/>
              </w:rPr>
            </w:pPr>
            <w:r>
              <w:rPr>
                <w:rFonts w:hint="eastAsia"/>
              </w:rPr>
              <w:t>（4)企业员工缴纳社保证明（社保缴费凭证及个人明细表）</w:t>
            </w:r>
            <w:r>
              <w:rPr>
                <w:rFonts w:hint="eastAsia"/>
                <w:lang w:val="en-US" w:eastAsia="zh-CN"/>
              </w:rPr>
              <w:t>及</w:t>
            </w:r>
            <w:r>
              <w:rPr>
                <w:rFonts w:hint="eastAsia"/>
              </w:rPr>
              <w:t>税务系统出据的完税证明；</w:t>
            </w:r>
            <w:r>
              <w:rPr>
                <w:rFonts w:hint="eastAsia"/>
                <w:b/>
                <w:bCs/>
                <w:lang w:eastAsia="zh-CN"/>
              </w:rPr>
              <w:t>（</w:t>
            </w:r>
            <w:r>
              <w:rPr>
                <w:rFonts w:hint="eastAsia"/>
                <w:b/>
                <w:bCs/>
                <w:lang w:val="en-US" w:eastAsia="zh-CN"/>
              </w:rPr>
              <w:t>投标截止时间前半年内任一</w:t>
            </w:r>
            <w:r>
              <w:rPr>
                <w:rFonts w:hint="eastAsia"/>
                <w:b/>
                <w:bCs/>
              </w:rPr>
              <w:t>个月</w:t>
            </w:r>
            <w:r>
              <w:rPr>
                <w:rFonts w:hint="eastAsia"/>
                <w:b/>
                <w:bCs/>
                <w:lang w:eastAsia="zh-CN"/>
              </w:rPr>
              <w:t>）</w:t>
            </w:r>
            <w:r>
              <w:rPr>
                <w:rFonts w:hint="eastAsia"/>
                <w:b/>
                <w:bCs/>
              </w:rPr>
              <w:t>（</w:t>
            </w:r>
            <w:r>
              <w:rPr>
                <w:rFonts w:hint="eastAsia"/>
                <w:b/>
                <w:bCs/>
                <w:lang w:val="en-US" w:eastAsia="zh-CN"/>
              </w:rPr>
              <w:t>原</w:t>
            </w:r>
            <w:r>
              <w:rPr>
                <w:rFonts w:hint="eastAsia"/>
                <w:b/>
                <w:bCs/>
              </w:rPr>
              <w:t>件）</w:t>
            </w:r>
            <w:r>
              <w:rPr>
                <w:rFonts w:hint="eastAsia"/>
                <w:b/>
                <w:bCs/>
                <w:lang w:eastAsia="zh-CN"/>
              </w:rPr>
              <w:t>（投标人如为个体工商户不需提供）</w:t>
            </w:r>
          </w:p>
          <w:p>
            <w:pPr>
              <w:keepNext w:val="0"/>
              <w:keepLines w:val="0"/>
              <w:pageBreakBefore w:val="0"/>
              <w:kinsoku/>
              <w:wordWrap/>
              <w:overflowPunct/>
              <w:topLinePunct w:val="0"/>
              <w:bidi w:val="0"/>
              <w:spacing w:line="348" w:lineRule="auto"/>
            </w:pPr>
            <w:r>
              <w:rPr>
                <w:rFonts w:hint="eastAsia"/>
              </w:rPr>
              <w:t>（5）“信用中国”查询失信被执行人、重大税收违法案件当事人名单及“中国政府采购网”查询政府采购严重违法失信行为记录名单、</w:t>
            </w:r>
            <w:r>
              <w:rPr>
                <w:rFonts w:hint="eastAsia" w:cs="Times New Roman"/>
                <w:kern w:val="2"/>
              </w:rPr>
              <w:t>税务系统未被列入失信惩戒企业名单</w:t>
            </w:r>
            <w:r>
              <w:rPr>
                <w:rFonts w:hint="eastAsia"/>
              </w:rPr>
              <w:t>截图；</w:t>
            </w:r>
            <w:r>
              <w:rPr>
                <w:rFonts w:hint="eastAsia"/>
                <w:b/>
                <w:bCs/>
              </w:rPr>
              <w:t>（网页截图加盖企业公章）</w:t>
            </w:r>
            <w:r>
              <w:rPr>
                <w:rFonts w:hint="eastAsia"/>
              </w:rPr>
              <w:t>；</w:t>
            </w:r>
          </w:p>
          <w:p>
            <w:pPr>
              <w:pStyle w:val="5"/>
              <w:keepNext w:val="0"/>
              <w:keepLines w:val="0"/>
              <w:pageBreakBefore w:val="0"/>
              <w:kinsoku/>
              <w:wordWrap/>
              <w:overflowPunct/>
              <w:topLinePunct w:val="0"/>
              <w:bidi w:val="0"/>
              <w:spacing w:line="348" w:lineRule="auto"/>
              <w:ind w:firstLine="0"/>
              <w:rPr>
                <w:highlight w:val="none"/>
              </w:rPr>
            </w:pPr>
            <w:r>
              <w:rPr>
                <w:rFonts w:hint="eastAsia" w:hAnsi="宋体" w:cs="宋体"/>
              </w:rPr>
              <w:t>（6）</w:t>
            </w:r>
            <w:r>
              <w:rPr>
                <w:rFonts w:hint="eastAsia"/>
                <w:lang w:val="en-US" w:eastAsia="zh-CN"/>
              </w:rPr>
              <w:t>具有良好的商业信誉和健全的财务会计制度（提供近一年度经审计的财务报表或审计报告【成立不满一年不需要提供，审计报告指2021年】或其基本户开户银行开具的资信证明）</w:t>
            </w:r>
            <w:r>
              <w:rPr>
                <w:rFonts w:hint="eastAsia" w:hAnsi="宋体" w:cs="宋体"/>
                <w:b/>
                <w:bCs/>
                <w:highlight w:val="none"/>
              </w:rPr>
              <w:t>（原件）</w:t>
            </w:r>
            <w:r>
              <w:rPr>
                <w:rFonts w:hint="eastAsia" w:hAnsi="宋体" w:cs="宋体"/>
                <w:highlight w:val="none"/>
              </w:rPr>
              <w:t>；</w:t>
            </w:r>
            <w:r>
              <w:rPr>
                <w:rFonts w:hint="eastAsia" w:hAnsi="宋体" w:cs="宋体"/>
                <w:highlight w:val="none"/>
                <w:lang w:eastAsia="zh-CN"/>
              </w:rPr>
              <w:t>（投标人如为个体工商户不需提供）</w:t>
            </w:r>
          </w:p>
          <w:p>
            <w:pPr>
              <w:keepNext w:val="0"/>
              <w:keepLines w:val="0"/>
              <w:pageBreakBefore w:val="0"/>
              <w:widowControl w:val="0"/>
              <w:kinsoku/>
              <w:wordWrap/>
              <w:overflowPunct/>
              <w:topLinePunct w:val="0"/>
              <w:bidi w:val="0"/>
              <w:spacing w:line="348" w:lineRule="auto"/>
              <w:rPr>
                <w:szCs w:val="21"/>
              </w:rPr>
            </w:pPr>
            <w:r>
              <w:rPr>
                <w:rFonts w:hint="eastAsia"/>
              </w:rPr>
              <w:t>（7）投标</w:t>
            </w:r>
            <w:r>
              <w:rPr>
                <w:rFonts w:hint="eastAsia"/>
                <w:szCs w:val="21"/>
              </w:rPr>
              <w:t>保证金打款凭证</w:t>
            </w:r>
            <w:r>
              <w:rPr>
                <w:rFonts w:hint="eastAsia"/>
                <w:b/>
                <w:bCs/>
                <w:szCs w:val="21"/>
              </w:rPr>
              <w:t>（纸质版或电子版均可）</w:t>
            </w:r>
            <w:r>
              <w:rPr>
                <w:rFonts w:hint="eastAsia"/>
                <w:szCs w:val="21"/>
              </w:rPr>
              <w:t>；</w:t>
            </w:r>
          </w:p>
          <w:p>
            <w:pPr>
              <w:keepNext w:val="0"/>
              <w:keepLines w:val="0"/>
              <w:pageBreakBefore w:val="0"/>
              <w:widowControl w:val="0"/>
              <w:kinsoku/>
              <w:wordWrap/>
              <w:overflowPunct/>
              <w:topLinePunct w:val="0"/>
              <w:bidi w:val="0"/>
              <w:spacing w:line="348" w:lineRule="auto"/>
              <w:rPr>
                <w:rFonts w:hint="eastAsia"/>
                <w:szCs w:val="21"/>
                <w:lang w:eastAsia="zh-CN"/>
              </w:rPr>
            </w:pPr>
            <w:r>
              <w:rPr>
                <w:rFonts w:hint="eastAsia"/>
                <w:szCs w:val="21"/>
              </w:rPr>
              <w:t>（8）法定代表人身份证明书及身份证或法定代表人授权委托书及委托代理人的身份证</w:t>
            </w:r>
            <w:r>
              <w:rPr>
                <w:rFonts w:hint="eastAsia"/>
                <w:b/>
                <w:bCs/>
                <w:szCs w:val="21"/>
              </w:rPr>
              <w:t>（原件）</w:t>
            </w:r>
            <w:r>
              <w:rPr>
                <w:rFonts w:hint="eastAsia"/>
                <w:szCs w:val="21"/>
                <w:lang w:eastAsia="zh-CN"/>
              </w:rPr>
              <w:t>；</w:t>
            </w:r>
          </w:p>
          <w:p>
            <w:pPr>
              <w:pStyle w:val="79"/>
              <w:keepNext w:val="0"/>
              <w:keepLines w:val="0"/>
              <w:pageBreakBefore w:val="0"/>
              <w:kinsoku/>
              <w:wordWrap/>
              <w:overflowPunct/>
              <w:topLinePunct w:val="0"/>
              <w:bidi w:val="0"/>
              <w:spacing w:line="348" w:lineRule="auto"/>
              <w:rPr>
                <w:rFonts w:hint="default" w:hAnsi="宋体" w:eastAsia="宋体"/>
                <w:lang w:val="en-US" w:eastAsia="zh-CN"/>
              </w:rPr>
            </w:pPr>
            <w:r>
              <w:rPr>
                <w:rFonts w:hint="eastAsia" w:hAnsi="宋体"/>
                <w:b w:val="0"/>
                <w:bCs w:val="0"/>
                <w:sz w:val="24"/>
                <w:szCs w:val="21"/>
                <w:lang w:val="en-US" w:eastAsia="zh-CN"/>
              </w:rPr>
              <w:t>（</w:t>
            </w:r>
            <w:r>
              <w:rPr>
                <w:rFonts w:hint="eastAsia" w:hAnsi="宋体"/>
                <w:b w:val="0"/>
                <w:bCs w:val="0"/>
                <w:szCs w:val="21"/>
                <w:lang w:val="en-US" w:eastAsia="zh-CN"/>
              </w:rPr>
              <w:t>9</w:t>
            </w:r>
            <w:r>
              <w:rPr>
                <w:rFonts w:hint="eastAsia" w:hAnsi="宋体"/>
                <w:b w:val="0"/>
                <w:bCs w:val="0"/>
                <w:szCs w:val="21"/>
                <w:lang w:eastAsia="zh-CN"/>
              </w:rPr>
              <w:t>）</w:t>
            </w:r>
            <w:r>
              <w:rPr>
                <w:rFonts w:hint="eastAsia" w:hAnsi="宋体"/>
              </w:rPr>
              <w:t>具有履行合同所必需的设备和专业技术能力；提供承诺书</w:t>
            </w:r>
            <w:r>
              <w:rPr>
                <w:rFonts w:hint="eastAsia" w:hAnsi="宋体"/>
                <w:b/>
                <w:bCs/>
                <w:lang w:eastAsia="zh-CN"/>
              </w:rPr>
              <w:t>（</w:t>
            </w:r>
            <w:r>
              <w:rPr>
                <w:rFonts w:hint="eastAsia" w:hAnsi="宋体"/>
                <w:b/>
                <w:bCs/>
                <w:lang w:val="en-US" w:eastAsia="zh-CN"/>
              </w:rPr>
              <w:t>原件）</w:t>
            </w:r>
            <w:r>
              <w:rPr>
                <w:rFonts w:hint="eastAsia" w:hAnsi="宋体"/>
                <w:lang w:val="en-US" w:eastAsia="zh-CN"/>
              </w:rPr>
              <w:t>；</w:t>
            </w:r>
          </w:p>
          <w:p>
            <w:pPr>
              <w:pStyle w:val="79"/>
              <w:keepNext w:val="0"/>
              <w:keepLines w:val="0"/>
              <w:pageBreakBefore w:val="0"/>
              <w:kinsoku/>
              <w:wordWrap/>
              <w:overflowPunct/>
              <w:topLinePunct w:val="0"/>
              <w:bidi w:val="0"/>
              <w:spacing w:line="348" w:lineRule="auto"/>
              <w:rPr>
                <w:rFonts w:hint="default" w:ascii="宋体" w:hAnsi="宋体" w:eastAsia="宋体"/>
                <w:b w:val="0"/>
                <w:bCs w:val="0"/>
                <w:sz w:val="24"/>
                <w:szCs w:val="21"/>
                <w:lang w:eastAsia="zh-CN"/>
              </w:rPr>
            </w:pPr>
            <w:r>
              <w:rPr>
                <w:rFonts w:hint="eastAsia" w:hAnsi="宋体"/>
                <w:lang w:eastAsia="zh-CN"/>
              </w:rPr>
              <w:t>（</w:t>
            </w:r>
            <w:r>
              <w:rPr>
                <w:rFonts w:hint="eastAsia" w:hAnsi="宋体"/>
                <w:lang w:val="en-US" w:eastAsia="zh-CN"/>
              </w:rPr>
              <w:t>10）</w:t>
            </w:r>
            <w:r>
              <w:rPr>
                <w:rFonts w:hint="eastAsia" w:hAnsi="宋体"/>
              </w:rPr>
              <w:t>参加政府采购活动前三年内，在经营活动中没有重大违法记录；提供承诺书</w:t>
            </w:r>
            <w:r>
              <w:rPr>
                <w:rFonts w:hint="eastAsia" w:hAnsi="宋体"/>
                <w:b/>
                <w:bCs/>
                <w:lang w:eastAsia="zh-CN"/>
              </w:rPr>
              <w:t>（</w:t>
            </w:r>
            <w:r>
              <w:rPr>
                <w:rFonts w:hint="eastAsia" w:hAnsi="宋体"/>
                <w:b/>
                <w:bCs/>
                <w:lang w:val="en-US" w:eastAsia="zh-CN"/>
              </w:rPr>
              <w:t>原件）</w:t>
            </w:r>
            <w:r>
              <w:rPr>
                <w:rFonts w:hint="eastAsia" w:hAnsi="宋体"/>
                <w:lang w:val="en-US" w:eastAsia="zh-CN"/>
              </w:rPr>
              <w:t>；</w:t>
            </w:r>
          </w:p>
          <w:p>
            <w:pPr>
              <w:keepNext w:val="0"/>
              <w:keepLines w:val="0"/>
              <w:pageBreakBefore w:val="0"/>
              <w:widowControl w:val="0"/>
              <w:kinsoku/>
              <w:wordWrap/>
              <w:overflowPunct/>
              <w:topLinePunct w:val="0"/>
              <w:bidi w:val="0"/>
              <w:spacing w:line="348" w:lineRule="auto"/>
              <w:rPr>
                <w:b/>
                <w:bCs/>
              </w:rPr>
            </w:pPr>
            <w:r>
              <w:rPr>
                <w:rFonts w:hint="eastAsia"/>
              </w:rPr>
              <w:t>（三）特别提示：以上证件非提供原件须加盖公章。上述证件有效、齐全、满足要求的供应商为有效供应商，否则其投标将被否决。敬请各供应商注意，且在投标文件截止时间后提供材料者不予以接受。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136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1.20</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通讯联系</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自获取（购买）响应文件之日起，供应商应确保其提供的联系方式（电话、电子邮件等）一直保持有效和畅通，以保证往来函件（响应文件的澄清、修改等）能及时通知供应商，并能及时反馈信息，否则采购人（或招标代理机构）不承担由此（因供应商提供的联系方式无效或通讯不畅、无法联系等因素）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67"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1.21</w:t>
            </w:r>
          </w:p>
        </w:tc>
        <w:tc>
          <w:tcPr>
            <w:tcW w:w="1722" w:type="dxa"/>
            <w:gridSpan w:val="2"/>
            <w:vAlign w:val="center"/>
          </w:tcPr>
          <w:p>
            <w:pPr>
              <w:keepNext w:val="0"/>
              <w:keepLines w:val="0"/>
              <w:pageBreakBefore w:val="0"/>
              <w:widowControl w:val="0"/>
              <w:kinsoku/>
              <w:wordWrap/>
              <w:overflowPunct/>
              <w:topLinePunct w:val="0"/>
              <w:bidi w:val="0"/>
              <w:spacing w:line="348" w:lineRule="auto"/>
              <w:rPr>
                <w:rFonts w:hint="eastAsia"/>
              </w:rPr>
            </w:pPr>
            <w:r>
              <w:rPr>
                <w:rFonts w:hint="eastAsia"/>
              </w:rPr>
              <w:t>小、微企业投标产品价格</w:t>
            </w:r>
          </w:p>
          <w:p>
            <w:pPr>
              <w:keepNext w:val="0"/>
              <w:keepLines w:val="0"/>
              <w:pageBreakBefore w:val="0"/>
              <w:widowControl w:val="0"/>
              <w:kinsoku/>
              <w:wordWrap/>
              <w:overflowPunct/>
              <w:topLinePunct w:val="0"/>
              <w:bidi w:val="0"/>
              <w:spacing w:line="348" w:lineRule="auto"/>
            </w:pPr>
            <w:r>
              <w:rPr>
                <w:rFonts w:hint="eastAsia"/>
              </w:rPr>
              <w:t>扣</w:t>
            </w:r>
            <w:r>
              <w:rPr>
                <w:rFonts w:hint="eastAsia"/>
                <w:lang w:val="en-US" w:eastAsia="zh-CN"/>
              </w:rPr>
              <w:t xml:space="preserve">      </w:t>
            </w:r>
            <w:r>
              <w:rPr>
                <w:rFonts w:hint="eastAsia"/>
              </w:rPr>
              <w:t>除</w:t>
            </w:r>
          </w:p>
        </w:tc>
        <w:tc>
          <w:tcPr>
            <w:tcW w:w="7760" w:type="dxa"/>
            <w:vAlign w:val="center"/>
          </w:tcPr>
          <w:p>
            <w:pPr>
              <w:keepNext w:val="0"/>
              <w:keepLines w:val="0"/>
              <w:pageBreakBefore w:val="0"/>
              <w:widowControl w:val="0"/>
              <w:kinsoku/>
              <w:wordWrap/>
              <w:overflowPunct/>
              <w:topLinePunct w:val="0"/>
              <w:bidi w:val="0"/>
              <w:spacing w:line="348" w:lineRule="auto"/>
              <w:rPr>
                <w:rFonts w:hint="eastAsia"/>
              </w:rPr>
            </w:pPr>
            <w:r>
              <w:rPr>
                <w:rFonts w:hint="eastAsia"/>
              </w:rPr>
              <w:t>根</w:t>
            </w:r>
            <w:r>
              <w:rPr>
                <w:rFonts w:hint="eastAsia"/>
                <w:highlight w:val="none"/>
              </w:rPr>
              <w:t>据《关于进一步加大政府采购支持中小企业力度的通知》(财库[2022]19号)文件、《政府采购促进中小企业发展管理办法》（财库〔2020〕46号）、《关于政府采购支持监狱企业发展有关问题的通知》(财库〔2014〕68号)、《关于促进残疾人就业政府</w:t>
            </w:r>
            <w:r>
              <w:rPr>
                <w:rFonts w:hint="eastAsia"/>
              </w:rPr>
              <w:t>采购政策的通知》（财库〔2017〕141号)、《关于环境标志产品政府采购实施的意见》（财库〔2006〕90号）、《节能产品政府采购实施意见》的通知（财库〔2004〕185号）。《财政部发展改革委生态环境部市场监管总局关于调整优化节能产品、环境标志产品政府采购执行机制的通知》（财库〔2019〕9号）；关于运用政府采购政策支持脱贫攻坚的通知</w:t>
            </w:r>
            <w:r>
              <w:rPr>
                <w:rFonts w:hint="eastAsia"/>
                <w:lang w:eastAsia="zh-CN"/>
              </w:rPr>
              <w:t>《</w:t>
            </w:r>
            <w:r>
              <w:rPr>
                <w:rFonts w:hint="eastAsia"/>
              </w:rPr>
              <w:t>财库〔2019〕27号</w:t>
            </w:r>
            <w:r>
              <w:rPr>
                <w:rFonts w:hint="eastAsia"/>
                <w:lang w:eastAsia="zh-CN"/>
              </w:rPr>
              <w:t>》。</w:t>
            </w:r>
          </w:p>
          <w:p>
            <w:pPr>
              <w:keepNext w:val="0"/>
              <w:keepLines w:val="0"/>
              <w:pageBreakBefore w:val="0"/>
              <w:widowControl w:val="0"/>
              <w:kinsoku/>
              <w:wordWrap/>
              <w:overflowPunct/>
              <w:topLinePunct w:val="0"/>
              <w:bidi w:val="0"/>
              <w:spacing w:line="348" w:lineRule="auto"/>
            </w:pPr>
            <w:r>
              <w:rPr>
                <w:rFonts w:hint="eastAsia"/>
              </w:rPr>
              <w:t>须提供《残疾人福利性单位声明函》、《监狱企业的证明文件》、《中小企业声明函》（详见：第六章响应文件格式）。</w:t>
            </w:r>
          </w:p>
          <w:p>
            <w:pPr>
              <w:keepNext w:val="0"/>
              <w:keepLines w:val="0"/>
              <w:pageBreakBefore w:val="0"/>
              <w:widowControl w:val="0"/>
              <w:kinsoku/>
              <w:wordWrap/>
              <w:overflowPunct/>
              <w:topLinePunct w:val="0"/>
              <w:bidi w:val="0"/>
              <w:spacing w:line="348" w:lineRule="auto"/>
            </w:pPr>
            <w:r>
              <w:rPr>
                <w:rFonts w:hint="eastAsia"/>
              </w:rPr>
              <w:t>按照以上条文对于符合要求的企业进行价格扣除，用扣除后的价格参与评审，最后报价扣除比例如下：</w:t>
            </w:r>
          </w:p>
          <w:p>
            <w:pPr>
              <w:pStyle w:val="5"/>
              <w:keepNext w:val="0"/>
              <w:keepLines w:val="0"/>
              <w:pageBreakBefore w:val="0"/>
              <w:kinsoku/>
              <w:wordWrap/>
              <w:overflowPunct/>
              <w:topLinePunct w:val="0"/>
              <w:bidi w:val="0"/>
              <w:spacing w:line="348" w:lineRule="auto"/>
              <w:ind w:firstLine="0"/>
              <w:rPr>
                <w:rFonts w:hAnsi="宋体" w:cs="宋体"/>
                <w:highlight w:val="none"/>
              </w:rPr>
            </w:pPr>
            <w:r>
              <w:rPr>
                <w:rFonts w:hint="eastAsia"/>
                <w:highlight w:val="none"/>
                <w:lang w:val="en-US" w:eastAsia="zh-CN"/>
              </w:rPr>
              <w:t>1.</w:t>
            </w:r>
            <w:r>
              <w:rPr>
                <w:rFonts w:hint="eastAsia"/>
                <w:highlight w:val="none"/>
              </w:rPr>
              <w:t>给予小型和微型企业产品的价格给予10%-20%的扣除，用扣除后的价格参与评审，监狱企业、残疾人福利性质单位视同为小微企业。本项目具体扣除比例为10%。</w:t>
            </w:r>
          </w:p>
          <w:p>
            <w:pPr>
              <w:keepNext w:val="0"/>
              <w:keepLines w:val="0"/>
              <w:pageBreakBefore w:val="0"/>
              <w:widowControl w:val="0"/>
              <w:kinsoku/>
              <w:wordWrap/>
              <w:overflowPunct/>
              <w:topLinePunct w:val="0"/>
              <w:bidi w:val="0"/>
              <w:spacing w:line="348" w:lineRule="auto"/>
            </w:pPr>
            <w:r>
              <w:rPr>
                <w:rFonts w:hint="eastAsia"/>
              </w:rPr>
              <w:t>2.监狱企业视同小型、微型企业，在满足价格扣除条件且在响应文件中按要求提交了省级以上监狱管理局、戒毒管理局（含新疆生产建设兵团）出具的属于监狱企业的证明文件的，对其最后报价按第一条的比例予以扣除，用扣除后的价格参与评审；</w:t>
            </w:r>
          </w:p>
          <w:p>
            <w:pPr>
              <w:keepNext w:val="0"/>
              <w:keepLines w:val="0"/>
              <w:pageBreakBefore w:val="0"/>
              <w:widowControl w:val="0"/>
              <w:kinsoku/>
              <w:wordWrap/>
              <w:overflowPunct/>
              <w:topLinePunct w:val="0"/>
              <w:bidi w:val="0"/>
              <w:spacing w:line="348" w:lineRule="auto"/>
              <w:rPr>
                <w:rFonts w:hint="eastAsia"/>
              </w:rPr>
            </w:pPr>
            <w:r>
              <w:rPr>
                <w:rFonts w:hint="eastAsia"/>
              </w:rPr>
              <w:t>3.残疾人福利性单位视同小型、微型企业，在满足价格扣除条件且在响应文件中提供了《残疾人福利性单位声明函》的，对其最后报价按第一条的比例予以扣除，用扣除后的价格参与评审。残疾人福利性单位属于小型、微型企业的，不重复享受政策。</w:t>
            </w:r>
          </w:p>
          <w:p>
            <w:pPr>
              <w:keepNext w:val="0"/>
              <w:keepLines w:val="0"/>
              <w:pageBreakBefore w:val="0"/>
              <w:widowControl w:val="0"/>
              <w:kinsoku/>
              <w:wordWrap/>
              <w:overflowPunct/>
              <w:topLinePunct w:val="0"/>
              <w:bidi w:val="0"/>
              <w:spacing w:line="348" w:lineRule="auto"/>
              <w:rPr>
                <w:rFonts w:hint="default" w:eastAsia="宋体"/>
                <w:lang w:val="en-US" w:eastAsia="zh-CN"/>
              </w:rPr>
            </w:pPr>
            <w:r>
              <w:rPr>
                <w:rFonts w:hint="eastAsia"/>
                <w:lang w:val="en-US" w:eastAsia="zh-CN"/>
              </w:rPr>
              <w:t>4.本项目中如供应商所投货物总额大部分为</w:t>
            </w:r>
            <w:r>
              <w:rPr>
                <w:rFonts w:hint="eastAsia"/>
              </w:rPr>
              <w:t>小型、微型企业</w:t>
            </w:r>
            <w:r>
              <w:rPr>
                <w:rFonts w:hint="eastAsia"/>
                <w:lang w:val="en-US" w:eastAsia="zh-CN"/>
              </w:rPr>
              <w:t>生产，该供应商</w:t>
            </w:r>
            <w:r>
              <w:rPr>
                <w:rFonts w:hint="eastAsia"/>
              </w:rPr>
              <w:t>视同</w:t>
            </w:r>
            <w:r>
              <w:rPr>
                <w:rFonts w:hint="eastAsia"/>
                <w:lang w:val="en-US" w:eastAsia="zh-CN"/>
              </w:rPr>
              <w:t>为</w:t>
            </w:r>
            <w:r>
              <w:rPr>
                <w:rFonts w:hint="eastAsia"/>
              </w:rPr>
              <w:t>小型、微型企业</w:t>
            </w:r>
            <w:r>
              <w:rPr>
                <w:rFonts w:hint="eastAsia"/>
                <w:lang w:eastAsia="zh-CN"/>
              </w:rPr>
              <w:t>，</w:t>
            </w:r>
            <w:r>
              <w:rPr>
                <w:rFonts w:hint="eastAsia"/>
                <w:lang w:val="en-US" w:eastAsia="zh-CN"/>
              </w:rPr>
              <w:t>享受相关政策。</w:t>
            </w:r>
          </w:p>
          <w:p>
            <w:pPr>
              <w:keepNext w:val="0"/>
              <w:keepLines w:val="0"/>
              <w:pageBreakBefore w:val="0"/>
              <w:widowControl w:val="0"/>
              <w:kinsoku/>
              <w:wordWrap/>
              <w:overflowPunct/>
              <w:topLinePunct w:val="0"/>
              <w:bidi w:val="0"/>
              <w:spacing w:line="348" w:lineRule="auto"/>
            </w:pPr>
            <w:r>
              <w:rPr>
                <w:rFonts w:hint="eastAsia"/>
                <w:lang w:val="en-US" w:eastAsia="zh-CN"/>
              </w:rPr>
              <w:t>5</w:t>
            </w:r>
            <w:r>
              <w:rPr>
                <w:rFonts w:hint="eastAsia"/>
              </w:rPr>
              <w:t>.对于节能产品、环境标志产品的相关规定</w:t>
            </w:r>
          </w:p>
          <w:p>
            <w:pPr>
              <w:keepNext w:val="0"/>
              <w:keepLines w:val="0"/>
              <w:pageBreakBefore w:val="0"/>
              <w:widowControl w:val="0"/>
              <w:kinsoku/>
              <w:wordWrap/>
              <w:overflowPunct/>
              <w:topLinePunct w:val="0"/>
              <w:bidi w:val="0"/>
              <w:spacing w:line="348" w:lineRule="auto"/>
            </w:pPr>
            <w:r>
              <w:rPr>
                <w:rFonts w:hint="eastAsia"/>
              </w:rPr>
              <w:t>（1）节能产品或环境标志产品，依据品目清单和认证证书实施政府优先采购。供应商应能够提供国家确定的认证机构出具的、处于有效期之内的节能产品、环境标志产品认证证书，方可对获得证书的产品优先推荐。</w:t>
            </w:r>
          </w:p>
          <w:p>
            <w:pPr>
              <w:keepNext w:val="0"/>
              <w:keepLines w:val="0"/>
              <w:pageBreakBefore w:val="0"/>
              <w:widowControl w:val="0"/>
              <w:kinsoku/>
              <w:wordWrap/>
              <w:overflowPunct/>
              <w:topLinePunct w:val="0"/>
              <w:bidi w:val="0"/>
              <w:spacing w:line="348" w:lineRule="auto"/>
            </w:pPr>
            <w:r>
              <w:rPr>
                <w:rFonts w:hint="eastAsia"/>
              </w:rPr>
              <w:t>节能产品报价占总报价比例在30%或以上的，对节能产品的价格给予2%的扣除，在30%以下的，对节能产品的价格给予1%的扣除，用扣除后的价格参与评审。</w:t>
            </w:r>
          </w:p>
          <w:p>
            <w:pPr>
              <w:keepNext w:val="0"/>
              <w:keepLines w:val="0"/>
              <w:pageBreakBefore w:val="0"/>
              <w:widowControl w:val="0"/>
              <w:kinsoku/>
              <w:wordWrap/>
              <w:overflowPunct/>
              <w:topLinePunct w:val="0"/>
              <w:bidi w:val="0"/>
              <w:spacing w:line="348" w:lineRule="auto"/>
            </w:pPr>
            <w:r>
              <w:rPr>
                <w:rFonts w:hint="eastAsia"/>
              </w:rPr>
              <w:t>环境标志产品报价占总报价比例在30%或以上的，对环境标志产品的价格给予2%的扣除，在30%以下的，对节能产品的价格给予1%的扣除，用扣除后的价格参与评审。</w:t>
            </w:r>
          </w:p>
          <w:p>
            <w:pPr>
              <w:keepNext w:val="0"/>
              <w:keepLines w:val="0"/>
              <w:pageBreakBefore w:val="0"/>
              <w:widowControl w:val="0"/>
              <w:kinsoku/>
              <w:wordWrap/>
              <w:overflowPunct/>
              <w:topLinePunct w:val="0"/>
              <w:bidi w:val="0"/>
              <w:spacing w:line="348" w:lineRule="auto"/>
            </w:pPr>
            <w:r>
              <w:rPr>
                <w:rFonts w:hint="eastAsia"/>
              </w:rPr>
              <w:t>（2）供应商应同时提供品目清单网络截图，并以明确标注所报产品信息和位置的方式，用以方便评审。</w:t>
            </w:r>
          </w:p>
          <w:p>
            <w:pPr>
              <w:keepNext w:val="0"/>
              <w:keepLines w:val="0"/>
              <w:pageBreakBefore w:val="0"/>
              <w:widowControl w:val="0"/>
              <w:kinsoku/>
              <w:wordWrap/>
              <w:overflowPunct/>
              <w:topLinePunct w:val="0"/>
              <w:bidi w:val="0"/>
              <w:spacing w:line="348" w:lineRule="auto"/>
            </w:pPr>
            <w:r>
              <w:rPr>
                <w:rFonts w:hint="eastAsia"/>
              </w:rPr>
              <w:t>（3）认证机构和获证产品信息发布媒体：详见中国政府采购网（www.ccgp.gov.cn）建立的与认证结果信息发布平台的链接。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319"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1.22</w:t>
            </w:r>
          </w:p>
        </w:tc>
        <w:tc>
          <w:tcPr>
            <w:tcW w:w="1722" w:type="dxa"/>
            <w:gridSpan w:val="2"/>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签字盖章要求</w:t>
            </w:r>
          </w:p>
        </w:tc>
        <w:tc>
          <w:tcPr>
            <w:tcW w:w="7760" w:type="dxa"/>
            <w:vAlign w:val="center"/>
          </w:tcPr>
          <w:p>
            <w:pPr>
              <w:keepNext w:val="0"/>
              <w:keepLines w:val="0"/>
              <w:pageBreakBefore w:val="0"/>
              <w:widowControl w:val="0"/>
              <w:kinsoku/>
              <w:wordWrap/>
              <w:overflowPunct/>
              <w:topLinePunct w:val="0"/>
              <w:bidi w:val="0"/>
              <w:spacing w:line="348" w:lineRule="auto"/>
              <w:rPr>
                <w:highlight w:val="none"/>
              </w:rPr>
            </w:pPr>
            <w:r>
              <w:rPr>
                <w:rFonts w:hint="eastAsia"/>
                <w:highlight w:val="none"/>
              </w:rPr>
              <w:t>1.第六章响应文件格式中凡出现应答人单位落款的地方应盖单位章；</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2.第六章响应文件格式中凡须签字的地方须按要求签字；</w:t>
            </w:r>
          </w:p>
          <w:p>
            <w:pPr>
              <w:keepNext w:val="0"/>
              <w:keepLines w:val="0"/>
              <w:pageBreakBefore w:val="0"/>
              <w:widowControl w:val="0"/>
              <w:kinsoku/>
              <w:wordWrap/>
              <w:overflowPunct/>
              <w:topLinePunct w:val="0"/>
              <w:bidi w:val="0"/>
              <w:spacing w:line="348" w:lineRule="auto"/>
              <w:rPr>
                <w:highlight w:val="none"/>
              </w:rPr>
            </w:pPr>
            <w:r>
              <w:rPr>
                <w:rFonts w:hint="eastAsia"/>
                <w:highlight w:val="none"/>
              </w:rPr>
              <w:t>注：①文件中所有标注“盖章”处均指单位公章，不能以“业务章”、“专用章”、“合同章”等代替；②文件中所有标注“签字”处均指书写签字或签名章，不能以打印体代替。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8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1.23</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招标代理中标服务费</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招标代理费收费标准根据计价格[2002]1980号文件计算，本次招标代理服务收费下浮48%，根据招标代理合同招标代理费由中标单位支付。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8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1.24</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履约保证金</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中标单位在中标公示结束后10日内（签订合同前）向采购人缴纳履约保证金，以约束中标单位履行合同。签订供货合同时，中标单位需向需求方提供履约保证金打款依据（银行汇款单等）。</w:t>
            </w:r>
          </w:p>
          <w:p>
            <w:pPr>
              <w:keepNext w:val="0"/>
              <w:keepLines w:val="0"/>
              <w:pageBreakBefore w:val="0"/>
              <w:widowControl w:val="0"/>
              <w:kinsoku/>
              <w:wordWrap/>
              <w:overflowPunct/>
              <w:topLinePunct w:val="0"/>
              <w:bidi w:val="0"/>
              <w:spacing w:line="348" w:lineRule="auto"/>
            </w:pPr>
            <w:r>
              <w:rPr>
                <w:rFonts w:hint="eastAsia"/>
              </w:rPr>
              <w:t>包 2：5万（大写：伍万元整）</w:t>
            </w:r>
          </w:p>
          <w:p>
            <w:pPr>
              <w:keepNext w:val="0"/>
              <w:keepLines w:val="0"/>
              <w:pageBreakBefore w:val="0"/>
              <w:widowControl w:val="0"/>
              <w:kinsoku/>
              <w:wordWrap/>
              <w:overflowPunct/>
              <w:topLinePunct w:val="0"/>
              <w:bidi w:val="0"/>
              <w:spacing w:line="348" w:lineRule="auto"/>
            </w:pPr>
            <w:r>
              <w:rPr>
                <w:rFonts w:hint="eastAsia"/>
              </w:rPr>
              <w:t>单位名称: 新疆大学</w:t>
            </w:r>
          </w:p>
          <w:p>
            <w:pPr>
              <w:keepNext w:val="0"/>
              <w:keepLines w:val="0"/>
              <w:pageBreakBefore w:val="0"/>
              <w:widowControl w:val="0"/>
              <w:kinsoku/>
              <w:wordWrap/>
              <w:overflowPunct/>
              <w:topLinePunct w:val="0"/>
              <w:bidi w:val="0"/>
              <w:spacing w:line="348" w:lineRule="auto"/>
            </w:pPr>
            <w:r>
              <w:rPr>
                <w:rFonts w:hint="eastAsia"/>
              </w:rPr>
              <w:t>纳税人识别号: 12650000457601471G</w:t>
            </w:r>
          </w:p>
          <w:p>
            <w:pPr>
              <w:keepNext w:val="0"/>
              <w:keepLines w:val="0"/>
              <w:pageBreakBefore w:val="0"/>
              <w:widowControl w:val="0"/>
              <w:kinsoku/>
              <w:wordWrap/>
              <w:overflowPunct/>
              <w:topLinePunct w:val="0"/>
              <w:bidi w:val="0"/>
              <w:spacing w:line="348" w:lineRule="auto"/>
            </w:pPr>
            <w:r>
              <w:rPr>
                <w:rFonts w:hint="eastAsia"/>
              </w:rPr>
              <w:t>地址：新疆维吾尔自治区乌鲁木齐市胜利路14号</w:t>
            </w:r>
          </w:p>
          <w:p>
            <w:pPr>
              <w:keepNext w:val="0"/>
              <w:keepLines w:val="0"/>
              <w:pageBreakBefore w:val="0"/>
              <w:widowControl w:val="0"/>
              <w:kinsoku/>
              <w:wordWrap/>
              <w:overflowPunct/>
              <w:topLinePunct w:val="0"/>
              <w:bidi w:val="0"/>
              <w:spacing w:line="348" w:lineRule="auto"/>
            </w:pPr>
            <w:r>
              <w:rPr>
                <w:rFonts w:hint="eastAsia"/>
              </w:rPr>
              <w:t>开户行：中国农业银行</w:t>
            </w:r>
          </w:p>
          <w:p>
            <w:pPr>
              <w:keepNext w:val="0"/>
              <w:keepLines w:val="0"/>
              <w:pageBreakBefore w:val="0"/>
              <w:widowControl w:val="0"/>
              <w:kinsoku/>
              <w:wordWrap/>
              <w:overflowPunct/>
              <w:topLinePunct w:val="0"/>
              <w:bidi w:val="0"/>
              <w:spacing w:line="348" w:lineRule="auto"/>
            </w:pPr>
            <w:r>
              <w:rPr>
                <w:rFonts w:hint="eastAsia"/>
              </w:rPr>
              <w:t>开户行地址:中国农业银行股份有限公司乌鲁木齐胜利路(兵团)支行</w:t>
            </w:r>
          </w:p>
          <w:p>
            <w:pPr>
              <w:keepNext w:val="0"/>
              <w:keepLines w:val="0"/>
              <w:pageBreakBefore w:val="0"/>
              <w:widowControl w:val="0"/>
              <w:kinsoku/>
              <w:wordWrap/>
              <w:overflowPunct/>
              <w:topLinePunct w:val="0"/>
              <w:bidi w:val="0"/>
              <w:spacing w:line="348" w:lineRule="auto"/>
            </w:pPr>
            <w:r>
              <w:rPr>
                <w:rFonts w:hint="eastAsia"/>
              </w:rPr>
              <w:t>开户账号：30704301040002348</w:t>
            </w:r>
          </w:p>
          <w:p>
            <w:pPr>
              <w:keepNext w:val="0"/>
              <w:keepLines w:val="0"/>
              <w:pageBreakBefore w:val="0"/>
              <w:widowControl w:val="0"/>
              <w:kinsoku/>
              <w:wordWrap/>
              <w:overflowPunct/>
              <w:topLinePunct w:val="0"/>
              <w:bidi w:val="0"/>
              <w:spacing w:line="348" w:lineRule="auto"/>
            </w:pPr>
            <w:r>
              <w:rPr>
                <w:rFonts w:hint="eastAsia"/>
              </w:rPr>
              <w:t>开户行号:103881070432</w:t>
            </w:r>
          </w:p>
          <w:p>
            <w:pPr>
              <w:keepNext w:val="0"/>
              <w:keepLines w:val="0"/>
              <w:pageBreakBefore w:val="0"/>
              <w:widowControl w:val="0"/>
              <w:kinsoku/>
              <w:wordWrap/>
              <w:overflowPunct/>
              <w:topLinePunct w:val="0"/>
              <w:bidi w:val="0"/>
              <w:spacing w:line="348" w:lineRule="auto"/>
            </w:pPr>
            <w:r>
              <w:rPr>
                <w:rFonts w:hint="eastAsia"/>
              </w:rPr>
              <w:t>1.如在履行合同期内出现质量问题，无故延迟送货，不送货，不按招标品牌要求送货，不按甲方所报数量送货等，因乙方自身原因影响餐厅正常开餐的，需求方有权不退还中标单位履约保证金或视情况扣减；</w:t>
            </w:r>
          </w:p>
          <w:p>
            <w:pPr>
              <w:keepNext w:val="0"/>
              <w:keepLines w:val="0"/>
              <w:pageBreakBefore w:val="0"/>
              <w:widowControl w:val="0"/>
              <w:kinsoku/>
              <w:wordWrap/>
              <w:overflowPunct/>
              <w:topLinePunct w:val="0"/>
              <w:bidi w:val="0"/>
              <w:spacing w:line="348" w:lineRule="auto"/>
              <w:rPr>
                <w:rFonts w:hint="eastAsia" w:eastAsia="宋体"/>
                <w:lang w:eastAsia="zh-CN"/>
              </w:rPr>
            </w:pPr>
            <w:r>
              <w:rPr>
                <w:rFonts w:hint="eastAsia"/>
              </w:rPr>
              <w:t>2.合同到期后需方不计息全额返还中标单位履约保证金。合同到期后45个工作日内，乙方须完成退还手续，否则视为自动放弃退款，且甲方不再承担退款责任</w:t>
            </w:r>
            <w:r>
              <w:rPr>
                <w:rFonts w:hint="eastAsia"/>
                <w:lang w:eastAsia="zh-CN"/>
              </w:rPr>
              <w:t>；</w:t>
            </w:r>
          </w:p>
          <w:p>
            <w:pPr>
              <w:keepNext w:val="0"/>
              <w:keepLines w:val="0"/>
              <w:pageBreakBefore w:val="0"/>
              <w:widowControl w:val="0"/>
              <w:kinsoku/>
              <w:wordWrap/>
              <w:overflowPunct/>
              <w:topLinePunct w:val="0"/>
              <w:bidi w:val="0"/>
              <w:spacing w:line="348" w:lineRule="auto"/>
              <w:rPr>
                <w:rFonts w:hint="eastAsia" w:eastAsia="宋体"/>
                <w:lang w:eastAsia="zh-CN"/>
              </w:rPr>
            </w:pPr>
            <w:r>
              <w:rPr>
                <w:rFonts w:hint="eastAsia"/>
              </w:rPr>
              <w:t>3.中标单位在签订合同的同时，需要签订质量保证书及廉政协议书</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8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1.25</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现场踏勘</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586" w:hRule="atLeast"/>
          <w:jc w:val="center"/>
        </w:trPr>
        <w:tc>
          <w:tcPr>
            <w:tcW w:w="852" w:type="dxa"/>
            <w:vAlign w:val="center"/>
          </w:tcPr>
          <w:p>
            <w:pPr>
              <w:keepNext w:val="0"/>
              <w:keepLines w:val="0"/>
              <w:pageBreakBefore w:val="0"/>
              <w:widowControl w:val="0"/>
              <w:kinsoku/>
              <w:wordWrap/>
              <w:overflowPunct/>
              <w:topLinePunct w:val="0"/>
              <w:bidi w:val="0"/>
              <w:spacing w:line="348" w:lineRule="auto"/>
            </w:pPr>
            <w:r>
              <w:rPr>
                <w:rFonts w:hint="eastAsia"/>
              </w:rPr>
              <w:t>1.26</w:t>
            </w:r>
          </w:p>
        </w:tc>
        <w:tc>
          <w:tcPr>
            <w:tcW w:w="1722" w:type="dxa"/>
            <w:gridSpan w:val="2"/>
            <w:vAlign w:val="center"/>
          </w:tcPr>
          <w:p>
            <w:pPr>
              <w:keepNext w:val="0"/>
              <w:keepLines w:val="0"/>
              <w:pageBreakBefore w:val="0"/>
              <w:widowControl w:val="0"/>
              <w:kinsoku/>
              <w:wordWrap/>
              <w:overflowPunct/>
              <w:topLinePunct w:val="0"/>
              <w:bidi w:val="0"/>
              <w:spacing w:line="348" w:lineRule="auto"/>
            </w:pPr>
            <w:r>
              <w:rPr>
                <w:rFonts w:hint="eastAsia"/>
              </w:rPr>
              <w:t>采购方式及付款方式</w:t>
            </w:r>
          </w:p>
        </w:tc>
        <w:tc>
          <w:tcPr>
            <w:tcW w:w="7760" w:type="dxa"/>
            <w:vAlign w:val="center"/>
          </w:tcPr>
          <w:p>
            <w:pPr>
              <w:keepNext w:val="0"/>
              <w:keepLines w:val="0"/>
              <w:pageBreakBefore w:val="0"/>
              <w:widowControl w:val="0"/>
              <w:kinsoku/>
              <w:wordWrap/>
              <w:overflowPunct/>
              <w:topLinePunct w:val="0"/>
              <w:bidi w:val="0"/>
              <w:spacing w:line="348" w:lineRule="auto"/>
            </w:pPr>
            <w:r>
              <w:rPr>
                <w:rFonts w:hint="eastAsia"/>
              </w:rPr>
              <w:t>1.采购方式：按甲方食堂实际需求分批采购。</w:t>
            </w:r>
          </w:p>
          <w:p>
            <w:pPr>
              <w:keepNext w:val="0"/>
              <w:keepLines w:val="0"/>
              <w:pageBreakBefore w:val="0"/>
              <w:widowControl w:val="0"/>
              <w:kinsoku/>
              <w:wordWrap/>
              <w:overflowPunct/>
              <w:topLinePunct w:val="0"/>
              <w:bidi w:val="0"/>
              <w:spacing w:line="348" w:lineRule="auto"/>
            </w:pPr>
            <w:r>
              <w:rPr>
                <w:rFonts w:hint="eastAsia"/>
              </w:rPr>
              <w:t>2.根据需求方财务要求，供货方需提供与合同内一致的价格、账号、单位名称等有效信息的增值税发票。如因供货方原因造成的拖延结算，供货方自行承担相应一切损失。</w:t>
            </w:r>
          </w:p>
          <w:p>
            <w:pPr>
              <w:keepNext w:val="0"/>
              <w:keepLines w:val="0"/>
              <w:pageBreakBefore w:val="0"/>
              <w:widowControl w:val="0"/>
              <w:kinsoku/>
              <w:wordWrap/>
              <w:overflowPunct/>
              <w:topLinePunct w:val="0"/>
              <w:bidi w:val="0"/>
              <w:spacing w:line="348" w:lineRule="auto"/>
            </w:pPr>
            <w:r>
              <w:rPr>
                <w:rFonts w:hint="eastAsia"/>
              </w:rPr>
              <w:t>3.相关流程：物资进入校区现场验收，供应单位提供的验收联单不少于四联，验收合格则餐厅三人在《送货单》签字确认。经确认的《送货单》及增值税发票等，提交我方各部门核算，办理结算事宜。</w:t>
            </w:r>
          </w:p>
          <w:p>
            <w:pPr>
              <w:keepNext w:val="0"/>
              <w:keepLines w:val="0"/>
              <w:pageBreakBefore w:val="0"/>
              <w:widowControl w:val="0"/>
              <w:kinsoku/>
              <w:wordWrap/>
              <w:overflowPunct/>
              <w:topLinePunct w:val="0"/>
              <w:bidi w:val="0"/>
              <w:spacing w:line="348" w:lineRule="auto"/>
            </w:pPr>
            <w:r>
              <w:rPr>
                <w:rFonts w:hint="eastAsia"/>
              </w:rPr>
              <w:t>4.付款方式：每15日办理一次结算事宜，滚动式结账，本批结算上批货款。自供货至办理结款</w:t>
            </w:r>
            <w:r>
              <w:rPr>
                <w:rFonts w:hint="eastAsia"/>
                <w:lang w:val="en-US" w:eastAsia="zh-CN"/>
              </w:rPr>
              <w:t>间隔30个工作日</w:t>
            </w:r>
            <w:r>
              <w:rPr>
                <w:rFonts w:hint="eastAsia"/>
              </w:rPr>
              <w:t>。如遇节假日、寒暑假、甲方财务扎帐等特殊情况，结账日期依次顺延，且不产生额外费用。</w:t>
            </w:r>
          </w:p>
        </w:tc>
      </w:tr>
    </w:tbl>
    <w:p>
      <w:pPr>
        <w:rPr>
          <w:rFonts w:ascii="Tahoma" w:hAnsi="Tahoma" w:eastAsia="黑体" w:cs="Tahoma"/>
          <w:b/>
          <w:bCs/>
          <w:sz w:val="30"/>
          <w:szCs w:val="30"/>
        </w:rPr>
      </w:pPr>
      <w:r>
        <w:rPr>
          <w:rFonts w:ascii="Tahoma" w:hAnsi="Tahoma" w:eastAsia="黑体" w:cs="Tahoma"/>
          <w:b/>
          <w:bCs/>
          <w:sz w:val="30"/>
          <w:szCs w:val="30"/>
        </w:rPr>
        <w:br w:type="page"/>
      </w:r>
    </w:p>
    <w:p>
      <w:pPr>
        <w:spacing w:line="360" w:lineRule="auto"/>
        <w:jc w:val="center"/>
        <w:rPr>
          <w:rFonts w:ascii="Tahoma" w:hAnsi="Tahoma" w:eastAsia="黑体" w:cs="Tahoma"/>
          <w:b/>
          <w:bCs/>
          <w:sz w:val="30"/>
          <w:szCs w:val="30"/>
        </w:rPr>
      </w:pPr>
      <w:r>
        <w:rPr>
          <w:rFonts w:hint="eastAsia" w:ascii="Tahoma" w:hAnsi="Tahoma" w:eastAsia="黑体" w:cs="Tahoma"/>
          <w:b/>
          <w:bCs/>
          <w:sz w:val="30"/>
          <w:szCs w:val="30"/>
        </w:rPr>
        <w:t>供应商</w:t>
      </w:r>
      <w:r>
        <w:rPr>
          <w:rFonts w:ascii="Tahoma" w:hAnsi="Tahoma" w:eastAsia="黑体" w:cs="Tahoma"/>
          <w:b/>
          <w:bCs/>
          <w:sz w:val="30"/>
          <w:szCs w:val="30"/>
        </w:rPr>
        <w:t>须知（正文）</w:t>
      </w:r>
    </w:p>
    <w:p>
      <w:pPr>
        <w:spacing w:line="316" w:lineRule="exact"/>
        <w:jc w:val="center"/>
        <w:rPr>
          <w:rFonts w:ascii="Tahoma" w:hAnsi="Tahoma" w:cs="Tahoma"/>
        </w:rPr>
      </w:pPr>
      <w:r>
        <w:rPr>
          <w:rFonts w:ascii="Tahoma" w:hAnsi="Tahoma" w:cs="Tahoma"/>
          <w:b/>
          <w:bCs/>
        </w:rPr>
        <w:t>1</w:t>
      </w:r>
      <w:r>
        <w:rPr>
          <w:rFonts w:ascii="Tahoma" w:hAnsi="Tahoma" w:eastAsia="黑体" w:cs="Tahoma"/>
          <w:b/>
          <w:bCs/>
        </w:rPr>
        <w:t>、总则</w:t>
      </w:r>
    </w:p>
    <w:p>
      <w:pPr>
        <w:spacing w:line="360" w:lineRule="auto"/>
        <w:rPr>
          <w:rFonts w:ascii="Tahoma" w:hAnsi="Tahoma" w:cs="Tahoma"/>
          <w:b/>
          <w:bCs/>
          <w:szCs w:val="21"/>
        </w:rPr>
      </w:pPr>
      <w:r>
        <w:rPr>
          <w:rFonts w:ascii="Tahoma" w:hAnsi="Tahoma" w:cs="Tahoma"/>
          <w:b/>
          <w:bCs/>
          <w:szCs w:val="21"/>
        </w:rPr>
        <w:t>1.1 项目概况</w:t>
      </w:r>
    </w:p>
    <w:p>
      <w:pPr>
        <w:spacing w:line="360" w:lineRule="auto"/>
        <w:rPr>
          <w:rFonts w:ascii="Tahoma" w:hAnsi="Tahoma" w:cs="Tahoma"/>
          <w:szCs w:val="21"/>
        </w:rPr>
      </w:pPr>
      <w:r>
        <w:rPr>
          <w:rFonts w:ascii="Tahoma" w:hAnsi="Tahoma" w:cs="Tahoma"/>
          <w:szCs w:val="21"/>
        </w:rPr>
        <w:t>1.1.1 根据《中华人民共和国政府采购法》、《中华人民共和国政府采购法实施条例》等有关法律、法规和规章的规定，本招标项目已具备招标条件，现对本项目进行招标。</w:t>
      </w:r>
    </w:p>
    <w:p>
      <w:pPr>
        <w:spacing w:line="360" w:lineRule="auto"/>
        <w:rPr>
          <w:rFonts w:ascii="Tahoma" w:hAnsi="Tahoma" w:cs="Tahoma"/>
          <w:szCs w:val="21"/>
        </w:rPr>
      </w:pPr>
      <w:r>
        <w:rPr>
          <w:rFonts w:ascii="Tahoma" w:hAnsi="Tahoma" w:cs="Tahoma"/>
          <w:szCs w:val="21"/>
        </w:rPr>
        <w:t>1.1.2 本招标项目</w:t>
      </w:r>
      <w:r>
        <w:rPr>
          <w:rFonts w:hint="eastAsia" w:ascii="Tahoma" w:hAnsi="Tahoma" w:cs="Tahoma"/>
          <w:szCs w:val="21"/>
        </w:rPr>
        <w:t>采购人</w:t>
      </w:r>
      <w:r>
        <w:rPr>
          <w:rFonts w:ascii="Tahoma" w:hAnsi="Tahoma" w:cs="Tahoma"/>
          <w:szCs w:val="21"/>
        </w:rPr>
        <w:t>：见</w:t>
      </w:r>
      <w:r>
        <w:rPr>
          <w:rFonts w:hint="eastAsia" w:ascii="Tahoma" w:hAnsi="Tahoma" w:cs="Tahoma"/>
          <w:szCs w:val="21"/>
        </w:rPr>
        <w:t>供应商</w:t>
      </w:r>
      <w:r>
        <w:rPr>
          <w:rFonts w:ascii="Tahoma" w:hAnsi="Tahoma" w:cs="Tahoma"/>
          <w:szCs w:val="21"/>
        </w:rPr>
        <w:t>须知前附表。</w:t>
      </w:r>
    </w:p>
    <w:p>
      <w:pPr>
        <w:spacing w:line="360" w:lineRule="auto"/>
        <w:rPr>
          <w:rFonts w:ascii="Tahoma" w:hAnsi="Tahoma" w:cs="Tahoma"/>
          <w:szCs w:val="21"/>
        </w:rPr>
      </w:pPr>
      <w:r>
        <w:rPr>
          <w:rFonts w:ascii="Tahoma" w:hAnsi="Tahoma" w:cs="Tahoma"/>
          <w:szCs w:val="21"/>
        </w:rPr>
        <w:t>1.1.3 本标段招标代理机构：见</w:t>
      </w:r>
      <w:r>
        <w:rPr>
          <w:rFonts w:hint="eastAsia" w:ascii="Tahoma" w:hAnsi="Tahoma" w:cs="Tahoma"/>
          <w:szCs w:val="21"/>
        </w:rPr>
        <w:t>供应商</w:t>
      </w:r>
      <w:r>
        <w:rPr>
          <w:rFonts w:ascii="Tahoma" w:hAnsi="Tahoma" w:cs="Tahoma"/>
          <w:szCs w:val="21"/>
        </w:rPr>
        <w:t>须知前附表。</w:t>
      </w:r>
    </w:p>
    <w:p>
      <w:pPr>
        <w:spacing w:line="360" w:lineRule="auto"/>
        <w:rPr>
          <w:rFonts w:ascii="Tahoma" w:hAnsi="Tahoma" w:cs="Tahoma"/>
          <w:szCs w:val="21"/>
        </w:rPr>
      </w:pPr>
      <w:r>
        <w:rPr>
          <w:rFonts w:ascii="Tahoma" w:hAnsi="Tahoma" w:cs="Tahoma"/>
          <w:szCs w:val="21"/>
        </w:rPr>
        <w:t>1.1.4 本招标项目名称：见</w:t>
      </w:r>
      <w:r>
        <w:rPr>
          <w:rFonts w:hint="eastAsia" w:ascii="Tahoma" w:hAnsi="Tahoma" w:cs="Tahoma"/>
          <w:szCs w:val="21"/>
        </w:rPr>
        <w:t>供应商</w:t>
      </w:r>
      <w:r>
        <w:rPr>
          <w:rFonts w:ascii="Tahoma" w:hAnsi="Tahoma" w:cs="Tahoma"/>
          <w:szCs w:val="21"/>
        </w:rPr>
        <w:t>须知前附表。</w:t>
      </w:r>
    </w:p>
    <w:p>
      <w:pPr>
        <w:spacing w:line="360" w:lineRule="auto"/>
        <w:rPr>
          <w:rFonts w:ascii="Tahoma" w:hAnsi="Tahoma" w:cs="Tahoma"/>
          <w:szCs w:val="21"/>
        </w:rPr>
      </w:pPr>
      <w:r>
        <w:rPr>
          <w:rFonts w:ascii="Tahoma" w:hAnsi="Tahoma" w:cs="Tahoma"/>
          <w:szCs w:val="21"/>
        </w:rPr>
        <w:t>1.1.5 适用范围：本招标文件仅适用于招标文件中所叙述项目的招标。</w:t>
      </w:r>
    </w:p>
    <w:p>
      <w:pPr>
        <w:spacing w:line="360" w:lineRule="auto"/>
        <w:rPr>
          <w:rFonts w:ascii="Tahoma" w:hAnsi="Tahoma" w:cs="Tahoma"/>
          <w:szCs w:val="21"/>
        </w:rPr>
      </w:pPr>
      <w:r>
        <w:rPr>
          <w:rFonts w:ascii="Tahoma" w:hAnsi="Tahoma" w:cs="Tahoma"/>
          <w:szCs w:val="21"/>
        </w:rPr>
        <w:t>1.1.6 本招标项目的资金来源：见</w:t>
      </w:r>
      <w:r>
        <w:rPr>
          <w:rFonts w:hint="eastAsia" w:ascii="Tahoma" w:hAnsi="Tahoma" w:cs="Tahoma"/>
          <w:szCs w:val="21"/>
        </w:rPr>
        <w:t>供应商</w:t>
      </w:r>
      <w:r>
        <w:rPr>
          <w:rFonts w:ascii="Tahoma" w:hAnsi="Tahoma" w:cs="Tahoma"/>
          <w:szCs w:val="21"/>
        </w:rPr>
        <w:t>须知前附表。</w:t>
      </w:r>
    </w:p>
    <w:p>
      <w:pPr>
        <w:spacing w:line="360" w:lineRule="auto"/>
        <w:rPr>
          <w:rFonts w:ascii="Tahoma" w:hAnsi="Tahoma" w:cs="Tahoma"/>
          <w:szCs w:val="21"/>
        </w:rPr>
      </w:pPr>
      <w:r>
        <w:rPr>
          <w:rFonts w:ascii="Tahoma" w:hAnsi="Tahoma" w:cs="Tahoma"/>
          <w:szCs w:val="21"/>
        </w:rPr>
        <w:t>1.1.7 本招标项目的资金落实情况：见</w:t>
      </w:r>
      <w:r>
        <w:rPr>
          <w:rFonts w:hint="eastAsia" w:ascii="Tahoma" w:hAnsi="Tahoma" w:cs="Tahoma"/>
          <w:szCs w:val="21"/>
        </w:rPr>
        <w:t>供应商</w:t>
      </w:r>
      <w:r>
        <w:rPr>
          <w:rFonts w:ascii="Tahoma" w:hAnsi="Tahoma" w:cs="Tahoma"/>
          <w:szCs w:val="21"/>
        </w:rPr>
        <w:t>须知前附表。</w:t>
      </w:r>
    </w:p>
    <w:p>
      <w:pPr>
        <w:spacing w:line="360" w:lineRule="auto"/>
        <w:rPr>
          <w:rFonts w:ascii="Tahoma" w:hAnsi="Tahoma" w:cs="Tahoma"/>
          <w:szCs w:val="21"/>
        </w:rPr>
      </w:pPr>
      <w:r>
        <w:rPr>
          <w:rFonts w:ascii="Tahoma" w:hAnsi="Tahoma" w:cs="Tahoma"/>
          <w:b/>
          <w:bCs/>
          <w:szCs w:val="21"/>
        </w:rPr>
        <w:t>1.2. 定义</w:t>
      </w:r>
    </w:p>
    <w:p>
      <w:pPr>
        <w:spacing w:line="360" w:lineRule="auto"/>
        <w:rPr>
          <w:rFonts w:ascii="Tahoma" w:hAnsi="Tahoma" w:cs="Tahoma"/>
          <w:szCs w:val="21"/>
        </w:rPr>
      </w:pPr>
      <w:r>
        <w:rPr>
          <w:rFonts w:ascii="Tahoma" w:hAnsi="Tahoma" w:cs="Tahoma"/>
          <w:szCs w:val="21"/>
        </w:rPr>
        <w:t>1.2.1</w:t>
      </w:r>
      <w:r>
        <w:rPr>
          <w:rFonts w:hint="eastAsia"/>
          <w:szCs w:val="21"/>
        </w:rPr>
        <w:t xml:space="preserve"> “招标代理人”</w:t>
      </w:r>
      <w:r>
        <w:rPr>
          <w:rFonts w:ascii="Tahoma" w:hAnsi="Tahoma" w:cs="Tahoma"/>
          <w:szCs w:val="21"/>
        </w:rPr>
        <w:t>系指组织本次招标活动的招标代理机构。</w:t>
      </w:r>
    </w:p>
    <w:p>
      <w:pPr>
        <w:spacing w:line="360" w:lineRule="auto"/>
        <w:rPr>
          <w:rFonts w:ascii="Tahoma" w:hAnsi="Tahoma" w:cs="Tahoma"/>
          <w:szCs w:val="21"/>
        </w:rPr>
      </w:pPr>
      <w:r>
        <w:rPr>
          <w:rFonts w:ascii="Tahoma" w:hAnsi="Tahoma" w:cs="Tahoma"/>
          <w:szCs w:val="21"/>
        </w:rPr>
        <w:t>1.2.2</w:t>
      </w:r>
      <w:r>
        <w:rPr>
          <w:rFonts w:hint="eastAsia"/>
          <w:szCs w:val="21"/>
        </w:rPr>
        <w:t xml:space="preserve"> “采购人”</w:t>
      </w:r>
      <w:r>
        <w:rPr>
          <w:rFonts w:ascii="Tahoma" w:hAnsi="Tahoma" w:cs="Tahoma"/>
          <w:szCs w:val="21"/>
        </w:rPr>
        <w:t>系指</w:t>
      </w:r>
      <w:r>
        <w:rPr>
          <w:rFonts w:hint="eastAsia" w:ascii="Tahoma" w:hAnsi="Tahoma" w:cs="Tahoma"/>
          <w:b/>
          <w:bCs/>
          <w:szCs w:val="21"/>
        </w:rPr>
        <w:t>新疆大学</w:t>
      </w:r>
      <w:r>
        <w:rPr>
          <w:rFonts w:ascii="Tahoma" w:hAnsi="Tahoma" w:cs="Tahoma"/>
          <w:szCs w:val="21"/>
        </w:rPr>
        <w:t>。</w:t>
      </w:r>
    </w:p>
    <w:p>
      <w:pPr>
        <w:spacing w:line="360" w:lineRule="auto"/>
        <w:rPr>
          <w:rFonts w:ascii="Tahoma" w:hAnsi="Tahoma" w:cs="Tahoma"/>
          <w:szCs w:val="21"/>
        </w:rPr>
      </w:pPr>
      <w:r>
        <w:rPr>
          <w:rFonts w:ascii="Tahoma" w:hAnsi="Tahoma" w:cs="Tahoma"/>
          <w:szCs w:val="21"/>
        </w:rPr>
        <w:t xml:space="preserve">1.2.3 </w:t>
      </w:r>
      <w:r>
        <w:rPr>
          <w:rFonts w:hint="eastAsia"/>
          <w:szCs w:val="21"/>
        </w:rPr>
        <w:t>“潜在供应商”</w:t>
      </w:r>
      <w:r>
        <w:rPr>
          <w:rFonts w:ascii="Tahoma" w:hAnsi="Tahoma" w:cs="Tahoma"/>
          <w:szCs w:val="21"/>
        </w:rPr>
        <w:t>系指购买了本招标文件的</w:t>
      </w:r>
      <w:r>
        <w:rPr>
          <w:rFonts w:hint="eastAsia" w:ascii="Tahoma" w:hAnsi="Tahoma" w:cs="Tahoma"/>
          <w:szCs w:val="21"/>
        </w:rPr>
        <w:t>供应商</w:t>
      </w:r>
      <w:r>
        <w:rPr>
          <w:rFonts w:ascii="Tahoma" w:hAnsi="Tahoma" w:cs="Tahoma"/>
          <w:szCs w:val="21"/>
        </w:rPr>
        <w:t>。</w:t>
      </w:r>
    </w:p>
    <w:p>
      <w:pPr>
        <w:spacing w:line="360" w:lineRule="auto"/>
        <w:rPr>
          <w:rFonts w:ascii="Tahoma" w:hAnsi="Tahoma" w:cs="Tahoma"/>
          <w:szCs w:val="21"/>
        </w:rPr>
      </w:pPr>
      <w:r>
        <w:rPr>
          <w:rFonts w:ascii="Tahoma" w:hAnsi="Tahoma" w:cs="Tahoma"/>
          <w:szCs w:val="21"/>
        </w:rPr>
        <w:t xml:space="preserve">1.2.4 </w:t>
      </w:r>
      <w:r>
        <w:rPr>
          <w:rFonts w:hint="eastAsia"/>
          <w:szCs w:val="21"/>
        </w:rPr>
        <w:t>“供应商”</w:t>
      </w:r>
      <w:r>
        <w:rPr>
          <w:rFonts w:ascii="Tahoma" w:hAnsi="Tahoma" w:cs="Tahoma"/>
          <w:szCs w:val="21"/>
        </w:rPr>
        <w:t>系指购买了本招标文件，且已经提交本次</w:t>
      </w:r>
      <w:r>
        <w:rPr>
          <w:rFonts w:hint="eastAsia" w:ascii="Tahoma" w:hAnsi="Tahoma" w:cs="Tahoma"/>
          <w:szCs w:val="21"/>
        </w:rPr>
        <w:t>响应文件</w:t>
      </w:r>
      <w:r>
        <w:rPr>
          <w:rFonts w:ascii="Tahoma" w:hAnsi="Tahoma" w:cs="Tahoma"/>
          <w:szCs w:val="21"/>
        </w:rPr>
        <w:t>的</w:t>
      </w:r>
      <w:r>
        <w:rPr>
          <w:rFonts w:hint="eastAsia" w:ascii="Tahoma" w:hAnsi="Tahoma" w:cs="Tahoma"/>
          <w:szCs w:val="21"/>
        </w:rPr>
        <w:t>供应商</w:t>
      </w:r>
      <w:r>
        <w:rPr>
          <w:rFonts w:ascii="Tahoma" w:hAnsi="Tahoma" w:cs="Tahoma"/>
          <w:szCs w:val="21"/>
        </w:rPr>
        <w:t>。</w:t>
      </w:r>
    </w:p>
    <w:p>
      <w:pPr>
        <w:spacing w:line="360" w:lineRule="auto"/>
        <w:rPr>
          <w:rFonts w:ascii="Tahoma" w:hAnsi="Tahoma" w:cs="Tahoma"/>
          <w:szCs w:val="21"/>
        </w:rPr>
      </w:pPr>
      <w:r>
        <w:rPr>
          <w:rFonts w:ascii="Tahoma" w:hAnsi="Tahoma" w:cs="Tahoma"/>
          <w:szCs w:val="21"/>
        </w:rPr>
        <w:t>1.2.5</w:t>
      </w:r>
      <w:r>
        <w:rPr>
          <w:rFonts w:hint="eastAsia"/>
          <w:szCs w:val="21"/>
        </w:rPr>
        <w:t xml:space="preserve"> “产品”</w:t>
      </w:r>
      <w:r>
        <w:rPr>
          <w:rFonts w:ascii="Tahoma" w:hAnsi="Tahoma" w:cs="Tahoma"/>
          <w:szCs w:val="21"/>
        </w:rPr>
        <w:t>系指供方按招标文件规定，须向采购人提供的一切货物、保险、税金、备品备件、工具、手册及其它有关技术资料和材料。</w:t>
      </w:r>
    </w:p>
    <w:p>
      <w:pPr>
        <w:spacing w:line="360" w:lineRule="auto"/>
        <w:rPr>
          <w:rFonts w:ascii="Tahoma" w:hAnsi="Tahoma" w:cs="Tahoma"/>
          <w:szCs w:val="21"/>
        </w:rPr>
      </w:pPr>
      <w:r>
        <w:rPr>
          <w:rFonts w:ascii="Tahoma" w:hAnsi="Tahoma" w:cs="Tahoma"/>
          <w:szCs w:val="21"/>
        </w:rPr>
        <w:t>1.2.6</w:t>
      </w:r>
      <w:r>
        <w:rPr>
          <w:rFonts w:hint="eastAsia"/>
          <w:szCs w:val="21"/>
        </w:rPr>
        <w:t xml:space="preserve"> “服务”</w:t>
      </w:r>
      <w:r>
        <w:rPr>
          <w:rFonts w:ascii="Tahoma" w:hAnsi="Tahoma" w:cs="Tahoma"/>
          <w:szCs w:val="21"/>
        </w:rPr>
        <w:t>系指招标文件规定</w:t>
      </w:r>
      <w:r>
        <w:rPr>
          <w:rFonts w:hint="eastAsia" w:ascii="Tahoma" w:hAnsi="Tahoma" w:cs="Tahoma"/>
          <w:szCs w:val="21"/>
        </w:rPr>
        <w:t>供应商</w:t>
      </w:r>
      <w:r>
        <w:rPr>
          <w:rFonts w:ascii="Tahoma" w:hAnsi="Tahoma" w:cs="Tahoma"/>
          <w:szCs w:val="21"/>
        </w:rPr>
        <w:t>须承担的安装、调试、技术协助、校准、培训、保修、保养、提供售后服务以及其他类似的义务。</w:t>
      </w:r>
    </w:p>
    <w:p>
      <w:pPr>
        <w:spacing w:line="360" w:lineRule="auto"/>
        <w:rPr>
          <w:rFonts w:ascii="Tahoma" w:hAnsi="Tahoma" w:cs="Tahoma"/>
          <w:szCs w:val="21"/>
        </w:rPr>
      </w:pPr>
      <w:r>
        <w:rPr>
          <w:rFonts w:ascii="Tahoma" w:hAnsi="Tahoma" w:cs="Tahoma"/>
          <w:b/>
          <w:bCs/>
          <w:szCs w:val="21"/>
        </w:rPr>
        <w:t>1.3. 合格的</w:t>
      </w:r>
      <w:r>
        <w:rPr>
          <w:rFonts w:hint="eastAsia" w:ascii="Tahoma" w:hAnsi="Tahoma" w:cs="Tahoma"/>
          <w:b/>
          <w:bCs/>
          <w:szCs w:val="21"/>
        </w:rPr>
        <w:t>供应商</w:t>
      </w:r>
    </w:p>
    <w:p>
      <w:pPr>
        <w:spacing w:line="360" w:lineRule="auto"/>
        <w:rPr>
          <w:rFonts w:ascii="Tahoma" w:hAnsi="Tahoma" w:cs="Tahoma"/>
          <w:szCs w:val="21"/>
        </w:rPr>
      </w:pPr>
      <w:r>
        <w:rPr>
          <w:rFonts w:ascii="Tahoma" w:hAnsi="Tahoma" w:cs="Tahoma"/>
          <w:szCs w:val="21"/>
        </w:rPr>
        <w:t>1.3.1符合第二章</w:t>
      </w:r>
      <w:r>
        <w:rPr>
          <w:rFonts w:hint="eastAsia" w:ascii="Tahoma" w:hAnsi="Tahoma" w:cs="Tahoma"/>
          <w:szCs w:val="21"/>
        </w:rPr>
        <w:t>供应商</w:t>
      </w:r>
      <w:r>
        <w:rPr>
          <w:rFonts w:ascii="Tahoma" w:hAnsi="Tahoma" w:cs="Tahoma"/>
          <w:szCs w:val="21"/>
        </w:rPr>
        <w:t>须知前附表中资格要求中的各条要求。</w:t>
      </w:r>
    </w:p>
    <w:p>
      <w:pPr>
        <w:spacing w:line="360" w:lineRule="auto"/>
        <w:rPr>
          <w:rFonts w:ascii="Tahoma" w:hAnsi="Tahoma" w:cs="Tahoma"/>
          <w:szCs w:val="21"/>
        </w:rPr>
      </w:pPr>
      <w:r>
        <w:rPr>
          <w:rFonts w:ascii="Tahoma" w:hAnsi="Tahoma" w:cs="Tahoma"/>
          <w:szCs w:val="21"/>
        </w:rPr>
        <w:t xml:space="preserve">1.3.2 </w:t>
      </w:r>
      <w:r>
        <w:rPr>
          <w:rFonts w:hint="eastAsia" w:ascii="Tahoma" w:hAnsi="Tahoma" w:cs="Tahoma"/>
          <w:szCs w:val="21"/>
        </w:rPr>
        <w:t>供应商</w:t>
      </w:r>
      <w:r>
        <w:rPr>
          <w:rFonts w:ascii="Tahoma" w:hAnsi="Tahoma" w:cs="Tahoma"/>
          <w:szCs w:val="21"/>
        </w:rPr>
        <w:t>应依法纳税及缴纳社会保障金。</w:t>
      </w:r>
    </w:p>
    <w:p>
      <w:pPr>
        <w:spacing w:line="360" w:lineRule="auto"/>
        <w:rPr>
          <w:rFonts w:ascii="Tahoma" w:hAnsi="Tahoma" w:cs="Tahoma"/>
          <w:szCs w:val="21"/>
        </w:rPr>
      </w:pPr>
      <w:r>
        <w:rPr>
          <w:rFonts w:ascii="Tahoma" w:hAnsi="Tahoma" w:cs="Tahoma"/>
          <w:szCs w:val="21"/>
        </w:rPr>
        <w:t>1.3.3</w:t>
      </w:r>
      <w:r>
        <w:rPr>
          <w:rFonts w:hint="eastAsia" w:ascii="Tahoma" w:hAnsi="Tahoma" w:cs="Tahoma"/>
          <w:szCs w:val="21"/>
        </w:rPr>
        <w:t>供应商</w:t>
      </w:r>
      <w:r>
        <w:rPr>
          <w:rFonts w:ascii="Tahoma" w:hAnsi="Tahoma" w:cs="Tahoma"/>
          <w:szCs w:val="21"/>
        </w:rPr>
        <w:t>应遵守中国的有关法律、法规和规章的规定。</w:t>
      </w:r>
    </w:p>
    <w:p>
      <w:pPr>
        <w:spacing w:line="360" w:lineRule="auto"/>
        <w:rPr>
          <w:rFonts w:ascii="Tahoma" w:hAnsi="Tahoma" w:cs="Tahoma"/>
          <w:szCs w:val="21"/>
        </w:rPr>
      </w:pPr>
      <w:r>
        <w:rPr>
          <w:rFonts w:ascii="Tahoma" w:hAnsi="Tahoma" w:cs="Tahoma"/>
          <w:szCs w:val="21"/>
        </w:rPr>
        <w:t>1.3.4一个</w:t>
      </w:r>
      <w:r>
        <w:rPr>
          <w:rFonts w:hint="eastAsia" w:ascii="Tahoma" w:hAnsi="Tahoma" w:cs="Tahoma"/>
          <w:szCs w:val="21"/>
        </w:rPr>
        <w:t>供应商</w:t>
      </w:r>
      <w:r>
        <w:rPr>
          <w:rFonts w:ascii="Tahoma" w:hAnsi="Tahoma" w:cs="Tahoma"/>
          <w:szCs w:val="21"/>
        </w:rPr>
        <w:t>只能提交一个</w:t>
      </w:r>
      <w:r>
        <w:rPr>
          <w:rFonts w:hint="eastAsia" w:ascii="Tahoma" w:hAnsi="Tahoma" w:cs="Tahoma"/>
          <w:szCs w:val="21"/>
        </w:rPr>
        <w:t>响应文件</w:t>
      </w:r>
      <w:r>
        <w:rPr>
          <w:rFonts w:ascii="Tahoma" w:hAnsi="Tahoma" w:cs="Tahoma"/>
          <w:szCs w:val="21"/>
        </w:rPr>
        <w:t>。但如果</w:t>
      </w:r>
      <w:r>
        <w:rPr>
          <w:rFonts w:hint="eastAsia" w:ascii="Tahoma" w:hAnsi="Tahoma" w:cs="Tahoma"/>
          <w:szCs w:val="21"/>
        </w:rPr>
        <w:t>供应商</w:t>
      </w:r>
      <w:r>
        <w:rPr>
          <w:rFonts w:ascii="Tahoma" w:hAnsi="Tahoma" w:cs="Tahoma"/>
          <w:szCs w:val="21"/>
        </w:rPr>
        <w:t>之间存在下列互为关联关系的情形之一的，不得同时参加本项目投标：</w:t>
      </w:r>
    </w:p>
    <w:p>
      <w:pPr>
        <w:spacing w:line="360" w:lineRule="auto"/>
        <w:rPr>
          <w:rFonts w:ascii="Tahoma" w:hAnsi="Tahoma" w:cs="Tahoma"/>
          <w:szCs w:val="21"/>
        </w:rPr>
      </w:pPr>
      <w:r>
        <w:rPr>
          <w:rFonts w:ascii="Tahoma" w:hAnsi="Tahoma" w:cs="Tahoma"/>
          <w:szCs w:val="21"/>
        </w:rPr>
        <w:t>（1） 法定代表人为同一人的两个及两个以上法人；</w:t>
      </w:r>
    </w:p>
    <w:p>
      <w:pPr>
        <w:spacing w:line="360" w:lineRule="auto"/>
        <w:rPr>
          <w:rFonts w:hint="eastAsia" w:ascii="Tahoma" w:hAnsi="Tahoma" w:cs="Tahoma"/>
          <w:szCs w:val="21"/>
          <w:lang w:eastAsia="zh-CN"/>
        </w:rPr>
      </w:pPr>
      <w:r>
        <w:rPr>
          <w:rFonts w:ascii="Tahoma" w:hAnsi="Tahoma" w:cs="Tahoma"/>
          <w:szCs w:val="21"/>
        </w:rPr>
        <w:t>（2） 母公司、直接或间接持股50％及以上的被投资公司</w:t>
      </w:r>
      <w:r>
        <w:rPr>
          <w:rFonts w:hint="eastAsia" w:ascii="Tahoma" w:hAnsi="Tahoma" w:cs="Tahoma"/>
          <w:szCs w:val="21"/>
          <w:lang w:eastAsia="zh-CN"/>
        </w:rPr>
        <w:t>；</w:t>
      </w:r>
    </w:p>
    <w:p>
      <w:pPr>
        <w:spacing w:line="360" w:lineRule="auto"/>
        <w:rPr>
          <w:rFonts w:ascii="Tahoma" w:hAnsi="Tahoma" w:cs="Tahoma"/>
          <w:szCs w:val="21"/>
        </w:rPr>
      </w:pPr>
      <w:r>
        <w:rPr>
          <w:rFonts w:ascii="Tahoma" w:hAnsi="Tahoma" w:cs="Tahoma"/>
          <w:szCs w:val="21"/>
        </w:rPr>
        <w:t>（3） 均为同一家母公司直接或间接持股50％及以上的被投资公司。</w:t>
      </w:r>
    </w:p>
    <w:p>
      <w:pPr>
        <w:spacing w:line="360" w:lineRule="auto"/>
        <w:rPr>
          <w:rFonts w:ascii="Tahoma" w:hAnsi="Tahoma" w:cs="Tahoma"/>
          <w:szCs w:val="21"/>
        </w:rPr>
      </w:pPr>
      <w:r>
        <w:rPr>
          <w:rFonts w:ascii="Tahoma" w:hAnsi="Tahoma" w:cs="Tahoma"/>
          <w:szCs w:val="21"/>
        </w:rPr>
        <w:t>1.3.5 一个</w:t>
      </w:r>
      <w:r>
        <w:rPr>
          <w:rFonts w:hint="eastAsia" w:ascii="Tahoma" w:hAnsi="Tahoma" w:cs="Tahoma"/>
          <w:szCs w:val="21"/>
        </w:rPr>
        <w:t>供应商</w:t>
      </w:r>
      <w:r>
        <w:rPr>
          <w:rFonts w:ascii="Tahoma" w:hAnsi="Tahoma" w:cs="Tahoma"/>
          <w:szCs w:val="21"/>
        </w:rPr>
        <w:t>代表在同一个项目中只能接受一个</w:t>
      </w:r>
      <w:r>
        <w:rPr>
          <w:rFonts w:hint="eastAsia" w:ascii="Tahoma" w:hAnsi="Tahoma" w:cs="Tahoma"/>
          <w:szCs w:val="21"/>
        </w:rPr>
        <w:t>供应商</w:t>
      </w:r>
      <w:r>
        <w:rPr>
          <w:rFonts w:ascii="Tahoma" w:hAnsi="Tahoma" w:cs="Tahoma"/>
          <w:szCs w:val="21"/>
        </w:rPr>
        <w:t>的委托参加投标。</w:t>
      </w:r>
    </w:p>
    <w:p>
      <w:pPr>
        <w:spacing w:line="360" w:lineRule="auto"/>
        <w:rPr>
          <w:rFonts w:ascii="Tahoma" w:hAnsi="Tahoma" w:cs="Tahoma"/>
          <w:b/>
          <w:bCs/>
          <w:szCs w:val="21"/>
        </w:rPr>
      </w:pPr>
      <w:r>
        <w:rPr>
          <w:rFonts w:ascii="Tahoma" w:hAnsi="Tahoma" w:cs="Tahoma"/>
          <w:b/>
          <w:bCs/>
          <w:szCs w:val="21"/>
        </w:rPr>
        <w:t>1.4联合体</w:t>
      </w:r>
    </w:p>
    <w:p>
      <w:pPr>
        <w:spacing w:line="360" w:lineRule="auto"/>
        <w:rPr>
          <w:rFonts w:ascii="Tahoma" w:hAnsi="Tahoma" w:cs="Tahoma"/>
          <w:bCs/>
          <w:szCs w:val="21"/>
        </w:rPr>
      </w:pPr>
      <w:r>
        <w:rPr>
          <w:rFonts w:ascii="Tahoma" w:hAnsi="Tahoma" w:cs="Tahoma"/>
          <w:bCs/>
          <w:szCs w:val="21"/>
        </w:rPr>
        <w:t>1.4.1</w:t>
      </w:r>
      <w:r>
        <w:rPr>
          <w:rFonts w:hint="eastAsia" w:ascii="Tahoma" w:hAnsi="Tahoma" w:cs="Tahoma"/>
          <w:bCs/>
          <w:szCs w:val="21"/>
        </w:rPr>
        <w:t>本项目不接受联合体投标；</w:t>
      </w:r>
    </w:p>
    <w:p>
      <w:pPr>
        <w:spacing w:line="360" w:lineRule="auto"/>
        <w:rPr>
          <w:rFonts w:ascii="Tahoma" w:hAnsi="Tahoma" w:cs="Tahoma"/>
          <w:b/>
          <w:bCs/>
          <w:szCs w:val="21"/>
        </w:rPr>
      </w:pPr>
      <w:r>
        <w:rPr>
          <w:rFonts w:ascii="Tahoma" w:hAnsi="Tahoma" w:cs="Tahoma"/>
          <w:b/>
          <w:bCs/>
          <w:szCs w:val="21"/>
        </w:rPr>
        <w:t>1.5. 投标费用</w:t>
      </w:r>
    </w:p>
    <w:p>
      <w:pPr>
        <w:spacing w:line="360" w:lineRule="auto"/>
        <w:rPr>
          <w:rFonts w:ascii="Tahoma" w:hAnsi="Tahoma" w:cs="Tahoma"/>
          <w:szCs w:val="21"/>
        </w:rPr>
      </w:pPr>
      <w:r>
        <w:rPr>
          <w:rFonts w:ascii="Tahoma" w:hAnsi="Tahoma" w:cs="Tahoma"/>
          <w:szCs w:val="21"/>
        </w:rPr>
        <w:t>1.5.1</w:t>
      </w:r>
      <w:r>
        <w:rPr>
          <w:rFonts w:hint="eastAsia" w:ascii="Tahoma" w:hAnsi="Tahoma" w:cs="Tahoma"/>
          <w:szCs w:val="21"/>
        </w:rPr>
        <w:t>供应商</w:t>
      </w:r>
      <w:r>
        <w:rPr>
          <w:rFonts w:ascii="Tahoma" w:hAnsi="Tahoma" w:cs="Tahoma"/>
          <w:szCs w:val="21"/>
        </w:rPr>
        <w:t>准备和参加投标活动所发生的一切费用（包括报名、招标文件购买、投标等</w:t>
      </w:r>
      <w:r>
        <w:rPr>
          <w:rFonts w:hint="eastAsia" w:ascii="Tahoma" w:hAnsi="Tahoma" w:cs="Tahoma"/>
          <w:szCs w:val="21"/>
        </w:rPr>
        <w:t>投标所产生相关费用</w:t>
      </w:r>
      <w:r>
        <w:rPr>
          <w:rFonts w:ascii="Tahoma" w:hAnsi="Tahoma" w:cs="Tahoma"/>
          <w:szCs w:val="21"/>
        </w:rPr>
        <w:t>）均由</w:t>
      </w:r>
      <w:r>
        <w:rPr>
          <w:rFonts w:hint="eastAsia" w:ascii="Tahoma" w:hAnsi="Tahoma" w:cs="Tahoma"/>
          <w:szCs w:val="21"/>
        </w:rPr>
        <w:t>供应商</w:t>
      </w:r>
      <w:r>
        <w:rPr>
          <w:rFonts w:ascii="Tahoma" w:hAnsi="Tahoma" w:cs="Tahoma"/>
          <w:szCs w:val="21"/>
        </w:rPr>
        <w:t>自理。</w:t>
      </w:r>
    </w:p>
    <w:p>
      <w:pPr>
        <w:spacing w:line="360" w:lineRule="auto"/>
        <w:rPr>
          <w:rFonts w:ascii="Tahoma" w:hAnsi="Tahoma" w:cs="Tahoma"/>
          <w:szCs w:val="21"/>
        </w:rPr>
      </w:pPr>
      <w:r>
        <w:rPr>
          <w:rFonts w:hint="eastAsia" w:ascii="Tahoma" w:hAnsi="Tahoma" w:cs="Tahoma"/>
          <w:szCs w:val="21"/>
        </w:rPr>
        <w:t>1.5.2 招标代理中标服务费由中标人承担</w:t>
      </w:r>
      <w:r>
        <w:rPr>
          <w:rFonts w:hint="eastAsia"/>
          <w:szCs w:val="21"/>
        </w:rPr>
        <w:t>，由成交供应商领取成交通知书时向采购代理机构缴纳。招标代理费收费标准根据计价格[2002]1980号文件计算的招标代理服务收费标准下浮48%，根据招标代理合同本次招标的招标代理费由中标单位支付。</w:t>
      </w:r>
    </w:p>
    <w:p>
      <w:pPr>
        <w:spacing w:line="360" w:lineRule="auto"/>
        <w:rPr>
          <w:rFonts w:ascii="Tahoma" w:hAnsi="Tahoma" w:cs="Tahoma"/>
          <w:b/>
          <w:bCs/>
          <w:szCs w:val="21"/>
        </w:rPr>
      </w:pPr>
      <w:bookmarkStart w:id="11" w:name="_Toc179632556"/>
      <w:bookmarkStart w:id="12" w:name="_Toc152042315"/>
      <w:bookmarkStart w:id="13" w:name="_Toc152045539"/>
      <w:bookmarkStart w:id="14" w:name="_Toc144974507"/>
      <w:r>
        <w:rPr>
          <w:rFonts w:ascii="Tahoma" w:hAnsi="Tahoma" w:cs="Tahoma"/>
          <w:b/>
          <w:bCs/>
          <w:szCs w:val="21"/>
        </w:rPr>
        <w:t>1.6 踏勘现场</w:t>
      </w:r>
      <w:bookmarkEnd w:id="11"/>
      <w:bookmarkEnd w:id="12"/>
      <w:bookmarkEnd w:id="13"/>
      <w:bookmarkEnd w:id="14"/>
      <w:r>
        <w:rPr>
          <w:rFonts w:ascii="Tahoma" w:hAnsi="Tahoma" w:cs="Tahoma"/>
          <w:b/>
          <w:bCs/>
          <w:szCs w:val="21"/>
        </w:rPr>
        <w:t>投标前答疑会</w:t>
      </w:r>
    </w:p>
    <w:p>
      <w:pPr>
        <w:spacing w:line="360" w:lineRule="auto"/>
        <w:rPr>
          <w:rFonts w:ascii="Tahoma" w:hAnsi="Tahoma" w:cs="Tahoma"/>
          <w:bCs/>
          <w:szCs w:val="21"/>
        </w:rPr>
      </w:pPr>
      <w:r>
        <w:rPr>
          <w:rFonts w:ascii="Tahoma" w:hAnsi="Tahoma" w:cs="Tahoma"/>
          <w:bCs/>
          <w:szCs w:val="21"/>
        </w:rPr>
        <w:t>1.6.1采购人、采购代理机构可以视采购项目的具体情况，组织供应商进行现场考察或召开投标前答疑会，但不得单独或分别组织只有一个供应商参加的现场考察和答疑会。</w:t>
      </w:r>
    </w:p>
    <w:p>
      <w:pPr>
        <w:spacing w:line="360" w:lineRule="auto"/>
        <w:rPr>
          <w:rFonts w:ascii="Tahoma" w:hAnsi="Tahoma" w:cs="Tahoma"/>
          <w:bCs/>
          <w:szCs w:val="21"/>
        </w:rPr>
      </w:pPr>
      <w:r>
        <w:rPr>
          <w:rFonts w:ascii="Tahoma" w:hAnsi="Tahoma" w:cs="Tahoma"/>
          <w:bCs/>
          <w:szCs w:val="21"/>
        </w:rPr>
        <w:t>1.6.2</w:t>
      </w:r>
      <w:r>
        <w:rPr>
          <w:rFonts w:hint="eastAsia" w:ascii="Tahoma" w:hAnsi="Tahoma" w:cs="Tahoma"/>
          <w:bCs/>
          <w:szCs w:val="21"/>
        </w:rPr>
        <w:t>供应商</w:t>
      </w:r>
      <w:r>
        <w:rPr>
          <w:rFonts w:ascii="Tahoma" w:hAnsi="Tahoma" w:cs="Tahoma"/>
          <w:bCs/>
          <w:szCs w:val="21"/>
        </w:rPr>
        <w:t>须知前附表规定组织踏勘现场的，采购人应按</w:t>
      </w:r>
      <w:r>
        <w:rPr>
          <w:rFonts w:hint="eastAsia" w:ascii="Tahoma" w:hAnsi="Tahoma" w:cs="Tahoma"/>
          <w:bCs/>
          <w:szCs w:val="21"/>
        </w:rPr>
        <w:t>供应商</w:t>
      </w:r>
      <w:r>
        <w:rPr>
          <w:rFonts w:ascii="Tahoma" w:hAnsi="Tahoma" w:cs="Tahoma"/>
          <w:bCs/>
          <w:szCs w:val="21"/>
        </w:rPr>
        <w:t xml:space="preserve">须知前附表规定的时间、地点组织供应商踏勘项目现场。 </w:t>
      </w:r>
    </w:p>
    <w:p>
      <w:pPr>
        <w:spacing w:line="360" w:lineRule="auto"/>
        <w:rPr>
          <w:rFonts w:ascii="Tahoma" w:hAnsi="Tahoma" w:cs="Tahoma"/>
          <w:bCs/>
          <w:szCs w:val="21"/>
        </w:rPr>
      </w:pPr>
      <w:r>
        <w:rPr>
          <w:rFonts w:ascii="Tahoma" w:hAnsi="Tahoma" w:cs="Tahoma"/>
          <w:bCs/>
          <w:szCs w:val="21"/>
        </w:rPr>
        <w:t>1.6.3 供应商踏勘现场所发生的一切费用自理。</w:t>
      </w:r>
    </w:p>
    <w:p>
      <w:pPr>
        <w:spacing w:line="360" w:lineRule="auto"/>
        <w:rPr>
          <w:rFonts w:ascii="Tahoma" w:hAnsi="Tahoma" w:cs="Tahoma"/>
          <w:bCs/>
          <w:szCs w:val="21"/>
        </w:rPr>
      </w:pPr>
      <w:r>
        <w:rPr>
          <w:rFonts w:ascii="Tahoma" w:hAnsi="Tahoma" w:cs="Tahoma"/>
          <w:bCs/>
          <w:szCs w:val="21"/>
        </w:rPr>
        <w:t>1.6.4 采购人在踏勘现场中介绍的项目情况，仅供供应商在编制</w:t>
      </w:r>
      <w:r>
        <w:rPr>
          <w:rFonts w:hint="eastAsia" w:ascii="Tahoma" w:hAnsi="Tahoma" w:cs="Tahoma"/>
          <w:bCs/>
          <w:szCs w:val="21"/>
        </w:rPr>
        <w:t>响应文件</w:t>
      </w:r>
      <w:r>
        <w:rPr>
          <w:rFonts w:ascii="Tahoma" w:hAnsi="Tahoma" w:cs="Tahoma"/>
          <w:bCs/>
          <w:szCs w:val="21"/>
        </w:rPr>
        <w:t>时参考，采购人不对供应商据此作出的判断和决策负责。</w:t>
      </w:r>
    </w:p>
    <w:p>
      <w:pPr>
        <w:spacing w:line="360" w:lineRule="auto"/>
        <w:rPr>
          <w:rFonts w:ascii="Tahoma" w:hAnsi="Tahoma" w:cs="Tahoma"/>
          <w:bCs/>
          <w:szCs w:val="21"/>
        </w:rPr>
      </w:pPr>
      <w:r>
        <w:rPr>
          <w:rFonts w:ascii="Tahoma" w:hAnsi="Tahoma" w:cs="Tahoma"/>
          <w:bCs/>
          <w:szCs w:val="21"/>
        </w:rPr>
        <w:t>1.6.5</w:t>
      </w:r>
      <w:r>
        <w:rPr>
          <w:rFonts w:hint="eastAsia" w:ascii="Tahoma" w:hAnsi="Tahoma" w:cs="Tahoma"/>
          <w:bCs/>
          <w:szCs w:val="21"/>
        </w:rPr>
        <w:t>供应商</w:t>
      </w:r>
      <w:r>
        <w:rPr>
          <w:rFonts w:ascii="Tahoma" w:hAnsi="Tahoma" w:cs="Tahoma"/>
          <w:bCs/>
          <w:szCs w:val="21"/>
        </w:rPr>
        <w:t>须知前附表规定召开投标前答疑会的，采购人按</w:t>
      </w:r>
      <w:r>
        <w:rPr>
          <w:rFonts w:hint="eastAsia" w:ascii="Tahoma" w:hAnsi="Tahoma" w:cs="Tahoma"/>
          <w:bCs/>
          <w:szCs w:val="21"/>
        </w:rPr>
        <w:t>供应商</w:t>
      </w:r>
      <w:r>
        <w:rPr>
          <w:rFonts w:ascii="Tahoma" w:hAnsi="Tahoma" w:cs="Tahoma"/>
          <w:bCs/>
          <w:szCs w:val="21"/>
        </w:rPr>
        <w:t>须知前附表规定的时间和地点召开投标前答疑会，澄清供应商提出的问题。</w:t>
      </w:r>
    </w:p>
    <w:p>
      <w:pPr>
        <w:spacing w:line="360" w:lineRule="auto"/>
        <w:rPr>
          <w:rFonts w:ascii="Tahoma" w:hAnsi="Tahoma" w:cs="Tahoma"/>
          <w:bCs/>
          <w:szCs w:val="21"/>
        </w:rPr>
      </w:pPr>
      <w:r>
        <w:rPr>
          <w:rFonts w:ascii="Tahoma" w:hAnsi="Tahoma" w:cs="Tahoma"/>
          <w:bCs/>
          <w:szCs w:val="21"/>
        </w:rPr>
        <w:t>1.6.6 本采购项目采购人（采购代理机构）不组织供应商进行现场考察或召开投标前答疑会。供应商应在投标须知前附表规定的时间前，以书面形式将提出的问题送达采购</w:t>
      </w:r>
      <w:r>
        <w:rPr>
          <w:rFonts w:hint="eastAsia" w:ascii="Tahoma" w:hAnsi="Tahoma" w:cs="Tahoma"/>
          <w:bCs/>
          <w:szCs w:val="21"/>
        </w:rPr>
        <w:t>人或采购代理机构</w:t>
      </w:r>
      <w:r>
        <w:rPr>
          <w:rFonts w:ascii="Tahoma" w:hAnsi="Tahoma" w:cs="Tahoma"/>
          <w:bCs/>
          <w:szCs w:val="21"/>
        </w:rPr>
        <w:t>，采购人或采购代理机构在</w:t>
      </w:r>
      <w:r>
        <w:rPr>
          <w:rFonts w:hint="eastAsia" w:ascii="Tahoma" w:hAnsi="Tahoma" w:cs="Tahoma"/>
          <w:bCs/>
          <w:szCs w:val="21"/>
        </w:rPr>
        <w:t>供应商</w:t>
      </w:r>
      <w:r>
        <w:rPr>
          <w:rFonts w:ascii="Tahoma" w:hAnsi="Tahoma" w:cs="Tahoma"/>
          <w:bCs/>
          <w:szCs w:val="21"/>
        </w:rPr>
        <w:t>须知前附表规定的时间内，将对供应商所提问题的进行澄清，以书面方式在规定的发布渠道通知所有获取</w:t>
      </w:r>
      <w:r>
        <w:rPr>
          <w:rFonts w:hint="eastAsia" w:ascii="Tahoma" w:hAnsi="Tahoma" w:cs="Tahoma"/>
          <w:bCs/>
          <w:szCs w:val="21"/>
        </w:rPr>
        <w:t>响应文件</w:t>
      </w:r>
      <w:r>
        <w:rPr>
          <w:rFonts w:ascii="Tahoma" w:hAnsi="Tahoma" w:cs="Tahoma"/>
          <w:bCs/>
          <w:szCs w:val="21"/>
        </w:rPr>
        <w:t>的供应商。该澄清内容为招标文件的组成部分。</w:t>
      </w:r>
    </w:p>
    <w:p>
      <w:pPr>
        <w:spacing w:line="360" w:lineRule="auto"/>
        <w:rPr>
          <w:rFonts w:ascii="Tahoma" w:hAnsi="Tahoma" w:cs="Tahoma"/>
          <w:bCs/>
          <w:szCs w:val="21"/>
        </w:rPr>
      </w:pPr>
    </w:p>
    <w:p>
      <w:pPr>
        <w:rPr>
          <w:rFonts w:ascii="Tahoma" w:hAnsi="Tahoma" w:cs="Tahoma"/>
          <w:b/>
          <w:bCs/>
          <w:szCs w:val="21"/>
        </w:rPr>
      </w:pPr>
      <w:r>
        <w:rPr>
          <w:rFonts w:ascii="Tahoma" w:hAnsi="Tahoma" w:cs="Tahoma"/>
          <w:b/>
          <w:bCs/>
          <w:szCs w:val="21"/>
        </w:rPr>
        <w:br w:type="page"/>
      </w:r>
    </w:p>
    <w:p>
      <w:pPr>
        <w:spacing w:line="360" w:lineRule="auto"/>
        <w:jc w:val="center"/>
        <w:rPr>
          <w:rFonts w:ascii="Tahoma" w:hAnsi="Tahoma" w:cs="Tahoma"/>
          <w:b/>
          <w:bCs/>
          <w:szCs w:val="21"/>
        </w:rPr>
      </w:pPr>
      <w:r>
        <w:rPr>
          <w:rFonts w:ascii="Tahoma" w:hAnsi="Tahoma" w:cs="Tahoma"/>
          <w:b/>
          <w:bCs/>
          <w:szCs w:val="21"/>
        </w:rPr>
        <w:t>2、招标文件</w:t>
      </w:r>
    </w:p>
    <w:p>
      <w:pPr>
        <w:spacing w:line="360" w:lineRule="auto"/>
        <w:rPr>
          <w:rFonts w:ascii="Tahoma" w:hAnsi="Tahoma" w:cs="Tahoma"/>
          <w:szCs w:val="21"/>
        </w:rPr>
      </w:pPr>
      <w:r>
        <w:rPr>
          <w:rFonts w:ascii="Tahoma" w:hAnsi="Tahoma" w:cs="Tahoma"/>
          <w:b/>
          <w:bCs/>
          <w:szCs w:val="21"/>
        </w:rPr>
        <w:t>2.1. 招标文件的组成</w:t>
      </w:r>
    </w:p>
    <w:p>
      <w:pPr>
        <w:spacing w:line="360" w:lineRule="auto"/>
        <w:rPr>
          <w:rFonts w:ascii="Tahoma" w:hAnsi="Tahoma" w:cs="Tahoma"/>
          <w:szCs w:val="21"/>
        </w:rPr>
      </w:pPr>
      <w:r>
        <w:rPr>
          <w:rFonts w:ascii="Tahoma" w:hAnsi="Tahoma" w:cs="Tahoma"/>
          <w:szCs w:val="21"/>
        </w:rPr>
        <w:t>2.1.1招标文件用以阐明所需货物及服务招标程序和合同主要条款。招标文件由下述部分组成：</w:t>
      </w:r>
    </w:p>
    <w:p>
      <w:pPr>
        <w:spacing w:line="360" w:lineRule="auto"/>
        <w:ind w:left="182" w:leftChars="76" w:firstLine="240" w:firstLineChars="100"/>
        <w:rPr>
          <w:rFonts w:ascii="Tahoma" w:hAnsi="Tahoma" w:cs="Tahoma"/>
          <w:szCs w:val="21"/>
        </w:rPr>
      </w:pPr>
      <w:r>
        <w:rPr>
          <w:rFonts w:ascii="Tahoma" w:hAnsi="Tahoma" w:cs="Tahoma"/>
          <w:szCs w:val="21"/>
        </w:rPr>
        <w:t>（一）招标公告；</w:t>
      </w:r>
    </w:p>
    <w:p>
      <w:pPr>
        <w:spacing w:line="360" w:lineRule="auto"/>
        <w:ind w:left="160"/>
        <w:rPr>
          <w:rFonts w:ascii="Tahoma" w:hAnsi="Tahoma" w:cs="Tahoma"/>
          <w:szCs w:val="21"/>
        </w:rPr>
      </w:pPr>
      <w:r>
        <w:rPr>
          <w:rFonts w:ascii="Tahoma" w:hAnsi="Tahoma" w:cs="Tahoma"/>
          <w:szCs w:val="21"/>
        </w:rPr>
        <w:t>　（二）</w:t>
      </w:r>
      <w:r>
        <w:rPr>
          <w:rFonts w:hint="eastAsia" w:ascii="Tahoma" w:hAnsi="Tahoma" w:cs="Tahoma"/>
          <w:szCs w:val="21"/>
        </w:rPr>
        <w:t>供应商</w:t>
      </w:r>
      <w:r>
        <w:rPr>
          <w:rFonts w:ascii="Tahoma" w:hAnsi="Tahoma" w:cs="Tahoma"/>
          <w:szCs w:val="21"/>
        </w:rPr>
        <w:t>须知（包括</w:t>
      </w:r>
      <w:r>
        <w:rPr>
          <w:rFonts w:hint="eastAsia" w:ascii="Tahoma" w:hAnsi="Tahoma" w:cs="Tahoma"/>
          <w:szCs w:val="21"/>
        </w:rPr>
        <w:t>响应文件</w:t>
      </w:r>
      <w:r>
        <w:rPr>
          <w:rFonts w:ascii="Tahoma" w:hAnsi="Tahoma" w:cs="Tahoma"/>
          <w:szCs w:val="21"/>
        </w:rPr>
        <w:t>的密封、签署、盖章要求等）；</w:t>
      </w:r>
    </w:p>
    <w:p>
      <w:pPr>
        <w:spacing w:line="360" w:lineRule="auto"/>
        <w:ind w:left="160"/>
        <w:rPr>
          <w:rFonts w:ascii="Tahoma" w:hAnsi="Tahoma" w:cs="Tahoma"/>
          <w:szCs w:val="21"/>
        </w:rPr>
      </w:pPr>
      <w:r>
        <w:rPr>
          <w:rFonts w:ascii="Tahoma" w:hAnsi="Tahoma" w:cs="Tahoma"/>
          <w:szCs w:val="21"/>
        </w:rPr>
        <w:t>　（三）</w:t>
      </w:r>
      <w:r>
        <w:rPr>
          <w:rFonts w:hint="eastAsia" w:ascii="Tahoma" w:hAnsi="Tahoma" w:cs="Tahoma"/>
          <w:szCs w:val="21"/>
        </w:rPr>
        <w:t>供应商</w:t>
      </w:r>
      <w:r>
        <w:rPr>
          <w:rFonts w:ascii="Tahoma" w:hAnsi="Tahoma" w:cs="Tahoma"/>
          <w:szCs w:val="21"/>
        </w:rPr>
        <w:t>应当提交的资格、资信证明文件；</w:t>
      </w:r>
    </w:p>
    <w:p>
      <w:pPr>
        <w:spacing w:line="360" w:lineRule="auto"/>
        <w:ind w:left="160"/>
        <w:rPr>
          <w:rFonts w:ascii="Tahoma" w:hAnsi="Tahoma" w:cs="Tahoma"/>
          <w:szCs w:val="21"/>
        </w:rPr>
      </w:pPr>
      <w:r>
        <w:rPr>
          <w:rFonts w:ascii="Tahoma" w:hAnsi="Tahoma" w:cs="Tahoma"/>
          <w:szCs w:val="21"/>
        </w:rPr>
        <w:t>　（四）为落实政府采购政策，采购标的需满足的要求，以及</w:t>
      </w:r>
      <w:r>
        <w:rPr>
          <w:rFonts w:hint="eastAsia" w:ascii="Tahoma" w:hAnsi="Tahoma" w:cs="Tahoma"/>
          <w:szCs w:val="21"/>
        </w:rPr>
        <w:t>供应商</w:t>
      </w:r>
      <w:r>
        <w:rPr>
          <w:rFonts w:ascii="Tahoma" w:hAnsi="Tahoma" w:cs="Tahoma"/>
          <w:szCs w:val="21"/>
        </w:rPr>
        <w:t>须提供的证明材料；</w:t>
      </w:r>
    </w:p>
    <w:p>
      <w:pPr>
        <w:spacing w:line="360" w:lineRule="auto"/>
        <w:ind w:left="160"/>
        <w:rPr>
          <w:rFonts w:ascii="Tahoma" w:hAnsi="Tahoma" w:cs="Tahoma"/>
          <w:szCs w:val="21"/>
        </w:rPr>
      </w:pPr>
      <w:r>
        <w:rPr>
          <w:rFonts w:ascii="Tahoma" w:hAnsi="Tahoma" w:cs="Tahoma"/>
          <w:szCs w:val="21"/>
        </w:rPr>
        <w:t>　（五）</w:t>
      </w:r>
      <w:r>
        <w:rPr>
          <w:rFonts w:hint="eastAsia" w:ascii="Tahoma" w:hAnsi="Tahoma" w:cs="Tahoma"/>
          <w:szCs w:val="21"/>
        </w:rPr>
        <w:t>响应文件</w:t>
      </w:r>
      <w:r>
        <w:rPr>
          <w:rFonts w:ascii="Tahoma" w:hAnsi="Tahoma" w:cs="Tahoma"/>
          <w:szCs w:val="21"/>
        </w:rPr>
        <w:t>编制要求、投标报价要求和投标保证金交纳、退还方式以及不予退还投标保证金的情形；</w:t>
      </w:r>
    </w:p>
    <w:p>
      <w:pPr>
        <w:spacing w:line="360" w:lineRule="auto"/>
        <w:ind w:left="160"/>
        <w:rPr>
          <w:rFonts w:ascii="Tahoma" w:hAnsi="Tahoma" w:cs="Tahoma"/>
          <w:szCs w:val="21"/>
          <w:highlight w:val="none"/>
        </w:rPr>
      </w:pPr>
      <w:r>
        <w:rPr>
          <w:rFonts w:ascii="Tahoma" w:hAnsi="Tahoma" w:cs="Tahoma"/>
          <w:szCs w:val="21"/>
          <w:highlight w:val="none"/>
        </w:rPr>
        <w:t>　（六）采购项目预算金额；</w:t>
      </w:r>
    </w:p>
    <w:p>
      <w:pPr>
        <w:spacing w:line="360" w:lineRule="auto"/>
        <w:ind w:left="160"/>
        <w:rPr>
          <w:rFonts w:ascii="Tahoma" w:hAnsi="Tahoma" w:cs="Tahoma"/>
          <w:szCs w:val="21"/>
        </w:rPr>
      </w:pPr>
      <w:r>
        <w:rPr>
          <w:rFonts w:ascii="Tahoma" w:hAnsi="Tahoma" w:cs="Tahoma"/>
          <w:szCs w:val="21"/>
        </w:rPr>
        <w:t>　（七）采购项目的技术规格、数量、服务标准、验收等要求；</w:t>
      </w:r>
    </w:p>
    <w:p>
      <w:pPr>
        <w:spacing w:line="360" w:lineRule="auto"/>
        <w:ind w:left="160"/>
        <w:rPr>
          <w:rFonts w:ascii="Tahoma" w:hAnsi="Tahoma" w:cs="Tahoma"/>
          <w:szCs w:val="21"/>
        </w:rPr>
      </w:pPr>
      <w:r>
        <w:rPr>
          <w:rFonts w:ascii="Tahoma" w:hAnsi="Tahoma" w:cs="Tahoma"/>
          <w:szCs w:val="21"/>
        </w:rPr>
        <w:t>　（八）拟签订的合同文本；</w:t>
      </w:r>
    </w:p>
    <w:p>
      <w:pPr>
        <w:spacing w:line="360" w:lineRule="auto"/>
        <w:ind w:left="160"/>
        <w:rPr>
          <w:rFonts w:ascii="Tahoma" w:hAnsi="Tahoma" w:cs="Tahoma"/>
          <w:szCs w:val="21"/>
        </w:rPr>
      </w:pPr>
      <w:r>
        <w:rPr>
          <w:rFonts w:ascii="Tahoma" w:hAnsi="Tahoma" w:cs="Tahoma"/>
          <w:szCs w:val="21"/>
        </w:rPr>
        <w:t>　（九）货物、服务提供的时间、地点、方式；</w:t>
      </w:r>
    </w:p>
    <w:p>
      <w:pPr>
        <w:spacing w:line="360" w:lineRule="auto"/>
        <w:ind w:left="160"/>
        <w:rPr>
          <w:rFonts w:ascii="Tahoma" w:hAnsi="Tahoma" w:cs="Tahoma"/>
          <w:szCs w:val="21"/>
        </w:rPr>
      </w:pPr>
      <w:r>
        <w:rPr>
          <w:rFonts w:ascii="Tahoma" w:hAnsi="Tahoma" w:cs="Tahoma"/>
          <w:szCs w:val="21"/>
        </w:rPr>
        <w:t>　（十）采购资金的支付方式、时间、条件；</w:t>
      </w:r>
    </w:p>
    <w:p>
      <w:pPr>
        <w:spacing w:line="360" w:lineRule="auto"/>
        <w:ind w:left="160"/>
        <w:rPr>
          <w:rFonts w:ascii="Tahoma" w:hAnsi="Tahoma" w:cs="Tahoma"/>
          <w:szCs w:val="21"/>
        </w:rPr>
      </w:pPr>
      <w:r>
        <w:rPr>
          <w:rFonts w:ascii="Tahoma" w:hAnsi="Tahoma" w:cs="Tahoma"/>
          <w:szCs w:val="21"/>
        </w:rPr>
        <w:t>　（十一）评标方法、评标标准和投标无效情形；</w:t>
      </w:r>
    </w:p>
    <w:p>
      <w:pPr>
        <w:spacing w:line="360" w:lineRule="auto"/>
        <w:ind w:left="160"/>
        <w:rPr>
          <w:rFonts w:ascii="Tahoma" w:hAnsi="Tahoma" w:cs="Tahoma"/>
          <w:szCs w:val="21"/>
        </w:rPr>
      </w:pPr>
      <w:r>
        <w:rPr>
          <w:rFonts w:ascii="Tahoma" w:hAnsi="Tahoma" w:cs="Tahoma"/>
          <w:szCs w:val="21"/>
        </w:rPr>
        <w:t>　（十二）投标有效期；</w:t>
      </w:r>
    </w:p>
    <w:p>
      <w:pPr>
        <w:spacing w:line="360" w:lineRule="auto"/>
        <w:ind w:left="160"/>
        <w:rPr>
          <w:rFonts w:ascii="Tahoma" w:hAnsi="Tahoma" w:cs="Tahoma"/>
          <w:szCs w:val="21"/>
        </w:rPr>
      </w:pPr>
      <w:r>
        <w:rPr>
          <w:rFonts w:ascii="Tahoma" w:hAnsi="Tahoma" w:cs="Tahoma"/>
          <w:szCs w:val="21"/>
        </w:rPr>
        <w:t>　（十三）投标截止时间、开标时间及地点；</w:t>
      </w:r>
    </w:p>
    <w:p>
      <w:pPr>
        <w:spacing w:line="360" w:lineRule="auto"/>
        <w:ind w:left="160"/>
        <w:rPr>
          <w:rFonts w:ascii="Tahoma" w:hAnsi="Tahoma" w:cs="Tahoma"/>
          <w:szCs w:val="21"/>
        </w:rPr>
      </w:pPr>
      <w:r>
        <w:rPr>
          <w:rFonts w:ascii="Tahoma" w:hAnsi="Tahoma" w:cs="Tahoma"/>
          <w:szCs w:val="21"/>
        </w:rPr>
        <w:t>　（十四）采购代理机构代理费用的收取标准和方式；</w:t>
      </w:r>
    </w:p>
    <w:p>
      <w:pPr>
        <w:spacing w:line="360" w:lineRule="auto"/>
        <w:ind w:firstLine="360" w:firstLineChars="150"/>
        <w:rPr>
          <w:rFonts w:ascii="Tahoma" w:hAnsi="Tahoma" w:cs="Tahoma"/>
          <w:szCs w:val="21"/>
        </w:rPr>
      </w:pPr>
      <w:r>
        <w:rPr>
          <w:rFonts w:ascii="Tahoma" w:hAnsi="Tahoma" w:cs="Tahoma"/>
          <w:szCs w:val="21"/>
        </w:rPr>
        <w:t>（十五）</w:t>
      </w:r>
      <w:r>
        <w:rPr>
          <w:rFonts w:hint="eastAsia" w:ascii="Tahoma" w:hAnsi="Tahoma" w:cs="Tahoma"/>
          <w:szCs w:val="21"/>
        </w:rPr>
        <w:t>供应商</w:t>
      </w:r>
      <w:r>
        <w:rPr>
          <w:rFonts w:ascii="Tahoma" w:hAnsi="Tahoma" w:cs="Tahoma"/>
          <w:szCs w:val="21"/>
        </w:rPr>
        <w:t>信用信息查询渠道及截止时点、信用信息查询记录和证据留存的具体方式、信用信息的使用规则等；</w:t>
      </w:r>
    </w:p>
    <w:p>
      <w:pPr>
        <w:spacing w:line="360" w:lineRule="auto"/>
        <w:ind w:firstLine="360" w:firstLineChars="150"/>
        <w:rPr>
          <w:rFonts w:ascii="Tahoma" w:hAnsi="Tahoma" w:cs="Tahoma"/>
          <w:szCs w:val="21"/>
        </w:rPr>
      </w:pPr>
      <w:r>
        <w:rPr>
          <w:rFonts w:ascii="Tahoma" w:hAnsi="Tahoma" w:cs="Tahoma"/>
          <w:szCs w:val="21"/>
        </w:rPr>
        <w:t>（十六）省级以上财政部门规定的其他事项；</w:t>
      </w:r>
    </w:p>
    <w:p>
      <w:pPr>
        <w:spacing w:line="360" w:lineRule="auto"/>
        <w:rPr>
          <w:rFonts w:ascii="Tahoma" w:hAnsi="Tahoma" w:cs="Tahoma"/>
          <w:szCs w:val="21"/>
        </w:rPr>
      </w:pPr>
      <w:r>
        <w:rPr>
          <w:rFonts w:ascii="Tahoma" w:hAnsi="Tahoma" w:cs="Tahoma"/>
          <w:szCs w:val="21"/>
        </w:rPr>
        <w:t>2.1.2除非有特殊要求，招标文件不单独提供招标货物使用地的自然环境、气候条件、公用设施等情况，</w:t>
      </w:r>
      <w:r>
        <w:rPr>
          <w:rFonts w:hint="eastAsia" w:ascii="Tahoma" w:hAnsi="Tahoma" w:cs="Tahoma"/>
          <w:szCs w:val="21"/>
        </w:rPr>
        <w:t>供应商</w:t>
      </w:r>
      <w:r>
        <w:rPr>
          <w:rFonts w:ascii="Tahoma" w:hAnsi="Tahoma" w:cs="Tahoma"/>
          <w:szCs w:val="21"/>
        </w:rPr>
        <w:t>被视为熟悉上述与履行合同有关的一切情况。</w:t>
      </w:r>
    </w:p>
    <w:p>
      <w:pPr>
        <w:spacing w:line="360" w:lineRule="auto"/>
        <w:rPr>
          <w:rFonts w:ascii="Tahoma" w:hAnsi="Tahoma" w:cs="Tahoma"/>
          <w:b/>
          <w:szCs w:val="21"/>
        </w:rPr>
      </w:pPr>
      <w:bookmarkStart w:id="15" w:name="_Toc152045544"/>
      <w:bookmarkStart w:id="16" w:name="_Toc152042320"/>
      <w:bookmarkStart w:id="17" w:name="_Toc179632562"/>
      <w:bookmarkStart w:id="18" w:name="_Toc144974512"/>
      <w:bookmarkStart w:id="19" w:name="_Toc430488851"/>
      <w:bookmarkStart w:id="20" w:name="_Toc430492126"/>
      <w:bookmarkStart w:id="21" w:name="_Toc430488644"/>
      <w:bookmarkStart w:id="22" w:name="_Toc430422413"/>
      <w:bookmarkStart w:id="23" w:name="_Toc430490612"/>
      <w:bookmarkStart w:id="24" w:name="_Toc415567497"/>
      <w:bookmarkStart w:id="25" w:name="_Toc430489119"/>
      <w:r>
        <w:rPr>
          <w:rFonts w:ascii="Tahoma" w:hAnsi="Tahoma" w:cs="Tahoma"/>
          <w:b/>
          <w:szCs w:val="21"/>
        </w:rPr>
        <w:t>2.2 招标文件的澄清</w:t>
      </w:r>
      <w:bookmarkEnd w:id="15"/>
      <w:bookmarkEnd w:id="16"/>
      <w:bookmarkEnd w:id="17"/>
      <w:bookmarkEnd w:id="18"/>
    </w:p>
    <w:p>
      <w:pPr>
        <w:spacing w:line="360" w:lineRule="auto"/>
        <w:rPr>
          <w:rFonts w:ascii="Tahoma" w:hAnsi="Tahoma" w:cs="Tahoma"/>
          <w:szCs w:val="21"/>
        </w:rPr>
      </w:pPr>
      <w:r>
        <w:rPr>
          <w:rFonts w:ascii="Tahoma" w:hAnsi="Tahoma" w:cs="Tahoma"/>
          <w:szCs w:val="21"/>
        </w:rPr>
        <w:t>2.2.1采购人或者采购代理机构可以对已发出的招标文件、投标邀请书进行必要的澄清或者修改，但不得改变采购标的和资格条件。澄清或者修改应当在原公告发布媒体上发布澄清公告。</w:t>
      </w:r>
    </w:p>
    <w:p>
      <w:pPr>
        <w:spacing w:line="360" w:lineRule="auto"/>
        <w:rPr>
          <w:rFonts w:ascii="Tahoma" w:hAnsi="Tahoma" w:cs="Tahoma"/>
          <w:szCs w:val="21"/>
        </w:rPr>
      </w:pPr>
      <w:r>
        <w:rPr>
          <w:rFonts w:ascii="Tahoma" w:hAnsi="Tahoma" w:cs="Tahoma"/>
          <w:szCs w:val="21"/>
        </w:rPr>
        <w:t>2.2.2</w:t>
      </w:r>
      <w:r>
        <w:rPr>
          <w:rFonts w:hint="eastAsia" w:ascii="Tahoma" w:hAnsi="Tahoma" w:cs="Tahoma"/>
          <w:szCs w:val="21"/>
        </w:rPr>
        <w:t>供应商</w:t>
      </w:r>
      <w:r>
        <w:rPr>
          <w:rFonts w:ascii="Tahoma" w:hAnsi="Tahoma" w:cs="Tahoma"/>
          <w:szCs w:val="21"/>
        </w:rPr>
        <w:t>应仔细阅读和检查招标文件的全部内容。如发现缺页或附件不全，应及时向</w:t>
      </w:r>
      <w:r>
        <w:rPr>
          <w:rFonts w:hint="eastAsia" w:ascii="Tahoma" w:hAnsi="Tahoma" w:cs="Tahoma"/>
          <w:szCs w:val="21"/>
        </w:rPr>
        <w:t>采购人</w:t>
      </w:r>
      <w:r>
        <w:rPr>
          <w:rFonts w:ascii="Tahoma" w:hAnsi="Tahoma" w:cs="Tahoma"/>
          <w:szCs w:val="21"/>
        </w:rPr>
        <w:t>提出，以便补齐。如有疑问，应在</w:t>
      </w:r>
      <w:r>
        <w:rPr>
          <w:rFonts w:hint="eastAsia" w:ascii="Tahoma" w:hAnsi="Tahoma" w:cs="Tahoma"/>
          <w:szCs w:val="21"/>
        </w:rPr>
        <w:t>供应商</w:t>
      </w:r>
      <w:r>
        <w:rPr>
          <w:rFonts w:ascii="Tahoma" w:hAnsi="Tahoma" w:cs="Tahoma"/>
          <w:szCs w:val="21"/>
        </w:rPr>
        <w:t>须知前附表规定的时间前以书面形式（包括信函、电报、传真等可以有形地表现所载内容的形式，下同），要求</w:t>
      </w:r>
      <w:r>
        <w:rPr>
          <w:rFonts w:hint="eastAsia" w:ascii="Tahoma" w:hAnsi="Tahoma" w:cs="Tahoma"/>
          <w:szCs w:val="21"/>
        </w:rPr>
        <w:t>采购人</w:t>
      </w:r>
      <w:r>
        <w:rPr>
          <w:rFonts w:ascii="Tahoma" w:hAnsi="Tahoma" w:cs="Tahoma"/>
          <w:szCs w:val="21"/>
        </w:rPr>
        <w:t>对招标文件予以澄清。</w:t>
      </w:r>
      <w:r>
        <w:rPr>
          <w:rFonts w:hint="eastAsia" w:ascii="Tahoma" w:hAnsi="Tahoma" w:cs="Tahoma"/>
          <w:szCs w:val="21"/>
        </w:rPr>
        <w:t>采购人</w:t>
      </w:r>
      <w:r>
        <w:rPr>
          <w:rFonts w:ascii="Tahoma" w:hAnsi="Tahoma" w:cs="Tahoma"/>
          <w:szCs w:val="21"/>
        </w:rPr>
        <w:t>将视情况将不标明澄清问题查询来源的书面答复发给所有</w:t>
      </w:r>
      <w:r>
        <w:rPr>
          <w:rFonts w:hint="eastAsia" w:ascii="Tahoma" w:hAnsi="Tahoma" w:cs="Tahoma"/>
          <w:szCs w:val="21"/>
        </w:rPr>
        <w:t>供应商</w:t>
      </w:r>
      <w:r>
        <w:rPr>
          <w:rFonts w:ascii="Tahoma" w:hAnsi="Tahoma" w:cs="Tahoma"/>
          <w:szCs w:val="21"/>
        </w:rPr>
        <w:t>，该澄清内容为招标文件的组成部分。</w:t>
      </w:r>
    </w:p>
    <w:p>
      <w:pPr>
        <w:spacing w:line="360" w:lineRule="auto"/>
        <w:rPr>
          <w:rFonts w:ascii="Tahoma" w:hAnsi="Tahoma" w:cs="Tahoma"/>
          <w:szCs w:val="21"/>
        </w:rPr>
      </w:pPr>
      <w:r>
        <w:rPr>
          <w:rFonts w:ascii="Tahoma" w:hAnsi="Tahoma" w:cs="Tahoma"/>
          <w:szCs w:val="21"/>
        </w:rPr>
        <w:t>2.2.3</w:t>
      </w:r>
      <w:r>
        <w:rPr>
          <w:rFonts w:hint="eastAsia" w:ascii="Tahoma" w:hAnsi="Tahoma" w:cs="Tahoma"/>
          <w:szCs w:val="21"/>
        </w:rPr>
        <w:t>采购人</w:t>
      </w:r>
      <w:r>
        <w:rPr>
          <w:rFonts w:ascii="Tahoma" w:hAnsi="Tahoma" w:cs="Tahoma"/>
          <w:szCs w:val="21"/>
        </w:rPr>
        <w:t>只对投标须知前附表中规定的截止时间以前收到的要求澄清的问题予以答复。</w:t>
      </w:r>
    </w:p>
    <w:p>
      <w:pPr>
        <w:spacing w:line="360" w:lineRule="auto"/>
        <w:rPr>
          <w:rFonts w:ascii="Tahoma" w:hAnsi="Tahoma" w:cs="Tahoma"/>
          <w:szCs w:val="21"/>
        </w:rPr>
      </w:pPr>
      <w:r>
        <w:rPr>
          <w:rFonts w:ascii="Tahoma" w:hAnsi="Tahoma" w:cs="Tahoma"/>
          <w:szCs w:val="21"/>
        </w:rPr>
        <w:t>2.2.4 在投标截止时间15天前，</w:t>
      </w:r>
      <w:r>
        <w:rPr>
          <w:rFonts w:hint="eastAsia" w:ascii="Tahoma" w:hAnsi="Tahoma" w:cs="Tahoma"/>
          <w:szCs w:val="21"/>
        </w:rPr>
        <w:t>采购人</w:t>
      </w:r>
      <w:r>
        <w:rPr>
          <w:rFonts w:ascii="Tahoma" w:hAnsi="Tahoma" w:cs="Tahoma"/>
          <w:szCs w:val="21"/>
        </w:rPr>
        <w:t>可以书面形式修改招标文件，并通知所有已购买招标文件的</w:t>
      </w:r>
      <w:r>
        <w:rPr>
          <w:rFonts w:hint="eastAsia" w:ascii="Tahoma" w:hAnsi="Tahoma" w:cs="Tahoma"/>
          <w:szCs w:val="21"/>
        </w:rPr>
        <w:t>供应商</w:t>
      </w:r>
      <w:r>
        <w:rPr>
          <w:rFonts w:ascii="Tahoma" w:hAnsi="Tahoma" w:cs="Tahoma"/>
          <w:szCs w:val="21"/>
        </w:rPr>
        <w:t>，该修改内容为招标文件的组成部分。如果修改招标文件的时间距投标截止时间不足15天，</w:t>
      </w:r>
      <w:r>
        <w:rPr>
          <w:rFonts w:hint="eastAsia" w:ascii="Tahoma" w:hAnsi="Tahoma" w:cs="Tahoma"/>
          <w:szCs w:val="21"/>
        </w:rPr>
        <w:t>供应商</w:t>
      </w:r>
      <w:r>
        <w:rPr>
          <w:rFonts w:ascii="Tahoma" w:hAnsi="Tahoma" w:cs="Tahoma"/>
          <w:szCs w:val="21"/>
        </w:rPr>
        <w:t>认为因招标文件的修改影响到对</w:t>
      </w:r>
      <w:r>
        <w:rPr>
          <w:rFonts w:hint="eastAsia" w:ascii="Tahoma" w:hAnsi="Tahoma" w:cs="Tahoma"/>
          <w:szCs w:val="21"/>
        </w:rPr>
        <w:t>响应文件</w:t>
      </w:r>
      <w:r>
        <w:rPr>
          <w:rFonts w:ascii="Tahoma" w:hAnsi="Tahoma" w:cs="Tahoma"/>
          <w:szCs w:val="21"/>
        </w:rPr>
        <w:t>的修编，造成在原投标截止时间前修编</w:t>
      </w:r>
      <w:r>
        <w:rPr>
          <w:rFonts w:hint="eastAsia" w:ascii="Tahoma" w:hAnsi="Tahoma" w:cs="Tahoma"/>
          <w:szCs w:val="21"/>
        </w:rPr>
        <w:t>响应文件</w:t>
      </w:r>
      <w:r>
        <w:rPr>
          <w:rFonts w:ascii="Tahoma" w:hAnsi="Tahoma" w:cs="Tahoma"/>
          <w:szCs w:val="21"/>
        </w:rPr>
        <w:t>的时间不足，</w:t>
      </w:r>
      <w:r>
        <w:rPr>
          <w:rFonts w:hint="eastAsia" w:ascii="Tahoma" w:hAnsi="Tahoma" w:cs="Tahoma"/>
          <w:szCs w:val="21"/>
        </w:rPr>
        <w:t>供应商</w:t>
      </w:r>
      <w:r>
        <w:rPr>
          <w:rFonts w:ascii="Tahoma" w:hAnsi="Tahoma" w:cs="Tahoma"/>
          <w:szCs w:val="21"/>
        </w:rPr>
        <w:t>应以书面形式通知</w:t>
      </w:r>
      <w:r>
        <w:rPr>
          <w:rFonts w:hint="eastAsia" w:ascii="Tahoma" w:hAnsi="Tahoma" w:cs="Tahoma"/>
          <w:szCs w:val="21"/>
        </w:rPr>
        <w:t>采购人</w:t>
      </w:r>
      <w:r>
        <w:rPr>
          <w:rFonts w:ascii="Tahoma" w:hAnsi="Tahoma" w:cs="Tahoma"/>
          <w:szCs w:val="21"/>
        </w:rPr>
        <w:t>要求酌情延长投标截止时间和开标时间（但应当至少在投标截止时间三个日历日前将变更时间以书面形式通知所有</w:t>
      </w:r>
      <w:r>
        <w:rPr>
          <w:rFonts w:hint="eastAsia" w:ascii="Tahoma" w:hAnsi="Tahoma" w:cs="Tahoma"/>
          <w:szCs w:val="21"/>
        </w:rPr>
        <w:t>供应商</w:t>
      </w:r>
      <w:r>
        <w:rPr>
          <w:rFonts w:ascii="Tahoma" w:hAnsi="Tahoma" w:cs="Tahoma"/>
          <w:szCs w:val="21"/>
        </w:rPr>
        <w:t>），以保证</w:t>
      </w:r>
      <w:r>
        <w:rPr>
          <w:rFonts w:hint="eastAsia" w:ascii="Tahoma" w:hAnsi="Tahoma" w:cs="Tahoma"/>
          <w:szCs w:val="21"/>
        </w:rPr>
        <w:t>供应商</w:t>
      </w:r>
      <w:r>
        <w:rPr>
          <w:rFonts w:ascii="Tahoma" w:hAnsi="Tahoma" w:cs="Tahoma"/>
          <w:szCs w:val="21"/>
        </w:rPr>
        <w:t>有合理的时间修编</w:t>
      </w:r>
      <w:r>
        <w:rPr>
          <w:rFonts w:hint="eastAsia" w:ascii="Tahoma" w:hAnsi="Tahoma" w:cs="Tahoma"/>
          <w:szCs w:val="21"/>
        </w:rPr>
        <w:t>响应文件</w:t>
      </w:r>
      <w:r>
        <w:rPr>
          <w:rFonts w:ascii="Tahoma" w:hAnsi="Tahoma" w:cs="Tahoma"/>
          <w:szCs w:val="21"/>
        </w:rPr>
        <w:t>，</w:t>
      </w:r>
      <w:r>
        <w:rPr>
          <w:rFonts w:hint="eastAsia" w:ascii="Tahoma" w:hAnsi="Tahoma" w:cs="Tahoma"/>
          <w:szCs w:val="21"/>
        </w:rPr>
        <w:t>采购人</w:t>
      </w:r>
      <w:r>
        <w:rPr>
          <w:rFonts w:ascii="Tahoma" w:hAnsi="Tahoma" w:cs="Tahoma"/>
          <w:szCs w:val="21"/>
        </w:rPr>
        <w:t>应按规定酌情延长投标截止时间。否则，</w:t>
      </w:r>
      <w:r>
        <w:rPr>
          <w:rFonts w:hint="eastAsia" w:ascii="Tahoma" w:hAnsi="Tahoma" w:cs="Tahoma"/>
          <w:szCs w:val="21"/>
        </w:rPr>
        <w:t>采购人</w:t>
      </w:r>
      <w:r>
        <w:rPr>
          <w:rFonts w:ascii="Tahoma" w:hAnsi="Tahoma" w:cs="Tahoma"/>
          <w:szCs w:val="21"/>
        </w:rPr>
        <w:t>仍将按原投标截止时间执行。在此情况下，</w:t>
      </w:r>
      <w:r>
        <w:rPr>
          <w:rFonts w:hint="eastAsia" w:ascii="Tahoma" w:hAnsi="Tahoma" w:cs="Tahoma"/>
          <w:szCs w:val="21"/>
        </w:rPr>
        <w:t>采购人</w:t>
      </w:r>
      <w:r>
        <w:rPr>
          <w:rFonts w:ascii="Tahoma" w:hAnsi="Tahoma" w:cs="Tahoma"/>
          <w:szCs w:val="21"/>
        </w:rPr>
        <w:t>和</w:t>
      </w:r>
      <w:r>
        <w:rPr>
          <w:rFonts w:hint="eastAsia" w:ascii="Tahoma" w:hAnsi="Tahoma" w:cs="Tahoma"/>
          <w:szCs w:val="21"/>
        </w:rPr>
        <w:t>供应商</w:t>
      </w:r>
      <w:r>
        <w:rPr>
          <w:rFonts w:ascii="Tahoma" w:hAnsi="Tahoma" w:cs="Tahoma"/>
          <w:szCs w:val="21"/>
        </w:rPr>
        <w:t>受投标截止期制约的所有权利和义务均应延长至新的截止日期。</w:t>
      </w:r>
    </w:p>
    <w:p>
      <w:pPr>
        <w:spacing w:line="360" w:lineRule="auto"/>
        <w:rPr>
          <w:rFonts w:ascii="Tahoma" w:hAnsi="Tahoma" w:cs="Tahoma"/>
          <w:szCs w:val="21"/>
        </w:rPr>
      </w:pPr>
      <w:r>
        <w:rPr>
          <w:rFonts w:ascii="Tahoma" w:hAnsi="Tahoma" w:cs="Tahoma"/>
          <w:szCs w:val="21"/>
        </w:rPr>
        <w:t>2.2.</w:t>
      </w:r>
      <w:r>
        <w:rPr>
          <w:rFonts w:hint="eastAsia" w:ascii="Tahoma" w:hAnsi="Tahoma" w:cs="Tahoma"/>
          <w:szCs w:val="21"/>
        </w:rPr>
        <w:t>5</w:t>
      </w:r>
      <w:r>
        <w:rPr>
          <w:rFonts w:ascii="Tahoma" w:hAnsi="Tahoma" w:cs="Tahoma"/>
          <w:szCs w:val="21"/>
        </w:rPr>
        <w:t>采购人在投标须知前附表中标明了澄清、补充或修改招标文件发布的渠道，供应商应自行留意采购人发出的澄清、修改或补充以及与之有关的文本文件，并及时按采购人在投标须知前附表中标明澄清、补充或修改通知发布的渠道获取相应的文本文件，无须回签确认收到的函。供应商未按规定时间在发布渠道的网站下载澄清、补充或修改招标文件（包括开标时间、地点的变更等）通知的，视同已收到。</w:t>
      </w:r>
    </w:p>
    <w:bookmarkEnd w:id="19"/>
    <w:bookmarkEnd w:id="20"/>
    <w:bookmarkEnd w:id="21"/>
    <w:bookmarkEnd w:id="22"/>
    <w:bookmarkEnd w:id="23"/>
    <w:bookmarkEnd w:id="24"/>
    <w:bookmarkEnd w:id="25"/>
    <w:p>
      <w:pPr>
        <w:spacing w:line="360" w:lineRule="auto"/>
        <w:jc w:val="center"/>
        <w:rPr>
          <w:rFonts w:ascii="Tahoma" w:hAnsi="Tahoma" w:cs="Tahoma"/>
          <w:szCs w:val="21"/>
        </w:rPr>
      </w:pPr>
      <w:r>
        <w:rPr>
          <w:rFonts w:ascii="Tahoma" w:hAnsi="Tahoma" w:cs="Tahoma"/>
          <w:b/>
          <w:bCs/>
          <w:szCs w:val="21"/>
        </w:rPr>
        <w:t>3、</w:t>
      </w:r>
      <w:r>
        <w:rPr>
          <w:rFonts w:hint="eastAsia" w:ascii="Tahoma" w:hAnsi="Tahoma" w:cs="Tahoma"/>
          <w:b/>
          <w:bCs/>
          <w:szCs w:val="21"/>
        </w:rPr>
        <w:t>响应文件</w:t>
      </w:r>
    </w:p>
    <w:p>
      <w:pPr>
        <w:spacing w:line="360" w:lineRule="auto"/>
        <w:rPr>
          <w:rFonts w:ascii="Tahoma" w:hAnsi="Tahoma" w:cs="Tahoma"/>
          <w:szCs w:val="21"/>
        </w:rPr>
      </w:pPr>
      <w:r>
        <w:rPr>
          <w:rFonts w:ascii="Tahoma" w:hAnsi="Tahoma" w:cs="Tahoma"/>
          <w:b/>
          <w:bCs/>
          <w:szCs w:val="21"/>
        </w:rPr>
        <w:t xml:space="preserve">3.1. </w:t>
      </w:r>
      <w:r>
        <w:rPr>
          <w:rFonts w:hint="eastAsia" w:ascii="Tahoma" w:hAnsi="Tahoma" w:cs="Tahoma"/>
          <w:b/>
          <w:bCs/>
          <w:szCs w:val="21"/>
        </w:rPr>
        <w:t>响应文件</w:t>
      </w:r>
      <w:r>
        <w:rPr>
          <w:rFonts w:ascii="Tahoma" w:hAnsi="Tahoma" w:cs="Tahoma"/>
          <w:b/>
          <w:bCs/>
          <w:szCs w:val="21"/>
        </w:rPr>
        <w:t>的组成</w:t>
      </w:r>
    </w:p>
    <w:p>
      <w:pPr>
        <w:shd w:val="clear" w:color="auto" w:fill="FFFFFF"/>
        <w:snapToGrid w:val="0"/>
        <w:spacing w:line="360" w:lineRule="auto"/>
        <w:rPr>
          <w:rFonts w:ascii="Tahoma" w:hAnsi="Tahoma" w:cs="Tahoma"/>
          <w:szCs w:val="21"/>
        </w:rPr>
      </w:pPr>
      <w:r>
        <w:rPr>
          <w:rFonts w:ascii="Tahoma" w:hAnsi="Tahoma" w:cs="Tahoma"/>
          <w:szCs w:val="21"/>
        </w:rPr>
        <w:t>3.1.1</w:t>
      </w:r>
      <w:r>
        <w:rPr>
          <w:rFonts w:hint="eastAsia" w:ascii="Tahoma" w:hAnsi="Tahoma" w:cs="Tahoma"/>
          <w:szCs w:val="21"/>
        </w:rPr>
        <w:t>供应商</w:t>
      </w:r>
      <w:r>
        <w:rPr>
          <w:rFonts w:ascii="Tahoma" w:hAnsi="Tahoma" w:cs="Tahoma"/>
          <w:szCs w:val="21"/>
        </w:rPr>
        <w:t>应当按照招标文件的要求编制</w:t>
      </w:r>
      <w:r>
        <w:rPr>
          <w:rFonts w:hint="eastAsia" w:ascii="Tahoma" w:hAnsi="Tahoma" w:cs="Tahoma"/>
          <w:szCs w:val="21"/>
        </w:rPr>
        <w:t>响应文件</w:t>
      </w:r>
      <w:r>
        <w:rPr>
          <w:rFonts w:ascii="Tahoma" w:hAnsi="Tahoma" w:cs="Tahoma"/>
          <w:szCs w:val="21"/>
        </w:rPr>
        <w:t>。</w:t>
      </w:r>
      <w:r>
        <w:rPr>
          <w:rFonts w:hint="eastAsia" w:ascii="Tahoma" w:hAnsi="Tahoma" w:cs="Tahoma"/>
          <w:szCs w:val="21"/>
        </w:rPr>
        <w:t>响应文件</w:t>
      </w:r>
      <w:r>
        <w:rPr>
          <w:rFonts w:ascii="Tahoma" w:hAnsi="Tahoma" w:cs="Tahoma"/>
          <w:szCs w:val="21"/>
        </w:rPr>
        <w:t>应当对招标文件提出的要求和条件作出明确响应。</w:t>
      </w:r>
      <w:r>
        <w:rPr>
          <w:rFonts w:ascii="Tahoma" w:hAnsi="Tahoma" w:cs="Tahoma"/>
          <w:b/>
          <w:szCs w:val="21"/>
        </w:rPr>
        <w:t>并保证所提供的全部资料的真实性，否则其投标将按无效投标处理。</w:t>
      </w:r>
    </w:p>
    <w:p>
      <w:pPr>
        <w:spacing w:line="360" w:lineRule="auto"/>
        <w:rPr>
          <w:rFonts w:hint="eastAsia" w:ascii="Tahoma" w:hAnsi="Tahoma" w:cs="Tahoma"/>
          <w:szCs w:val="21"/>
        </w:rPr>
      </w:pPr>
      <w:r>
        <w:rPr>
          <w:rFonts w:hint="eastAsia" w:ascii="Tahoma" w:hAnsi="Tahoma" w:cs="Tahoma"/>
          <w:szCs w:val="21"/>
        </w:rPr>
        <w:t>3.1.2供应商须知前附表规定接受联合体投标的，或供应商组成联合体的，响应文件应包括本项目所指的联合体协议书。</w:t>
      </w:r>
    </w:p>
    <w:p>
      <w:pPr>
        <w:spacing w:line="360" w:lineRule="auto"/>
        <w:rPr>
          <w:rFonts w:ascii="Tahoma" w:hAnsi="Tahoma" w:cs="Tahoma"/>
          <w:b/>
          <w:bCs/>
          <w:szCs w:val="21"/>
        </w:rPr>
      </w:pPr>
      <w:r>
        <w:rPr>
          <w:rFonts w:ascii="Tahoma" w:hAnsi="Tahoma" w:cs="Tahoma"/>
          <w:b/>
          <w:bCs/>
          <w:szCs w:val="21"/>
        </w:rPr>
        <w:t>3.1.3</w:t>
      </w:r>
      <w:r>
        <w:rPr>
          <w:rFonts w:hint="eastAsia" w:ascii="Tahoma" w:hAnsi="Tahoma" w:cs="Tahoma"/>
          <w:b/>
          <w:bCs/>
          <w:szCs w:val="21"/>
        </w:rPr>
        <w:t>响应文件</w:t>
      </w:r>
      <w:r>
        <w:rPr>
          <w:rFonts w:ascii="Tahoma" w:hAnsi="Tahoma" w:cs="Tahoma"/>
          <w:b/>
          <w:bCs/>
          <w:szCs w:val="21"/>
        </w:rPr>
        <w:t>一套（份数：</w:t>
      </w:r>
      <w:r>
        <w:rPr>
          <w:rFonts w:hint="eastAsia" w:ascii="Tahoma" w:hAnsi="Tahoma" w:cs="Tahoma"/>
          <w:b/>
          <w:bCs/>
          <w:szCs w:val="21"/>
        </w:rPr>
        <w:t>详见投标须知附表</w:t>
      </w:r>
      <w:r>
        <w:rPr>
          <w:rFonts w:ascii="Tahoma" w:hAnsi="Tahoma" w:cs="Tahoma"/>
          <w:b/>
          <w:bCs/>
          <w:szCs w:val="21"/>
        </w:rPr>
        <w:t>），包括资格类文件和投标主要文件。</w:t>
      </w:r>
    </w:p>
    <w:p>
      <w:pPr>
        <w:spacing w:line="360" w:lineRule="auto"/>
        <w:rPr>
          <w:rFonts w:ascii="Tahoma" w:hAnsi="Tahoma" w:cs="Tahoma"/>
          <w:b/>
          <w:szCs w:val="21"/>
        </w:rPr>
      </w:pPr>
      <w:r>
        <w:rPr>
          <w:rFonts w:ascii="Tahoma" w:hAnsi="Tahoma" w:cs="Tahoma"/>
          <w:b/>
          <w:szCs w:val="21"/>
        </w:rPr>
        <w:t>（一）、投标主要文件</w:t>
      </w:r>
    </w:p>
    <w:p>
      <w:pPr>
        <w:spacing w:line="360" w:lineRule="auto"/>
        <w:rPr>
          <w:rFonts w:ascii="Tahoma" w:hAnsi="Tahoma" w:cs="Tahoma"/>
          <w:bCs/>
          <w:szCs w:val="21"/>
        </w:rPr>
      </w:pPr>
      <w:r>
        <w:rPr>
          <w:rFonts w:ascii="Tahoma" w:hAnsi="Tahoma" w:cs="Tahoma"/>
          <w:bCs/>
          <w:szCs w:val="21"/>
        </w:rPr>
        <w:t>1.1投标函</w:t>
      </w:r>
    </w:p>
    <w:p>
      <w:pPr>
        <w:spacing w:line="360" w:lineRule="auto"/>
        <w:rPr>
          <w:rFonts w:ascii="Tahoma" w:hAnsi="Tahoma" w:cs="Tahoma"/>
          <w:bCs/>
          <w:szCs w:val="21"/>
        </w:rPr>
      </w:pPr>
      <w:r>
        <w:rPr>
          <w:rFonts w:ascii="Tahoma" w:hAnsi="Tahoma" w:cs="Tahoma"/>
          <w:bCs/>
          <w:szCs w:val="21"/>
        </w:rPr>
        <w:t>1.2报价文件</w:t>
      </w:r>
    </w:p>
    <w:p>
      <w:pPr>
        <w:spacing w:line="360" w:lineRule="auto"/>
      </w:pPr>
      <w:r>
        <w:rPr>
          <w:rFonts w:ascii="Tahoma" w:hAnsi="Tahoma" w:cs="Tahoma"/>
          <w:bCs/>
          <w:szCs w:val="21"/>
        </w:rPr>
        <w:t>1.2.1</w:t>
      </w:r>
      <w:r>
        <w:rPr>
          <w:rFonts w:hint="eastAsia" w:ascii="Tahoma" w:hAnsi="Tahoma" w:cs="Tahoma"/>
          <w:bCs/>
          <w:szCs w:val="21"/>
        </w:rPr>
        <w:t>报价一览表</w:t>
      </w:r>
      <w:r>
        <w:rPr>
          <w:rFonts w:ascii="Tahoma" w:hAnsi="Tahoma" w:cs="Tahoma"/>
          <w:bCs/>
          <w:szCs w:val="21"/>
        </w:rPr>
        <w:t>(标包</w:t>
      </w:r>
      <w:r>
        <w:rPr>
          <w:rFonts w:hint="eastAsia" w:ascii="Tahoma" w:hAnsi="Tahoma" w:cs="Tahoma"/>
          <w:bCs/>
          <w:szCs w:val="21"/>
        </w:rPr>
        <w:t>2 面粉</w:t>
      </w:r>
      <w:r>
        <w:rPr>
          <w:rFonts w:ascii="Tahoma" w:hAnsi="Tahoma" w:cs="Tahoma"/>
          <w:bCs/>
          <w:szCs w:val="21"/>
        </w:rPr>
        <w:t xml:space="preserve">) </w:t>
      </w:r>
    </w:p>
    <w:p>
      <w:pPr>
        <w:spacing w:line="360" w:lineRule="auto"/>
        <w:rPr>
          <w:rFonts w:ascii="Tahoma" w:hAnsi="Tahoma" w:cs="Tahoma"/>
          <w:bCs/>
          <w:szCs w:val="21"/>
        </w:rPr>
      </w:pPr>
      <w:r>
        <w:rPr>
          <w:rFonts w:ascii="Tahoma" w:hAnsi="Tahoma" w:cs="Tahoma"/>
          <w:bCs/>
          <w:szCs w:val="21"/>
        </w:rPr>
        <w:t>1.2.2节能产品明细表(样表，如有)</w:t>
      </w:r>
    </w:p>
    <w:p>
      <w:pPr>
        <w:spacing w:line="360" w:lineRule="auto"/>
        <w:rPr>
          <w:rFonts w:ascii="Tahoma" w:hAnsi="Tahoma" w:cs="Tahoma"/>
          <w:bCs/>
          <w:szCs w:val="21"/>
        </w:rPr>
      </w:pPr>
      <w:r>
        <w:rPr>
          <w:rFonts w:ascii="Tahoma" w:hAnsi="Tahoma" w:cs="Tahoma"/>
          <w:bCs/>
          <w:szCs w:val="21"/>
        </w:rPr>
        <w:t>1.2.3环境标志产品明细表(样表，如有)</w:t>
      </w:r>
    </w:p>
    <w:p>
      <w:pPr>
        <w:spacing w:line="360" w:lineRule="auto"/>
        <w:rPr>
          <w:rFonts w:ascii="Tahoma" w:hAnsi="Tahoma" w:cs="Tahoma"/>
          <w:bCs/>
          <w:szCs w:val="21"/>
        </w:rPr>
      </w:pPr>
      <w:r>
        <w:rPr>
          <w:rFonts w:ascii="Tahoma" w:hAnsi="Tahoma" w:cs="Tahoma"/>
          <w:bCs/>
          <w:szCs w:val="21"/>
        </w:rPr>
        <w:t>1.3法定代表人</w:t>
      </w:r>
      <w:r>
        <w:rPr>
          <w:rFonts w:hint="eastAsia" w:ascii="Tahoma" w:hAnsi="Tahoma" w:cs="Tahoma"/>
          <w:bCs/>
          <w:szCs w:val="21"/>
        </w:rPr>
        <w:t>身份证明书</w:t>
      </w:r>
      <w:r>
        <w:rPr>
          <w:rFonts w:ascii="Tahoma" w:hAnsi="Tahoma" w:cs="Tahoma"/>
          <w:bCs/>
          <w:szCs w:val="21"/>
        </w:rPr>
        <w:t>及法定代表人授权委托书</w:t>
      </w:r>
    </w:p>
    <w:p>
      <w:pPr>
        <w:spacing w:line="360" w:lineRule="auto"/>
        <w:rPr>
          <w:rFonts w:ascii="Tahoma" w:hAnsi="Tahoma" w:cs="Tahoma"/>
          <w:bCs/>
          <w:szCs w:val="21"/>
        </w:rPr>
      </w:pPr>
      <w:r>
        <w:rPr>
          <w:rFonts w:ascii="Tahoma" w:hAnsi="Tahoma" w:cs="Tahoma"/>
          <w:bCs/>
          <w:szCs w:val="21"/>
        </w:rPr>
        <w:t>1.4关于资格的声明函</w:t>
      </w:r>
    </w:p>
    <w:p>
      <w:pPr>
        <w:spacing w:line="360" w:lineRule="auto"/>
        <w:rPr>
          <w:rFonts w:ascii="Tahoma" w:hAnsi="Tahoma" w:cs="Tahoma"/>
          <w:bCs/>
          <w:szCs w:val="21"/>
        </w:rPr>
      </w:pPr>
      <w:r>
        <w:rPr>
          <w:rFonts w:ascii="Tahoma" w:hAnsi="Tahoma" w:cs="Tahoma"/>
          <w:bCs/>
          <w:szCs w:val="21"/>
        </w:rPr>
        <w:t>1.5中小企业声明函(如有)</w:t>
      </w:r>
    </w:p>
    <w:p>
      <w:pPr>
        <w:spacing w:line="360" w:lineRule="auto"/>
        <w:rPr>
          <w:rFonts w:ascii="Tahoma" w:hAnsi="Tahoma" w:cs="Tahoma"/>
          <w:bCs/>
          <w:szCs w:val="21"/>
        </w:rPr>
      </w:pPr>
      <w:r>
        <w:rPr>
          <w:rFonts w:ascii="Tahoma" w:hAnsi="Tahoma" w:cs="Tahoma"/>
          <w:bCs/>
          <w:szCs w:val="21"/>
        </w:rPr>
        <w:t>1.6监狱企业的证明文件(如有)</w:t>
      </w:r>
    </w:p>
    <w:p>
      <w:pPr>
        <w:spacing w:line="360" w:lineRule="auto"/>
        <w:rPr>
          <w:rFonts w:ascii="Tahoma" w:hAnsi="Tahoma" w:cs="Tahoma"/>
          <w:bCs/>
          <w:szCs w:val="21"/>
        </w:rPr>
      </w:pPr>
      <w:r>
        <w:rPr>
          <w:rFonts w:ascii="Tahoma" w:hAnsi="Tahoma" w:cs="Tahoma"/>
          <w:bCs/>
          <w:szCs w:val="21"/>
        </w:rPr>
        <w:t>1.7残疾人福利性单位声明函(如有)</w:t>
      </w:r>
    </w:p>
    <w:p>
      <w:pPr>
        <w:spacing w:line="360" w:lineRule="auto"/>
      </w:pPr>
      <w:r>
        <w:rPr>
          <w:rFonts w:ascii="Tahoma" w:hAnsi="Tahoma" w:cs="Tahoma"/>
          <w:bCs/>
          <w:szCs w:val="21"/>
        </w:rPr>
        <w:t>1.8</w:t>
      </w:r>
      <w:r>
        <w:rPr>
          <w:rFonts w:hint="eastAsia" w:ascii="Tahoma" w:hAnsi="Tahoma" w:cs="Tahoma"/>
          <w:bCs/>
          <w:szCs w:val="21"/>
        </w:rPr>
        <w:t>营业执照、</w:t>
      </w:r>
      <w:r>
        <w:rPr>
          <w:rFonts w:ascii="Tahoma" w:hAnsi="Tahoma" w:cs="Tahoma"/>
          <w:bCs/>
          <w:szCs w:val="21"/>
        </w:rPr>
        <w:t>食品经营许可证</w:t>
      </w:r>
      <w:r>
        <w:rPr>
          <w:rFonts w:hint="eastAsia" w:ascii="Tahoma" w:hAnsi="Tahoma" w:cs="Tahoma"/>
          <w:bCs/>
          <w:szCs w:val="21"/>
        </w:rPr>
        <w:t>或</w:t>
      </w:r>
      <w:r>
        <w:rPr>
          <w:rFonts w:hint="eastAsia"/>
          <w:bCs/>
          <w:szCs w:val="21"/>
        </w:rPr>
        <w:t>《食品生产许可证》</w:t>
      </w:r>
      <w:r>
        <w:rPr>
          <w:rFonts w:hint="eastAsia" w:ascii="Tahoma" w:hAnsi="Tahoma" w:cs="Tahoma"/>
          <w:bCs/>
          <w:szCs w:val="21"/>
        </w:rPr>
        <w:t>、具有市级（含）（含产地）以上食品质检部门出具的投标产品质量检测报告等相关证件</w:t>
      </w:r>
    </w:p>
    <w:p>
      <w:pPr>
        <w:spacing w:line="360" w:lineRule="auto"/>
        <w:rPr>
          <w:rFonts w:ascii="Tahoma" w:hAnsi="Tahoma" w:cs="Tahoma"/>
          <w:bCs/>
          <w:szCs w:val="21"/>
        </w:rPr>
      </w:pPr>
      <w:r>
        <w:rPr>
          <w:rFonts w:hint="eastAsia" w:ascii="Tahoma" w:hAnsi="Tahoma" w:cs="Tahoma"/>
          <w:bCs/>
          <w:szCs w:val="21"/>
        </w:rPr>
        <w:t>1</w:t>
      </w:r>
      <w:r>
        <w:rPr>
          <w:rFonts w:ascii="Tahoma" w:hAnsi="Tahoma" w:cs="Tahoma"/>
          <w:bCs/>
          <w:szCs w:val="21"/>
        </w:rPr>
        <w:t>.</w:t>
      </w:r>
      <w:r>
        <w:rPr>
          <w:rFonts w:hint="eastAsia" w:ascii="Tahoma" w:hAnsi="Tahoma" w:cs="Tahoma"/>
          <w:bCs/>
          <w:szCs w:val="21"/>
        </w:rPr>
        <w:t>9</w:t>
      </w:r>
      <w:r>
        <w:rPr>
          <w:rFonts w:ascii="Tahoma" w:hAnsi="Tahoma" w:cs="Tahoma"/>
          <w:bCs/>
          <w:szCs w:val="21"/>
        </w:rPr>
        <w:t>商务条款偏离表</w:t>
      </w:r>
    </w:p>
    <w:p>
      <w:pPr>
        <w:spacing w:line="360" w:lineRule="auto"/>
        <w:rPr>
          <w:rFonts w:ascii="Tahoma" w:hAnsi="Tahoma" w:cs="Tahoma"/>
          <w:bCs/>
          <w:szCs w:val="21"/>
        </w:rPr>
      </w:pPr>
      <w:r>
        <w:rPr>
          <w:rFonts w:ascii="Tahoma" w:hAnsi="Tahoma" w:cs="Tahoma"/>
          <w:bCs/>
          <w:szCs w:val="21"/>
        </w:rPr>
        <w:t>1.1</w:t>
      </w:r>
      <w:r>
        <w:rPr>
          <w:rFonts w:hint="eastAsia" w:ascii="Tahoma" w:hAnsi="Tahoma" w:cs="Tahoma"/>
          <w:bCs/>
          <w:szCs w:val="21"/>
        </w:rPr>
        <w:t>0</w:t>
      </w:r>
      <w:r>
        <w:rPr>
          <w:rFonts w:ascii="Tahoma" w:hAnsi="Tahoma" w:cs="Tahoma"/>
          <w:bCs/>
          <w:szCs w:val="21"/>
        </w:rPr>
        <w:t>技术规格偏离表</w:t>
      </w:r>
    </w:p>
    <w:p>
      <w:pPr>
        <w:spacing w:line="360" w:lineRule="auto"/>
        <w:rPr>
          <w:rFonts w:ascii="Tahoma" w:hAnsi="Tahoma" w:cs="Tahoma"/>
          <w:bCs/>
          <w:szCs w:val="21"/>
        </w:rPr>
      </w:pPr>
      <w:r>
        <w:rPr>
          <w:rFonts w:ascii="Tahoma" w:hAnsi="Tahoma" w:cs="Tahoma"/>
          <w:bCs/>
          <w:szCs w:val="21"/>
        </w:rPr>
        <w:t>1.1</w:t>
      </w:r>
      <w:r>
        <w:rPr>
          <w:rFonts w:hint="eastAsia" w:ascii="Tahoma" w:hAnsi="Tahoma" w:cs="Tahoma"/>
          <w:bCs/>
          <w:szCs w:val="21"/>
        </w:rPr>
        <w:t>1</w:t>
      </w:r>
      <w:r>
        <w:rPr>
          <w:rFonts w:ascii="Tahoma" w:hAnsi="Tahoma" w:cs="Tahoma"/>
          <w:bCs/>
          <w:szCs w:val="21"/>
        </w:rPr>
        <w:t>投标保证金</w:t>
      </w:r>
    </w:p>
    <w:p>
      <w:pPr>
        <w:spacing w:line="360" w:lineRule="auto"/>
        <w:rPr>
          <w:rFonts w:ascii="Tahoma" w:hAnsi="Tahoma" w:cs="Tahoma"/>
          <w:bCs/>
          <w:szCs w:val="21"/>
        </w:rPr>
      </w:pPr>
      <w:r>
        <w:rPr>
          <w:rFonts w:ascii="Tahoma" w:hAnsi="Tahoma" w:cs="Tahoma"/>
          <w:bCs/>
          <w:szCs w:val="21"/>
        </w:rPr>
        <w:t>1.1</w:t>
      </w:r>
      <w:r>
        <w:rPr>
          <w:rFonts w:hint="eastAsia" w:ascii="Tahoma" w:hAnsi="Tahoma" w:cs="Tahoma"/>
          <w:bCs/>
          <w:szCs w:val="21"/>
        </w:rPr>
        <w:t>2</w:t>
      </w:r>
      <w:r>
        <w:rPr>
          <w:rFonts w:ascii="Tahoma" w:hAnsi="Tahoma" w:cs="Tahoma"/>
          <w:bCs/>
          <w:szCs w:val="21"/>
        </w:rPr>
        <w:t>其他补充材料</w:t>
      </w:r>
    </w:p>
    <w:p>
      <w:pPr>
        <w:spacing w:line="360" w:lineRule="auto"/>
        <w:rPr>
          <w:rFonts w:ascii="Tahoma" w:hAnsi="Tahoma" w:cs="Tahoma"/>
          <w:b/>
          <w:szCs w:val="21"/>
        </w:rPr>
      </w:pPr>
      <w:r>
        <w:rPr>
          <w:rFonts w:ascii="Tahoma" w:hAnsi="Tahoma" w:cs="Tahoma"/>
          <w:b/>
          <w:szCs w:val="21"/>
        </w:rPr>
        <w:t>（二）、</w:t>
      </w:r>
      <w:r>
        <w:rPr>
          <w:rFonts w:hint="eastAsia" w:ascii="Tahoma" w:hAnsi="Tahoma" w:cs="Tahoma"/>
          <w:b/>
          <w:szCs w:val="21"/>
        </w:rPr>
        <w:t>商务技术</w:t>
      </w:r>
      <w:r>
        <w:rPr>
          <w:rFonts w:ascii="Tahoma" w:hAnsi="Tahoma" w:cs="Tahoma"/>
          <w:b/>
          <w:szCs w:val="21"/>
        </w:rPr>
        <w:t>文件</w:t>
      </w:r>
    </w:p>
    <w:p>
      <w:pPr>
        <w:spacing w:line="360" w:lineRule="auto"/>
        <w:rPr>
          <w:rFonts w:ascii="Tahoma" w:hAnsi="Tahoma" w:cs="Tahoma"/>
          <w:szCs w:val="21"/>
        </w:rPr>
      </w:pPr>
      <w:r>
        <w:rPr>
          <w:rFonts w:ascii="Tahoma" w:hAnsi="Tahoma" w:cs="Tahoma"/>
          <w:szCs w:val="21"/>
        </w:rPr>
        <w:t>2.1</w:t>
      </w:r>
      <w:r>
        <w:rPr>
          <w:rFonts w:hint="eastAsia" w:ascii="Tahoma" w:hAnsi="Tahoma" w:cs="Tahoma"/>
          <w:szCs w:val="21"/>
        </w:rPr>
        <w:t>供应商</w:t>
      </w:r>
      <w:r>
        <w:rPr>
          <w:rFonts w:ascii="Tahoma" w:hAnsi="Tahoma" w:cs="Tahoma"/>
          <w:szCs w:val="21"/>
        </w:rPr>
        <w:t>综合概况</w:t>
      </w:r>
    </w:p>
    <w:p>
      <w:pPr>
        <w:spacing w:line="360" w:lineRule="auto"/>
      </w:pPr>
      <w:r>
        <w:rPr>
          <w:rFonts w:hint="eastAsia" w:ascii="Tahoma" w:hAnsi="Tahoma" w:cs="Tahoma"/>
          <w:szCs w:val="21"/>
        </w:rPr>
        <w:t>2.2企业综合实力</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3</w:t>
      </w:r>
      <w:r>
        <w:rPr>
          <w:rFonts w:ascii="Tahoma" w:hAnsi="Tahoma" w:cs="Tahoma"/>
          <w:szCs w:val="21"/>
        </w:rPr>
        <w:t>同类项目工作经验</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4</w:t>
      </w:r>
      <w:r>
        <w:rPr>
          <w:rFonts w:ascii="Tahoma" w:hAnsi="Tahoma" w:cs="Tahoma"/>
          <w:szCs w:val="21"/>
        </w:rPr>
        <w:t>配送车辆</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5</w:t>
      </w:r>
      <w:r>
        <w:rPr>
          <w:rFonts w:ascii="Tahoma" w:hAnsi="Tahoma" w:cs="Tahoma"/>
          <w:szCs w:val="21"/>
        </w:rPr>
        <w:t>配送人员</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6</w:t>
      </w:r>
      <w:r>
        <w:rPr>
          <w:rFonts w:ascii="Tahoma" w:hAnsi="Tahoma" w:cs="Tahoma"/>
          <w:szCs w:val="21"/>
        </w:rPr>
        <w:t>仓储能力</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7</w:t>
      </w:r>
      <w:r>
        <w:rPr>
          <w:rFonts w:ascii="Tahoma" w:hAnsi="Tahoma" w:cs="Tahoma"/>
          <w:szCs w:val="21"/>
        </w:rPr>
        <w:t>货物配送方案</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8</w:t>
      </w:r>
      <w:r>
        <w:rPr>
          <w:rFonts w:ascii="Tahoma" w:hAnsi="Tahoma" w:cs="Tahoma"/>
          <w:szCs w:val="21"/>
        </w:rPr>
        <w:t>安全质量</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9</w:t>
      </w:r>
      <w:r>
        <w:rPr>
          <w:rFonts w:ascii="Tahoma" w:hAnsi="Tahoma" w:cs="Tahoma"/>
          <w:szCs w:val="21"/>
        </w:rPr>
        <w:t>服务管控</w:t>
      </w:r>
    </w:p>
    <w:p>
      <w:pPr>
        <w:spacing w:line="360" w:lineRule="auto"/>
        <w:rPr>
          <w:rFonts w:ascii="Tahoma" w:hAnsi="Tahoma" w:cs="Tahoma"/>
          <w:szCs w:val="21"/>
        </w:rPr>
      </w:pPr>
      <w:r>
        <w:rPr>
          <w:rFonts w:ascii="Tahoma" w:hAnsi="Tahoma" w:cs="Tahoma"/>
          <w:szCs w:val="21"/>
        </w:rPr>
        <w:t>2.</w:t>
      </w:r>
      <w:r>
        <w:rPr>
          <w:rFonts w:hint="eastAsia" w:ascii="Tahoma" w:hAnsi="Tahoma" w:cs="Tahoma"/>
          <w:szCs w:val="21"/>
        </w:rPr>
        <w:t>10</w:t>
      </w:r>
      <w:r>
        <w:rPr>
          <w:rFonts w:ascii="Tahoma" w:hAnsi="Tahoma" w:cs="Tahoma"/>
          <w:szCs w:val="21"/>
        </w:rPr>
        <w:t>特殊情况应急方案</w:t>
      </w:r>
    </w:p>
    <w:p>
      <w:pPr>
        <w:spacing w:line="360" w:lineRule="auto"/>
        <w:rPr>
          <w:rFonts w:ascii="Tahoma" w:hAnsi="Tahoma" w:cs="Tahoma"/>
          <w:szCs w:val="21"/>
        </w:rPr>
      </w:pPr>
      <w:r>
        <w:rPr>
          <w:rFonts w:ascii="Tahoma" w:hAnsi="Tahoma" w:cs="Tahoma"/>
          <w:szCs w:val="21"/>
        </w:rPr>
        <w:t>2.1</w:t>
      </w:r>
      <w:r>
        <w:rPr>
          <w:rFonts w:hint="eastAsia" w:ascii="Tahoma" w:hAnsi="Tahoma" w:cs="Tahoma"/>
          <w:szCs w:val="21"/>
        </w:rPr>
        <w:t>1</w:t>
      </w:r>
      <w:r>
        <w:rPr>
          <w:rFonts w:ascii="Tahoma" w:hAnsi="Tahoma" w:cs="Tahoma"/>
          <w:szCs w:val="21"/>
        </w:rPr>
        <w:t>售后服务</w:t>
      </w:r>
    </w:p>
    <w:p>
      <w:pPr>
        <w:spacing w:line="360" w:lineRule="auto"/>
        <w:rPr>
          <w:rFonts w:ascii="Tahoma" w:hAnsi="Tahoma" w:cs="Tahoma"/>
          <w:szCs w:val="21"/>
        </w:rPr>
      </w:pPr>
      <w:r>
        <w:rPr>
          <w:rFonts w:ascii="Tahoma" w:hAnsi="Tahoma" w:cs="Tahoma"/>
          <w:szCs w:val="21"/>
        </w:rPr>
        <w:t>2.1</w:t>
      </w:r>
      <w:r>
        <w:rPr>
          <w:rFonts w:hint="eastAsia" w:ascii="Tahoma" w:hAnsi="Tahoma" w:cs="Tahoma"/>
          <w:szCs w:val="21"/>
        </w:rPr>
        <w:t>2</w:t>
      </w:r>
      <w:r>
        <w:rPr>
          <w:rFonts w:ascii="Tahoma" w:hAnsi="Tahoma" w:cs="Tahoma"/>
          <w:szCs w:val="21"/>
        </w:rPr>
        <w:t>服务承诺</w:t>
      </w:r>
    </w:p>
    <w:p>
      <w:pPr>
        <w:spacing w:line="360" w:lineRule="auto"/>
        <w:rPr>
          <w:rFonts w:ascii="Tahoma" w:hAnsi="Tahoma" w:cs="Tahoma"/>
          <w:szCs w:val="21"/>
        </w:rPr>
      </w:pPr>
      <w:r>
        <w:rPr>
          <w:rFonts w:ascii="Tahoma" w:hAnsi="Tahoma" w:cs="Tahoma"/>
          <w:szCs w:val="21"/>
        </w:rPr>
        <w:t>2.1</w:t>
      </w:r>
      <w:r>
        <w:rPr>
          <w:rFonts w:hint="eastAsia" w:ascii="Tahoma" w:hAnsi="Tahoma" w:cs="Tahoma"/>
          <w:szCs w:val="21"/>
        </w:rPr>
        <w:t>3</w:t>
      </w:r>
      <w:r>
        <w:rPr>
          <w:rFonts w:ascii="Tahoma" w:hAnsi="Tahoma" w:cs="Tahoma"/>
          <w:szCs w:val="21"/>
        </w:rPr>
        <w:t>其他补充材料</w:t>
      </w:r>
    </w:p>
    <w:p>
      <w:pPr>
        <w:spacing w:line="360" w:lineRule="auto"/>
        <w:rPr>
          <w:rFonts w:ascii="Tahoma" w:hAnsi="Tahoma" w:cs="Tahoma"/>
          <w:szCs w:val="21"/>
        </w:rPr>
      </w:pPr>
      <w:r>
        <w:rPr>
          <w:rFonts w:ascii="Tahoma" w:hAnsi="Tahoma" w:cs="Tahoma"/>
          <w:b/>
          <w:bCs/>
          <w:szCs w:val="21"/>
        </w:rPr>
        <w:t>3.2. 投标报价</w:t>
      </w:r>
    </w:p>
    <w:p>
      <w:pPr>
        <w:shd w:val="clear" w:color="auto" w:fill="FFFFFF"/>
        <w:snapToGrid w:val="0"/>
        <w:spacing w:line="360" w:lineRule="auto"/>
        <w:rPr>
          <w:rFonts w:ascii="Tahoma" w:hAnsi="Tahoma" w:cs="Tahoma"/>
          <w:szCs w:val="21"/>
        </w:rPr>
      </w:pPr>
      <w:r>
        <w:rPr>
          <w:rFonts w:ascii="Tahoma" w:hAnsi="Tahoma" w:cs="Tahoma"/>
          <w:szCs w:val="21"/>
        </w:rPr>
        <w:t xml:space="preserve">3.2.1 </w:t>
      </w:r>
      <w:r>
        <w:rPr>
          <w:rFonts w:hint="eastAsia" w:ascii="Tahoma" w:hAnsi="Tahoma" w:cs="Tahoma"/>
          <w:szCs w:val="21"/>
        </w:rPr>
        <w:t>供应商</w:t>
      </w:r>
      <w:r>
        <w:rPr>
          <w:rFonts w:ascii="Tahoma" w:hAnsi="Tahoma" w:cs="Tahoma"/>
          <w:szCs w:val="21"/>
        </w:rPr>
        <w:t>应按招标文件的要求填写相应投标报价表格。</w:t>
      </w:r>
    </w:p>
    <w:p>
      <w:pPr>
        <w:spacing w:line="360" w:lineRule="auto"/>
        <w:rPr>
          <w:rFonts w:ascii="Tahoma" w:hAnsi="Tahoma" w:cs="Tahoma"/>
          <w:szCs w:val="21"/>
        </w:rPr>
      </w:pPr>
      <w:r>
        <w:rPr>
          <w:rFonts w:ascii="Tahoma" w:hAnsi="Tahoma" w:cs="Tahoma"/>
          <w:szCs w:val="21"/>
        </w:rPr>
        <w:t>3.2.2 除非有另外的规定，</w:t>
      </w:r>
      <w:r>
        <w:rPr>
          <w:rFonts w:hint="eastAsia" w:ascii="Tahoma" w:hAnsi="Tahoma" w:cs="Tahoma"/>
          <w:szCs w:val="21"/>
        </w:rPr>
        <w:t>供应商</w:t>
      </w:r>
      <w:r>
        <w:rPr>
          <w:rFonts w:ascii="Tahoma" w:hAnsi="Tahoma" w:cs="Tahoma"/>
          <w:szCs w:val="21"/>
        </w:rPr>
        <w:t>可对招标项目一览表所列的全部合同包或部分合同包进行投标。招标代理机构不接受有任何可选择性的报价，每一种货物只能有一个报价。</w:t>
      </w:r>
      <w:r>
        <w:rPr>
          <w:rFonts w:ascii="Tahoma" w:hAnsi="Tahoma" w:cs="Tahoma"/>
          <w:b/>
          <w:szCs w:val="21"/>
        </w:rPr>
        <w:t>否则其投标将被拒绝！</w:t>
      </w:r>
    </w:p>
    <w:p>
      <w:pPr>
        <w:spacing w:line="360" w:lineRule="auto"/>
        <w:rPr>
          <w:rFonts w:ascii="Tahoma" w:hAnsi="Tahoma" w:cs="Tahoma"/>
          <w:szCs w:val="21"/>
        </w:rPr>
      </w:pPr>
      <w:r>
        <w:rPr>
          <w:rFonts w:ascii="Tahoma" w:hAnsi="Tahoma" w:cs="Tahoma"/>
          <w:b/>
          <w:bCs/>
          <w:szCs w:val="21"/>
        </w:rPr>
        <w:t xml:space="preserve">3.3. </w:t>
      </w:r>
      <w:r>
        <w:rPr>
          <w:rFonts w:hint="eastAsia" w:ascii="Tahoma" w:hAnsi="Tahoma" w:cs="Tahoma"/>
          <w:b/>
          <w:bCs/>
          <w:szCs w:val="21"/>
        </w:rPr>
        <w:t>响应文件</w:t>
      </w:r>
      <w:r>
        <w:rPr>
          <w:rFonts w:ascii="Tahoma" w:hAnsi="Tahoma" w:cs="Tahoma"/>
          <w:b/>
          <w:bCs/>
          <w:szCs w:val="21"/>
        </w:rPr>
        <w:t>语言</w:t>
      </w:r>
    </w:p>
    <w:p>
      <w:pPr>
        <w:spacing w:line="360" w:lineRule="auto"/>
        <w:rPr>
          <w:rFonts w:ascii="Tahoma" w:hAnsi="Tahoma" w:cs="Tahoma"/>
          <w:szCs w:val="21"/>
        </w:rPr>
      </w:pPr>
      <w:r>
        <w:rPr>
          <w:rFonts w:ascii="Tahoma" w:hAnsi="Tahoma" w:cs="Tahoma"/>
          <w:szCs w:val="21"/>
        </w:rPr>
        <w:t>3.2.1</w:t>
      </w:r>
      <w:r>
        <w:rPr>
          <w:rFonts w:hint="eastAsia" w:ascii="Tahoma" w:hAnsi="Tahoma" w:cs="Tahoma"/>
          <w:szCs w:val="21"/>
        </w:rPr>
        <w:t>响应文件</w:t>
      </w:r>
      <w:r>
        <w:rPr>
          <w:rFonts w:ascii="Tahoma" w:hAnsi="Tahoma" w:cs="Tahoma"/>
          <w:szCs w:val="21"/>
        </w:rPr>
        <w:t>应用中文书写。</w:t>
      </w:r>
      <w:r>
        <w:rPr>
          <w:rFonts w:hint="eastAsia" w:ascii="Tahoma" w:hAnsi="Tahoma" w:cs="Tahoma"/>
          <w:szCs w:val="21"/>
        </w:rPr>
        <w:t>响应文件</w:t>
      </w:r>
      <w:r>
        <w:rPr>
          <w:rFonts w:ascii="Tahoma" w:hAnsi="Tahoma" w:cs="Tahoma"/>
          <w:szCs w:val="21"/>
        </w:rPr>
        <w:t>中所附或所引用的原件不是中文时，应附中文译本。各种计量单位及符号应采用国际上统一使用的公制计量单位和符号。</w:t>
      </w:r>
      <w:r>
        <w:rPr>
          <w:rFonts w:hint="eastAsia" w:ascii="Tahoma" w:hAnsi="Tahoma" w:cs="Tahoma"/>
          <w:szCs w:val="21"/>
        </w:rPr>
        <w:tab/>
      </w:r>
    </w:p>
    <w:p>
      <w:pPr>
        <w:spacing w:line="360" w:lineRule="auto"/>
        <w:rPr>
          <w:rFonts w:ascii="Tahoma" w:hAnsi="Tahoma" w:cs="Tahoma"/>
          <w:b/>
          <w:szCs w:val="21"/>
        </w:rPr>
      </w:pPr>
      <w:r>
        <w:rPr>
          <w:rFonts w:ascii="Tahoma" w:hAnsi="Tahoma" w:cs="Tahoma"/>
          <w:b/>
          <w:szCs w:val="21"/>
        </w:rPr>
        <w:t xml:space="preserve">3.4. </w:t>
      </w:r>
      <w:r>
        <w:rPr>
          <w:rFonts w:hint="eastAsia" w:ascii="Tahoma" w:hAnsi="Tahoma" w:cs="Tahoma"/>
          <w:b/>
          <w:szCs w:val="21"/>
        </w:rPr>
        <w:t>响应文件</w:t>
      </w:r>
      <w:r>
        <w:rPr>
          <w:rFonts w:ascii="Tahoma" w:hAnsi="Tahoma" w:cs="Tahoma"/>
          <w:b/>
          <w:szCs w:val="21"/>
        </w:rPr>
        <w:t>的编制</w:t>
      </w:r>
    </w:p>
    <w:p>
      <w:pPr>
        <w:spacing w:line="360" w:lineRule="auto"/>
        <w:rPr>
          <w:rFonts w:ascii="Tahoma" w:hAnsi="Tahoma" w:cs="Tahoma"/>
          <w:szCs w:val="21"/>
          <w:highlight w:val="none"/>
        </w:rPr>
      </w:pPr>
      <w:r>
        <w:rPr>
          <w:rFonts w:ascii="Tahoma" w:hAnsi="Tahoma" w:cs="Tahoma"/>
          <w:szCs w:val="21"/>
          <w:highlight w:val="none"/>
        </w:rPr>
        <w:t>3.4.1</w:t>
      </w:r>
      <w:r>
        <w:rPr>
          <w:rFonts w:hint="eastAsia" w:ascii="Tahoma" w:hAnsi="Tahoma" w:cs="Tahoma"/>
          <w:szCs w:val="21"/>
          <w:highlight w:val="none"/>
        </w:rPr>
        <w:t>响应文件</w:t>
      </w:r>
      <w:r>
        <w:rPr>
          <w:rFonts w:ascii="Tahoma" w:hAnsi="Tahoma" w:cs="Tahoma"/>
          <w:szCs w:val="21"/>
          <w:highlight w:val="none"/>
        </w:rPr>
        <w:t>应按招标文件</w:t>
      </w:r>
      <w:r>
        <w:rPr>
          <w:rFonts w:hint="eastAsia"/>
          <w:szCs w:val="21"/>
          <w:highlight w:val="none"/>
        </w:rPr>
        <w:t>“响应文件格式”</w:t>
      </w:r>
      <w:r>
        <w:rPr>
          <w:rFonts w:ascii="Tahoma" w:hAnsi="Tahoma" w:cs="Tahoma"/>
          <w:szCs w:val="21"/>
          <w:highlight w:val="none"/>
        </w:rPr>
        <w:t>进行编写，如有必要，可以增加附页，作为</w:t>
      </w:r>
      <w:r>
        <w:rPr>
          <w:rFonts w:hint="eastAsia" w:ascii="Tahoma" w:hAnsi="Tahoma" w:cs="Tahoma"/>
          <w:szCs w:val="21"/>
          <w:highlight w:val="none"/>
        </w:rPr>
        <w:t>响应文件</w:t>
      </w:r>
      <w:r>
        <w:rPr>
          <w:rFonts w:ascii="Tahoma" w:hAnsi="Tahoma" w:cs="Tahoma"/>
          <w:szCs w:val="21"/>
          <w:highlight w:val="none"/>
        </w:rPr>
        <w:t>的组成部分。其中，投标函附录在满足招标文件实质性要求的基础上，可以提出比招标文件要求更有利于</w:t>
      </w:r>
      <w:r>
        <w:rPr>
          <w:rFonts w:hint="eastAsia" w:ascii="Tahoma" w:hAnsi="Tahoma" w:cs="Tahoma"/>
          <w:szCs w:val="21"/>
          <w:highlight w:val="none"/>
        </w:rPr>
        <w:t>采购人</w:t>
      </w:r>
      <w:r>
        <w:rPr>
          <w:rFonts w:ascii="Tahoma" w:hAnsi="Tahoma" w:cs="Tahoma"/>
          <w:szCs w:val="21"/>
          <w:highlight w:val="none"/>
        </w:rPr>
        <w:t>的承诺。</w:t>
      </w:r>
    </w:p>
    <w:p>
      <w:pPr>
        <w:spacing w:line="360" w:lineRule="auto"/>
        <w:rPr>
          <w:rFonts w:ascii="Tahoma" w:hAnsi="Tahoma" w:cs="Tahoma"/>
          <w:szCs w:val="21"/>
          <w:highlight w:val="none"/>
        </w:rPr>
      </w:pPr>
      <w:r>
        <w:rPr>
          <w:rFonts w:ascii="Tahoma" w:hAnsi="Tahoma" w:cs="Tahoma"/>
          <w:szCs w:val="21"/>
          <w:highlight w:val="none"/>
        </w:rPr>
        <w:t xml:space="preserve">3.4.2 </w:t>
      </w:r>
      <w:r>
        <w:rPr>
          <w:rFonts w:hint="eastAsia" w:ascii="Tahoma" w:hAnsi="Tahoma" w:cs="Tahoma"/>
          <w:szCs w:val="21"/>
          <w:highlight w:val="none"/>
        </w:rPr>
        <w:t>响应文件</w:t>
      </w:r>
      <w:r>
        <w:rPr>
          <w:rFonts w:ascii="Tahoma" w:hAnsi="Tahoma" w:cs="Tahoma"/>
          <w:szCs w:val="21"/>
          <w:highlight w:val="none"/>
        </w:rPr>
        <w:t>应当对招标文件有关供货计划、投标有效期、质量要求、技术标准和要求、招标范围等实质性内容做出响应。</w:t>
      </w:r>
    </w:p>
    <w:p>
      <w:pPr>
        <w:spacing w:line="360" w:lineRule="auto"/>
        <w:rPr>
          <w:rFonts w:ascii="Tahoma" w:hAnsi="Tahoma" w:cs="Tahoma"/>
          <w:szCs w:val="21"/>
          <w:highlight w:val="none"/>
        </w:rPr>
      </w:pPr>
      <w:r>
        <w:rPr>
          <w:rFonts w:ascii="Tahoma" w:hAnsi="Tahoma" w:cs="Tahoma"/>
          <w:szCs w:val="21"/>
          <w:highlight w:val="none"/>
        </w:rPr>
        <w:t>3.4.3</w:t>
      </w:r>
      <w:r>
        <w:rPr>
          <w:rFonts w:hint="eastAsia" w:ascii="Tahoma" w:hAnsi="Tahoma" w:cs="Tahoma"/>
          <w:szCs w:val="21"/>
          <w:highlight w:val="none"/>
        </w:rPr>
        <w:t>供应商</w:t>
      </w:r>
      <w:r>
        <w:rPr>
          <w:rFonts w:ascii="Tahoma" w:hAnsi="Tahoma" w:cs="Tahoma"/>
          <w:szCs w:val="21"/>
          <w:highlight w:val="none"/>
        </w:rPr>
        <w:t>须编制由本须知第3.1条规定</w:t>
      </w:r>
      <w:r>
        <w:rPr>
          <w:rFonts w:hint="eastAsia" w:ascii="Tahoma" w:hAnsi="Tahoma" w:cs="Tahoma"/>
          <w:szCs w:val="21"/>
          <w:highlight w:val="none"/>
        </w:rPr>
        <w:t>响应文件</w:t>
      </w:r>
      <w:r>
        <w:rPr>
          <w:rFonts w:ascii="Tahoma" w:hAnsi="Tahoma" w:cs="Tahoma"/>
          <w:szCs w:val="21"/>
          <w:highlight w:val="none"/>
        </w:rPr>
        <w:t>组成内容的</w:t>
      </w:r>
      <w:r>
        <w:rPr>
          <w:rFonts w:hint="eastAsia" w:ascii="Tahoma" w:hAnsi="Tahoma" w:cs="Tahoma"/>
          <w:szCs w:val="21"/>
          <w:highlight w:val="none"/>
        </w:rPr>
        <w:t>响应文件</w:t>
      </w:r>
      <w:r>
        <w:rPr>
          <w:rFonts w:ascii="Tahoma" w:hAnsi="Tahoma" w:cs="Tahoma"/>
          <w:szCs w:val="21"/>
          <w:highlight w:val="none"/>
        </w:rPr>
        <w:t>一套：包括正本一份、副本</w:t>
      </w:r>
      <w:r>
        <w:rPr>
          <w:rFonts w:hint="eastAsia" w:ascii="Tahoma" w:hAnsi="Tahoma" w:cs="Tahoma"/>
          <w:szCs w:val="21"/>
          <w:highlight w:val="none"/>
        </w:rPr>
        <w:t>肆</w:t>
      </w:r>
      <w:r>
        <w:rPr>
          <w:rFonts w:ascii="Tahoma" w:hAnsi="Tahoma" w:cs="Tahoma"/>
          <w:szCs w:val="21"/>
          <w:highlight w:val="none"/>
        </w:rPr>
        <w:t>份</w:t>
      </w:r>
      <w:r>
        <w:rPr>
          <w:rFonts w:hint="eastAsia" w:ascii="Tahoma" w:hAnsi="Tahoma" w:cs="Tahoma"/>
          <w:szCs w:val="21"/>
          <w:highlight w:val="none"/>
        </w:rPr>
        <w:t>、报价一览表一份、电子版一份（U盘一份</w:t>
      </w:r>
      <w:r>
        <w:rPr>
          <w:rFonts w:hint="eastAsia" w:ascii="Times New Roman" w:cs="Times New Roman"/>
          <w:b/>
          <w:bCs/>
          <w:szCs w:val="21"/>
          <w:highlight w:val="none"/>
        </w:rPr>
        <w:t>PDF版，否则视为不响应招标文件视为投标无效，</w:t>
      </w:r>
      <w:r>
        <w:rPr>
          <w:rFonts w:hint="eastAsia" w:ascii="Tahoma" w:hAnsi="Tahoma" w:cs="Tahoma"/>
          <w:szCs w:val="21"/>
          <w:highlight w:val="none"/>
        </w:rPr>
        <w:t>）响应文件</w:t>
      </w:r>
      <w:r>
        <w:rPr>
          <w:rFonts w:ascii="Tahoma" w:hAnsi="Tahoma" w:cs="Tahoma"/>
          <w:szCs w:val="21"/>
          <w:highlight w:val="none"/>
        </w:rPr>
        <w:t>的正本应使用不能擦去的墨料或墨水打印、书写，必须采用A4幅面纸张（图页除外）进行装</w:t>
      </w:r>
      <w:r>
        <w:rPr>
          <w:rFonts w:hint="eastAsia" w:ascii="Tahoma" w:hAnsi="Tahoma" w:cs="Tahoma"/>
          <w:szCs w:val="21"/>
          <w:highlight w:val="none"/>
          <w:lang w:val="en-US" w:eastAsia="zh-CN"/>
        </w:rPr>
        <w:t>订</w:t>
      </w:r>
      <w:r>
        <w:rPr>
          <w:rFonts w:ascii="Tahoma" w:hAnsi="Tahoma" w:cs="Tahoma"/>
          <w:szCs w:val="21"/>
          <w:highlight w:val="none"/>
        </w:rPr>
        <w:t>。并在封面右上角标明</w:t>
      </w:r>
      <w:r>
        <w:rPr>
          <w:rFonts w:hint="eastAsia"/>
          <w:szCs w:val="21"/>
          <w:highlight w:val="none"/>
        </w:rPr>
        <w:t>“正本”、“副本”</w:t>
      </w:r>
      <w:r>
        <w:rPr>
          <w:rFonts w:ascii="Tahoma" w:hAnsi="Tahoma" w:cs="Tahoma"/>
          <w:szCs w:val="21"/>
          <w:highlight w:val="none"/>
        </w:rPr>
        <w:t>字样，副本与正本如有不一致的，则以正本为准。</w:t>
      </w:r>
    </w:p>
    <w:p>
      <w:pPr>
        <w:spacing w:line="360" w:lineRule="auto"/>
        <w:rPr>
          <w:rFonts w:ascii="Tahoma" w:hAnsi="Tahoma" w:cs="Tahoma"/>
          <w:b/>
          <w:szCs w:val="21"/>
          <w:highlight w:val="none"/>
        </w:rPr>
      </w:pPr>
      <w:r>
        <w:rPr>
          <w:rFonts w:ascii="Tahoma" w:hAnsi="Tahoma" w:cs="Tahoma"/>
          <w:szCs w:val="21"/>
          <w:highlight w:val="none"/>
        </w:rPr>
        <w:t>3.4.4</w:t>
      </w:r>
      <w:r>
        <w:rPr>
          <w:rFonts w:hint="eastAsia" w:ascii="Tahoma" w:hAnsi="Tahoma" w:cs="Tahoma"/>
          <w:b/>
          <w:szCs w:val="21"/>
          <w:highlight w:val="none"/>
        </w:rPr>
        <w:t>响应文件</w:t>
      </w:r>
      <w:r>
        <w:rPr>
          <w:rFonts w:ascii="Tahoma" w:hAnsi="Tahoma" w:cs="Tahoma"/>
          <w:b/>
          <w:szCs w:val="21"/>
          <w:highlight w:val="none"/>
        </w:rPr>
        <w:t>的“正本”应由</w:t>
      </w:r>
      <w:r>
        <w:rPr>
          <w:rFonts w:hint="eastAsia" w:ascii="Tahoma" w:hAnsi="Tahoma" w:cs="Tahoma"/>
          <w:b/>
          <w:szCs w:val="21"/>
          <w:highlight w:val="none"/>
        </w:rPr>
        <w:t>供应商</w:t>
      </w:r>
      <w:r>
        <w:rPr>
          <w:rFonts w:ascii="Tahoma" w:hAnsi="Tahoma" w:cs="Tahoma"/>
          <w:b/>
          <w:szCs w:val="21"/>
          <w:highlight w:val="none"/>
        </w:rPr>
        <w:t>的法定代表人或者其授权代表</w:t>
      </w:r>
      <w:r>
        <w:rPr>
          <w:rFonts w:hint="eastAsia" w:ascii="Tahoma" w:hAnsi="Tahoma" w:cs="Tahoma"/>
          <w:b/>
          <w:szCs w:val="21"/>
          <w:highlight w:val="none"/>
        </w:rPr>
        <w:t>在凡规定签字或盖章处逐一签署并加盖单位公章</w:t>
      </w:r>
      <w:r>
        <w:rPr>
          <w:rFonts w:ascii="Tahoma" w:hAnsi="Tahoma" w:cs="Tahoma"/>
          <w:b/>
          <w:szCs w:val="21"/>
          <w:highlight w:val="none"/>
        </w:rPr>
        <w:t>，</w:t>
      </w:r>
      <w:r>
        <w:rPr>
          <w:rFonts w:hint="eastAsia" w:ascii="Tahoma" w:hAnsi="Tahoma" w:cs="Tahoma"/>
          <w:b/>
          <w:szCs w:val="21"/>
          <w:highlight w:val="none"/>
        </w:rPr>
        <w:t>响应文件</w:t>
      </w:r>
      <w:r>
        <w:rPr>
          <w:rFonts w:ascii="Tahoma" w:hAnsi="Tahoma" w:cs="Tahoma"/>
          <w:b/>
          <w:szCs w:val="21"/>
          <w:highlight w:val="none"/>
        </w:rPr>
        <w:t>应附法定代表人签署的授权委托书（应与开标时到场的授权委托人相一致）。否则，其投标无效！</w:t>
      </w:r>
    </w:p>
    <w:p>
      <w:pPr>
        <w:spacing w:line="360" w:lineRule="auto"/>
        <w:rPr>
          <w:rFonts w:ascii="Tahoma" w:hAnsi="Tahoma" w:cs="Tahoma"/>
          <w:szCs w:val="21"/>
          <w:highlight w:val="none"/>
        </w:rPr>
      </w:pPr>
      <w:r>
        <w:rPr>
          <w:rFonts w:ascii="Tahoma" w:hAnsi="Tahoma" w:cs="Tahoma"/>
          <w:szCs w:val="21"/>
          <w:highlight w:val="none"/>
        </w:rPr>
        <w:t>3.4.5</w:t>
      </w:r>
      <w:r>
        <w:rPr>
          <w:rFonts w:hint="eastAsia" w:ascii="Tahoma" w:hAnsi="Tahoma" w:cs="Tahoma"/>
          <w:szCs w:val="21"/>
          <w:highlight w:val="none"/>
        </w:rPr>
        <w:t>响应文件</w:t>
      </w:r>
      <w:r>
        <w:rPr>
          <w:rFonts w:ascii="Tahoma" w:hAnsi="Tahoma" w:cs="Tahoma"/>
          <w:szCs w:val="21"/>
          <w:highlight w:val="none"/>
        </w:rPr>
        <w:t>的全部副本应使用不能擦去的墨料或墨水打印、书写，也可以用正本的</w:t>
      </w:r>
      <w:r>
        <w:rPr>
          <w:rFonts w:ascii="Tahoma" w:hAnsi="Tahoma" w:cs="Tahoma"/>
          <w:b/>
          <w:bCs/>
          <w:szCs w:val="21"/>
          <w:highlight w:val="none"/>
        </w:rPr>
        <w:t>全套完整复印件</w:t>
      </w:r>
      <w:r>
        <w:rPr>
          <w:rFonts w:ascii="Tahoma" w:hAnsi="Tahoma" w:cs="Tahoma"/>
          <w:szCs w:val="21"/>
          <w:highlight w:val="none"/>
        </w:rPr>
        <w:t>（A4幅面，图页除外）</w:t>
      </w:r>
      <w:r>
        <w:rPr>
          <w:rFonts w:ascii="Tahoma" w:hAnsi="Tahoma" w:cs="Tahoma"/>
          <w:color w:val="auto"/>
          <w:szCs w:val="21"/>
          <w:highlight w:val="none"/>
        </w:rPr>
        <w:t>并装</w:t>
      </w:r>
      <w:r>
        <w:rPr>
          <w:rFonts w:hint="eastAsia" w:ascii="Tahoma" w:hAnsi="Tahoma" w:cs="Tahoma"/>
          <w:color w:val="auto"/>
          <w:szCs w:val="21"/>
          <w:highlight w:val="none"/>
          <w:lang w:val="en-US" w:eastAsia="zh-CN"/>
        </w:rPr>
        <w:t>订</w:t>
      </w:r>
      <w:r>
        <w:rPr>
          <w:rFonts w:hint="eastAsia" w:ascii="Tahoma" w:hAnsi="Tahoma" w:cs="Tahoma"/>
          <w:szCs w:val="21"/>
          <w:highlight w:val="none"/>
        </w:rPr>
        <w:t>。</w:t>
      </w:r>
    </w:p>
    <w:p>
      <w:pPr>
        <w:spacing w:line="360" w:lineRule="auto"/>
        <w:rPr>
          <w:rFonts w:ascii="Tahoma" w:hAnsi="Tahoma" w:cs="Tahoma"/>
          <w:szCs w:val="21"/>
        </w:rPr>
      </w:pPr>
      <w:r>
        <w:rPr>
          <w:rFonts w:ascii="Tahoma" w:hAnsi="Tahoma" w:cs="Tahoma"/>
          <w:szCs w:val="21"/>
        </w:rPr>
        <w:t>3.4.6全套</w:t>
      </w:r>
      <w:r>
        <w:rPr>
          <w:rFonts w:hint="eastAsia" w:ascii="Tahoma" w:hAnsi="Tahoma" w:cs="Tahoma"/>
          <w:szCs w:val="21"/>
        </w:rPr>
        <w:t>响应文件</w:t>
      </w:r>
      <w:r>
        <w:rPr>
          <w:rFonts w:ascii="Tahoma" w:hAnsi="Tahoma" w:cs="Tahoma"/>
          <w:szCs w:val="21"/>
        </w:rPr>
        <w:t>应无涂改和行间插字，是为改正</w:t>
      </w:r>
      <w:r>
        <w:rPr>
          <w:rFonts w:hint="eastAsia" w:ascii="Tahoma" w:hAnsi="Tahoma" w:cs="Tahoma"/>
          <w:szCs w:val="21"/>
        </w:rPr>
        <w:t>供应商</w:t>
      </w:r>
      <w:r>
        <w:rPr>
          <w:rFonts w:ascii="Tahoma" w:hAnsi="Tahoma" w:cs="Tahoma"/>
          <w:szCs w:val="21"/>
        </w:rPr>
        <w:t>造成的必须修改的错误而进行的。有改动时，修改处应由授权代表签署证明或加盖</w:t>
      </w:r>
      <w:r>
        <w:rPr>
          <w:rFonts w:hint="eastAsia" w:ascii="Tahoma" w:hAnsi="Tahoma" w:cs="Tahoma"/>
          <w:szCs w:val="21"/>
        </w:rPr>
        <w:t>供应商</w:t>
      </w:r>
      <w:r>
        <w:rPr>
          <w:rFonts w:ascii="Tahoma" w:hAnsi="Tahoma" w:cs="Tahoma"/>
          <w:szCs w:val="21"/>
        </w:rPr>
        <w:t xml:space="preserve">章。 </w:t>
      </w:r>
    </w:p>
    <w:p>
      <w:pPr>
        <w:spacing w:line="360" w:lineRule="auto"/>
        <w:rPr>
          <w:rFonts w:ascii="Tahoma" w:hAnsi="Tahoma" w:cs="Tahoma"/>
          <w:szCs w:val="21"/>
        </w:rPr>
      </w:pPr>
      <w:r>
        <w:rPr>
          <w:rFonts w:ascii="Tahoma" w:hAnsi="Tahoma" w:cs="Tahoma"/>
          <w:szCs w:val="21"/>
        </w:rPr>
        <w:t>3.4.7除非有另外的规定或许可，投标使用货币为：人民币。</w:t>
      </w:r>
    </w:p>
    <w:p>
      <w:pPr>
        <w:spacing w:line="360" w:lineRule="auto"/>
        <w:rPr>
          <w:rFonts w:ascii="Tahoma" w:hAnsi="Tahoma" w:cs="Tahoma"/>
          <w:szCs w:val="21"/>
        </w:rPr>
      </w:pPr>
      <w:r>
        <w:rPr>
          <w:rFonts w:ascii="Tahoma" w:hAnsi="Tahoma" w:cs="Tahoma"/>
          <w:szCs w:val="21"/>
        </w:rPr>
        <w:t>3.4.8</w:t>
      </w:r>
      <w:r>
        <w:rPr>
          <w:rFonts w:hint="eastAsia" w:ascii="Tahoma" w:hAnsi="Tahoma" w:cs="Tahoma"/>
          <w:szCs w:val="21"/>
        </w:rPr>
        <w:t>供应商</w:t>
      </w:r>
      <w:r>
        <w:rPr>
          <w:rFonts w:ascii="Tahoma" w:hAnsi="Tahoma" w:cs="Tahoma"/>
          <w:szCs w:val="21"/>
        </w:rPr>
        <w:t xml:space="preserve">应提交证明其拟供货物符合招标文件要求的技术文件，该文件可以是包括文字资料、图纸和数据等组成，并须提供货物主要技术性能的详细描述。 </w:t>
      </w:r>
    </w:p>
    <w:p>
      <w:pPr>
        <w:spacing w:line="360" w:lineRule="auto"/>
        <w:rPr>
          <w:rFonts w:ascii="Tahoma" w:hAnsi="Tahoma" w:cs="Tahoma"/>
          <w:szCs w:val="21"/>
        </w:rPr>
      </w:pPr>
      <w:r>
        <w:rPr>
          <w:rFonts w:ascii="Tahoma" w:hAnsi="Tahoma" w:cs="Tahoma"/>
          <w:szCs w:val="21"/>
        </w:rPr>
        <w:t>3.4.9</w:t>
      </w:r>
      <w:r>
        <w:rPr>
          <w:rFonts w:ascii="Tahoma" w:hAnsi="Tahoma" w:cs="Tahoma"/>
          <w:b/>
          <w:szCs w:val="21"/>
        </w:rPr>
        <w:t>未按招标文件规定的内容编写的</w:t>
      </w:r>
      <w:r>
        <w:rPr>
          <w:rFonts w:hint="eastAsia" w:ascii="Tahoma" w:hAnsi="Tahoma" w:cs="Tahoma"/>
          <w:b/>
          <w:szCs w:val="21"/>
        </w:rPr>
        <w:t>响应文件</w:t>
      </w:r>
      <w:r>
        <w:rPr>
          <w:rFonts w:ascii="Tahoma" w:hAnsi="Tahoma" w:cs="Tahoma"/>
          <w:b/>
          <w:szCs w:val="21"/>
        </w:rPr>
        <w:t>或</w:t>
      </w:r>
      <w:r>
        <w:rPr>
          <w:rFonts w:hint="eastAsia" w:ascii="Tahoma" w:hAnsi="Tahoma" w:cs="Tahoma"/>
          <w:b/>
          <w:szCs w:val="21"/>
        </w:rPr>
        <w:t>响应文件</w:t>
      </w:r>
      <w:r>
        <w:rPr>
          <w:rFonts w:ascii="Tahoma" w:hAnsi="Tahoma" w:cs="Tahoma"/>
          <w:b/>
          <w:szCs w:val="21"/>
        </w:rPr>
        <w:t>字迹模糊不清的，无法辨认其价格、关键参数或指标等的，其投标无效。</w:t>
      </w:r>
    </w:p>
    <w:p>
      <w:pPr>
        <w:spacing w:line="360" w:lineRule="auto"/>
        <w:rPr>
          <w:rFonts w:ascii="Tahoma" w:hAnsi="Tahoma" w:cs="Tahoma"/>
          <w:szCs w:val="21"/>
        </w:rPr>
      </w:pPr>
      <w:r>
        <w:rPr>
          <w:rFonts w:ascii="Tahoma" w:hAnsi="Tahoma" w:cs="Tahoma"/>
          <w:szCs w:val="21"/>
        </w:rPr>
        <w:t>3.4.10</w:t>
      </w:r>
      <w:r>
        <w:rPr>
          <w:rFonts w:hint="eastAsia" w:ascii="Tahoma" w:hAnsi="Tahoma" w:cs="Tahoma"/>
          <w:szCs w:val="21"/>
        </w:rPr>
        <w:t>供应商</w:t>
      </w:r>
      <w:r>
        <w:rPr>
          <w:rFonts w:ascii="Tahoma" w:hAnsi="Tahoma" w:cs="Tahoma"/>
          <w:szCs w:val="21"/>
        </w:rPr>
        <w:t>可对本次招标的所有货物进行投标，也可只对其中一个合同包或几个合同包的货物进行投标；除非招标文件另有规定，不得将一个合同包中的货物拆开投标。</w:t>
      </w:r>
    </w:p>
    <w:p>
      <w:pPr>
        <w:spacing w:line="360" w:lineRule="auto"/>
        <w:rPr>
          <w:rFonts w:ascii="Tahoma" w:hAnsi="Tahoma" w:cs="Tahoma"/>
          <w:b/>
          <w:bCs/>
          <w:szCs w:val="21"/>
        </w:rPr>
      </w:pPr>
      <w:r>
        <w:rPr>
          <w:rFonts w:ascii="Tahoma" w:hAnsi="Tahoma" w:cs="Tahoma"/>
          <w:b/>
          <w:bCs/>
          <w:szCs w:val="21"/>
        </w:rPr>
        <w:t>3.5. 投标有效期</w:t>
      </w:r>
    </w:p>
    <w:p>
      <w:pPr>
        <w:spacing w:line="360" w:lineRule="auto"/>
        <w:rPr>
          <w:rFonts w:ascii="Tahoma" w:hAnsi="Tahoma" w:cs="Tahoma"/>
          <w:szCs w:val="21"/>
        </w:rPr>
      </w:pPr>
      <w:r>
        <w:rPr>
          <w:rFonts w:ascii="Tahoma" w:hAnsi="Tahoma" w:cs="Tahoma"/>
          <w:szCs w:val="21"/>
        </w:rPr>
        <w:t>3.5.1</w:t>
      </w:r>
      <w:r>
        <w:rPr>
          <w:rFonts w:hint="eastAsia" w:ascii="Tahoma" w:hAnsi="Tahoma" w:cs="Tahoma"/>
          <w:szCs w:val="21"/>
        </w:rPr>
        <w:t>响应文件</w:t>
      </w:r>
      <w:r>
        <w:rPr>
          <w:rFonts w:ascii="Tahoma" w:hAnsi="Tahoma" w:cs="Tahoma"/>
          <w:szCs w:val="21"/>
        </w:rPr>
        <w:t>从</w:t>
      </w:r>
      <w:r>
        <w:rPr>
          <w:rFonts w:hint="eastAsia" w:ascii="Tahoma" w:hAnsi="Tahoma" w:cs="Tahoma"/>
          <w:szCs w:val="21"/>
        </w:rPr>
        <w:t>供应商</w:t>
      </w:r>
      <w:r>
        <w:rPr>
          <w:rFonts w:ascii="Tahoma" w:hAnsi="Tahoma" w:cs="Tahoma"/>
          <w:szCs w:val="21"/>
        </w:rPr>
        <w:t>须知前附表所规定的投标截止期之后开始生效，在</w:t>
      </w:r>
      <w:r>
        <w:rPr>
          <w:rFonts w:hint="eastAsia" w:ascii="Tahoma" w:hAnsi="Tahoma" w:cs="Tahoma"/>
          <w:szCs w:val="21"/>
        </w:rPr>
        <w:t>供应商</w:t>
      </w:r>
      <w:r>
        <w:rPr>
          <w:rFonts w:ascii="Tahoma" w:hAnsi="Tahoma" w:cs="Tahoma"/>
          <w:szCs w:val="21"/>
        </w:rPr>
        <w:t>须知前附表所规定的期限内保持有效。有效期不足将导致其</w:t>
      </w:r>
      <w:r>
        <w:rPr>
          <w:rFonts w:hint="eastAsia" w:ascii="Tahoma" w:hAnsi="Tahoma" w:cs="Tahoma"/>
          <w:szCs w:val="21"/>
        </w:rPr>
        <w:t>响应文件</w:t>
      </w:r>
      <w:r>
        <w:rPr>
          <w:rFonts w:ascii="Tahoma" w:hAnsi="Tahoma" w:cs="Tahoma"/>
          <w:szCs w:val="21"/>
        </w:rPr>
        <w:t>被拒绝。</w:t>
      </w:r>
    </w:p>
    <w:p>
      <w:pPr>
        <w:spacing w:line="360" w:lineRule="auto"/>
        <w:rPr>
          <w:rFonts w:ascii="Tahoma" w:hAnsi="Tahoma" w:cs="Tahoma"/>
          <w:szCs w:val="21"/>
        </w:rPr>
      </w:pPr>
      <w:r>
        <w:rPr>
          <w:rFonts w:ascii="Tahoma" w:hAnsi="Tahoma" w:cs="Tahoma"/>
          <w:szCs w:val="21"/>
        </w:rPr>
        <w:t>3.5.2特殊情况下招标代理人可于投标有效期满之前书面要求</w:t>
      </w:r>
      <w:r>
        <w:rPr>
          <w:rFonts w:hint="eastAsia" w:ascii="Tahoma" w:hAnsi="Tahoma" w:cs="Tahoma"/>
          <w:szCs w:val="21"/>
        </w:rPr>
        <w:t>供应商</w:t>
      </w:r>
      <w:r>
        <w:rPr>
          <w:rFonts w:ascii="Tahoma" w:hAnsi="Tahoma" w:cs="Tahoma"/>
          <w:szCs w:val="21"/>
        </w:rPr>
        <w:t>同意延长有效期，</w:t>
      </w:r>
      <w:r>
        <w:rPr>
          <w:rFonts w:hint="eastAsia" w:ascii="Tahoma" w:hAnsi="Tahoma" w:cs="Tahoma"/>
          <w:szCs w:val="21"/>
        </w:rPr>
        <w:t>供应商</w:t>
      </w:r>
      <w:r>
        <w:rPr>
          <w:rFonts w:ascii="Tahoma" w:hAnsi="Tahoma" w:cs="Tahoma"/>
          <w:szCs w:val="21"/>
        </w:rPr>
        <w:t>应在招标代理机构规定的期限内以书面形式予以答复。</w:t>
      </w:r>
      <w:r>
        <w:rPr>
          <w:rFonts w:hint="eastAsia" w:ascii="Tahoma" w:hAnsi="Tahoma" w:cs="Tahoma"/>
          <w:szCs w:val="21"/>
        </w:rPr>
        <w:t>供应商</w:t>
      </w:r>
      <w:r>
        <w:rPr>
          <w:rFonts w:ascii="Tahoma" w:hAnsi="Tahoma" w:cs="Tahoma"/>
          <w:szCs w:val="21"/>
        </w:rPr>
        <w:t>可以拒绝上述要求而其投标保证金可按规定予以退还。</w:t>
      </w:r>
      <w:r>
        <w:rPr>
          <w:rFonts w:hint="eastAsia" w:ascii="Tahoma" w:hAnsi="Tahoma" w:cs="Tahoma"/>
          <w:szCs w:val="21"/>
        </w:rPr>
        <w:t>供应商</w:t>
      </w:r>
      <w:r>
        <w:rPr>
          <w:rFonts w:ascii="Tahoma" w:hAnsi="Tahoma" w:cs="Tahoma"/>
          <w:szCs w:val="21"/>
        </w:rPr>
        <w:t>答复不明确或者逾期未答复的，均视为拒绝上述要求。对于接受该要求的</w:t>
      </w:r>
      <w:r>
        <w:rPr>
          <w:rFonts w:hint="eastAsia" w:ascii="Tahoma" w:hAnsi="Tahoma" w:cs="Tahoma"/>
          <w:szCs w:val="21"/>
        </w:rPr>
        <w:t>供应商</w:t>
      </w:r>
      <w:r>
        <w:rPr>
          <w:rFonts w:ascii="Tahoma" w:hAnsi="Tahoma" w:cs="Tahoma"/>
          <w:szCs w:val="21"/>
        </w:rPr>
        <w:t>，既不要求也不允许其修改</w:t>
      </w:r>
      <w:r>
        <w:rPr>
          <w:rFonts w:hint="eastAsia" w:ascii="Tahoma" w:hAnsi="Tahoma" w:cs="Tahoma"/>
          <w:szCs w:val="21"/>
        </w:rPr>
        <w:t>响应文件</w:t>
      </w:r>
      <w:r>
        <w:rPr>
          <w:rFonts w:ascii="Tahoma" w:hAnsi="Tahoma" w:cs="Tahoma"/>
          <w:szCs w:val="21"/>
        </w:rPr>
        <w:t>，但将要求其相应延长投标保证金有效期，有关退还和不予退还投标保证金的规定在投标有效期延长期内继续有效。</w:t>
      </w:r>
    </w:p>
    <w:p>
      <w:pPr>
        <w:spacing w:line="360" w:lineRule="auto"/>
        <w:rPr>
          <w:rFonts w:ascii="Tahoma" w:hAnsi="Tahoma" w:cs="Tahoma"/>
          <w:b/>
          <w:bCs/>
          <w:szCs w:val="21"/>
        </w:rPr>
      </w:pPr>
      <w:r>
        <w:rPr>
          <w:rFonts w:ascii="Tahoma" w:hAnsi="Tahoma" w:cs="Tahoma"/>
          <w:b/>
          <w:bCs/>
          <w:szCs w:val="21"/>
        </w:rPr>
        <w:t>3.6. 投标保证金</w:t>
      </w:r>
    </w:p>
    <w:p>
      <w:pPr>
        <w:spacing w:line="360" w:lineRule="auto"/>
        <w:rPr>
          <w:rFonts w:ascii="Tahoma" w:hAnsi="Tahoma" w:cs="Tahoma"/>
          <w:szCs w:val="21"/>
        </w:rPr>
      </w:pPr>
      <w:r>
        <w:rPr>
          <w:rFonts w:ascii="Tahoma" w:hAnsi="Tahoma" w:cs="Tahoma"/>
          <w:szCs w:val="21"/>
        </w:rPr>
        <w:t>3.6.1 投标保证金为</w:t>
      </w:r>
      <w:r>
        <w:rPr>
          <w:rFonts w:hint="eastAsia" w:ascii="Tahoma" w:hAnsi="Tahoma" w:cs="Tahoma"/>
          <w:szCs w:val="21"/>
        </w:rPr>
        <w:t>响应文件</w:t>
      </w:r>
      <w:r>
        <w:rPr>
          <w:rFonts w:ascii="Tahoma" w:hAnsi="Tahoma" w:cs="Tahoma"/>
          <w:szCs w:val="21"/>
        </w:rPr>
        <w:t>的组成部分之一。</w:t>
      </w:r>
    </w:p>
    <w:p>
      <w:pPr>
        <w:spacing w:line="360" w:lineRule="auto"/>
        <w:rPr>
          <w:rFonts w:ascii="Tahoma" w:hAnsi="Tahoma" w:cs="Tahoma"/>
          <w:szCs w:val="21"/>
        </w:rPr>
      </w:pPr>
      <w:r>
        <w:rPr>
          <w:rFonts w:ascii="Tahoma" w:hAnsi="Tahoma" w:cs="Tahoma"/>
          <w:szCs w:val="21"/>
        </w:rPr>
        <w:t xml:space="preserve">3.6.2 </w:t>
      </w:r>
      <w:r>
        <w:rPr>
          <w:rFonts w:hint="eastAsia" w:ascii="Tahoma" w:hAnsi="Tahoma" w:cs="Tahoma"/>
          <w:szCs w:val="21"/>
        </w:rPr>
        <w:t>供应商</w:t>
      </w:r>
      <w:r>
        <w:rPr>
          <w:rFonts w:ascii="Tahoma" w:hAnsi="Tahoma" w:cs="Tahoma"/>
          <w:szCs w:val="21"/>
        </w:rPr>
        <w:t>应在提交</w:t>
      </w:r>
      <w:r>
        <w:rPr>
          <w:rFonts w:hint="eastAsia" w:ascii="Tahoma" w:hAnsi="Tahoma" w:cs="Tahoma"/>
          <w:szCs w:val="21"/>
        </w:rPr>
        <w:t>响应文件</w:t>
      </w:r>
      <w:r>
        <w:rPr>
          <w:rFonts w:ascii="Tahoma" w:hAnsi="Tahoma" w:cs="Tahoma"/>
          <w:szCs w:val="21"/>
        </w:rPr>
        <w:t>之前向招标代理机构缴交</w:t>
      </w:r>
      <w:r>
        <w:rPr>
          <w:rFonts w:hint="eastAsia" w:ascii="Tahoma" w:hAnsi="Tahoma" w:cs="Tahoma"/>
          <w:szCs w:val="21"/>
        </w:rPr>
        <w:t>供应商</w:t>
      </w:r>
      <w:r>
        <w:rPr>
          <w:rFonts w:ascii="Tahoma" w:hAnsi="Tahoma" w:cs="Tahoma"/>
          <w:szCs w:val="21"/>
        </w:rPr>
        <w:t>须知前附表要求的投标保证金。</w:t>
      </w:r>
    </w:p>
    <w:p>
      <w:pPr>
        <w:spacing w:line="360" w:lineRule="auto"/>
        <w:rPr>
          <w:rFonts w:ascii="Tahoma" w:hAnsi="Tahoma" w:cs="Tahoma"/>
          <w:szCs w:val="21"/>
        </w:rPr>
      </w:pPr>
      <w:r>
        <w:rPr>
          <w:rFonts w:ascii="Tahoma" w:hAnsi="Tahoma" w:cs="Tahoma"/>
          <w:szCs w:val="21"/>
        </w:rPr>
        <w:t>3.6.3 投标保证金用于保护本次招标活动免受</w:t>
      </w:r>
      <w:r>
        <w:rPr>
          <w:rFonts w:hint="eastAsia" w:ascii="Tahoma" w:hAnsi="Tahoma" w:cs="Tahoma"/>
          <w:szCs w:val="21"/>
        </w:rPr>
        <w:t>供应商</w:t>
      </w:r>
      <w:r>
        <w:rPr>
          <w:rFonts w:ascii="Tahoma" w:hAnsi="Tahoma" w:cs="Tahoma"/>
          <w:szCs w:val="21"/>
        </w:rPr>
        <w:t>的行为而引起的风险。</w:t>
      </w:r>
    </w:p>
    <w:p>
      <w:pPr>
        <w:spacing w:line="360" w:lineRule="auto"/>
        <w:rPr>
          <w:rFonts w:ascii="Tahoma" w:hAnsi="Tahoma" w:cs="Tahoma"/>
          <w:szCs w:val="21"/>
        </w:rPr>
      </w:pPr>
      <w:r>
        <w:rPr>
          <w:rFonts w:ascii="Tahoma" w:hAnsi="Tahoma" w:cs="Tahoma"/>
          <w:szCs w:val="21"/>
        </w:rPr>
        <w:t>3.6.4 投标保证金以</w:t>
      </w:r>
      <w:r>
        <w:rPr>
          <w:rFonts w:ascii="Tahoma" w:hAnsi="Tahoma" w:cs="Tahoma"/>
          <w:bCs/>
          <w:spacing w:val="8"/>
          <w:szCs w:val="21"/>
        </w:rPr>
        <w:t>投标保证金</w:t>
      </w:r>
      <w:r>
        <w:rPr>
          <w:rFonts w:hint="eastAsia" w:ascii="Tahoma" w:hAnsi="Tahoma" w:cs="Tahoma"/>
          <w:bCs/>
          <w:spacing w:val="8"/>
          <w:szCs w:val="21"/>
        </w:rPr>
        <w:t>以非现金形式由供应商账户转出</w:t>
      </w:r>
      <w:r>
        <w:rPr>
          <w:rFonts w:ascii="Tahoma" w:hAnsi="Tahoma" w:cs="Tahoma"/>
          <w:bCs/>
          <w:spacing w:val="8"/>
          <w:szCs w:val="21"/>
        </w:rPr>
        <w:t>形式交纳</w:t>
      </w:r>
      <w:r>
        <w:rPr>
          <w:rFonts w:ascii="Tahoma" w:hAnsi="Tahoma" w:cs="Tahoma"/>
          <w:szCs w:val="21"/>
        </w:rPr>
        <w:t>。</w:t>
      </w:r>
      <w:r>
        <w:rPr>
          <w:rFonts w:hint="eastAsia" w:ascii="Tahoma" w:hAnsi="Tahoma" w:cs="Tahoma"/>
          <w:szCs w:val="21"/>
        </w:rPr>
        <w:t>供应商</w:t>
      </w:r>
      <w:r>
        <w:rPr>
          <w:rFonts w:ascii="Tahoma" w:hAnsi="Tahoma" w:cs="Tahoma"/>
          <w:szCs w:val="21"/>
        </w:rPr>
        <w:t>须知前附表另有规定的，则从其约定。</w:t>
      </w:r>
    </w:p>
    <w:p>
      <w:pPr>
        <w:spacing w:line="360" w:lineRule="auto"/>
        <w:rPr>
          <w:rFonts w:ascii="Tahoma" w:hAnsi="Tahoma" w:cs="Tahoma"/>
          <w:szCs w:val="21"/>
        </w:rPr>
      </w:pPr>
      <w:r>
        <w:rPr>
          <w:rFonts w:ascii="Tahoma" w:hAnsi="Tahoma" w:cs="Tahoma"/>
          <w:szCs w:val="21"/>
        </w:rPr>
        <w:t xml:space="preserve">3.6.5 </w:t>
      </w:r>
      <w:r>
        <w:rPr>
          <w:rFonts w:ascii="Tahoma" w:hAnsi="Tahoma" w:cs="Tahoma"/>
          <w:b/>
          <w:bCs/>
          <w:szCs w:val="21"/>
        </w:rPr>
        <w:t>未按规定缴交投标保证金的投标，将被视为其投标无效。</w:t>
      </w:r>
    </w:p>
    <w:p>
      <w:pPr>
        <w:spacing w:line="360" w:lineRule="auto"/>
        <w:rPr>
          <w:rFonts w:ascii="Tahoma" w:hAnsi="Tahoma" w:cs="Tahoma"/>
          <w:szCs w:val="21"/>
        </w:rPr>
      </w:pPr>
      <w:r>
        <w:rPr>
          <w:rFonts w:ascii="Tahoma" w:hAnsi="Tahoma" w:cs="Tahoma"/>
          <w:szCs w:val="21"/>
        </w:rPr>
        <w:t>3.6.6投标保证金退还手续说明</w:t>
      </w:r>
    </w:p>
    <w:p>
      <w:pPr>
        <w:spacing w:line="360" w:lineRule="auto"/>
        <w:ind w:firstLine="120" w:firstLineChars="50"/>
        <w:rPr>
          <w:rFonts w:ascii="Tahoma" w:hAnsi="Tahoma" w:cs="Tahoma"/>
          <w:szCs w:val="21"/>
        </w:rPr>
      </w:pPr>
      <w:r>
        <w:rPr>
          <w:rFonts w:ascii="Tahoma" w:hAnsi="Tahoma" w:cs="Tahoma"/>
          <w:szCs w:val="21"/>
        </w:rPr>
        <w:t>（1）投标保证金将在中标通知书发出之日起五个工作日内，按照</w:t>
      </w:r>
      <w:r>
        <w:rPr>
          <w:rFonts w:hint="eastAsia" w:ascii="Tahoma" w:hAnsi="Tahoma" w:cs="Tahoma"/>
          <w:szCs w:val="21"/>
        </w:rPr>
        <w:t>供应商</w:t>
      </w:r>
      <w:r>
        <w:rPr>
          <w:rFonts w:ascii="Tahoma" w:hAnsi="Tahoma" w:cs="Tahoma"/>
          <w:szCs w:val="21"/>
        </w:rPr>
        <w:t>所提供的开户行、开户名称、帐号等信息，予以退还中标人以外的</w:t>
      </w:r>
      <w:r>
        <w:rPr>
          <w:rFonts w:hint="eastAsia" w:ascii="Tahoma" w:hAnsi="Tahoma" w:cs="Tahoma"/>
          <w:szCs w:val="21"/>
        </w:rPr>
        <w:t>供应商</w:t>
      </w:r>
      <w:r>
        <w:rPr>
          <w:rFonts w:ascii="Tahoma" w:hAnsi="Tahoma" w:cs="Tahoma"/>
          <w:szCs w:val="21"/>
        </w:rPr>
        <w:t>的投标保证金。</w:t>
      </w:r>
    </w:p>
    <w:p>
      <w:pPr>
        <w:spacing w:line="360" w:lineRule="auto"/>
        <w:ind w:firstLine="120" w:firstLineChars="50"/>
        <w:rPr>
          <w:rFonts w:ascii="Tahoma" w:hAnsi="Tahoma" w:cs="Tahoma"/>
          <w:szCs w:val="21"/>
        </w:rPr>
      </w:pPr>
      <w:r>
        <w:rPr>
          <w:rFonts w:ascii="Tahoma" w:hAnsi="Tahoma" w:cs="Tahoma"/>
          <w:szCs w:val="21"/>
        </w:rPr>
        <w:t>（2）请相关</w:t>
      </w:r>
      <w:r>
        <w:rPr>
          <w:rFonts w:hint="eastAsia" w:ascii="Tahoma" w:hAnsi="Tahoma" w:cs="Tahoma"/>
          <w:szCs w:val="21"/>
        </w:rPr>
        <w:t>供应商</w:t>
      </w:r>
      <w:r>
        <w:rPr>
          <w:rFonts w:ascii="Tahoma" w:hAnsi="Tahoma" w:cs="Tahoma"/>
          <w:szCs w:val="21"/>
        </w:rPr>
        <w:t>按上述说明办理保证金退还手续，未按要求办理的将不能如期办理而非</w:t>
      </w:r>
      <w:r>
        <w:rPr>
          <w:rFonts w:hint="eastAsia" w:ascii="Tahoma" w:hAnsi="Tahoma" w:cs="Tahoma"/>
          <w:szCs w:val="21"/>
        </w:rPr>
        <w:t>采购人</w:t>
      </w:r>
      <w:r>
        <w:rPr>
          <w:rFonts w:ascii="Tahoma" w:hAnsi="Tahoma" w:cs="Tahoma"/>
          <w:szCs w:val="21"/>
        </w:rPr>
        <w:t>原因。</w:t>
      </w:r>
    </w:p>
    <w:p>
      <w:pPr>
        <w:spacing w:line="360" w:lineRule="auto"/>
        <w:rPr>
          <w:rFonts w:ascii="Tahoma" w:hAnsi="Tahoma" w:cs="Tahoma"/>
          <w:szCs w:val="21"/>
        </w:rPr>
      </w:pPr>
      <w:r>
        <w:rPr>
          <w:rFonts w:ascii="Tahoma" w:hAnsi="Tahoma" w:cs="Tahoma"/>
          <w:szCs w:val="21"/>
        </w:rPr>
        <w:t>3.6.7在中标人签订合同（</w:t>
      </w:r>
      <w:r>
        <w:rPr>
          <w:rFonts w:hint="eastAsia" w:ascii="Tahoma" w:hAnsi="Tahoma" w:cs="Tahoma"/>
          <w:szCs w:val="21"/>
        </w:rPr>
        <w:t>采购人</w:t>
      </w:r>
      <w:r>
        <w:rPr>
          <w:rFonts w:ascii="Tahoma" w:hAnsi="Tahoma" w:cs="Tahoma"/>
          <w:szCs w:val="21"/>
        </w:rPr>
        <w:t>如有要求中标人支付履约保证金的，则增加：支付履约保证金）后5个工作日内，中标人的投标保证金予以原额退还。</w:t>
      </w:r>
    </w:p>
    <w:p>
      <w:pPr>
        <w:spacing w:line="360" w:lineRule="auto"/>
        <w:rPr>
          <w:rFonts w:ascii="Tahoma" w:hAnsi="Tahoma" w:cs="Tahoma"/>
          <w:szCs w:val="21"/>
        </w:rPr>
      </w:pPr>
      <w:r>
        <w:rPr>
          <w:rFonts w:ascii="Tahoma" w:hAnsi="Tahoma" w:cs="Tahoma"/>
          <w:szCs w:val="21"/>
        </w:rPr>
        <w:t>3.6.8 发生以下情况之一的，投标保证金将不予退还：</w:t>
      </w:r>
    </w:p>
    <w:p>
      <w:pPr>
        <w:spacing w:line="360" w:lineRule="auto"/>
        <w:ind w:firstLine="240" w:firstLineChars="100"/>
        <w:rPr>
          <w:rFonts w:ascii="Tahoma" w:hAnsi="Tahoma" w:cs="Tahoma"/>
          <w:szCs w:val="21"/>
        </w:rPr>
      </w:pPr>
      <w:r>
        <w:rPr>
          <w:rFonts w:ascii="Tahoma" w:hAnsi="Tahoma" w:cs="Tahoma"/>
          <w:szCs w:val="21"/>
        </w:rPr>
        <w:t>（1）</w:t>
      </w:r>
      <w:r>
        <w:rPr>
          <w:rFonts w:hint="eastAsia" w:ascii="Tahoma" w:hAnsi="Tahoma" w:cs="Tahoma"/>
          <w:szCs w:val="21"/>
        </w:rPr>
        <w:t>供应商</w:t>
      </w:r>
      <w:r>
        <w:rPr>
          <w:rFonts w:ascii="Tahoma" w:hAnsi="Tahoma" w:cs="Tahoma"/>
          <w:szCs w:val="21"/>
        </w:rPr>
        <w:t>在投标有效期内撤销</w:t>
      </w:r>
      <w:r>
        <w:rPr>
          <w:rFonts w:hint="eastAsia" w:ascii="Tahoma" w:hAnsi="Tahoma" w:cs="Tahoma"/>
          <w:szCs w:val="21"/>
        </w:rPr>
        <w:t>响应文件</w:t>
      </w:r>
      <w:r>
        <w:rPr>
          <w:rFonts w:ascii="Tahoma" w:hAnsi="Tahoma" w:cs="Tahoma"/>
          <w:szCs w:val="21"/>
        </w:rPr>
        <w:t>的；</w:t>
      </w:r>
    </w:p>
    <w:p>
      <w:pPr>
        <w:spacing w:line="360" w:lineRule="auto"/>
        <w:ind w:firstLine="240" w:firstLineChars="100"/>
        <w:rPr>
          <w:rFonts w:ascii="Tahoma" w:hAnsi="Tahoma" w:cs="Tahoma"/>
          <w:szCs w:val="21"/>
        </w:rPr>
      </w:pPr>
      <w:r>
        <w:rPr>
          <w:rFonts w:ascii="Tahoma" w:hAnsi="Tahoma" w:cs="Tahoma"/>
          <w:szCs w:val="21"/>
        </w:rPr>
        <w:t>（2）</w:t>
      </w:r>
      <w:r>
        <w:rPr>
          <w:rFonts w:hint="eastAsia" w:ascii="Tahoma" w:hAnsi="Tahoma" w:cs="Tahoma"/>
          <w:szCs w:val="21"/>
        </w:rPr>
        <w:t>供应商</w:t>
      </w:r>
      <w:r>
        <w:rPr>
          <w:rFonts w:ascii="Tahoma" w:hAnsi="Tahoma" w:cs="Tahoma"/>
          <w:szCs w:val="21"/>
        </w:rPr>
        <w:t>提供虚假投标证明材料；</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3</w:t>
      </w:r>
      <w:r>
        <w:rPr>
          <w:rFonts w:ascii="Tahoma" w:hAnsi="Tahoma" w:cs="Tahoma"/>
          <w:szCs w:val="21"/>
        </w:rPr>
        <w:t>）以他人名义投标或者以其他方式弄虚作假，骗取中标；</w:t>
      </w:r>
    </w:p>
    <w:p>
      <w:pPr>
        <w:shd w:val="clear" w:color="auto" w:fill="FFFFFF"/>
        <w:snapToGrid w:val="0"/>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4</w:t>
      </w:r>
      <w:r>
        <w:rPr>
          <w:rFonts w:ascii="Tahoma" w:hAnsi="Tahoma" w:cs="Tahoma"/>
          <w:szCs w:val="21"/>
        </w:rPr>
        <w:t>）</w:t>
      </w:r>
      <w:r>
        <w:rPr>
          <w:rFonts w:hint="eastAsia" w:ascii="Tahoma" w:hAnsi="Tahoma" w:cs="Tahoma"/>
          <w:szCs w:val="21"/>
        </w:rPr>
        <w:t>供应商</w:t>
      </w:r>
      <w:r>
        <w:rPr>
          <w:rFonts w:ascii="Tahoma" w:hAnsi="Tahoma" w:cs="Tahoma"/>
          <w:szCs w:val="21"/>
        </w:rPr>
        <w:t>在规定的投标有效期内修改其</w:t>
      </w:r>
      <w:r>
        <w:rPr>
          <w:rFonts w:hint="eastAsia" w:ascii="Tahoma" w:hAnsi="Tahoma" w:cs="Tahoma"/>
          <w:szCs w:val="21"/>
        </w:rPr>
        <w:t>响应文件</w:t>
      </w:r>
      <w:r>
        <w:rPr>
          <w:rFonts w:ascii="Tahoma" w:hAnsi="Tahoma" w:cs="Tahoma"/>
          <w:szCs w:val="21"/>
        </w:rPr>
        <w:t>；</w:t>
      </w:r>
    </w:p>
    <w:p>
      <w:pPr>
        <w:shd w:val="clear" w:color="auto" w:fill="FFFFFF"/>
        <w:snapToGrid w:val="0"/>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5</w:t>
      </w:r>
      <w:r>
        <w:rPr>
          <w:rFonts w:ascii="Tahoma" w:hAnsi="Tahoma" w:cs="Tahoma"/>
          <w:szCs w:val="21"/>
        </w:rPr>
        <w:t>）中标人在收到中标通知书后，无正当理由拒签合同协议书或未按招标文件规定提交履约担保。</w:t>
      </w:r>
    </w:p>
    <w:p>
      <w:pPr>
        <w:spacing w:line="360" w:lineRule="auto"/>
        <w:ind w:firstLine="249" w:firstLineChars="104"/>
        <w:rPr>
          <w:rFonts w:ascii="Tahoma" w:hAnsi="Tahoma" w:cs="Tahoma"/>
          <w:szCs w:val="21"/>
        </w:rPr>
      </w:pPr>
      <w:r>
        <w:rPr>
          <w:rFonts w:ascii="Tahoma" w:hAnsi="Tahoma" w:cs="Tahoma"/>
          <w:szCs w:val="21"/>
        </w:rPr>
        <w:t>（</w:t>
      </w:r>
      <w:r>
        <w:rPr>
          <w:rFonts w:hint="eastAsia" w:ascii="Tahoma" w:hAnsi="Tahoma" w:cs="Tahoma"/>
          <w:szCs w:val="21"/>
        </w:rPr>
        <w:t>6</w:t>
      </w:r>
      <w:r>
        <w:rPr>
          <w:rFonts w:ascii="Tahoma" w:hAnsi="Tahoma" w:cs="Tahoma"/>
          <w:szCs w:val="21"/>
        </w:rPr>
        <w:t>）上述不予退还投标保证金的情况给招标采购单位造成损失的，还要承担赔偿责任。</w:t>
      </w:r>
    </w:p>
    <w:p>
      <w:pPr>
        <w:spacing w:line="360" w:lineRule="auto"/>
        <w:rPr>
          <w:rFonts w:ascii="Tahoma" w:hAnsi="Tahoma" w:cs="Tahoma"/>
          <w:szCs w:val="21"/>
        </w:rPr>
      </w:pPr>
      <w:r>
        <w:rPr>
          <w:rFonts w:ascii="Tahoma" w:hAnsi="Tahoma" w:cs="Tahoma"/>
          <w:szCs w:val="21"/>
        </w:rPr>
        <w:t>4.1.</w:t>
      </w:r>
      <w:r>
        <w:rPr>
          <w:rFonts w:hint="eastAsia" w:ascii="Tahoma" w:hAnsi="Tahoma" w:cs="Tahoma"/>
          <w:szCs w:val="21"/>
        </w:rPr>
        <w:t>响应文件</w:t>
      </w:r>
      <w:r>
        <w:rPr>
          <w:rFonts w:ascii="Tahoma" w:hAnsi="Tahoma" w:cs="Tahoma"/>
          <w:szCs w:val="21"/>
        </w:rPr>
        <w:t>的密封、标记</w:t>
      </w:r>
    </w:p>
    <w:p>
      <w:pPr>
        <w:spacing w:line="360" w:lineRule="auto"/>
        <w:rPr>
          <w:rFonts w:ascii="Tahoma" w:hAnsi="Tahoma" w:cs="Tahoma"/>
          <w:szCs w:val="21"/>
        </w:rPr>
      </w:pPr>
      <w:r>
        <w:rPr>
          <w:rFonts w:ascii="Tahoma" w:hAnsi="Tahoma" w:cs="Tahoma"/>
          <w:szCs w:val="21"/>
        </w:rPr>
        <w:t xml:space="preserve">4.1.1 </w:t>
      </w:r>
      <w:r>
        <w:rPr>
          <w:rFonts w:hint="eastAsia" w:ascii="Tahoma" w:hAnsi="Tahoma" w:cs="Tahoma"/>
          <w:szCs w:val="21"/>
        </w:rPr>
        <w:t>供应商</w:t>
      </w:r>
      <w:r>
        <w:rPr>
          <w:rFonts w:ascii="Tahoma" w:hAnsi="Tahoma" w:cs="Tahoma"/>
          <w:szCs w:val="21"/>
        </w:rPr>
        <w:t>应将</w:t>
      </w:r>
      <w:r>
        <w:rPr>
          <w:rFonts w:hint="eastAsia" w:ascii="Tahoma" w:hAnsi="Tahoma" w:cs="Tahoma"/>
          <w:szCs w:val="21"/>
        </w:rPr>
        <w:t>响应文件</w:t>
      </w:r>
      <w:r>
        <w:rPr>
          <w:rFonts w:ascii="Tahoma" w:hAnsi="Tahoma" w:cs="Tahoma"/>
          <w:szCs w:val="21"/>
        </w:rPr>
        <w:t>正本全部副本</w:t>
      </w:r>
      <w:r>
        <w:rPr>
          <w:rFonts w:hint="eastAsia" w:ascii="Tahoma" w:hAnsi="Tahoma" w:cs="Tahoma"/>
          <w:szCs w:val="21"/>
        </w:rPr>
        <w:t>、报价一览表</w:t>
      </w:r>
      <w:r>
        <w:rPr>
          <w:rFonts w:ascii="Tahoma" w:hAnsi="Tahoma" w:cs="Tahoma"/>
          <w:szCs w:val="21"/>
        </w:rPr>
        <w:t>、</w:t>
      </w:r>
      <w:r>
        <w:rPr>
          <w:rFonts w:hint="eastAsia" w:ascii="Tahoma" w:hAnsi="Tahoma" w:cs="Tahoma"/>
          <w:szCs w:val="21"/>
        </w:rPr>
        <w:t>电子版u盘PDF版本</w:t>
      </w:r>
      <w:r>
        <w:rPr>
          <w:rFonts w:ascii="Tahoma" w:hAnsi="Tahoma" w:cs="Tahoma"/>
          <w:szCs w:val="21"/>
        </w:rPr>
        <w:t>分别用封袋密封，并标明</w:t>
      </w:r>
      <w:r>
        <w:rPr>
          <w:rFonts w:hint="eastAsia" w:ascii="Tahoma" w:hAnsi="Tahoma" w:cs="Tahoma"/>
          <w:szCs w:val="21"/>
        </w:rPr>
        <w:t>采购人</w:t>
      </w:r>
      <w:r>
        <w:rPr>
          <w:rFonts w:ascii="Tahoma" w:hAnsi="Tahoma" w:cs="Tahoma"/>
          <w:szCs w:val="21"/>
        </w:rPr>
        <w:t>名称、</w:t>
      </w:r>
      <w:r>
        <w:rPr>
          <w:rFonts w:hint="eastAsia" w:ascii="Tahoma" w:hAnsi="Tahoma" w:cs="Tahoma"/>
          <w:szCs w:val="21"/>
        </w:rPr>
        <w:t>供应商</w:t>
      </w:r>
      <w:r>
        <w:rPr>
          <w:rFonts w:ascii="Tahoma" w:hAnsi="Tahoma" w:cs="Tahoma"/>
          <w:szCs w:val="21"/>
        </w:rPr>
        <w:t>名称、项目</w:t>
      </w:r>
      <w:r>
        <w:rPr>
          <w:rFonts w:hint="eastAsia" w:ascii="Tahoma" w:hAnsi="Tahoma" w:cs="Tahoma"/>
          <w:szCs w:val="21"/>
          <w:lang w:val="en-US" w:eastAsia="zh-CN"/>
        </w:rPr>
        <w:t>名称</w:t>
      </w:r>
      <w:r>
        <w:rPr>
          <w:rFonts w:ascii="Tahoma" w:hAnsi="Tahoma" w:cs="Tahoma"/>
          <w:szCs w:val="21"/>
        </w:rPr>
        <w:t>及</w:t>
      </w:r>
      <w:r>
        <w:rPr>
          <w:rFonts w:hint="eastAsia" w:ascii="Tahoma" w:hAnsi="Tahoma" w:cs="Tahoma"/>
          <w:szCs w:val="21"/>
        </w:rPr>
        <w:t>“报价一览表”、“电子版”、“正本”或“副本”字</w:t>
      </w:r>
      <w:r>
        <w:rPr>
          <w:rFonts w:ascii="Tahoma" w:hAnsi="Tahoma" w:cs="Tahoma"/>
          <w:szCs w:val="21"/>
        </w:rPr>
        <w:t>样，并加盖</w:t>
      </w:r>
      <w:r>
        <w:rPr>
          <w:rFonts w:hint="eastAsia" w:ascii="Tahoma" w:hAnsi="Tahoma" w:cs="Tahoma"/>
          <w:szCs w:val="21"/>
        </w:rPr>
        <w:t>供应商</w:t>
      </w:r>
      <w:r>
        <w:rPr>
          <w:rFonts w:ascii="Tahoma" w:hAnsi="Tahoma" w:cs="Tahoma"/>
          <w:szCs w:val="21"/>
        </w:rPr>
        <w:t>公章。</w:t>
      </w:r>
    </w:p>
    <w:p>
      <w:pPr>
        <w:spacing w:line="360" w:lineRule="auto"/>
        <w:rPr>
          <w:rFonts w:ascii="Tahoma" w:hAnsi="Tahoma" w:cs="Tahoma"/>
          <w:szCs w:val="21"/>
        </w:rPr>
      </w:pPr>
      <w:r>
        <w:rPr>
          <w:rFonts w:ascii="Tahoma" w:hAnsi="Tahoma" w:cs="Tahoma"/>
          <w:szCs w:val="21"/>
        </w:rPr>
        <w:t xml:space="preserve">4.2. </w:t>
      </w:r>
      <w:r>
        <w:rPr>
          <w:rFonts w:hint="eastAsia" w:ascii="Tahoma" w:hAnsi="Tahoma" w:cs="Tahoma"/>
          <w:szCs w:val="21"/>
        </w:rPr>
        <w:t>响应文件</w:t>
      </w:r>
      <w:r>
        <w:rPr>
          <w:rFonts w:ascii="Tahoma" w:hAnsi="Tahoma" w:cs="Tahoma"/>
          <w:szCs w:val="21"/>
        </w:rPr>
        <w:t>的递交</w:t>
      </w:r>
    </w:p>
    <w:p>
      <w:pPr>
        <w:spacing w:line="360" w:lineRule="auto"/>
        <w:rPr>
          <w:rFonts w:ascii="Tahoma" w:hAnsi="Tahoma" w:cs="Tahoma"/>
          <w:szCs w:val="21"/>
        </w:rPr>
      </w:pPr>
      <w:r>
        <w:rPr>
          <w:rFonts w:ascii="Tahoma" w:hAnsi="Tahoma" w:cs="Tahoma"/>
          <w:szCs w:val="21"/>
        </w:rPr>
        <w:t>4.2.1</w:t>
      </w:r>
      <w:r>
        <w:rPr>
          <w:rFonts w:hint="eastAsia" w:ascii="Tahoma" w:hAnsi="Tahoma" w:cs="Tahoma"/>
          <w:szCs w:val="21"/>
        </w:rPr>
        <w:t>响应文件</w:t>
      </w:r>
      <w:r>
        <w:rPr>
          <w:rFonts w:ascii="Tahoma" w:hAnsi="Tahoma" w:cs="Tahoma"/>
          <w:szCs w:val="21"/>
        </w:rPr>
        <w:t>应由专人送交，</w:t>
      </w:r>
      <w:r>
        <w:rPr>
          <w:rFonts w:hint="eastAsia" w:ascii="Tahoma" w:hAnsi="Tahoma" w:cs="Tahoma"/>
          <w:szCs w:val="21"/>
        </w:rPr>
        <w:t>供应商</w:t>
      </w:r>
      <w:r>
        <w:rPr>
          <w:rFonts w:ascii="Tahoma" w:hAnsi="Tahoma" w:cs="Tahoma"/>
          <w:szCs w:val="21"/>
        </w:rPr>
        <w:t>应将</w:t>
      </w:r>
      <w:r>
        <w:rPr>
          <w:rFonts w:hint="eastAsia" w:ascii="Tahoma" w:hAnsi="Tahoma" w:cs="Tahoma"/>
          <w:szCs w:val="21"/>
        </w:rPr>
        <w:t>响应文件</w:t>
      </w:r>
      <w:r>
        <w:rPr>
          <w:rFonts w:ascii="Tahoma" w:hAnsi="Tahoma" w:cs="Tahoma"/>
          <w:szCs w:val="21"/>
        </w:rPr>
        <w:t>按照本须知第4.1条的规定进行密封和标记后，按</w:t>
      </w:r>
      <w:r>
        <w:rPr>
          <w:rFonts w:hint="eastAsia" w:ascii="Tahoma" w:hAnsi="Tahoma" w:cs="Tahoma"/>
          <w:szCs w:val="21"/>
        </w:rPr>
        <w:t>供应商</w:t>
      </w:r>
      <w:r>
        <w:rPr>
          <w:rFonts w:ascii="Tahoma" w:hAnsi="Tahoma" w:cs="Tahoma"/>
          <w:szCs w:val="21"/>
        </w:rPr>
        <w:t>须知前附表注明的地址送至接收人。</w:t>
      </w:r>
    </w:p>
    <w:p>
      <w:pPr>
        <w:spacing w:line="360" w:lineRule="auto"/>
        <w:rPr>
          <w:rFonts w:ascii="Tahoma" w:hAnsi="Tahoma" w:cs="Tahoma"/>
          <w:szCs w:val="21"/>
        </w:rPr>
      </w:pPr>
      <w:r>
        <w:rPr>
          <w:rFonts w:ascii="Tahoma" w:hAnsi="Tahoma" w:cs="Tahoma"/>
          <w:szCs w:val="21"/>
        </w:rPr>
        <w:t>4.2.2</w:t>
      </w:r>
      <w:r>
        <w:rPr>
          <w:rFonts w:hint="eastAsia" w:ascii="Tahoma" w:hAnsi="Tahoma" w:cs="Tahoma"/>
          <w:szCs w:val="21"/>
        </w:rPr>
        <w:t>响应文件</w:t>
      </w:r>
      <w:r>
        <w:rPr>
          <w:rFonts w:ascii="Tahoma" w:hAnsi="Tahoma" w:cs="Tahoma"/>
          <w:szCs w:val="21"/>
        </w:rPr>
        <w:t>应在投标邀请或招标公告中规定的截止时间前送达，在招标文件要求提交</w:t>
      </w:r>
      <w:r>
        <w:rPr>
          <w:rFonts w:hint="eastAsia" w:ascii="Tahoma" w:hAnsi="Tahoma" w:cs="Tahoma"/>
          <w:szCs w:val="21"/>
        </w:rPr>
        <w:t>响应文件</w:t>
      </w:r>
      <w:r>
        <w:rPr>
          <w:rFonts w:ascii="Tahoma" w:hAnsi="Tahoma" w:cs="Tahoma"/>
          <w:szCs w:val="21"/>
        </w:rPr>
        <w:t>的截止时间之后送达的</w:t>
      </w:r>
      <w:r>
        <w:rPr>
          <w:rFonts w:hint="eastAsia" w:ascii="Tahoma" w:hAnsi="Tahoma" w:cs="Tahoma"/>
          <w:szCs w:val="21"/>
        </w:rPr>
        <w:t>响应文件</w:t>
      </w:r>
      <w:r>
        <w:rPr>
          <w:rFonts w:ascii="Tahoma" w:hAnsi="Tahoma" w:cs="Tahoma"/>
          <w:szCs w:val="21"/>
        </w:rPr>
        <w:t>，为无效</w:t>
      </w:r>
      <w:r>
        <w:rPr>
          <w:rFonts w:hint="eastAsia" w:ascii="Tahoma" w:hAnsi="Tahoma" w:cs="Tahoma"/>
          <w:szCs w:val="21"/>
        </w:rPr>
        <w:t>响应文件</w:t>
      </w:r>
      <w:r>
        <w:rPr>
          <w:rFonts w:ascii="Tahoma" w:hAnsi="Tahoma" w:cs="Tahoma"/>
          <w:szCs w:val="21"/>
        </w:rPr>
        <w:t>将被拒收。</w:t>
      </w:r>
    </w:p>
    <w:p>
      <w:pPr>
        <w:shd w:val="clear" w:color="auto" w:fill="FFFFFF"/>
        <w:snapToGrid w:val="0"/>
        <w:spacing w:line="360" w:lineRule="auto"/>
        <w:rPr>
          <w:rFonts w:ascii="Tahoma" w:hAnsi="Tahoma" w:cs="Tahoma"/>
          <w:b/>
          <w:szCs w:val="21"/>
        </w:rPr>
      </w:pPr>
      <w:r>
        <w:rPr>
          <w:rFonts w:ascii="Tahoma" w:hAnsi="Tahoma" w:cs="Tahoma"/>
          <w:b/>
          <w:szCs w:val="21"/>
        </w:rPr>
        <w:t>4.3</w:t>
      </w:r>
      <w:r>
        <w:rPr>
          <w:rFonts w:ascii="Tahoma" w:hAnsi="Tahoma" w:cs="Tahoma"/>
          <w:b/>
          <w:bCs/>
          <w:szCs w:val="21"/>
        </w:rPr>
        <w:t xml:space="preserve">. </w:t>
      </w:r>
      <w:r>
        <w:rPr>
          <w:rFonts w:hint="eastAsia" w:ascii="Tahoma" w:hAnsi="Tahoma" w:cs="Tahoma"/>
          <w:b/>
          <w:szCs w:val="21"/>
        </w:rPr>
        <w:t>响应文件</w:t>
      </w:r>
      <w:r>
        <w:rPr>
          <w:rFonts w:ascii="Tahoma" w:hAnsi="Tahoma" w:cs="Tahoma"/>
          <w:b/>
          <w:szCs w:val="21"/>
        </w:rPr>
        <w:t>的修改与撤回</w:t>
      </w:r>
    </w:p>
    <w:p>
      <w:pPr>
        <w:spacing w:line="360" w:lineRule="auto"/>
        <w:rPr>
          <w:rFonts w:ascii="Tahoma" w:hAnsi="Tahoma" w:cs="Tahoma"/>
          <w:szCs w:val="21"/>
        </w:rPr>
      </w:pPr>
      <w:r>
        <w:rPr>
          <w:rFonts w:ascii="Tahoma" w:hAnsi="Tahoma" w:cs="Tahoma"/>
          <w:szCs w:val="21"/>
        </w:rPr>
        <w:t>4.3.1</w:t>
      </w:r>
      <w:r>
        <w:rPr>
          <w:rFonts w:hint="eastAsia" w:ascii="Tahoma" w:hAnsi="Tahoma" w:cs="Tahoma"/>
          <w:szCs w:val="21"/>
        </w:rPr>
        <w:t>供应商</w:t>
      </w:r>
      <w:r>
        <w:rPr>
          <w:rFonts w:ascii="Tahoma" w:hAnsi="Tahoma" w:cs="Tahoma"/>
          <w:szCs w:val="21"/>
        </w:rPr>
        <w:t>在投标截止时间前，可以对所提交的</w:t>
      </w:r>
      <w:r>
        <w:rPr>
          <w:rFonts w:hint="eastAsia" w:ascii="Tahoma" w:hAnsi="Tahoma" w:cs="Tahoma"/>
          <w:szCs w:val="21"/>
        </w:rPr>
        <w:t>响应文件</w:t>
      </w:r>
      <w:r>
        <w:rPr>
          <w:rFonts w:ascii="Tahoma" w:hAnsi="Tahoma" w:cs="Tahoma"/>
          <w:szCs w:val="21"/>
        </w:rPr>
        <w:t>进行修改或者撤回，并书面通知招标代理机构。修改的内容和撤回通知应当按本须知要求签署、盖章、密封，并作为</w:t>
      </w:r>
      <w:r>
        <w:rPr>
          <w:rFonts w:hint="eastAsia" w:ascii="Tahoma" w:hAnsi="Tahoma" w:cs="Tahoma"/>
          <w:szCs w:val="21"/>
        </w:rPr>
        <w:t>响应文件</w:t>
      </w:r>
      <w:r>
        <w:rPr>
          <w:rFonts w:ascii="Tahoma" w:hAnsi="Tahoma" w:cs="Tahoma"/>
          <w:szCs w:val="21"/>
        </w:rPr>
        <w:t>的组成部分。</w:t>
      </w:r>
    </w:p>
    <w:p>
      <w:pPr>
        <w:spacing w:line="360" w:lineRule="auto"/>
        <w:rPr>
          <w:rFonts w:ascii="Tahoma" w:hAnsi="Tahoma" w:cs="Tahoma"/>
          <w:b/>
          <w:bCs/>
          <w:szCs w:val="21"/>
        </w:rPr>
      </w:pPr>
      <w:r>
        <w:rPr>
          <w:rFonts w:ascii="Tahoma" w:hAnsi="Tahoma" w:cs="Tahoma"/>
          <w:szCs w:val="21"/>
        </w:rPr>
        <w:t>4.3.2</w:t>
      </w:r>
      <w:r>
        <w:rPr>
          <w:rFonts w:hint="eastAsia" w:ascii="Tahoma" w:hAnsi="Tahoma" w:cs="Tahoma"/>
          <w:b/>
          <w:bCs/>
          <w:szCs w:val="21"/>
        </w:rPr>
        <w:t>供应商</w:t>
      </w:r>
      <w:r>
        <w:rPr>
          <w:rFonts w:ascii="Tahoma" w:hAnsi="Tahoma" w:cs="Tahoma"/>
          <w:b/>
          <w:bCs/>
          <w:szCs w:val="21"/>
        </w:rPr>
        <w:t>在投标截止期后不得修改、撤回</w:t>
      </w:r>
      <w:r>
        <w:rPr>
          <w:rFonts w:hint="eastAsia" w:ascii="Tahoma" w:hAnsi="Tahoma" w:cs="Tahoma"/>
          <w:b/>
          <w:bCs/>
          <w:szCs w:val="21"/>
        </w:rPr>
        <w:t>响应文件</w:t>
      </w:r>
      <w:r>
        <w:rPr>
          <w:rFonts w:ascii="Tahoma" w:hAnsi="Tahoma" w:cs="Tahoma"/>
          <w:b/>
          <w:bCs/>
          <w:szCs w:val="21"/>
        </w:rPr>
        <w:t>。</w:t>
      </w:r>
      <w:r>
        <w:rPr>
          <w:rFonts w:hint="eastAsia" w:ascii="Tahoma" w:hAnsi="Tahoma" w:cs="Tahoma"/>
          <w:b/>
          <w:bCs/>
          <w:szCs w:val="21"/>
        </w:rPr>
        <w:t>供应商</w:t>
      </w:r>
      <w:r>
        <w:rPr>
          <w:rFonts w:ascii="Tahoma" w:hAnsi="Tahoma" w:cs="Tahoma"/>
          <w:b/>
          <w:bCs/>
          <w:szCs w:val="21"/>
        </w:rPr>
        <w:t>在投标截止期后修改</w:t>
      </w:r>
      <w:r>
        <w:rPr>
          <w:rFonts w:hint="eastAsia" w:ascii="Tahoma" w:hAnsi="Tahoma" w:cs="Tahoma"/>
          <w:b/>
          <w:bCs/>
          <w:szCs w:val="21"/>
        </w:rPr>
        <w:t>响应文件</w:t>
      </w:r>
      <w:r>
        <w:rPr>
          <w:rFonts w:ascii="Tahoma" w:hAnsi="Tahoma" w:cs="Tahoma"/>
          <w:b/>
          <w:bCs/>
          <w:szCs w:val="21"/>
        </w:rPr>
        <w:t>的，其投标被拒绝。</w:t>
      </w:r>
    </w:p>
    <w:p>
      <w:pPr>
        <w:spacing w:line="360" w:lineRule="auto"/>
        <w:rPr>
          <w:rFonts w:ascii="Tahoma" w:hAnsi="Tahoma" w:cs="Tahoma"/>
          <w:szCs w:val="21"/>
        </w:rPr>
      </w:pPr>
      <w:r>
        <w:rPr>
          <w:rFonts w:ascii="Tahoma" w:hAnsi="Tahoma" w:cs="Tahoma"/>
          <w:szCs w:val="21"/>
        </w:rPr>
        <w:t>4.3.3</w:t>
      </w:r>
      <w:r>
        <w:rPr>
          <w:rFonts w:hint="eastAsia" w:ascii="Tahoma" w:hAnsi="Tahoma" w:cs="Tahoma"/>
          <w:szCs w:val="21"/>
        </w:rPr>
        <w:t>响应文件</w:t>
      </w:r>
      <w:r>
        <w:rPr>
          <w:rFonts w:ascii="Tahoma" w:hAnsi="Tahoma" w:cs="Tahoma"/>
          <w:szCs w:val="21"/>
        </w:rPr>
        <w:t>一经递交，除招标文件另有规定外，一律不予退还。</w:t>
      </w:r>
    </w:p>
    <w:p>
      <w:pPr>
        <w:spacing w:line="360" w:lineRule="auto"/>
        <w:jc w:val="center"/>
        <w:rPr>
          <w:rFonts w:ascii="Tahoma" w:hAnsi="Tahoma" w:cs="Tahoma"/>
          <w:b/>
          <w:bCs/>
          <w:szCs w:val="21"/>
        </w:rPr>
      </w:pPr>
    </w:p>
    <w:p>
      <w:pPr>
        <w:spacing w:line="360" w:lineRule="auto"/>
        <w:jc w:val="center"/>
        <w:rPr>
          <w:rFonts w:ascii="Tahoma" w:hAnsi="Tahoma" w:cs="Tahoma"/>
          <w:b/>
          <w:bCs/>
          <w:szCs w:val="21"/>
        </w:rPr>
      </w:pPr>
      <w:r>
        <w:rPr>
          <w:rFonts w:ascii="Tahoma" w:hAnsi="Tahoma" w:cs="Tahoma"/>
          <w:b/>
          <w:bCs/>
          <w:szCs w:val="21"/>
        </w:rPr>
        <w:t>5、</w:t>
      </w:r>
      <w:r>
        <w:rPr>
          <w:rFonts w:ascii="Tahoma" w:hAnsi="Tahoma" w:cs="Tahoma"/>
          <w:b/>
          <w:bCs/>
          <w:spacing w:val="8"/>
          <w:szCs w:val="21"/>
        </w:rPr>
        <w:t>开标</w:t>
      </w:r>
    </w:p>
    <w:p>
      <w:pPr>
        <w:spacing w:line="360" w:lineRule="auto"/>
        <w:rPr>
          <w:rFonts w:ascii="Tahoma" w:hAnsi="Tahoma" w:cs="Tahoma"/>
          <w:szCs w:val="21"/>
        </w:rPr>
      </w:pPr>
      <w:r>
        <w:rPr>
          <w:rFonts w:ascii="Tahoma" w:hAnsi="Tahoma" w:cs="Tahoma"/>
          <w:b/>
          <w:bCs/>
          <w:szCs w:val="21"/>
        </w:rPr>
        <w:t>5.1. 开标</w:t>
      </w:r>
    </w:p>
    <w:p>
      <w:pPr>
        <w:spacing w:line="360" w:lineRule="auto"/>
        <w:rPr>
          <w:rFonts w:ascii="Tahoma" w:hAnsi="Tahoma" w:cs="Tahoma"/>
          <w:szCs w:val="21"/>
        </w:rPr>
      </w:pPr>
      <w:r>
        <w:rPr>
          <w:rFonts w:ascii="Tahoma" w:hAnsi="Tahoma" w:cs="Tahoma"/>
          <w:szCs w:val="21"/>
        </w:rPr>
        <w:t xml:space="preserve">5.1.1 </w:t>
      </w:r>
      <w:r>
        <w:rPr>
          <w:rFonts w:hint="eastAsia" w:ascii="Tahoma" w:hAnsi="Tahoma" w:cs="Tahoma"/>
          <w:szCs w:val="21"/>
        </w:rPr>
        <w:t>采购人</w:t>
      </w:r>
      <w:r>
        <w:rPr>
          <w:rFonts w:ascii="Tahoma" w:hAnsi="Tahoma" w:cs="Tahoma"/>
          <w:szCs w:val="21"/>
        </w:rPr>
        <w:t>按</w:t>
      </w:r>
      <w:r>
        <w:rPr>
          <w:rFonts w:hint="eastAsia" w:ascii="Tahoma" w:hAnsi="Tahoma" w:cs="Tahoma"/>
          <w:szCs w:val="21"/>
        </w:rPr>
        <w:t>供应商</w:t>
      </w:r>
      <w:r>
        <w:rPr>
          <w:rFonts w:ascii="Tahoma" w:hAnsi="Tahoma" w:cs="Tahoma"/>
          <w:szCs w:val="21"/>
        </w:rPr>
        <w:t>须知前附表规定的时间、地点公开开标。</w:t>
      </w:r>
    </w:p>
    <w:p>
      <w:pPr>
        <w:spacing w:line="360" w:lineRule="auto"/>
        <w:rPr>
          <w:rFonts w:ascii="Tahoma" w:hAnsi="Tahoma" w:cs="Tahoma"/>
          <w:szCs w:val="21"/>
        </w:rPr>
      </w:pPr>
      <w:r>
        <w:rPr>
          <w:rFonts w:ascii="Tahoma" w:hAnsi="Tahoma" w:cs="Tahoma"/>
          <w:bCs/>
          <w:szCs w:val="21"/>
        </w:rPr>
        <w:t>5.1.2</w:t>
      </w:r>
      <w:r>
        <w:rPr>
          <w:rFonts w:ascii="Tahoma" w:hAnsi="Tahoma" w:cs="Tahoma"/>
          <w:szCs w:val="21"/>
        </w:rPr>
        <w:t>开标由招标代理机构主持，</w:t>
      </w:r>
      <w:r>
        <w:rPr>
          <w:rFonts w:hint="eastAsia" w:ascii="Tahoma" w:hAnsi="Tahoma" w:cs="Tahoma"/>
          <w:szCs w:val="21"/>
        </w:rPr>
        <w:t>采购人</w:t>
      </w:r>
      <w:r>
        <w:rPr>
          <w:rFonts w:ascii="Tahoma" w:hAnsi="Tahoma" w:cs="Tahoma"/>
          <w:szCs w:val="21"/>
        </w:rPr>
        <w:t>、</w:t>
      </w:r>
      <w:r>
        <w:rPr>
          <w:rFonts w:hint="eastAsia" w:ascii="Tahoma" w:hAnsi="Tahoma" w:cs="Tahoma"/>
          <w:szCs w:val="21"/>
        </w:rPr>
        <w:t>供应商</w:t>
      </w:r>
      <w:r>
        <w:rPr>
          <w:rFonts w:ascii="Tahoma" w:hAnsi="Tahoma" w:cs="Tahoma"/>
          <w:szCs w:val="21"/>
        </w:rPr>
        <w:t>和有关方面代表参加。</w:t>
      </w:r>
      <w:r>
        <w:rPr>
          <w:rFonts w:hint="eastAsia" w:ascii="Tahoma" w:hAnsi="Tahoma" w:cs="Tahoma"/>
          <w:szCs w:val="21"/>
        </w:rPr>
        <w:t>供应商</w:t>
      </w:r>
      <w:r>
        <w:rPr>
          <w:rFonts w:ascii="Tahoma" w:hAnsi="Tahoma" w:cs="Tahoma"/>
          <w:szCs w:val="21"/>
        </w:rPr>
        <w:t>应派授权代表参加开标会，并签到。</w:t>
      </w:r>
    </w:p>
    <w:p>
      <w:pPr>
        <w:spacing w:line="360" w:lineRule="auto"/>
        <w:rPr>
          <w:rFonts w:ascii="Tahoma" w:hAnsi="Tahoma" w:cs="Tahoma"/>
          <w:szCs w:val="21"/>
        </w:rPr>
      </w:pPr>
      <w:r>
        <w:rPr>
          <w:rFonts w:ascii="Tahoma" w:hAnsi="Tahoma" w:cs="Tahoma"/>
          <w:szCs w:val="21"/>
        </w:rPr>
        <w:t>5.1.3开标时，应当由</w:t>
      </w:r>
      <w:r>
        <w:rPr>
          <w:rFonts w:hint="eastAsia" w:ascii="Tahoma" w:hAnsi="Tahoma" w:cs="Tahoma"/>
          <w:szCs w:val="21"/>
        </w:rPr>
        <w:t>供应商</w:t>
      </w:r>
      <w:r>
        <w:rPr>
          <w:rFonts w:ascii="Tahoma" w:hAnsi="Tahoma" w:cs="Tahoma"/>
          <w:szCs w:val="21"/>
        </w:rPr>
        <w:t>或者其推选的代表检查</w:t>
      </w:r>
      <w:r>
        <w:rPr>
          <w:rFonts w:hint="eastAsia" w:ascii="Tahoma" w:hAnsi="Tahoma" w:cs="Tahoma"/>
          <w:szCs w:val="21"/>
        </w:rPr>
        <w:t>响应文件</w:t>
      </w:r>
      <w:r>
        <w:rPr>
          <w:rFonts w:ascii="Tahoma" w:hAnsi="Tahoma" w:cs="Tahoma"/>
          <w:szCs w:val="21"/>
        </w:rPr>
        <w:t>的密封情况，也可以由</w:t>
      </w:r>
      <w:r>
        <w:rPr>
          <w:rFonts w:hint="eastAsia" w:ascii="Tahoma" w:hAnsi="Tahoma" w:cs="Tahoma"/>
          <w:szCs w:val="21"/>
        </w:rPr>
        <w:t>采购人</w:t>
      </w:r>
      <w:r>
        <w:rPr>
          <w:rFonts w:ascii="Tahoma" w:hAnsi="Tahoma" w:cs="Tahoma"/>
          <w:szCs w:val="21"/>
        </w:rPr>
        <w:t>委托的公证机构检查并公证；经确认无误后，</w:t>
      </w:r>
      <w:r>
        <w:rPr>
          <w:rFonts w:hint="eastAsia" w:ascii="Tahoma" w:hAnsi="Tahoma" w:cs="Tahoma"/>
          <w:szCs w:val="21"/>
        </w:rPr>
        <w:t>按照投标文件递交逆顺序</w:t>
      </w:r>
      <w:r>
        <w:rPr>
          <w:rFonts w:ascii="Tahoma" w:hAnsi="Tahoma" w:cs="Tahoma"/>
          <w:szCs w:val="21"/>
        </w:rPr>
        <w:t>，由开标会唱标人宣唱并由记录人记录各</w:t>
      </w:r>
      <w:r>
        <w:rPr>
          <w:rFonts w:hint="eastAsia" w:ascii="Tahoma" w:hAnsi="Tahoma" w:cs="Tahoma"/>
          <w:szCs w:val="21"/>
        </w:rPr>
        <w:t>供应商</w:t>
      </w:r>
      <w:r>
        <w:rPr>
          <w:rFonts w:ascii="Tahoma" w:hAnsi="Tahoma" w:cs="Tahoma"/>
          <w:szCs w:val="21"/>
        </w:rPr>
        <w:t>的报价，唱标内容为“</w:t>
      </w:r>
      <w:r>
        <w:rPr>
          <w:rFonts w:hint="eastAsia" w:ascii="Tahoma" w:hAnsi="Tahoma" w:cs="Tahoma"/>
          <w:szCs w:val="21"/>
        </w:rPr>
        <w:t>报价一览表</w:t>
      </w:r>
      <w:r>
        <w:rPr>
          <w:rFonts w:ascii="Tahoma" w:hAnsi="Tahoma" w:cs="Tahoma"/>
          <w:szCs w:val="21"/>
        </w:rPr>
        <w:t xml:space="preserve">”内容。未宣读的投标价格、价格折扣和招标文件允许提供的备选投标方案等实质内容，评标时不予承认。 </w:t>
      </w:r>
    </w:p>
    <w:p>
      <w:pPr>
        <w:spacing w:line="360" w:lineRule="auto"/>
        <w:rPr>
          <w:rFonts w:ascii="Tahoma" w:hAnsi="Tahoma" w:cs="Tahoma"/>
          <w:szCs w:val="21"/>
        </w:rPr>
      </w:pPr>
      <w:r>
        <w:rPr>
          <w:rFonts w:ascii="Tahoma" w:hAnsi="Tahoma" w:cs="Tahoma"/>
          <w:szCs w:val="21"/>
        </w:rPr>
        <w:t>5.1.4开标时，</w:t>
      </w:r>
      <w:r>
        <w:rPr>
          <w:rFonts w:hint="eastAsia" w:ascii="Tahoma" w:hAnsi="Tahoma" w:cs="Tahoma"/>
          <w:szCs w:val="21"/>
        </w:rPr>
        <w:t>响应文件</w:t>
      </w:r>
      <w:r>
        <w:rPr>
          <w:rFonts w:ascii="Tahoma" w:hAnsi="Tahoma" w:cs="Tahoma"/>
          <w:szCs w:val="21"/>
        </w:rPr>
        <w:t>中</w:t>
      </w:r>
      <w:r>
        <w:rPr>
          <w:rFonts w:hint="eastAsia" w:ascii="Tahoma" w:hAnsi="Tahoma" w:cs="Tahoma"/>
          <w:szCs w:val="21"/>
        </w:rPr>
        <w:t>报价一览表</w:t>
      </w:r>
      <w:r>
        <w:rPr>
          <w:rFonts w:ascii="Tahoma" w:hAnsi="Tahoma" w:cs="Tahoma"/>
          <w:szCs w:val="21"/>
        </w:rPr>
        <w:t>（报价表）内容与</w:t>
      </w:r>
      <w:r>
        <w:rPr>
          <w:rFonts w:hint="eastAsia" w:ascii="Tahoma" w:hAnsi="Tahoma" w:cs="Tahoma"/>
          <w:szCs w:val="21"/>
        </w:rPr>
        <w:t>响应文件</w:t>
      </w:r>
      <w:r>
        <w:rPr>
          <w:rFonts w:ascii="Tahoma" w:hAnsi="Tahoma" w:cs="Tahoma"/>
          <w:szCs w:val="21"/>
        </w:rPr>
        <w:t>中明细表内容不一致的，以</w:t>
      </w:r>
      <w:r>
        <w:rPr>
          <w:rFonts w:hint="eastAsia" w:ascii="Tahoma" w:hAnsi="Tahoma" w:cs="Tahoma"/>
          <w:szCs w:val="21"/>
        </w:rPr>
        <w:t>报价一览表</w:t>
      </w:r>
      <w:r>
        <w:rPr>
          <w:rFonts w:ascii="Tahoma" w:hAnsi="Tahoma" w:cs="Tahoma"/>
          <w:szCs w:val="21"/>
        </w:rPr>
        <w:t>（报价表）为准。</w:t>
      </w:r>
      <w:r>
        <w:rPr>
          <w:rFonts w:hint="eastAsia" w:ascii="Tahoma" w:hAnsi="Tahoma" w:cs="Tahoma"/>
          <w:szCs w:val="21"/>
        </w:rPr>
        <w:t>大小写不一致时，以大写为准；</w:t>
      </w:r>
    </w:p>
    <w:p>
      <w:pPr>
        <w:spacing w:line="360" w:lineRule="auto"/>
        <w:rPr>
          <w:rFonts w:ascii="Tahoma" w:hAnsi="Tahoma" w:cs="Tahoma"/>
          <w:szCs w:val="21"/>
        </w:rPr>
      </w:pPr>
      <w:r>
        <w:rPr>
          <w:rFonts w:ascii="Tahoma" w:hAnsi="Tahoma" w:cs="Tahoma"/>
          <w:szCs w:val="21"/>
        </w:rPr>
        <w:t xml:space="preserve">5.1.5开标过程由指定专人负责记录，并存档备查。 </w:t>
      </w:r>
    </w:p>
    <w:p>
      <w:pPr>
        <w:spacing w:line="360" w:lineRule="auto"/>
        <w:rPr>
          <w:rFonts w:ascii="Tahoma" w:hAnsi="Tahoma" w:cs="Tahoma"/>
          <w:szCs w:val="21"/>
        </w:rPr>
      </w:pPr>
      <w:r>
        <w:rPr>
          <w:rFonts w:ascii="Tahoma" w:hAnsi="Tahoma" w:cs="Tahoma"/>
          <w:szCs w:val="21"/>
        </w:rPr>
        <w:t>5.1.6 开标时，各</w:t>
      </w:r>
      <w:r>
        <w:rPr>
          <w:rFonts w:hint="eastAsia" w:ascii="Tahoma" w:hAnsi="Tahoma" w:cs="Tahoma"/>
          <w:szCs w:val="21"/>
        </w:rPr>
        <w:t>供应商</w:t>
      </w:r>
      <w:r>
        <w:rPr>
          <w:rFonts w:ascii="Tahoma" w:hAnsi="Tahoma" w:cs="Tahoma"/>
          <w:szCs w:val="21"/>
        </w:rPr>
        <w:t>代表需在“开标会</w:t>
      </w:r>
      <w:r>
        <w:rPr>
          <w:rFonts w:hint="eastAsia" w:ascii="Tahoma" w:hAnsi="Tahoma" w:cs="Tahoma"/>
          <w:szCs w:val="21"/>
        </w:rPr>
        <w:t>供应商</w:t>
      </w:r>
      <w:r>
        <w:rPr>
          <w:rFonts w:ascii="Tahoma" w:hAnsi="Tahoma" w:cs="Tahoma"/>
          <w:szCs w:val="21"/>
        </w:rPr>
        <w:t>签字表”上签字确认</w:t>
      </w:r>
      <w:r>
        <w:rPr>
          <w:rFonts w:hint="eastAsia" w:ascii="Tahoma" w:hAnsi="Tahoma" w:cs="Tahoma"/>
          <w:szCs w:val="21"/>
        </w:rPr>
        <w:t>。</w:t>
      </w:r>
    </w:p>
    <w:p>
      <w:pPr>
        <w:spacing w:line="360" w:lineRule="auto"/>
        <w:rPr>
          <w:rFonts w:ascii="Tahoma" w:hAnsi="Tahoma" w:cs="Tahoma"/>
          <w:szCs w:val="21"/>
        </w:rPr>
      </w:pPr>
      <w:r>
        <w:rPr>
          <w:rFonts w:ascii="Tahoma" w:hAnsi="Tahoma" w:cs="Tahoma"/>
          <w:szCs w:val="21"/>
        </w:rPr>
        <w:t>5.1.7开标大会结束后，各</w:t>
      </w:r>
      <w:r>
        <w:rPr>
          <w:rFonts w:hint="eastAsia" w:ascii="Tahoma" w:hAnsi="Tahoma" w:cs="Tahoma"/>
          <w:szCs w:val="21"/>
        </w:rPr>
        <w:t>供应商</w:t>
      </w:r>
      <w:r>
        <w:rPr>
          <w:rFonts w:ascii="Tahoma" w:hAnsi="Tahoma" w:cs="Tahoma"/>
          <w:szCs w:val="21"/>
        </w:rPr>
        <w:t>代表需在“开标价格记录汇总表”上签字后方可离开。</w:t>
      </w:r>
    </w:p>
    <w:p>
      <w:pPr>
        <w:spacing w:line="360" w:lineRule="auto"/>
        <w:rPr>
          <w:rFonts w:ascii="Tahoma" w:hAnsi="Tahoma" w:cs="Tahoma"/>
          <w:szCs w:val="21"/>
        </w:rPr>
      </w:pPr>
      <w:r>
        <w:rPr>
          <w:rFonts w:ascii="Tahoma" w:hAnsi="Tahoma" w:cs="Tahoma"/>
          <w:szCs w:val="21"/>
        </w:rPr>
        <w:t>5.1.8投标截止时间结束</w:t>
      </w:r>
      <w:r>
        <w:rPr>
          <w:rFonts w:hint="eastAsia" w:ascii="Tahoma" w:hAnsi="Tahoma" w:cs="Tahoma"/>
          <w:szCs w:val="21"/>
        </w:rPr>
        <w:t>时</w:t>
      </w:r>
      <w:r>
        <w:rPr>
          <w:rFonts w:ascii="Tahoma" w:hAnsi="Tahoma" w:cs="Tahoma"/>
          <w:szCs w:val="21"/>
        </w:rPr>
        <w:t>参加投标的</w:t>
      </w:r>
      <w:r>
        <w:rPr>
          <w:rFonts w:hint="eastAsia" w:ascii="Tahoma" w:hAnsi="Tahoma" w:cs="Tahoma"/>
          <w:szCs w:val="21"/>
        </w:rPr>
        <w:t>供应商</w:t>
      </w:r>
      <w:r>
        <w:rPr>
          <w:rFonts w:ascii="Tahoma" w:hAnsi="Tahoma" w:cs="Tahoma"/>
          <w:szCs w:val="21"/>
        </w:rPr>
        <w:t>不足三家的，本次招标程序终止，除招标任务取消情形外，招标单位将依法重新组织招标或者采取其他方式采购。</w:t>
      </w:r>
    </w:p>
    <w:p>
      <w:pPr>
        <w:spacing w:line="360" w:lineRule="auto"/>
        <w:jc w:val="center"/>
        <w:rPr>
          <w:rFonts w:ascii="Tahoma" w:hAnsi="Tahoma" w:cs="Tahoma"/>
          <w:szCs w:val="21"/>
        </w:rPr>
      </w:pPr>
      <w:r>
        <w:rPr>
          <w:rFonts w:ascii="Tahoma" w:hAnsi="Tahoma" w:cs="Tahoma"/>
          <w:b/>
          <w:bCs/>
          <w:szCs w:val="21"/>
        </w:rPr>
        <w:t>6、评标</w:t>
      </w:r>
    </w:p>
    <w:p>
      <w:pPr>
        <w:spacing w:line="360" w:lineRule="auto"/>
        <w:rPr>
          <w:rFonts w:ascii="Tahoma" w:hAnsi="Tahoma" w:cs="Tahoma"/>
          <w:b/>
          <w:bCs/>
          <w:szCs w:val="21"/>
        </w:rPr>
      </w:pPr>
      <w:r>
        <w:rPr>
          <w:rFonts w:ascii="Tahoma" w:hAnsi="Tahoma" w:cs="Tahoma"/>
          <w:b/>
          <w:bCs/>
          <w:szCs w:val="21"/>
        </w:rPr>
        <w:t>6.1．评标委员会</w:t>
      </w:r>
    </w:p>
    <w:p>
      <w:pPr>
        <w:spacing w:line="360" w:lineRule="auto"/>
        <w:rPr>
          <w:rFonts w:ascii="Tahoma" w:hAnsi="Tahoma" w:cs="Tahoma"/>
          <w:szCs w:val="21"/>
        </w:rPr>
      </w:pPr>
      <w:r>
        <w:rPr>
          <w:rFonts w:ascii="Tahoma" w:hAnsi="Tahoma" w:cs="Tahoma"/>
          <w:szCs w:val="21"/>
        </w:rPr>
        <w:t>6.1.1</w:t>
      </w:r>
      <w:r>
        <w:rPr>
          <w:rFonts w:hint="eastAsia" w:ascii="Tahoma" w:hAnsi="Tahoma" w:cs="Tahoma"/>
          <w:szCs w:val="21"/>
        </w:rPr>
        <w:t>采购人</w:t>
      </w:r>
      <w:r>
        <w:rPr>
          <w:rFonts w:ascii="Tahoma" w:hAnsi="Tahoma" w:cs="Tahoma"/>
          <w:szCs w:val="21"/>
        </w:rPr>
        <w:t>根据招标货物和服务的特点依法组建评标委员会。</w:t>
      </w:r>
      <w:r>
        <w:rPr>
          <w:rFonts w:ascii="Tahoma" w:hAnsi="Tahoma" w:cs="Tahoma"/>
          <w:bCs/>
          <w:szCs w:val="21"/>
        </w:rPr>
        <w:t>评标委员会由采购人代表和有关技术、经济等方面的专家组成，成员人数应当为</w:t>
      </w:r>
      <w:r>
        <w:rPr>
          <w:rFonts w:hint="eastAsia" w:ascii="Tahoma" w:hAnsi="Tahoma" w:cs="Tahoma"/>
          <w:bCs/>
          <w:szCs w:val="21"/>
          <w:highlight w:val="none"/>
          <w:u w:val="single"/>
          <w:lang w:val="en-US" w:eastAsia="zh-CN"/>
        </w:rPr>
        <w:t>3</w:t>
      </w:r>
      <w:r>
        <w:rPr>
          <w:rFonts w:ascii="Tahoma" w:hAnsi="Tahoma" w:cs="Tahoma"/>
          <w:bCs/>
          <w:szCs w:val="21"/>
        </w:rPr>
        <w:t>人以上单数，其中，技术、经济等方面的专家不得少于成员总数的2/3，</w:t>
      </w:r>
      <w:r>
        <w:rPr>
          <w:rFonts w:ascii="Tahoma" w:hAnsi="Tahoma" w:cs="Tahoma"/>
          <w:szCs w:val="21"/>
        </w:rPr>
        <w:t>并对</w:t>
      </w:r>
      <w:r>
        <w:rPr>
          <w:rFonts w:hint="eastAsia" w:ascii="Tahoma" w:hAnsi="Tahoma" w:cs="Tahoma"/>
          <w:szCs w:val="21"/>
        </w:rPr>
        <w:t>响应文件</w:t>
      </w:r>
      <w:r>
        <w:rPr>
          <w:rFonts w:ascii="Tahoma" w:hAnsi="Tahoma" w:cs="Tahoma"/>
          <w:szCs w:val="21"/>
        </w:rPr>
        <w:t>进行审查、评估和比较，并做出授予合同的建议。</w:t>
      </w:r>
    </w:p>
    <w:p>
      <w:pPr>
        <w:spacing w:line="360" w:lineRule="auto"/>
        <w:rPr>
          <w:rFonts w:ascii="Tahoma" w:hAnsi="Tahoma" w:cs="Tahoma"/>
          <w:szCs w:val="21"/>
        </w:rPr>
      </w:pPr>
      <w:r>
        <w:rPr>
          <w:rFonts w:ascii="Tahoma" w:hAnsi="Tahoma" w:cs="Tahoma"/>
          <w:szCs w:val="21"/>
        </w:rPr>
        <w:t xml:space="preserve">6.1.2招标代理机构工作人员不得参加由本机构代理的招标项目的评标。 </w:t>
      </w:r>
    </w:p>
    <w:p>
      <w:pPr>
        <w:spacing w:line="360" w:lineRule="auto"/>
        <w:rPr>
          <w:rFonts w:ascii="Tahoma" w:hAnsi="Tahoma" w:cs="Tahoma"/>
          <w:szCs w:val="21"/>
        </w:rPr>
      </w:pPr>
      <w:r>
        <w:rPr>
          <w:rFonts w:ascii="Tahoma" w:hAnsi="Tahoma" w:cs="Tahoma"/>
          <w:szCs w:val="21"/>
        </w:rPr>
        <w:t xml:space="preserve">6.1.3评标委员会成员应当履行下列义务： </w:t>
      </w:r>
    </w:p>
    <w:p>
      <w:pPr>
        <w:spacing w:line="360" w:lineRule="auto"/>
        <w:ind w:firstLine="120" w:firstLineChars="50"/>
        <w:rPr>
          <w:rFonts w:ascii="Tahoma" w:hAnsi="Tahoma" w:cs="Tahoma"/>
          <w:szCs w:val="21"/>
        </w:rPr>
      </w:pPr>
      <w:r>
        <w:rPr>
          <w:rFonts w:ascii="Tahoma" w:hAnsi="Tahoma" w:cs="Tahoma"/>
          <w:szCs w:val="21"/>
        </w:rPr>
        <w:t xml:space="preserve">（一）遵纪守法，客观、公正、廉洁地履行职责； </w:t>
      </w:r>
    </w:p>
    <w:p>
      <w:pPr>
        <w:spacing w:line="360" w:lineRule="auto"/>
        <w:ind w:firstLine="120" w:firstLineChars="50"/>
        <w:rPr>
          <w:rFonts w:ascii="Tahoma" w:hAnsi="Tahoma" w:cs="Tahoma"/>
          <w:szCs w:val="21"/>
        </w:rPr>
      </w:pPr>
      <w:r>
        <w:rPr>
          <w:rFonts w:ascii="Tahoma" w:hAnsi="Tahoma" w:cs="Tahoma"/>
          <w:szCs w:val="21"/>
        </w:rPr>
        <w:t xml:space="preserve">（二）按照招标文件规定的评标方法和评标标准进行评标，对评审意见承担个人责任； </w:t>
      </w:r>
    </w:p>
    <w:p>
      <w:pPr>
        <w:spacing w:line="360" w:lineRule="auto"/>
        <w:ind w:firstLine="120" w:firstLineChars="50"/>
        <w:rPr>
          <w:rFonts w:ascii="Tahoma" w:hAnsi="Tahoma" w:cs="Tahoma"/>
          <w:szCs w:val="21"/>
        </w:rPr>
      </w:pPr>
      <w:r>
        <w:rPr>
          <w:rFonts w:ascii="Tahoma" w:hAnsi="Tahoma" w:cs="Tahoma"/>
          <w:szCs w:val="21"/>
        </w:rPr>
        <w:t xml:space="preserve">（三）对评标过程和结果，以及供应商的商业秘密保密； </w:t>
      </w:r>
    </w:p>
    <w:p>
      <w:pPr>
        <w:spacing w:line="360" w:lineRule="auto"/>
        <w:ind w:firstLine="120" w:firstLineChars="50"/>
        <w:rPr>
          <w:rFonts w:ascii="Tahoma" w:hAnsi="Tahoma" w:cs="Tahoma"/>
          <w:szCs w:val="21"/>
        </w:rPr>
      </w:pPr>
      <w:r>
        <w:rPr>
          <w:rFonts w:ascii="Tahoma" w:hAnsi="Tahoma" w:cs="Tahoma"/>
          <w:szCs w:val="21"/>
        </w:rPr>
        <w:t xml:space="preserve">（四）参与评标报告的起草； </w:t>
      </w:r>
    </w:p>
    <w:p>
      <w:pPr>
        <w:spacing w:line="360" w:lineRule="auto"/>
        <w:ind w:firstLine="120" w:firstLineChars="50"/>
        <w:rPr>
          <w:rFonts w:ascii="Tahoma" w:hAnsi="Tahoma" w:cs="Tahoma"/>
          <w:szCs w:val="21"/>
        </w:rPr>
      </w:pPr>
      <w:r>
        <w:rPr>
          <w:rFonts w:ascii="Tahoma" w:hAnsi="Tahoma" w:cs="Tahoma"/>
          <w:szCs w:val="21"/>
        </w:rPr>
        <w:t xml:space="preserve">（五）配合有关部门的投诉处理工作； </w:t>
      </w:r>
    </w:p>
    <w:p>
      <w:pPr>
        <w:spacing w:line="360" w:lineRule="auto"/>
        <w:ind w:firstLine="120" w:firstLineChars="50"/>
        <w:rPr>
          <w:rFonts w:ascii="Tahoma" w:hAnsi="Tahoma" w:cs="Tahoma"/>
          <w:szCs w:val="21"/>
        </w:rPr>
      </w:pPr>
      <w:r>
        <w:rPr>
          <w:rFonts w:ascii="Tahoma" w:hAnsi="Tahoma" w:cs="Tahoma"/>
          <w:szCs w:val="21"/>
        </w:rPr>
        <w:t xml:space="preserve">（六）配合招标单位答复投标供应商提出的质疑。 </w:t>
      </w:r>
    </w:p>
    <w:p>
      <w:pPr>
        <w:spacing w:line="360" w:lineRule="auto"/>
        <w:rPr>
          <w:rFonts w:ascii="Tahoma" w:hAnsi="Tahoma" w:cs="Tahoma"/>
          <w:szCs w:val="21"/>
        </w:rPr>
      </w:pPr>
      <w:r>
        <w:rPr>
          <w:rFonts w:ascii="Tahoma" w:hAnsi="Tahoma" w:cs="Tahoma"/>
          <w:b/>
          <w:bCs/>
          <w:szCs w:val="21"/>
        </w:rPr>
        <w:t>6.2．评标</w:t>
      </w:r>
    </w:p>
    <w:p>
      <w:pPr>
        <w:spacing w:line="360" w:lineRule="auto"/>
        <w:rPr>
          <w:rFonts w:ascii="Tahoma" w:hAnsi="Tahoma" w:cs="Tahoma"/>
          <w:szCs w:val="21"/>
        </w:rPr>
      </w:pPr>
      <w:r>
        <w:rPr>
          <w:rFonts w:ascii="Tahoma" w:hAnsi="Tahoma" w:cs="Tahoma"/>
          <w:szCs w:val="21"/>
        </w:rPr>
        <w:t>6.2.1本项目评标办法根据《政府采购货物和服务招标投标管理办法》（中华人民共和国财政部令第87号）</w:t>
      </w:r>
      <w:r>
        <w:rPr>
          <w:rFonts w:hint="eastAsia" w:ascii="Tahoma" w:hAnsi="Tahoma" w:cs="Tahoma"/>
          <w:szCs w:val="21"/>
        </w:rPr>
        <w:t>及相关法律法规</w:t>
      </w:r>
      <w:r>
        <w:rPr>
          <w:rFonts w:ascii="Tahoma" w:hAnsi="Tahoma" w:cs="Tahoma"/>
          <w:szCs w:val="21"/>
        </w:rPr>
        <w:t>规定的评审标准，评标办法（详见第三章）。</w:t>
      </w:r>
    </w:p>
    <w:p>
      <w:pPr>
        <w:spacing w:line="360" w:lineRule="auto"/>
        <w:rPr>
          <w:rFonts w:ascii="Tahoma" w:hAnsi="Tahoma" w:cs="Tahoma"/>
          <w:szCs w:val="21"/>
        </w:rPr>
      </w:pPr>
      <w:r>
        <w:rPr>
          <w:rFonts w:ascii="Tahoma" w:hAnsi="Tahoma" w:cs="Tahoma"/>
          <w:szCs w:val="21"/>
        </w:rPr>
        <w:t>6.2.2对所有</w:t>
      </w:r>
      <w:r>
        <w:rPr>
          <w:rFonts w:hint="eastAsia" w:ascii="Tahoma" w:hAnsi="Tahoma" w:cs="Tahoma"/>
          <w:szCs w:val="21"/>
        </w:rPr>
        <w:t>供应商</w:t>
      </w:r>
      <w:r>
        <w:rPr>
          <w:rFonts w:ascii="Tahoma" w:hAnsi="Tahoma" w:cs="Tahoma"/>
          <w:szCs w:val="21"/>
        </w:rPr>
        <w:t>的评估，都采用相同的程序和招标文件规定的评审标准。评议过程将严格按照招标文件规定的评标办法和标准进行。</w:t>
      </w:r>
    </w:p>
    <w:p>
      <w:pPr>
        <w:spacing w:line="360" w:lineRule="auto"/>
        <w:rPr>
          <w:rFonts w:ascii="Tahoma" w:hAnsi="Tahoma" w:cs="Tahoma"/>
          <w:szCs w:val="21"/>
        </w:rPr>
      </w:pPr>
      <w:r>
        <w:rPr>
          <w:rFonts w:ascii="Tahoma" w:hAnsi="Tahoma" w:cs="Tahoma"/>
          <w:szCs w:val="21"/>
        </w:rPr>
        <w:t>6.2.3有关</w:t>
      </w:r>
      <w:r>
        <w:rPr>
          <w:rFonts w:hint="eastAsia" w:ascii="Tahoma" w:hAnsi="Tahoma" w:cs="Tahoma"/>
          <w:szCs w:val="21"/>
        </w:rPr>
        <w:t>响应文件</w:t>
      </w:r>
      <w:r>
        <w:rPr>
          <w:rFonts w:ascii="Tahoma" w:hAnsi="Tahoma" w:cs="Tahoma"/>
          <w:szCs w:val="21"/>
        </w:rPr>
        <w:t>的审查、澄清、评估和比较以及推荐</w:t>
      </w:r>
      <w:r>
        <w:rPr>
          <w:rFonts w:hint="eastAsia" w:ascii="Tahoma" w:hAnsi="Tahoma" w:cs="Tahoma"/>
          <w:szCs w:val="21"/>
        </w:rPr>
        <w:t>成交候选人</w:t>
      </w:r>
      <w:r>
        <w:rPr>
          <w:rFonts w:ascii="Tahoma" w:hAnsi="Tahoma" w:cs="Tahoma"/>
          <w:szCs w:val="21"/>
        </w:rPr>
        <w:t>的一切情况都不得透露给任一</w:t>
      </w:r>
      <w:r>
        <w:rPr>
          <w:rFonts w:hint="eastAsia" w:ascii="Tahoma" w:hAnsi="Tahoma" w:cs="Tahoma"/>
          <w:szCs w:val="21"/>
        </w:rPr>
        <w:t>供应商</w:t>
      </w:r>
      <w:r>
        <w:rPr>
          <w:rFonts w:ascii="Tahoma" w:hAnsi="Tahoma" w:cs="Tahoma"/>
          <w:szCs w:val="21"/>
        </w:rPr>
        <w:t>或与上述评标工作无关的人员。</w:t>
      </w:r>
    </w:p>
    <w:p>
      <w:pPr>
        <w:spacing w:line="360" w:lineRule="auto"/>
        <w:rPr>
          <w:rFonts w:ascii="Tahoma" w:hAnsi="Tahoma" w:cs="Tahoma"/>
          <w:szCs w:val="21"/>
        </w:rPr>
      </w:pPr>
      <w:r>
        <w:rPr>
          <w:rFonts w:ascii="Tahoma" w:hAnsi="Tahoma" w:cs="Tahoma"/>
          <w:szCs w:val="21"/>
        </w:rPr>
        <w:t>6.2.4</w:t>
      </w:r>
      <w:r>
        <w:rPr>
          <w:rFonts w:hint="eastAsia" w:ascii="Tahoma" w:hAnsi="Tahoma" w:cs="Tahoma"/>
          <w:szCs w:val="21"/>
        </w:rPr>
        <w:t>供应商</w:t>
      </w:r>
      <w:r>
        <w:rPr>
          <w:rFonts w:ascii="Tahoma" w:hAnsi="Tahoma" w:cs="Tahoma"/>
          <w:szCs w:val="21"/>
        </w:rPr>
        <w:t>任何试图影响评委会对</w:t>
      </w:r>
      <w:r>
        <w:rPr>
          <w:rFonts w:hint="eastAsia" w:ascii="Tahoma" w:hAnsi="Tahoma" w:cs="Tahoma"/>
          <w:szCs w:val="21"/>
        </w:rPr>
        <w:t>响应文件</w:t>
      </w:r>
      <w:r>
        <w:rPr>
          <w:rFonts w:ascii="Tahoma" w:hAnsi="Tahoma" w:cs="Tahoma"/>
          <w:szCs w:val="21"/>
        </w:rPr>
        <w:t>的评估、比较或者推荐候选人的行为，都将导致其投标被拒绝，并被没收投标保证金。</w:t>
      </w:r>
    </w:p>
    <w:p>
      <w:pPr>
        <w:spacing w:line="360" w:lineRule="auto"/>
        <w:rPr>
          <w:rFonts w:ascii="Tahoma" w:hAnsi="Tahoma" w:cs="Tahoma"/>
          <w:szCs w:val="21"/>
        </w:rPr>
      </w:pPr>
      <w:r>
        <w:rPr>
          <w:rFonts w:ascii="Tahoma" w:hAnsi="Tahoma" w:cs="Tahoma"/>
          <w:b/>
          <w:bCs/>
          <w:szCs w:val="21"/>
        </w:rPr>
        <w:t xml:space="preserve">6.3. </w:t>
      </w:r>
      <w:r>
        <w:rPr>
          <w:rFonts w:hint="eastAsia" w:ascii="Tahoma" w:hAnsi="Tahoma" w:cs="Tahoma"/>
          <w:b/>
          <w:bCs/>
          <w:szCs w:val="21"/>
        </w:rPr>
        <w:t>响应文件</w:t>
      </w:r>
      <w:r>
        <w:rPr>
          <w:rFonts w:ascii="Tahoma" w:hAnsi="Tahoma" w:cs="Tahoma"/>
          <w:b/>
          <w:bCs/>
          <w:szCs w:val="21"/>
        </w:rPr>
        <w:t>的初审</w:t>
      </w:r>
    </w:p>
    <w:p>
      <w:pPr>
        <w:spacing w:line="360" w:lineRule="auto"/>
        <w:rPr>
          <w:rFonts w:ascii="Tahoma" w:hAnsi="Tahoma" w:cs="Tahoma"/>
          <w:szCs w:val="21"/>
        </w:rPr>
      </w:pPr>
      <w:r>
        <w:rPr>
          <w:rFonts w:ascii="Tahoma" w:hAnsi="Tahoma" w:cs="Tahoma"/>
          <w:szCs w:val="21"/>
        </w:rPr>
        <w:t>6.3.1评委会将对</w:t>
      </w:r>
      <w:r>
        <w:rPr>
          <w:rFonts w:hint="eastAsia" w:ascii="Tahoma" w:hAnsi="Tahoma" w:cs="Tahoma"/>
          <w:szCs w:val="21"/>
        </w:rPr>
        <w:t>响应文件</w:t>
      </w:r>
      <w:r>
        <w:rPr>
          <w:rFonts w:ascii="Tahoma" w:hAnsi="Tahoma" w:cs="Tahoma"/>
          <w:szCs w:val="21"/>
        </w:rPr>
        <w:t>进行检查，以确定</w:t>
      </w:r>
      <w:r>
        <w:rPr>
          <w:rFonts w:hint="eastAsia" w:ascii="Tahoma" w:hAnsi="Tahoma" w:cs="Tahoma"/>
          <w:szCs w:val="21"/>
        </w:rPr>
        <w:t>响应文件</w:t>
      </w:r>
      <w:r>
        <w:rPr>
          <w:rFonts w:ascii="Tahoma" w:hAnsi="Tahoma" w:cs="Tahoma"/>
          <w:szCs w:val="21"/>
        </w:rPr>
        <w:t xml:space="preserve">是否完整、有无计算上的错误、是否提交了投标保证金、文件是否已正确签署。 </w:t>
      </w:r>
    </w:p>
    <w:p>
      <w:pPr>
        <w:spacing w:line="360" w:lineRule="auto"/>
        <w:rPr>
          <w:rFonts w:ascii="Tahoma" w:hAnsi="Tahoma" w:cs="Tahoma"/>
          <w:b/>
          <w:bCs/>
          <w:szCs w:val="21"/>
        </w:rPr>
      </w:pPr>
      <w:r>
        <w:rPr>
          <w:rFonts w:ascii="Tahoma" w:hAnsi="Tahoma" w:cs="Tahoma"/>
          <w:b/>
          <w:bCs/>
          <w:szCs w:val="21"/>
        </w:rPr>
        <w:t xml:space="preserve">6.4.资格性检查和符合性检查 </w:t>
      </w:r>
    </w:p>
    <w:p>
      <w:pPr>
        <w:spacing w:line="360" w:lineRule="auto"/>
        <w:rPr>
          <w:rFonts w:ascii="Tahoma" w:hAnsi="Tahoma" w:cs="Tahoma"/>
          <w:szCs w:val="21"/>
        </w:rPr>
      </w:pPr>
      <w:r>
        <w:rPr>
          <w:rFonts w:ascii="Tahoma" w:hAnsi="Tahoma" w:cs="Tahoma"/>
          <w:szCs w:val="21"/>
        </w:rPr>
        <w:t>6.4.1资格性检查：依据法律法规和招标文件的规定，在对</w:t>
      </w:r>
      <w:r>
        <w:rPr>
          <w:rFonts w:hint="eastAsia" w:ascii="Tahoma" w:hAnsi="Tahoma" w:cs="Tahoma"/>
          <w:szCs w:val="21"/>
        </w:rPr>
        <w:t>响应文件</w:t>
      </w:r>
      <w:r>
        <w:rPr>
          <w:rFonts w:ascii="Tahoma" w:hAnsi="Tahoma" w:cs="Tahoma"/>
          <w:szCs w:val="21"/>
        </w:rPr>
        <w:t>详细评估之前，</w:t>
      </w:r>
      <w:r>
        <w:rPr>
          <w:rFonts w:hint="eastAsia" w:ascii="Tahoma" w:hAnsi="Tahoma" w:cs="Tahoma"/>
          <w:szCs w:val="21"/>
        </w:rPr>
        <w:t>监督人员</w:t>
      </w:r>
      <w:r>
        <w:rPr>
          <w:rFonts w:ascii="Tahoma" w:hAnsi="Tahoma" w:cs="Tahoma"/>
          <w:szCs w:val="21"/>
        </w:rPr>
        <w:t>将依据</w:t>
      </w:r>
      <w:r>
        <w:rPr>
          <w:rFonts w:hint="eastAsia" w:ascii="Tahoma" w:hAnsi="Tahoma" w:cs="Tahoma"/>
          <w:szCs w:val="21"/>
        </w:rPr>
        <w:t>供应商</w:t>
      </w:r>
      <w:r>
        <w:rPr>
          <w:rFonts w:ascii="Tahoma" w:hAnsi="Tahoma" w:cs="Tahoma"/>
          <w:szCs w:val="21"/>
        </w:rPr>
        <w:t>提交的</w:t>
      </w:r>
      <w:r>
        <w:rPr>
          <w:rFonts w:hint="eastAsia" w:ascii="Tahoma" w:hAnsi="Tahoma" w:cs="Tahoma"/>
          <w:szCs w:val="21"/>
        </w:rPr>
        <w:t>响应文件</w:t>
      </w:r>
      <w:r>
        <w:rPr>
          <w:rFonts w:ascii="Tahoma" w:hAnsi="Tahoma" w:cs="Tahoma"/>
          <w:szCs w:val="21"/>
        </w:rPr>
        <w:t>按</w:t>
      </w:r>
      <w:r>
        <w:rPr>
          <w:rFonts w:hint="eastAsia" w:ascii="Tahoma" w:hAnsi="Tahoma" w:cs="Tahoma"/>
          <w:szCs w:val="21"/>
        </w:rPr>
        <w:t>供应商</w:t>
      </w:r>
      <w:r>
        <w:rPr>
          <w:rFonts w:ascii="Tahoma" w:hAnsi="Tahoma" w:cs="Tahoma"/>
          <w:szCs w:val="21"/>
        </w:rPr>
        <w:t>须知前附表所述的资格标准对</w:t>
      </w:r>
      <w:r>
        <w:rPr>
          <w:rFonts w:hint="eastAsia" w:ascii="Tahoma" w:hAnsi="Tahoma" w:cs="Tahoma"/>
          <w:szCs w:val="21"/>
        </w:rPr>
        <w:t>供应商</w:t>
      </w:r>
      <w:r>
        <w:rPr>
          <w:rFonts w:ascii="Tahoma" w:hAnsi="Tahoma" w:cs="Tahoma"/>
          <w:szCs w:val="21"/>
        </w:rPr>
        <w:t>进行资格审查，以确定其是否具备投标资格。如果</w:t>
      </w:r>
      <w:r>
        <w:rPr>
          <w:rFonts w:hint="eastAsia" w:ascii="Tahoma" w:hAnsi="Tahoma" w:cs="Tahoma"/>
          <w:szCs w:val="21"/>
        </w:rPr>
        <w:t>供应商</w:t>
      </w:r>
      <w:r>
        <w:rPr>
          <w:rFonts w:ascii="Tahoma" w:hAnsi="Tahoma" w:cs="Tahoma"/>
          <w:szCs w:val="21"/>
        </w:rPr>
        <w:t>不具备投标资格，不满足招标文件所规定的资格标准或提供资格证明文件不全的，</w:t>
      </w:r>
      <w:r>
        <w:rPr>
          <w:rFonts w:ascii="Tahoma" w:hAnsi="Tahoma" w:cs="Tahoma"/>
          <w:b/>
          <w:szCs w:val="21"/>
        </w:rPr>
        <w:t>其投标无效。</w:t>
      </w:r>
    </w:p>
    <w:p>
      <w:pPr>
        <w:spacing w:line="360" w:lineRule="auto"/>
        <w:rPr>
          <w:rFonts w:ascii="Tahoma" w:hAnsi="Tahoma" w:cs="Tahoma"/>
          <w:szCs w:val="21"/>
        </w:rPr>
      </w:pPr>
      <w:r>
        <w:rPr>
          <w:rFonts w:ascii="Tahoma" w:hAnsi="Tahoma" w:cs="Tahoma"/>
          <w:szCs w:val="21"/>
        </w:rPr>
        <w:t>6.4.2符合性检查：由评标委员会依据有关法律、法规及招标文件的要求，对对符合资格的</w:t>
      </w:r>
      <w:r>
        <w:rPr>
          <w:rFonts w:hint="eastAsia" w:ascii="Tahoma" w:hAnsi="Tahoma" w:cs="Tahoma"/>
          <w:szCs w:val="21"/>
        </w:rPr>
        <w:t>供应商</w:t>
      </w:r>
      <w:r>
        <w:rPr>
          <w:rFonts w:ascii="Tahoma" w:hAnsi="Tahoma" w:cs="Tahoma"/>
          <w:szCs w:val="21"/>
        </w:rPr>
        <w:t>的</w:t>
      </w:r>
      <w:r>
        <w:rPr>
          <w:rFonts w:hint="eastAsia" w:ascii="Tahoma" w:hAnsi="Tahoma" w:cs="Tahoma"/>
          <w:szCs w:val="21"/>
        </w:rPr>
        <w:t>响应文件</w:t>
      </w:r>
      <w:r>
        <w:rPr>
          <w:rFonts w:ascii="Tahoma" w:hAnsi="Tahoma" w:cs="Tahoma"/>
          <w:szCs w:val="21"/>
        </w:rPr>
        <w:t>进行符合性审查，以确定其是否满足招标文件的实质性要求。只有通过符合性审查的</w:t>
      </w:r>
      <w:r>
        <w:rPr>
          <w:rFonts w:hint="eastAsia" w:ascii="Tahoma" w:hAnsi="Tahoma" w:cs="Tahoma"/>
          <w:szCs w:val="21"/>
        </w:rPr>
        <w:t>供应商</w:t>
      </w:r>
      <w:r>
        <w:rPr>
          <w:rFonts w:ascii="Tahoma" w:hAnsi="Tahoma" w:cs="Tahoma"/>
          <w:szCs w:val="21"/>
        </w:rPr>
        <w:t>的</w:t>
      </w:r>
      <w:r>
        <w:rPr>
          <w:rFonts w:hint="eastAsia" w:ascii="Tahoma" w:hAnsi="Tahoma" w:cs="Tahoma"/>
          <w:szCs w:val="21"/>
        </w:rPr>
        <w:t>响应文件</w:t>
      </w:r>
      <w:r>
        <w:rPr>
          <w:rFonts w:ascii="Tahoma" w:hAnsi="Tahoma" w:cs="Tahoma"/>
          <w:szCs w:val="21"/>
        </w:rPr>
        <w:t>才能进入下一阶段的评审！</w:t>
      </w:r>
    </w:p>
    <w:p>
      <w:pPr>
        <w:spacing w:line="360" w:lineRule="auto"/>
        <w:rPr>
          <w:rFonts w:ascii="Tahoma" w:hAnsi="Tahoma" w:cs="Tahoma"/>
          <w:szCs w:val="21"/>
        </w:rPr>
      </w:pPr>
      <w:r>
        <w:rPr>
          <w:rFonts w:ascii="Tahoma" w:hAnsi="Tahoma" w:cs="Tahoma"/>
          <w:szCs w:val="21"/>
        </w:rPr>
        <w:t>6.4.3</w:t>
      </w:r>
      <w:r>
        <w:rPr>
          <w:rFonts w:hint="eastAsia" w:ascii="Tahoma" w:hAnsi="Tahoma" w:cs="Tahoma"/>
          <w:b/>
          <w:szCs w:val="21"/>
        </w:rPr>
        <w:t>供应商</w:t>
      </w:r>
      <w:r>
        <w:rPr>
          <w:rFonts w:ascii="Tahoma" w:hAnsi="Tahoma" w:cs="Tahoma"/>
          <w:b/>
          <w:szCs w:val="21"/>
        </w:rPr>
        <w:t>存在下列情况之一的，</w:t>
      </w:r>
      <w:r>
        <w:rPr>
          <w:rFonts w:hint="eastAsia" w:ascii="Tahoma" w:hAnsi="Tahoma" w:cs="Tahoma"/>
          <w:b/>
          <w:szCs w:val="21"/>
        </w:rPr>
        <w:t>响应文件</w:t>
      </w:r>
      <w:r>
        <w:rPr>
          <w:rFonts w:ascii="Tahoma" w:hAnsi="Tahoma" w:cs="Tahoma"/>
          <w:b/>
          <w:szCs w:val="21"/>
        </w:rPr>
        <w:t>将被视为未实质性响应招标文件要求，其投标无效：</w:t>
      </w:r>
    </w:p>
    <w:p>
      <w:pPr>
        <w:spacing w:line="360" w:lineRule="auto"/>
        <w:ind w:firstLine="240" w:firstLineChars="100"/>
        <w:rPr>
          <w:rFonts w:ascii="Tahoma" w:hAnsi="Tahoma" w:cs="Tahoma"/>
          <w:szCs w:val="21"/>
        </w:rPr>
      </w:pPr>
      <w:bookmarkStart w:id="26" w:name="_Hlk520742932"/>
      <w:r>
        <w:rPr>
          <w:rFonts w:ascii="Tahoma" w:hAnsi="Tahoma" w:cs="Tahoma"/>
          <w:szCs w:val="21"/>
        </w:rPr>
        <w:t>（1）不具备招标文件中规定的资格要求的，或</w:t>
      </w:r>
      <w:r>
        <w:rPr>
          <w:rFonts w:hint="eastAsia" w:ascii="Tahoma" w:hAnsi="Tahoma" w:cs="Tahoma"/>
          <w:szCs w:val="21"/>
        </w:rPr>
        <w:t>响应文件</w:t>
      </w:r>
      <w:r>
        <w:rPr>
          <w:rFonts w:ascii="Tahoma" w:hAnsi="Tahoma" w:cs="Tahoma"/>
          <w:szCs w:val="21"/>
        </w:rPr>
        <w:t>中提供的资格证明文件与原件不一致的；</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2</w:t>
      </w:r>
      <w:r>
        <w:rPr>
          <w:rFonts w:ascii="Tahoma" w:hAnsi="Tahoma" w:cs="Tahoma"/>
          <w:szCs w:val="21"/>
        </w:rPr>
        <w:t>）</w:t>
      </w:r>
      <w:r>
        <w:rPr>
          <w:rFonts w:hint="eastAsia" w:ascii="Tahoma" w:hAnsi="Tahoma" w:cs="Tahoma"/>
          <w:szCs w:val="21"/>
        </w:rPr>
        <w:t>响应文件</w:t>
      </w:r>
      <w:r>
        <w:rPr>
          <w:rFonts w:ascii="Tahoma" w:hAnsi="Tahoma" w:cs="Tahoma"/>
          <w:szCs w:val="21"/>
        </w:rPr>
        <w:t>未按招标文件要求签署、盖章的；</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3</w:t>
      </w:r>
      <w:r>
        <w:rPr>
          <w:rFonts w:ascii="Tahoma" w:hAnsi="Tahoma" w:cs="Tahoma"/>
          <w:szCs w:val="21"/>
        </w:rPr>
        <w:t>）未按照招标文件的规定提交投标保证金的；</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4</w:t>
      </w:r>
      <w:r>
        <w:rPr>
          <w:rFonts w:ascii="Tahoma" w:hAnsi="Tahoma" w:cs="Tahoma"/>
          <w:szCs w:val="21"/>
        </w:rPr>
        <w:t>）</w:t>
      </w:r>
      <w:r>
        <w:rPr>
          <w:rFonts w:hint="eastAsia" w:ascii="Tahoma" w:hAnsi="Tahoma" w:cs="Tahoma"/>
          <w:szCs w:val="21"/>
        </w:rPr>
        <w:t>响应文件</w:t>
      </w:r>
      <w:r>
        <w:rPr>
          <w:rFonts w:ascii="Tahoma" w:hAnsi="Tahoma" w:cs="Tahoma"/>
          <w:szCs w:val="21"/>
        </w:rPr>
        <w:t>含有采购人不能接受的附加条件的；</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5</w:t>
      </w:r>
      <w:r>
        <w:rPr>
          <w:rFonts w:ascii="Tahoma" w:hAnsi="Tahoma" w:cs="Tahoma"/>
          <w:szCs w:val="21"/>
        </w:rPr>
        <w:t>）投标有效期不满足招标文件要求的；</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6</w:t>
      </w:r>
      <w:r>
        <w:rPr>
          <w:rFonts w:ascii="Tahoma" w:hAnsi="Tahoma" w:cs="Tahoma"/>
          <w:szCs w:val="21"/>
        </w:rPr>
        <w:t>）同一</w:t>
      </w:r>
      <w:r>
        <w:rPr>
          <w:rFonts w:hint="eastAsia" w:ascii="Tahoma" w:hAnsi="Tahoma" w:cs="Tahoma"/>
          <w:szCs w:val="21"/>
        </w:rPr>
        <w:t>供应商</w:t>
      </w:r>
      <w:r>
        <w:rPr>
          <w:rFonts w:ascii="Tahoma" w:hAnsi="Tahoma" w:cs="Tahoma"/>
          <w:szCs w:val="21"/>
        </w:rPr>
        <w:t>在同一标段重复投一个标的</w:t>
      </w:r>
      <w:r>
        <w:rPr>
          <w:rFonts w:hint="eastAsia" w:ascii="Tahoma" w:hAnsi="Tahoma" w:cs="Tahoma"/>
          <w:szCs w:val="21"/>
        </w:rPr>
        <w:t>；</w:t>
      </w:r>
    </w:p>
    <w:p>
      <w:pPr>
        <w:spacing w:line="360" w:lineRule="auto"/>
        <w:ind w:firstLine="240" w:firstLineChars="100"/>
        <w:rPr>
          <w:rFonts w:ascii="Tahoma" w:hAnsi="Tahoma" w:cs="Tahoma"/>
          <w:szCs w:val="21"/>
          <w:highlight w:val="yellow"/>
        </w:rPr>
      </w:pPr>
      <w:r>
        <w:rPr>
          <w:rFonts w:ascii="Tahoma" w:hAnsi="Tahoma" w:cs="Tahoma"/>
          <w:szCs w:val="21"/>
        </w:rPr>
        <w:t>（</w:t>
      </w:r>
      <w:r>
        <w:rPr>
          <w:rFonts w:hint="eastAsia" w:ascii="Tahoma" w:hAnsi="Tahoma" w:cs="Tahoma"/>
          <w:szCs w:val="21"/>
        </w:rPr>
        <w:t>7</w:t>
      </w:r>
      <w:r>
        <w:rPr>
          <w:rFonts w:ascii="Tahoma" w:hAnsi="Tahoma" w:cs="Tahoma"/>
          <w:szCs w:val="21"/>
        </w:rPr>
        <w:t>）</w:t>
      </w:r>
      <w:r>
        <w:rPr>
          <w:rFonts w:ascii="Tahoma" w:hAnsi="Tahoma" w:cs="Tahoma"/>
          <w:szCs w:val="21"/>
          <w:highlight w:val="none"/>
        </w:rPr>
        <w:t>报价超过招标文件中规定的</w:t>
      </w:r>
      <w:r>
        <w:rPr>
          <w:rFonts w:hint="eastAsia" w:ascii="Tahoma" w:hAnsi="Tahoma" w:cs="Tahoma"/>
          <w:szCs w:val="21"/>
          <w:highlight w:val="none"/>
        </w:rPr>
        <w:t>采购</w:t>
      </w:r>
      <w:r>
        <w:rPr>
          <w:rFonts w:ascii="Tahoma" w:hAnsi="Tahoma" w:cs="Tahoma"/>
          <w:szCs w:val="21"/>
          <w:highlight w:val="none"/>
        </w:rPr>
        <w:t>预算金额的；或提供的报价是可供选择的（不是唯一报价）；</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8</w:t>
      </w:r>
      <w:r>
        <w:rPr>
          <w:rFonts w:ascii="Tahoma" w:hAnsi="Tahoma" w:cs="Tahoma"/>
          <w:szCs w:val="21"/>
        </w:rPr>
        <w:t>）</w:t>
      </w:r>
      <w:r>
        <w:rPr>
          <w:rFonts w:hint="eastAsia" w:ascii="Tahoma" w:hAnsi="Tahoma" w:cs="Tahoma"/>
          <w:szCs w:val="21"/>
        </w:rPr>
        <w:t>响应文件</w:t>
      </w:r>
      <w:r>
        <w:rPr>
          <w:rFonts w:ascii="Tahoma" w:hAnsi="Tahoma" w:cs="Tahoma"/>
          <w:szCs w:val="21"/>
        </w:rPr>
        <w:t>的内容与采购内容及要求（质量要求、交货期、付款方式等）有重大偏离或保留的；</w:t>
      </w:r>
    </w:p>
    <w:p>
      <w:pPr>
        <w:spacing w:line="360" w:lineRule="auto"/>
        <w:ind w:firstLine="240" w:firstLineChars="100"/>
        <w:rPr>
          <w:rFonts w:ascii="Tahoma" w:hAnsi="Tahoma" w:cs="Tahoma"/>
          <w:szCs w:val="21"/>
        </w:rPr>
      </w:pPr>
      <w:r>
        <w:rPr>
          <w:rFonts w:ascii="Tahoma" w:hAnsi="Tahoma" w:cs="Tahoma"/>
          <w:szCs w:val="21"/>
        </w:rPr>
        <w:t>（</w:t>
      </w:r>
      <w:r>
        <w:rPr>
          <w:rFonts w:hint="eastAsia" w:ascii="Tahoma" w:hAnsi="Tahoma" w:cs="Tahoma"/>
          <w:szCs w:val="21"/>
        </w:rPr>
        <w:t>9</w:t>
      </w:r>
      <w:r>
        <w:rPr>
          <w:rFonts w:ascii="Tahoma" w:hAnsi="Tahoma" w:cs="Tahoma"/>
          <w:szCs w:val="21"/>
        </w:rPr>
        <w:t>）存在财政部令第87号文第三十七条规定串通投标的情形之一的；</w:t>
      </w:r>
    </w:p>
    <w:p>
      <w:pPr>
        <w:spacing w:line="360" w:lineRule="auto"/>
        <w:ind w:firstLine="240" w:firstLineChars="100"/>
        <w:rPr>
          <w:rFonts w:ascii="Tahoma" w:hAnsi="Tahoma" w:cs="Tahoma"/>
          <w:szCs w:val="21"/>
        </w:rPr>
      </w:pPr>
      <w:r>
        <w:rPr>
          <w:rFonts w:ascii="Tahoma" w:hAnsi="Tahoma" w:cs="Tahoma"/>
          <w:szCs w:val="21"/>
        </w:rPr>
        <w:t>（1</w:t>
      </w:r>
      <w:r>
        <w:rPr>
          <w:rFonts w:hint="eastAsia" w:ascii="Tahoma" w:hAnsi="Tahoma" w:cs="Tahoma"/>
          <w:szCs w:val="21"/>
        </w:rPr>
        <w:t>0</w:t>
      </w:r>
      <w:r>
        <w:rPr>
          <w:rFonts w:ascii="Tahoma" w:hAnsi="Tahoma" w:cs="Tahoma"/>
          <w:szCs w:val="21"/>
        </w:rPr>
        <w:t>）</w:t>
      </w:r>
      <w:r>
        <w:rPr>
          <w:rFonts w:hint="eastAsia" w:ascii="Tahoma" w:hAnsi="Tahoma" w:cs="Tahoma"/>
          <w:szCs w:val="21"/>
        </w:rPr>
        <w:t>响应文件</w:t>
      </w:r>
      <w:r>
        <w:rPr>
          <w:rFonts w:ascii="Tahoma" w:hAnsi="Tahoma" w:cs="Tahoma"/>
          <w:szCs w:val="21"/>
        </w:rPr>
        <w:t>的内容组成不符合招标文件要求的；</w:t>
      </w:r>
    </w:p>
    <w:p>
      <w:pPr>
        <w:spacing w:line="360" w:lineRule="auto"/>
        <w:ind w:firstLine="240" w:firstLineChars="100"/>
        <w:rPr>
          <w:rFonts w:ascii="Tahoma" w:hAnsi="Tahoma" w:cs="Tahoma"/>
          <w:szCs w:val="21"/>
        </w:rPr>
      </w:pPr>
      <w:r>
        <w:rPr>
          <w:rFonts w:ascii="Tahoma" w:hAnsi="Tahoma" w:cs="Tahoma"/>
          <w:szCs w:val="21"/>
        </w:rPr>
        <w:t>（1</w:t>
      </w:r>
      <w:r>
        <w:rPr>
          <w:rFonts w:hint="eastAsia" w:ascii="Tahoma" w:hAnsi="Tahoma" w:cs="Tahoma"/>
          <w:szCs w:val="21"/>
        </w:rPr>
        <w:t>1</w:t>
      </w:r>
      <w:r>
        <w:rPr>
          <w:rFonts w:ascii="Tahoma" w:hAnsi="Tahoma" w:cs="Tahoma"/>
          <w:szCs w:val="21"/>
        </w:rPr>
        <w:t>）</w:t>
      </w:r>
      <w:r>
        <w:rPr>
          <w:rFonts w:hint="eastAsia" w:ascii="Tahoma" w:hAnsi="Tahoma" w:cs="Tahoma"/>
          <w:szCs w:val="21"/>
        </w:rPr>
        <w:t>响应文件</w:t>
      </w:r>
      <w:r>
        <w:rPr>
          <w:rFonts w:ascii="Tahoma" w:hAnsi="Tahoma" w:cs="Tahoma"/>
          <w:szCs w:val="21"/>
        </w:rPr>
        <w:t>中提供虚假或失实资料的，骗取中标的；</w:t>
      </w:r>
    </w:p>
    <w:p>
      <w:pPr>
        <w:spacing w:line="360" w:lineRule="auto"/>
        <w:ind w:firstLine="240" w:firstLineChars="100"/>
        <w:rPr>
          <w:rFonts w:ascii="Tahoma" w:hAnsi="Tahoma" w:cs="Tahoma"/>
          <w:szCs w:val="21"/>
        </w:rPr>
      </w:pPr>
      <w:r>
        <w:rPr>
          <w:rFonts w:ascii="Tahoma" w:hAnsi="Tahoma" w:cs="Tahoma"/>
          <w:szCs w:val="21"/>
        </w:rPr>
        <w:t>（1</w:t>
      </w:r>
      <w:r>
        <w:rPr>
          <w:rFonts w:hint="eastAsia" w:ascii="Tahoma" w:hAnsi="Tahoma" w:cs="Tahoma"/>
          <w:szCs w:val="21"/>
        </w:rPr>
        <w:t>2</w:t>
      </w:r>
      <w:r>
        <w:rPr>
          <w:rFonts w:ascii="Tahoma" w:hAnsi="Tahoma" w:cs="Tahoma"/>
          <w:szCs w:val="21"/>
        </w:rPr>
        <w:t>）法律、法规和招标文件规定的其他无效情形。</w:t>
      </w:r>
    </w:p>
    <w:bookmarkEnd w:id="26"/>
    <w:p>
      <w:pPr>
        <w:spacing w:line="360" w:lineRule="auto"/>
        <w:rPr>
          <w:rFonts w:ascii="Tahoma" w:hAnsi="Tahoma" w:cs="Tahoma"/>
          <w:szCs w:val="21"/>
        </w:rPr>
      </w:pPr>
      <w:r>
        <w:rPr>
          <w:rFonts w:ascii="Tahoma" w:hAnsi="Tahoma" w:cs="Tahoma"/>
          <w:szCs w:val="21"/>
        </w:rPr>
        <w:t>6.4.4评标委员会判断</w:t>
      </w:r>
      <w:r>
        <w:rPr>
          <w:rFonts w:hint="eastAsia" w:ascii="Tahoma" w:hAnsi="Tahoma" w:cs="Tahoma"/>
          <w:szCs w:val="21"/>
        </w:rPr>
        <w:t>响应文件</w:t>
      </w:r>
      <w:r>
        <w:rPr>
          <w:rFonts w:ascii="Tahoma" w:hAnsi="Tahoma" w:cs="Tahoma"/>
          <w:szCs w:val="21"/>
        </w:rPr>
        <w:t>的响应性仅基于</w:t>
      </w:r>
      <w:r>
        <w:rPr>
          <w:rFonts w:hint="eastAsia" w:ascii="Tahoma" w:hAnsi="Tahoma" w:cs="Tahoma"/>
          <w:szCs w:val="21"/>
        </w:rPr>
        <w:t>响应文件</w:t>
      </w:r>
      <w:r>
        <w:rPr>
          <w:rFonts w:ascii="Tahoma" w:hAnsi="Tahoma" w:cs="Tahoma"/>
          <w:szCs w:val="21"/>
        </w:rPr>
        <w:t>本身而不靠外部证据。</w:t>
      </w:r>
    </w:p>
    <w:p>
      <w:pPr>
        <w:spacing w:line="360" w:lineRule="auto"/>
        <w:rPr>
          <w:rFonts w:ascii="Tahoma" w:hAnsi="Tahoma" w:cs="Tahoma"/>
          <w:szCs w:val="21"/>
        </w:rPr>
      </w:pPr>
      <w:r>
        <w:rPr>
          <w:rFonts w:ascii="Tahoma" w:hAnsi="Tahoma" w:cs="Tahoma"/>
          <w:szCs w:val="21"/>
        </w:rPr>
        <w:t>6.4.5评标委员会将拒绝被确定为非实质性响应的投标，</w:t>
      </w:r>
      <w:r>
        <w:rPr>
          <w:rFonts w:hint="eastAsia" w:ascii="Tahoma" w:hAnsi="Tahoma" w:cs="Tahoma"/>
          <w:szCs w:val="21"/>
        </w:rPr>
        <w:t>供应商</w:t>
      </w:r>
      <w:r>
        <w:rPr>
          <w:rFonts w:ascii="Tahoma" w:hAnsi="Tahoma" w:cs="Tahoma"/>
          <w:szCs w:val="21"/>
        </w:rPr>
        <w:t>不能通过修正或撤销不符之处而使其投标成为实质性响应的投标。</w:t>
      </w:r>
    </w:p>
    <w:p>
      <w:pPr>
        <w:spacing w:line="360" w:lineRule="auto"/>
        <w:rPr>
          <w:rFonts w:ascii="Tahoma" w:hAnsi="Tahoma" w:cs="Tahoma"/>
          <w:szCs w:val="21"/>
        </w:rPr>
      </w:pPr>
      <w:r>
        <w:rPr>
          <w:rFonts w:ascii="Tahoma" w:hAnsi="Tahoma" w:cs="Tahoma"/>
          <w:b/>
          <w:bCs/>
          <w:szCs w:val="21"/>
        </w:rPr>
        <w:t>6.5.</w:t>
      </w:r>
      <w:r>
        <w:rPr>
          <w:rFonts w:hint="eastAsia" w:ascii="Tahoma" w:hAnsi="Tahoma" w:cs="Tahoma"/>
          <w:b/>
          <w:bCs/>
          <w:szCs w:val="21"/>
        </w:rPr>
        <w:t>响应文件</w:t>
      </w:r>
      <w:r>
        <w:rPr>
          <w:rFonts w:ascii="Tahoma" w:hAnsi="Tahoma" w:cs="Tahoma"/>
          <w:b/>
          <w:bCs/>
          <w:szCs w:val="21"/>
        </w:rPr>
        <w:t>的澄清</w:t>
      </w:r>
    </w:p>
    <w:p>
      <w:pPr>
        <w:spacing w:line="360" w:lineRule="auto"/>
        <w:rPr>
          <w:rFonts w:ascii="Tahoma" w:hAnsi="Tahoma" w:cs="Tahoma"/>
          <w:szCs w:val="21"/>
        </w:rPr>
      </w:pPr>
      <w:r>
        <w:rPr>
          <w:rFonts w:ascii="Tahoma" w:hAnsi="Tahoma" w:cs="Tahoma"/>
          <w:szCs w:val="21"/>
        </w:rPr>
        <w:t>6.5.1评标委员会将允许</w:t>
      </w:r>
      <w:r>
        <w:rPr>
          <w:rFonts w:hint="eastAsia" w:ascii="Tahoma" w:hAnsi="Tahoma" w:cs="Tahoma"/>
          <w:szCs w:val="21"/>
        </w:rPr>
        <w:t>供应商</w:t>
      </w:r>
      <w:r>
        <w:rPr>
          <w:rFonts w:ascii="Tahoma" w:hAnsi="Tahoma" w:cs="Tahoma"/>
          <w:szCs w:val="21"/>
        </w:rPr>
        <w:t>修改</w:t>
      </w:r>
      <w:r>
        <w:rPr>
          <w:rFonts w:hint="eastAsia" w:ascii="Tahoma" w:hAnsi="Tahoma" w:cs="Tahoma"/>
          <w:szCs w:val="21"/>
        </w:rPr>
        <w:t>响应文件</w:t>
      </w:r>
      <w:r>
        <w:rPr>
          <w:rFonts w:ascii="Tahoma" w:hAnsi="Tahoma" w:cs="Tahoma"/>
          <w:szCs w:val="21"/>
        </w:rPr>
        <w:t>中不构成重大偏离的微小的、非正规、不一致或不规则地方，但这种允许不能损害或影响任何</w:t>
      </w:r>
      <w:r>
        <w:rPr>
          <w:rFonts w:hint="eastAsia" w:ascii="Tahoma" w:hAnsi="Tahoma" w:cs="Tahoma"/>
          <w:szCs w:val="21"/>
        </w:rPr>
        <w:t>供应商</w:t>
      </w:r>
      <w:r>
        <w:rPr>
          <w:rFonts w:ascii="Tahoma" w:hAnsi="Tahoma" w:cs="Tahoma"/>
          <w:szCs w:val="21"/>
        </w:rPr>
        <w:t>的相对排序。</w:t>
      </w:r>
    </w:p>
    <w:p>
      <w:pPr>
        <w:spacing w:line="360" w:lineRule="auto"/>
        <w:rPr>
          <w:rFonts w:ascii="Tahoma" w:hAnsi="Tahoma" w:cs="Tahoma"/>
          <w:szCs w:val="21"/>
        </w:rPr>
      </w:pPr>
      <w:r>
        <w:rPr>
          <w:rFonts w:ascii="Tahoma" w:hAnsi="Tahoma" w:cs="Tahoma"/>
          <w:szCs w:val="21"/>
        </w:rPr>
        <w:t>6.5.2对于</w:t>
      </w:r>
      <w:r>
        <w:rPr>
          <w:rFonts w:hint="eastAsia" w:ascii="Tahoma" w:hAnsi="Tahoma" w:cs="Tahoma"/>
          <w:szCs w:val="21"/>
        </w:rPr>
        <w:t>响应文件</w:t>
      </w:r>
      <w:r>
        <w:rPr>
          <w:rFonts w:ascii="Tahoma" w:hAnsi="Tahoma" w:cs="Tahoma"/>
          <w:szCs w:val="21"/>
        </w:rPr>
        <w:t>中含义不明确、同类问题表述不一致或者有明显文字和计算错误的内容，评标委员会应当以书面形式要求</w:t>
      </w:r>
      <w:r>
        <w:rPr>
          <w:rFonts w:hint="eastAsia" w:ascii="Tahoma" w:hAnsi="Tahoma" w:cs="Tahoma"/>
          <w:szCs w:val="21"/>
        </w:rPr>
        <w:t>供应商</w:t>
      </w:r>
      <w:r>
        <w:rPr>
          <w:rFonts w:ascii="Tahoma" w:hAnsi="Tahoma" w:cs="Tahoma"/>
          <w:szCs w:val="21"/>
        </w:rPr>
        <w:t>作出必要的澄清、说明或者补正。</w:t>
      </w:r>
    </w:p>
    <w:p>
      <w:pPr>
        <w:spacing w:line="360" w:lineRule="auto"/>
        <w:rPr>
          <w:rFonts w:ascii="Tahoma" w:hAnsi="Tahoma" w:cs="Tahoma"/>
          <w:szCs w:val="21"/>
        </w:rPr>
      </w:pPr>
      <w:r>
        <w:rPr>
          <w:rFonts w:ascii="Tahoma" w:hAnsi="Tahoma" w:cs="Tahoma"/>
          <w:szCs w:val="21"/>
        </w:rPr>
        <w:t xml:space="preserve">　  </w:t>
      </w:r>
      <w:r>
        <w:rPr>
          <w:rFonts w:hint="eastAsia" w:ascii="Tahoma" w:hAnsi="Tahoma" w:cs="Tahoma"/>
          <w:szCs w:val="21"/>
        </w:rPr>
        <w:t>供应商</w:t>
      </w:r>
      <w:r>
        <w:rPr>
          <w:rFonts w:ascii="Tahoma" w:hAnsi="Tahoma" w:cs="Tahoma"/>
          <w:szCs w:val="21"/>
        </w:rPr>
        <w:t>的澄清、说明或者补正应当采用书面形式，并加盖公章，或者由法定代表人或其授权的代表签字。</w:t>
      </w:r>
      <w:r>
        <w:rPr>
          <w:rFonts w:hint="eastAsia" w:ascii="Tahoma" w:hAnsi="Tahoma" w:cs="Tahoma"/>
          <w:szCs w:val="21"/>
        </w:rPr>
        <w:t>供应商</w:t>
      </w:r>
      <w:r>
        <w:rPr>
          <w:rFonts w:ascii="Tahoma" w:hAnsi="Tahoma" w:cs="Tahoma"/>
          <w:szCs w:val="21"/>
        </w:rPr>
        <w:t>的澄清、说明或者补正不得超出</w:t>
      </w:r>
      <w:r>
        <w:rPr>
          <w:rFonts w:hint="eastAsia" w:ascii="Tahoma" w:hAnsi="Tahoma" w:cs="Tahoma"/>
          <w:szCs w:val="21"/>
        </w:rPr>
        <w:t>响应文件</w:t>
      </w:r>
      <w:r>
        <w:rPr>
          <w:rFonts w:ascii="Tahoma" w:hAnsi="Tahoma" w:cs="Tahoma"/>
          <w:szCs w:val="21"/>
        </w:rPr>
        <w:t>的范围或者改变</w:t>
      </w:r>
      <w:r>
        <w:rPr>
          <w:rFonts w:hint="eastAsia" w:ascii="Tahoma" w:hAnsi="Tahoma" w:cs="Tahoma"/>
          <w:szCs w:val="21"/>
        </w:rPr>
        <w:t>响应文件</w:t>
      </w:r>
      <w:r>
        <w:rPr>
          <w:rFonts w:ascii="Tahoma" w:hAnsi="Tahoma" w:cs="Tahoma"/>
          <w:szCs w:val="21"/>
        </w:rPr>
        <w:t>的实质性内容。</w:t>
      </w:r>
    </w:p>
    <w:p>
      <w:pPr>
        <w:spacing w:line="360" w:lineRule="auto"/>
        <w:rPr>
          <w:rFonts w:ascii="Tahoma" w:hAnsi="Tahoma" w:cs="Tahoma"/>
          <w:szCs w:val="21"/>
        </w:rPr>
      </w:pPr>
      <w:r>
        <w:rPr>
          <w:rFonts w:ascii="Tahoma" w:hAnsi="Tahoma" w:cs="Tahoma"/>
          <w:szCs w:val="21"/>
        </w:rPr>
        <w:t>6.5.3</w:t>
      </w:r>
      <w:r>
        <w:rPr>
          <w:rFonts w:hint="eastAsia" w:ascii="Tahoma" w:hAnsi="Tahoma" w:cs="Tahoma"/>
          <w:szCs w:val="21"/>
        </w:rPr>
        <w:t>响应文件</w:t>
      </w:r>
      <w:r>
        <w:rPr>
          <w:rFonts w:ascii="Tahoma" w:hAnsi="Tahoma" w:cs="Tahoma"/>
          <w:szCs w:val="21"/>
        </w:rPr>
        <w:t>报价出现前后不一致的，除招标文件另有规定外，按照下列规定修正：</w:t>
      </w:r>
    </w:p>
    <w:p>
      <w:pPr>
        <w:spacing w:line="360" w:lineRule="auto"/>
        <w:ind w:left="160"/>
        <w:rPr>
          <w:rFonts w:ascii="Tahoma" w:hAnsi="Tahoma" w:cs="Tahoma"/>
          <w:szCs w:val="21"/>
        </w:rPr>
      </w:pPr>
      <w:r>
        <w:rPr>
          <w:rFonts w:ascii="Tahoma" w:hAnsi="Tahoma" w:cs="Tahoma"/>
          <w:szCs w:val="21"/>
        </w:rPr>
        <w:t>（一）</w:t>
      </w:r>
      <w:r>
        <w:rPr>
          <w:rFonts w:hint="eastAsia" w:ascii="Tahoma" w:hAnsi="Tahoma" w:cs="Tahoma"/>
          <w:szCs w:val="21"/>
        </w:rPr>
        <w:t>响应文件</w:t>
      </w:r>
      <w:r>
        <w:rPr>
          <w:rFonts w:ascii="Tahoma" w:hAnsi="Tahoma" w:cs="Tahoma"/>
          <w:szCs w:val="21"/>
        </w:rPr>
        <w:t>中</w:t>
      </w:r>
      <w:r>
        <w:rPr>
          <w:rFonts w:hint="eastAsia" w:ascii="Tahoma" w:hAnsi="Tahoma" w:cs="Tahoma"/>
          <w:szCs w:val="21"/>
        </w:rPr>
        <w:t>报价一览表</w:t>
      </w:r>
      <w:r>
        <w:rPr>
          <w:rFonts w:ascii="Tahoma" w:hAnsi="Tahoma" w:cs="Tahoma"/>
          <w:szCs w:val="21"/>
        </w:rPr>
        <w:t>（报价表）内容与</w:t>
      </w:r>
      <w:r>
        <w:rPr>
          <w:rFonts w:hint="eastAsia" w:ascii="Tahoma" w:hAnsi="Tahoma" w:cs="Tahoma"/>
          <w:szCs w:val="21"/>
        </w:rPr>
        <w:t>响应文件</w:t>
      </w:r>
      <w:r>
        <w:rPr>
          <w:rFonts w:ascii="Tahoma" w:hAnsi="Tahoma" w:cs="Tahoma"/>
          <w:szCs w:val="21"/>
        </w:rPr>
        <w:t>中相应内容不一致的，以</w:t>
      </w:r>
      <w:r>
        <w:rPr>
          <w:rFonts w:hint="eastAsia" w:ascii="Tahoma" w:hAnsi="Tahoma" w:cs="Tahoma"/>
          <w:szCs w:val="21"/>
        </w:rPr>
        <w:t>报价一览表</w:t>
      </w:r>
      <w:r>
        <w:rPr>
          <w:rFonts w:ascii="Tahoma" w:hAnsi="Tahoma" w:cs="Tahoma"/>
          <w:szCs w:val="21"/>
        </w:rPr>
        <w:t>（报价表）为准；</w:t>
      </w:r>
    </w:p>
    <w:p>
      <w:pPr>
        <w:spacing w:line="360" w:lineRule="auto"/>
        <w:ind w:left="160"/>
        <w:rPr>
          <w:rFonts w:ascii="Tahoma" w:hAnsi="Tahoma" w:cs="Tahoma"/>
          <w:szCs w:val="21"/>
        </w:rPr>
      </w:pPr>
      <w:r>
        <w:rPr>
          <w:rFonts w:ascii="Tahoma" w:hAnsi="Tahoma" w:cs="Tahoma"/>
          <w:szCs w:val="21"/>
        </w:rPr>
        <w:t>（二）大写金额和小写金额不一致的，以大写金额为准；</w:t>
      </w:r>
    </w:p>
    <w:p>
      <w:pPr>
        <w:spacing w:line="360" w:lineRule="auto"/>
        <w:ind w:left="160"/>
        <w:rPr>
          <w:rFonts w:ascii="Tahoma" w:hAnsi="Tahoma" w:cs="Tahoma"/>
          <w:szCs w:val="21"/>
        </w:rPr>
      </w:pPr>
      <w:r>
        <w:rPr>
          <w:rFonts w:ascii="Tahoma" w:hAnsi="Tahoma" w:cs="Tahoma"/>
          <w:szCs w:val="21"/>
        </w:rPr>
        <w:t>（三）单价金额小数点或者百分比有明显错位的，以</w:t>
      </w:r>
      <w:r>
        <w:rPr>
          <w:rFonts w:hint="eastAsia" w:ascii="Tahoma" w:hAnsi="Tahoma" w:cs="Tahoma"/>
          <w:szCs w:val="21"/>
        </w:rPr>
        <w:t>报价一览表</w:t>
      </w:r>
      <w:r>
        <w:rPr>
          <w:rFonts w:ascii="Tahoma" w:hAnsi="Tahoma" w:cs="Tahoma"/>
          <w:szCs w:val="21"/>
        </w:rPr>
        <w:t>的总价为准，并修改单价；</w:t>
      </w:r>
    </w:p>
    <w:p>
      <w:pPr>
        <w:spacing w:line="360" w:lineRule="auto"/>
        <w:ind w:left="160"/>
        <w:rPr>
          <w:rFonts w:ascii="Tahoma" w:hAnsi="Tahoma" w:cs="Tahoma"/>
          <w:szCs w:val="21"/>
        </w:rPr>
      </w:pPr>
      <w:r>
        <w:rPr>
          <w:rFonts w:ascii="Tahoma" w:hAnsi="Tahoma" w:cs="Tahoma"/>
          <w:szCs w:val="21"/>
        </w:rPr>
        <w:t>（四）总价金额与单价汇总金额不一致的，以单价金额计算结果为准。</w:t>
      </w:r>
    </w:p>
    <w:p>
      <w:pPr>
        <w:spacing w:line="360" w:lineRule="auto"/>
        <w:rPr>
          <w:rFonts w:ascii="Tahoma" w:hAnsi="Tahoma" w:cs="Tahoma"/>
          <w:szCs w:val="21"/>
        </w:rPr>
      </w:pPr>
      <w:r>
        <w:rPr>
          <w:rFonts w:ascii="Tahoma" w:hAnsi="Tahoma" w:cs="Tahoma"/>
          <w:szCs w:val="21"/>
        </w:rPr>
        <w:t>　　同时出现两种以上不一致的，按照前款规定的顺序修正。修正后的报价按照本章第6.5.2条第二款的规定经</w:t>
      </w:r>
      <w:r>
        <w:rPr>
          <w:rFonts w:hint="eastAsia" w:ascii="Tahoma" w:hAnsi="Tahoma" w:cs="Tahoma"/>
          <w:szCs w:val="21"/>
        </w:rPr>
        <w:t>供应商</w:t>
      </w:r>
      <w:r>
        <w:rPr>
          <w:rFonts w:ascii="Tahoma" w:hAnsi="Tahoma" w:cs="Tahoma"/>
          <w:szCs w:val="21"/>
        </w:rPr>
        <w:t>确认后产生约束力，</w:t>
      </w:r>
      <w:r>
        <w:rPr>
          <w:rFonts w:hint="eastAsia" w:ascii="Tahoma" w:hAnsi="Tahoma" w:cs="Tahoma"/>
          <w:b/>
          <w:szCs w:val="21"/>
        </w:rPr>
        <w:t>供应商</w:t>
      </w:r>
      <w:r>
        <w:rPr>
          <w:rFonts w:ascii="Tahoma" w:hAnsi="Tahoma" w:cs="Tahoma"/>
          <w:b/>
          <w:szCs w:val="21"/>
        </w:rPr>
        <w:t>不确认的，其投标无效。</w:t>
      </w:r>
    </w:p>
    <w:p>
      <w:pPr>
        <w:spacing w:line="360" w:lineRule="auto"/>
        <w:rPr>
          <w:rFonts w:ascii="Tahoma" w:hAnsi="Tahoma" w:cs="Tahoma"/>
          <w:szCs w:val="21"/>
        </w:rPr>
      </w:pPr>
      <w:r>
        <w:rPr>
          <w:rFonts w:ascii="Tahoma" w:hAnsi="Tahoma" w:cs="Tahoma"/>
          <w:b/>
          <w:bCs/>
          <w:szCs w:val="21"/>
        </w:rPr>
        <w:t>6.6. 比较与评价</w:t>
      </w:r>
    </w:p>
    <w:p>
      <w:pPr>
        <w:spacing w:line="360" w:lineRule="auto"/>
        <w:rPr>
          <w:rFonts w:ascii="Tahoma" w:hAnsi="Tahoma" w:cs="Tahoma"/>
          <w:szCs w:val="21"/>
        </w:rPr>
      </w:pPr>
      <w:r>
        <w:rPr>
          <w:rFonts w:ascii="Tahoma" w:hAnsi="Tahoma" w:cs="Tahoma"/>
          <w:szCs w:val="21"/>
        </w:rPr>
        <w:t>6.6.1评标委员会按招标文件中规定的评标方法和标准，对资格性检查和符合性检查合格的</w:t>
      </w:r>
      <w:r>
        <w:rPr>
          <w:rFonts w:hint="eastAsia" w:ascii="Tahoma" w:hAnsi="Tahoma" w:cs="Tahoma"/>
          <w:szCs w:val="21"/>
        </w:rPr>
        <w:t>响应文件</w:t>
      </w:r>
      <w:r>
        <w:rPr>
          <w:rFonts w:ascii="Tahoma" w:hAnsi="Tahoma" w:cs="Tahoma"/>
          <w:szCs w:val="21"/>
        </w:rPr>
        <w:t>进行商务和</w:t>
      </w:r>
      <w:r>
        <w:rPr>
          <w:rFonts w:hint="eastAsia" w:ascii="Tahoma" w:hAnsi="Tahoma" w:cs="Tahoma"/>
          <w:szCs w:val="21"/>
        </w:rPr>
        <w:t>经济</w:t>
      </w:r>
      <w:r>
        <w:rPr>
          <w:rFonts w:ascii="Tahoma" w:hAnsi="Tahoma" w:cs="Tahoma"/>
          <w:szCs w:val="21"/>
        </w:rPr>
        <w:t>评估，综合比较与评价</w:t>
      </w:r>
      <w:r>
        <w:rPr>
          <w:rFonts w:ascii="Tahoma" w:hAnsi="Tahoma" w:cs="Tahoma"/>
          <w:b/>
          <w:szCs w:val="21"/>
        </w:rPr>
        <w:t>。</w:t>
      </w:r>
    </w:p>
    <w:p>
      <w:pPr>
        <w:spacing w:line="360" w:lineRule="auto"/>
        <w:rPr>
          <w:rFonts w:ascii="Tahoma" w:hAnsi="Tahoma" w:cs="Tahoma"/>
          <w:szCs w:val="21"/>
        </w:rPr>
      </w:pPr>
      <w:r>
        <w:rPr>
          <w:rFonts w:ascii="Tahoma" w:hAnsi="Tahoma" w:cs="Tahoma"/>
          <w:szCs w:val="21"/>
        </w:rPr>
        <w:t>6.6.2</w:t>
      </w:r>
      <w:r>
        <w:rPr>
          <w:rFonts w:ascii="Tahoma" w:hAnsi="Tahoma" w:cs="Tahoma"/>
          <w:b/>
          <w:szCs w:val="21"/>
        </w:rPr>
        <w:t>评标委员会认为</w:t>
      </w:r>
      <w:r>
        <w:rPr>
          <w:rFonts w:hint="eastAsia" w:ascii="Tahoma" w:hAnsi="Tahoma" w:cs="Tahoma"/>
          <w:b/>
          <w:szCs w:val="21"/>
        </w:rPr>
        <w:t>供应商</w:t>
      </w:r>
      <w:r>
        <w:rPr>
          <w:rFonts w:ascii="Tahoma" w:hAnsi="Tahoma" w:cs="Tahoma"/>
          <w:b/>
          <w:szCs w:val="21"/>
        </w:rPr>
        <w:t>的报价明显低于其他通过符合性审查</w:t>
      </w:r>
      <w:r>
        <w:rPr>
          <w:rFonts w:hint="eastAsia" w:ascii="Tahoma" w:hAnsi="Tahoma" w:cs="Tahoma"/>
          <w:b/>
          <w:szCs w:val="21"/>
        </w:rPr>
        <w:t>供应商</w:t>
      </w:r>
      <w:r>
        <w:rPr>
          <w:rFonts w:ascii="Tahoma" w:hAnsi="Tahoma" w:cs="Tahoma"/>
          <w:b/>
          <w:szCs w:val="21"/>
        </w:rPr>
        <w:t>的报价，有可能影响产品质量或者不能诚信履约的，应当要求其在评标现场合理的时间内提供书面说明，必要时提交相关证明材料；</w:t>
      </w:r>
      <w:r>
        <w:rPr>
          <w:rFonts w:hint="eastAsia" w:ascii="Tahoma" w:hAnsi="Tahoma" w:cs="Tahoma"/>
          <w:b/>
          <w:szCs w:val="21"/>
        </w:rPr>
        <w:t>供应商</w:t>
      </w:r>
      <w:r>
        <w:rPr>
          <w:rFonts w:ascii="Tahoma" w:hAnsi="Tahoma" w:cs="Tahoma"/>
          <w:b/>
          <w:szCs w:val="21"/>
        </w:rPr>
        <w:t>不能证明其报价合理性的，评标委员会应当将其作为无效投标处理</w:t>
      </w:r>
      <w:r>
        <w:rPr>
          <w:rFonts w:ascii="Tahoma" w:hAnsi="Tahoma" w:cs="Tahoma"/>
          <w:szCs w:val="21"/>
        </w:rPr>
        <w:t>。</w:t>
      </w:r>
    </w:p>
    <w:p>
      <w:pPr>
        <w:spacing w:line="360" w:lineRule="auto"/>
        <w:rPr>
          <w:rFonts w:ascii="Tahoma" w:hAnsi="Tahoma" w:cs="Tahoma"/>
          <w:szCs w:val="21"/>
        </w:rPr>
      </w:pPr>
      <w:r>
        <w:rPr>
          <w:rFonts w:ascii="Tahoma" w:hAnsi="Tahoma" w:cs="Tahoma"/>
          <w:szCs w:val="21"/>
        </w:rPr>
        <w:t>6.6.3 经评审后，若出现符合本须知规定的所有投标条件的</w:t>
      </w:r>
      <w:r>
        <w:rPr>
          <w:rFonts w:hint="eastAsia" w:ascii="Tahoma" w:hAnsi="Tahoma" w:cs="Tahoma"/>
          <w:szCs w:val="21"/>
        </w:rPr>
        <w:t>供应商</w:t>
      </w:r>
      <w:r>
        <w:rPr>
          <w:rFonts w:ascii="Tahoma" w:hAnsi="Tahoma" w:cs="Tahoma"/>
          <w:szCs w:val="21"/>
        </w:rPr>
        <w:t>不足三家情形的，本次招标终止，除采购任务取消情形外，招标单位将依法重新组织招标或者采取其他方式采购。</w:t>
      </w:r>
    </w:p>
    <w:p>
      <w:pPr>
        <w:spacing w:line="360" w:lineRule="auto"/>
        <w:jc w:val="center"/>
        <w:rPr>
          <w:rFonts w:ascii="Tahoma" w:hAnsi="Tahoma" w:cs="Tahoma"/>
          <w:b/>
          <w:bCs/>
          <w:szCs w:val="21"/>
        </w:rPr>
      </w:pPr>
      <w:r>
        <w:rPr>
          <w:rFonts w:ascii="Tahoma" w:hAnsi="Tahoma" w:cs="Tahoma"/>
          <w:b/>
          <w:bCs/>
          <w:szCs w:val="21"/>
        </w:rPr>
        <w:t>7、定标与授予合同</w:t>
      </w:r>
    </w:p>
    <w:p>
      <w:pPr>
        <w:spacing w:line="360" w:lineRule="auto"/>
        <w:rPr>
          <w:rFonts w:ascii="Tahoma" w:hAnsi="Tahoma" w:cs="Tahoma"/>
          <w:b/>
          <w:bCs/>
          <w:szCs w:val="21"/>
        </w:rPr>
      </w:pPr>
      <w:r>
        <w:rPr>
          <w:rFonts w:ascii="Tahoma" w:hAnsi="Tahoma" w:cs="Tahoma"/>
          <w:b/>
          <w:bCs/>
          <w:szCs w:val="21"/>
        </w:rPr>
        <w:t>7.1. 定标</w:t>
      </w:r>
      <w:r>
        <w:rPr>
          <w:rFonts w:hint="eastAsia" w:ascii="Tahoma" w:hAnsi="Tahoma" w:cs="Tahoma"/>
          <w:b/>
          <w:bCs/>
          <w:szCs w:val="21"/>
        </w:rPr>
        <w:t>原</w:t>
      </w:r>
      <w:r>
        <w:rPr>
          <w:rFonts w:ascii="Tahoma" w:hAnsi="Tahoma" w:cs="Tahoma"/>
          <w:b/>
          <w:bCs/>
          <w:szCs w:val="21"/>
        </w:rPr>
        <w:t>则</w:t>
      </w:r>
    </w:p>
    <w:p>
      <w:pPr>
        <w:spacing w:line="360" w:lineRule="auto"/>
        <w:rPr>
          <w:rFonts w:ascii="Tahoma" w:hAnsi="Tahoma" w:cs="Tahoma"/>
          <w:szCs w:val="21"/>
        </w:rPr>
      </w:pPr>
      <w:r>
        <w:rPr>
          <w:rFonts w:ascii="Tahoma" w:hAnsi="Tahoma" w:cs="Tahoma"/>
          <w:szCs w:val="21"/>
        </w:rPr>
        <w:t>7.1.1最低投标价不作为中标的保证。</w:t>
      </w:r>
    </w:p>
    <w:p>
      <w:pPr>
        <w:spacing w:line="360" w:lineRule="auto"/>
        <w:rPr>
          <w:rFonts w:ascii="Tahoma" w:hAnsi="Tahoma" w:cs="Tahoma"/>
          <w:szCs w:val="21"/>
        </w:rPr>
      </w:pPr>
      <w:r>
        <w:rPr>
          <w:rFonts w:hint="eastAsia" w:ascii="Tahoma" w:hAnsi="Tahoma" w:cs="Tahoma"/>
          <w:szCs w:val="21"/>
        </w:rPr>
        <w:t>7.1.2评标委员会以投标人总分由高到低排序，得分最高为第一中标候选人，如果出现投标人最终得分相同的情况，投标报价低者排名顺序优先在前，以此类推，确定出前三名作为中标候选人推荐给招标人，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w:t>
      </w:r>
    </w:p>
    <w:p>
      <w:pPr>
        <w:spacing w:line="360" w:lineRule="auto"/>
        <w:rPr>
          <w:rFonts w:ascii="Tahoma" w:hAnsi="Tahoma" w:cs="Tahoma"/>
          <w:b/>
          <w:bCs/>
          <w:szCs w:val="21"/>
        </w:rPr>
      </w:pPr>
      <w:r>
        <w:rPr>
          <w:rFonts w:ascii="Tahoma" w:hAnsi="Tahoma" w:cs="Tahoma"/>
          <w:b/>
          <w:bCs/>
          <w:szCs w:val="21"/>
        </w:rPr>
        <w:t>7.2. 中标通知</w:t>
      </w:r>
    </w:p>
    <w:p>
      <w:pPr>
        <w:spacing w:line="360" w:lineRule="auto"/>
        <w:rPr>
          <w:rFonts w:ascii="Tahoma" w:hAnsi="Tahoma" w:cs="Tahoma"/>
          <w:szCs w:val="21"/>
        </w:rPr>
      </w:pPr>
      <w:r>
        <w:rPr>
          <w:rFonts w:ascii="Tahoma" w:hAnsi="Tahoma" w:cs="Tahoma"/>
          <w:szCs w:val="21"/>
        </w:rPr>
        <w:t>7.2.1 评标结束后，评标结果经</w:t>
      </w:r>
      <w:r>
        <w:rPr>
          <w:rFonts w:hint="eastAsia" w:ascii="Tahoma" w:hAnsi="Tahoma" w:cs="Tahoma"/>
          <w:szCs w:val="21"/>
        </w:rPr>
        <w:t>采购人</w:t>
      </w:r>
      <w:r>
        <w:rPr>
          <w:rFonts w:ascii="Tahoma" w:hAnsi="Tahoma" w:cs="Tahoma"/>
          <w:szCs w:val="21"/>
        </w:rPr>
        <w:t>确认后，在刊登本采购项目招标公告的媒介上对中标结果进行公示；同时招标代理机构向中标人发出中标通知书。中标通知书对</w:t>
      </w:r>
      <w:r>
        <w:rPr>
          <w:rFonts w:hint="eastAsia" w:ascii="Tahoma" w:hAnsi="Tahoma" w:cs="Tahoma"/>
          <w:szCs w:val="21"/>
        </w:rPr>
        <w:t>采购人</w:t>
      </w:r>
      <w:r>
        <w:rPr>
          <w:rFonts w:ascii="Tahoma" w:hAnsi="Tahoma" w:cs="Tahoma"/>
          <w:szCs w:val="21"/>
        </w:rPr>
        <w:t>和中标人具有同等法律效力。中标通知书发出后，</w:t>
      </w:r>
      <w:r>
        <w:rPr>
          <w:rFonts w:hint="eastAsia" w:ascii="Tahoma" w:hAnsi="Tahoma" w:cs="Tahoma"/>
          <w:szCs w:val="21"/>
        </w:rPr>
        <w:t>采购人</w:t>
      </w:r>
      <w:r>
        <w:rPr>
          <w:rFonts w:ascii="Tahoma" w:hAnsi="Tahoma" w:cs="Tahoma"/>
          <w:szCs w:val="21"/>
        </w:rPr>
        <w:t>改变中标结果，或者中标人放弃中标，应按相关法律、规章、规范性文件的要求承担相应的法律责任。</w:t>
      </w:r>
      <w:r>
        <w:rPr>
          <w:rFonts w:hint="eastAsia" w:ascii="Tahoma" w:hAnsi="Tahoma" w:cs="Tahoma"/>
          <w:szCs w:val="21"/>
        </w:rPr>
        <w:t>供应商</w:t>
      </w:r>
      <w:r>
        <w:rPr>
          <w:rFonts w:ascii="Tahoma" w:hAnsi="Tahoma" w:cs="Tahoma"/>
          <w:szCs w:val="21"/>
        </w:rPr>
        <w:t>对中标公告有异议的，应当在知道或应当知道其权益受到损害之日起7个工作日内，以书面形式向采购人或招标代理机构提出质疑。</w:t>
      </w:r>
    </w:p>
    <w:p>
      <w:pPr>
        <w:spacing w:line="360" w:lineRule="auto"/>
        <w:rPr>
          <w:rFonts w:ascii="Tahoma" w:hAnsi="Tahoma" w:cs="Tahoma"/>
          <w:szCs w:val="21"/>
        </w:rPr>
      </w:pPr>
      <w:r>
        <w:rPr>
          <w:rFonts w:ascii="Tahoma" w:hAnsi="Tahoma" w:cs="Tahoma"/>
          <w:szCs w:val="21"/>
        </w:rPr>
        <w:t>7.2.2 中标公告发出后将向未中标人发出《中标结果通知书》。</w:t>
      </w:r>
    </w:p>
    <w:p>
      <w:pPr>
        <w:spacing w:line="360" w:lineRule="auto"/>
        <w:rPr>
          <w:rFonts w:ascii="Tahoma" w:hAnsi="Tahoma" w:cs="Tahoma"/>
          <w:szCs w:val="21"/>
        </w:rPr>
      </w:pPr>
      <w:r>
        <w:rPr>
          <w:rFonts w:ascii="Tahoma" w:hAnsi="Tahoma" w:cs="Tahoma"/>
          <w:szCs w:val="21"/>
        </w:rPr>
        <w:t>7.2.3 《中标通知书》将作为签订合同的依据。《合同》签订后，《中标通知书》成为《合同》的一部分。</w:t>
      </w:r>
    </w:p>
    <w:p>
      <w:pPr>
        <w:spacing w:line="360" w:lineRule="auto"/>
        <w:rPr>
          <w:rFonts w:ascii="Tahoma" w:hAnsi="Tahoma" w:cs="Tahoma"/>
          <w:szCs w:val="21"/>
        </w:rPr>
      </w:pPr>
      <w:r>
        <w:rPr>
          <w:rFonts w:ascii="Tahoma" w:hAnsi="Tahoma" w:cs="Tahoma"/>
          <w:szCs w:val="21"/>
        </w:rPr>
        <w:t>7.2.4《中标通知书》发出后5个工作日内，招标代理机构将向未中标的</w:t>
      </w:r>
      <w:r>
        <w:rPr>
          <w:rFonts w:hint="eastAsia" w:ascii="Tahoma" w:hAnsi="Tahoma" w:cs="Tahoma"/>
          <w:szCs w:val="21"/>
        </w:rPr>
        <w:t>供应商</w:t>
      </w:r>
      <w:r>
        <w:rPr>
          <w:rFonts w:ascii="Tahoma" w:hAnsi="Tahoma" w:cs="Tahoma"/>
          <w:szCs w:val="21"/>
        </w:rPr>
        <w:t>退还其投标保证金，具体退款手续详见本</w:t>
      </w:r>
      <w:r>
        <w:rPr>
          <w:rFonts w:hint="eastAsia" w:ascii="Tahoma" w:hAnsi="Tahoma" w:cs="Tahoma"/>
          <w:szCs w:val="21"/>
        </w:rPr>
        <w:t>章正文</w:t>
      </w:r>
      <w:r>
        <w:rPr>
          <w:rFonts w:ascii="Tahoma" w:hAnsi="Tahoma" w:cs="Tahoma"/>
          <w:szCs w:val="21"/>
        </w:rPr>
        <w:t>第3.6.6条。</w:t>
      </w:r>
    </w:p>
    <w:p>
      <w:pPr>
        <w:spacing w:line="360" w:lineRule="auto"/>
        <w:rPr>
          <w:rFonts w:ascii="Tahoma" w:hAnsi="Tahoma" w:cs="Tahoma"/>
          <w:szCs w:val="21"/>
        </w:rPr>
      </w:pPr>
      <w:r>
        <w:rPr>
          <w:rFonts w:ascii="Tahoma" w:hAnsi="Tahoma" w:cs="Tahoma"/>
          <w:szCs w:val="21"/>
        </w:rPr>
        <w:t>7.2.5在合同签订后5个工作日内，招标代理机构将向中标的</w:t>
      </w:r>
      <w:r>
        <w:rPr>
          <w:rFonts w:hint="eastAsia" w:ascii="Tahoma" w:hAnsi="Tahoma" w:cs="Tahoma"/>
          <w:szCs w:val="21"/>
        </w:rPr>
        <w:t>供应商</w:t>
      </w:r>
      <w:r>
        <w:rPr>
          <w:rFonts w:ascii="Tahoma" w:hAnsi="Tahoma" w:cs="Tahoma"/>
          <w:szCs w:val="21"/>
        </w:rPr>
        <w:t>退还其投标保证金，条件是已交纳的招标代理服务费，具体退款手续详见本</w:t>
      </w:r>
      <w:r>
        <w:rPr>
          <w:rFonts w:hint="eastAsia" w:ascii="Tahoma" w:hAnsi="Tahoma" w:cs="Tahoma"/>
          <w:szCs w:val="21"/>
        </w:rPr>
        <w:t>章正文</w:t>
      </w:r>
      <w:r>
        <w:rPr>
          <w:rFonts w:ascii="Tahoma" w:hAnsi="Tahoma" w:cs="Tahoma"/>
          <w:szCs w:val="21"/>
        </w:rPr>
        <w:t>第3.6.6条。</w:t>
      </w:r>
    </w:p>
    <w:p>
      <w:pPr>
        <w:spacing w:line="360" w:lineRule="auto"/>
        <w:rPr>
          <w:rFonts w:ascii="Tahoma" w:hAnsi="Tahoma" w:cs="Tahoma"/>
          <w:szCs w:val="21"/>
        </w:rPr>
      </w:pPr>
      <w:r>
        <w:rPr>
          <w:rFonts w:ascii="Tahoma" w:hAnsi="Tahoma" w:cs="Tahoma"/>
          <w:b/>
          <w:bCs/>
          <w:szCs w:val="21"/>
        </w:rPr>
        <w:t>7.3. 签订合同</w:t>
      </w:r>
    </w:p>
    <w:p>
      <w:pPr>
        <w:spacing w:line="360" w:lineRule="auto"/>
        <w:rPr>
          <w:rFonts w:ascii="Tahoma" w:hAnsi="Tahoma" w:cs="Tahoma"/>
          <w:szCs w:val="21"/>
        </w:rPr>
      </w:pPr>
      <w:r>
        <w:rPr>
          <w:rFonts w:ascii="Tahoma" w:hAnsi="Tahoma" w:cs="Tahoma"/>
          <w:szCs w:val="21"/>
        </w:rPr>
        <w:t>7.3.1采购人与成交供应商应当在成交通知书发出之日起30日内，按照招标文件确定的合同文本以及采购标的、规格型号、采购金额、采购数量、技术和服务要求等事项签订政府采购合同。采购人不得向成交供应商提出超出招标文件以外的任何要求作为签订合同的条件，不得与成交供应商订立背离招标文件确定的合同文本以及采购标的、规格型号、采购金额、采购数量、技术和服务要求等实质性内容的协议。供应商逾期未与采购人签订合同，将按照有关法律规定承担相应的法律责任，并没收投标保证金，以抵偿对采购人造成的损失。采购方逾期不与成交供应商签订合同的，按有关规定处理，并承担相应的法律责任。</w:t>
      </w:r>
    </w:p>
    <w:p>
      <w:pPr>
        <w:spacing w:line="360" w:lineRule="auto"/>
        <w:rPr>
          <w:rFonts w:ascii="Tahoma" w:hAnsi="Tahoma" w:cs="Tahoma"/>
          <w:szCs w:val="21"/>
        </w:rPr>
      </w:pPr>
      <w:r>
        <w:rPr>
          <w:rFonts w:ascii="Tahoma" w:hAnsi="Tahoma" w:cs="Tahoma"/>
          <w:szCs w:val="21"/>
        </w:rPr>
        <w:t>7.3.2招标文件、招标文件的修改文件、成交供应商的</w:t>
      </w:r>
      <w:r>
        <w:rPr>
          <w:rFonts w:hint="eastAsia" w:ascii="Tahoma" w:hAnsi="Tahoma" w:cs="Tahoma"/>
          <w:szCs w:val="21"/>
        </w:rPr>
        <w:t>响应文件</w:t>
      </w:r>
      <w:r>
        <w:rPr>
          <w:rFonts w:ascii="Tahoma" w:hAnsi="Tahoma" w:cs="Tahoma"/>
          <w:szCs w:val="21"/>
        </w:rPr>
        <w:t>、补充或修改的文件及澄清或承诺文件等，均为双方签订《合同》的组成部分，并与《合同》一并作为本招标文件所列采购项目的互补性法律文件，与《合同》具有同等法律效力。</w:t>
      </w:r>
    </w:p>
    <w:p>
      <w:pPr>
        <w:spacing w:line="360" w:lineRule="auto"/>
        <w:rPr>
          <w:rFonts w:ascii="Tahoma" w:hAnsi="Tahoma" w:cs="Tahoma"/>
          <w:szCs w:val="21"/>
        </w:rPr>
      </w:pPr>
      <w:r>
        <w:rPr>
          <w:rFonts w:ascii="Tahoma" w:hAnsi="Tahoma" w:cs="Tahoma"/>
          <w:szCs w:val="21"/>
        </w:rPr>
        <w:t>7.3.3政府采购合同履行中，采购人需追加与合同标的相同的货物、工程或者服务的，在不改变合同其他条款的前提下，可与供应商协商签订补充合同，但所有补充合同的采购金额不得超过原合同采购金额的百分之十。</w:t>
      </w:r>
    </w:p>
    <w:p>
      <w:pPr>
        <w:spacing w:line="360" w:lineRule="auto"/>
        <w:jc w:val="center"/>
        <w:rPr>
          <w:rFonts w:ascii="Tahoma" w:hAnsi="Tahoma" w:cs="Tahoma"/>
          <w:b/>
          <w:szCs w:val="21"/>
        </w:rPr>
      </w:pPr>
      <w:r>
        <w:rPr>
          <w:rFonts w:ascii="Tahoma" w:hAnsi="Tahoma" w:cs="Tahoma"/>
          <w:b/>
          <w:szCs w:val="21"/>
        </w:rPr>
        <w:t>8、重新招标和其他方式采购</w:t>
      </w:r>
    </w:p>
    <w:p>
      <w:pPr>
        <w:spacing w:line="360" w:lineRule="auto"/>
        <w:rPr>
          <w:rFonts w:ascii="Tahoma" w:hAnsi="Tahoma" w:cs="Tahoma"/>
          <w:b/>
          <w:szCs w:val="21"/>
        </w:rPr>
      </w:pPr>
      <w:r>
        <w:rPr>
          <w:rFonts w:ascii="Tahoma" w:hAnsi="Tahoma" w:cs="Tahoma"/>
          <w:b/>
          <w:szCs w:val="21"/>
        </w:rPr>
        <w:t>8.1重新招标</w:t>
      </w:r>
    </w:p>
    <w:p>
      <w:pPr>
        <w:spacing w:line="360" w:lineRule="auto"/>
        <w:rPr>
          <w:rFonts w:ascii="Tahoma" w:hAnsi="Tahoma" w:cs="Tahoma"/>
          <w:szCs w:val="21"/>
        </w:rPr>
      </w:pPr>
      <w:r>
        <w:rPr>
          <w:rFonts w:ascii="Tahoma" w:hAnsi="Tahoma" w:cs="Tahoma"/>
          <w:szCs w:val="21"/>
        </w:rPr>
        <w:t>8.1.1在招标采购中，出现下列情形之一的，应当在废标后重新招标：</w:t>
      </w:r>
    </w:p>
    <w:p>
      <w:pPr>
        <w:spacing w:line="360" w:lineRule="auto"/>
        <w:rPr>
          <w:rFonts w:ascii="Tahoma" w:hAnsi="Tahoma" w:cs="Tahoma"/>
          <w:szCs w:val="21"/>
        </w:rPr>
      </w:pPr>
      <w:r>
        <w:rPr>
          <w:rFonts w:ascii="Tahoma" w:hAnsi="Tahoma" w:cs="Tahoma"/>
          <w:szCs w:val="21"/>
        </w:rPr>
        <w:t>　（1）符合专业条件的供应商或者对招标文件作实质响应的供应商不足三家的；</w:t>
      </w:r>
    </w:p>
    <w:p>
      <w:pPr>
        <w:spacing w:line="360" w:lineRule="auto"/>
        <w:rPr>
          <w:rFonts w:ascii="Tahoma" w:hAnsi="Tahoma" w:cs="Tahoma"/>
          <w:szCs w:val="21"/>
        </w:rPr>
      </w:pPr>
      <w:r>
        <w:rPr>
          <w:rFonts w:ascii="Tahoma" w:hAnsi="Tahoma" w:cs="Tahoma"/>
          <w:szCs w:val="21"/>
        </w:rPr>
        <w:t>　（2）出现影响采购公正的违法、违规行为的；</w:t>
      </w:r>
    </w:p>
    <w:p>
      <w:pPr>
        <w:spacing w:line="360" w:lineRule="auto"/>
        <w:rPr>
          <w:rFonts w:ascii="Tahoma" w:hAnsi="Tahoma" w:cs="Tahoma"/>
          <w:szCs w:val="21"/>
          <w:highlight w:val="yellow"/>
        </w:rPr>
      </w:pPr>
      <w:r>
        <w:rPr>
          <w:rFonts w:ascii="Tahoma" w:hAnsi="Tahoma" w:cs="Tahoma"/>
          <w:szCs w:val="21"/>
        </w:rPr>
        <w:t>　（3）</w:t>
      </w:r>
      <w:r>
        <w:rPr>
          <w:rFonts w:hint="eastAsia" w:ascii="Tahoma" w:hAnsi="Tahoma" w:cs="Tahoma"/>
          <w:szCs w:val="21"/>
          <w:highlight w:val="none"/>
        </w:rPr>
        <w:t>供应商</w:t>
      </w:r>
      <w:r>
        <w:rPr>
          <w:rFonts w:ascii="Tahoma" w:hAnsi="Tahoma" w:cs="Tahoma"/>
          <w:szCs w:val="21"/>
          <w:highlight w:val="none"/>
        </w:rPr>
        <w:t>的报价均超过了采购预算，采购人不能支付的；</w:t>
      </w:r>
    </w:p>
    <w:p>
      <w:pPr>
        <w:spacing w:line="360" w:lineRule="auto"/>
        <w:rPr>
          <w:rFonts w:ascii="Tahoma" w:hAnsi="Tahoma" w:cs="Tahoma"/>
          <w:szCs w:val="21"/>
        </w:rPr>
      </w:pPr>
      <w:r>
        <w:rPr>
          <w:rFonts w:ascii="Tahoma" w:hAnsi="Tahoma" w:cs="Tahoma"/>
          <w:szCs w:val="21"/>
        </w:rPr>
        <w:t>　（4）因重大变故，采购任务取消的。</w:t>
      </w:r>
    </w:p>
    <w:p>
      <w:pPr>
        <w:spacing w:line="360" w:lineRule="auto"/>
        <w:rPr>
          <w:rFonts w:ascii="Tahoma" w:hAnsi="Tahoma" w:cs="Tahoma"/>
          <w:szCs w:val="21"/>
        </w:rPr>
      </w:pPr>
      <w:r>
        <w:rPr>
          <w:rFonts w:ascii="Tahoma" w:hAnsi="Tahoma" w:cs="Tahoma"/>
          <w:szCs w:val="21"/>
        </w:rPr>
        <w:t>8.1.2如果排名第一、二的</w:t>
      </w:r>
      <w:r>
        <w:rPr>
          <w:rFonts w:hint="eastAsia" w:ascii="Tahoma" w:hAnsi="Tahoma" w:cs="Tahoma"/>
          <w:szCs w:val="21"/>
        </w:rPr>
        <w:t>成交候选人</w:t>
      </w:r>
      <w:r>
        <w:rPr>
          <w:rFonts w:ascii="Tahoma" w:hAnsi="Tahoma" w:cs="Tahoma"/>
          <w:szCs w:val="21"/>
        </w:rPr>
        <w:t>，直至排名第三的</w:t>
      </w:r>
      <w:r>
        <w:rPr>
          <w:rFonts w:hint="eastAsia" w:ascii="Tahoma" w:hAnsi="Tahoma" w:cs="Tahoma"/>
          <w:szCs w:val="21"/>
        </w:rPr>
        <w:t>成交候选人</w:t>
      </w:r>
      <w:r>
        <w:rPr>
          <w:rFonts w:ascii="Tahoma" w:hAnsi="Tahoma" w:cs="Tahoma"/>
          <w:szCs w:val="21"/>
        </w:rPr>
        <w:t>因不可抗力或自身原因放弃中标结果，本次招标宣布失败。</w:t>
      </w:r>
      <w:r>
        <w:rPr>
          <w:rFonts w:hint="eastAsia" w:ascii="Tahoma" w:hAnsi="Tahoma" w:cs="Tahoma"/>
          <w:szCs w:val="21"/>
        </w:rPr>
        <w:t>采购人</w:t>
      </w:r>
      <w:r>
        <w:rPr>
          <w:rFonts w:ascii="Tahoma" w:hAnsi="Tahoma" w:cs="Tahoma"/>
          <w:szCs w:val="21"/>
        </w:rPr>
        <w:t>应重新组织招标。</w:t>
      </w:r>
    </w:p>
    <w:p>
      <w:pPr>
        <w:spacing w:line="360" w:lineRule="auto"/>
        <w:jc w:val="center"/>
        <w:rPr>
          <w:rFonts w:ascii="Tahoma" w:hAnsi="Tahoma" w:cs="Tahoma"/>
          <w:b/>
          <w:szCs w:val="21"/>
        </w:rPr>
      </w:pPr>
      <w:r>
        <w:rPr>
          <w:rFonts w:ascii="Tahoma" w:hAnsi="Tahoma" w:cs="Tahoma"/>
          <w:b/>
          <w:szCs w:val="21"/>
        </w:rPr>
        <w:t>9、纪律和监督</w:t>
      </w:r>
    </w:p>
    <w:p>
      <w:pPr>
        <w:spacing w:line="360" w:lineRule="auto"/>
        <w:rPr>
          <w:rFonts w:ascii="Tahoma" w:hAnsi="Tahoma" w:cs="Tahoma"/>
          <w:b/>
          <w:szCs w:val="21"/>
        </w:rPr>
      </w:pPr>
      <w:r>
        <w:rPr>
          <w:rFonts w:ascii="Tahoma" w:hAnsi="Tahoma" w:cs="Tahoma"/>
          <w:b/>
          <w:szCs w:val="21"/>
        </w:rPr>
        <w:t>9.1 对</w:t>
      </w:r>
      <w:r>
        <w:rPr>
          <w:rFonts w:hint="eastAsia" w:ascii="Tahoma" w:hAnsi="Tahoma" w:cs="Tahoma"/>
          <w:b/>
          <w:szCs w:val="21"/>
        </w:rPr>
        <w:t>采购人</w:t>
      </w:r>
      <w:r>
        <w:rPr>
          <w:rFonts w:ascii="Tahoma" w:hAnsi="Tahoma" w:cs="Tahoma"/>
          <w:b/>
          <w:szCs w:val="21"/>
        </w:rPr>
        <w:t>的纪律要求</w:t>
      </w:r>
    </w:p>
    <w:p>
      <w:pPr>
        <w:spacing w:line="360" w:lineRule="auto"/>
        <w:rPr>
          <w:rFonts w:ascii="Tahoma" w:hAnsi="Tahoma" w:cs="Tahoma"/>
          <w:b/>
          <w:szCs w:val="21"/>
        </w:rPr>
      </w:pPr>
      <w:r>
        <w:rPr>
          <w:rFonts w:hint="eastAsia" w:ascii="Tahoma" w:hAnsi="Tahoma" w:cs="Tahoma"/>
          <w:szCs w:val="21"/>
        </w:rPr>
        <w:t>采购人</w:t>
      </w:r>
      <w:r>
        <w:rPr>
          <w:rFonts w:ascii="Tahoma" w:hAnsi="Tahoma" w:cs="Tahoma"/>
          <w:szCs w:val="21"/>
        </w:rPr>
        <w:t>不得泄露招标投标活动中应当保密的情况和资料，不得与</w:t>
      </w:r>
      <w:r>
        <w:rPr>
          <w:rFonts w:hint="eastAsia" w:ascii="Tahoma" w:hAnsi="Tahoma" w:cs="Tahoma"/>
          <w:szCs w:val="21"/>
        </w:rPr>
        <w:t>供应商</w:t>
      </w:r>
      <w:r>
        <w:rPr>
          <w:rFonts w:ascii="Tahoma" w:hAnsi="Tahoma" w:cs="Tahoma"/>
          <w:szCs w:val="21"/>
        </w:rPr>
        <w:t>串通损害国家利益、社会公共利益或者他人合法利益。</w:t>
      </w:r>
      <w:r>
        <w:rPr>
          <w:rFonts w:hint="eastAsia" w:ascii="Tahoma" w:hAnsi="Tahoma" w:cs="Tahoma"/>
          <w:szCs w:val="21"/>
        </w:rPr>
        <w:t>采购人</w:t>
      </w:r>
      <w:r>
        <w:rPr>
          <w:rFonts w:ascii="Tahoma" w:hAnsi="Tahoma" w:cs="Tahoma"/>
          <w:szCs w:val="21"/>
        </w:rPr>
        <w:t>不得有下列行为之一：</w:t>
      </w:r>
    </w:p>
    <w:p>
      <w:pPr>
        <w:spacing w:line="360" w:lineRule="auto"/>
        <w:ind w:firstLine="240" w:firstLineChars="100"/>
        <w:rPr>
          <w:rFonts w:ascii="Tahoma" w:hAnsi="Tahoma" w:cs="Tahoma"/>
          <w:szCs w:val="21"/>
        </w:rPr>
      </w:pPr>
      <w:r>
        <w:rPr>
          <w:rFonts w:ascii="Tahoma" w:hAnsi="Tahoma" w:cs="Tahoma"/>
          <w:szCs w:val="21"/>
        </w:rPr>
        <w:t>（1）与</w:t>
      </w:r>
      <w:r>
        <w:rPr>
          <w:rFonts w:hint="eastAsia" w:ascii="Tahoma" w:hAnsi="Tahoma" w:cs="Tahoma"/>
          <w:szCs w:val="21"/>
        </w:rPr>
        <w:t>供应商</w:t>
      </w:r>
      <w:r>
        <w:rPr>
          <w:rFonts w:ascii="Tahoma" w:hAnsi="Tahoma" w:cs="Tahoma"/>
          <w:szCs w:val="21"/>
        </w:rPr>
        <w:t xml:space="preserve">恶意串通的； </w:t>
      </w:r>
    </w:p>
    <w:p>
      <w:pPr>
        <w:spacing w:line="360" w:lineRule="auto"/>
        <w:rPr>
          <w:rFonts w:ascii="Tahoma" w:hAnsi="Tahoma" w:cs="Tahoma"/>
          <w:szCs w:val="21"/>
        </w:rPr>
      </w:pPr>
      <w:r>
        <w:rPr>
          <w:rFonts w:ascii="Tahoma" w:hAnsi="Tahoma" w:cs="Tahoma"/>
          <w:szCs w:val="21"/>
        </w:rPr>
        <w:t xml:space="preserve">　（2）在采购过程中接受贿赂或者获取其他不正当利益的； </w:t>
      </w:r>
    </w:p>
    <w:p>
      <w:pPr>
        <w:spacing w:line="360" w:lineRule="auto"/>
        <w:rPr>
          <w:rFonts w:ascii="Tahoma" w:hAnsi="Tahoma" w:cs="Tahoma"/>
          <w:szCs w:val="21"/>
        </w:rPr>
      </w:pPr>
      <w:r>
        <w:rPr>
          <w:rFonts w:ascii="Tahoma" w:hAnsi="Tahoma" w:cs="Tahoma"/>
          <w:szCs w:val="21"/>
        </w:rPr>
        <w:t xml:space="preserve">　（3）在有关部门依法实施的监督检查中提供虚假情况的； </w:t>
      </w:r>
    </w:p>
    <w:p>
      <w:pPr>
        <w:spacing w:line="360" w:lineRule="auto"/>
        <w:rPr>
          <w:rFonts w:ascii="Tahoma" w:hAnsi="Tahoma" w:cs="Tahoma"/>
          <w:szCs w:val="21"/>
        </w:rPr>
      </w:pPr>
      <w:r>
        <w:rPr>
          <w:rFonts w:ascii="Tahoma" w:hAnsi="Tahoma" w:cs="Tahoma"/>
          <w:szCs w:val="21"/>
        </w:rPr>
        <w:t>　（4）开标前泄露已获取招标文件的潜在</w:t>
      </w:r>
      <w:r>
        <w:rPr>
          <w:rFonts w:hint="eastAsia" w:ascii="Tahoma" w:hAnsi="Tahoma" w:cs="Tahoma"/>
          <w:szCs w:val="21"/>
        </w:rPr>
        <w:t>供应商</w:t>
      </w:r>
      <w:r>
        <w:rPr>
          <w:rFonts w:ascii="Tahoma" w:hAnsi="Tahoma" w:cs="Tahoma"/>
          <w:szCs w:val="21"/>
        </w:rPr>
        <w:t xml:space="preserve">的名称、数量、标底或者其他可能影响公平竞争的有关招标投标情况的。 </w:t>
      </w:r>
    </w:p>
    <w:p>
      <w:pPr>
        <w:spacing w:line="360" w:lineRule="auto"/>
        <w:ind w:firstLine="240" w:firstLineChars="100"/>
        <w:rPr>
          <w:rFonts w:ascii="Tahoma" w:hAnsi="Tahoma" w:cs="Tahoma"/>
          <w:szCs w:val="21"/>
        </w:rPr>
      </w:pPr>
      <w:r>
        <w:rPr>
          <w:rFonts w:ascii="Tahoma" w:hAnsi="Tahoma" w:cs="Tahoma"/>
          <w:szCs w:val="21"/>
        </w:rPr>
        <w:t>（5）法律、法规规定的其他违法、违规情形。</w:t>
      </w:r>
    </w:p>
    <w:p>
      <w:pPr>
        <w:spacing w:line="360" w:lineRule="auto"/>
        <w:rPr>
          <w:rFonts w:ascii="Tahoma" w:hAnsi="Tahoma" w:cs="Tahoma"/>
          <w:b/>
          <w:szCs w:val="21"/>
        </w:rPr>
      </w:pPr>
      <w:r>
        <w:rPr>
          <w:rFonts w:ascii="Tahoma" w:hAnsi="Tahoma" w:cs="Tahoma"/>
          <w:b/>
          <w:szCs w:val="21"/>
        </w:rPr>
        <w:t>9.2 对</w:t>
      </w:r>
      <w:r>
        <w:rPr>
          <w:rFonts w:hint="eastAsia" w:ascii="Tahoma" w:hAnsi="Tahoma" w:cs="Tahoma"/>
          <w:b/>
          <w:szCs w:val="21"/>
        </w:rPr>
        <w:t>供应商</w:t>
      </w:r>
      <w:r>
        <w:rPr>
          <w:rFonts w:ascii="Tahoma" w:hAnsi="Tahoma" w:cs="Tahoma"/>
          <w:b/>
          <w:szCs w:val="21"/>
        </w:rPr>
        <w:t>的纪律要求</w:t>
      </w:r>
    </w:p>
    <w:p>
      <w:pPr>
        <w:spacing w:line="360" w:lineRule="auto"/>
        <w:ind w:right="248"/>
        <w:rPr>
          <w:rFonts w:ascii="Tahoma" w:hAnsi="Tahoma" w:cs="Tahoma"/>
          <w:szCs w:val="21"/>
        </w:rPr>
      </w:pPr>
      <w:r>
        <w:rPr>
          <w:rFonts w:ascii="Tahoma" w:hAnsi="Tahoma" w:cs="Tahoma"/>
          <w:szCs w:val="21"/>
        </w:rPr>
        <w:t>9.2.1</w:t>
      </w:r>
      <w:r>
        <w:rPr>
          <w:rFonts w:hint="eastAsia" w:ascii="Tahoma" w:hAnsi="Tahoma" w:cs="Tahoma"/>
          <w:szCs w:val="21"/>
        </w:rPr>
        <w:t>供应商</w:t>
      </w:r>
      <w:r>
        <w:rPr>
          <w:rFonts w:ascii="Tahoma" w:hAnsi="Tahoma" w:cs="Tahoma"/>
          <w:szCs w:val="21"/>
        </w:rPr>
        <w:t>不得相互串通投标或者与</w:t>
      </w:r>
      <w:r>
        <w:rPr>
          <w:rFonts w:hint="eastAsia" w:ascii="Tahoma" w:hAnsi="Tahoma" w:cs="Tahoma"/>
          <w:szCs w:val="21"/>
        </w:rPr>
        <w:t>采购人</w:t>
      </w:r>
      <w:r>
        <w:rPr>
          <w:rFonts w:ascii="Tahoma" w:hAnsi="Tahoma" w:cs="Tahoma"/>
          <w:szCs w:val="21"/>
        </w:rPr>
        <w:t>串通投标，不得向</w:t>
      </w:r>
      <w:r>
        <w:rPr>
          <w:rFonts w:hint="eastAsia" w:ascii="Tahoma" w:hAnsi="Tahoma" w:cs="Tahoma"/>
          <w:szCs w:val="21"/>
        </w:rPr>
        <w:t>采购人</w:t>
      </w:r>
      <w:r>
        <w:rPr>
          <w:rFonts w:ascii="Tahoma" w:hAnsi="Tahoma" w:cs="Tahoma"/>
          <w:szCs w:val="21"/>
        </w:rPr>
        <w:t>或者评标委员会成员行贿谋取中标，不得以其它方式弄虚作假骗取中标；</w:t>
      </w:r>
      <w:r>
        <w:rPr>
          <w:rFonts w:hint="eastAsia" w:ascii="Tahoma" w:hAnsi="Tahoma" w:cs="Tahoma"/>
          <w:szCs w:val="21"/>
        </w:rPr>
        <w:t>供应商</w:t>
      </w:r>
      <w:r>
        <w:rPr>
          <w:rFonts w:ascii="Tahoma" w:hAnsi="Tahoma" w:cs="Tahoma"/>
          <w:szCs w:val="21"/>
        </w:rPr>
        <w:t>不得以任何方式干扰、影响评标工作。</w:t>
      </w:r>
      <w:bookmarkStart w:id="27" w:name="_Toc221950237"/>
      <w:r>
        <w:rPr>
          <w:rFonts w:hint="eastAsia" w:ascii="Tahoma" w:hAnsi="Tahoma" w:cs="Tahoma"/>
          <w:szCs w:val="21"/>
        </w:rPr>
        <w:t>供应商</w:t>
      </w:r>
      <w:r>
        <w:rPr>
          <w:rFonts w:ascii="Tahoma" w:hAnsi="Tahoma" w:cs="Tahoma"/>
          <w:szCs w:val="21"/>
        </w:rPr>
        <w:t>不得有下列行为之一：</w:t>
      </w:r>
    </w:p>
    <w:bookmarkEnd w:id="27"/>
    <w:p>
      <w:pPr>
        <w:spacing w:line="360" w:lineRule="auto"/>
        <w:ind w:firstLine="240" w:firstLineChars="100"/>
        <w:rPr>
          <w:rFonts w:ascii="Tahoma" w:hAnsi="Tahoma" w:cs="Tahoma"/>
          <w:szCs w:val="21"/>
        </w:rPr>
      </w:pPr>
      <w:bookmarkStart w:id="28" w:name="_Toc221950238"/>
      <w:r>
        <w:rPr>
          <w:rFonts w:ascii="Tahoma" w:hAnsi="Tahoma" w:cs="Tahoma"/>
          <w:szCs w:val="21"/>
        </w:rPr>
        <w:t xml:space="preserve">（1）提供虚假材料谋取中标的； </w:t>
      </w:r>
    </w:p>
    <w:p>
      <w:pPr>
        <w:spacing w:line="360" w:lineRule="auto"/>
        <w:rPr>
          <w:rFonts w:ascii="Tahoma" w:hAnsi="Tahoma" w:cs="Tahoma"/>
          <w:szCs w:val="21"/>
        </w:rPr>
      </w:pPr>
      <w:r>
        <w:rPr>
          <w:rFonts w:ascii="Tahoma" w:hAnsi="Tahoma" w:cs="Tahoma"/>
          <w:szCs w:val="21"/>
        </w:rPr>
        <w:t>　（2）采取不正当手段诋毁、排挤其他</w:t>
      </w:r>
      <w:r>
        <w:rPr>
          <w:rFonts w:hint="eastAsia" w:ascii="Tahoma" w:hAnsi="Tahoma" w:cs="Tahoma"/>
          <w:szCs w:val="21"/>
        </w:rPr>
        <w:t>供应商</w:t>
      </w:r>
      <w:r>
        <w:rPr>
          <w:rFonts w:ascii="Tahoma" w:hAnsi="Tahoma" w:cs="Tahoma"/>
          <w:szCs w:val="21"/>
        </w:rPr>
        <w:t xml:space="preserve">的； </w:t>
      </w:r>
    </w:p>
    <w:p>
      <w:pPr>
        <w:spacing w:line="360" w:lineRule="auto"/>
        <w:rPr>
          <w:rFonts w:ascii="Tahoma" w:hAnsi="Tahoma" w:cs="Tahoma"/>
          <w:szCs w:val="21"/>
        </w:rPr>
      </w:pPr>
      <w:r>
        <w:rPr>
          <w:rFonts w:ascii="Tahoma" w:hAnsi="Tahoma" w:cs="Tahoma"/>
          <w:szCs w:val="21"/>
        </w:rPr>
        <w:t>　（3）与招标采购单位、其他</w:t>
      </w:r>
      <w:r>
        <w:rPr>
          <w:rFonts w:hint="eastAsia" w:ascii="Tahoma" w:hAnsi="Tahoma" w:cs="Tahoma"/>
          <w:szCs w:val="21"/>
        </w:rPr>
        <w:t>供应商</w:t>
      </w:r>
      <w:r>
        <w:rPr>
          <w:rFonts w:ascii="Tahoma" w:hAnsi="Tahoma" w:cs="Tahoma"/>
          <w:szCs w:val="21"/>
        </w:rPr>
        <w:t xml:space="preserve">恶意串通的； </w:t>
      </w:r>
    </w:p>
    <w:p>
      <w:pPr>
        <w:spacing w:line="360" w:lineRule="auto"/>
        <w:rPr>
          <w:rFonts w:ascii="Tahoma" w:hAnsi="Tahoma" w:cs="Tahoma"/>
          <w:szCs w:val="21"/>
        </w:rPr>
      </w:pPr>
      <w:r>
        <w:rPr>
          <w:rFonts w:ascii="Tahoma" w:hAnsi="Tahoma" w:cs="Tahoma"/>
          <w:szCs w:val="21"/>
        </w:rPr>
        <w:t xml:space="preserve">　（4）向招标采购单位行贿或者提供其他不正当利益的； </w:t>
      </w:r>
    </w:p>
    <w:p>
      <w:pPr>
        <w:spacing w:line="360" w:lineRule="auto"/>
        <w:rPr>
          <w:rFonts w:ascii="Tahoma" w:hAnsi="Tahoma" w:cs="Tahoma"/>
          <w:szCs w:val="21"/>
        </w:rPr>
      </w:pPr>
      <w:r>
        <w:rPr>
          <w:rFonts w:ascii="Tahoma" w:hAnsi="Tahoma" w:cs="Tahoma"/>
          <w:szCs w:val="21"/>
        </w:rPr>
        <w:t>　（5）在招标过程中与招标采购单位进行协商谈判、不按照招标文件和中标供应商的</w:t>
      </w:r>
      <w:r>
        <w:rPr>
          <w:rFonts w:hint="eastAsia" w:ascii="Tahoma" w:hAnsi="Tahoma" w:cs="Tahoma"/>
          <w:szCs w:val="21"/>
        </w:rPr>
        <w:t>响应文件</w:t>
      </w:r>
      <w:r>
        <w:rPr>
          <w:rFonts w:ascii="Tahoma" w:hAnsi="Tahoma" w:cs="Tahoma"/>
          <w:szCs w:val="21"/>
        </w:rPr>
        <w:t xml:space="preserve">订立合同，或者与采购人另行订立背离合同实质性内容的协议的； </w:t>
      </w:r>
    </w:p>
    <w:p>
      <w:pPr>
        <w:spacing w:line="360" w:lineRule="auto"/>
        <w:rPr>
          <w:rFonts w:ascii="Tahoma" w:hAnsi="Tahoma" w:cs="Tahoma"/>
          <w:szCs w:val="21"/>
        </w:rPr>
      </w:pPr>
      <w:r>
        <w:rPr>
          <w:rFonts w:ascii="Tahoma" w:hAnsi="Tahoma" w:cs="Tahoma"/>
          <w:szCs w:val="21"/>
        </w:rPr>
        <w:t xml:space="preserve">　（6）拒绝有关部门监督检查或者提供虚假情况的； </w:t>
      </w:r>
    </w:p>
    <w:p>
      <w:pPr>
        <w:spacing w:line="360" w:lineRule="auto"/>
        <w:ind w:firstLine="240" w:firstLineChars="100"/>
        <w:rPr>
          <w:rFonts w:ascii="Tahoma" w:hAnsi="Tahoma" w:cs="Tahoma"/>
          <w:szCs w:val="21"/>
        </w:rPr>
      </w:pPr>
      <w:r>
        <w:rPr>
          <w:rFonts w:ascii="Tahoma" w:hAnsi="Tahoma" w:cs="Tahoma"/>
          <w:szCs w:val="21"/>
        </w:rPr>
        <w:t>（7）法律、法规规定的其他违法、违规情形。</w:t>
      </w:r>
    </w:p>
    <w:bookmarkEnd w:id="28"/>
    <w:p>
      <w:pPr>
        <w:spacing w:line="360" w:lineRule="auto"/>
        <w:rPr>
          <w:rFonts w:ascii="Tahoma" w:hAnsi="Tahoma" w:cs="Tahoma"/>
          <w:b/>
          <w:szCs w:val="21"/>
        </w:rPr>
      </w:pPr>
      <w:r>
        <w:rPr>
          <w:rFonts w:ascii="Tahoma" w:hAnsi="Tahoma" w:cs="Tahoma"/>
          <w:b/>
          <w:szCs w:val="21"/>
        </w:rPr>
        <w:t>9.3 对评标委员会成员的纪律要求</w:t>
      </w:r>
    </w:p>
    <w:p>
      <w:pPr>
        <w:spacing w:line="360" w:lineRule="auto"/>
        <w:ind w:firstLine="480" w:firstLineChars="200"/>
        <w:rPr>
          <w:rFonts w:ascii="Tahoma" w:hAnsi="Tahoma" w:cs="Tahoma"/>
          <w:szCs w:val="21"/>
        </w:rPr>
      </w:pPr>
      <w:r>
        <w:rPr>
          <w:rFonts w:ascii="Tahoma" w:hAnsi="Tahoma" w:cs="Tahoma"/>
          <w:szCs w:val="21"/>
        </w:rPr>
        <w:t>评标委员会成员不得收受他人的财物或者其他好处，不得向他人透漏对</w:t>
      </w:r>
      <w:r>
        <w:rPr>
          <w:rFonts w:hint="eastAsia" w:ascii="Tahoma" w:hAnsi="Tahoma" w:cs="Tahoma"/>
          <w:szCs w:val="21"/>
        </w:rPr>
        <w:t>响应文件</w:t>
      </w:r>
      <w:r>
        <w:rPr>
          <w:rFonts w:ascii="Tahoma" w:hAnsi="Tahoma" w:cs="Tahoma"/>
          <w:szCs w:val="21"/>
        </w:rPr>
        <w:t>的评审和比较、</w:t>
      </w:r>
      <w:r>
        <w:rPr>
          <w:rFonts w:hint="eastAsia" w:ascii="Tahoma" w:hAnsi="Tahoma" w:cs="Tahoma"/>
          <w:szCs w:val="21"/>
        </w:rPr>
        <w:t>成交候选人</w:t>
      </w:r>
      <w:r>
        <w:rPr>
          <w:rFonts w:ascii="Tahoma" w:hAnsi="Tahoma" w:cs="Tahoma"/>
          <w:szCs w:val="21"/>
        </w:rPr>
        <w:t xml:space="preserve">的推荐情况以及评标有关的其他情况。在评标活动中，评标委员会成员不得擅离职守，影响评标程序正常进行。评标委员不得有下列行为之一： </w:t>
      </w:r>
    </w:p>
    <w:p>
      <w:pPr>
        <w:spacing w:line="360" w:lineRule="auto"/>
        <w:ind w:firstLine="240" w:firstLineChars="100"/>
        <w:rPr>
          <w:rFonts w:ascii="Tahoma" w:hAnsi="Tahoma" w:cs="Tahoma"/>
          <w:szCs w:val="21"/>
        </w:rPr>
      </w:pPr>
      <w:r>
        <w:rPr>
          <w:rFonts w:ascii="Tahoma" w:hAnsi="Tahoma" w:cs="Tahoma"/>
          <w:szCs w:val="21"/>
        </w:rPr>
        <w:t xml:space="preserve">（1）明知应当回避而未主动回避的； </w:t>
      </w:r>
    </w:p>
    <w:p>
      <w:pPr>
        <w:spacing w:line="360" w:lineRule="auto"/>
        <w:ind w:firstLine="240" w:firstLineChars="100"/>
        <w:rPr>
          <w:rFonts w:ascii="Tahoma" w:hAnsi="Tahoma" w:cs="Tahoma"/>
          <w:szCs w:val="21"/>
        </w:rPr>
      </w:pPr>
      <w:r>
        <w:rPr>
          <w:rFonts w:ascii="Tahoma" w:hAnsi="Tahoma" w:cs="Tahoma"/>
          <w:szCs w:val="21"/>
        </w:rPr>
        <w:t>（2）在知道自己为评委会成员身份后至评标结束前的时段内私下接触投标供应商的；</w:t>
      </w:r>
    </w:p>
    <w:p>
      <w:pPr>
        <w:spacing w:line="360" w:lineRule="auto"/>
        <w:ind w:firstLine="240" w:firstLineChars="100"/>
        <w:rPr>
          <w:rFonts w:ascii="Tahoma" w:hAnsi="Tahoma" w:cs="Tahoma"/>
          <w:szCs w:val="21"/>
        </w:rPr>
      </w:pPr>
      <w:r>
        <w:rPr>
          <w:rFonts w:ascii="Tahoma" w:hAnsi="Tahoma" w:cs="Tahoma"/>
          <w:szCs w:val="21"/>
        </w:rPr>
        <w:t xml:space="preserve">（3）在评标过程中擅离职守，影响评标程序正常进行的； </w:t>
      </w:r>
    </w:p>
    <w:p>
      <w:pPr>
        <w:spacing w:line="360" w:lineRule="auto"/>
        <w:ind w:firstLine="240" w:firstLineChars="100"/>
        <w:rPr>
          <w:rFonts w:ascii="Tahoma" w:hAnsi="Tahoma" w:cs="Tahoma"/>
          <w:szCs w:val="21"/>
        </w:rPr>
      </w:pPr>
      <w:r>
        <w:rPr>
          <w:rFonts w:ascii="Tahoma" w:hAnsi="Tahoma" w:cs="Tahoma"/>
          <w:szCs w:val="21"/>
        </w:rPr>
        <w:t xml:space="preserve">（4）在评标过程中有明显不合理或者不正当倾向性的； </w:t>
      </w:r>
    </w:p>
    <w:p>
      <w:pPr>
        <w:spacing w:line="360" w:lineRule="auto"/>
        <w:rPr>
          <w:rFonts w:ascii="Tahoma" w:hAnsi="Tahoma" w:cs="Tahoma"/>
          <w:szCs w:val="21"/>
        </w:rPr>
      </w:pPr>
      <w:r>
        <w:rPr>
          <w:rFonts w:ascii="Tahoma" w:hAnsi="Tahoma" w:cs="Tahoma"/>
          <w:szCs w:val="21"/>
        </w:rPr>
        <w:t>　（5）未按招标文件规定的评标方法和标准进行评标的。</w:t>
      </w:r>
    </w:p>
    <w:p>
      <w:pPr>
        <w:spacing w:line="360" w:lineRule="auto"/>
        <w:ind w:firstLine="240" w:firstLineChars="100"/>
        <w:rPr>
          <w:rFonts w:ascii="Tahoma" w:hAnsi="Tahoma" w:cs="Tahoma"/>
          <w:szCs w:val="21"/>
        </w:rPr>
      </w:pPr>
      <w:r>
        <w:rPr>
          <w:rFonts w:ascii="Tahoma" w:hAnsi="Tahoma" w:cs="Tahoma"/>
          <w:szCs w:val="21"/>
        </w:rPr>
        <w:t xml:space="preserve">（6）法律、法规规定的其他违法、违规情形。 </w:t>
      </w:r>
    </w:p>
    <w:p>
      <w:pPr>
        <w:spacing w:line="360" w:lineRule="auto"/>
        <w:rPr>
          <w:rFonts w:ascii="Tahoma" w:hAnsi="Tahoma" w:cs="Tahoma"/>
          <w:b/>
          <w:szCs w:val="21"/>
        </w:rPr>
      </w:pPr>
      <w:r>
        <w:rPr>
          <w:rFonts w:ascii="Tahoma" w:hAnsi="Tahoma" w:cs="Tahoma"/>
          <w:b/>
          <w:szCs w:val="21"/>
        </w:rPr>
        <w:t>9.4 对与评标活动有关的工作人员的纪律要求</w:t>
      </w:r>
    </w:p>
    <w:p>
      <w:pPr>
        <w:spacing w:line="360" w:lineRule="auto"/>
        <w:rPr>
          <w:rFonts w:ascii="Tahoma" w:hAnsi="Tahoma" w:cs="Tahoma"/>
          <w:szCs w:val="21"/>
        </w:rPr>
      </w:pPr>
      <w:r>
        <w:rPr>
          <w:rFonts w:ascii="Tahoma" w:hAnsi="Tahoma" w:cs="Tahoma"/>
          <w:szCs w:val="21"/>
        </w:rPr>
        <w:t xml:space="preserve">   与评标活动有关的工作人员不得收受他人的财物或者其他好处，不得向他人透漏对投标文件的评审和比较、</w:t>
      </w:r>
      <w:r>
        <w:rPr>
          <w:rFonts w:hint="eastAsia" w:ascii="Tahoma" w:hAnsi="Tahoma" w:cs="Tahoma"/>
          <w:szCs w:val="21"/>
        </w:rPr>
        <w:t>成交候选人</w:t>
      </w:r>
      <w:r>
        <w:rPr>
          <w:rFonts w:ascii="Tahoma" w:hAnsi="Tahoma" w:cs="Tahoma"/>
          <w:szCs w:val="21"/>
        </w:rPr>
        <w:t>的推荐情况以及评标有关的其他情况。在评标活动中，与评标活动有关的工作人员不得擅离职守，影响评标程序正常进行。</w:t>
      </w:r>
    </w:p>
    <w:p>
      <w:pPr>
        <w:spacing w:line="360" w:lineRule="auto"/>
        <w:rPr>
          <w:rFonts w:ascii="Tahoma" w:hAnsi="Tahoma" w:cs="Tahoma"/>
          <w:b/>
          <w:szCs w:val="21"/>
        </w:rPr>
      </w:pPr>
      <w:r>
        <w:rPr>
          <w:rFonts w:ascii="Tahoma" w:hAnsi="Tahoma" w:cs="Tahoma"/>
          <w:b/>
          <w:szCs w:val="21"/>
        </w:rPr>
        <w:t>9.5 监督检查</w:t>
      </w:r>
    </w:p>
    <w:p>
      <w:pPr>
        <w:spacing w:line="360" w:lineRule="auto"/>
        <w:rPr>
          <w:rFonts w:ascii="Tahoma" w:hAnsi="Tahoma" w:cs="Tahoma"/>
          <w:szCs w:val="21"/>
        </w:rPr>
      </w:pPr>
      <w:r>
        <w:rPr>
          <w:rFonts w:ascii="Tahoma" w:hAnsi="Tahoma" w:cs="Tahoma"/>
          <w:szCs w:val="21"/>
        </w:rPr>
        <w:t>9.5.1政府采购监督管理部门应对在政府采购活动中的当事人有关政府采购的法律、行政法规和规章的执行情况和采购范围、采购方式和采购程序的执行等情况进行监督检查。</w:t>
      </w:r>
    </w:p>
    <w:p>
      <w:pPr>
        <w:spacing w:line="360" w:lineRule="auto"/>
        <w:rPr>
          <w:rFonts w:ascii="Tahoma" w:hAnsi="Tahoma" w:cs="Tahoma"/>
          <w:szCs w:val="21"/>
        </w:rPr>
      </w:pPr>
      <w:r>
        <w:rPr>
          <w:rFonts w:ascii="Tahoma" w:hAnsi="Tahoma" w:cs="Tahoma"/>
          <w:szCs w:val="21"/>
        </w:rPr>
        <w:t>9.5.2招标项目行政监督部门可视情依法派员对招标活动的全程进行监督。</w:t>
      </w:r>
    </w:p>
    <w:p>
      <w:pPr>
        <w:spacing w:line="360" w:lineRule="auto"/>
        <w:jc w:val="center"/>
        <w:rPr>
          <w:rFonts w:ascii="Tahoma" w:hAnsi="Tahoma" w:cs="Tahoma"/>
          <w:b/>
          <w:szCs w:val="21"/>
        </w:rPr>
      </w:pPr>
      <w:r>
        <w:rPr>
          <w:rFonts w:ascii="Tahoma" w:hAnsi="Tahoma" w:cs="Tahoma"/>
          <w:b/>
          <w:szCs w:val="21"/>
        </w:rPr>
        <w:t>10、需要补充的其他内容</w:t>
      </w:r>
    </w:p>
    <w:p>
      <w:pPr>
        <w:spacing w:line="360" w:lineRule="auto"/>
        <w:rPr>
          <w:rFonts w:ascii="Tahoma" w:hAnsi="Tahoma" w:cs="Tahoma"/>
          <w:b/>
          <w:szCs w:val="21"/>
        </w:rPr>
      </w:pPr>
      <w:r>
        <w:rPr>
          <w:rFonts w:ascii="Tahoma" w:hAnsi="Tahoma" w:cs="Tahoma"/>
          <w:b/>
          <w:szCs w:val="21"/>
        </w:rPr>
        <w:t>10.</w:t>
      </w:r>
      <w:r>
        <w:rPr>
          <w:rFonts w:hint="eastAsia" w:ascii="Tahoma" w:hAnsi="Tahoma" w:cs="Tahoma"/>
          <w:b/>
          <w:szCs w:val="21"/>
        </w:rPr>
        <w:t xml:space="preserve">询问、质疑、投诉 </w:t>
      </w:r>
    </w:p>
    <w:p>
      <w:pPr>
        <w:spacing w:line="360" w:lineRule="auto"/>
        <w:rPr>
          <w:rFonts w:ascii="Tahoma" w:hAnsi="Tahoma" w:cs="Tahoma"/>
          <w:bCs/>
          <w:szCs w:val="21"/>
        </w:rPr>
      </w:pPr>
      <w:r>
        <w:rPr>
          <w:rFonts w:hint="eastAsia" w:ascii="Tahoma" w:hAnsi="Tahoma" w:cs="Tahoma"/>
          <w:bCs/>
          <w:szCs w:val="21"/>
        </w:rPr>
        <w:t xml:space="preserve">10.1询问 </w:t>
      </w:r>
    </w:p>
    <w:p>
      <w:pPr>
        <w:spacing w:line="360" w:lineRule="auto"/>
        <w:ind w:firstLine="480" w:firstLineChars="200"/>
        <w:rPr>
          <w:rFonts w:ascii="Tahoma" w:hAnsi="Tahoma" w:cs="Tahoma"/>
          <w:bCs/>
          <w:szCs w:val="21"/>
        </w:rPr>
      </w:pPr>
      <w:r>
        <w:rPr>
          <w:rFonts w:hint="eastAsia" w:ascii="Tahoma" w:hAnsi="Tahoma" w:cs="Tahoma"/>
          <w:bCs/>
          <w:szCs w:val="21"/>
        </w:rPr>
        <w:t xml:space="preserve">10..1.1 供应商对政府采购活动事项（采购文件、采购过程、成交或者成交结果）有疑问的，可以向采购人或者新疆拓源工程管理咨询有限公司提出询问，询问可以口头方式提出，也可以书面方式提出。 </w:t>
      </w:r>
    </w:p>
    <w:p>
      <w:pPr>
        <w:spacing w:line="360" w:lineRule="auto"/>
        <w:ind w:firstLine="480" w:firstLineChars="200"/>
        <w:rPr>
          <w:rFonts w:ascii="Tahoma" w:hAnsi="Tahoma" w:cs="Tahoma"/>
          <w:bCs/>
          <w:szCs w:val="21"/>
        </w:rPr>
      </w:pPr>
      <w:r>
        <w:rPr>
          <w:rFonts w:hint="eastAsia" w:ascii="Tahoma" w:hAnsi="Tahoma" w:cs="Tahoma"/>
          <w:bCs/>
          <w:szCs w:val="21"/>
        </w:rPr>
        <w:t xml:space="preserve">10.1.2 采购人或者新疆拓源工程管理咨询有限公司在三个工作日内对供应商依法提出的询问作出答复。 </w:t>
      </w:r>
    </w:p>
    <w:p>
      <w:pPr>
        <w:spacing w:line="360" w:lineRule="auto"/>
        <w:ind w:firstLine="480" w:firstLineChars="200"/>
        <w:rPr>
          <w:rFonts w:ascii="Tahoma" w:hAnsi="Tahoma" w:cs="Tahoma"/>
          <w:bCs/>
          <w:szCs w:val="21"/>
        </w:rPr>
      </w:pPr>
      <w:r>
        <w:rPr>
          <w:rFonts w:hint="eastAsia" w:ascii="Tahoma" w:hAnsi="Tahoma" w:cs="Tahoma"/>
          <w:bCs/>
          <w:szCs w:val="21"/>
        </w:rPr>
        <w:t>10.2 质疑</w:t>
      </w:r>
    </w:p>
    <w:p>
      <w:pPr>
        <w:spacing w:line="360" w:lineRule="auto"/>
        <w:ind w:firstLine="480" w:firstLineChars="200"/>
        <w:rPr>
          <w:rFonts w:ascii="Tahoma" w:hAnsi="Tahoma" w:cs="Tahoma"/>
          <w:bCs/>
          <w:szCs w:val="21"/>
        </w:rPr>
      </w:pPr>
      <w:r>
        <w:rPr>
          <w:rFonts w:hint="eastAsia" w:ascii="Tahoma" w:hAnsi="Tahoma" w:cs="Tahoma"/>
          <w:bCs/>
          <w:szCs w:val="21"/>
        </w:rPr>
        <w:t>10.2.1 提出质疑的供应商应当是参与所质疑项目采购活动的供应商。潜在供应商依法获取其可质疑的采购文件的，可以对采购文件提出质疑。</w:t>
      </w:r>
    </w:p>
    <w:p>
      <w:pPr>
        <w:spacing w:line="360" w:lineRule="auto"/>
        <w:ind w:firstLine="480" w:firstLineChars="200"/>
        <w:rPr>
          <w:rFonts w:ascii="Tahoma" w:hAnsi="Tahoma" w:cs="Tahoma"/>
          <w:bCs/>
          <w:szCs w:val="21"/>
        </w:rPr>
      </w:pPr>
      <w:r>
        <w:rPr>
          <w:rFonts w:hint="eastAsia" w:ascii="Tahoma" w:hAnsi="Tahoma" w:cs="Tahoma"/>
          <w:bCs/>
          <w:szCs w:val="21"/>
        </w:rPr>
        <w:t>10.2.2 供应商认为采购文件、采购过程和采购结果使自己的权益受到损害的，可以在知道或应知其权益受到损害之日起七个工作日内，以书面形式向代理机构及采购人提出质疑。上述应知其权益受到损害之日，是指：</w:t>
      </w:r>
    </w:p>
    <w:p>
      <w:pPr>
        <w:spacing w:line="360" w:lineRule="auto"/>
        <w:ind w:firstLine="480" w:firstLineChars="200"/>
        <w:rPr>
          <w:rFonts w:ascii="Tahoma" w:hAnsi="Tahoma" w:cs="Tahoma"/>
          <w:bCs/>
          <w:szCs w:val="21"/>
        </w:rPr>
      </w:pPr>
      <w:r>
        <w:rPr>
          <w:rFonts w:hint="eastAsia" w:ascii="Tahoma" w:hAnsi="Tahoma" w:cs="Tahoma"/>
          <w:bCs/>
          <w:szCs w:val="21"/>
        </w:rPr>
        <w:t>10.2.2.1对可以质疑的采购文件提出质疑的，为收到采购文件之日或者采购文件公告期限届满之日；</w:t>
      </w:r>
    </w:p>
    <w:p>
      <w:pPr>
        <w:spacing w:line="360" w:lineRule="auto"/>
        <w:ind w:firstLine="480" w:firstLineChars="200"/>
        <w:rPr>
          <w:rFonts w:ascii="Tahoma" w:hAnsi="Tahoma" w:cs="Tahoma"/>
          <w:bCs/>
          <w:szCs w:val="21"/>
        </w:rPr>
      </w:pPr>
      <w:r>
        <w:rPr>
          <w:rFonts w:hint="eastAsia" w:ascii="Tahoma" w:hAnsi="Tahoma" w:cs="Tahoma"/>
          <w:bCs/>
          <w:szCs w:val="21"/>
        </w:rPr>
        <w:t>10.2.2.2对采购过程提出质疑的，为各采购程序环节结束之日；</w:t>
      </w:r>
    </w:p>
    <w:p>
      <w:pPr>
        <w:spacing w:line="360" w:lineRule="auto"/>
        <w:ind w:firstLine="480" w:firstLineChars="200"/>
        <w:rPr>
          <w:rFonts w:ascii="Tahoma" w:hAnsi="Tahoma" w:cs="Tahoma"/>
          <w:bCs/>
          <w:szCs w:val="21"/>
        </w:rPr>
      </w:pPr>
      <w:r>
        <w:rPr>
          <w:rFonts w:hint="eastAsia" w:ascii="Tahoma" w:hAnsi="Tahoma" w:cs="Tahoma"/>
          <w:bCs/>
          <w:szCs w:val="21"/>
        </w:rPr>
        <w:t>10.2.2.3对中标或者成交结果提出质疑的，为中标或者成交结果公告期限届满之日。</w:t>
      </w:r>
    </w:p>
    <w:p>
      <w:pPr>
        <w:spacing w:line="360" w:lineRule="auto"/>
        <w:ind w:firstLine="480" w:firstLineChars="200"/>
        <w:rPr>
          <w:rFonts w:ascii="Tahoma" w:hAnsi="Tahoma" w:cs="Tahoma"/>
          <w:bCs/>
          <w:szCs w:val="21"/>
        </w:rPr>
      </w:pPr>
      <w:r>
        <w:rPr>
          <w:rFonts w:hint="eastAsia" w:ascii="Tahoma" w:hAnsi="Tahoma" w:cs="Tahoma"/>
          <w:bCs/>
          <w:szCs w:val="21"/>
        </w:rPr>
        <w:t>供应商应当在法定质疑期内一次性提出针对同一公开招标程序环节的质疑。供应商如在法定期限内对同一采购程序环节提出多次质疑的，代理机构、采购人将只对供应商第一次质疑作出答复。本项目不接受供应商多次/反复质疑。</w:t>
      </w:r>
    </w:p>
    <w:p>
      <w:pPr>
        <w:spacing w:line="360" w:lineRule="auto"/>
        <w:ind w:firstLine="480" w:firstLineChars="200"/>
        <w:rPr>
          <w:rFonts w:ascii="Tahoma" w:hAnsi="Tahoma" w:cs="Tahoma"/>
          <w:bCs/>
          <w:szCs w:val="21"/>
        </w:rPr>
      </w:pPr>
      <w:r>
        <w:rPr>
          <w:rFonts w:hint="eastAsia" w:ascii="Tahoma" w:hAnsi="Tahoma" w:cs="Tahoma"/>
          <w:bCs/>
          <w:szCs w:val="21"/>
        </w:rPr>
        <w:t>10.2.3质疑函必须按照本采购文件中《质疑函范本》要求的格式和内容进行填写。供应商如组成联合体参加投标，则《质疑函范本》中要求签字、盖章、加盖公章之处，联合体各方均须按要求签字、盖章、加盖公章。</w:t>
      </w:r>
    </w:p>
    <w:p>
      <w:pPr>
        <w:spacing w:line="360" w:lineRule="auto"/>
        <w:ind w:firstLine="480" w:firstLineChars="200"/>
        <w:rPr>
          <w:rFonts w:ascii="Tahoma" w:hAnsi="Tahoma" w:cs="Tahoma"/>
          <w:bCs/>
          <w:szCs w:val="21"/>
        </w:rPr>
      </w:pPr>
      <w:r>
        <w:rPr>
          <w:rFonts w:hint="eastAsia" w:ascii="Tahoma" w:hAnsi="Tahoma" w:cs="Tahoma"/>
          <w:bCs/>
          <w:szCs w:val="21"/>
        </w:rPr>
        <w:t>10.2.4 代理机构及采购人只接收以纸质原件形式送达的质疑。项目开标前的质疑（针对采购文件的质疑），由采购人负责回复答疑。项目开评标中评标结束后由代理机构负责回复。</w:t>
      </w:r>
    </w:p>
    <w:p>
      <w:pPr>
        <w:spacing w:line="360" w:lineRule="auto"/>
        <w:rPr>
          <w:rFonts w:ascii="Tahoma" w:hAnsi="Tahoma" w:cs="Tahoma"/>
          <w:bCs/>
          <w:szCs w:val="21"/>
        </w:rPr>
      </w:pPr>
      <w:r>
        <w:rPr>
          <w:rFonts w:hint="eastAsia" w:ascii="Tahoma" w:hAnsi="Tahoma" w:cs="Tahoma"/>
          <w:bCs/>
          <w:szCs w:val="21"/>
        </w:rPr>
        <w:t>开标前质疑（针对采购文件的质疑）接收人：本项目采购单位联系人，联系地址及电话：见第一部分 。</w:t>
      </w:r>
    </w:p>
    <w:p>
      <w:pPr>
        <w:spacing w:line="360" w:lineRule="auto"/>
        <w:rPr>
          <w:rFonts w:ascii="Tahoma" w:hAnsi="Tahoma" w:cs="Tahoma"/>
          <w:bCs/>
          <w:szCs w:val="21"/>
        </w:rPr>
      </w:pPr>
      <w:r>
        <w:rPr>
          <w:rFonts w:hint="eastAsia" w:ascii="Tahoma" w:hAnsi="Tahoma" w:cs="Tahoma"/>
          <w:bCs/>
          <w:szCs w:val="21"/>
        </w:rPr>
        <w:t>开标后质疑接收人：新疆拓源工程管理咨询有限公司</w:t>
      </w:r>
    </w:p>
    <w:p>
      <w:pPr>
        <w:spacing w:line="360" w:lineRule="auto"/>
        <w:rPr>
          <w:rFonts w:ascii="Tahoma" w:hAnsi="Tahoma" w:cs="Tahoma"/>
          <w:bCs/>
          <w:szCs w:val="21"/>
        </w:rPr>
      </w:pPr>
      <w:r>
        <w:rPr>
          <w:rFonts w:hint="eastAsia" w:ascii="Tahoma" w:hAnsi="Tahoma" w:cs="Tahoma"/>
          <w:bCs/>
          <w:szCs w:val="21"/>
        </w:rPr>
        <w:t>联系地址：乌鲁木齐市水磨沟区龙盛街898号万科中央公园S6栋5层</w:t>
      </w:r>
    </w:p>
    <w:p>
      <w:pPr>
        <w:spacing w:line="360" w:lineRule="auto"/>
        <w:rPr>
          <w:rFonts w:ascii="Tahoma" w:hAnsi="Tahoma" w:cs="Tahoma"/>
          <w:bCs/>
          <w:szCs w:val="21"/>
        </w:rPr>
      </w:pPr>
      <w:r>
        <w:rPr>
          <w:rFonts w:hint="eastAsia" w:ascii="Tahoma" w:hAnsi="Tahoma" w:cs="Tahoma"/>
          <w:bCs/>
          <w:szCs w:val="21"/>
        </w:rPr>
        <w:t>联系电话：谷静雯13565862462</w:t>
      </w:r>
    </w:p>
    <w:p>
      <w:pPr>
        <w:spacing w:line="360" w:lineRule="auto"/>
        <w:ind w:firstLine="480" w:firstLineChars="200"/>
        <w:rPr>
          <w:rFonts w:ascii="Tahoma" w:hAnsi="Tahoma" w:cs="Tahoma"/>
          <w:bCs/>
          <w:szCs w:val="21"/>
        </w:rPr>
      </w:pPr>
      <w:r>
        <w:rPr>
          <w:rFonts w:hint="eastAsia" w:ascii="Tahoma" w:hAnsi="Tahoma" w:cs="Tahoma"/>
          <w:bCs/>
          <w:szCs w:val="21"/>
        </w:rPr>
        <w:t>10.2.5 以下情形的质疑不予受理</w:t>
      </w:r>
    </w:p>
    <w:p>
      <w:pPr>
        <w:spacing w:line="360" w:lineRule="auto"/>
        <w:ind w:firstLine="480" w:firstLineChars="200"/>
        <w:rPr>
          <w:rFonts w:ascii="Tahoma" w:hAnsi="Tahoma" w:cs="Tahoma"/>
          <w:bCs/>
          <w:szCs w:val="21"/>
        </w:rPr>
      </w:pPr>
      <w:r>
        <w:rPr>
          <w:rFonts w:hint="eastAsia" w:ascii="Tahoma" w:hAnsi="Tahoma" w:cs="Tahoma"/>
          <w:bCs/>
          <w:szCs w:val="21"/>
        </w:rPr>
        <w:t>10.2.5.1 内容不符合《政府采购质疑和投诉办法》第十二条规定的质疑。</w:t>
      </w:r>
    </w:p>
    <w:p>
      <w:pPr>
        <w:spacing w:line="360" w:lineRule="auto"/>
        <w:ind w:firstLine="480" w:firstLineChars="200"/>
        <w:rPr>
          <w:rFonts w:ascii="Tahoma" w:hAnsi="Tahoma" w:cs="Tahoma"/>
          <w:bCs/>
          <w:szCs w:val="21"/>
        </w:rPr>
      </w:pPr>
      <w:r>
        <w:rPr>
          <w:rFonts w:hint="eastAsia" w:ascii="Tahoma" w:hAnsi="Tahoma" w:cs="Tahoma"/>
          <w:bCs/>
          <w:szCs w:val="21"/>
        </w:rPr>
        <w:t>10.2.5.2 超出政府采购法定期限的质疑。</w:t>
      </w:r>
    </w:p>
    <w:p>
      <w:pPr>
        <w:spacing w:line="360" w:lineRule="auto"/>
        <w:ind w:firstLine="480" w:firstLineChars="200"/>
        <w:rPr>
          <w:rFonts w:ascii="Tahoma" w:hAnsi="Tahoma" w:cs="Tahoma"/>
          <w:bCs/>
          <w:szCs w:val="21"/>
        </w:rPr>
      </w:pPr>
      <w:r>
        <w:rPr>
          <w:rFonts w:hint="eastAsia" w:ascii="Tahoma" w:hAnsi="Tahoma" w:cs="Tahoma"/>
          <w:bCs/>
          <w:szCs w:val="21"/>
        </w:rPr>
        <w:t>10.2.5.3 以传真、电子邮件等方式递交的非原件形式的质疑。</w:t>
      </w:r>
    </w:p>
    <w:p>
      <w:pPr>
        <w:spacing w:line="360" w:lineRule="auto"/>
        <w:ind w:firstLine="480" w:firstLineChars="200"/>
        <w:rPr>
          <w:rFonts w:ascii="Tahoma" w:hAnsi="Tahoma" w:cs="Tahoma"/>
          <w:bCs/>
          <w:szCs w:val="21"/>
        </w:rPr>
      </w:pPr>
      <w:r>
        <w:rPr>
          <w:rFonts w:hint="eastAsia" w:ascii="Tahoma" w:hAnsi="Tahoma" w:cs="Tahoma"/>
          <w:bCs/>
          <w:szCs w:val="21"/>
        </w:rPr>
        <w:t>10.2.5.4 未参加投标活动的供应商或在投标活动中自身权益未受到损害的供应商所提出的质疑。</w:t>
      </w:r>
    </w:p>
    <w:p>
      <w:pPr>
        <w:spacing w:line="360" w:lineRule="auto"/>
        <w:ind w:firstLine="480" w:firstLineChars="200"/>
        <w:rPr>
          <w:rFonts w:ascii="Tahoma" w:hAnsi="Tahoma" w:cs="Tahoma"/>
          <w:bCs/>
          <w:szCs w:val="21"/>
        </w:rPr>
      </w:pPr>
      <w:r>
        <w:rPr>
          <w:rFonts w:hint="eastAsia" w:ascii="Tahoma" w:hAnsi="Tahoma" w:cs="Tahoma"/>
          <w:bCs/>
          <w:szCs w:val="21"/>
        </w:rPr>
        <w:t>10.2.5.5供应商组成联合体参加投标，联合体中任何一方或多方未按要求签字、盖章、加盖公章的质疑。</w:t>
      </w:r>
    </w:p>
    <w:p>
      <w:pPr>
        <w:spacing w:line="360" w:lineRule="auto"/>
        <w:ind w:firstLine="480" w:firstLineChars="200"/>
        <w:rPr>
          <w:rFonts w:ascii="Tahoma" w:hAnsi="Tahoma" w:cs="Tahoma"/>
          <w:bCs/>
          <w:szCs w:val="21"/>
        </w:rPr>
      </w:pPr>
      <w:r>
        <w:rPr>
          <w:rFonts w:hint="eastAsia" w:ascii="Tahoma" w:hAnsi="Tahoma" w:cs="Tahoma"/>
          <w:bCs/>
          <w:szCs w:val="21"/>
        </w:rPr>
        <w:t>10.2.6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pPr>
        <w:spacing w:line="360" w:lineRule="auto"/>
        <w:ind w:firstLine="480" w:firstLineChars="200"/>
        <w:rPr>
          <w:rFonts w:ascii="Tahoma" w:hAnsi="Tahoma" w:cs="Tahoma"/>
          <w:bCs/>
          <w:szCs w:val="21"/>
        </w:rPr>
      </w:pPr>
      <w:r>
        <w:rPr>
          <w:rFonts w:hint="eastAsia" w:ascii="Tahoma" w:hAnsi="Tahoma" w:cs="Tahoma"/>
          <w:bCs/>
          <w:szCs w:val="21"/>
        </w:rPr>
        <w:t xml:space="preserve">10.3 投诉 </w:t>
      </w:r>
    </w:p>
    <w:p>
      <w:pPr>
        <w:spacing w:line="360" w:lineRule="auto"/>
        <w:ind w:firstLine="480" w:firstLineChars="200"/>
        <w:rPr>
          <w:rFonts w:ascii="Tahoma" w:hAnsi="Tahoma" w:cs="Tahoma"/>
          <w:bCs/>
          <w:szCs w:val="21"/>
        </w:rPr>
      </w:pPr>
      <w:r>
        <w:rPr>
          <w:rFonts w:hint="eastAsia" w:ascii="Tahoma" w:hAnsi="Tahoma" w:cs="Tahoma"/>
          <w:bCs/>
          <w:szCs w:val="21"/>
        </w:rPr>
        <w:t xml:space="preserve">10.3.1 质疑供应商对新疆拓源工程管理咨询有限公司的答复不满意，或者新疆拓源工程管理咨询有限公司未在规定时间内作出答复的，可以在答复期满后十五个工作日内向同级财政部门提起投诉。 </w:t>
      </w:r>
    </w:p>
    <w:p>
      <w:pPr>
        <w:spacing w:line="360" w:lineRule="auto"/>
        <w:ind w:firstLine="480" w:firstLineChars="200"/>
        <w:rPr>
          <w:rFonts w:ascii="Tahoma" w:hAnsi="Tahoma" w:cs="Tahoma"/>
          <w:bCs/>
          <w:szCs w:val="21"/>
        </w:rPr>
      </w:pPr>
      <w:r>
        <w:rPr>
          <w:rFonts w:hint="eastAsia" w:ascii="Tahoma" w:hAnsi="Tahoma" w:cs="Tahoma"/>
          <w:bCs/>
          <w:szCs w:val="21"/>
        </w:rPr>
        <w:t xml:space="preserve">10.3.2 投诉人在全国范围12个月内三次以上投诉查无实据的，由财政部门列入不良行为记录名单。 </w:t>
      </w:r>
    </w:p>
    <w:p>
      <w:pPr>
        <w:spacing w:line="360" w:lineRule="auto"/>
        <w:ind w:firstLine="480" w:firstLineChars="200"/>
        <w:rPr>
          <w:rFonts w:ascii="Tahoma" w:hAnsi="Tahoma" w:cs="Tahoma"/>
          <w:bCs/>
          <w:szCs w:val="21"/>
        </w:rPr>
      </w:pPr>
      <w:r>
        <w:rPr>
          <w:rFonts w:hint="eastAsia" w:ascii="Tahoma" w:hAnsi="Tahoma" w:cs="Tahoma"/>
          <w:bCs/>
          <w:szCs w:val="21"/>
        </w:rPr>
        <w:t xml:space="preserve">10.3.3 投诉人有下列行为之一的，属于虚假、恶意投诉，由财政部门列入不良行为记录名单，禁止其1 至3年内参加政府采购活动： </w:t>
      </w:r>
    </w:p>
    <w:p>
      <w:pPr>
        <w:spacing w:line="360" w:lineRule="auto"/>
        <w:ind w:firstLine="480" w:firstLineChars="200"/>
        <w:rPr>
          <w:rFonts w:ascii="Tahoma" w:hAnsi="Tahoma" w:cs="Tahoma"/>
          <w:bCs/>
          <w:szCs w:val="21"/>
        </w:rPr>
      </w:pPr>
      <w:r>
        <w:rPr>
          <w:rFonts w:hint="eastAsia" w:ascii="Tahoma" w:hAnsi="Tahoma" w:cs="Tahoma"/>
          <w:bCs/>
          <w:szCs w:val="21"/>
        </w:rPr>
        <w:t xml:space="preserve">10.3.3.1 捏造事实； </w:t>
      </w:r>
    </w:p>
    <w:p>
      <w:pPr>
        <w:spacing w:line="360" w:lineRule="auto"/>
        <w:ind w:firstLine="480" w:firstLineChars="200"/>
        <w:rPr>
          <w:rFonts w:ascii="Tahoma" w:hAnsi="Tahoma" w:cs="Tahoma"/>
          <w:bCs/>
          <w:szCs w:val="21"/>
        </w:rPr>
      </w:pPr>
      <w:r>
        <w:rPr>
          <w:rFonts w:hint="eastAsia" w:ascii="Tahoma" w:hAnsi="Tahoma" w:cs="Tahoma"/>
          <w:bCs/>
          <w:szCs w:val="21"/>
        </w:rPr>
        <w:t xml:space="preserve">10.3.3.2 提供虚假材料； </w:t>
      </w:r>
    </w:p>
    <w:p>
      <w:pPr>
        <w:spacing w:line="360" w:lineRule="auto"/>
        <w:ind w:firstLine="480" w:firstLineChars="200"/>
        <w:rPr>
          <w:rFonts w:ascii="Tahoma" w:hAnsi="Tahoma" w:cs="Tahoma"/>
          <w:bCs/>
          <w:szCs w:val="21"/>
        </w:rPr>
      </w:pPr>
      <w:r>
        <w:rPr>
          <w:rFonts w:hint="eastAsia" w:ascii="Tahoma" w:hAnsi="Tahoma" w:cs="Tahoma"/>
          <w:bCs/>
          <w:szCs w:val="21"/>
        </w:rPr>
        <w:t xml:space="preserve">10.3.3.3 以非法手段取得证明材料。证据来源的合法性存在明显疑问，投诉人无法证明其取得方式合法的，视为以非法手段取得证明材料。 </w:t>
      </w:r>
    </w:p>
    <w:p>
      <w:pPr>
        <w:spacing w:line="360" w:lineRule="auto"/>
        <w:rPr>
          <w:rFonts w:ascii="Tahoma" w:hAnsi="Tahoma" w:cs="Tahoma"/>
          <w:b/>
          <w:szCs w:val="21"/>
        </w:rPr>
      </w:pPr>
      <w:r>
        <w:rPr>
          <w:rFonts w:hint="eastAsia" w:ascii="Tahoma" w:hAnsi="Tahoma" w:cs="Tahoma"/>
          <w:b/>
          <w:szCs w:val="21"/>
        </w:rPr>
        <w:t xml:space="preserve">10.4小微企业（监狱企业、残疾人福利性单位视同小微企业）价格扣除（仅非预留份额的采购项目或者采购包适用） </w:t>
      </w:r>
    </w:p>
    <w:p>
      <w:pPr>
        <w:spacing w:line="360" w:lineRule="auto"/>
        <w:ind w:firstLine="480" w:firstLineChars="200"/>
        <w:rPr>
          <w:rFonts w:ascii="Tahoma" w:hAnsi="Tahoma" w:cs="Tahoma"/>
          <w:bCs/>
          <w:szCs w:val="21"/>
        </w:rPr>
      </w:pPr>
      <w:r>
        <w:rPr>
          <w:rFonts w:hint="eastAsia" w:ascii="Tahoma" w:hAnsi="Tahoma" w:cs="Tahoma"/>
          <w:bCs/>
          <w:szCs w:val="21"/>
        </w:rPr>
        <w:t>10.4.1 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pPr>
        <w:spacing w:line="360" w:lineRule="auto"/>
        <w:ind w:firstLine="480" w:firstLineChars="200"/>
        <w:rPr>
          <w:rFonts w:ascii="Tahoma" w:hAnsi="Tahoma" w:cs="Tahoma"/>
          <w:bCs/>
          <w:szCs w:val="21"/>
        </w:rPr>
      </w:pPr>
      <w:r>
        <w:rPr>
          <w:rFonts w:hint="eastAsia" w:ascii="Tahoma" w:hAnsi="Tahoma" w:cs="Tahoma"/>
          <w:bCs/>
          <w:szCs w:val="21"/>
        </w:rPr>
        <w:t>10.4.2允许大中型企业向一家或者多家小微企业分包的采购项目，对于分包意向协议约定小微企业的合同份额占到合同总金额30%以上的，对大中型企业的报价给予</w:t>
      </w:r>
      <w:r>
        <w:rPr>
          <w:rFonts w:hint="eastAsia" w:ascii="Tahoma" w:hAnsi="Tahoma" w:cs="Tahoma"/>
          <w:bCs/>
          <w:szCs w:val="21"/>
          <w:highlight w:val="none"/>
        </w:rPr>
        <w:t>1%</w:t>
      </w:r>
      <w:r>
        <w:rPr>
          <w:rFonts w:hint="eastAsia" w:ascii="Tahoma" w:hAnsi="Tahoma" w:cs="Tahoma"/>
          <w:bCs/>
          <w:szCs w:val="21"/>
        </w:rPr>
        <w:t>的扣除，用扣除后的价格参加评审。</w:t>
      </w:r>
    </w:p>
    <w:p>
      <w:pPr>
        <w:spacing w:line="360" w:lineRule="auto"/>
        <w:ind w:firstLine="480" w:firstLineChars="200"/>
        <w:rPr>
          <w:rFonts w:ascii="Tahoma" w:hAnsi="Tahoma" w:cs="Tahoma"/>
          <w:bCs/>
          <w:szCs w:val="21"/>
        </w:rPr>
      </w:pPr>
      <w:r>
        <w:rPr>
          <w:rFonts w:hint="eastAsia" w:ascii="Tahoma" w:hAnsi="Tahoma" w:cs="Tahoma"/>
          <w:bCs/>
          <w:szCs w:val="21"/>
        </w:rPr>
        <w:t>10.4.3参加政府采购活动的中小企业应当提供《中小企业声明函》原件。监狱企业应当提供监狱企业证明复印件。残疾人福利性单位应当提供《残疾人福利性单位声明函》原件。以上格式详见采购文件第五部分响应文件格式，未提供的视为放弃享受小微企业价格扣除优惠政策。</w:t>
      </w:r>
    </w:p>
    <w:p>
      <w:pPr>
        <w:spacing w:line="360" w:lineRule="auto"/>
        <w:ind w:firstLine="480" w:firstLineChars="200"/>
        <w:rPr>
          <w:rFonts w:ascii="Tahoma" w:hAnsi="Tahoma" w:cs="Tahoma"/>
          <w:bCs/>
          <w:szCs w:val="21"/>
        </w:rPr>
      </w:pPr>
      <w:r>
        <w:rPr>
          <w:rFonts w:hint="eastAsia" w:ascii="Tahoma" w:hAnsi="Tahoma" w:cs="Tahoma"/>
          <w:bCs/>
          <w:szCs w:val="21"/>
        </w:rPr>
        <w:t>10.4.4组成联合体或者接受分包的小微企业与联合体内其他企业、分包企业之间存在直接控股、管理关系的，不享受价格扣除优惠政策。</w:t>
      </w:r>
    </w:p>
    <w:p>
      <w:pPr>
        <w:spacing w:line="360" w:lineRule="auto"/>
        <w:ind w:firstLine="480" w:firstLineChars="200"/>
        <w:rPr>
          <w:rFonts w:ascii="Tahoma" w:hAnsi="Tahoma" w:cs="Tahoma"/>
          <w:bCs/>
          <w:szCs w:val="21"/>
        </w:rPr>
      </w:pPr>
      <w:r>
        <w:rPr>
          <w:rFonts w:hint="eastAsia" w:ascii="Tahoma" w:hAnsi="Tahoma" w:cs="Tahoma"/>
          <w:bCs/>
          <w:szCs w:val="21"/>
        </w:rPr>
        <w:t>10.4.5依据《政府采购促进中小企业发展管理办法》（财库〔2020〕46 号）规定享受扶持政策的小微企业，不得将合同分包给大中型企业。</w:t>
      </w:r>
    </w:p>
    <w:p>
      <w:pPr>
        <w:spacing w:line="360" w:lineRule="auto"/>
        <w:rPr>
          <w:rFonts w:ascii="Tahoma" w:hAnsi="Tahoma" w:cs="Tahoma"/>
          <w:bCs/>
          <w:szCs w:val="21"/>
        </w:rPr>
      </w:pPr>
      <w:r>
        <w:rPr>
          <w:rFonts w:hint="eastAsia" w:ascii="Tahoma" w:hAnsi="Tahoma" w:cs="Tahoma"/>
          <w:b/>
          <w:szCs w:val="21"/>
        </w:rPr>
        <w:t>10.5节能产品、环境标志产品政府采购政策执行</w:t>
      </w:r>
    </w:p>
    <w:p>
      <w:pPr>
        <w:spacing w:line="360" w:lineRule="auto"/>
        <w:ind w:firstLine="480" w:firstLineChars="200"/>
        <w:rPr>
          <w:rFonts w:ascii="Tahoma" w:hAnsi="Tahoma" w:cs="Tahoma"/>
          <w:bCs/>
          <w:szCs w:val="21"/>
        </w:rPr>
      </w:pPr>
      <w:r>
        <w:rPr>
          <w:rFonts w:hint="eastAsia" w:ascii="Tahoma" w:hAnsi="Tahoma" w:cs="Tahoma"/>
          <w:bCs/>
          <w:szCs w:val="21"/>
        </w:rPr>
        <w:t xml:space="preserve">10.5.1 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spacing w:line="360" w:lineRule="auto"/>
        <w:ind w:firstLine="480" w:firstLineChars="200"/>
        <w:rPr>
          <w:rFonts w:ascii="Tahoma" w:hAnsi="Tahoma" w:cs="Tahoma"/>
          <w:bCs/>
          <w:szCs w:val="21"/>
        </w:rPr>
      </w:pPr>
      <w:r>
        <w:rPr>
          <w:rFonts w:hint="eastAsia" w:ascii="Tahoma" w:hAnsi="Tahoma" w:cs="Tahoma"/>
          <w:bCs/>
          <w:szCs w:val="21"/>
        </w:rPr>
        <w:t>10.5.2 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 评审标准”给予加分。</w:t>
      </w:r>
    </w:p>
    <w:p>
      <w:pPr>
        <w:spacing w:line="360" w:lineRule="auto"/>
        <w:rPr>
          <w:rFonts w:ascii="Tahoma" w:hAnsi="Tahoma" w:cs="Tahoma"/>
          <w:bCs/>
          <w:szCs w:val="21"/>
        </w:rPr>
      </w:pPr>
      <w:r>
        <w:rPr>
          <w:rFonts w:hint="eastAsia" w:ascii="Tahoma" w:hAnsi="Tahoma" w:cs="Tahoma"/>
          <w:bCs/>
          <w:szCs w:val="21"/>
        </w:rPr>
        <w:br w:type="page"/>
      </w:r>
    </w:p>
    <w:p>
      <w:pPr>
        <w:spacing w:line="360" w:lineRule="auto"/>
        <w:jc w:val="center"/>
        <w:outlineLvl w:val="0"/>
        <w:rPr>
          <w:b/>
          <w:sz w:val="28"/>
        </w:rPr>
      </w:pPr>
      <w:bookmarkStart w:id="29" w:name="_Toc92733675"/>
      <w:r>
        <w:rPr>
          <w:rFonts w:hint="eastAsia"/>
          <w:b/>
          <w:sz w:val="28"/>
        </w:rPr>
        <w:t>第三章  评标方法和标准（综合评分法）</w:t>
      </w:r>
      <w:bookmarkEnd w:id="29"/>
    </w:p>
    <w:p>
      <w:pPr>
        <w:shd w:val="clear" w:color="auto" w:fill="FFFFFF"/>
        <w:snapToGrid w:val="0"/>
        <w:spacing w:line="360" w:lineRule="auto"/>
        <w:jc w:val="center"/>
        <w:outlineLvl w:val="3"/>
        <w:rPr>
          <w:rFonts w:ascii="Tahoma" w:hAnsi="Tahoma" w:cs="Tahoma"/>
          <w:b/>
          <w:bCs/>
        </w:rPr>
      </w:pPr>
      <w:r>
        <w:rPr>
          <w:rFonts w:ascii="Tahoma" w:hAnsi="Tahoma" w:cs="Tahoma"/>
          <w:b/>
          <w:bCs/>
        </w:rPr>
        <w:t>1、</w:t>
      </w:r>
      <w:r>
        <w:rPr>
          <w:rFonts w:ascii="Tahoma" w:hAnsi="Tahoma" w:eastAsia="黑体" w:cs="Tahoma"/>
          <w:b/>
          <w:bCs/>
        </w:rPr>
        <w:t>评标办法</w:t>
      </w:r>
    </w:p>
    <w:p>
      <w:pPr>
        <w:spacing w:line="360" w:lineRule="auto"/>
        <w:ind w:firstLine="480"/>
        <w:rPr>
          <w:rFonts w:ascii="Tahoma" w:hAnsi="Tahoma" w:cs="Tahoma"/>
          <w:szCs w:val="21"/>
        </w:rPr>
      </w:pPr>
      <w:r>
        <w:rPr>
          <w:rFonts w:ascii="Tahoma" w:hAnsi="Tahoma" w:cs="Tahoma"/>
          <w:szCs w:val="21"/>
        </w:rPr>
        <w:t>本次评标</w:t>
      </w:r>
      <w:r>
        <w:rPr>
          <w:rFonts w:ascii="Tahoma" w:hAnsi="Tahoma" w:cs="Tahoma"/>
          <w:b/>
          <w:szCs w:val="21"/>
        </w:rPr>
        <w:t>按照《政府采购货物和服务招标投标管理办法》（中华人民共和国财政部令第87号）</w:t>
      </w:r>
      <w:r>
        <w:rPr>
          <w:rFonts w:hint="eastAsia" w:ascii="Tahoma" w:hAnsi="Tahoma" w:cs="Tahoma"/>
          <w:b/>
          <w:szCs w:val="21"/>
        </w:rPr>
        <w:t>等法律法规</w:t>
      </w:r>
      <w:r>
        <w:rPr>
          <w:rFonts w:ascii="Tahoma" w:hAnsi="Tahoma" w:cs="Tahoma"/>
          <w:b/>
          <w:szCs w:val="21"/>
        </w:rPr>
        <w:t>规定的评审标准，采用综合评分法</w:t>
      </w:r>
      <w:r>
        <w:rPr>
          <w:rFonts w:ascii="Tahoma" w:hAnsi="Tahoma" w:cs="Tahoma"/>
          <w:szCs w:val="21"/>
        </w:rPr>
        <w:t>。评标委员会对全部满足招标文件实质性要求前提下，按照招标文件中规定的各项因素进行综合评审后，按评审后的综合得分由高到低顺序排列，以评标总得分最高的</w:t>
      </w:r>
      <w:r>
        <w:rPr>
          <w:rFonts w:hint="eastAsia" w:ascii="Tahoma" w:hAnsi="Tahoma" w:cs="Tahoma"/>
          <w:szCs w:val="21"/>
        </w:rPr>
        <w:t>供应商</w:t>
      </w:r>
      <w:r>
        <w:rPr>
          <w:rFonts w:ascii="Tahoma" w:hAnsi="Tahoma" w:cs="Tahoma"/>
          <w:szCs w:val="21"/>
        </w:rPr>
        <w:t>作为</w:t>
      </w:r>
      <w:r>
        <w:rPr>
          <w:rFonts w:hint="eastAsia" w:ascii="Tahoma" w:hAnsi="Tahoma" w:cs="Tahoma"/>
          <w:szCs w:val="21"/>
        </w:rPr>
        <w:t>成交候选人</w:t>
      </w:r>
      <w:r>
        <w:rPr>
          <w:rFonts w:ascii="Tahoma" w:hAnsi="Tahoma" w:cs="Tahoma"/>
          <w:szCs w:val="21"/>
        </w:rPr>
        <w:t>。得分相同的，按投标报价由低到高顺序排列。得分且投标报价相同的，按技术指标优劣顺序排列。</w:t>
      </w:r>
    </w:p>
    <w:p>
      <w:pPr>
        <w:shd w:val="clear" w:color="auto" w:fill="FFFFFF"/>
        <w:snapToGrid w:val="0"/>
        <w:spacing w:line="360" w:lineRule="auto"/>
        <w:jc w:val="center"/>
        <w:outlineLvl w:val="3"/>
        <w:rPr>
          <w:rFonts w:ascii="Tahoma" w:hAnsi="Tahoma" w:cs="Tahoma"/>
          <w:b/>
          <w:bCs/>
        </w:rPr>
      </w:pPr>
      <w:r>
        <w:rPr>
          <w:rFonts w:ascii="Tahoma" w:hAnsi="Tahoma" w:cs="Tahoma"/>
          <w:b/>
          <w:bCs/>
        </w:rPr>
        <w:t>2、评审标准</w:t>
      </w:r>
    </w:p>
    <w:p>
      <w:pPr>
        <w:spacing w:line="360" w:lineRule="auto"/>
        <w:rPr>
          <w:rFonts w:ascii="Tahoma" w:hAnsi="Tahoma" w:cs="Tahoma"/>
          <w:b/>
          <w:bCs/>
          <w:szCs w:val="21"/>
        </w:rPr>
      </w:pPr>
      <w:r>
        <w:rPr>
          <w:rFonts w:ascii="Tahoma" w:hAnsi="Tahoma" w:cs="Tahoma"/>
          <w:b/>
          <w:bCs/>
          <w:szCs w:val="21"/>
        </w:rPr>
        <w:t>2.1 初步评审标准</w:t>
      </w:r>
    </w:p>
    <w:p>
      <w:pPr>
        <w:spacing w:line="360" w:lineRule="auto"/>
        <w:rPr>
          <w:rFonts w:ascii="Tahoma" w:hAnsi="Tahoma" w:cs="Tahoma"/>
          <w:szCs w:val="21"/>
        </w:rPr>
      </w:pPr>
      <w:r>
        <w:rPr>
          <w:rFonts w:ascii="Tahoma" w:hAnsi="Tahoma" w:cs="Tahoma"/>
          <w:szCs w:val="21"/>
        </w:rPr>
        <w:t>2.1.1</w:t>
      </w:r>
      <w:r>
        <w:rPr>
          <w:rFonts w:hint="eastAsia" w:ascii="Tahoma" w:hAnsi="Tahoma" w:cs="Tahoma"/>
          <w:szCs w:val="21"/>
        </w:rPr>
        <w:t>响应文件</w:t>
      </w:r>
      <w:r>
        <w:rPr>
          <w:rFonts w:ascii="Tahoma" w:hAnsi="Tahoma" w:cs="Tahoma"/>
          <w:szCs w:val="21"/>
        </w:rPr>
        <w:t xml:space="preserve">的初审分为资格性检查和符合性检查。 </w:t>
      </w:r>
    </w:p>
    <w:p>
      <w:pPr>
        <w:spacing w:line="360" w:lineRule="auto"/>
        <w:ind w:firstLine="240" w:firstLineChars="100"/>
        <w:rPr>
          <w:rFonts w:ascii="Tahoma" w:hAnsi="Tahoma" w:cs="Tahoma"/>
          <w:szCs w:val="21"/>
        </w:rPr>
      </w:pPr>
      <w:r>
        <w:rPr>
          <w:rFonts w:ascii="Tahoma" w:hAnsi="Tahoma" w:cs="Tahoma"/>
          <w:szCs w:val="21"/>
        </w:rPr>
        <w:t>（1）资格性检查：依据法律法规和招标文件的规定，在对</w:t>
      </w:r>
      <w:r>
        <w:rPr>
          <w:rFonts w:hint="eastAsia" w:ascii="Tahoma" w:hAnsi="Tahoma" w:cs="Tahoma"/>
          <w:szCs w:val="21"/>
        </w:rPr>
        <w:t>响应文件</w:t>
      </w:r>
      <w:r>
        <w:rPr>
          <w:rFonts w:ascii="Tahoma" w:hAnsi="Tahoma" w:cs="Tahoma"/>
          <w:szCs w:val="21"/>
        </w:rPr>
        <w:t>详细评估之前，</w:t>
      </w:r>
      <w:r>
        <w:rPr>
          <w:rFonts w:hint="eastAsia" w:ascii="Tahoma" w:hAnsi="Tahoma" w:cs="Tahoma"/>
          <w:szCs w:val="21"/>
        </w:rPr>
        <w:t>监督人</w:t>
      </w:r>
      <w:r>
        <w:rPr>
          <w:rFonts w:ascii="Tahoma" w:hAnsi="Tahoma" w:cs="Tahoma"/>
          <w:szCs w:val="21"/>
        </w:rPr>
        <w:t>将依据</w:t>
      </w:r>
      <w:r>
        <w:rPr>
          <w:rFonts w:hint="eastAsia" w:ascii="Tahoma" w:hAnsi="Tahoma" w:cs="Tahoma"/>
          <w:szCs w:val="21"/>
        </w:rPr>
        <w:t>供应商</w:t>
      </w:r>
      <w:r>
        <w:rPr>
          <w:rFonts w:ascii="Tahoma" w:hAnsi="Tahoma" w:cs="Tahoma"/>
          <w:szCs w:val="21"/>
        </w:rPr>
        <w:t>提交的</w:t>
      </w:r>
      <w:r>
        <w:rPr>
          <w:rFonts w:hint="eastAsia" w:ascii="Tahoma" w:hAnsi="Tahoma" w:cs="Tahoma"/>
          <w:szCs w:val="21"/>
        </w:rPr>
        <w:t>响应文件</w:t>
      </w:r>
      <w:r>
        <w:rPr>
          <w:rFonts w:ascii="Tahoma" w:hAnsi="Tahoma" w:cs="Tahoma"/>
          <w:szCs w:val="21"/>
        </w:rPr>
        <w:t>按</w:t>
      </w:r>
      <w:r>
        <w:rPr>
          <w:rFonts w:hint="eastAsia" w:ascii="Tahoma" w:hAnsi="Tahoma" w:cs="Tahoma"/>
          <w:szCs w:val="21"/>
        </w:rPr>
        <w:t>供应商</w:t>
      </w:r>
      <w:r>
        <w:rPr>
          <w:rFonts w:ascii="Tahoma" w:hAnsi="Tahoma" w:cs="Tahoma"/>
          <w:szCs w:val="21"/>
        </w:rPr>
        <w:t>须知前附表所述的资格标准对</w:t>
      </w:r>
      <w:r>
        <w:rPr>
          <w:rFonts w:hint="eastAsia" w:ascii="Tahoma" w:hAnsi="Tahoma" w:cs="Tahoma"/>
          <w:szCs w:val="21"/>
        </w:rPr>
        <w:t>供应商</w:t>
      </w:r>
      <w:r>
        <w:rPr>
          <w:rFonts w:ascii="Tahoma" w:hAnsi="Tahoma" w:cs="Tahoma"/>
          <w:szCs w:val="21"/>
        </w:rPr>
        <w:t>进行资格审查，以确定其是否具备投标资格。</w:t>
      </w:r>
      <w:r>
        <w:rPr>
          <w:rFonts w:ascii="Tahoma" w:hAnsi="Tahoma" w:cs="Tahoma"/>
          <w:b/>
          <w:szCs w:val="21"/>
        </w:rPr>
        <w:t>如果</w:t>
      </w:r>
      <w:r>
        <w:rPr>
          <w:rFonts w:hint="eastAsia" w:ascii="Tahoma" w:hAnsi="Tahoma" w:cs="Tahoma"/>
          <w:b/>
          <w:szCs w:val="21"/>
        </w:rPr>
        <w:t>供应商</w:t>
      </w:r>
      <w:r>
        <w:rPr>
          <w:rFonts w:ascii="Tahoma" w:hAnsi="Tahoma" w:cs="Tahoma"/>
          <w:b/>
          <w:szCs w:val="21"/>
        </w:rPr>
        <w:t>不具备投标资格，不满足招标文件所规定的资格标准或提供资格证明文件不全的，其投标无效。</w:t>
      </w:r>
    </w:p>
    <w:p>
      <w:pPr>
        <w:spacing w:line="360" w:lineRule="auto"/>
        <w:ind w:firstLine="240" w:firstLineChars="100"/>
        <w:rPr>
          <w:rFonts w:ascii="Tahoma" w:hAnsi="Tahoma" w:cs="Tahoma"/>
          <w:szCs w:val="21"/>
        </w:rPr>
      </w:pPr>
      <w:r>
        <w:rPr>
          <w:rFonts w:ascii="Tahoma" w:hAnsi="Tahoma" w:cs="Tahoma"/>
          <w:szCs w:val="21"/>
        </w:rPr>
        <w:t>（2）符合性检查：由评标委员会依据有关法律、法规及招标文件的要求，对对符合资格的</w:t>
      </w:r>
      <w:r>
        <w:rPr>
          <w:rFonts w:hint="eastAsia" w:ascii="Tahoma" w:hAnsi="Tahoma" w:cs="Tahoma"/>
          <w:szCs w:val="21"/>
        </w:rPr>
        <w:t>供应商</w:t>
      </w:r>
      <w:r>
        <w:rPr>
          <w:rFonts w:ascii="Tahoma" w:hAnsi="Tahoma" w:cs="Tahoma"/>
          <w:szCs w:val="21"/>
        </w:rPr>
        <w:t>的</w:t>
      </w:r>
      <w:r>
        <w:rPr>
          <w:rFonts w:hint="eastAsia" w:ascii="Tahoma" w:hAnsi="Tahoma" w:cs="Tahoma"/>
          <w:szCs w:val="21"/>
        </w:rPr>
        <w:t>响应文件</w:t>
      </w:r>
      <w:r>
        <w:rPr>
          <w:rFonts w:ascii="Tahoma" w:hAnsi="Tahoma" w:cs="Tahoma"/>
          <w:szCs w:val="21"/>
        </w:rPr>
        <w:t>进行符合性审查，以确定是否对招标文件的实质性要求做出响应。只有通过符合性审查的</w:t>
      </w:r>
      <w:r>
        <w:rPr>
          <w:rFonts w:hint="eastAsia" w:ascii="Tahoma" w:hAnsi="Tahoma" w:cs="Tahoma"/>
          <w:szCs w:val="21"/>
        </w:rPr>
        <w:t>供应商</w:t>
      </w:r>
      <w:r>
        <w:rPr>
          <w:rFonts w:ascii="Tahoma" w:hAnsi="Tahoma" w:cs="Tahoma"/>
          <w:szCs w:val="21"/>
        </w:rPr>
        <w:t>的</w:t>
      </w:r>
      <w:r>
        <w:rPr>
          <w:rFonts w:hint="eastAsia" w:ascii="Tahoma" w:hAnsi="Tahoma" w:cs="Tahoma"/>
          <w:szCs w:val="21"/>
        </w:rPr>
        <w:t>响应文件</w:t>
      </w:r>
      <w:r>
        <w:rPr>
          <w:rFonts w:ascii="Tahoma" w:hAnsi="Tahoma" w:cs="Tahoma"/>
          <w:szCs w:val="21"/>
        </w:rPr>
        <w:t>才能进入下一阶段的评审！</w:t>
      </w:r>
    </w:p>
    <w:p>
      <w:pPr>
        <w:spacing w:line="360" w:lineRule="auto"/>
        <w:rPr>
          <w:rFonts w:ascii="Tahoma" w:hAnsi="Tahoma" w:cs="Tahoma"/>
          <w:b/>
          <w:bCs/>
          <w:szCs w:val="21"/>
        </w:rPr>
      </w:pPr>
      <w:r>
        <w:rPr>
          <w:rFonts w:ascii="Tahoma" w:hAnsi="Tahoma" w:cs="Tahoma"/>
          <w:b/>
          <w:bCs/>
          <w:szCs w:val="21"/>
        </w:rPr>
        <w:t>2.2 比较与评价</w:t>
      </w:r>
    </w:p>
    <w:p>
      <w:pPr>
        <w:spacing w:line="360" w:lineRule="auto"/>
        <w:rPr>
          <w:rFonts w:ascii="Tahoma" w:hAnsi="Tahoma" w:cs="Tahoma"/>
          <w:szCs w:val="21"/>
        </w:rPr>
      </w:pPr>
      <w:r>
        <w:rPr>
          <w:rFonts w:ascii="Tahoma" w:hAnsi="Tahoma" w:cs="Tahoma"/>
          <w:szCs w:val="21"/>
        </w:rPr>
        <w:t xml:space="preserve">    评标委员会对通过资格性检查和符合性审查的每个</w:t>
      </w:r>
      <w:r>
        <w:rPr>
          <w:rFonts w:hint="eastAsia" w:ascii="Tahoma" w:hAnsi="Tahoma" w:cs="Tahoma"/>
          <w:szCs w:val="21"/>
        </w:rPr>
        <w:t>供应商</w:t>
      </w:r>
      <w:r>
        <w:rPr>
          <w:rFonts w:ascii="Tahoma" w:hAnsi="Tahoma" w:cs="Tahoma"/>
          <w:szCs w:val="21"/>
        </w:rPr>
        <w:t>的</w:t>
      </w:r>
      <w:r>
        <w:rPr>
          <w:rFonts w:hint="eastAsia" w:ascii="Tahoma" w:hAnsi="Tahoma" w:cs="Tahoma"/>
          <w:szCs w:val="21"/>
        </w:rPr>
        <w:t>响应文件</w:t>
      </w:r>
      <w:r>
        <w:rPr>
          <w:rFonts w:ascii="Tahoma" w:hAnsi="Tahoma" w:cs="Tahoma"/>
          <w:szCs w:val="21"/>
        </w:rPr>
        <w:t>，按照招标文件中规定的评审标准</w:t>
      </w:r>
      <w:r>
        <w:rPr>
          <w:rFonts w:ascii="Tahoma" w:hAnsi="Tahoma" w:cs="Tahoma"/>
        </w:rPr>
        <w:t>审查、评价</w:t>
      </w:r>
      <w:r>
        <w:rPr>
          <w:rFonts w:hint="eastAsia" w:ascii="Tahoma" w:hAnsi="Tahoma" w:cs="Tahoma"/>
        </w:rPr>
        <w:t>响应文件</w:t>
      </w:r>
      <w:r>
        <w:rPr>
          <w:rFonts w:ascii="Tahoma" w:hAnsi="Tahoma" w:cs="Tahoma"/>
        </w:rPr>
        <w:t>是否符合招标文件的商务、技术等实质性要求，并</w:t>
      </w:r>
      <w:r>
        <w:rPr>
          <w:rFonts w:ascii="Tahoma" w:hAnsi="Tahoma" w:cs="Tahoma"/>
          <w:szCs w:val="21"/>
        </w:rPr>
        <w:t>对</w:t>
      </w:r>
      <w:r>
        <w:rPr>
          <w:rFonts w:hint="eastAsia" w:ascii="Tahoma" w:hAnsi="Tahoma" w:cs="Tahoma"/>
          <w:szCs w:val="21"/>
        </w:rPr>
        <w:t>响应文件</w:t>
      </w:r>
      <w:r>
        <w:rPr>
          <w:rFonts w:ascii="Tahoma" w:hAnsi="Tahoma" w:cs="Tahoma"/>
          <w:szCs w:val="21"/>
        </w:rPr>
        <w:t>的投标价格作进一步综合比较与评价。</w:t>
      </w:r>
    </w:p>
    <w:p>
      <w:pPr>
        <w:spacing w:line="360" w:lineRule="auto"/>
        <w:rPr>
          <w:rFonts w:ascii="Tahoma" w:hAnsi="Tahoma" w:cs="Tahoma"/>
          <w:szCs w:val="21"/>
        </w:rPr>
      </w:pPr>
      <w:r>
        <w:rPr>
          <w:rFonts w:ascii="Tahoma" w:hAnsi="Tahoma" w:cs="Tahoma"/>
          <w:b/>
          <w:bCs/>
          <w:szCs w:val="21"/>
        </w:rPr>
        <w:t>2.3评审因素</w:t>
      </w:r>
    </w:p>
    <w:p>
      <w:pPr>
        <w:spacing w:line="360" w:lineRule="auto"/>
        <w:rPr>
          <w:rFonts w:ascii="Tahoma" w:hAnsi="Tahoma" w:cs="Tahoma"/>
          <w:szCs w:val="21"/>
        </w:rPr>
      </w:pPr>
      <w:r>
        <w:rPr>
          <w:rFonts w:ascii="Tahoma" w:hAnsi="Tahoma" w:cs="Tahoma"/>
          <w:szCs w:val="21"/>
        </w:rPr>
        <w:t>2.3.1评标委员会对全部满足招标文件实质性要求前提下，按照招标文件中规定的各项因素进行综合评审后，并以记名方式进行评分。在评标中，不得改变招标文件中规定的评标标准、方法和中标条件。</w:t>
      </w:r>
    </w:p>
    <w:p>
      <w:pPr>
        <w:spacing w:line="360" w:lineRule="auto"/>
        <w:rPr>
          <w:rFonts w:ascii="Tahoma" w:hAnsi="Tahoma" w:cs="Tahoma"/>
          <w:szCs w:val="21"/>
        </w:rPr>
      </w:pPr>
      <w:r>
        <w:rPr>
          <w:rFonts w:ascii="Tahoma" w:hAnsi="Tahoma" w:cs="Tahoma"/>
          <w:szCs w:val="21"/>
        </w:rPr>
        <w:t>2.3.2在评标中，不得改变招标文件中规定的评标标准、方法和中标条件。不得将</w:t>
      </w:r>
      <w:r>
        <w:rPr>
          <w:rFonts w:hint="eastAsia" w:ascii="Tahoma" w:hAnsi="Tahoma" w:cs="Tahoma"/>
          <w:szCs w:val="21"/>
        </w:rPr>
        <w:t>供应商</w:t>
      </w:r>
      <w:r>
        <w:rPr>
          <w:rFonts w:ascii="Tahoma" w:hAnsi="Tahoma" w:cs="Tahoma"/>
          <w:szCs w:val="21"/>
        </w:rPr>
        <w:t>的注册资本、资产总额、营业收入、从业人员、利润、纳税额等规模条件作为资格要求或者评审因素，也不得通过将除进口货物以外的生产厂家授权、承诺、证明、背书等作为资格要求，对</w:t>
      </w:r>
      <w:r>
        <w:rPr>
          <w:rFonts w:hint="eastAsia" w:ascii="Tahoma" w:hAnsi="Tahoma" w:cs="Tahoma"/>
          <w:szCs w:val="21"/>
        </w:rPr>
        <w:t>供应商</w:t>
      </w:r>
      <w:r>
        <w:rPr>
          <w:rFonts w:ascii="Tahoma" w:hAnsi="Tahoma" w:cs="Tahoma"/>
          <w:szCs w:val="21"/>
        </w:rPr>
        <w:t>实行差别待遇或者歧视待遇。</w:t>
      </w:r>
    </w:p>
    <w:p>
      <w:pPr>
        <w:shd w:val="clear" w:color="auto" w:fill="FFFFFF"/>
        <w:snapToGrid w:val="0"/>
        <w:spacing w:line="360" w:lineRule="auto"/>
        <w:jc w:val="center"/>
        <w:outlineLvl w:val="3"/>
        <w:rPr>
          <w:rFonts w:ascii="Tahoma" w:hAnsi="Tahoma" w:cs="Tahoma"/>
          <w:b/>
          <w:bCs/>
        </w:rPr>
      </w:pPr>
    </w:p>
    <w:p>
      <w:pPr>
        <w:shd w:val="clear" w:color="auto" w:fill="FFFFFF"/>
        <w:snapToGrid w:val="0"/>
        <w:spacing w:line="360" w:lineRule="auto"/>
        <w:jc w:val="center"/>
        <w:outlineLvl w:val="3"/>
        <w:rPr>
          <w:rFonts w:ascii="Tahoma" w:hAnsi="Tahoma" w:cs="Tahoma"/>
          <w:b/>
          <w:bCs/>
        </w:rPr>
      </w:pPr>
      <w:r>
        <w:rPr>
          <w:rFonts w:ascii="Tahoma" w:hAnsi="Tahoma" w:cs="Tahoma"/>
          <w:b/>
          <w:bCs/>
        </w:rPr>
        <w:t>3、</w:t>
      </w:r>
      <w:r>
        <w:rPr>
          <w:rFonts w:ascii="Tahoma" w:hAnsi="Tahoma" w:eastAsia="黑体" w:cs="Tahoma"/>
          <w:b/>
          <w:bCs/>
        </w:rPr>
        <w:t>评标程序</w:t>
      </w:r>
    </w:p>
    <w:p>
      <w:pPr>
        <w:spacing w:line="360" w:lineRule="auto"/>
        <w:rPr>
          <w:rFonts w:ascii="Tahoma" w:hAnsi="Tahoma" w:cs="Tahoma"/>
          <w:b/>
          <w:szCs w:val="21"/>
        </w:rPr>
      </w:pPr>
      <w:r>
        <w:rPr>
          <w:rFonts w:ascii="Tahoma" w:hAnsi="Tahoma" w:cs="Tahoma"/>
          <w:b/>
          <w:szCs w:val="21"/>
        </w:rPr>
        <w:t>3.1 初步评审</w:t>
      </w:r>
    </w:p>
    <w:p>
      <w:pPr>
        <w:spacing w:line="360" w:lineRule="auto"/>
        <w:rPr>
          <w:rFonts w:ascii="Tahoma" w:hAnsi="Tahoma" w:cs="Tahoma"/>
          <w:szCs w:val="21"/>
        </w:rPr>
      </w:pPr>
      <w:r>
        <w:rPr>
          <w:rFonts w:ascii="Tahoma" w:hAnsi="Tahoma" w:cs="Tahoma"/>
          <w:szCs w:val="21"/>
        </w:rPr>
        <w:t>3.1.1 评标委员会依据本章下列3.1.2、3.1.3所述规定的标准对</w:t>
      </w:r>
      <w:r>
        <w:rPr>
          <w:rFonts w:hint="eastAsia" w:ascii="Tahoma" w:hAnsi="Tahoma" w:cs="Tahoma"/>
          <w:szCs w:val="21"/>
        </w:rPr>
        <w:t>响应文件</w:t>
      </w:r>
      <w:r>
        <w:rPr>
          <w:rFonts w:ascii="Tahoma" w:hAnsi="Tahoma" w:cs="Tahoma"/>
          <w:szCs w:val="21"/>
        </w:rPr>
        <w:t>进行初步评审。有一项不符合评审标准的，</w:t>
      </w:r>
      <w:r>
        <w:rPr>
          <w:rFonts w:ascii="Tahoma" w:hAnsi="Tahoma" w:cs="Tahoma"/>
          <w:b/>
          <w:szCs w:val="21"/>
        </w:rPr>
        <w:t>其投标无效。</w:t>
      </w:r>
    </w:p>
    <w:p>
      <w:pPr>
        <w:spacing w:line="360" w:lineRule="auto"/>
        <w:rPr>
          <w:rFonts w:ascii="Tahoma" w:hAnsi="Tahoma" w:cs="Tahoma"/>
        </w:rPr>
      </w:pPr>
      <w:r>
        <w:rPr>
          <w:rFonts w:ascii="Tahoma" w:hAnsi="Tahoma" w:cs="Tahoma"/>
        </w:rPr>
        <w:t xml:space="preserve">3.1.2 </w:t>
      </w:r>
      <w:r>
        <w:rPr>
          <w:rFonts w:hint="eastAsia" w:ascii="Tahoma" w:hAnsi="Tahoma" w:cs="Tahoma"/>
        </w:rPr>
        <w:t>供应商</w:t>
      </w:r>
      <w:r>
        <w:rPr>
          <w:rFonts w:ascii="Tahoma" w:hAnsi="Tahoma" w:cs="Tahoma"/>
        </w:rPr>
        <w:t>有以下情形之一的，</w:t>
      </w:r>
      <w:r>
        <w:rPr>
          <w:rFonts w:ascii="Tahoma" w:hAnsi="Tahoma" w:cs="Tahoma"/>
          <w:b/>
        </w:rPr>
        <w:t>其投标作无效处理：</w:t>
      </w:r>
    </w:p>
    <w:p>
      <w:pPr>
        <w:spacing w:line="360" w:lineRule="auto"/>
        <w:ind w:firstLine="240" w:firstLineChars="100"/>
        <w:rPr>
          <w:rFonts w:ascii="Tahoma" w:hAnsi="Tahoma" w:cs="Tahoma"/>
        </w:rPr>
      </w:pPr>
      <w:r>
        <w:rPr>
          <w:rFonts w:ascii="Tahoma" w:hAnsi="Tahoma" w:cs="Tahoma"/>
        </w:rPr>
        <w:t>（1）第二章</w:t>
      </w:r>
      <w:r>
        <w:rPr>
          <w:rFonts w:hint="eastAsia"/>
        </w:rPr>
        <w:t>“供应商须知”</w:t>
      </w:r>
      <w:r>
        <w:rPr>
          <w:rFonts w:ascii="Tahoma" w:hAnsi="Tahoma" w:cs="Tahoma"/>
        </w:rPr>
        <w:t>第1.3.4项规定的任何一种情形的：</w:t>
      </w:r>
    </w:p>
    <w:p>
      <w:pPr>
        <w:spacing w:line="360" w:lineRule="auto"/>
        <w:ind w:firstLine="240" w:firstLineChars="100"/>
        <w:rPr>
          <w:rFonts w:ascii="Tahoma" w:hAnsi="Tahoma" w:cs="Tahoma"/>
        </w:rPr>
      </w:pPr>
      <w:r>
        <w:rPr>
          <w:rFonts w:ascii="Tahoma" w:hAnsi="Tahoma" w:cs="Tahoma"/>
        </w:rPr>
        <w:t>（2）串通投标或弄虚作假或有其他违法行为的；</w:t>
      </w:r>
    </w:p>
    <w:p>
      <w:pPr>
        <w:spacing w:line="360" w:lineRule="auto"/>
        <w:ind w:firstLine="240" w:firstLineChars="100"/>
        <w:rPr>
          <w:rFonts w:ascii="Tahoma" w:hAnsi="Tahoma" w:cs="Tahoma"/>
        </w:rPr>
      </w:pPr>
      <w:r>
        <w:rPr>
          <w:rFonts w:ascii="Tahoma" w:hAnsi="Tahoma" w:cs="Tahoma"/>
        </w:rPr>
        <w:t>（3）不按评标委员会要求澄清、说明或补正的。</w:t>
      </w:r>
    </w:p>
    <w:p>
      <w:pPr>
        <w:spacing w:line="360" w:lineRule="auto"/>
        <w:rPr>
          <w:rFonts w:ascii="Tahoma" w:hAnsi="Tahoma" w:cs="Tahoma"/>
          <w:b/>
          <w:bCs/>
        </w:rPr>
      </w:pPr>
      <w:r>
        <w:rPr>
          <w:rFonts w:ascii="Tahoma" w:hAnsi="Tahoma" w:cs="Tahoma"/>
        </w:rPr>
        <w:t>3.1.3评标委员会应根据招标文件的规定，对</w:t>
      </w:r>
      <w:r>
        <w:rPr>
          <w:rFonts w:hint="eastAsia" w:ascii="Tahoma" w:hAnsi="Tahoma" w:cs="Tahoma"/>
        </w:rPr>
        <w:t>响应文件</w:t>
      </w:r>
      <w:r>
        <w:rPr>
          <w:rFonts w:ascii="Tahoma" w:hAnsi="Tahoma" w:cs="Tahoma"/>
        </w:rPr>
        <w:t>进行系统地评审和比较，</w:t>
      </w:r>
      <w:r>
        <w:rPr>
          <w:rFonts w:hint="eastAsia" w:ascii="Tahoma" w:hAnsi="Tahoma" w:cs="Tahoma"/>
          <w:b/>
        </w:rPr>
        <w:t>响应文件</w:t>
      </w:r>
      <w:r>
        <w:rPr>
          <w:rFonts w:ascii="Tahoma" w:hAnsi="Tahoma" w:cs="Tahoma"/>
          <w:b/>
        </w:rPr>
        <w:t>属下列情况之</w:t>
      </w:r>
      <w:r>
        <w:rPr>
          <w:rFonts w:ascii="Tahoma" w:hAnsi="Tahoma" w:cs="Tahoma"/>
          <w:b/>
          <w:bCs/>
        </w:rPr>
        <w:t>一的，应当在资格性、符合性审查时按照无效投标处理：</w:t>
      </w:r>
    </w:p>
    <w:p>
      <w:pPr>
        <w:widowControl w:val="0"/>
        <w:spacing w:line="360" w:lineRule="auto"/>
        <w:rPr>
          <w:rFonts w:hint="eastAsia"/>
        </w:rPr>
      </w:pPr>
      <w:r>
        <w:rPr>
          <w:rFonts w:hint="eastAsia"/>
        </w:rPr>
        <w:t>（1）不具备招标文件中规定的资格要求的，或响应文件中提供的资格证明文件与原件不一致的；</w:t>
      </w:r>
    </w:p>
    <w:p>
      <w:pPr>
        <w:widowControl w:val="0"/>
        <w:spacing w:line="360" w:lineRule="auto"/>
        <w:rPr>
          <w:rFonts w:hint="eastAsia"/>
        </w:rPr>
      </w:pPr>
      <w:r>
        <w:rPr>
          <w:rFonts w:hint="eastAsia"/>
        </w:rPr>
        <w:t>（2）响应文件</w:t>
      </w:r>
      <w:r>
        <w:rPr>
          <w:rFonts w:hint="eastAsia"/>
          <w:lang w:val="en-US" w:eastAsia="zh-CN"/>
        </w:rPr>
        <w:t>未</w:t>
      </w:r>
      <w:r>
        <w:rPr>
          <w:rFonts w:hint="eastAsia"/>
        </w:rPr>
        <w:t>按招标文件规定格式完整提供，并</w:t>
      </w:r>
      <w:r>
        <w:rPr>
          <w:rFonts w:hint="eastAsia"/>
          <w:lang w:val="en-US" w:eastAsia="zh-CN"/>
        </w:rPr>
        <w:t>要</w:t>
      </w:r>
      <w:r>
        <w:rPr>
          <w:rFonts w:hint="eastAsia"/>
        </w:rPr>
        <w:t>盖供应商章、法定代表人或授权委托人签字或盖章；</w:t>
      </w:r>
    </w:p>
    <w:p>
      <w:pPr>
        <w:widowControl w:val="0"/>
        <w:spacing w:line="360" w:lineRule="auto"/>
        <w:rPr>
          <w:rFonts w:hint="eastAsia"/>
        </w:rPr>
      </w:pPr>
      <w:r>
        <w:rPr>
          <w:rFonts w:hint="eastAsia"/>
        </w:rPr>
        <w:t>（3）法定代表人身份证明书</w:t>
      </w:r>
      <w:r>
        <w:rPr>
          <w:rFonts w:hint="eastAsia"/>
          <w:lang w:val="en-US" w:eastAsia="zh-CN"/>
        </w:rPr>
        <w:t>未</w:t>
      </w:r>
      <w:r>
        <w:rPr>
          <w:rFonts w:hint="eastAsia"/>
        </w:rPr>
        <w:t>按招标文件规定格式完整提供，并要盖供应商章；</w:t>
      </w:r>
    </w:p>
    <w:p>
      <w:pPr>
        <w:widowControl w:val="0"/>
        <w:spacing w:line="360" w:lineRule="auto"/>
        <w:rPr>
          <w:rFonts w:hint="eastAsia"/>
        </w:rPr>
      </w:pPr>
      <w:r>
        <w:rPr>
          <w:rFonts w:hint="eastAsia"/>
        </w:rPr>
        <w:t>（4）法定代表人授权委托书</w:t>
      </w:r>
      <w:r>
        <w:rPr>
          <w:rFonts w:hint="eastAsia"/>
          <w:lang w:val="en-US" w:eastAsia="zh-CN"/>
        </w:rPr>
        <w:t>未</w:t>
      </w:r>
      <w:r>
        <w:rPr>
          <w:rFonts w:hint="eastAsia"/>
        </w:rPr>
        <w:t>按招标文件规定格式完整提供，并要盖供应商章、法定代表人章；</w:t>
      </w:r>
    </w:p>
    <w:p>
      <w:pPr>
        <w:widowControl w:val="0"/>
        <w:spacing w:line="360" w:lineRule="auto"/>
        <w:rPr>
          <w:rFonts w:hint="eastAsia"/>
        </w:rPr>
      </w:pPr>
      <w:r>
        <w:rPr>
          <w:rFonts w:hint="eastAsia"/>
        </w:rPr>
        <w:t>（5）响应文件封面右上角</w:t>
      </w:r>
      <w:r>
        <w:rPr>
          <w:rFonts w:hint="eastAsia"/>
          <w:lang w:val="en-US" w:eastAsia="zh-CN"/>
        </w:rPr>
        <w:t>未</w:t>
      </w:r>
      <w:r>
        <w:rPr>
          <w:rFonts w:hint="eastAsia"/>
        </w:rPr>
        <w:t>注明“正本”或“副本”字样；</w:t>
      </w:r>
    </w:p>
    <w:p>
      <w:pPr>
        <w:widowControl w:val="0"/>
        <w:spacing w:line="360" w:lineRule="auto"/>
        <w:rPr>
          <w:rFonts w:hint="eastAsia"/>
        </w:rPr>
      </w:pPr>
      <w:r>
        <w:rPr>
          <w:rFonts w:hint="eastAsia"/>
        </w:rPr>
        <w:t>（6）响应文件份数</w:t>
      </w:r>
      <w:r>
        <w:rPr>
          <w:rFonts w:hint="eastAsia"/>
          <w:lang w:val="en-US" w:eastAsia="zh-CN"/>
        </w:rPr>
        <w:t>未</w:t>
      </w:r>
      <w:r>
        <w:rPr>
          <w:rFonts w:hint="eastAsia"/>
        </w:rPr>
        <w:t>按招标文件要求提供；</w:t>
      </w:r>
    </w:p>
    <w:p>
      <w:pPr>
        <w:widowControl w:val="0"/>
        <w:spacing w:line="360" w:lineRule="auto"/>
        <w:rPr>
          <w:rFonts w:hint="eastAsia"/>
        </w:rPr>
      </w:pPr>
      <w:r>
        <w:rPr>
          <w:rFonts w:hint="eastAsia"/>
        </w:rPr>
        <w:t>（7）</w:t>
      </w:r>
      <w:r>
        <w:rPr>
          <w:rFonts w:hint="eastAsia"/>
          <w:lang w:val="en-US" w:eastAsia="zh-CN"/>
        </w:rPr>
        <w:t>未</w:t>
      </w:r>
      <w:r>
        <w:rPr>
          <w:rFonts w:hint="eastAsia"/>
        </w:rPr>
        <w:t>按照招标文件要求缴纳投标保证金；</w:t>
      </w:r>
    </w:p>
    <w:p>
      <w:pPr>
        <w:widowControl w:val="0"/>
        <w:spacing w:line="360" w:lineRule="auto"/>
        <w:rPr>
          <w:rFonts w:hint="eastAsia"/>
        </w:rPr>
      </w:pPr>
      <w:r>
        <w:rPr>
          <w:rFonts w:hint="eastAsia"/>
        </w:rPr>
        <w:t>（8）响应文件中所报投标有效期</w:t>
      </w:r>
      <w:r>
        <w:rPr>
          <w:rFonts w:hint="eastAsia"/>
          <w:lang w:val="en-US" w:eastAsia="zh-CN"/>
        </w:rPr>
        <w:t>不</w:t>
      </w:r>
      <w:r>
        <w:rPr>
          <w:rFonts w:hint="eastAsia"/>
        </w:rPr>
        <w:t>满足招标文件规定；</w:t>
      </w:r>
    </w:p>
    <w:p>
      <w:pPr>
        <w:widowControl/>
        <w:spacing w:line="360" w:lineRule="auto"/>
        <w:rPr>
          <w:rFonts w:hint="eastAsia"/>
        </w:rPr>
      </w:pPr>
      <w:r>
        <w:rPr>
          <w:rFonts w:hint="eastAsia"/>
        </w:rPr>
        <w:t>（9）</w:t>
      </w:r>
      <w:r>
        <w:rPr>
          <w:rFonts w:hint="eastAsia"/>
          <w:highlight w:val="none"/>
        </w:rPr>
        <w:t>报价超出采购预算金额</w:t>
      </w:r>
      <w:r>
        <w:rPr>
          <w:rFonts w:hint="eastAsia"/>
        </w:rPr>
        <w:t>。</w:t>
      </w:r>
    </w:p>
    <w:p>
      <w:pPr>
        <w:spacing w:line="360" w:lineRule="auto"/>
        <w:rPr>
          <w:rFonts w:ascii="Tahoma" w:hAnsi="Tahoma" w:cs="Tahoma"/>
        </w:rPr>
      </w:pPr>
      <w:r>
        <w:rPr>
          <w:rFonts w:ascii="Tahoma" w:hAnsi="Tahoma" w:cs="Tahoma"/>
        </w:rPr>
        <w:t>3.1.4评标委员会判断</w:t>
      </w:r>
      <w:r>
        <w:rPr>
          <w:rFonts w:hint="eastAsia" w:ascii="Tahoma" w:hAnsi="Tahoma" w:cs="Tahoma"/>
        </w:rPr>
        <w:t>响应文件</w:t>
      </w:r>
      <w:r>
        <w:rPr>
          <w:rFonts w:ascii="Tahoma" w:hAnsi="Tahoma" w:cs="Tahoma"/>
        </w:rPr>
        <w:t>的响应性仅基于</w:t>
      </w:r>
      <w:r>
        <w:rPr>
          <w:rFonts w:hint="eastAsia" w:ascii="Tahoma" w:hAnsi="Tahoma" w:cs="Tahoma"/>
        </w:rPr>
        <w:t>响应文件</w:t>
      </w:r>
      <w:r>
        <w:rPr>
          <w:rFonts w:ascii="Tahoma" w:hAnsi="Tahoma" w:cs="Tahoma"/>
        </w:rPr>
        <w:t>本身而不靠外部证据。</w:t>
      </w:r>
    </w:p>
    <w:p>
      <w:pPr>
        <w:spacing w:line="360" w:lineRule="auto"/>
        <w:rPr>
          <w:rFonts w:ascii="Tahoma" w:hAnsi="Tahoma" w:cs="Tahoma"/>
        </w:rPr>
      </w:pPr>
      <w:r>
        <w:rPr>
          <w:rFonts w:ascii="Tahoma" w:hAnsi="Tahoma" w:cs="Tahoma"/>
        </w:rPr>
        <w:t>3.1.5评标委员会将拒绝被确定为非实质性响应的投标，</w:t>
      </w:r>
      <w:r>
        <w:rPr>
          <w:rFonts w:hint="eastAsia" w:ascii="Tahoma" w:hAnsi="Tahoma" w:cs="Tahoma"/>
        </w:rPr>
        <w:t>供应商</w:t>
      </w:r>
      <w:r>
        <w:rPr>
          <w:rFonts w:ascii="Tahoma" w:hAnsi="Tahoma" w:cs="Tahoma"/>
        </w:rPr>
        <w:t>不能通过修正或撤销不符之处而使其投标成为实质性响应的投标。</w:t>
      </w:r>
    </w:p>
    <w:p>
      <w:pPr>
        <w:spacing w:line="360" w:lineRule="auto"/>
        <w:rPr>
          <w:rFonts w:ascii="Tahoma" w:hAnsi="Tahoma" w:cs="Tahoma"/>
        </w:rPr>
      </w:pPr>
    </w:p>
    <w:p>
      <w:pPr>
        <w:spacing w:line="360" w:lineRule="auto"/>
        <w:rPr>
          <w:rFonts w:ascii="Tahoma" w:hAnsi="Tahoma" w:cs="Tahoma"/>
        </w:rPr>
      </w:pPr>
    </w:p>
    <w:tbl>
      <w:tblPr>
        <w:tblStyle w:val="33"/>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100" w:type="dxa"/>
            <w:gridSpan w:val="2"/>
          </w:tcPr>
          <w:p>
            <w:pPr>
              <w:spacing w:line="440" w:lineRule="exact"/>
              <w:jc w:val="center"/>
              <w:rPr>
                <w:bCs/>
              </w:rPr>
            </w:pPr>
            <w:r>
              <w:rPr>
                <w:rFonts w:hint="eastAsia"/>
                <w:b/>
                <w:bCs/>
                <w:highlight w:val="none"/>
              </w:rPr>
              <w:t>资格性审查（由监督人查验）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tcPr>
          <w:p>
            <w:pPr>
              <w:spacing w:line="440" w:lineRule="exact"/>
              <w:jc w:val="center"/>
              <w:rPr>
                <w:bCs/>
              </w:rPr>
            </w:pPr>
            <w:r>
              <w:rPr>
                <w:rFonts w:hint="eastAsia"/>
                <w:bCs/>
              </w:rPr>
              <w:t>序号</w:t>
            </w:r>
          </w:p>
        </w:tc>
        <w:tc>
          <w:tcPr>
            <w:tcW w:w="8222" w:type="dxa"/>
            <w:vAlign w:val="center"/>
          </w:tcPr>
          <w:p>
            <w:pPr>
              <w:spacing w:line="440" w:lineRule="exact"/>
              <w:jc w:val="center"/>
              <w:rPr>
                <w:bCs/>
              </w:rPr>
            </w:pPr>
            <w:r>
              <w:rPr>
                <w:rFonts w:hint="eastAsia"/>
                <w:bCs/>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rPr>
            </w:pPr>
            <w:r>
              <w:rPr>
                <w:rFonts w:hint="eastAsia"/>
                <w:bCs/>
              </w:rPr>
              <w:t>1</w:t>
            </w:r>
          </w:p>
        </w:tc>
        <w:tc>
          <w:tcPr>
            <w:tcW w:w="8222" w:type="dxa"/>
            <w:vAlign w:val="center"/>
          </w:tcPr>
          <w:p>
            <w:pPr>
              <w:pStyle w:val="79"/>
              <w:rPr>
                <w:bCs/>
              </w:rPr>
            </w:pPr>
            <w:r>
              <w:rPr>
                <w:rFonts w:hint="eastAsia"/>
                <w:bCs/>
              </w:rPr>
              <w:t>满足《中华人民共和国政府采购法》第二十二条规定：</w:t>
            </w:r>
          </w:p>
          <w:p>
            <w:pPr>
              <w:pStyle w:val="79"/>
              <w:rPr>
                <w:bCs/>
              </w:rPr>
            </w:pPr>
            <w:r>
              <w:rPr>
                <w:rFonts w:hint="eastAsia"/>
                <w:bCs/>
              </w:rPr>
              <w:t>（一）具有独立承担民事责任的能力；提供营业执照或其他证明材料</w:t>
            </w:r>
          </w:p>
          <w:p>
            <w:pPr>
              <w:pStyle w:val="79"/>
              <w:rPr>
                <w:rFonts w:hint="eastAsia"/>
                <w:b/>
                <w:bCs/>
                <w:lang w:val="en-US" w:eastAsia="zh-CN"/>
              </w:rPr>
            </w:pPr>
            <w:r>
              <w:rPr>
                <w:rFonts w:hint="eastAsia"/>
                <w:bCs/>
              </w:rPr>
              <w:t>（二）</w:t>
            </w:r>
            <w:r>
              <w:rPr>
                <w:rFonts w:hint="eastAsia"/>
                <w:lang w:val="en-US" w:eastAsia="zh-CN"/>
              </w:rPr>
              <w:t>具有良好的商业信誉和健全的财务会计制度（提供近一年度经审计的财务报表或审计报告【成立不满一年不需要提供，审计报告指2021年】或其基本户开户银行开具的资信证明）</w:t>
            </w:r>
            <w:r>
              <w:rPr>
                <w:rFonts w:hint="eastAsia"/>
                <w:b/>
                <w:bCs/>
                <w:lang w:val="en-US" w:eastAsia="zh-CN"/>
              </w:rPr>
              <w:t>（原件）</w:t>
            </w:r>
            <w:r>
              <w:rPr>
                <w:rFonts w:hint="eastAsia"/>
                <w:b w:val="0"/>
                <w:bCs w:val="0"/>
                <w:lang w:val="en-US" w:eastAsia="zh-CN"/>
              </w:rPr>
              <w:t>（投标人如为个体工商户不需提供</w:t>
            </w:r>
            <w:r>
              <w:rPr>
                <w:rFonts w:hint="eastAsia"/>
                <w:b/>
                <w:bCs/>
                <w:lang w:val="en-US" w:eastAsia="zh-CN"/>
              </w:rPr>
              <w:t>）</w:t>
            </w:r>
          </w:p>
          <w:p>
            <w:pPr>
              <w:pStyle w:val="79"/>
              <w:rPr>
                <w:rFonts w:hint="eastAsia" w:eastAsia="宋体"/>
                <w:bCs/>
                <w:lang w:eastAsia="zh-CN"/>
              </w:rPr>
            </w:pPr>
            <w:r>
              <w:rPr>
                <w:rFonts w:hint="eastAsia"/>
                <w:bCs/>
              </w:rPr>
              <w:t>（三）具有履行合同所必需的设备和专业技术能力；</w:t>
            </w:r>
            <w:r>
              <w:rPr>
                <w:rFonts w:hint="eastAsia"/>
                <w:b/>
                <w:bCs w:val="0"/>
                <w:lang w:eastAsia="zh-CN"/>
              </w:rPr>
              <w:t>（</w:t>
            </w:r>
            <w:r>
              <w:rPr>
                <w:rFonts w:hint="eastAsia"/>
                <w:b/>
                <w:bCs w:val="0"/>
              </w:rPr>
              <w:t>提供承诺书</w:t>
            </w:r>
            <w:r>
              <w:rPr>
                <w:rFonts w:hint="eastAsia"/>
                <w:b/>
                <w:bCs w:val="0"/>
                <w:lang w:eastAsia="zh-CN"/>
              </w:rPr>
              <w:t>）</w:t>
            </w:r>
          </w:p>
          <w:p>
            <w:pPr>
              <w:pStyle w:val="79"/>
              <w:rPr>
                <w:b w:val="0"/>
                <w:bCs/>
              </w:rPr>
            </w:pPr>
            <w:r>
              <w:rPr>
                <w:rFonts w:hint="eastAsia"/>
                <w:bCs/>
              </w:rPr>
              <w:t>（四）有依法缴纳税收和社会保障资金的良好记录；提供缴纳税收和社会保障资金</w:t>
            </w:r>
            <w:r>
              <w:rPr>
                <w:rFonts w:hint="eastAsia"/>
                <w:bCs/>
                <w:lang w:eastAsia="zh-CN"/>
              </w:rPr>
              <w:t>（</w:t>
            </w:r>
            <w:r>
              <w:rPr>
                <w:rFonts w:hint="eastAsia"/>
                <w:bCs/>
                <w:lang w:val="en-US" w:eastAsia="zh-CN"/>
              </w:rPr>
              <w:t>投标截止时间前六月内任一月）</w:t>
            </w:r>
            <w:r>
              <w:rPr>
                <w:rFonts w:hint="eastAsia"/>
                <w:b w:val="0"/>
                <w:bCs/>
                <w:lang w:val="en-US" w:eastAsia="zh-CN"/>
              </w:rPr>
              <w:t>（投标人如为个体工商户不需提供</w:t>
            </w:r>
          </w:p>
          <w:p>
            <w:pPr>
              <w:pStyle w:val="79"/>
              <w:rPr>
                <w:b w:val="0"/>
                <w:bCs/>
              </w:rPr>
            </w:pPr>
            <w:r>
              <w:rPr>
                <w:rFonts w:hint="eastAsia"/>
                <w:b w:val="0"/>
                <w:bCs/>
                <w:lang w:val="en-US" w:eastAsia="zh-CN"/>
              </w:rPr>
              <w:t>）</w:t>
            </w:r>
          </w:p>
          <w:p>
            <w:pPr>
              <w:pStyle w:val="79"/>
              <w:rPr>
                <w:rFonts w:hint="eastAsia" w:eastAsia="宋体"/>
                <w:bCs/>
                <w:lang w:eastAsia="zh-CN"/>
              </w:rPr>
            </w:pPr>
            <w:r>
              <w:rPr>
                <w:rFonts w:hint="eastAsia"/>
                <w:bCs/>
              </w:rPr>
              <w:t>（五）参加政府采购活动前三年内，在经营活动中没有重大违法记录；</w:t>
            </w:r>
            <w:r>
              <w:rPr>
                <w:rFonts w:hint="eastAsia"/>
                <w:b/>
                <w:bCs w:val="0"/>
                <w:lang w:eastAsia="zh-CN"/>
              </w:rPr>
              <w:t>（</w:t>
            </w:r>
            <w:r>
              <w:rPr>
                <w:rFonts w:hint="eastAsia"/>
                <w:b/>
                <w:bCs w:val="0"/>
              </w:rPr>
              <w:t>提供承诺书</w:t>
            </w:r>
            <w:r>
              <w:rPr>
                <w:rFonts w:hint="eastAsia"/>
                <w:b/>
                <w:bCs w:val="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78" w:type="dxa"/>
            <w:vAlign w:val="center"/>
          </w:tcPr>
          <w:p>
            <w:pPr>
              <w:spacing w:line="440" w:lineRule="exact"/>
              <w:jc w:val="center"/>
              <w:rPr>
                <w:bCs/>
              </w:rPr>
            </w:pPr>
            <w:r>
              <w:rPr>
                <w:rFonts w:hint="eastAsia"/>
                <w:bCs/>
              </w:rPr>
              <w:t>2</w:t>
            </w:r>
          </w:p>
        </w:tc>
        <w:tc>
          <w:tcPr>
            <w:tcW w:w="8222" w:type="dxa"/>
            <w:vAlign w:val="center"/>
          </w:tcPr>
          <w:p>
            <w:r>
              <w:rPr>
                <w:rFonts w:hint="eastAsia"/>
              </w:rPr>
              <w:t>供应商须提供有效的营业执照；有效的食品生产许可证或食品经营许可证、具有市级（含）（含产地）以上食品质检部门出具的投标产品质量检测报告（</w:t>
            </w:r>
            <w:r>
              <w:rPr>
                <w:rFonts w:hint="eastAsia"/>
                <w:lang w:val="en-US" w:eastAsia="zh-CN"/>
              </w:rPr>
              <w:t>投标截止时间前六月内任一月</w:t>
            </w:r>
            <w:r>
              <w:rPr>
                <w:rFonts w:hint="eastAsia"/>
              </w:rPr>
              <w:t>）。</w:t>
            </w:r>
            <w:r>
              <w:rPr>
                <w:rFonts w:hint="eastAsia"/>
                <w:b/>
                <w:bCs/>
              </w:rPr>
              <w:t>（原件或扫描彩印件）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rPr>
            </w:pPr>
            <w:r>
              <w:rPr>
                <w:rFonts w:hint="eastAsia"/>
                <w:bCs/>
              </w:rPr>
              <w:t>3</w:t>
            </w:r>
          </w:p>
        </w:tc>
        <w:tc>
          <w:tcPr>
            <w:tcW w:w="8222" w:type="dxa"/>
            <w:vAlign w:val="center"/>
          </w:tcPr>
          <w:p>
            <w:pPr>
              <w:pStyle w:val="79"/>
              <w:rPr>
                <w:rFonts w:hAnsi="宋体"/>
              </w:rPr>
            </w:pPr>
            <w:r>
              <w:rPr>
                <w:rFonts w:hint="eastAsia" w:hAnsi="宋体" w:cs="Times New Roman"/>
                <w:color w:val="auto"/>
                <w:kern w:val="2"/>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系统失信惩戒企业名单。近三年政府采购合同履约过程中及其他经营活动履约过程中因围标串标、偷税漏税、制售假冒伪劣商品等行为被有关行政部门处罚（处理）记录的，本项目不认定其具有良好的商业信誉，将拒绝其参与本次投标活动。</w:t>
            </w:r>
            <w:r>
              <w:rPr>
                <w:rFonts w:hint="eastAsia" w:hAnsi="宋体" w:cs="Times New Roman"/>
                <w:b/>
                <w:bCs/>
                <w:color w:val="auto"/>
                <w:kern w:val="2"/>
              </w:rPr>
              <w:t>（提供</w:t>
            </w:r>
            <w:r>
              <w:rPr>
                <w:rFonts w:hint="eastAsia" w:hAnsi="宋体"/>
                <w:b/>
                <w:bCs/>
                <w:color w:val="auto"/>
              </w:rPr>
              <w:t>“信用中国”查询失信被执行人、重大税收违法案件当事人名单及“中国政府采购网”查询政府采购严重违法失信行为记录名单、</w:t>
            </w:r>
            <w:r>
              <w:rPr>
                <w:rFonts w:hint="eastAsia" w:hAnsi="宋体" w:cs="Times New Roman"/>
                <w:b/>
                <w:bCs/>
                <w:color w:val="auto"/>
                <w:kern w:val="2"/>
              </w:rPr>
              <w:t>税务系统未被列入失信惩戒企业名单</w:t>
            </w:r>
            <w:r>
              <w:rPr>
                <w:rFonts w:hint="eastAsia" w:hAnsi="宋体"/>
                <w:b/>
                <w:bCs/>
                <w:color w:val="auto"/>
              </w:rPr>
              <w:t>截图</w:t>
            </w:r>
            <w:r>
              <w:rPr>
                <w:rFonts w:hint="eastAsia" w:hAnsi="宋体" w:cs="Times New Roman"/>
                <w:b/>
                <w:bCs/>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pPr>
              <w:spacing w:line="440" w:lineRule="exact"/>
              <w:jc w:val="center"/>
              <w:rPr>
                <w:bCs/>
              </w:rPr>
            </w:pPr>
            <w:r>
              <w:rPr>
                <w:rFonts w:hint="eastAsia"/>
                <w:bCs/>
              </w:rPr>
              <w:t>4</w:t>
            </w:r>
          </w:p>
        </w:tc>
        <w:tc>
          <w:tcPr>
            <w:tcW w:w="8222" w:type="dxa"/>
            <w:vAlign w:val="center"/>
          </w:tcPr>
          <w:p>
            <w:pPr>
              <w:pStyle w:val="125"/>
              <w:spacing w:before="1" w:line="360" w:lineRule="exact"/>
              <w:ind w:left="108" w:right="95"/>
              <w:jc w:val="both"/>
              <w:rPr>
                <w:rFonts w:cs="Times New Roman"/>
                <w:kern w:val="2"/>
              </w:rPr>
            </w:pPr>
            <w:r>
              <w:rPr>
                <w:rFonts w:hint="eastAsia"/>
              </w:rPr>
              <w:t>法定代表人身份证明书及身份证</w:t>
            </w:r>
            <w:r>
              <w:rPr>
                <w:rFonts w:hint="eastAsia"/>
                <w:b/>
                <w:bCs/>
              </w:rPr>
              <w:t>原件</w:t>
            </w:r>
            <w:r>
              <w:rPr>
                <w:rFonts w:hint="eastAsia"/>
              </w:rPr>
              <w:t>或法定代表人授权委托书及委托代理人的身份证</w:t>
            </w:r>
            <w:r>
              <w:rPr>
                <w:rFonts w:hint="eastAsia"/>
                <w:b/>
                <w:bCs/>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highlight w:val="none"/>
              </w:rPr>
            </w:pPr>
            <w:r>
              <w:rPr>
                <w:rFonts w:hint="eastAsia"/>
                <w:bCs/>
                <w:highlight w:val="none"/>
              </w:rPr>
              <w:t>5</w:t>
            </w:r>
          </w:p>
        </w:tc>
        <w:tc>
          <w:tcPr>
            <w:tcW w:w="8222" w:type="dxa"/>
            <w:vAlign w:val="center"/>
          </w:tcPr>
          <w:p>
            <w:pPr>
              <w:pStyle w:val="79"/>
              <w:rPr>
                <w:highlight w:val="none"/>
              </w:rPr>
            </w:pPr>
            <w:r>
              <w:rPr>
                <w:rFonts w:hint="eastAsia"/>
                <w:highlight w:val="none"/>
              </w:rPr>
              <w:t>具有企业员工的社保单据记录；税务系统出具完税证明；</w:t>
            </w:r>
            <w:r>
              <w:rPr>
                <w:rFonts w:hint="eastAsia" w:eastAsia="宋体"/>
                <w:highlight w:val="none"/>
                <w:lang w:eastAsia="zh-CN"/>
              </w:rPr>
              <w:t>（</w:t>
            </w:r>
            <w:r>
              <w:rPr>
                <w:rFonts w:hint="eastAsia" w:hAnsi="宋体"/>
                <w:highlight w:val="none"/>
                <w:lang w:val="en-US" w:eastAsia="zh-CN"/>
              </w:rPr>
              <w:t>投标截止时间前六月内任一月</w:t>
            </w:r>
            <w:r>
              <w:rPr>
                <w:rFonts w:hint="eastAsia" w:ascii="Times New Roman" w:eastAsia="宋体"/>
                <w:highlight w:val="none"/>
                <w:lang w:val="en-US" w:eastAsia="zh-CN"/>
              </w:rPr>
              <w:t>）</w:t>
            </w:r>
            <w:r>
              <w:rPr>
                <w:rFonts w:hint="eastAsia"/>
                <w:b/>
                <w:bCs/>
                <w:highlight w:val="none"/>
              </w:rPr>
              <w:t>（原件）</w:t>
            </w:r>
            <w:r>
              <w:rPr>
                <w:rFonts w:hint="eastAsia"/>
                <w:b w:val="0"/>
                <w:bCs w:val="0"/>
                <w:highlight w:val="none"/>
                <w:lang w:eastAsia="zh-CN"/>
              </w:rPr>
              <w:t>（</w:t>
            </w:r>
            <w:r>
              <w:rPr>
                <w:rFonts w:hint="eastAsia"/>
                <w:b w:val="0"/>
                <w:bCs w:val="0"/>
                <w:lang w:val="en-US" w:eastAsia="zh-CN"/>
              </w:rPr>
              <w:t>投标人如为个体工商户不需提供</w:t>
            </w:r>
            <w:r>
              <w:rPr>
                <w:rFonts w:hint="eastAsia"/>
                <w:b w:val="0"/>
                <w:bCs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rPr>
            </w:pPr>
            <w:r>
              <w:rPr>
                <w:rFonts w:hint="eastAsia"/>
                <w:bCs/>
              </w:rPr>
              <w:t>6</w:t>
            </w:r>
          </w:p>
        </w:tc>
        <w:tc>
          <w:tcPr>
            <w:tcW w:w="8222" w:type="dxa"/>
            <w:vAlign w:val="center"/>
          </w:tcPr>
          <w:p>
            <w:pPr>
              <w:pStyle w:val="125"/>
              <w:spacing w:before="1" w:line="360" w:lineRule="exact"/>
              <w:ind w:left="108" w:right="95"/>
              <w:jc w:val="both"/>
            </w:pPr>
            <w:r>
              <w:rPr>
                <w:rFonts w:hint="eastAsia"/>
              </w:rPr>
              <w:t>投标</w:t>
            </w:r>
            <w:r>
              <w:rPr>
                <w:rFonts w:hint="eastAsia"/>
                <w:szCs w:val="21"/>
              </w:rPr>
              <w:t>保证金打款凭证</w:t>
            </w:r>
            <w:r>
              <w:rPr>
                <w:rFonts w:hint="eastAsia"/>
                <w:b/>
                <w:bCs/>
                <w:szCs w:val="21"/>
              </w:rPr>
              <w:t>（纸质版或电子版均可）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100" w:type="dxa"/>
            <w:gridSpan w:val="2"/>
            <w:vAlign w:val="center"/>
          </w:tcPr>
          <w:p>
            <w:pPr>
              <w:pStyle w:val="125"/>
              <w:spacing w:before="1" w:line="360" w:lineRule="exact"/>
              <w:ind w:left="108" w:right="95"/>
              <w:jc w:val="center"/>
            </w:pPr>
            <w:r>
              <w:rPr>
                <w:rFonts w:hint="eastAsia"/>
                <w:b/>
                <w:bCs/>
              </w:rPr>
              <w:t>符合性审查标准（由评标委员会查验）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pPr>
              <w:spacing w:line="440" w:lineRule="exact"/>
              <w:jc w:val="center"/>
            </w:pPr>
            <w:r>
              <w:rPr>
                <w:rFonts w:hint="eastAsia"/>
              </w:rPr>
              <w:t>序号</w:t>
            </w:r>
          </w:p>
        </w:tc>
        <w:tc>
          <w:tcPr>
            <w:tcW w:w="8222" w:type="dxa"/>
            <w:vAlign w:val="center"/>
          </w:tcPr>
          <w:p>
            <w:pPr>
              <w:spacing w:line="440" w:lineRule="exact"/>
              <w:jc w:val="center"/>
            </w:pPr>
            <w:r>
              <w:rPr>
                <w:rFonts w:hint="eastAsia"/>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pPr>
              <w:spacing w:line="440" w:lineRule="exact"/>
              <w:jc w:val="center"/>
            </w:pPr>
            <w:r>
              <w:rPr>
                <w:rFonts w:hint="eastAsia"/>
                <w:bCs/>
              </w:rPr>
              <w:t>1</w:t>
            </w:r>
          </w:p>
        </w:tc>
        <w:tc>
          <w:tcPr>
            <w:tcW w:w="8222" w:type="dxa"/>
            <w:vAlign w:val="center"/>
          </w:tcPr>
          <w:p>
            <w:pPr>
              <w:spacing w:line="440" w:lineRule="exact"/>
            </w:pPr>
            <w:r>
              <w:rPr>
                <w:rFonts w:hint="eastAsia"/>
                <w:bCs/>
              </w:rPr>
              <w:t>响应文件必须按招标文件规定格式完整提供，并要盖供应商章、法定代表人或授权委托人签字或盖章；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pPr>
              <w:spacing w:line="440" w:lineRule="exact"/>
              <w:jc w:val="center"/>
              <w:rPr>
                <w:bCs/>
                <w:highlight w:val="none"/>
              </w:rPr>
            </w:pPr>
            <w:r>
              <w:rPr>
                <w:rFonts w:hint="eastAsia"/>
                <w:bCs/>
                <w:highlight w:val="none"/>
              </w:rPr>
              <w:t>2</w:t>
            </w:r>
          </w:p>
        </w:tc>
        <w:tc>
          <w:tcPr>
            <w:tcW w:w="8222" w:type="dxa"/>
            <w:vAlign w:val="center"/>
          </w:tcPr>
          <w:p>
            <w:pPr>
              <w:spacing w:line="440" w:lineRule="exact"/>
              <w:rPr>
                <w:bCs/>
                <w:highlight w:val="none"/>
              </w:rPr>
            </w:pPr>
            <w:r>
              <w:rPr>
                <w:rFonts w:hint="eastAsia"/>
                <w:bCs/>
              </w:rPr>
              <w:t>法定代表人身份证明书必须按招标文件规定格式完整提供，并要盖供应商章；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pPr>
              <w:spacing w:line="440" w:lineRule="exact"/>
              <w:jc w:val="center"/>
              <w:rPr>
                <w:bCs/>
              </w:rPr>
            </w:pPr>
            <w:r>
              <w:rPr>
                <w:rFonts w:hint="eastAsia"/>
                <w:bCs/>
              </w:rPr>
              <w:t>3</w:t>
            </w:r>
          </w:p>
        </w:tc>
        <w:tc>
          <w:tcPr>
            <w:tcW w:w="8222" w:type="dxa"/>
            <w:vAlign w:val="center"/>
          </w:tcPr>
          <w:p>
            <w:pPr>
              <w:spacing w:line="440" w:lineRule="exact"/>
              <w:rPr>
                <w:bCs/>
              </w:rPr>
            </w:pPr>
            <w:r>
              <w:rPr>
                <w:rFonts w:hint="eastAsia"/>
                <w:bCs/>
              </w:rPr>
              <w:t>法定代表人授权委托书必须按招标文件规定格式完整提供，并要盖供应商章、法定代表人章；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pPr>
              <w:spacing w:line="440" w:lineRule="exact"/>
              <w:jc w:val="center"/>
              <w:rPr>
                <w:bCs/>
              </w:rPr>
            </w:pPr>
            <w:r>
              <w:rPr>
                <w:rFonts w:hint="eastAsia"/>
                <w:bCs/>
              </w:rPr>
              <w:t>4</w:t>
            </w:r>
          </w:p>
        </w:tc>
        <w:tc>
          <w:tcPr>
            <w:tcW w:w="8222" w:type="dxa"/>
            <w:vAlign w:val="center"/>
          </w:tcPr>
          <w:p>
            <w:pPr>
              <w:spacing w:line="440" w:lineRule="exact"/>
              <w:rPr>
                <w:bCs/>
              </w:rPr>
            </w:pPr>
            <w:r>
              <w:rPr>
                <w:rFonts w:hint="eastAsia"/>
              </w:rPr>
              <w:t>响应文件封面右上角必须注明“正本”或“副本”字样；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highlight w:val="none"/>
              </w:rPr>
            </w:pPr>
            <w:r>
              <w:rPr>
                <w:rFonts w:hint="eastAsia"/>
                <w:bCs/>
                <w:highlight w:val="none"/>
              </w:rPr>
              <w:t>5</w:t>
            </w:r>
          </w:p>
        </w:tc>
        <w:tc>
          <w:tcPr>
            <w:tcW w:w="8222" w:type="dxa"/>
            <w:vAlign w:val="center"/>
          </w:tcPr>
          <w:p>
            <w:pPr>
              <w:spacing w:line="440" w:lineRule="exact"/>
              <w:rPr>
                <w:highlight w:val="none"/>
              </w:rPr>
            </w:pPr>
            <w:r>
              <w:rPr>
                <w:rFonts w:hint="eastAsia"/>
              </w:rPr>
              <w:t>响应文件份数必须按招标文件要求提供；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rPr>
            </w:pPr>
            <w:r>
              <w:rPr>
                <w:rFonts w:hint="eastAsia"/>
                <w:bCs/>
              </w:rPr>
              <w:t>6</w:t>
            </w:r>
          </w:p>
        </w:tc>
        <w:tc>
          <w:tcPr>
            <w:tcW w:w="8222" w:type="dxa"/>
            <w:vAlign w:val="center"/>
          </w:tcPr>
          <w:p>
            <w:pPr>
              <w:spacing w:line="440" w:lineRule="exact"/>
            </w:pPr>
            <w:r>
              <w:rPr>
                <w:rFonts w:hint="eastAsia"/>
              </w:rPr>
              <w:t>按照招标文件要求缴纳投标保证金；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rPr>
            </w:pPr>
            <w:r>
              <w:rPr>
                <w:rFonts w:hint="eastAsia"/>
                <w:bCs/>
              </w:rPr>
              <w:t>7</w:t>
            </w:r>
          </w:p>
        </w:tc>
        <w:tc>
          <w:tcPr>
            <w:tcW w:w="8222" w:type="dxa"/>
            <w:vAlign w:val="center"/>
          </w:tcPr>
          <w:p>
            <w:pPr>
              <w:spacing w:line="440" w:lineRule="exact"/>
            </w:pPr>
            <w:r>
              <w:rPr>
                <w:rFonts w:hint="eastAsia"/>
                <w:highlight w:val="none"/>
              </w:rPr>
              <w:t>响应文件中所报投标有效期满足招标文件规定；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pPr>
              <w:spacing w:line="440" w:lineRule="exact"/>
              <w:jc w:val="center"/>
              <w:rPr>
                <w:bCs/>
              </w:rPr>
            </w:pPr>
            <w:r>
              <w:rPr>
                <w:rFonts w:hint="eastAsia"/>
                <w:bCs/>
              </w:rPr>
              <w:t>8</w:t>
            </w:r>
          </w:p>
        </w:tc>
        <w:tc>
          <w:tcPr>
            <w:tcW w:w="8222" w:type="dxa"/>
            <w:vAlign w:val="center"/>
          </w:tcPr>
          <w:p>
            <w:pPr>
              <w:spacing w:line="440" w:lineRule="exact"/>
            </w:pPr>
            <w:r>
              <w:rPr>
                <w:rFonts w:hint="eastAsia"/>
                <w:highlight w:val="none"/>
              </w:rPr>
              <w:t>报价</w:t>
            </w:r>
            <w:r>
              <w:rPr>
                <w:rFonts w:hint="eastAsia"/>
                <w:highlight w:val="none"/>
                <w:lang w:val="en-US" w:eastAsia="zh-CN"/>
              </w:rPr>
              <w:t>未</w:t>
            </w:r>
            <w:r>
              <w:rPr>
                <w:rFonts w:hint="eastAsia"/>
                <w:highlight w:val="none"/>
              </w:rPr>
              <w:t>超出采购预算金额的。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9100" w:type="dxa"/>
            <w:gridSpan w:val="2"/>
          </w:tcPr>
          <w:p>
            <w:pPr>
              <w:spacing w:line="440" w:lineRule="exact"/>
              <w:rPr>
                <w:bCs/>
              </w:rPr>
            </w:pPr>
            <w:r>
              <w:rPr>
                <w:rFonts w:hint="eastAsia"/>
                <w:bCs/>
              </w:rPr>
              <w:t>备注：</w:t>
            </w:r>
            <w:r>
              <w:rPr>
                <w:rFonts w:hint="eastAsia"/>
                <w:bCs/>
                <w:lang w:eastAsia="zh-CN"/>
              </w:rPr>
              <w:t>（</w:t>
            </w:r>
            <w:r>
              <w:rPr>
                <w:rFonts w:hint="eastAsia"/>
                <w:bCs/>
                <w:lang w:val="en-US" w:eastAsia="zh-CN"/>
              </w:rPr>
              <w:t>1</w:t>
            </w:r>
            <w:r>
              <w:rPr>
                <w:rFonts w:hint="eastAsia"/>
                <w:bCs/>
                <w:lang w:eastAsia="zh-CN"/>
              </w:rPr>
              <w:t>）</w:t>
            </w:r>
            <w:r>
              <w:rPr>
                <w:rFonts w:hint="eastAsia"/>
                <w:bCs/>
              </w:rPr>
              <w:t>如果响应文件中有一项未通过上述审查标准，评标委员会将认定整个响应文件不响应招标文件而予以无效标处理，并且不允许供应商通过修改或撤销其不符合要求的差异或保留，使之成为具有响应性的投标。</w:t>
            </w:r>
          </w:p>
        </w:tc>
      </w:tr>
    </w:tbl>
    <w:p>
      <w:pPr>
        <w:rPr>
          <w:rFonts w:ascii="Tahoma" w:hAnsi="Tahoma" w:cs="Tahoma"/>
          <w:b/>
          <w:bCs/>
          <w:szCs w:val="21"/>
        </w:rPr>
      </w:pPr>
      <w:r>
        <w:rPr>
          <w:rFonts w:ascii="Tahoma" w:hAnsi="Tahoma" w:cs="Tahoma"/>
          <w:b/>
          <w:bCs/>
          <w:szCs w:val="21"/>
        </w:rPr>
        <w:br w:type="page"/>
      </w:r>
    </w:p>
    <w:p>
      <w:pPr>
        <w:spacing w:line="360" w:lineRule="auto"/>
        <w:rPr>
          <w:rFonts w:ascii="Tahoma" w:hAnsi="Tahoma" w:cs="Tahoma"/>
          <w:szCs w:val="21"/>
        </w:rPr>
      </w:pPr>
      <w:r>
        <w:rPr>
          <w:rFonts w:ascii="Tahoma" w:hAnsi="Tahoma" w:cs="Tahoma"/>
          <w:b/>
          <w:bCs/>
          <w:szCs w:val="21"/>
        </w:rPr>
        <w:t xml:space="preserve">3.2 </w:t>
      </w:r>
      <w:r>
        <w:rPr>
          <w:rFonts w:hint="eastAsia" w:ascii="Tahoma" w:hAnsi="Tahoma" w:cs="Tahoma"/>
          <w:b/>
          <w:bCs/>
          <w:szCs w:val="21"/>
        </w:rPr>
        <w:t>响应文件</w:t>
      </w:r>
      <w:r>
        <w:rPr>
          <w:rFonts w:ascii="Tahoma" w:hAnsi="Tahoma" w:cs="Tahoma"/>
          <w:b/>
          <w:bCs/>
          <w:szCs w:val="21"/>
        </w:rPr>
        <w:t>澄清</w:t>
      </w:r>
    </w:p>
    <w:p>
      <w:pPr>
        <w:spacing w:line="360" w:lineRule="auto"/>
        <w:rPr>
          <w:rFonts w:ascii="Tahoma" w:hAnsi="Tahoma" w:cs="Tahoma"/>
          <w:szCs w:val="21"/>
        </w:rPr>
      </w:pPr>
      <w:r>
        <w:rPr>
          <w:rFonts w:ascii="Tahoma" w:hAnsi="Tahoma" w:cs="Tahoma"/>
          <w:szCs w:val="21"/>
        </w:rPr>
        <w:t>3.2.1评标委员会将允许</w:t>
      </w:r>
      <w:r>
        <w:rPr>
          <w:rFonts w:hint="eastAsia" w:ascii="Tahoma" w:hAnsi="Tahoma" w:cs="Tahoma"/>
          <w:szCs w:val="21"/>
        </w:rPr>
        <w:t>供应商</w:t>
      </w:r>
      <w:r>
        <w:rPr>
          <w:rFonts w:ascii="Tahoma" w:hAnsi="Tahoma" w:cs="Tahoma"/>
          <w:szCs w:val="21"/>
        </w:rPr>
        <w:t>修改</w:t>
      </w:r>
      <w:r>
        <w:rPr>
          <w:rFonts w:hint="eastAsia" w:ascii="Tahoma" w:hAnsi="Tahoma" w:cs="Tahoma"/>
          <w:szCs w:val="21"/>
        </w:rPr>
        <w:t>响应文件</w:t>
      </w:r>
      <w:r>
        <w:rPr>
          <w:rFonts w:ascii="Tahoma" w:hAnsi="Tahoma" w:cs="Tahoma"/>
          <w:szCs w:val="21"/>
        </w:rPr>
        <w:t>中不构成重大偏离的微小的、非正规、不一致或不规则地方，但这种允许不能损害或影响任何</w:t>
      </w:r>
      <w:r>
        <w:rPr>
          <w:rFonts w:hint="eastAsia" w:ascii="Tahoma" w:hAnsi="Tahoma" w:cs="Tahoma"/>
          <w:szCs w:val="21"/>
        </w:rPr>
        <w:t>供应商</w:t>
      </w:r>
      <w:r>
        <w:rPr>
          <w:rFonts w:ascii="Tahoma" w:hAnsi="Tahoma" w:cs="Tahoma"/>
          <w:szCs w:val="21"/>
        </w:rPr>
        <w:t>的相对排序。</w:t>
      </w:r>
    </w:p>
    <w:p>
      <w:pPr>
        <w:spacing w:line="360" w:lineRule="auto"/>
        <w:rPr>
          <w:rFonts w:ascii="Tahoma" w:hAnsi="Tahoma" w:cs="Tahoma"/>
          <w:szCs w:val="21"/>
        </w:rPr>
      </w:pPr>
      <w:r>
        <w:rPr>
          <w:rFonts w:ascii="Tahoma" w:hAnsi="Tahoma" w:cs="Tahoma"/>
          <w:szCs w:val="21"/>
        </w:rPr>
        <w:t>3.2.2对于</w:t>
      </w:r>
      <w:r>
        <w:rPr>
          <w:rFonts w:hint="eastAsia" w:ascii="Tahoma" w:hAnsi="Tahoma" w:cs="Tahoma"/>
          <w:szCs w:val="21"/>
        </w:rPr>
        <w:t>响应文件</w:t>
      </w:r>
      <w:r>
        <w:rPr>
          <w:rFonts w:ascii="Tahoma" w:hAnsi="Tahoma" w:cs="Tahoma"/>
          <w:szCs w:val="21"/>
        </w:rPr>
        <w:t>中含义不明确、同类问题表述不一致或者有明显文字和计算错误的内容，评标委员会应当以书面形式要求</w:t>
      </w:r>
      <w:r>
        <w:rPr>
          <w:rFonts w:hint="eastAsia" w:ascii="Tahoma" w:hAnsi="Tahoma" w:cs="Tahoma"/>
          <w:szCs w:val="21"/>
        </w:rPr>
        <w:t>供应商</w:t>
      </w:r>
      <w:r>
        <w:rPr>
          <w:rFonts w:ascii="Tahoma" w:hAnsi="Tahoma" w:cs="Tahoma"/>
          <w:szCs w:val="21"/>
        </w:rPr>
        <w:t>作出必要的澄清、说明或者补正。</w:t>
      </w:r>
    </w:p>
    <w:p>
      <w:pPr>
        <w:spacing w:line="360" w:lineRule="auto"/>
        <w:rPr>
          <w:rFonts w:ascii="Tahoma" w:hAnsi="Tahoma" w:cs="Tahoma"/>
          <w:szCs w:val="21"/>
        </w:rPr>
      </w:pPr>
      <w:r>
        <w:rPr>
          <w:rFonts w:ascii="Tahoma" w:hAnsi="Tahoma" w:cs="Tahoma"/>
          <w:szCs w:val="21"/>
        </w:rPr>
        <w:t>　</w:t>
      </w:r>
      <w:r>
        <w:rPr>
          <w:rFonts w:hint="eastAsia" w:ascii="Tahoma" w:hAnsi="Tahoma" w:cs="Tahoma"/>
          <w:szCs w:val="21"/>
        </w:rPr>
        <w:t>供应商</w:t>
      </w:r>
      <w:r>
        <w:rPr>
          <w:rFonts w:ascii="Tahoma" w:hAnsi="Tahoma" w:cs="Tahoma"/>
          <w:szCs w:val="21"/>
        </w:rPr>
        <w:t>的澄清、说明或者补正应当采用书面形式，并加盖公章，或者由法定代表人或其授权的代表签字。</w:t>
      </w:r>
      <w:r>
        <w:rPr>
          <w:rFonts w:hint="eastAsia" w:ascii="Tahoma" w:hAnsi="Tahoma" w:cs="Tahoma"/>
          <w:szCs w:val="21"/>
        </w:rPr>
        <w:t>供应商</w:t>
      </w:r>
      <w:r>
        <w:rPr>
          <w:rFonts w:ascii="Tahoma" w:hAnsi="Tahoma" w:cs="Tahoma"/>
          <w:szCs w:val="21"/>
        </w:rPr>
        <w:t>的澄清、说明或者补正不得超出</w:t>
      </w:r>
      <w:r>
        <w:rPr>
          <w:rFonts w:hint="eastAsia" w:ascii="Tahoma" w:hAnsi="Tahoma" w:cs="Tahoma"/>
          <w:szCs w:val="21"/>
        </w:rPr>
        <w:t>响应文件</w:t>
      </w:r>
      <w:r>
        <w:rPr>
          <w:rFonts w:ascii="Tahoma" w:hAnsi="Tahoma" w:cs="Tahoma"/>
          <w:szCs w:val="21"/>
        </w:rPr>
        <w:t>的范围或者改变</w:t>
      </w:r>
      <w:r>
        <w:rPr>
          <w:rFonts w:hint="eastAsia" w:ascii="Tahoma" w:hAnsi="Tahoma" w:cs="Tahoma"/>
          <w:szCs w:val="21"/>
        </w:rPr>
        <w:t>响应文件</w:t>
      </w:r>
      <w:r>
        <w:rPr>
          <w:rFonts w:ascii="Tahoma" w:hAnsi="Tahoma" w:cs="Tahoma"/>
          <w:szCs w:val="21"/>
        </w:rPr>
        <w:t>的实质性内容。</w:t>
      </w:r>
    </w:p>
    <w:p>
      <w:pPr>
        <w:spacing w:line="360" w:lineRule="auto"/>
        <w:rPr>
          <w:rFonts w:ascii="Tahoma" w:hAnsi="Tahoma" w:cs="Tahoma"/>
          <w:szCs w:val="21"/>
        </w:rPr>
      </w:pPr>
      <w:r>
        <w:rPr>
          <w:rFonts w:ascii="Tahoma" w:hAnsi="Tahoma" w:cs="Tahoma"/>
          <w:szCs w:val="21"/>
        </w:rPr>
        <w:t>3.2.3</w:t>
      </w:r>
      <w:r>
        <w:rPr>
          <w:rFonts w:hint="eastAsia" w:ascii="Tahoma" w:hAnsi="Tahoma" w:cs="Tahoma"/>
          <w:szCs w:val="21"/>
        </w:rPr>
        <w:t>响应文件</w:t>
      </w:r>
      <w:r>
        <w:rPr>
          <w:rFonts w:ascii="Tahoma" w:hAnsi="Tahoma" w:cs="Tahoma"/>
          <w:szCs w:val="21"/>
        </w:rPr>
        <w:t>报价出现前后不一致的，除招标文件另有规定外，按照下列规定修正：</w:t>
      </w:r>
    </w:p>
    <w:p>
      <w:pPr>
        <w:spacing w:line="360" w:lineRule="auto"/>
        <w:ind w:firstLine="240" w:firstLineChars="100"/>
        <w:rPr>
          <w:rFonts w:ascii="Tahoma" w:hAnsi="Tahoma" w:cs="Tahoma"/>
          <w:szCs w:val="21"/>
        </w:rPr>
      </w:pPr>
      <w:r>
        <w:rPr>
          <w:rFonts w:ascii="Tahoma" w:hAnsi="Tahoma" w:cs="Tahoma"/>
          <w:szCs w:val="21"/>
        </w:rPr>
        <w:t>（一）</w:t>
      </w:r>
      <w:r>
        <w:rPr>
          <w:rFonts w:hint="eastAsia" w:ascii="Tahoma" w:hAnsi="Tahoma" w:cs="Tahoma"/>
          <w:szCs w:val="21"/>
        </w:rPr>
        <w:t>响应文件</w:t>
      </w:r>
      <w:r>
        <w:rPr>
          <w:rFonts w:ascii="Tahoma" w:hAnsi="Tahoma" w:cs="Tahoma"/>
          <w:szCs w:val="21"/>
        </w:rPr>
        <w:t>中</w:t>
      </w:r>
      <w:r>
        <w:rPr>
          <w:rFonts w:hint="eastAsia" w:ascii="Tahoma" w:hAnsi="Tahoma" w:cs="Tahoma"/>
          <w:szCs w:val="21"/>
        </w:rPr>
        <w:t>报价一览表</w:t>
      </w:r>
      <w:r>
        <w:rPr>
          <w:rFonts w:ascii="Tahoma" w:hAnsi="Tahoma" w:cs="Tahoma"/>
          <w:szCs w:val="21"/>
        </w:rPr>
        <w:t>（报价表）内容与</w:t>
      </w:r>
      <w:r>
        <w:rPr>
          <w:rFonts w:hint="eastAsia" w:ascii="Tahoma" w:hAnsi="Tahoma" w:cs="Tahoma"/>
          <w:szCs w:val="21"/>
        </w:rPr>
        <w:t>响应文件</w:t>
      </w:r>
      <w:r>
        <w:rPr>
          <w:rFonts w:ascii="Tahoma" w:hAnsi="Tahoma" w:cs="Tahoma"/>
          <w:szCs w:val="21"/>
        </w:rPr>
        <w:t>中相应内容不一致的，以</w:t>
      </w:r>
      <w:r>
        <w:rPr>
          <w:rFonts w:hint="eastAsia" w:ascii="Tahoma" w:hAnsi="Tahoma" w:cs="Tahoma"/>
          <w:szCs w:val="21"/>
        </w:rPr>
        <w:t>报价一览表</w:t>
      </w:r>
      <w:r>
        <w:rPr>
          <w:rFonts w:ascii="Tahoma" w:hAnsi="Tahoma" w:cs="Tahoma"/>
          <w:szCs w:val="21"/>
        </w:rPr>
        <w:t>（报价表）为准；</w:t>
      </w:r>
    </w:p>
    <w:p>
      <w:pPr>
        <w:spacing w:line="360" w:lineRule="auto"/>
        <w:ind w:firstLine="240" w:firstLineChars="100"/>
        <w:rPr>
          <w:rFonts w:ascii="Tahoma" w:hAnsi="Tahoma" w:cs="Tahoma"/>
          <w:szCs w:val="21"/>
        </w:rPr>
      </w:pPr>
      <w:r>
        <w:rPr>
          <w:rFonts w:ascii="Tahoma" w:hAnsi="Tahoma" w:cs="Tahoma"/>
          <w:szCs w:val="21"/>
        </w:rPr>
        <w:t>（二）大写金额和小写金额不一致的，以大写金额为准；</w:t>
      </w:r>
    </w:p>
    <w:p>
      <w:pPr>
        <w:spacing w:line="360" w:lineRule="auto"/>
        <w:ind w:firstLine="240" w:firstLineChars="100"/>
        <w:rPr>
          <w:rFonts w:ascii="Tahoma" w:hAnsi="Tahoma" w:cs="Tahoma"/>
          <w:szCs w:val="21"/>
        </w:rPr>
      </w:pPr>
      <w:r>
        <w:rPr>
          <w:rFonts w:ascii="Tahoma" w:hAnsi="Tahoma" w:cs="Tahoma"/>
          <w:szCs w:val="21"/>
        </w:rPr>
        <w:t>（三）单价金额小数点或者百分比有明显错位的，以</w:t>
      </w:r>
      <w:r>
        <w:rPr>
          <w:rFonts w:hint="eastAsia" w:ascii="Tahoma" w:hAnsi="Tahoma" w:cs="Tahoma"/>
          <w:szCs w:val="21"/>
        </w:rPr>
        <w:t>报价一览表</w:t>
      </w:r>
      <w:r>
        <w:rPr>
          <w:rFonts w:ascii="Tahoma" w:hAnsi="Tahoma" w:cs="Tahoma"/>
          <w:szCs w:val="21"/>
        </w:rPr>
        <w:t>的总价为准，并修改单价；</w:t>
      </w:r>
    </w:p>
    <w:p>
      <w:pPr>
        <w:spacing w:line="360" w:lineRule="auto"/>
        <w:ind w:firstLine="240" w:firstLineChars="100"/>
        <w:rPr>
          <w:rFonts w:ascii="Tahoma" w:hAnsi="Tahoma" w:cs="Tahoma"/>
          <w:szCs w:val="21"/>
        </w:rPr>
      </w:pPr>
      <w:r>
        <w:rPr>
          <w:rFonts w:ascii="Tahoma" w:hAnsi="Tahoma" w:cs="Tahoma"/>
          <w:szCs w:val="21"/>
        </w:rPr>
        <w:t>（四）总价金额与按</w:t>
      </w:r>
      <w:r>
        <w:rPr>
          <w:rFonts w:hint="eastAsia" w:ascii="Tahoma" w:hAnsi="Tahoma" w:cs="Tahoma"/>
          <w:szCs w:val="21"/>
        </w:rPr>
        <w:t>含税</w:t>
      </w:r>
      <w:r>
        <w:rPr>
          <w:rFonts w:ascii="Tahoma" w:hAnsi="Tahoma" w:cs="Tahoma"/>
          <w:szCs w:val="21"/>
        </w:rPr>
        <w:t>单价汇总金额不一致的，以</w:t>
      </w:r>
      <w:r>
        <w:rPr>
          <w:rFonts w:hint="eastAsia" w:ascii="Tahoma" w:hAnsi="Tahoma" w:cs="Tahoma"/>
          <w:szCs w:val="21"/>
        </w:rPr>
        <w:t>含税</w:t>
      </w:r>
      <w:r>
        <w:rPr>
          <w:rFonts w:ascii="Tahoma" w:hAnsi="Tahoma" w:cs="Tahoma"/>
          <w:szCs w:val="21"/>
        </w:rPr>
        <w:t>单价金额计算结果为准。</w:t>
      </w:r>
    </w:p>
    <w:p>
      <w:pPr>
        <w:spacing w:line="360" w:lineRule="auto"/>
        <w:ind w:firstLine="420"/>
        <w:rPr>
          <w:rFonts w:ascii="Tahoma" w:hAnsi="Tahoma" w:cs="Tahoma"/>
          <w:szCs w:val="21"/>
        </w:rPr>
      </w:pPr>
      <w:r>
        <w:rPr>
          <w:rFonts w:ascii="Tahoma" w:hAnsi="Tahoma" w:cs="Tahoma"/>
          <w:szCs w:val="21"/>
        </w:rPr>
        <w:t>同时出现两种以上不一致的，按照前款规定的顺序修正。</w:t>
      </w:r>
    </w:p>
    <w:p>
      <w:pPr>
        <w:spacing w:line="360" w:lineRule="auto"/>
        <w:rPr>
          <w:rFonts w:ascii="Tahoma" w:hAnsi="Tahoma" w:cs="Tahoma"/>
          <w:b/>
        </w:rPr>
      </w:pPr>
      <w:r>
        <w:rPr>
          <w:rFonts w:ascii="Tahoma" w:hAnsi="Tahoma" w:cs="Tahoma"/>
          <w:szCs w:val="21"/>
        </w:rPr>
        <w:t>3.3</w:t>
      </w:r>
      <w:r>
        <w:rPr>
          <w:rFonts w:ascii="Tahoma" w:hAnsi="Tahoma" w:cs="Tahoma"/>
          <w:b/>
        </w:rPr>
        <w:t xml:space="preserve"> 比较与评价</w:t>
      </w:r>
    </w:p>
    <w:p>
      <w:pPr>
        <w:spacing w:line="360" w:lineRule="auto"/>
        <w:rPr>
          <w:rFonts w:ascii="Tahoma" w:hAnsi="Tahoma" w:cs="Tahoma"/>
          <w:szCs w:val="21"/>
        </w:rPr>
      </w:pPr>
      <w:r>
        <w:rPr>
          <w:rFonts w:ascii="Tahoma" w:hAnsi="Tahoma" w:cs="Tahoma"/>
          <w:szCs w:val="21"/>
        </w:rPr>
        <w:t>3.3.1评标委员会按招标文件中规定的评标方法和标准，对资格性检查和符合性检查合格的</w:t>
      </w:r>
      <w:r>
        <w:rPr>
          <w:rFonts w:hint="eastAsia" w:ascii="Tahoma" w:hAnsi="Tahoma" w:cs="Tahoma"/>
          <w:szCs w:val="21"/>
        </w:rPr>
        <w:t>响应文件</w:t>
      </w:r>
      <w:r>
        <w:rPr>
          <w:rFonts w:ascii="Tahoma" w:hAnsi="Tahoma" w:cs="Tahoma"/>
          <w:szCs w:val="21"/>
        </w:rPr>
        <w:t>进行商务和技术评估，综合比较与评价。</w:t>
      </w:r>
    </w:p>
    <w:p>
      <w:pPr>
        <w:spacing w:line="360" w:lineRule="auto"/>
        <w:rPr>
          <w:rFonts w:ascii="Tahoma" w:hAnsi="Tahoma" w:cs="Tahoma"/>
          <w:szCs w:val="21"/>
        </w:rPr>
      </w:pPr>
      <w:r>
        <w:rPr>
          <w:rFonts w:ascii="Tahoma" w:hAnsi="Tahoma" w:cs="Tahoma"/>
          <w:szCs w:val="21"/>
        </w:rPr>
        <w:t>3.3.2评标委员会按本章第2.3 款规定的量化因素进行评审。</w:t>
      </w:r>
    </w:p>
    <w:p>
      <w:pPr>
        <w:spacing w:line="360" w:lineRule="auto"/>
        <w:ind w:firstLine="240" w:firstLineChars="100"/>
        <w:rPr>
          <w:rFonts w:ascii="Tahoma" w:hAnsi="Tahoma" w:cs="Tahoma"/>
          <w:szCs w:val="21"/>
        </w:rPr>
      </w:pPr>
      <w:r>
        <w:rPr>
          <w:rFonts w:ascii="Tahoma" w:hAnsi="Tahoma" w:cs="Tahoma"/>
          <w:szCs w:val="21"/>
        </w:rPr>
        <w:t>（1）按本章评标办法规定的评审因素对商务、技术和投标价格进行评审；</w:t>
      </w:r>
    </w:p>
    <w:p>
      <w:pPr>
        <w:spacing w:line="360" w:lineRule="auto"/>
        <w:ind w:firstLine="240" w:firstLineChars="100"/>
        <w:rPr>
          <w:rFonts w:ascii="Tahoma" w:hAnsi="Tahoma" w:cs="Tahoma"/>
        </w:rPr>
      </w:pPr>
      <w:r>
        <w:rPr>
          <w:rFonts w:ascii="Tahoma" w:hAnsi="Tahoma" w:cs="Tahoma"/>
          <w:szCs w:val="21"/>
        </w:rPr>
        <w:t>（2）按本章评标办法规定，评标委员会对全部满足招标文件实质性要求前提下，按照招标文件中规定的各项因素进行综合评审后，按评审后的综合得分由高到低顺序排列，以评标总得分最高的</w:t>
      </w:r>
      <w:r>
        <w:rPr>
          <w:rFonts w:hint="eastAsia" w:ascii="Tahoma" w:hAnsi="Tahoma" w:cs="Tahoma"/>
          <w:szCs w:val="21"/>
        </w:rPr>
        <w:t>供应商</w:t>
      </w:r>
      <w:r>
        <w:rPr>
          <w:rFonts w:ascii="Tahoma" w:hAnsi="Tahoma" w:cs="Tahoma"/>
          <w:szCs w:val="21"/>
        </w:rPr>
        <w:t>作为</w:t>
      </w:r>
      <w:r>
        <w:rPr>
          <w:rFonts w:hint="eastAsia" w:ascii="Tahoma" w:hAnsi="Tahoma" w:cs="Tahoma"/>
          <w:szCs w:val="21"/>
        </w:rPr>
        <w:t>成交候选人</w:t>
      </w:r>
      <w:r>
        <w:rPr>
          <w:rFonts w:ascii="Tahoma" w:hAnsi="Tahoma" w:cs="Tahoma"/>
          <w:szCs w:val="21"/>
        </w:rPr>
        <w:t>。得分相同的，按投标报价由低到高顺序排列。得分且投标报价相同的，按技术指标优劣顺序排列</w:t>
      </w:r>
      <w:r>
        <w:rPr>
          <w:rFonts w:ascii="Tahoma" w:hAnsi="Tahoma" w:cs="Tahoma"/>
        </w:rPr>
        <w:t>。</w:t>
      </w:r>
    </w:p>
    <w:p>
      <w:pPr>
        <w:spacing w:line="360" w:lineRule="auto"/>
        <w:rPr>
          <w:rFonts w:ascii="Tahoma" w:hAnsi="Tahoma" w:cs="Tahoma"/>
        </w:rPr>
      </w:pPr>
      <w:r>
        <w:rPr>
          <w:rFonts w:hint="eastAsia" w:ascii="Tahoma" w:hAnsi="Tahoma" w:cs="Tahoma"/>
        </w:rPr>
        <w:t>3.3.3对于非专门面向中小企业的项目，对小型和微型企业产品的价格扣除，按“供应商须知（正文）”中的第10.4款的规定，用扣除后的价格参与评审。</w:t>
      </w:r>
    </w:p>
    <w:p>
      <w:pPr>
        <w:spacing w:line="360" w:lineRule="auto"/>
        <w:rPr>
          <w:rFonts w:ascii="Tahoma" w:hAnsi="Tahoma" w:cs="Tahoma"/>
        </w:rPr>
      </w:pPr>
      <w:r>
        <w:rPr>
          <w:rFonts w:ascii="Tahoma" w:hAnsi="Tahoma" w:cs="Tahoma"/>
        </w:rPr>
        <w:t>3.3.4对于非专门面向中小企业的项目，符合“</w:t>
      </w:r>
      <w:r>
        <w:rPr>
          <w:rFonts w:hint="eastAsia" w:ascii="Tahoma" w:hAnsi="Tahoma" w:cs="Tahoma"/>
        </w:rPr>
        <w:t>供应商</w:t>
      </w:r>
      <w:r>
        <w:rPr>
          <w:rFonts w:ascii="Tahoma" w:hAnsi="Tahoma" w:cs="Tahoma"/>
        </w:rPr>
        <w:t>须知”正文第1.4.4条规定的</w:t>
      </w:r>
      <w:r>
        <w:rPr>
          <w:rFonts w:hint="eastAsia" w:ascii="Tahoma" w:hAnsi="Tahoma" w:cs="Tahoma"/>
        </w:rPr>
        <w:t>供应商</w:t>
      </w:r>
      <w:r>
        <w:rPr>
          <w:rFonts w:ascii="Tahoma" w:hAnsi="Tahoma" w:cs="Tahoma"/>
        </w:rPr>
        <w:t>产品的价格扣除按1.4.4条的规定，用扣除后的价格参与评审。</w:t>
      </w:r>
    </w:p>
    <w:p>
      <w:pPr>
        <w:spacing w:line="360" w:lineRule="auto"/>
        <w:rPr>
          <w:rFonts w:ascii="Tahoma" w:hAnsi="Tahoma" w:cs="Tahoma"/>
        </w:rPr>
      </w:pPr>
      <w:r>
        <w:rPr>
          <w:rFonts w:ascii="Tahoma" w:hAnsi="Tahoma" w:cs="Tahoma"/>
        </w:rPr>
        <w:t>3.3.5评标委员会认为</w:t>
      </w:r>
      <w:r>
        <w:rPr>
          <w:rFonts w:hint="eastAsia" w:ascii="Tahoma" w:hAnsi="Tahoma" w:cs="Tahoma"/>
        </w:rPr>
        <w:t>供应商</w:t>
      </w:r>
      <w:r>
        <w:rPr>
          <w:rFonts w:ascii="Tahoma" w:hAnsi="Tahoma" w:cs="Tahoma"/>
        </w:rPr>
        <w:t>的报价明显低于其他通过符合性审查</w:t>
      </w:r>
      <w:r>
        <w:rPr>
          <w:rFonts w:hint="eastAsia" w:ascii="Tahoma" w:hAnsi="Tahoma" w:cs="Tahoma"/>
        </w:rPr>
        <w:t>供应商</w:t>
      </w:r>
      <w:r>
        <w:rPr>
          <w:rFonts w:ascii="Tahoma" w:hAnsi="Tahoma" w:cs="Tahoma"/>
        </w:rPr>
        <w:t>的报价，有可能影响产品质量或者不能诚信履约的，应当要求其在评标现场合理的时间内提供书面说明，必要时提交相关证明材料；</w:t>
      </w:r>
      <w:r>
        <w:rPr>
          <w:rFonts w:hint="eastAsia" w:ascii="Tahoma" w:hAnsi="Tahoma" w:cs="Tahoma"/>
        </w:rPr>
        <w:t>供应商</w:t>
      </w:r>
      <w:r>
        <w:rPr>
          <w:rFonts w:ascii="Tahoma" w:hAnsi="Tahoma" w:cs="Tahoma"/>
        </w:rPr>
        <w:t>不能证明其报价合理性的，评标委员会应当将其作为</w:t>
      </w:r>
      <w:r>
        <w:rPr>
          <w:rFonts w:ascii="Tahoma" w:hAnsi="Tahoma" w:cs="Tahoma"/>
          <w:b/>
        </w:rPr>
        <w:t>无效投标处理</w:t>
      </w:r>
      <w:r>
        <w:rPr>
          <w:rFonts w:ascii="Tahoma" w:hAnsi="Tahoma" w:cs="Tahoma"/>
        </w:rPr>
        <w:t>。</w:t>
      </w:r>
    </w:p>
    <w:p>
      <w:pPr>
        <w:spacing w:line="360" w:lineRule="auto"/>
        <w:rPr>
          <w:rFonts w:ascii="Tahoma" w:hAnsi="Tahoma" w:cs="Tahoma"/>
          <w:szCs w:val="21"/>
        </w:rPr>
      </w:pPr>
      <w:r>
        <w:rPr>
          <w:rFonts w:ascii="Tahoma" w:hAnsi="Tahoma" w:cs="Tahoma"/>
          <w:szCs w:val="21"/>
        </w:rPr>
        <w:t>3.3.6经评审后，若出现符合本须知规定的所有投标条件的</w:t>
      </w:r>
      <w:r>
        <w:rPr>
          <w:rFonts w:hint="eastAsia" w:ascii="Tahoma" w:hAnsi="Tahoma" w:cs="Tahoma"/>
          <w:szCs w:val="21"/>
        </w:rPr>
        <w:t>供应商</w:t>
      </w:r>
      <w:r>
        <w:rPr>
          <w:rFonts w:ascii="Tahoma" w:hAnsi="Tahoma" w:cs="Tahoma"/>
          <w:szCs w:val="21"/>
        </w:rPr>
        <w:t>不足三家情形的，本次招标终止，除采购任务取消情形外，招标单位将依法重新组织招标或者采取其他方式采购。</w:t>
      </w:r>
    </w:p>
    <w:p>
      <w:pPr>
        <w:spacing w:line="360" w:lineRule="auto"/>
        <w:rPr>
          <w:rFonts w:ascii="Tahoma" w:hAnsi="Tahoma" w:cs="Tahoma"/>
          <w:b/>
          <w:szCs w:val="21"/>
        </w:rPr>
      </w:pPr>
      <w:r>
        <w:rPr>
          <w:rFonts w:ascii="Tahoma" w:hAnsi="Tahoma" w:cs="Tahoma"/>
          <w:b/>
          <w:szCs w:val="21"/>
        </w:rPr>
        <w:t>3.4评分标准与分值构成</w:t>
      </w:r>
    </w:p>
    <w:p>
      <w:pPr>
        <w:adjustRightInd w:val="0"/>
        <w:snapToGrid w:val="0"/>
        <w:spacing w:line="360" w:lineRule="auto"/>
        <w:ind w:firstLine="480" w:firstLineChars="200"/>
        <w:rPr>
          <w:rFonts w:ascii="Tahoma" w:hAnsi="Tahoma" w:cs="Tahoma"/>
          <w:szCs w:val="21"/>
        </w:rPr>
      </w:pPr>
      <w:r>
        <w:rPr>
          <w:rFonts w:ascii="Tahoma" w:hAnsi="Tahoma" w:cs="Tahoma"/>
          <w:szCs w:val="21"/>
        </w:rPr>
        <w:t>综合评分法将按商务、技术和投标价格三个部分分别进行评分，商务部分满分为</w:t>
      </w:r>
      <w:r>
        <w:rPr>
          <w:rFonts w:hint="eastAsia" w:ascii="Tahoma" w:hAnsi="Tahoma" w:cs="Tahoma"/>
          <w:szCs w:val="21"/>
        </w:rPr>
        <w:t>20</w:t>
      </w:r>
      <w:r>
        <w:rPr>
          <w:rFonts w:ascii="Tahoma" w:hAnsi="Tahoma" w:cs="Tahoma"/>
          <w:szCs w:val="21"/>
        </w:rPr>
        <w:t>分、技术部分满分为</w:t>
      </w:r>
      <w:r>
        <w:rPr>
          <w:rFonts w:hint="eastAsia" w:ascii="Tahoma" w:hAnsi="Tahoma" w:cs="Tahoma"/>
          <w:szCs w:val="21"/>
        </w:rPr>
        <w:t>50</w:t>
      </w:r>
      <w:r>
        <w:rPr>
          <w:rFonts w:ascii="Tahoma" w:hAnsi="Tahoma" w:cs="Tahoma"/>
          <w:szCs w:val="21"/>
        </w:rPr>
        <w:t>分，价格部分满分为</w:t>
      </w:r>
      <w:r>
        <w:rPr>
          <w:rFonts w:hint="eastAsia" w:ascii="Tahoma" w:hAnsi="Tahoma" w:cs="Tahoma"/>
          <w:szCs w:val="21"/>
        </w:rPr>
        <w:t>30</w:t>
      </w:r>
      <w:r>
        <w:rPr>
          <w:rFonts w:ascii="Tahoma" w:hAnsi="Tahoma" w:cs="Tahoma"/>
          <w:szCs w:val="21"/>
        </w:rPr>
        <w:t>分，合计总分100分。</w:t>
      </w:r>
    </w:p>
    <w:p>
      <w:pPr>
        <w:adjustRightInd w:val="0"/>
        <w:snapToGrid w:val="0"/>
        <w:spacing w:line="360" w:lineRule="auto"/>
        <w:rPr>
          <w:rFonts w:ascii="Tahoma" w:hAnsi="Tahoma" w:cs="Tahoma"/>
          <w:szCs w:val="21"/>
        </w:rPr>
      </w:pPr>
      <w:r>
        <w:rPr>
          <w:rFonts w:ascii="Tahoma" w:hAnsi="Tahoma" w:cs="Tahoma"/>
          <w:b/>
          <w:bCs/>
          <w:szCs w:val="21"/>
        </w:rPr>
        <w:t>3.4.1商务部分</w:t>
      </w:r>
    </w:p>
    <w:p>
      <w:pPr>
        <w:adjustRightInd w:val="0"/>
        <w:snapToGrid w:val="0"/>
        <w:spacing w:line="360" w:lineRule="auto"/>
        <w:ind w:right="313"/>
        <w:rPr>
          <w:rFonts w:ascii="Tahoma" w:hAnsi="Tahoma" w:cs="Tahoma"/>
          <w:b/>
          <w:bCs/>
          <w:szCs w:val="21"/>
        </w:rPr>
      </w:pPr>
      <w:r>
        <w:rPr>
          <w:rFonts w:hint="eastAsia" w:ascii="Tahoma" w:hAnsi="Tahoma" w:cs="Tahoma"/>
          <w:b/>
          <w:bCs/>
          <w:szCs w:val="21"/>
        </w:rPr>
        <w:t>A、</w:t>
      </w:r>
      <w:r>
        <w:rPr>
          <w:rFonts w:ascii="Tahoma" w:hAnsi="Tahoma" w:cs="Tahoma"/>
          <w:b/>
          <w:bCs/>
          <w:szCs w:val="21"/>
        </w:rPr>
        <w:t>商务部分评分标准（</w:t>
      </w:r>
      <w:r>
        <w:rPr>
          <w:rFonts w:hint="eastAsia" w:ascii="Tahoma" w:hAnsi="Tahoma" w:cs="Tahoma"/>
          <w:b/>
          <w:bCs/>
          <w:szCs w:val="21"/>
        </w:rPr>
        <w:t>20</w:t>
      </w:r>
      <w:r>
        <w:rPr>
          <w:rFonts w:ascii="Tahoma" w:hAnsi="Tahoma" w:cs="Tahoma"/>
          <w:b/>
          <w:bCs/>
          <w:szCs w:val="21"/>
        </w:rPr>
        <w:t>分）</w:t>
      </w:r>
    </w:p>
    <w:tbl>
      <w:tblPr>
        <w:tblStyle w:val="33"/>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5"/>
        <w:gridCol w:w="1816"/>
        <w:gridCol w:w="939"/>
        <w:gridCol w:w="58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序号</w:t>
            </w:r>
          </w:p>
        </w:tc>
        <w:tc>
          <w:tcPr>
            <w:tcW w:w="181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评审项目</w:t>
            </w:r>
          </w:p>
        </w:tc>
        <w:tc>
          <w:tcPr>
            <w:tcW w:w="93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分值</w:t>
            </w:r>
          </w:p>
        </w:tc>
        <w:tc>
          <w:tcPr>
            <w:tcW w:w="587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08"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
                <w:szCs w:val="21"/>
              </w:rPr>
            </w:pPr>
            <w:r>
              <w:rPr>
                <w:rFonts w:hint="eastAsia" w:cs="Times New Roman"/>
                <w:b/>
                <w:szCs w:val="21"/>
              </w:rPr>
              <w:t>1</w:t>
            </w:r>
          </w:p>
        </w:tc>
        <w:tc>
          <w:tcPr>
            <w:tcW w:w="18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szCs w:val="21"/>
              </w:rPr>
            </w:pPr>
            <w:r>
              <w:rPr>
                <w:rFonts w:hint="eastAsia"/>
                <w:szCs w:val="21"/>
              </w:rPr>
              <w:t>同类项目经验</w:t>
            </w:r>
          </w:p>
        </w:tc>
        <w:tc>
          <w:tcPr>
            <w:tcW w:w="93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szCs w:val="21"/>
              </w:rPr>
            </w:pPr>
            <w:r>
              <w:rPr>
                <w:rFonts w:hint="eastAsia" w:cs="Times New Roman"/>
                <w:bCs/>
                <w:szCs w:val="21"/>
              </w:rPr>
              <w:t>10</w:t>
            </w:r>
          </w:p>
        </w:tc>
        <w:tc>
          <w:tcPr>
            <w:tcW w:w="587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numPr>
                <w:ilvl w:val="-1"/>
                <w:numId w:val="0"/>
              </w:numPr>
              <w:spacing w:line="240" w:lineRule="auto"/>
              <w:rPr>
                <w:rFonts w:hint="eastAsia"/>
              </w:rPr>
            </w:pPr>
            <w:r>
              <w:rPr>
                <w:rFonts w:hint="eastAsia"/>
              </w:rPr>
              <w:t>1、供应商需提供近3年（2019年1月1日至今）类似业绩【提供合同关键页（金额页、内容页、盖章页、日期页等（复印件）、中标通知书或银行进帐单（银行电子回单带有电子回单专用章字样），每个得2分，最高8分。未提供或内容模糊不清的，其业绩不予认定。】</w:t>
            </w:r>
          </w:p>
          <w:p>
            <w:pPr>
              <w:numPr>
                <w:ilvl w:val="-1"/>
                <w:numId w:val="0"/>
              </w:numPr>
            </w:pPr>
            <w:r>
              <w:rPr>
                <w:rFonts w:hint="eastAsia"/>
                <w:lang w:val="en-US" w:eastAsia="zh-CN"/>
              </w:rPr>
              <w:t>2、</w:t>
            </w:r>
            <w:r>
              <w:rPr>
                <w:rFonts w:hint="eastAsia"/>
              </w:rPr>
              <w:t>所提供业绩中每提供一份具有甲方单位的考核意见或评价证明可多加1分，最多加2分。</w:t>
            </w:r>
            <w:r>
              <w:rPr>
                <w:rFonts w:hint="eastAsia"/>
                <w:b/>
                <w:bCs/>
                <w:spacing w:val="-1"/>
                <w:lang w:eastAsia="zh-CN"/>
              </w:rPr>
              <w:t>（</w:t>
            </w:r>
            <w:r>
              <w:rPr>
                <w:rFonts w:hint="eastAsia"/>
                <w:b/>
                <w:bCs/>
                <w:spacing w:val="-1"/>
                <w:lang w:val="en-US" w:eastAsia="zh-CN"/>
              </w:rPr>
              <w:t>原件备查）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5" w:hRule="atLeast"/>
          <w:jc w:val="center"/>
        </w:trPr>
        <w:tc>
          <w:tcPr>
            <w:tcW w:w="825"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
                <w:szCs w:val="21"/>
              </w:rPr>
            </w:pPr>
            <w:r>
              <w:rPr>
                <w:rFonts w:hint="eastAsia" w:cs="Times New Roman"/>
                <w:b/>
                <w:szCs w:val="21"/>
              </w:rPr>
              <w:t>2</w:t>
            </w:r>
          </w:p>
        </w:tc>
        <w:tc>
          <w:tcPr>
            <w:tcW w:w="18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spacing w:val="-6"/>
              </w:rPr>
            </w:pPr>
            <w:r>
              <w:rPr>
                <w:rFonts w:hint="eastAsia"/>
                <w:spacing w:val="-6"/>
              </w:rPr>
              <w:t>管理体系认证</w:t>
            </w:r>
          </w:p>
          <w:p>
            <w:pPr>
              <w:adjustRightInd w:val="0"/>
              <w:spacing w:line="360" w:lineRule="auto"/>
              <w:jc w:val="center"/>
              <w:textAlignment w:val="baseline"/>
              <w:rPr>
                <w:szCs w:val="21"/>
              </w:rPr>
            </w:pPr>
          </w:p>
        </w:tc>
        <w:tc>
          <w:tcPr>
            <w:tcW w:w="93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szCs w:val="21"/>
              </w:rPr>
            </w:pPr>
            <w:r>
              <w:rPr>
                <w:rFonts w:hint="eastAsia"/>
                <w:spacing w:val="-6"/>
              </w:rPr>
              <w:t>4</w:t>
            </w:r>
          </w:p>
        </w:tc>
        <w:tc>
          <w:tcPr>
            <w:tcW w:w="587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textAlignment w:val="baseline"/>
            </w:pPr>
            <w:r>
              <w:rPr>
                <w:rFonts w:hint="eastAsia"/>
              </w:rPr>
              <w:t>投标人提供有效的（1）质量管理体系认证（IS09001系列）（2）食品安全管理体系认证（HACCP/ISO22000）（3）环境管理体系认证（IS01400</w:t>
            </w:r>
            <w:r>
              <w:rPr>
                <w:rFonts w:hint="eastAsia"/>
                <w:lang w:val="en-US" w:eastAsia="zh-CN"/>
              </w:rPr>
              <w:t>1</w:t>
            </w:r>
            <w:r>
              <w:rPr>
                <w:rFonts w:hint="eastAsia"/>
              </w:rPr>
              <w:t>系列）（4）职业健康安全管理体系认证（OHSAS18001系列）以上证明文件（复印件加盖公章），每提供一个证书</w:t>
            </w:r>
            <w:r>
              <w:rPr>
                <w:rFonts w:hint="eastAsia"/>
                <w:lang w:val="en-US" w:eastAsia="zh-CN"/>
              </w:rPr>
              <w:t>得</w:t>
            </w:r>
            <w:r>
              <w:rPr>
                <w:rFonts w:hint="eastAsia"/>
              </w:rPr>
              <w:t>1分，满分4分，不提供不得分。</w:t>
            </w:r>
            <w:r>
              <w:rPr>
                <w:rFonts w:hint="eastAsia"/>
                <w:b/>
                <w:bCs/>
              </w:rPr>
              <w:t>（原件备查）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825" w:type="dxa"/>
            <w:tcBorders>
              <w:top w:val="single" w:color="auto" w:sz="4" w:space="0"/>
              <w:left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
                <w:szCs w:val="21"/>
              </w:rPr>
            </w:pPr>
            <w:r>
              <w:rPr>
                <w:rFonts w:hint="eastAsia" w:cs="Times New Roman"/>
                <w:b/>
                <w:szCs w:val="21"/>
              </w:rPr>
              <w:t>3</w:t>
            </w:r>
          </w:p>
        </w:tc>
        <w:tc>
          <w:tcPr>
            <w:tcW w:w="1816" w:type="dxa"/>
            <w:tcBorders>
              <w:top w:val="single" w:color="auto" w:sz="4" w:space="0"/>
              <w:left w:val="single" w:color="auto" w:sz="4" w:space="0"/>
              <w:right w:val="single" w:color="auto" w:sz="4" w:space="0"/>
            </w:tcBorders>
            <w:tcMar>
              <w:top w:w="0" w:type="dxa"/>
              <w:left w:w="28" w:type="dxa"/>
              <w:bottom w:w="0" w:type="dxa"/>
              <w:right w:w="28" w:type="dxa"/>
            </w:tcMar>
            <w:vAlign w:val="center"/>
          </w:tcPr>
          <w:p>
            <w:pPr>
              <w:pStyle w:val="125"/>
              <w:ind w:left="159" w:right="150"/>
              <w:jc w:val="center"/>
              <w:rPr>
                <w:rFonts w:cs="Times New Roman"/>
              </w:rPr>
            </w:pPr>
            <w:r>
              <w:t>企业综合实力</w:t>
            </w:r>
          </w:p>
        </w:tc>
        <w:tc>
          <w:tcPr>
            <w:tcW w:w="93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rPr>
            </w:pPr>
            <w:r>
              <w:rPr>
                <w:rFonts w:hint="eastAsia" w:cs="Times New Roman"/>
                <w:bCs/>
              </w:rPr>
              <w:t>6</w:t>
            </w:r>
          </w:p>
        </w:tc>
        <w:tc>
          <w:tcPr>
            <w:tcW w:w="587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rPr>
                <w:rFonts w:asciiTheme="minorEastAsia" w:hAnsiTheme="minorEastAsia" w:eastAsiaTheme="minorEastAsia" w:cstheme="minorEastAsia"/>
              </w:rPr>
            </w:pPr>
            <w:r>
              <w:rPr>
                <w:rFonts w:hint="eastAsia" w:asciiTheme="minorEastAsia" w:hAnsiTheme="minorEastAsia" w:eastAsiaTheme="minorEastAsia" w:cstheme="minorEastAsia"/>
              </w:rPr>
              <w:t>1、根据</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（1）配备的符合食品服务行业需求的组织架构各岗位人员情况（2）厂家的设备设施配置，仓储设备设施，卫生设施等情况；内容全面得4分；每缺少一项</w:t>
            </w:r>
            <w:r>
              <w:rPr>
                <w:rFonts w:hint="eastAsia" w:asciiTheme="minorEastAsia" w:hAnsiTheme="minorEastAsia" w:eastAsiaTheme="minorEastAsia" w:cstheme="minorEastAsia"/>
                <w:lang w:val="en-US" w:eastAsia="zh-CN"/>
              </w:rPr>
              <w:t>或内容不全</w:t>
            </w:r>
            <w:r>
              <w:rPr>
                <w:rFonts w:hint="eastAsia" w:asciiTheme="minorEastAsia" w:hAnsiTheme="minorEastAsia" w:eastAsiaTheme="minorEastAsia" w:cstheme="minorEastAsia"/>
              </w:rPr>
              <w:t>扣2分。</w:t>
            </w:r>
          </w:p>
          <w:p>
            <w:pPr>
              <w:rPr>
                <w:bCs/>
              </w:rPr>
            </w:pPr>
            <w:r>
              <w:rPr>
                <w:rFonts w:hint="eastAsia" w:asciiTheme="minorEastAsia" w:hAnsiTheme="minorEastAsia" w:eastAsiaTheme="minorEastAsia" w:cstheme="minorEastAsia"/>
              </w:rPr>
              <w:t>2、厂商具有国家级优秀称号，或产品具有国家级绿色认证得2分。不提供不得分。</w:t>
            </w:r>
          </w:p>
        </w:tc>
      </w:tr>
    </w:tbl>
    <w:p>
      <w:pPr>
        <w:spacing w:line="360" w:lineRule="auto"/>
        <w:rPr>
          <w:rFonts w:ascii="Tahoma" w:hAnsi="Tahoma" w:cs="Tahoma"/>
          <w:b/>
          <w:bCs/>
          <w:szCs w:val="21"/>
        </w:rPr>
      </w:pPr>
      <w:r>
        <w:rPr>
          <w:rFonts w:ascii="Tahoma" w:hAnsi="Tahoma" w:cs="Tahoma"/>
          <w:b/>
          <w:bCs/>
          <w:szCs w:val="21"/>
        </w:rPr>
        <w:t>3.4.2技术部分</w:t>
      </w:r>
    </w:p>
    <w:p>
      <w:pPr>
        <w:numPr>
          <w:ilvl w:val="0"/>
          <w:numId w:val="5"/>
        </w:numPr>
        <w:adjustRightInd w:val="0"/>
        <w:snapToGrid w:val="0"/>
        <w:spacing w:line="360" w:lineRule="auto"/>
        <w:ind w:right="312"/>
        <w:rPr>
          <w:rFonts w:ascii="Tahoma" w:hAnsi="Tahoma" w:cs="Tahoma"/>
          <w:b/>
          <w:bCs/>
          <w:szCs w:val="21"/>
        </w:rPr>
      </w:pPr>
      <w:r>
        <w:rPr>
          <w:rFonts w:ascii="Tahoma" w:hAnsi="Tahoma" w:cs="Tahoma"/>
          <w:b/>
          <w:bCs/>
          <w:szCs w:val="21"/>
        </w:rPr>
        <w:t>技术部分评分标准（满分</w:t>
      </w:r>
      <w:r>
        <w:rPr>
          <w:rFonts w:hint="eastAsia" w:ascii="Tahoma" w:hAnsi="Tahoma" w:cs="Tahoma"/>
          <w:b/>
          <w:bCs/>
          <w:szCs w:val="21"/>
        </w:rPr>
        <w:t>50</w:t>
      </w:r>
      <w:r>
        <w:rPr>
          <w:rFonts w:ascii="Tahoma" w:hAnsi="Tahoma" w:cs="Tahoma"/>
          <w:b/>
          <w:bCs/>
          <w:szCs w:val="21"/>
        </w:rPr>
        <w:t>分）</w:t>
      </w:r>
    </w:p>
    <w:tbl>
      <w:tblPr>
        <w:tblStyle w:val="33"/>
        <w:tblpPr w:leftFromText="180" w:rightFromText="180" w:vertAnchor="text" w:horzAnchor="page" w:tblpX="1537" w:tblpY="548"/>
        <w:tblOverlap w:val="never"/>
        <w:tblW w:w="903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418"/>
        <w:gridCol w:w="850"/>
        <w:gridCol w:w="59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7" w:type="dxa"/>
            <w:tcBorders>
              <w:top w:val="single" w:color="auto" w:sz="4" w:space="0"/>
              <w:left w:val="single" w:color="auto" w:sz="4" w:space="0"/>
              <w:bottom w:val="single" w:color="auto" w:sz="4" w:space="0"/>
              <w:right w:val="single" w:color="auto" w:sz="4" w:space="0"/>
            </w:tcBorders>
          </w:tcPr>
          <w:p>
            <w:pPr>
              <w:adjustRightInd w:val="0"/>
              <w:spacing w:line="360" w:lineRule="auto"/>
              <w:jc w:val="center"/>
              <w:textAlignment w:val="baseline"/>
              <w:rPr>
                <w:rFonts w:cs="Times New Roman"/>
                <w:b/>
              </w:rPr>
            </w:pPr>
            <w:r>
              <w:rPr>
                <w:rFonts w:hint="eastAsia" w:cs="Times New Roman"/>
                <w:b/>
              </w:rPr>
              <w:t>序号</w:t>
            </w:r>
          </w:p>
        </w:tc>
        <w:tc>
          <w:tcPr>
            <w:tcW w:w="1418" w:type="dxa"/>
            <w:tcBorders>
              <w:top w:val="single" w:color="auto" w:sz="4" w:space="0"/>
              <w:left w:val="single" w:color="auto" w:sz="4" w:space="0"/>
              <w:bottom w:val="single" w:color="auto" w:sz="4" w:space="0"/>
              <w:right w:val="single" w:color="auto" w:sz="4" w:space="0"/>
            </w:tcBorders>
          </w:tcPr>
          <w:p>
            <w:pPr>
              <w:adjustRightInd w:val="0"/>
              <w:spacing w:line="360" w:lineRule="auto"/>
              <w:jc w:val="center"/>
              <w:textAlignment w:val="baseline"/>
              <w:rPr>
                <w:rFonts w:cs="Times New Roman"/>
                <w:b/>
              </w:rPr>
            </w:pPr>
            <w:r>
              <w:rPr>
                <w:rFonts w:hint="eastAsia" w:cs="Times New Roman"/>
                <w:b/>
              </w:rPr>
              <w:t>评审项目</w:t>
            </w:r>
          </w:p>
        </w:tc>
        <w:tc>
          <w:tcPr>
            <w:tcW w:w="850" w:type="dxa"/>
            <w:tcBorders>
              <w:top w:val="single" w:color="auto" w:sz="4" w:space="0"/>
              <w:left w:val="single" w:color="auto" w:sz="4" w:space="0"/>
              <w:bottom w:val="single" w:color="auto" w:sz="4" w:space="0"/>
              <w:right w:val="single" w:color="auto" w:sz="4" w:space="0"/>
            </w:tcBorders>
          </w:tcPr>
          <w:p>
            <w:pPr>
              <w:adjustRightInd w:val="0"/>
              <w:spacing w:line="360" w:lineRule="auto"/>
              <w:jc w:val="center"/>
              <w:textAlignment w:val="baseline"/>
              <w:rPr>
                <w:rFonts w:cs="Times New Roman"/>
                <w:b/>
              </w:rPr>
            </w:pPr>
            <w:r>
              <w:rPr>
                <w:rFonts w:hint="eastAsia" w:cs="Times New Roman"/>
                <w:b/>
              </w:rPr>
              <w:t>分值</w:t>
            </w:r>
          </w:p>
        </w:tc>
        <w:tc>
          <w:tcPr>
            <w:tcW w:w="5954" w:type="dxa"/>
            <w:tcBorders>
              <w:top w:val="single" w:color="auto" w:sz="4" w:space="0"/>
              <w:left w:val="single" w:color="auto" w:sz="4" w:space="0"/>
              <w:bottom w:val="single" w:color="auto" w:sz="4" w:space="0"/>
              <w:right w:val="single" w:color="auto" w:sz="4" w:space="0"/>
            </w:tcBorders>
          </w:tcPr>
          <w:p>
            <w:pPr>
              <w:adjustRightInd w:val="0"/>
              <w:spacing w:line="360" w:lineRule="auto"/>
              <w:jc w:val="center"/>
              <w:textAlignment w:val="baseline"/>
              <w:rPr>
                <w:rFonts w:cs="Times New Roman"/>
                <w:b/>
              </w:rPr>
            </w:pPr>
            <w:r>
              <w:rPr>
                <w:rFonts w:hint="eastAsia" w:cs="Times New Roman"/>
                <w:b/>
              </w:rPr>
              <w:t>评审内容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Cs/>
              </w:rPr>
            </w:pPr>
            <w:r>
              <w:rPr>
                <w:rFonts w:hint="eastAsia" w:cs="Times New Roman"/>
                <w:bCs/>
              </w:rPr>
              <w:t>1</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pPr>
            <w:r>
              <w:rPr>
                <w:rFonts w:hint="eastAsia" w:cs="Times New Roman"/>
              </w:rPr>
              <w:t>配送车辆</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eastAsia="宋体" w:cs="Times New Roman"/>
                <w:bCs/>
                <w:lang w:eastAsia="zh-CN"/>
              </w:rPr>
            </w:pPr>
            <w:r>
              <w:rPr>
                <w:rFonts w:hint="eastAsia" w:cs="Times New Roman"/>
                <w:bCs/>
                <w:lang w:val="en-US" w:eastAsia="zh-CN"/>
              </w:rPr>
              <w:t>2</w:t>
            </w:r>
          </w:p>
        </w:tc>
        <w:tc>
          <w:tcPr>
            <w:tcW w:w="5954" w:type="dxa"/>
            <w:tcBorders>
              <w:top w:val="single" w:color="auto" w:sz="4" w:space="0"/>
              <w:left w:val="single" w:color="auto" w:sz="4" w:space="0"/>
              <w:bottom w:val="single" w:color="auto" w:sz="4" w:space="0"/>
              <w:right w:val="single" w:color="auto" w:sz="4" w:space="0"/>
            </w:tcBorders>
          </w:tcPr>
          <w:p>
            <w:pPr>
              <w:adjustRightInd w:val="0"/>
              <w:spacing w:line="360" w:lineRule="exact"/>
              <w:textAlignment w:val="baseline"/>
              <w:rPr>
                <w:rFonts w:cs="Times New Roman"/>
              </w:rPr>
            </w:pPr>
            <w:r>
              <w:rPr>
                <w:rFonts w:hint="eastAsia" w:cs="Times New Roman"/>
              </w:rPr>
              <w:t>根据供应商拟用于本项目的配送车辆进行评分：有一辆的得1分；每增加</w:t>
            </w:r>
            <w:r>
              <w:rPr>
                <w:rFonts w:hint="eastAsia" w:cs="Times New Roman"/>
                <w:lang w:val="en-US" w:eastAsia="zh-CN"/>
              </w:rPr>
              <w:t>一</w:t>
            </w:r>
            <w:r>
              <w:rPr>
                <w:rFonts w:hint="eastAsia" w:cs="Times New Roman"/>
              </w:rPr>
              <w:t>辆加1分，满分</w:t>
            </w:r>
            <w:r>
              <w:rPr>
                <w:rFonts w:hint="eastAsia" w:cs="Times New Roman"/>
                <w:lang w:val="en-US" w:eastAsia="zh-CN"/>
              </w:rPr>
              <w:t>2</w:t>
            </w:r>
            <w:r>
              <w:rPr>
                <w:rFonts w:hint="eastAsia" w:cs="Times New Roman"/>
              </w:rPr>
              <w:t>分；</w:t>
            </w:r>
          </w:p>
          <w:p>
            <w:pPr>
              <w:adjustRightInd w:val="0"/>
              <w:spacing w:line="360" w:lineRule="exact"/>
              <w:textAlignment w:val="baseline"/>
            </w:pPr>
            <w:r>
              <w:rPr>
                <w:rFonts w:hint="eastAsia" w:cs="Times New Roman"/>
              </w:rPr>
              <w:t>评分认定标准：（1）自有车辆提供机动车行驶证及车辆登记证复印件；（2）租赁车辆的须提供租赁合同；不提供者或者上述材料不清晰不完整无法辨识的本项不得分。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Cs/>
              </w:rPr>
            </w:pPr>
            <w:r>
              <w:rPr>
                <w:rFonts w:hint="eastAsia" w:cs="Times New Roman"/>
                <w:bCs/>
              </w:rPr>
              <w:t>2</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rPr>
            </w:pPr>
            <w:r>
              <w:rPr>
                <w:rFonts w:hint="eastAsia" w:cs="Times New Roman"/>
              </w:rPr>
              <w:t>配送人员</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eastAsia="宋体" w:cs="Times New Roman"/>
                <w:bCs/>
                <w:lang w:eastAsia="zh-CN"/>
              </w:rPr>
            </w:pPr>
            <w:r>
              <w:rPr>
                <w:rFonts w:hint="eastAsia" w:cs="Times New Roman"/>
                <w:bCs/>
                <w:lang w:val="en-US" w:eastAsia="zh-CN"/>
              </w:rPr>
              <w:t>4</w:t>
            </w:r>
          </w:p>
        </w:tc>
        <w:tc>
          <w:tcPr>
            <w:tcW w:w="5954" w:type="dxa"/>
            <w:tcBorders>
              <w:top w:val="single" w:color="auto" w:sz="4" w:space="0"/>
              <w:left w:val="single" w:color="auto" w:sz="4" w:space="0"/>
              <w:bottom w:val="single" w:color="auto" w:sz="4" w:space="0"/>
              <w:right w:val="single" w:color="auto" w:sz="4" w:space="0"/>
            </w:tcBorders>
          </w:tcPr>
          <w:p>
            <w:pPr>
              <w:adjustRightInd w:val="0"/>
              <w:spacing w:line="360" w:lineRule="exact"/>
              <w:textAlignment w:val="baseline"/>
              <w:rPr>
                <w:rFonts w:hint="eastAsia" w:cs="Times New Roman"/>
              </w:rPr>
            </w:pPr>
            <w:r>
              <w:rPr>
                <w:rFonts w:hint="eastAsia" w:cs="Times New Roman"/>
              </w:rPr>
              <w:t>供应商拟投入本项目的配送人员，5人及以上得</w:t>
            </w:r>
            <w:r>
              <w:rPr>
                <w:rFonts w:hint="eastAsia" w:cs="Times New Roman"/>
                <w:lang w:val="en-US" w:eastAsia="zh-CN"/>
              </w:rPr>
              <w:t>4</w:t>
            </w:r>
            <w:r>
              <w:rPr>
                <w:rFonts w:hint="eastAsia" w:cs="Times New Roman"/>
              </w:rPr>
              <w:t>分，3-4人得</w:t>
            </w:r>
            <w:r>
              <w:rPr>
                <w:rFonts w:hint="eastAsia" w:cs="Times New Roman"/>
                <w:lang w:val="en-US" w:eastAsia="zh-CN"/>
              </w:rPr>
              <w:t>5</w:t>
            </w:r>
            <w:r>
              <w:rPr>
                <w:rFonts w:hint="eastAsia" w:cs="Times New Roman"/>
              </w:rPr>
              <w:t>分，1-2人得</w:t>
            </w:r>
            <w:r>
              <w:rPr>
                <w:rFonts w:hint="eastAsia" w:cs="Times New Roman"/>
                <w:lang w:val="en-US" w:eastAsia="zh-CN"/>
              </w:rPr>
              <w:t>2</w:t>
            </w:r>
            <w:r>
              <w:rPr>
                <w:rFonts w:hint="eastAsia" w:cs="Times New Roman"/>
              </w:rPr>
              <w:t>分，未提供或者证明资料不全不得分。</w:t>
            </w:r>
          </w:p>
          <w:p>
            <w:pPr>
              <w:adjustRightInd w:val="0"/>
              <w:spacing w:line="360" w:lineRule="exact"/>
              <w:textAlignment w:val="baseline"/>
              <w:rPr>
                <w:rFonts w:cs="Times New Roman"/>
              </w:rPr>
            </w:pPr>
            <w:r>
              <w:rPr>
                <w:rFonts w:hint="eastAsia" w:cs="Times New Roman"/>
              </w:rPr>
              <w:t>须提供以上人员的健康证、劳动合同</w:t>
            </w:r>
            <w:r>
              <w:rPr>
                <w:rFonts w:hint="eastAsia" w:cs="Times New Roman"/>
                <w:lang w:eastAsia="zh-CN"/>
              </w:rPr>
              <w:t>、</w:t>
            </w:r>
            <w:r>
              <w:rPr>
                <w:rFonts w:hint="eastAsia" w:cs="Times New Roman"/>
              </w:rPr>
              <w:t>投标截止时间前六月内任一月的社保缴纳证明材料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1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Cs/>
              </w:rPr>
            </w:pPr>
            <w:r>
              <w:rPr>
                <w:rFonts w:hint="eastAsia" w:cs="Times New Roman"/>
                <w:bCs/>
              </w:rPr>
              <w:t>3</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rPr>
            </w:pPr>
            <w:r>
              <w:rPr>
                <w:rFonts w:hint="eastAsia" w:cs="Times New Roman"/>
              </w:rPr>
              <w:t>仓储能力</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eastAsia="宋体" w:cs="Times New Roman"/>
                <w:bCs/>
                <w:lang w:eastAsia="zh-CN"/>
              </w:rPr>
            </w:pPr>
            <w:r>
              <w:rPr>
                <w:rFonts w:hint="eastAsia" w:cs="Times New Roman"/>
                <w:bCs/>
                <w:lang w:val="en-US" w:eastAsia="zh-CN"/>
              </w:rPr>
              <w:t>3</w:t>
            </w:r>
          </w:p>
        </w:tc>
        <w:tc>
          <w:tcPr>
            <w:tcW w:w="5954" w:type="dxa"/>
            <w:tcBorders>
              <w:top w:val="single" w:color="auto" w:sz="4" w:space="0"/>
              <w:left w:val="single" w:color="auto" w:sz="4" w:space="0"/>
              <w:bottom w:val="single" w:color="auto" w:sz="4" w:space="0"/>
              <w:right w:val="single" w:color="auto" w:sz="4" w:space="0"/>
            </w:tcBorders>
          </w:tcPr>
          <w:p>
            <w:pPr>
              <w:adjustRightInd w:val="0"/>
              <w:spacing w:line="360" w:lineRule="exact"/>
              <w:textAlignment w:val="baseline"/>
              <w:rPr>
                <w:bCs/>
              </w:rPr>
            </w:pPr>
            <w:r>
              <w:rPr>
                <w:rFonts w:hint="eastAsia"/>
                <w:bCs/>
              </w:rPr>
              <w:t>供应商</w:t>
            </w:r>
            <w:r>
              <w:rPr>
                <w:rFonts w:hint="eastAsia" w:cs="Times New Roman"/>
              </w:rPr>
              <w:t>在项目实施地点</w:t>
            </w:r>
            <w:r>
              <w:rPr>
                <w:rFonts w:hint="eastAsia"/>
                <w:bCs/>
              </w:rPr>
              <w:t>的仓储能力得</w:t>
            </w:r>
            <w:r>
              <w:rPr>
                <w:rFonts w:hint="eastAsia"/>
                <w:bCs/>
                <w:lang w:val="en-US" w:eastAsia="zh-CN"/>
              </w:rPr>
              <w:t>3</w:t>
            </w:r>
            <w:r>
              <w:rPr>
                <w:rFonts w:hint="eastAsia"/>
                <w:bCs/>
              </w:rPr>
              <w:t>分，否则不得分。自有仓库库须提供产权证明，如是租赁仓储，则提供租赁合同复印件，不提供不得分。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rPr>
            </w:pPr>
            <w:r>
              <w:rPr>
                <w:rFonts w:cs="Times New Roman"/>
                <w:bCs/>
              </w:rPr>
              <w:t>4</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ahoma"/>
                <w:bCs/>
              </w:rPr>
            </w:pPr>
            <w:r>
              <w:rPr>
                <w:rFonts w:cs="Tahoma"/>
                <w:bCs/>
              </w:rPr>
              <w:t>货物</w:t>
            </w:r>
            <w:r>
              <w:rPr>
                <w:rFonts w:hint="eastAsia" w:cs="Tahoma"/>
                <w:bCs/>
              </w:rPr>
              <w:t>配送</w:t>
            </w:r>
          </w:p>
          <w:p>
            <w:pPr>
              <w:adjustRightInd w:val="0"/>
              <w:spacing w:line="360" w:lineRule="exact"/>
              <w:jc w:val="center"/>
              <w:textAlignment w:val="baseline"/>
              <w:rPr>
                <w:rFonts w:cs="Times New Roman"/>
              </w:rPr>
            </w:pPr>
            <w:r>
              <w:rPr>
                <w:rFonts w:hint="eastAsia" w:cs="Tahoma"/>
                <w:bCs/>
              </w:rPr>
              <w:t>方案</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imes New Roman"/>
              </w:rPr>
            </w:pPr>
            <w:r>
              <w:rPr>
                <w:rFonts w:cs="Times New Roman"/>
              </w:rPr>
              <w:t>9</w:t>
            </w:r>
          </w:p>
        </w:tc>
        <w:tc>
          <w:tcPr>
            <w:tcW w:w="59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adjustRightInd w:val="0"/>
              <w:spacing w:line="360" w:lineRule="exact"/>
              <w:textAlignment w:val="baseline"/>
              <w:rPr>
                <w:rFonts w:cs="Tahoma"/>
                <w:bCs/>
              </w:rPr>
            </w:pPr>
            <w:r>
              <w:rPr>
                <w:rFonts w:cs="Tahoma"/>
                <w:bCs/>
              </w:rPr>
              <w:t>货物</w:t>
            </w:r>
            <w:r>
              <w:rPr>
                <w:rFonts w:hint="eastAsia" w:cs="Tahoma"/>
                <w:bCs/>
              </w:rPr>
              <w:t>配送方案：</w:t>
            </w:r>
          </w:p>
          <w:p>
            <w:pPr>
              <w:adjustRightInd w:val="0"/>
              <w:spacing w:line="360" w:lineRule="exact"/>
              <w:textAlignment w:val="baseline"/>
              <w:rPr>
                <w:rFonts w:cs="Tahoma"/>
                <w:bCs/>
              </w:rPr>
            </w:pPr>
            <w:r>
              <w:rPr>
                <w:rFonts w:hint="eastAsia" w:cs="Tahoma"/>
                <w:bCs/>
              </w:rPr>
              <w:t>（1）供应商对货物的运输的具体方案；</w:t>
            </w:r>
          </w:p>
          <w:p>
            <w:pPr>
              <w:adjustRightInd w:val="0"/>
              <w:spacing w:line="360" w:lineRule="exact"/>
              <w:textAlignment w:val="baseline"/>
              <w:rPr>
                <w:rFonts w:cs="Tahoma"/>
                <w:bCs/>
              </w:rPr>
            </w:pPr>
            <w:r>
              <w:rPr>
                <w:rFonts w:cs="Tahoma"/>
                <w:bCs/>
              </w:rPr>
              <w:t>方案思路清晰、措施全面、合理性</w:t>
            </w:r>
            <w:r>
              <w:rPr>
                <w:rFonts w:hint="eastAsia" w:cs="Tahoma"/>
                <w:bCs/>
              </w:rPr>
              <w:t>、</w:t>
            </w:r>
            <w:r>
              <w:rPr>
                <w:rFonts w:cs="Tahoma"/>
                <w:bCs/>
              </w:rPr>
              <w:t>可执行性强的</w:t>
            </w:r>
            <w:r>
              <w:rPr>
                <w:rFonts w:hint="eastAsia" w:cs="Tahoma"/>
                <w:bCs/>
              </w:rPr>
              <w:t>，得3分；每缺少一项或内容不全的扣</w:t>
            </w:r>
            <w:r>
              <w:rPr>
                <w:rFonts w:hint="eastAsia" w:cs="Tahoma"/>
                <w:bCs/>
                <w:lang w:val="en-US" w:eastAsia="zh-CN"/>
              </w:rPr>
              <w:t>1</w:t>
            </w:r>
            <w:r>
              <w:rPr>
                <w:rFonts w:hint="eastAsia" w:cs="Tahoma"/>
                <w:bCs/>
              </w:rPr>
              <w:t>分</w:t>
            </w:r>
          </w:p>
          <w:p>
            <w:pPr>
              <w:adjustRightInd w:val="0"/>
              <w:spacing w:line="360" w:lineRule="exact"/>
              <w:textAlignment w:val="baseline"/>
              <w:rPr>
                <w:rFonts w:cs="Tahoma"/>
                <w:bCs/>
              </w:rPr>
            </w:pPr>
            <w:r>
              <w:rPr>
                <w:rFonts w:hint="eastAsia" w:cs="Tahoma"/>
                <w:bCs/>
              </w:rPr>
              <w:t>（2）供应商对货物配送的具体方案；</w:t>
            </w:r>
          </w:p>
          <w:p>
            <w:pPr>
              <w:adjustRightInd w:val="0"/>
              <w:spacing w:line="360" w:lineRule="exact"/>
              <w:textAlignment w:val="baseline"/>
              <w:rPr>
                <w:rFonts w:cs="Tahoma"/>
                <w:bCs/>
              </w:rPr>
            </w:pPr>
            <w:r>
              <w:rPr>
                <w:rFonts w:cs="Tahoma"/>
                <w:bCs/>
              </w:rPr>
              <w:t>方案思路清晰、措施全面、合理性</w:t>
            </w:r>
            <w:r>
              <w:rPr>
                <w:rFonts w:hint="eastAsia" w:cs="Tahoma"/>
                <w:bCs/>
              </w:rPr>
              <w:t>、</w:t>
            </w:r>
            <w:r>
              <w:rPr>
                <w:rFonts w:cs="Tahoma"/>
                <w:bCs/>
              </w:rPr>
              <w:t>可执行性强的</w:t>
            </w:r>
            <w:r>
              <w:rPr>
                <w:rFonts w:hint="eastAsia" w:cs="Tahoma"/>
                <w:bCs/>
              </w:rPr>
              <w:t>，得3分；每缺少一项或内容不全的扣</w:t>
            </w:r>
            <w:r>
              <w:rPr>
                <w:rFonts w:hint="eastAsia" w:cs="Tahoma"/>
                <w:bCs/>
                <w:lang w:val="en-US" w:eastAsia="zh-CN"/>
              </w:rPr>
              <w:t>1</w:t>
            </w:r>
            <w:r>
              <w:rPr>
                <w:rFonts w:hint="eastAsia" w:cs="Tahoma"/>
                <w:bCs/>
              </w:rPr>
              <w:t>分</w:t>
            </w:r>
          </w:p>
          <w:p>
            <w:pPr>
              <w:adjustRightInd w:val="0"/>
              <w:spacing w:line="360" w:lineRule="exact"/>
              <w:textAlignment w:val="baseline"/>
              <w:rPr>
                <w:rFonts w:cs="Tahoma"/>
                <w:bCs/>
              </w:rPr>
            </w:pPr>
            <w:r>
              <w:rPr>
                <w:rFonts w:hint="eastAsia" w:cs="Tahoma"/>
                <w:bCs/>
              </w:rPr>
              <w:t>（3）供应商对货物装卸的具体方案；</w:t>
            </w:r>
          </w:p>
          <w:p>
            <w:pPr>
              <w:adjustRightInd w:val="0"/>
              <w:spacing w:line="360" w:lineRule="exact"/>
              <w:textAlignment w:val="baseline"/>
              <w:rPr>
                <w:rFonts w:cs="Tahoma"/>
                <w:bCs/>
              </w:rPr>
            </w:pPr>
            <w:r>
              <w:rPr>
                <w:rFonts w:cs="Tahoma"/>
                <w:bCs/>
              </w:rPr>
              <w:t>方案思路清晰、措施全面、合理性强、可执行性强的</w:t>
            </w:r>
            <w:r>
              <w:rPr>
                <w:rFonts w:hint="eastAsia" w:cs="Tahoma"/>
                <w:bCs/>
              </w:rPr>
              <w:t>，得3分；每缺少一项或内容不全的扣</w:t>
            </w:r>
            <w:r>
              <w:rPr>
                <w:rFonts w:hint="eastAsia" w:cs="Tahoma"/>
                <w:bCs/>
                <w:lang w:val="en-US" w:eastAsia="zh-CN"/>
              </w:rPr>
              <w:t>1</w:t>
            </w:r>
            <w:r>
              <w:rPr>
                <w:rFonts w:hint="eastAsia" w:cs="Tahoma"/>
                <w:bCs/>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rPr>
            </w:pPr>
            <w:r>
              <w:rPr>
                <w:rFonts w:cs="Times New Roman"/>
                <w:bCs/>
              </w:rPr>
              <w:t>5</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ahoma"/>
                <w:bCs/>
              </w:rPr>
            </w:pPr>
            <w:r>
              <w:rPr>
                <w:rFonts w:hint="eastAsia" w:cs="Times New Roman"/>
              </w:rPr>
              <w:t>安全质量</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imes New Roman"/>
              </w:rPr>
            </w:pPr>
            <w:r>
              <w:rPr>
                <w:rFonts w:hint="eastAsia" w:cs="Times New Roman"/>
              </w:rPr>
              <w:t>8</w:t>
            </w:r>
          </w:p>
        </w:tc>
        <w:tc>
          <w:tcPr>
            <w:tcW w:w="59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adjustRightInd w:val="0"/>
              <w:spacing w:line="360" w:lineRule="exact"/>
              <w:textAlignment w:val="baseline"/>
              <w:rPr>
                <w:rFonts w:cs="Times New Roman"/>
              </w:rPr>
            </w:pPr>
            <w:r>
              <w:rPr>
                <w:rFonts w:hint="eastAsia" w:cs="Times New Roman"/>
              </w:rPr>
              <w:t>（1）针对质量安全控制的操作流程、下游控制流程的方案介绍。</w:t>
            </w:r>
          </w:p>
          <w:p>
            <w:pPr>
              <w:adjustRightInd w:val="0"/>
              <w:spacing w:line="360" w:lineRule="exact"/>
              <w:textAlignment w:val="baseline"/>
              <w:rPr>
                <w:rFonts w:cs="Times New Roman"/>
              </w:rPr>
            </w:pPr>
            <w:r>
              <w:rPr>
                <w:rFonts w:cs="Tahoma"/>
                <w:bCs/>
              </w:rPr>
              <w:t>方案思路清晰、措施全面、合理性强、可执行性强</w:t>
            </w:r>
            <w:r>
              <w:rPr>
                <w:rFonts w:hint="eastAsia" w:cs="Tahoma"/>
                <w:bCs/>
              </w:rPr>
              <w:t>，</w:t>
            </w:r>
            <w:r>
              <w:rPr>
                <w:rFonts w:hint="eastAsia" w:cs="Times New Roman"/>
              </w:rPr>
              <w:t>项目整体执行过程的安全较高效，对场地、物料、人员、运输等环节的协调能力较强，具有较为明确的可量化的目标，</w:t>
            </w:r>
          </w:p>
          <w:p>
            <w:pPr>
              <w:adjustRightInd w:val="0"/>
              <w:spacing w:line="360" w:lineRule="exact"/>
              <w:textAlignment w:val="baseline"/>
              <w:rPr>
                <w:rFonts w:cs="Times New Roman"/>
              </w:rPr>
            </w:pPr>
            <w:r>
              <w:rPr>
                <w:rFonts w:hint="eastAsia" w:cs="Cambria"/>
              </w:rPr>
              <w:t>得4分；每缺少一项或内容不全的扣</w:t>
            </w:r>
            <w:r>
              <w:rPr>
                <w:rFonts w:hint="eastAsia" w:cs="Cambria"/>
                <w:lang w:val="en-US" w:eastAsia="zh-CN"/>
              </w:rPr>
              <w:t>1</w:t>
            </w:r>
            <w:r>
              <w:rPr>
                <w:rFonts w:hint="eastAsia" w:cs="Cambria"/>
              </w:rPr>
              <w:t>分</w:t>
            </w:r>
          </w:p>
          <w:p>
            <w:pPr>
              <w:adjustRightInd w:val="0"/>
              <w:spacing w:line="360" w:lineRule="exact"/>
              <w:textAlignment w:val="baseline"/>
              <w:rPr>
                <w:rFonts w:cs="仿宋_GB2312"/>
              </w:rPr>
            </w:pPr>
            <w:r>
              <w:rPr>
                <w:rFonts w:hint="eastAsia" w:cs="Times New Roman"/>
              </w:rPr>
              <w:t>（2）针对安全控制的安全举措，</w:t>
            </w:r>
            <w:r>
              <w:rPr>
                <w:rFonts w:hint="eastAsia" w:cs="仿宋_GB2312"/>
              </w:rPr>
              <w:t>包括但不限于食品可追溯性、各类产品检测结果</w:t>
            </w:r>
            <w:r>
              <w:rPr>
                <w:rFonts w:hint="eastAsia"/>
                <w:bCs/>
                <w:szCs w:val="21"/>
              </w:rPr>
              <w:t>（例如农残、水份、重</w:t>
            </w:r>
            <w:r>
              <w:rPr>
                <w:rFonts w:hint="eastAsia"/>
                <w:szCs w:val="21"/>
              </w:rPr>
              <w:t>金属、非法添加剂、非转基因成分等等</w:t>
            </w:r>
            <w:r>
              <w:rPr>
                <w:rFonts w:hint="eastAsia" w:cs="仿宋_GB2312"/>
              </w:rPr>
              <w:t>）。</w:t>
            </w:r>
          </w:p>
          <w:p>
            <w:pPr>
              <w:adjustRightInd w:val="0"/>
              <w:spacing w:line="360" w:lineRule="exact"/>
              <w:textAlignment w:val="baseline"/>
              <w:rPr>
                <w:rFonts w:cs="Times New Roman"/>
              </w:rPr>
            </w:pPr>
            <w:r>
              <w:rPr>
                <w:rFonts w:cs="Tahoma"/>
                <w:bCs/>
              </w:rPr>
              <w:t>方案思路清晰、措施全面、合理性强、可执行性强</w:t>
            </w:r>
            <w:r>
              <w:rPr>
                <w:rFonts w:hint="eastAsia" w:cs="Tahoma"/>
                <w:bCs/>
              </w:rPr>
              <w:t>，</w:t>
            </w:r>
            <w:r>
              <w:rPr>
                <w:rFonts w:hint="eastAsia" w:cs="Times New Roman"/>
              </w:rPr>
              <w:t>以安全导向、体现较高的执行效率、产品检测齐全、产品安全系数高得4分；</w:t>
            </w:r>
            <w:r>
              <w:rPr>
                <w:rFonts w:hint="eastAsia" w:cs="Tahoma"/>
                <w:bCs/>
              </w:rPr>
              <w:t>每缺少一项或内容不全的扣</w:t>
            </w:r>
            <w:r>
              <w:rPr>
                <w:rFonts w:hint="eastAsia" w:cs="Tahoma"/>
                <w:bCs/>
                <w:lang w:val="en-US" w:eastAsia="zh-CN"/>
              </w:rPr>
              <w:t>1</w:t>
            </w:r>
            <w:r>
              <w:rPr>
                <w:rFonts w:hint="eastAsia" w:cs="Tahoma"/>
                <w:bCs/>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rPr>
            </w:pPr>
            <w:r>
              <w:rPr>
                <w:rFonts w:cs="Times New Roman"/>
                <w:bCs/>
              </w:rPr>
              <w:t>6</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imes New Roman"/>
              </w:rPr>
            </w:pPr>
            <w:r>
              <w:rPr>
                <w:rFonts w:hint="eastAsia" w:cs="Times New Roman"/>
              </w:rPr>
              <w:t>服务管控</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hint="eastAsia" w:eastAsia="宋体" w:cs="Times New Roman"/>
                <w:lang w:eastAsia="zh-CN"/>
              </w:rPr>
            </w:pPr>
            <w:r>
              <w:rPr>
                <w:rFonts w:hint="eastAsia" w:cs="Times New Roman"/>
                <w:lang w:val="en-US" w:eastAsia="zh-CN"/>
              </w:rPr>
              <w:t>8</w:t>
            </w:r>
          </w:p>
        </w:tc>
        <w:tc>
          <w:tcPr>
            <w:tcW w:w="59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adjustRightInd w:val="0"/>
              <w:spacing w:line="360" w:lineRule="exact"/>
              <w:textAlignment w:val="baseline"/>
              <w:rPr>
                <w:rFonts w:cs="Times New Roman"/>
              </w:rPr>
            </w:pPr>
            <w:r>
              <w:rPr>
                <w:rFonts w:hint="eastAsia" w:cs="Times New Roman"/>
              </w:rPr>
              <w:t>供应商按项目理解制定详细服务方案，如每个环节合理安排专职人员推进各项工作有序开展，保证项目按计划交付的基本承诺内容，包括不限于：订单、到货、退换、报账。</w:t>
            </w:r>
          </w:p>
          <w:p>
            <w:pPr>
              <w:adjustRightInd w:val="0"/>
              <w:spacing w:line="360" w:lineRule="exact"/>
              <w:textAlignment w:val="baseline"/>
              <w:rPr>
                <w:rFonts w:cs="Times New Roman"/>
              </w:rPr>
            </w:pPr>
            <w:r>
              <w:rPr>
                <w:rFonts w:hint="eastAsia" w:cs="Times New Roman"/>
              </w:rPr>
              <w:t>（1）订单环节</w:t>
            </w:r>
          </w:p>
          <w:p>
            <w:pPr>
              <w:adjustRightInd w:val="0"/>
              <w:spacing w:line="360" w:lineRule="exact"/>
              <w:textAlignment w:val="baseline"/>
              <w:rPr>
                <w:rFonts w:cs="Times New Roman"/>
              </w:rPr>
            </w:pPr>
            <w:r>
              <w:rPr>
                <w:rFonts w:cs="Times New Roman"/>
              </w:rPr>
              <w:t>提供的方案思路清晰、措施全面、合理性强、可执行性强的，得</w:t>
            </w:r>
            <w:r>
              <w:rPr>
                <w:rFonts w:hint="eastAsia" w:cs="Times New Roman"/>
                <w:lang w:val="en-US" w:eastAsia="zh-CN"/>
              </w:rPr>
              <w:t>2</w:t>
            </w:r>
            <w:r>
              <w:rPr>
                <w:rFonts w:cs="Times New Roman"/>
              </w:rPr>
              <w:t>分；</w:t>
            </w:r>
            <w:r>
              <w:rPr>
                <w:rFonts w:hint="eastAsia" w:cs="Times New Roman"/>
              </w:rPr>
              <w:t>每缺少一项或内容不全的扣0.5分</w:t>
            </w:r>
          </w:p>
          <w:p>
            <w:pPr>
              <w:adjustRightInd w:val="0"/>
              <w:spacing w:line="360" w:lineRule="exact"/>
              <w:textAlignment w:val="baseline"/>
              <w:rPr>
                <w:rFonts w:cs="Times New Roman"/>
              </w:rPr>
            </w:pPr>
            <w:r>
              <w:rPr>
                <w:rFonts w:hint="eastAsia" w:cs="Times New Roman"/>
              </w:rPr>
              <w:t>（2）到货环节</w:t>
            </w:r>
          </w:p>
          <w:p>
            <w:pPr>
              <w:adjustRightInd w:val="0"/>
              <w:spacing w:line="360" w:lineRule="exact"/>
              <w:textAlignment w:val="baseline"/>
              <w:rPr>
                <w:rFonts w:cs="Tahoma"/>
                <w:bCs/>
              </w:rPr>
            </w:pPr>
            <w:r>
              <w:rPr>
                <w:rFonts w:cs="Times New Roman"/>
              </w:rPr>
              <w:t>提供的方案思路清晰、措施全面、合理性强、可执行性强的，得</w:t>
            </w:r>
            <w:r>
              <w:rPr>
                <w:rFonts w:hint="eastAsia" w:cs="Times New Roman"/>
                <w:lang w:val="en-US" w:eastAsia="zh-CN"/>
              </w:rPr>
              <w:t>2</w:t>
            </w:r>
            <w:r>
              <w:rPr>
                <w:rFonts w:cs="Times New Roman"/>
              </w:rPr>
              <w:t>分；</w:t>
            </w:r>
            <w:r>
              <w:rPr>
                <w:rFonts w:hint="eastAsia" w:cs="Tahoma"/>
                <w:bCs/>
              </w:rPr>
              <w:t>每缺少一项或内容不全的扣0.5分</w:t>
            </w:r>
          </w:p>
          <w:p>
            <w:pPr>
              <w:adjustRightInd w:val="0"/>
              <w:spacing w:line="360" w:lineRule="exact"/>
              <w:textAlignment w:val="baseline"/>
              <w:rPr>
                <w:rFonts w:cs="Times New Roman"/>
              </w:rPr>
            </w:pPr>
            <w:r>
              <w:rPr>
                <w:rFonts w:hint="eastAsia" w:cs="Times New Roman"/>
              </w:rPr>
              <w:t>（3）退还环节</w:t>
            </w:r>
          </w:p>
          <w:p>
            <w:pPr>
              <w:adjustRightInd w:val="0"/>
              <w:spacing w:line="360" w:lineRule="exact"/>
              <w:textAlignment w:val="baseline"/>
              <w:rPr>
                <w:rFonts w:cs="Tahoma"/>
                <w:bCs/>
              </w:rPr>
            </w:pPr>
            <w:r>
              <w:rPr>
                <w:rFonts w:cs="Times New Roman"/>
              </w:rPr>
              <w:t>提供的方案思路清晰、措施全面、合理性强、可执行性强的，得</w:t>
            </w:r>
            <w:r>
              <w:rPr>
                <w:rFonts w:hint="eastAsia" w:cs="Times New Roman"/>
                <w:lang w:val="en-US" w:eastAsia="zh-CN"/>
              </w:rPr>
              <w:t>2</w:t>
            </w:r>
            <w:r>
              <w:rPr>
                <w:rFonts w:cs="Times New Roman"/>
              </w:rPr>
              <w:t>分</w:t>
            </w:r>
            <w:r>
              <w:rPr>
                <w:rFonts w:hint="eastAsia" w:cs="Times New Roman"/>
              </w:rPr>
              <w:t>；</w:t>
            </w:r>
            <w:r>
              <w:rPr>
                <w:rFonts w:hint="eastAsia" w:cs="Tahoma"/>
                <w:bCs/>
              </w:rPr>
              <w:t>每缺少一项或内容不全的扣0.5分</w:t>
            </w:r>
          </w:p>
          <w:p>
            <w:pPr>
              <w:adjustRightInd w:val="0"/>
              <w:spacing w:line="360" w:lineRule="exact"/>
              <w:textAlignment w:val="baseline"/>
              <w:rPr>
                <w:rFonts w:cs="Times New Roman"/>
              </w:rPr>
            </w:pPr>
            <w:r>
              <w:rPr>
                <w:rFonts w:hint="eastAsia" w:cs="Times New Roman"/>
              </w:rPr>
              <w:t>（4）报账环节</w:t>
            </w:r>
          </w:p>
          <w:p>
            <w:pPr>
              <w:adjustRightInd w:val="0"/>
              <w:spacing w:line="360" w:lineRule="exact"/>
              <w:textAlignment w:val="baseline"/>
              <w:rPr>
                <w:rFonts w:cs="Times New Roman"/>
              </w:rPr>
            </w:pPr>
            <w:r>
              <w:rPr>
                <w:rFonts w:cs="Times New Roman"/>
              </w:rPr>
              <w:t>提供的方案思路清晰、措施全面、合理性强、可执行性强的，得</w:t>
            </w:r>
            <w:r>
              <w:rPr>
                <w:rFonts w:hint="eastAsia" w:cs="Times New Roman"/>
                <w:lang w:val="en-US" w:eastAsia="zh-CN"/>
              </w:rPr>
              <w:t>2</w:t>
            </w:r>
            <w:r>
              <w:rPr>
                <w:rFonts w:cs="Times New Roman"/>
              </w:rPr>
              <w:t>分；</w:t>
            </w:r>
            <w:r>
              <w:rPr>
                <w:rFonts w:hint="eastAsia" w:cs="Tahoma"/>
                <w:bCs/>
              </w:rPr>
              <w:t>每缺少一项或内容不全的扣0.5分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rPr>
            </w:pPr>
            <w:r>
              <w:rPr>
                <w:rFonts w:cs="Times New Roman"/>
                <w:bCs/>
              </w:rPr>
              <w:t>7</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ahoma"/>
              </w:rPr>
            </w:pPr>
            <w:r>
              <w:rPr>
                <w:rFonts w:hint="eastAsia"/>
                <w:bCs/>
                <w:szCs w:val="21"/>
              </w:rPr>
              <w:t>特殊情况应急方案</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imes New Roman"/>
              </w:rPr>
            </w:pPr>
            <w:r>
              <w:rPr>
                <w:rFonts w:hint="eastAsia" w:cs="Times New Roman"/>
              </w:rPr>
              <w:t>8</w:t>
            </w:r>
          </w:p>
        </w:tc>
        <w:tc>
          <w:tcPr>
            <w:tcW w:w="59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360" w:lineRule="exact"/>
              <w:rPr>
                <w:rFonts w:cs="仿宋_GB2312"/>
              </w:rPr>
            </w:pPr>
            <w:r>
              <w:rPr>
                <w:rFonts w:hint="eastAsia"/>
                <w:bCs/>
                <w:szCs w:val="21"/>
              </w:rPr>
              <w:t>（1）应急采购措施方案包括</w:t>
            </w:r>
            <w:r>
              <w:rPr>
                <w:rFonts w:hint="eastAsia" w:cs="仿宋_GB2312"/>
              </w:rPr>
              <w:t>在自然灾害、公共卫生事件、停水、停电等情况下供应物资应急方案。</w:t>
            </w:r>
          </w:p>
          <w:p>
            <w:pPr>
              <w:spacing w:line="360" w:lineRule="exact"/>
              <w:rPr>
                <w:bCs/>
                <w:szCs w:val="21"/>
              </w:rPr>
            </w:pPr>
            <w:r>
              <w:rPr>
                <w:bCs/>
                <w:szCs w:val="21"/>
              </w:rPr>
              <w:t>提供的</w:t>
            </w:r>
            <w:r>
              <w:rPr>
                <w:rFonts w:hint="eastAsia"/>
                <w:bCs/>
                <w:szCs w:val="21"/>
              </w:rPr>
              <w:t>应急采购措施方案</w:t>
            </w:r>
            <w:r>
              <w:rPr>
                <w:bCs/>
                <w:szCs w:val="21"/>
              </w:rPr>
              <w:t>思路清晰、措施全面、合理性强、可执行性强的，得</w:t>
            </w:r>
            <w:r>
              <w:rPr>
                <w:rFonts w:hint="eastAsia"/>
                <w:bCs/>
                <w:szCs w:val="21"/>
              </w:rPr>
              <w:t>4</w:t>
            </w:r>
            <w:r>
              <w:rPr>
                <w:bCs/>
                <w:szCs w:val="21"/>
              </w:rPr>
              <w:t>分；</w:t>
            </w:r>
            <w:r>
              <w:rPr>
                <w:rFonts w:hint="eastAsia" w:cs="Tahoma"/>
                <w:bCs/>
              </w:rPr>
              <w:t>每缺少一项或内容不全的扣</w:t>
            </w:r>
            <w:r>
              <w:rPr>
                <w:rFonts w:hint="eastAsia" w:cs="Tahoma"/>
                <w:bCs/>
                <w:lang w:val="en-US" w:eastAsia="zh-CN"/>
              </w:rPr>
              <w:t>1</w:t>
            </w:r>
            <w:r>
              <w:rPr>
                <w:rFonts w:hint="eastAsia" w:cs="Tahoma"/>
                <w:bCs/>
              </w:rPr>
              <w:t>分</w:t>
            </w:r>
            <w:r>
              <w:rPr>
                <w:rFonts w:hint="eastAsia"/>
                <w:bCs/>
                <w:szCs w:val="21"/>
              </w:rPr>
              <w:t>（2）后期提供持续的零星增补供应保障方案。</w:t>
            </w:r>
          </w:p>
          <w:p>
            <w:pPr>
              <w:spacing w:line="360" w:lineRule="exact"/>
              <w:rPr>
                <w:bCs/>
                <w:szCs w:val="21"/>
              </w:rPr>
            </w:pPr>
            <w:r>
              <w:rPr>
                <w:bCs/>
                <w:szCs w:val="21"/>
              </w:rPr>
              <w:t>提供的零星增补供应保障方案思路清晰、措施全面、合理性强、可执行性强的，得</w:t>
            </w:r>
            <w:r>
              <w:rPr>
                <w:rFonts w:hint="eastAsia"/>
                <w:bCs/>
                <w:szCs w:val="21"/>
              </w:rPr>
              <w:t>4</w:t>
            </w:r>
            <w:r>
              <w:rPr>
                <w:bCs/>
                <w:szCs w:val="21"/>
              </w:rPr>
              <w:t>分；</w:t>
            </w:r>
            <w:r>
              <w:rPr>
                <w:rFonts w:hint="eastAsia" w:cs="Tahoma"/>
                <w:bCs/>
              </w:rPr>
              <w:t>每缺少一项或内容不全的扣</w:t>
            </w:r>
            <w:r>
              <w:rPr>
                <w:rFonts w:hint="eastAsia" w:cs="Tahoma"/>
                <w:bCs/>
                <w:lang w:val="en-US" w:eastAsia="zh-CN"/>
              </w:rPr>
              <w:t>1</w:t>
            </w:r>
            <w:r>
              <w:rPr>
                <w:rFonts w:hint="eastAsia" w:cs="Tahoma"/>
                <w:bCs/>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rPr>
            </w:pPr>
            <w:r>
              <w:rPr>
                <w:rFonts w:cs="Times New Roman"/>
                <w:bCs/>
              </w:rPr>
              <w:t>8</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ahoma"/>
              </w:rPr>
            </w:pPr>
            <w:r>
              <w:rPr>
                <w:rFonts w:hint="eastAsia"/>
                <w:szCs w:val="21"/>
              </w:rPr>
              <w:t>售后服务</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hint="eastAsia" w:eastAsia="宋体" w:cs="Times New Roman"/>
                <w:lang w:eastAsia="zh-CN"/>
              </w:rPr>
            </w:pPr>
            <w:r>
              <w:rPr>
                <w:rFonts w:hint="eastAsia" w:cs="Times New Roman"/>
                <w:lang w:val="en-US" w:eastAsia="zh-CN"/>
              </w:rPr>
              <w:t>6</w:t>
            </w:r>
          </w:p>
        </w:tc>
        <w:tc>
          <w:tcPr>
            <w:tcW w:w="59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adjustRightInd w:val="0"/>
              <w:spacing w:line="360" w:lineRule="exact"/>
              <w:textAlignment w:val="baseline"/>
              <w:rPr>
                <w:bCs/>
                <w:szCs w:val="21"/>
              </w:rPr>
            </w:pPr>
            <w:r>
              <w:rPr>
                <w:rFonts w:hint="eastAsia"/>
                <w:bCs/>
                <w:szCs w:val="21"/>
              </w:rPr>
              <w:t>根据供应商售后服务方案和管理水平和服务响应时间。</w:t>
            </w:r>
          </w:p>
          <w:p>
            <w:pPr>
              <w:adjustRightInd w:val="0"/>
              <w:spacing w:line="360" w:lineRule="exact"/>
              <w:textAlignment w:val="baseline"/>
              <w:rPr>
                <w:bCs/>
                <w:szCs w:val="21"/>
              </w:rPr>
            </w:pPr>
            <w:r>
              <w:rPr>
                <w:rFonts w:hint="eastAsia"/>
                <w:bCs/>
                <w:szCs w:val="21"/>
              </w:rPr>
              <w:t>（1）售后服务方案</w:t>
            </w:r>
          </w:p>
          <w:p>
            <w:pPr>
              <w:adjustRightInd w:val="0"/>
              <w:spacing w:line="360" w:lineRule="exact"/>
              <w:textAlignment w:val="baseline"/>
              <w:rPr>
                <w:bCs/>
                <w:szCs w:val="21"/>
              </w:rPr>
            </w:pPr>
            <w:r>
              <w:rPr>
                <w:rFonts w:hint="eastAsia"/>
                <w:bCs/>
                <w:szCs w:val="21"/>
              </w:rPr>
              <w:t>项目</w:t>
            </w:r>
            <w:r>
              <w:rPr>
                <w:rFonts w:cs="Tahoma"/>
              </w:rPr>
              <w:t>售后服务组织措施完善、可靠、全面周到</w:t>
            </w:r>
            <w:r>
              <w:rPr>
                <w:rFonts w:hint="eastAsia" w:cs="Tahoma"/>
              </w:rPr>
              <w:t>，</w:t>
            </w:r>
            <w:r>
              <w:rPr>
                <w:rFonts w:hint="eastAsia"/>
                <w:bCs/>
                <w:szCs w:val="21"/>
              </w:rPr>
              <w:t>出现产品各项问题的解决办法</w:t>
            </w:r>
            <w:r>
              <w:rPr>
                <w:bCs/>
                <w:szCs w:val="21"/>
              </w:rPr>
              <w:t>合理性强、可执行性强</w:t>
            </w:r>
            <w:r>
              <w:rPr>
                <w:rFonts w:hint="eastAsia"/>
                <w:bCs/>
                <w:szCs w:val="21"/>
              </w:rPr>
              <w:t>得</w:t>
            </w:r>
            <w:r>
              <w:rPr>
                <w:rFonts w:hint="eastAsia"/>
                <w:bCs/>
                <w:szCs w:val="21"/>
                <w:lang w:val="en-US" w:eastAsia="zh-CN"/>
              </w:rPr>
              <w:t>2</w:t>
            </w:r>
            <w:r>
              <w:rPr>
                <w:rFonts w:hint="eastAsia"/>
                <w:bCs/>
                <w:szCs w:val="21"/>
              </w:rPr>
              <w:t>分；</w:t>
            </w:r>
          </w:p>
          <w:p>
            <w:pPr>
              <w:adjustRightInd w:val="0"/>
              <w:spacing w:line="360" w:lineRule="exact"/>
              <w:textAlignment w:val="baseline"/>
              <w:rPr>
                <w:rFonts w:cs="Tahoma"/>
                <w:bCs/>
              </w:rPr>
            </w:pPr>
            <w:r>
              <w:rPr>
                <w:rFonts w:hint="eastAsia" w:cs="Tahoma"/>
                <w:bCs/>
              </w:rPr>
              <w:t>每缺少一项或内容不全的扣</w:t>
            </w:r>
            <w:r>
              <w:rPr>
                <w:rFonts w:hint="eastAsia" w:cs="Tahoma"/>
                <w:bCs/>
                <w:lang w:val="en-US" w:eastAsia="zh-CN"/>
              </w:rPr>
              <w:t>1</w:t>
            </w:r>
            <w:r>
              <w:rPr>
                <w:rFonts w:hint="eastAsia" w:cs="Tahoma"/>
                <w:bCs/>
              </w:rPr>
              <w:t>分</w:t>
            </w:r>
          </w:p>
          <w:p>
            <w:pPr>
              <w:adjustRightInd w:val="0"/>
              <w:spacing w:line="360" w:lineRule="exact"/>
              <w:textAlignment w:val="baseline"/>
              <w:rPr>
                <w:bCs/>
                <w:szCs w:val="21"/>
              </w:rPr>
            </w:pPr>
            <w:r>
              <w:rPr>
                <w:rFonts w:hint="eastAsia"/>
                <w:bCs/>
                <w:szCs w:val="21"/>
              </w:rPr>
              <w:t>（2）管理水平</w:t>
            </w:r>
          </w:p>
          <w:p>
            <w:pPr>
              <w:adjustRightInd w:val="0"/>
              <w:spacing w:line="360" w:lineRule="exact"/>
              <w:textAlignment w:val="baseline"/>
              <w:rPr>
                <w:bCs/>
                <w:szCs w:val="21"/>
              </w:rPr>
            </w:pPr>
            <w:r>
              <w:rPr>
                <w:rFonts w:hint="eastAsia" w:cs="Tahoma"/>
              </w:rPr>
              <w:t>服务</w:t>
            </w:r>
            <w:r>
              <w:rPr>
                <w:rFonts w:cs="Tahoma"/>
              </w:rPr>
              <w:t>术人员齐全的</w:t>
            </w:r>
            <w:r>
              <w:rPr>
                <w:rFonts w:hint="eastAsia" w:cs="Tahoma"/>
              </w:rPr>
              <w:t>，</w:t>
            </w:r>
            <w:r>
              <w:rPr>
                <w:rFonts w:hint="eastAsia"/>
                <w:bCs/>
                <w:szCs w:val="21"/>
              </w:rPr>
              <w:t>有专人负责，具有丰富的工作经验，对业务熟悉，具备良好的沟通能力得</w:t>
            </w:r>
            <w:r>
              <w:rPr>
                <w:rFonts w:hint="eastAsia"/>
                <w:bCs/>
                <w:szCs w:val="21"/>
                <w:lang w:val="en-US" w:eastAsia="zh-CN"/>
              </w:rPr>
              <w:t>2</w:t>
            </w:r>
            <w:r>
              <w:rPr>
                <w:rFonts w:hint="eastAsia"/>
                <w:bCs/>
                <w:szCs w:val="21"/>
              </w:rPr>
              <w:t>分；</w:t>
            </w:r>
          </w:p>
          <w:p>
            <w:pPr>
              <w:adjustRightInd w:val="0"/>
              <w:spacing w:line="360" w:lineRule="exact"/>
              <w:textAlignment w:val="baseline"/>
              <w:rPr>
                <w:bCs/>
                <w:szCs w:val="21"/>
              </w:rPr>
            </w:pPr>
            <w:r>
              <w:rPr>
                <w:rFonts w:hint="eastAsia" w:cs="Tahoma"/>
                <w:bCs/>
              </w:rPr>
              <w:t>每缺少一项或内容不全的扣</w:t>
            </w:r>
            <w:r>
              <w:rPr>
                <w:rFonts w:hint="eastAsia" w:cs="Tahoma"/>
                <w:bCs/>
                <w:lang w:val="en-US" w:eastAsia="zh-CN"/>
              </w:rPr>
              <w:t>1</w:t>
            </w:r>
            <w:r>
              <w:rPr>
                <w:rFonts w:hint="eastAsia" w:cs="Tahoma"/>
                <w:bCs/>
              </w:rPr>
              <w:t>分</w:t>
            </w:r>
          </w:p>
          <w:p>
            <w:pPr>
              <w:adjustRightInd w:val="0"/>
              <w:spacing w:line="360" w:lineRule="exact"/>
              <w:textAlignment w:val="baseline"/>
              <w:rPr>
                <w:bCs/>
                <w:szCs w:val="21"/>
              </w:rPr>
            </w:pPr>
            <w:r>
              <w:rPr>
                <w:rFonts w:hint="eastAsia"/>
                <w:bCs/>
                <w:szCs w:val="21"/>
              </w:rPr>
              <w:t>（3）服务响应时间</w:t>
            </w:r>
          </w:p>
          <w:p>
            <w:pPr>
              <w:adjustRightInd w:val="0"/>
              <w:spacing w:line="360" w:lineRule="exact"/>
              <w:textAlignment w:val="baseline"/>
              <w:rPr>
                <w:bCs/>
                <w:szCs w:val="21"/>
              </w:rPr>
            </w:pPr>
            <w:r>
              <w:rPr>
                <w:rFonts w:hint="eastAsia"/>
                <w:bCs/>
                <w:szCs w:val="21"/>
              </w:rPr>
              <w:t>针对本项目的服务响应时间进行应答，</w:t>
            </w:r>
            <w:r>
              <w:rPr>
                <w:bCs/>
                <w:szCs w:val="21"/>
              </w:rPr>
              <w:t>阐述内容流程清晰、合理，得</w:t>
            </w:r>
            <w:r>
              <w:rPr>
                <w:rFonts w:hint="eastAsia"/>
                <w:bCs/>
                <w:szCs w:val="21"/>
                <w:lang w:val="en-US" w:eastAsia="zh-CN"/>
              </w:rPr>
              <w:t>2</w:t>
            </w:r>
            <w:r>
              <w:rPr>
                <w:bCs/>
                <w:szCs w:val="21"/>
              </w:rPr>
              <w:t>分；</w:t>
            </w:r>
            <w:r>
              <w:rPr>
                <w:rFonts w:hint="eastAsia" w:cs="Tahoma"/>
                <w:bCs/>
              </w:rPr>
              <w:t>每缺少一项或内容不全的扣</w:t>
            </w:r>
            <w:r>
              <w:rPr>
                <w:rFonts w:hint="eastAsia" w:cs="Tahoma"/>
                <w:bCs/>
                <w:lang w:val="en-US" w:eastAsia="zh-CN"/>
              </w:rPr>
              <w:t>1</w:t>
            </w:r>
            <w:r>
              <w:rPr>
                <w:rFonts w:hint="eastAsia" w:cs="Tahoma"/>
                <w:bCs/>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81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Cs/>
              </w:rPr>
            </w:pPr>
            <w:r>
              <w:rPr>
                <w:rFonts w:cs="Times New Roman"/>
                <w:bCs/>
              </w:rPr>
              <w:t>9</w:t>
            </w:r>
          </w:p>
        </w:tc>
        <w:tc>
          <w:tcPr>
            <w:tcW w:w="14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imes New Roman"/>
              </w:rPr>
            </w:pPr>
            <w:r>
              <w:rPr>
                <w:rFonts w:hint="eastAsia" w:cs="Times New Roman"/>
              </w:rPr>
              <w:t>优惠承诺</w:t>
            </w:r>
          </w:p>
        </w:tc>
        <w:tc>
          <w:tcPr>
            <w:tcW w:w="85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exact"/>
              <w:jc w:val="center"/>
              <w:textAlignment w:val="baseline"/>
              <w:rPr>
                <w:rFonts w:cs="Times New Roman"/>
              </w:rPr>
            </w:pPr>
            <w:r>
              <w:rPr>
                <w:rFonts w:hint="eastAsia" w:cs="Times New Roman"/>
              </w:rPr>
              <w:t>2</w:t>
            </w:r>
          </w:p>
        </w:tc>
        <w:tc>
          <w:tcPr>
            <w:tcW w:w="5954"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adjustRightInd w:val="0"/>
              <w:spacing w:line="360" w:lineRule="exact"/>
              <w:textAlignment w:val="baseline"/>
              <w:rPr>
                <w:rFonts w:cs="Times New Roman"/>
              </w:rPr>
            </w:pPr>
            <w:r>
              <w:rPr>
                <w:rFonts w:hint="eastAsia" w:cs="Times New Roman"/>
              </w:rPr>
              <w:t>项目基本服务要求以外的，对项目开展有利的资源、技术支撑手段或服务等，提供额外的增值服务承诺。每提供1条有价值的服务承诺加1分，满分2分。未提供不得分。</w:t>
            </w:r>
          </w:p>
        </w:tc>
      </w:tr>
    </w:tbl>
    <w:p>
      <w:pPr>
        <w:adjustRightInd w:val="0"/>
        <w:snapToGrid w:val="0"/>
        <w:spacing w:line="360" w:lineRule="auto"/>
        <w:ind w:left="-2" w:leftChars="-1" w:right="313"/>
        <w:rPr>
          <w:rFonts w:ascii="Tahoma" w:hAnsi="Tahoma" w:cs="Tahoma"/>
          <w:b/>
          <w:bCs/>
          <w:szCs w:val="21"/>
        </w:rPr>
      </w:pPr>
    </w:p>
    <w:p>
      <w:pPr>
        <w:adjustRightInd w:val="0"/>
        <w:snapToGrid w:val="0"/>
        <w:spacing w:line="360" w:lineRule="auto"/>
        <w:ind w:left="-2" w:leftChars="-1" w:right="313"/>
        <w:rPr>
          <w:rFonts w:ascii="Tahoma" w:hAnsi="Tahoma" w:cs="Tahoma"/>
          <w:b/>
          <w:szCs w:val="21"/>
        </w:rPr>
      </w:pPr>
      <w:r>
        <w:rPr>
          <w:rFonts w:ascii="Tahoma" w:hAnsi="Tahoma" w:cs="Tahoma"/>
          <w:b/>
          <w:bCs/>
          <w:szCs w:val="21"/>
        </w:rPr>
        <w:t>3.4.3商务部分、技术部分得分计算方法</w:t>
      </w:r>
      <w:r>
        <w:rPr>
          <w:rFonts w:ascii="Tahoma" w:hAnsi="Tahoma" w:cs="Tahoma"/>
          <w:b/>
          <w:szCs w:val="21"/>
        </w:rPr>
        <w:t>：</w:t>
      </w:r>
    </w:p>
    <w:p>
      <w:pPr>
        <w:adjustRightInd w:val="0"/>
        <w:snapToGrid w:val="0"/>
        <w:spacing w:line="360" w:lineRule="auto"/>
        <w:ind w:left="-2" w:leftChars="-1" w:right="313" w:firstLine="420"/>
        <w:rPr>
          <w:rFonts w:ascii="Tahoma" w:hAnsi="Tahoma" w:cs="Tahoma"/>
          <w:b/>
          <w:bCs/>
          <w:szCs w:val="21"/>
        </w:rPr>
      </w:pPr>
      <w:r>
        <w:rPr>
          <w:rFonts w:ascii="Tahoma" w:hAnsi="Tahoma" w:cs="Tahoma"/>
          <w:szCs w:val="21"/>
        </w:rPr>
        <w:t>先将评标委员会对商务部分、技术部分每个项目</w:t>
      </w:r>
      <w:r>
        <w:rPr>
          <w:rFonts w:hint="eastAsia" w:ascii="Tahoma" w:hAnsi="Tahoma" w:cs="Tahoma"/>
          <w:szCs w:val="21"/>
        </w:rPr>
        <w:t>各评委的</w:t>
      </w:r>
      <w:r>
        <w:rPr>
          <w:rFonts w:ascii="Tahoma" w:hAnsi="Tahoma" w:cs="Tahoma"/>
          <w:szCs w:val="21"/>
        </w:rPr>
        <w:t>评分算术平均方法分别计算有效</w:t>
      </w:r>
      <w:r>
        <w:rPr>
          <w:rFonts w:hint="eastAsia" w:ascii="Tahoma" w:hAnsi="Tahoma" w:cs="Tahoma"/>
          <w:szCs w:val="21"/>
        </w:rPr>
        <w:t>供应商</w:t>
      </w:r>
      <w:r>
        <w:rPr>
          <w:rFonts w:ascii="Tahoma" w:hAnsi="Tahoma" w:cs="Tahoma"/>
          <w:szCs w:val="21"/>
        </w:rPr>
        <w:t>在商务、技术两个部分的各自最终得分。</w:t>
      </w:r>
    </w:p>
    <w:p>
      <w:pPr>
        <w:adjustRightInd w:val="0"/>
        <w:snapToGrid w:val="0"/>
        <w:spacing w:line="360" w:lineRule="auto"/>
        <w:ind w:right="82" w:rightChars="34"/>
        <w:rPr>
          <w:rFonts w:ascii="Tahoma" w:hAnsi="Tahoma" w:cs="Tahoma"/>
          <w:b/>
          <w:bCs/>
          <w:szCs w:val="21"/>
        </w:rPr>
      </w:pPr>
      <w:r>
        <w:rPr>
          <w:rFonts w:ascii="Tahoma" w:hAnsi="Tahoma" w:cs="Tahoma"/>
          <w:b/>
          <w:bCs/>
          <w:szCs w:val="21"/>
        </w:rPr>
        <w:t>3.4.4投标价格部分</w:t>
      </w:r>
    </w:p>
    <w:p>
      <w:pPr>
        <w:adjustRightInd w:val="0"/>
        <w:snapToGrid w:val="0"/>
        <w:spacing w:line="360" w:lineRule="auto"/>
        <w:ind w:left="-2" w:leftChars="-1" w:right="391" w:rightChars="163" w:firstLine="111" w:firstLineChars="46"/>
        <w:rPr>
          <w:rFonts w:ascii="Tahoma" w:hAnsi="Tahoma" w:cs="Tahoma"/>
          <w:b/>
          <w:bCs/>
          <w:szCs w:val="21"/>
        </w:rPr>
      </w:pPr>
      <w:r>
        <w:rPr>
          <w:rFonts w:ascii="Tahoma" w:hAnsi="Tahoma" w:cs="Tahoma"/>
          <w:b/>
          <w:bCs/>
          <w:szCs w:val="21"/>
        </w:rPr>
        <w:t>C、投标价格部分评分标准（满分</w:t>
      </w:r>
      <w:r>
        <w:rPr>
          <w:rFonts w:hint="eastAsia" w:ascii="Tahoma" w:hAnsi="Tahoma" w:cs="Tahoma"/>
          <w:b/>
          <w:bCs/>
          <w:szCs w:val="21"/>
        </w:rPr>
        <w:t>30</w:t>
      </w:r>
      <w:r>
        <w:rPr>
          <w:rFonts w:ascii="Tahoma" w:hAnsi="Tahoma" w:cs="Tahoma"/>
          <w:b/>
          <w:bCs/>
          <w:szCs w:val="21"/>
        </w:rPr>
        <w:t>分）</w:t>
      </w:r>
    </w:p>
    <w:tbl>
      <w:tblPr>
        <w:tblStyle w:val="3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027"/>
        <w:gridCol w:w="6798"/>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0" w:type="auto"/>
            <w:vAlign w:val="center"/>
          </w:tcPr>
          <w:p>
            <w:pPr>
              <w:adjustRightInd w:val="0"/>
              <w:spacing w:before="60" w:after="60"/>
              <w:jc w:val="center"/>
              <w:textAlignment w:val="baseline"/>
              <w:rPr>
                <w:rFonts w:cs="Times New Roman"/>
                <w:szCs w:val="21"/>
              </w:rPr>
            </w:pPr>
            <w:r>
              <w:rPr>
                <w:rFonts w:hint="eastAsia" w:cs="Times New Roman"/>
                <w:szCs w:val="21"/>
              </w:rPr>
              <w:t>序号</w:t>
            </w:r>
          </w:p>
        </w:tc>
        <w:tc>
          <w:tcPr>
            <w:tcW w:w="0" w:type="auto"/>
            <w:vAlign w:val="center"/>
          </w:tcPr>
          <w:p>
            <w:pPr>
              <w:adjustRightInd w:val="0"/>
              <w:spacing w:line="320" w:lineRule="exact"/>
              <w:jc w:val="center"/>
              <w:textAlignment w:val="baseline"/>
              <w:rPr>
                <w:rFonts w:cs="Times New Roman"/>
                <w:szCs w:val="21"/>
              </w:rPr>
            </w:pPr>
            <w:r>
              <w:rPr>
                <w:rFonts w:hint="eastAsia" w:cs="Times New Roman"/>
                <w:szCs w:val="21"/>
              </w:rPr>
              <w:t>评审</w:t>
            </w:r>
          </w:p>
          <w:p>
            <w:pPr>
              <w:adjustRightInd w:val="0"/>
              <w:spacing w:line="320" w:lineRule="exact"/>
              <w:jc w:val="center"/>
              <w:textAlignment w:val="baseline"/>
              <w:rPr>
                <w:rFonts w:cs="Times New Roman"/>
                <w:szCs w:val="21"/>
              </w:rPr>
            </w:pPr>
            <w:r>
              <w:rPr>
                <w:rFonts w:hint="eastAsia" w:cs="Times New Roman"/>
                <w:szCs w:val="21"/>
              </w:rPr>
              <w:t>项目</w:t>
            </w:r>
          </w:p>
        </w:tc>
        <w:tc>
          <w:tcPr>
            <w:tcW w:w="6798" w:type="dxa"/>
            <w:vAlign w:val="center"/>
          </w:tcPr>
          <w:p>
            <w:pPr>
              <w:adjustRightInd w:val="0"/>
              <w:spacing w:line="320" w:lineRule="exact"/>
              <w:jc w:val="center"/>
              <w:textAlignment w:val="baseline"/>
              <w:rPr>
                <w:rFonts w:cs="Times New Roman"/>
                <w:szCs w:val="21"/>
              </w:rPr>
            </w:pPr>
            <w:r>
              <w:rPr>
                <w:rFonts w:hint="eastAsia" w:cs="Times New Roman"/>
                <w:szCs w:val="21"/>
              </w:rPr>
              <w:t>评分标准</w:t>
            </w:r>
          </w:p>
        </w:tc>
        <w:tc>
          <w:tcPr>
            <w:tcW w:w="808" w:type="dxa"/>
            <w:vAlign w:val="center"/>
          </w:tcPr>
          <w:p>
            <w:pPr>
              <w:adjustRightInd w:val="0"/>
              <w:spacing w:line="320" w:lineRule="exact"/>
              <w:jc w:val="center"/>
              <w:textAlignment w:val="baseline"/>
              <w:rPr>
                <w:rFonts w:cs="Times New Roman"/>
                <w:szCs w:val="21"/>
              </w:rPr>
            </w:pPr>
            <w:r>
              <w:rPr>
                <w:rFonts w:hint="eastAsia" w:cs="Times New Roman"/>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adjustRightInd w:val="0"/>
              <w:snapToGrid w:val="0"/>
              <w:jc w:val="center"/>
              <w:textAlignment w:val="baseline"/>
              <w:rPr>
                <w:rFonts w:cs="Times New Roman"/>
              </w:rPr>
            </w:pPr>
            <w:r>
              <w:rPr>
                <w:rFonts w:hint="eastAsia" w:cs="Times New Roman"/>
              </w:rPr>
              <w:t>1</w:t>
            </w:r>
          </w:p>
        </w:tc>
        <w:tc>
          <w:tcPr>
            <w:tcW w:w="1027" w:type="dxa"/>
            <w:vAlign w:val="center"/>
          </w:tcPr>
          <w:p>
            <w:pPr>
              <w:adjustRightInd w:val="0"/>
              <w:snapToGrid w:val="0"/>
              <w:spacing w:line="360" w:lineRule="exact"/>
              <w:jc w:val="center"/>
              <w:textAlignment w:val="baseline"/>
              <w:rPr>
                <w:rFonts w:cs="Times New Roman"/>
              </w:rPr>
            </w:pPr>
            <w:r>
              <w:rPr>
                <w:rFonts w:hint="eastAsia" w:cs="Times New Roman"/>
              </w:rPr>
              <w:t>价格</w:t>
            </w:r>
          </w:p>
          <w:p>
            <w:pPr>
              <w:adjustRightInd w:val="0"/>
              <w:snapToGrid w:val="0"/>
              <w:spacing w:line="360" w:lineRule="exact"/>
              <w:jc w:val="center"/>
              <w:textAlignment w:val="baseline"/>
              <w:rPr>
                <w:rFonts w:cs="Times New Roman"/>
              </w:rPr>
            </w:pPr>
            <w:r>
              <w:rPr>
                <w:rFonts w:hint="eastAsia" w:cs="Times New Roman"/>
              </w:rPr>
              <w:t>部分</w:t>
            </w:r>
          </w:p>
          <w:p>
            <w:pPr>
              <w:adjustRightInd w:val="0"/>
              <w:snapToGrid w:val="0"/>
              <w:spacing w:line="360" w:lineRule="exact"/>
              <w:jc w:val="center"/>
              <w:textAlignment w:val="baseline"/>
              <w:rPr>
                <w:rFonts w:cs="Times New Roman"/>
              </w:rPr>
            </w:pPr>
            <w:r>
              <w:rPr>
                <w:rFonts w:hint="eastAsia" w:cs="Times New Roman"/>
              </w:rPr>
              <w:t>（30）</w:t>
            </w:r>
          </w:p>
        </w:tc>
        <w:tc>
          <w:tcPr>
            <w:tcW w:w="6798" w:type="dxa"/>
            <w:vAlign w:val="center"/>
          </w:tcPr>
          <w:p>
            <w:pPr>
              <w:tabs>
                <w:tab w:val="left" w:pos="1722"/>
              </w:tabs>
              <w:adjustRightInd w:val="0"/>
              <w:snapToGrid w:val="0"/>
              <w:spacing w:line="440" w:lineRule="exact"/>
              <w:rPr>
                <w:rFonts w:cs="仿宋_GB2312"/>
                <w:b/>
                <w:bCs/>
              </w:rPr>
            </w:pPr>
            <w:r>
              <w:rPr>
                <w:rFonts w:hint="eastAsia" w:cs="仿宋_GB2312"/>
                <w:b/>
                <w:bCs/>
              </w:rPr>
              <w:t>第二包（面粉）投标报价计算方式：</w:t>
            </w:r>
          </w:p>
          <w:p>
            <w:pPr>
              <w:tabs>
                <w:tab w:val="left" w:pos="1722"/>
              </w:tabs>
              <w:adjustRightInd w:val="0"/>
              <w:snapToGrid w:val="0"/>
              <w:spacing w:line="440" w:lineRule="exact"/>
              <w:ind w:firstLine="480" w:firstLineChars="200"/>
              <w:rPr>
                <w:rFonts w:cs="仿宋_GB2312"/>
              </w:rPr>
            </w:pPr>
            <w:r>
              <w:rPr>
                <w:rFonts w:hint="eastAsia" w:cs="仿宋_GB2312"/>
              </w:rPr>
              <w:t>价格分统一采用低价优先法计算，即满足招标文件要求且最后报价最低的供应商的价格为评标基准价，其价格分为满分。其他供应商的价格分统一按照下列公式计算：报价得分=评标基准价/投标报价×30；</w:t>
            </w:r>
          </w:p>
          <w:p>
            <w:pPr>
              <w:adjustRightInd w:val="0"/>
              <w:snapToGrid w:val="0"/>
              <w:spacing w:line="360" w:lineRule="auto"/>
              <w:textAlignment w:val="baseline"/>
              <w:rPr>
                <w:rFonts w:cs="仿宋_GB2312"/>
                <w:b/>
                <w:bCs/>
              </w:rPr>
            </w:pPr>
            <w:r>
              <w:rPr>
                <w:rFonts w:hint="eastAsia" w:cs="仿宋_GB2312"/>
                <w:b/>
                <w:bCs/>
              </w:rPr>
              <w:t>以上所有报价得分小数点后保留两位，报价得负分时按0分计取。</w:t>
            </w:r>
          </w:p>
          <w:p>
            <w:pPr>
              <w:spacing w:line="360" w:lineRule="auto"/>
              <w:rPr>
                <w:rFonts w:cs="仿宋_GB2312"/>
                <w:b/>
                <w:bCs/>
              </w:rPr>
            </w:pPr>
            <w:r>
              <w:rPr>
                <w:rStyle w:val="36"/>
                <w:rFonts w:hint="eastAsia" w:ascii="Arial" w:hAnsi="Arial" w:eastAsia="Arial" w:cs="Arial"/>
                <w:color w:val="191919"/>
                <w:shd w:val="clear" w:color="auto" w:fill="FFFFFF"/>
              </w:rPr>
              <w:t> </w:t>
            </w:r>
            <w:r>
              <w:rPr>
                <w:rFonts w:hint="eastAsia" w:cs="仿宋_GB2312"/>
                <w:b/>
                <w:bCs/>
              </w:rPr>
              <w:t>评标委员会认为投标人的报价明显低于其他通过符合性审查投标人的报价，有可能影响产品质量或者不能诚信履约的，应当要求其在评标现场合理的时间内提供书面说明，必要时提交相关证明材料（特别是对于投入人员及相关设备等成本合理性的说明）；投标人不能证明其报价合理性的，评标委员会应当将其作为无效投标处理。</w:t>
            </w:r>
          </w:p>
          <w:p>
            <w:pPr>
              <w:adjustRightInd w:val="0"/>
              <w:snapToGrid w:val="0"/>
              <w:spacing w:line="360" w:lineRule="auto"/>
              <w:textAlignment w:val="baseline"/>
              <w:rPr>
                <w:rFonts w:cs="Times New Roman"/>
              </w:rPr>
            </w:pPr>
            <w:r>
              <w:rPr>
                <w:rFonts w:hint="eastAsia" w:cs="Times New Roman"/>
                <w:b/>
                <w:bCs/>
              </w:rPr>
              <w:t>本项目的价格权重为30%</w:t>
            </w:r>
          </w:p>
        </w:tc>
        <w:tc>
          <w:tcPr>
            <w:tcW w:w="808" w:type="dxa"/>
            <w:vAlign w:val="center"/>
          </w:tcPr>
          <w:p>
            <w:pPr>
              <w:adjustRightInd w:val="0"/>
              <w:snapToGrid w:val="0"/>
              <w:spacing w:line="360" w:lineRule="exact"/>
              <w:textAlignment w:val="baseline"/>
              <w:rPr>
                <w:rFonts w:cs="Times New Roman"/>
              </w:rPr>
            </w:pPr>
            <w:r>
              <w:rPr>
                <w:rFonts w:hint="eastAsia" w:cs="Times New Roman"/>
              </w:rPr>
              <w:t>0-30分</w:t>
            </w:r>
          </w:p>
        </w:tc>
      </w:tr>
    </w:tbl>
    <w:p>
      <w:pPr>
        <w:spacing w:line="360" w:lineRule="auto"/>
        <w:rPr>
          <w:rFonts w:ascii="Tahoma" w:hAnsi="Tahoma" w:cs="Tahoma"/>
          <w:b/>
          <w:szCs w:val="21"/>
        </w:rPr>
      </w:pPr>
      <w:r>
        <w:rPr>
          <w:rFonts w:ascii="Tahoma" w:hAnsi="Tahoma" w:cs="Tahoma"/>
          <w:b/>
          <w:szCs w:val="21"/>
        </w:rPr>
        <w:t>3.4.6</w:t>
      </w:r>
      <w:r>
        <w:rPr>
          <w:rFonts w:hint="eastAsia" w:ascii="Tahoma" w:hAnsi="Tahoma" w:cs="Tahoma"/>
          <w:b/>
          <w:szCs w:val="21"/>
        </w:rPr>
        <w:t>供应商</w:t>
      </w:r>
      <w:r>
        <w:rPr>
          <w:rFonts w:ascii="Tahoma" w:hAnsi="Tahoma" w:cs="Tahoma"/>
          <w:b/>
          <w:szCs w:val="21"/>
        </w:rPr>
        <w:t>得分</w:t>
      </w:r>
    </w:p>
    <w:p>
      <w:pPr>
        <w:spacing w:line="360" w:lineRule="auto"/>
        <w:rPr>
          <w:rFonts w:ascii="Tahoma" w:hAnsi="Tahoma" w:cs="Tahoma"/>
          <w:b/>
          <w:szCs w:val="21"/>
        </w:rPr>
      </w:pPr>
      <w:r>
        <w:rPr>
          <w:rFonts w:hint="eastAsia" w:ascii="Tahoma" w:hAnsi="Tahoma" w:cs="Tahoma"/>
          <w:b/>
          <w:szCs w:val="21"/>
        </w:rPr>
        <w:t>供应商</w:t>
      </w:r>
      <w:r>
        <w:rPr>
          <w:rFonts w:ascii="Tahoma" w:hAnsi="Tahoma" w:cs="Tahoma"/>
          <w:b/>
          <w:szCs w:val="21"/>
        </w:rPr>
        <w:t>总分＝A+B+C=</w:t>
      </w:r>
      <w:r>
        <w:rPr>
          <w:rFonts w:hint="eastAsia" w:ascii="Tahoma" w:hAnsi="Tahoma" w:cs="Tahoma"/>
          <w:b/>
          <w:szCs w:val="21"/>
        </w:rPr>
        <w:t xml:space="preserve">商务得分+技术得分+价格得分 </w:t>
      </w:r>
      <w:r>
        <w:rPr>
          <w:rFonts w:ascii="Tahoma" w:hAnsi="Tahoma" w:cs="Tahoma"/>
          <w:b/>
          <w:szCs w:val="21"/>
        </w:rPr>
        <w:t>注：以上计算分数时四舍五入取小数点后两位。</w:t>
      </w:r>
    </w:p>
    <w:p>
      <w:pPr>
        <w:spacing w:line="360" w:lineRule="auto"/>
        <w:rPr>
          <w:rFonts w:ascii="Tahoma" w:hAnsi="Tahoma" w:cs="Tahoma"/>
          <w:b/>
          <w:szCs w:val="21"/>
        </w:rPr>
      </w:pPr>
      <w:r>
        <w:rPr>
          <w:rFonts w:ascii="Tahoma" w:hAnsi="Tahoma" w:cs="Tahoma"/>
          <w:b/>
          <w:szCs w:val="21"/>
        </w:rPr>
        <w:t>3.5推荐中标候选供应商名单</w:t>
      </w:r>
    </w:p>
    <w:p>
      <w:pPr>
        <w:spacing w:line="360" w:lineRule="auto"/>
        <w:rPr>
          <w:rFonts w:ascii="Tahoma" w:hAnsi="Tahoma" w:cs="Tahoma"/>
          <w:szCs w:val="21"/>
        </w:rPr>
      </w:pPr>
      <w:r>
        <w:rPr>
          <w:rFonts w:ascii="Tahoma" w:hAnsi="Tahoma" w:cs="Tahoma"/>
          <w:szCs w:val="21"/>
        </w:rPr>
        <w:t>3.5.1中标候选供应商数量为</w:t>
      </w:r>
      <w:r>
        <w:rPr>
          <w:rFonts w:hint="eastAsia" w:ascii="Tahoma" w:hAnsi="Tahoma" w:cs="Tahoma"/>
          <w:szCs w:val="21"/>
        </w:rPr>
        <w:t>3</w:t>
      </w:r>
      <w:r>
        <w:rPr>
          <w:rFonts w:ascii="Tahoma" w:hAnsi="Tahoma" w:cs="Tahoma"/>
          <w:szCs w:val="21"/>
        </w:rPr>
        <w:t xml:space="preserve">人，但必须按顺序排列中标候选供应商。 </w:t>
      </w:r>
    </w:p>
    <w:p>
      <w:pPr>
        <w:spacing w:line="360" w:lineRule="auto"/>
        <w:rPr>
          <w:rFonts w:ascii="Tahoma" w:hAnsi="Tahoma" w:cs="Tahoma"/>
          <w:szCs w:val="21"/>
        </w:rPr>
      </w:pPr>
      <w:r>
        <w:rPr>
          <w:rFonts w:ascii="Tahoma" w:hAnsi="Tahoma" w:cs="Tahoma"/>
          <w:szCs w:val="21"/>
        </w:rPr>
        <w:t>3.5.2评标委员会对全部满足招标文件实质性要求前提下，按照招标文件中规定的各项因素进行综合评审后，按评审后的综合得分由高到低顺序排列，以评标总得分最高的</w:t>
      </w:r>
      <w:r>
        <w:rPr>
          <w:rFonts w:hint="eastAsia" w:ascii="Tahoma" w:hAnsi="Tahoma" w:cs="Tahoma"/>
          <w:szCs w:val="21"/>
        </w:rPr>
        <w:t>供应商</w:t>
      </w:r>
      <w:r>
        <w:rPr>
          <w:rFonts w:ascii="Tahoma" w:hAnsi="Tahoma" w:cs="Tahoma"/>
          <w:szCs w:val="21"/>
        </w:rPr>
        <w:t>作为</w:t>
      </w:r>
      <w:r>
        <w:rPr>
          <w:rFonts w:hint="eastAsia" w:ascii="Tahoma" w:hAnsi="Tahoma" w:cs="Tahoma"/>
          <w:szCs w:val="21"/>
        </w:rPr>
        <w:t>成交候选人</w:t>
      </w:r>
      <w:r>
        <w:rPr>
          <w:rFonts w:ascii="Tahoma" w:hAnsi="Tahoma" w:cs="Tahoma"/>
          <w:szCs w:val="21"/>
        </w:rPr>
        <w:t>。得分相同的，按投标报价由低到高顺序排列。得分且投标报价相同的，按技术指标优劣顺序排列。</w:t>
      </w:r>
    </w:p>
    <w:p>
      <w:pPr>
        <w:spacing w:line="360" w:lineRule="auto"/>
        <w:rPr>
          <w:rFonts w:ascii="Tahoma" w:hAnsi="Tahoma" w:cs="Tahoma"/>
          <w:b/>
          <w:bCs/>
          <w:szCs w:val="21"/>
        </w:rPr>
      </w:pPr>
      <w:r>
        <w:rPr>
          <w:rFonts w:ascii="Tahoma" w:hAnsi="Tahoma" w:cs="Tahoma"/>
          <w:b/>
          <w:bCs/>
          <w:szCs w:val="21"/>
        </w:rPr>
        <w:t>3.6编写评标报告</w:t>
      </w:r>
    </w:p>
    <w:p>
      <w:pPr>
        <w:spacing w:line="360" w:lineRule="auto"/>
        <w:rPr>
          <w:rFonts w:ascii="Tahoma" w:hAnsi="Tahoma" w:cs="Tahoma"/>
          <w:szCs w:val="21"/>
        </w:rPr>
      </w:pPr>
      <w:r>
        <w:rPr>
          <w:rFonts w:ascii="Tahoma" w:hAnsi="Tahoma" w:cs="Tahoma"/>
          <w:szCs w:val="21"/>
        </w:rPr>
        <w:t xml:space="preserve">3.6.1评标委员会完成评标后，根据全体评标成员签字的原始评标记录和评标结果编写的报告，其主要内容包括： </w:t>
      </w:r>
    </w:p>
    <w:p>
      <w:pPr>
        <w:spacing w:line="360" w:lineRule="auto"/>
        <w:ind w:firstLine="240" w:firstLineChars="100"/>
        <w:rPr>
          <w:rFonts w:ascii="Tahoma" w:hAnsi="Tahoma" w:cs="Tahoma"/>
          <w:szCs w:val="21"/>
        </w:rPr>
      </w:pPr>
      <w:r>
        <w:rPr>
          <w:rFonts w:ascii="Tahoma" w:hAnsi="Tahoma" w:cs="Tahoma"/>
          <w:szCs w:val="21"/>
        </w:rPr>
        <w:t xml:space="preserve">（1）招标公告刊登的媒体名称、开标日期和地点； </w:t>
      </w:r>
    </w:p>
    <w:p>
      <w:pPr>
        <w:spacing w:line="360" w:lineRule="auto"/>
        <w:ind w:firstLine="240" w:firstLineChars="100"/>
        <w:rPr>
          <w:rFonts w:ascii="Tahoma" w:hAnsi="Tahoma" w:cs="Tahoma"/>
          <w:szCs w:val="21"/>
        </w:rPr>
      </w:pPr>
      <w:r>
        <w:rPr>
          <w:rFonts w:ascii="Tahoma" w:hAnsi="Tahoma" w:cs="Tahoma"/>
          <w:szCs w:val="21"/>
        </w:rPr>
        <w:t>（2）购买招标文件的</w:t>
      </w:r>
      <w:r>
        <w:rPr>
          <w:rFonts w:hint="eastAsia" w:ascii="Tahoma" w:hAnsi="Tahoma" w:cs="Tahoma"/>
          <w:szCs w:val="21"/>
        </w:rPr>
        <w:t>供应商</w:t>
      </w:r>
      <w:r>
        <w:rPr>
          <w:rFonts w:ascii="Tahoma" w:hAnsi="Tahoma" w:cs="Tahoma"/>
          <w:szCs w:val="21"/>
        </w:rPr>
        <w:t xml:space="preserve">名单和评标委员会成员名单； </w:t>
      </w:r>
    </w:p>
    <w:p>
      <w:pPr>
        <w:spacing w:line="360" w:lineRule="auto"/>
        <w:ind w:firstLine="240" w:firstLineChars="100"/>
        <w:rPr>
          <w:rFonts w:ascii="Tahoma" w:hAnsi="Tahoma" w:cs="Tahoma"/>
          <w:szCs w:val="21"/>
        </w:rPr>
      </w:pPr>
      <w:r>
        <w:rPr>
          <w:rFonts w:ascii="Tahoma" w:hAnsi="Tahoma" w:cs="Tahoma"/>
          <w:szCs w:val="21"/>
        </w:rPr>
        <w:t xml:space="preserve">（3）评标方法和标准； </w:t>
      </w:r>
    </w:p>
    <w:p>
      <w:pPr>
        <w:spacing w:line="360" w:lineRule="auto"/>
        <w:ind w:firstLine="240" w:firstLineChars="100"/>
        <w:rPr>
          <w:rFonts w:ascii="Tahoma" w:hAnsi="Tahoma" w:cs="Tahoma"/>
          <w:szCs w:val="21"/>
        </w:rPr>
      </w:pPr>
      <w:r>
        <w:rPr>
          <w:rFonts w:ascii="Tahoma" w:hAnsi="Tahoma" w:cs="Tahoma"/>
          <w:szCs w:val="21"/>
        </w:rPr>
        <w:t>（4）开标记录和评标情况及说明，包括投标无效</w:t>
      </w:r>
      <w:r>
        <w:rPr>
          <w:rFonts w:hint="eastAsia" w:ascii="Tahoma" w:hAnsi="Tahoma" w:cs="Tahoma"/>
          <w:szCs w:val="21"/>
        </w:rPr>
        <w:t>供应商</w:t>
      </w:r>
      <w:r>
        <w:rPr>
          <w:rFonts w:ascii="Tahoma" w:hAnsi="Tahoma" w:cs="Tahoma"/>
          <w:szCs w:val="21"/>
        </w:rPr>
        <w:t xml:space="preserve">名单及原因； </w:t>
      </w:r>
    </w:p>
    <w:p>
      <w:pPr>
        <w:spacing w:line="360" w:lineRule="auto"/>
        <w:ind w:firstLine="240" w:firstLineChars="100"/>
        <w:rPr>
          <w:rFonts w:ascii="Tahoma" w:hAnsi="Tahoma" w:cs="Tahoma"/>
          <w:szCs w:val="21"/>
        </w:rPr>
      </w:pPr>
      <w:r>
        <w:rPr>
          <w:rFonts w:ascii="Tahoma" w:hAnsi="Tahoma" w:cs="Tahoma"/>
          <w:szCs w:val="21"/>
        </w:rPr>
        <w:t xml:space="preserve">（5）评标结果和中标候人排序表； </w:t>
      </w:r>
    </w:p>
    <w:p>
      <w:pPr>
        <w:spacing w:line="360" w:lineRule="auto"/>
        <w:ind w:firstLine="240" w:firstLineChars="100"/>
        <w:rPr>
          <w:rFonts w:ascii="Tahoma" w:hAnsi="Tahoma" w:cs="Tahoma"/>
          <w:szCs w:val="21"/>
        </w:rPr>
      </w:pPr>
      <w:r>
        <w:rPr>
          <w:rFonts w:ascii="Tahoma" w:hAnsi="Tahoma" w:cs="Tahoma"/>
          <w:szCs w:val="21"/>
        </w:rPr>
        <w:t xml:space="preserve">（6）评标委员会的授标建议。 </w:t>
      </w:r>
    </w:p>
    <w:p>
      <w:pPr>
        <w:spacing w:line="360" w:lineRule="auto"/>
        <w:rPr>
          <w:rFonts w:ascii="Tahoma" w:hAnsi="Tahoma" w:cs="Tahoma"/>
          <w:szCs w:val="21"/>
        </w:rPr>
      </w:pPr>
      <w:r>
        <w:rPr>
          <w:rFonts w:ascii="Tahoma" w:hAnsi="Tahoma" w:cs="Tahoma"/>
          <w:szCs w:val="21"/>
        </w:rPr>
        <w:t>3.6.2招标代理机构在评标结束后</w:t>
      </w:r>
      <w:r>
        <w:rPr>
          <w:rFonts w:hint="eastAsia" w:ascii="Tahoma" w:hAnsi="Tahoma" w:cs="Tahoma"/>
          <w:szCs w:val="21"/>
        </w:rPr>
        <w:t>2</w:t>
      </w:r>
      <w:r>
        <w:rPr>
          <w:rFonts w:ascii="Tahoma" w:hAnsi="Tahoma" w:cs="Tahoma"/>
          <w:szCs w:val="21"/>
        </w:rPr>
        <w:t>个工作日内将评标报告送</w:t>
      </w:r>
      <w:r>
        <w:rPr>
          <w:rFonts w:hint="eastAsia" w:ascii="Tahoma" w:hAnsi="Tahoma" w:cs="Tahoma"/>
          <w:szCs w:val="21"/>
        </w:rPr>
        <w:t>采购人</w:t>
      </w:r>
      <w:r>
        <w:rPr>
          <w:rFonts w:ascii="Tahoma" w:hAnsi="Tahoma" w:cs="Tahoma"/>
          <w:szCs w:val="21"/>
        </w:rPr>
        <w:t>。</w:t>
      </w:r>
    </w:p>
    <w:p>
      <w:pPr>
        <w:spacing w:line="360" w:lineRule="auto"/>
        <w:rPr>
          <w:rFonts w:ascii="Tahoma" w:hAnsi="Tahoma" w:cs="Tahoma"/>
          <w:b/>
        </w:rPr>
      </w:pPr>
      <w:r>
        <w:rPr>
          <w:rFonts w:ascii="Tahoma" w:hAnsi="Tahoma" w:cs="Tahoma"/>
          <w:b/>
        </w:rPr>
        <w:t>3.</w:t>
      </w:r>
      <w:r>
        <w:rPr>
          <w:rFonts w:hint="eastAsia" w:ascii="Tahoma" w:hAnsi="Tahoma" w:cs="Tahoma"/>
          <w:b/>
        </w:rPr>
        <w:t>7</w:t>
      </w:r>
      <w:r>
        <w:rPr>
          <w:rFonts w:ascii="Tahoma" w:hAnsi="Tahoma" w:cs="Tahoma"/>
          <w:b/>
        </w:rPr>
        <w:t>确定中标人</w:t>
      </w:r>
    </w:p>
    <w:p>
      <w:pPr>
        <w:spacing w:line="360" w:lineRule="auto"/>
        <w:rPr>
          <w:rFonts w:ascii="Tahoma" w:hAnsi="Tahoma" w:cs="Tahoma"/>
        </w:rPr>
      </w:pPr>
      <w:r>
        <w:rPr>
          <w:rFonts w:ascii="Tahoma" w:hAnsi="Tahoma" w:cs="Tahoma"/>
        </w:rPr>
        <w:t>3.</w:t>
      </w:r>
      <w:r>
        <w:rPr>
          <w:rFonts w:hint="eastAsia" w:ascii="Tahoma" w:hAnsi="Tahoma" w:cs="Tahoma"/>
        </w:rPr>
        <w:t>7</w:t>
      </w:r>
      <w:r>
        <w:rPr>
          <w:rFonts w:ascii="Tahoma" w:hAnsi="Tahoma" w:cs="Tahoma"/>
        </w:rPr>
        <w:t>.1采购人应当自收到评标报告之日起5个工作日内，在评标报告确定的</w:t>
      </w:r>
      <w:r>
        <w:rPr>
          <w:rFonts w:hint="eastAsia" w:ascii="Tahoma" w:hAnsi="Tahoma" w:cs="Tahoma"/>
        </w:rPr>
        <w:t>成交候选人</w:t>
      </w:r>
      <w:r>
        <w:rPr>
          <w:rFonts w:ascii="Tahoma" w:hAnsi="Tahoma" w:cs="Tahoma"/>
        </w:rPr>
        <w:t>名单中按顺序确定中标人。</w:t>
      </w:r>
      <w:r>
        <w:rPr>
          <w:rFonts w:hint="eastAsia" w:ascii="Tahoma" w:hAnsi="Tahoma" w:cs="Tahoma"/>
        </w:rPr>
        <w:t>成交候选人</w:t>
      </w:r>
      <w:r>
        <w:rPr>
          <w:rFonts w:ascii="Tahoma" w:hAnsi="Tahoma" w:cs="Tahoma"/>
        </w:rPr>
        <w:t>并列的，由采购人或者采购人委托评标委员会按照招标文件规定的方式确定中标人；招标文件未规定的，采取随机抽取的方式确定。</w:t>
      </w:r>
    </w:p>
    <w:p>
      <w:pPr>
        <w:spacing w:line="360" w:lineRule="auto"/>
        <w:rPr>
          <w:rFonts w:ascii="Tahoma" w:hAnsi="Tahoma" w:cs="Tahoma"/>
        </w:rPr>
      </w:pPr>
      <w:r>
        <w:rPr>
          <w:rFonts w:ascii="Tahoma" w:hAnsi="Tahoma" w:cs="Tahoma"/>
        </w:rPr>
        <w:t>3.</w:t>
      </w:r>
      <w:r>
        <w:rPr>
          <w:rFonts w:hint="eastAsia" w:ascii="Tahoma" w:hAnsi="Tahoma" w:cs="Tahoma"/>
        </w:rPr>
        <w:t>7</w:t>
      </w:r>
      <w:r>
        <w:rPr>
          <w:rFonts w:ascii="Tahoma" w:hAnsi="Tahoma" w:cs="Tahoma"/>
        </w:rPr>
        <w:t>.2采购人在收到评标报告5个工作日内未按评标报告推荐的</w:t>
      </w:r>
      <w:r>
        <w:rPr>
          <w:rFonts w:hint="eastAsia" w:ascii="Tahoma" w:hAnsi="Tahoma" w:cs="Tahoma"/>
        </w:rPr>
        <w:t>成交候选人</w:t>
      </w:r>
      <w:r>
        <w:rPr>
          <w:rFonts w:ascii="Tahoma" w:hAnsi="Tahoma" w:cs="Tahoma"/>
        </w:rPr>
        <w:t>顺序确定中标人，又不能说明合法理由的，视同按评标报告推荐的顺序确定排名</w:t>
      </w:r>
      <w:r>
        <w:rPr>
          <w:rFonts w:hint="eastAsia" w:ascii="Tahoma" w:hAnsi="Tahoma" w:cs="Tahoma"/>
        </w:rPr>
        <w:t>第一</w:t>
      </w:r>
      <w:r>
        <w:rPr>
          <w:rFonts w:ascii="Tahoma" w:hAnsi="Tahoma" w:cs="Tahoma"/>
        </w:rPr>
        <w:t>的</w:t>
      </w:r>
      <w:r>
        <w:rPr>
          <w:rFonts w:hint="eastAsia" w:ascii="Tahoma" w:hAnsi="Tahoma" w:cs="Tahoma"/>
        </w:rPr>
        <w:t>成交候选人</w:t>
      </w:r>
      <w:r>
        <w:rPr>
          <w:rFonts w:ascii="Tahoma" w:hAnsi="Tahoma" w:cs="Tahoma"/>
        </w:rPr>
        <w:t>为中标人。</w:t>
      </w:r>
    </w:p>
    <w:p>
      <w:pPr>
        <w:spacing w:line="360" w:lineRule="auto"/>
        <w:rPr>
          <w:b/>
          <w:sz w:val="28"/>
        </w:rPr>
      </w:pPr>
      <w:r>
        <w:rPr>
          <w:rFonts w:ascii="Tahoma" w:hAnsi="Tahoma" w:cs="Tahoma"/>
          <w:szCs w:val="21"/>
        </w:rPr>
        <w:t>3.</w:t>
      </w:r>
      <w:r>
        <w:rPr>
          <w:rFonts w:hint="eastAsia" w:ascii="Tahoma" w:hAnsi="Tahoma" w:cs="Tahoma"/>
          <w:szCs w:val="21"/>
        </w:rPr>
        <w:t>7</w:t>
      </w:r>
      <w:r>
        <w:rPr>
          <w:rFonts w:ascii="Tahoma" w:hAnsi="Tahoma" w:cs="Tahoma"/>
          <w:szCs w:val="21"/>
        </w:rPr>
        <w:t>.3如果排名</w:t>
      </w:r>
      <w:r>
        <w:rPr>
          <w:rFonts w:hint="eastAsia" w:ascii="Tahoma" w:hAnsi="Tahoma" w:cs="Tahoma"/>
          <w:szCs w:val="21"/>
        </w:rPr>
        <w:t>第一</w:t>
      </w:r>
      <w:r>
        <w:rPr>
          <w:rFonts w:ascii="Tahoma" w:hAnsi="Tahoma" w:cs="Tahoma"/>
          <w:szCs w:val="21"/>
        </w:rPr>
        <w:t>的成交候选供应商，因不可抗力或自身原因放弃成交结果，可根据项目所需确定排名</w:t>
      </w:r>
      <w:r>
        <w:rPr>
          <w:rFonts w:hint="eastAsia" w:ascii="Tahoma" w:hAnsi="Tahoma" w:cs="Tahoma"/>
          <w:szCs w:val="21"/>
        </w:rPr>
        <w:t>第二</w:t>
      </w:r>
      <w:r>
        <w:rPr>
          <w:rFonts w:ascii="Tahoma" w:hAnsi="Tahoma" w:cs="Tahoma"/>
          <w:szCs w:val="21"/>
        </w:rPr>
        <w:t>的成交候选供应商为成交供应商，以此类推。</w:t>
      </w:r>
      <w:r>
        <w:rPr>
          <w:b/>
          <w:sz w:val="28"/>
        </w:rPr>
        <w:br w:type="page"/>
      </w:r>
    </w:p>
    <w:p>
      <w:pPr>
        <w:numPr>
          <w:ilvl w:val="0"/>
          <w:numId w:val="6"/>
        </w:numPr>
        <w:spacing w:line="360" w:lineRule="auto"/>
        <w:jc w:val="center"/>
        <w:outlineLvl w:val="0"/>
        <w:rPr>
          <w:b/>
          <w:sz w:val="28"/>
        </w:rPr>
      </w:pPr>
      <w:bookmarkStart w:id="30" w:name="_Toc92733676"/>
      <w:r>
        <w:rPr>
          <w:rFonts w:hint="eastAsia"/>
          <w:b/>
          <w:sz w:val="28"/>
        </w:rPr>
        <w:t xml:space="preserve"> 采购需求书</w:t>
      </w:r>
      <w:bookmarkEnd w:id="30"/>
    </w:p>
    <w:p>
      <w:pPr>
        <w:pStyle w:val="11"/>
        <w:numPr>
          <w:ilvl w:val="0"/>
          <w:numId w:val="7"/>
        </w:numPr>
        <w:rPr>
          <w:b/>
        </w:rPr>
      </w:pPr>
      <w:r>
        <w:rPr>
          <w:rFonts w:hint="eastAsia"/>
          <w:b/>
          <w:sz w:val="24"/>
        </w:rPr>
        <w:t>相关要求</w:t>
      </w:r>
    </w:p>
    <w:p>
      <w:pPr>
        <w:tabs>
          <w:tab w:val="left" w:pos="1440"/>
          <w:tab w:val="left" w:pos="2100"/>
        </w:tabs>
        <w:spacing w:line="440" w:lineRule="exact"/>
        <w:ind w:firstLine="480" w:firstLineChars="200"/>
        <w:rPr>
          <w:rFonts w:hint="eastAsia"/>
        </w:rPr>
      </w:pPr>
      <w:r>
        <w:rPr>
          <w:rFonts w:hint="eastAsia"/>
        </w:rPr>
        <w:t>1.供货单位为厂商的，在本地需具有固定的经营场所；供货单位为经销商的，需具有稳定的货源厂商及本地固定的经营场所；</w:t>
      </w:r>
    </w:p>
    <w:p>
      <w:pPr>
        <w:tabs>
          <w:tab w:val="left" w:pos="1440"/>
          <w:tab w:val="left" w:pos="2100"/>
        </w:tabs>
        <w:spacing w:line="440" w:lineRule="exact"/>
        <w:ind w:firstLine="480" w:firstLineChars="200"/>
        <w:rPr>
          <w:rFonts w:hint="eastAsia"/>
        </w:rPr>
      </w:pPr>
      <w:r>
        <w:rPr>
          <w:rFonts w:hint="eastAsia"/>
        </w:rPr>
        <w:t>2.所有参与投标的供货单位能够独立承担民事等经济责任的法人或其他经济组织。履行合同能力强，具有良好的商业信誉、产品质量有保证、财务状况良好、稳定的服务队伍和配送车辆，在经营活动中没有不讲诚信、不讲信誉，不恪守职业道德的行为。要以质量求生存，以信誉求发展；</w:t>
      </w:r>
    </w:p>
    <w:p>
      <w:pPr>
        <w:tabs>
          <w:tab w:val="left" w:pos="1440"/>
          <w:tab w:val="left" w:pos="2100"/>
        </w:tabs>
        <w:spacing w:line="440" w:lineRule="exact"/>
        <w:ind w:firstLine="480" w:firstLineChars="200"/>
        <w:rPr>
          <w:rFonts w:hint="eastAsia"/>
        </w:rPr>
      </w:pPr>
      <w:r>
        <w:rPr>
          <w:rFonts w:hint="eastAsia"/>
        </w:rPr>
        <w:t>3.所有参与投标的供货单位一旦中标，必须保障能够提供银行账户和统一发票（不能在税务局代开发票），如达不到要求视为自行放弃供货资格；</w:t>
      </w:r>
    </w:p>
    <w:p>
      <w:pPr>
        <w:tabs>
          <w:tab w:val="left" w:pos="1440"/>
          <w:tab w:val="left" w:pos="2100"/>
        </w:tabs>
        <w:spacing w:line="440" w:lineRule="exact"/>
        <w:ind w:firstLine="480" w:firstLineChars="200"/>
        <w:rPr>
          <w:rFonts w:hint="eastAsia"/>
        </w:rPr>
      </w:pPr>
      <w:r>
        <w:rPr>
          <w:rFonts w:hint="eastAsia"/>
        </w:rPr>
        <w:t>4.所有参与招标供货单位需做到质量合格、价格稳定，坚决杜绝以次充好。所有招标供货单位所报价格应低于同类物的一级市场批发价，所报价格均为到货价（此价格包括物品、包装、运输、搬运装卸、税费、人工等一切费用）；</w:t>
      </w:r>
    </w:p>
    <w:p>
      <w:pPr>
        <w:tabs>
          <w:tab w:val="left" w:pos="1440"/>
          <w:tab w:val="left" w:pos="2100"/>
        </w:tabs>
        <w:spacing w:line="440" w:lineRule="exact"/>
        <w:ind w:firstLine="480" w:firstLineChars="200"/>
        <w:rPr>
          <w:rFonts w:hint="eastAsia"/>
        </w:rPr>
      </w:pPr>
      <w:r>
        <w:rPr>
          <w:rFonts w:hint="eastAsia"/>
        </w:rPr>
        <w:t>5.供货单位为甲方新疆大学学生餐饮管理服务中心所管辖的所有食堂（基本灶和调剂灶）配送物资，并搬运入库（含二、三楼），不得另收取其它任何费用；</w:t>
      </w:r>
    </w:p>
    <w:p>
      <w:pPr>
        <w:tabs>
          <w:tab w:val="left" w:pos="1440"/>
          <w:tab w:val="left" w:pos="2100"/>
        </w:tabs>
        <w:spacing w:line="440" w:lineRule="exact"/>
        <w:ind w:firstLine="480" w:firstLineChars="200"/>
      </w:pPr>
      <w:r>
        <w:rPr>
          <w:rFonts w:hint="eastAsia"/>
        </w:rPr>
        <w:t>6.中标供货单位保证在供货时遵从甲方关于本项目的采购程序，保证不会将合同及（或）其中的权利、义务转让，不得转包、分包；一经发现，甲方有权终止合同，并扣除当月货款或履约保证金；</w:t>
      </w:r>
    </w:p>
    <w:p>
      <w:pPr>
        <w:tabs>
          <w:tab w:val="left" w:pos="1440"/>
          <w:tab w:val="left" w:pos="2100"/>
        </w:tabs>
        <w:spacing w:line="440" w:lineRule="exact"/>
        <w:ind w:firstLine="480" w:firstLineChars="200"/>
      </w:pPr>
      <w:r>
        <w:rPr>
          <w:rFonts w:hint="eastAsia"/>
        </w:rPr>
        <w:t>7.供货单位在供应过程中，若所供物资因质量原因造成不良后果，或因送货车辆在校园内发生交通事故，及其他供方原因引起的恶性事件，供方应承担全部经济责任，并追究相关法律责任。需方有权扣除货款或履约保证金，情节特别严重的可终止合同，取消其供应资格。</w:t>
      </w:r>
    </w:p>
    <w:p>
      <w:pPr>
        <w:tabs>
          <w:tab w:val="left" w:pos="1440"/>
          <w:tab w:val="left" w:pos="2100"/>
        </w:tabs>
        <w:spacing w:line="440" w:lineRule="exact"/>
        <w:ind w:firstLine="480" w:firstLineChars="200"/>
      </w:pPr>
      <w:r>
        <w:rPr>
          <w:rFonts w:hint="eastAsia"/>
        </w:rPr>
        <w:t>8.参加各合同包招标的单位，需在开标前向招标公司交纳投标保证金，投标人报名成功后不得更改或撤销投标文件。中标后的投标文件将具有法律效力，中标后依照投标文件内报价签订供货合同，中标后不得以不正当理由拖延或拒签供货合同，签订供货合同时需同时向需方缴纳履约保证金（合同到期后无息全额退还履约保证金，供货方违约的除外）。在签订供货合同时不得向需方提出附加条件、或者不按照招标文件要求提交履约保证金。否则，需方有权通知招标公司不予返还投标人递交的投标保证金，并将影响投标人诚信记录。</w:t>
      </w:r>
    </w:p>
    <w:p>
      <w:pPr>
        <w:tabs>
          <w:tab w:val="left" w:pos="1440"/>
          <w:tab w:val="left" w:pos="2100"/>
        </w:tabs>
        <w:spacing w:line="440" w:lineRule="exact"/>
        <w:ind w:firstLine="480" w:firstLineChars="200"/>
      </w:pPr>
      <w:r>
        <w:rPr>
          <w:rFonts w:hint="eastAsia"/>
        </w:rPr>
        <w:t>9.中标单位在中标公示结束后10日内（签订合同前）向采购人缴纳履约保证金，以约束中标单位履行合同。签订供货合同时，中标单位需向需求方提供履约保证金打款依据（银行汇款单等）。</w:t>
      </w:r>
    </w:p>
    <w:p>
      <w:pPr>
        <w:tabs>
          <w:tab w:val="left" w:pos="1440"/>
          <w:tab w:val="left" w:pos="2100"/>
        </w:tabs>
        <w:spacing w:line="440" w:lineRule="exact"/>
        <w:ind w:firstLine="480" w:firstLineChars="200"/>
        <w:rPr>
          <w:rFonts w:hint="eastAsia"/>
        </w:rPr>
      </w:pPr>
      <w:r>
        <w:rPr>
          <w:rFonts w:hint="eastAsia"/>
        </w:rPr>
        <w:t>10.如在履行合同期内出现质量问题，无故延迟送货，不送货，不按招标品牌要求送货，不按甲方所报数量送货等，因乙方自身原因影响餐厅正常开餐的，需求方有权不退还中标单位履约保证金或视情况扣减；</w:t>
      </w:r>
    </w:p>
    <w:p>
      <w:pPr>
        <w:tabs>
          <w:tab w:val="left" w:pos="1440"/>
          <w:tab w:val="left" w:pos="2100"/>
        </w:tabs>
        <w:spacing w:line="440" w:lineRule="exact"/>
        <w:ind w:firstLine="480" w:firstLineChars="200"/>
        <w:rPr>
          <w:rFonts w:hint="eastAsia"/>
        </w:rPr>
      </w:pPr>
      <w:r>
        <w:rPr>
          <w:rFonts w:hint="eastAsia"/>
        </w:rPr>
        <w:t>11.合同到期后需方不计息全额返还中标单位履约保证金。合同到期后45个工作日内，乙方须完成退还手续，否则视为自动放弃退款，且甲方不再承担退款责任。</w:t>
      </w:r>
    </w:p>
    <w:p>
      <w:pPr>
        <w:tabs>
          <w:tab w:val="left" w:pos="1440"/>
          <w:tab w:val="left" w:pos="2100"/>
        </w:tabs>
        <w:spacing w:line="440" w:lineRule="exact"/>
        <w:ind w:firstLine="480" w:firstLineChars="200"/>
        <w:rPr>
          <w:rFonts w:hint="eastAsia"/>
        </w:rPr>
      </w:pPr>
      <w:r>
        <w:rPr>
          <w:rFonts w:hint="eastAsia"/>
        </w:rPr>
        <w:t>12.中标单位在签订合同的同时，需要签订质量保证书及廉政协议书；</w:t>
      </w:r>
    </w:p>
    <w:p>
      <w:pPr>
        <w:tabs>
          <w:tab w:val="left" w:pos="1440"/>
          <w:tab w:val="left" w:pos="2100"/>
        </w:tabs>
        <w:spacing w:line="440" w:lineRule="exact"/>
        <w:ind w:firstLine="480" w:firstLineChars="200"/>
        <w:rPr>
          <w:rFonts w:hint="eastAsia"/>
        </w:rPr>
      </w:pPr>
      <w:r>
        <w:rPr>
          <w:rFonts w:hint="eastAsia"/>
        </w:rPr>
        <w:t>13.面粉招一家供货单位；</w:t>
      </w:r>
    </w:p>
    <w:p>
      <w:pPr>
        <w:tabs>
          <w:tab w:val="left" w:pos="1440"/>
          <w:tab w:val="left" w:pos="2100"/>
        </w:tabs>
        <w:spacing w:line="440" w:lineRule="exact"/>
        <w:ind w:firstLine="480" w:firstLineChars="200"/>
        <w:rPr>
          <w:rFonts w:hint="eastAsia"/>
        </w:rPr>
      </w:pPr>
      <w:r>
        <w:rPr>
          <w:rFonts w:hint="eastAsia"/>
        </w:rPr>
        <w:t>14.投标单位自报两个产品品牌</w:t>
      </w:r>
      <w:r>
        <w:rPr>
          <w:rFonts w:hint="eastAsia"/>
          <w:lang w:eastAsia="zh-CN"/>
        </w:rPr>
        <w:t>，</w:t>
      </w:r>
      <w:r>
        <w:rPr>
          <w:rFonts w:hint="eastAsia"/>
        </w:rPr>
        <w:t>投标单位为生产厂家的可报一个品牌，合同周期内，未经甲方书面同意，招标品牌不得随意调换，否则按照虚假应标处理；</w:t>
      </w:r>
    </w:p>
    <w:p>
      <w:pPr>
        <w:tabs>
          <w:tab w:val="left" w:pos="1440"/>
          <w:tab w:val="left" w:pos="2100"/>
        </w:tabs>
        <w:spacing w:line="440" w:lineRule="exact"/>
        <w:ind w:firstLine="480" w:firstLineChars="200"/>
        <w:rPr>
          <w:rFonts w:hint="eastAsia"/>
        </w:rPr>
      </w:pPr>
      <w:r>
        <w:rPr>
          <w:rFonts w:hint="eastAsia"/>
        </w:rPr>
        <w:t>15.投标单位具备突发事件应急能力，及一定抗市场风险能力；</w:t>
      </w:r>
    </w:p>
    <w:p>
      <w:pPr>
        <w:tabs>
          <w:tab w:val="left" w:pos="1440"/>
          <w:tab w:val="left" w:pos="2100"/>
        </w:tabs>
        <w:spacing w:line="440" w:lineRule="exact"/>
        <w:ind w:firstLine="480" w:firstLineChars="200"/>
        <w:rPr>
          <w:rFonts w:hint="eastAsia"/>
        </w:rPr>
      </w:pPr>
      <w:r>
        <w:rPr>
          <w:rFonts w:hint="eastAsia"/>
        </w:rPr>
        <w:t>16.具备专业服务及配送队伍，具有企业专用配送车辆；</w:t>
      </w:r>
    </w:p>
    <w:p>
      <w:pPr>
        <w:tabs>
          <w:tab w:val="left" w:pos="1440"/>
          <w:tab w:val="left" w:pos="2100"/>
        </w:tabs>
        <w:spacing w:line="440" w:lineRule="exact"/>
        <w:ind w:firstLine="480" w:firstLineChars="200"/>
        <w:rPr>
          <w:rFonts w:hint="eastAsia"/>
        </w:rPr>
      </w:pPr>
      <w:r>
        <w:rPr>
          <w:rFonts w:hint="eastAsia"/>
        </w:rPr>
        <w:t>17.具有完善的售后服务体系、服务机构、服务人员、联系方式、处理问题的沟通应急能力；</w:t>
      </w:r>
    </w:p>
    <w:p>
      <w:pPr>
        <w:tabs>
          <w:tab w:val="left" w:pos="1440"/>
          <w:tab w:val="left" w:pos="2100"/>
        </w:tabs>
        <w:spacing w:line="440" w:lineRule="exact"/>
        <w:ind w:firstLine="480" w:firstLineChars="200"/>
        <w:rPr>
          <w:rFonts w:hint="default"/>
          <w:lang w:val="en-US" w:eastAsia="zh-CN"/>
        </w:rPr>
      </w:pPr>
      <w:r>
        <w:rPr>
          <w:rFonts w:hint="eastAsia"/>
          <w:lang w:val="en-US" w:eastAsia="zh-CN"/>
        </w:rPr>
        <w:t>18.中标方须从2023年1月1日起在扶贫832平台上采购预算金额10%的用量，并按中标价的金额以新疆大学名义开取发票。</w:t>
      </w:r>
    </w:p>
    <w:p>
      <w:pPr>
        <w:pStyle w:val="40"/>
        <w:spacing w:line="360" w:lineRule="auto"/>
        <w:ind w:firstLine="480" w:firstLineChars="200"/>
        <w:rPr>
          <w:rFonts w:hAnsi="宋体" w:cs="宋体"/>
          <w:szCs w:val="24"/>
        </w:rPr>
      </w:pPr>
    </w:p>
    <w:p>
      <w:pPr>
        <w:numPr>
          <w:ilvl w:val="0"/>
          <w:numId w:val="7"/>
        </w:numPr>
        <w:spacing w:line="360" w:lineRule="auto"/>
        <w:outlineLvl w:val="1"/>
        <w:rPr>
          <w:b/>
          <w:bCs/>
          <w:szCs w:val="18"/>
        </w:rPr>
      </w:pPr>
      <w:r>
        <w:rPr>
          <w:rFonts w:hint="eastAsia"/>
          <w:b/>
          <w:bCs/>
          <w:szCs w:val="18"/>
        </w:rPr>
        <w:t>货物需求清单</w:t>
      </w:r>
    </w:p>
    <w:tbl>
      <w:tblPr>
        <w:tblStyle w:val="33"/>
        <w:tblW w:w="8843" w:type="dxa"/>
        <w:tblInd w:w="93" w:type="dxa"/>
        <w:tblLayout w:type="fixed"/>
        <w:tblCellMar>
          <w:top w:w="0" w:type="dxa"/>
          <w:left w:w="108" w:type="dxa"/>
          <w:bottom w:w="0" w:type="dxa"/>
          <w:right w:w="108" w:type="dxa"/>
        </w:tblCellMar>
      </w:tblPr>
      <w:tblGrid>
        <w:gridCol w:w="1079"/>
        <w:gridCol w:w="1612"/>
        <w:gridCol w:w="2048"/>
        <w:gridCol w:w="1848"/>
        <w:gridCol w:w="2256"/>
      </w:tblGrid>
      <w:tr>
        <w:tblPrEx>
          <w:tblCellMar>
            <w:top w:w="0" w:type="dxa"/>
            <w:left w:w="108" w:type="dxa"/>
            <w:bottom w:w="0" w:type="dxa"/>
            <w:right w:w="108" w:type="dxa"/>
          </w:tblCellMar>
        </w:tblPrEx>
        <w:trPr>
          <w:trHeight w:val="577" w:hRule="atLeast"/>
        </w:trPr>
        <w:tc>
          <w:tcPr>
            <w:tcW w:w="8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rPr>
            </w:pPr>
            <w:bookmarkStart w:id="31" w:name="_Toc92733682"/>
            <w:r>
              <w:rPr>
                <w:rFonts w:hint="eastAsia"/>
                <w:b/>
                <w:bCs/>
                <w:szCs w:val="18"/>
              </w:rPr>
              <w:t>第二包 面粉明细</w:t>
            </w:r>
          </w:p>
        </w:tc>
      </w:tr>
      <w:tr>
        <w:tblPrEx>
          <w:tblCellMar>
            <w:top w:w="0" w:type="dxa"/>
            <w:left w:w="108" w:type="dxa"/>
            <w:bottom w:w="0" w:type="dxa"/>
            <w:right w:w="108" w:type="dxa"/>
          </w:tblCellMar>
        </w:tblPrEx>
        <w:trPr>
          <w:trHeight w:val="577"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序号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品名</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规格</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单位</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年参考用量</w:t>
            </w:r>
          </w:p>
        </w:tc>
      </w:tr>
      <w:tr>
        <w:tblPrEx>
          <w:tblCellMar>
            <w:top w:w="0" w:type="dxa"/>
            <w:left w:w="108" w:type="dxa"/>
            <w:bottom w:w="0" w:type="dxa"/>
            <w:right w:w="108" w:type="dxa"/>
          </w:tblCellMar>
        </w:tblPrEx>
        <w:trPr>
          <w:trHeight w:val="5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1</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特一粉</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rPr>
            </w:pPr>
            <w:r>
              <w:rPr>
                <w:rFonts w:hint="eastAsia"/>
                <w:color w:val="000000"/>
              </w:rPr>
              <w:t>25公斤/每袋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公斤</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highlight w:val="none"/>
              </w:rPr>
            </w:pPr>
            <w:r>
              <w:rPr>
                <w:rFonts w:hint="eastAsia"/>
                <w:color w:val="000000"/>
                <w:highlight w:val="none"/>
              </w:rPr>
              <w:t>450000</w:t>
            </w:r>
          </w:p>
        </w:tc>
      </w:tr>
      <w:tr>
        <w:tblPrEx>
          <w:tblCellMar>
            <w:top w:w="0" w:type="dxa"/>
            <w:left w:w="108" w:type="dxa"/>
            <w:bottom w:w="0" w:type="dxa"/>
            <w:right w:w="108" w:type="dxa"/>
          </w:tblCellMar>
        </w:tblPrEx>
        <w:trPr>
          <w:trHeight w:val="5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2</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高筋粉</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rPr>
            </w:pPr>
            <w:r>
              <w:rPr>
                <w:rFonts w:hint="eastAsia"/>
                <w:color w:val="000000"/>
              </w:rPr>
              <w:t>25公斤/每袋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公斤</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highlight w:val="none"/>
              </w:rPr>
            </w:pPr>
            <w:r>
              <w:rPr>
                <w:rFonts w:hint="eastAsia"/>
                <w:color w:val="000000"/>
                <w:highlight w:val="none"/>
              </w:rPr>
              <w:t>10000</w:t>
            </w:r>
          </w:p>
        </w:tc>
      </w:tr>
      <w:tr>
        <w:tblPrEx>
          <w:tblCellMar>
            <w:top w:w="0" w:type="dxa"/>
            <w:left w:w="108" w:type="dxa"/>
            <w:bottom w:w="0" w:type="dxa"/>
            <w:right w:w="108" w:type="dxa"/>
          </w:tblCellMar>
        </w:tblPrEx>
        <w:trPr>
          <w:trHeight w:val="5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3</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切面粉</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rPr>
            </w:pPr>
            <w:r>
              <w:rPr>
                <w:rFonts w:hint="eastAsia"/>
                <w:color w:val="000000"/>
              </w:rPr>
              <w:t>25公斤/每袋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公斤</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eastAsia="宋体"/>
                <w:color w:val="000000"/>
                <w:highlight w:val="none"/>
                <w:lang w:val="en-US" w:eastAsia="zh-CN"/>
              </w:rPr>
            </w:pPr>
            <w:r>
              <w:rPr>
                <w:rFonts w:hint="eastAsia"/>
                <w:color w:val="000000"/>
                <w:highlight w:val="none"/>
                <w:lang w:val="en-US" w:eastAsia="zh-CN"/>
              </w:rPr>
              <w:t>24000</w:t>
            </w:r>
          </w:p>
        </w:tc>
      </w:tr>
      <w:tr>
        <w:tblPrEx>
          <w:tblCellMar>
            <w:top w:w="0" w:type="dxa"/>
            <w:left w:w="108" w:type="dxa"/>
            <w:bottom w:w="0" w:type="dxa"/>
            <w:right w:w="108" w:type="dxa"/>
          </w:tblCellMar>
        </w:tblPrEx>
        <w:trPr>
          <w:trHeight w:val="5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4</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低筋粉</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rPr>
            </w:pPr>
            <w:r>
              <w:rPr>
                <w:rFonts w:hint="eastAsia"/>
                <w:color w:val="000000"/>
              </w:rPr>
              <w:t>25公斤/每袋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公斤</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eastAsia="宋体"/>
                <w:color w:val="000000"/>
                <w:highlight w:val="none"/>
                <w:lang w:val="en-US" w:eastAsia="zh-CN"/>
              </w:rPr>
            </w:pPr>
            <w:r>
              <w:rPr>
                <w:rFonts w:hint="eastAsia"/>
                <w:color w:val="000000"/>
                <w:highlight w:val="none"/>
                <w:lang w:val="en-US" w:eastAsia="zh-CN"/>
              </w:rPr>
              <w:t>1000</w:t>
            </w:r>
          </w:p>
        </w:tc>
      </w:tr>
      <w:tr>
        <w:tblPrEx>
          <w:tblCellMar>
            <w:top w:w="0" w:type="dxa"/>
            <w:left w:w="108" w:type="dxa"/>
            <w:bottom w:w="0" w:type="dxa"/>
            <w:right w:w="108" w:type="dxa"/>
          </w:tblCellMar>
        </w:tblPrEx>
        <w:trPr>
          <w:trHeight w:val="50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5</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全麦面粉</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color w:val="000000"/>
              </w:rPr>
            </w:pPr>
            <w:r>
              <w:rPr>
                <w:rFonts w:hint="eastAsia"/>
                <w:color w:val="000000"/>
              </w:rPr>
              <w:t>25公斤/每袋</w:t>
            </w:r>
          </w:p>
        </w:tc>
        <w:tc>
          <w:tcPr>
            <w:tcW w:w="1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color w:val="000000"/>
              </w:rPr>
              <w:t>公斤</w:t>
            </w:r>
          </w:p>
        </w:tc>
        <w:tc>
          <w:tcPr>
            <w:tcW w:w="22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eastAsia="宋体"/>
                <w:color w:val="000000"/>
                <w:highlight w:val="yellow"/>
                <w:lang w:val="en-US" w:eastAsia="zh-CN"/>
              </w:rPr>
            </w:pPr>
            <w:r>
              <w:rPr>
                <w:rFonts w:hint="eastAsia"/>
                <w:strike w:val="0"/>
                <w:dstrike w:val="0"/>
                <w:color w:val="000000"/>
                <w:highlight w:val="none"/>
                <w:lang w:val="en-US" w:eastAsia="zh-CN"/>
              </w:rPr>
              <w:t>1180</w:t>
            </w:r>
          </w:p>
        </w:tc>
      </w:tr>
      <w:tr>
        <w:tblPrEx>
          <w:tblCellMar>
            <w:top w:w="0" w:type="dxa"/>
            <w:left w:w="108" w:type="dxa"/>
            <w:bottom w:w="0" w:type="dxa"/>
            <w:right w:w="108" w:type="dxa"/>
          </w:tblCellMar>
        </w:tblPrEx>
        <w:trPr>
          <w:trHeight w:val="500" w:hRule="atLeast"/>
        </w:trPr>
        <w:tc>
          <w:tcPr>
            <w:tcW w:w="8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color w:val="000000"/>
              </w:rPr>
            </w:pPr>
            <w:r>
              <w:rPr>
                <w:rFonts w:hint="eastAsia"/>
                <w:b/>
                <w:bCs/>
                <w:color w:val="000000"/>
                <w:highlight w:val="none"/>
              </w:rPr>
              <w:t>面粉采购预算金额：</w:t>
            </w:r>
            <w:r>
              <w:rPr>
                <w:rFonts w:hint="eastAsia"/>
                <w:b/>
                <w:bCs/>
                <w:color w:val="000000"/>
                <w:sz w:val="22"/>
                <w:szCs w:val="22"/>
                <w:highlight w:val="none"/>
              </w:rPr>
              <w:t>2045720元</w:t>
            </w:r>
          </w:p>
        </w:tc>
      </w:tr>
      <w:bookmarkEnd w:id="31"/>
      <w:tr>
        <w:tblPrEx>
          <w:tblCellMar>
            <w:top w:w="0" w:type="dxa"/>
            <w:left w:w="108" w:type="dxa"/>
            <w:bottom w:w="0" w:type="dxa"/>
            <w:right w:w="108" w:type="dxa"/>
          </w:tblCellMar>
        </w:tblPrEx>
        <w:trPr>
          <w:trHeight w:val="632" w:hRule="atLeast"/>
        </w:trPr>
        <w:tc>
          <w:tcPr>
            <w:tcW w:w="88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textAlignment w:val="center"/>
            </w:pPr>
            <w:r>
              <w:rPr>
                <w:rFonts w:hint="eastAsia"/>
              </w:rPr>
              <w:t>1.以上年参考用量只用于评标参考，具体以需求方的需求量或使用量为准；</w:t>
            </w:r>
          </w:p>
          <w:p>
            <w:pPr>
              <w:spacing w:line="360" w:lineRule="auto"/>
              <w:jc w:val="both"/>
              <w:textAlignment w:val="center"/>
            </w:pPr>
            <w:r>
              <w:rPr>
                <w:rFonts w:hint="eastAsia"/>
              </w:rPr>
              <w:t>2.投标报价为所有品种的投标总额（投标总额=所投单价*年参考用量）的合计；</w:t>
            </w:r>
          </w:p>
          <w:p>
            <w:pPr>
              <w:spacing w:line="360" w:lineRule="auto"/>
              <w:jc w:val="both"/>
              <w:textAlignment w:val="center"/>
            </w:pPr>
            <w:r>
              <w:rPr>
                <w:rFonts w:hint="eastAsia"/>
              </w:rPr>
              <w:t>3.以上价格均为到校价格，包含物品、储藏、运输、搬运、装卸、税费等一切费用；</w:t>
            </w:r>
          </w:p>
          <w:p>
            <w:pPr>
              <w:spacing w:line="360" w:lineRule="auto"/>
              <w:jc w:val="both"/>
              <w:textAlignment w:val="center"/>
              <w:rPr>
                <w:color w:val="000000"/>
              </w:rPr>
            </w:pPr>
            <w:r>
              <w:rPr>
                <w:rFonts w:hint="eastAsia"/>
              </w:rPr>
              <w:t>4.报价方请务必按照上表内品名报价</w:t>
            </w:r>
            <w:r>
              <w:rPr>
                <w:rFonts w:hint="eastAsia"/>
                <w:lang w:val="en-US" w:eastAsia="zh-CN"/>
              </w:rPr>
              <w:t>不得</w:t>
            </w:r>
            <w:r>
              <w:rPr>
                <w:rFonts w:hint="eastAsia"/>
              </w:rPr>
              <w:t>少报、漏报、错报等。</w:t>
            </w:r>
          </w:p>
        </w:tc>
      </w:tr>
    </w:tbl>
    <w:p>
      <w:pPr>
        <w:rPr>
          <w:b/>
          <w:bCs/>
          <w:szCs w:val="18"/>
        </w:rPr>
      </w:pPr>
    </w:p>
    <w:p>
      <w:pPr>
        <w:spacing w:line="520" w:lineRule="exact"/>
        <w:ind w:firstLine="482" w:firstLineChars="200"/>
        <w:rPr>
          <w:b/>
          <w:bCs/>
          <w:szCs w:val="18"/>
        </w:rPr>
      </w:pPr>
      <w:r>
        <w:rPr>
          <w:rFonts w:hint="eastAsia"/>
          <w:b/>
          <w:bCs/>
        </w:rPr>
        <w:t>三、采购物资验收标准</w:t>
      </w:r>
    </w:p>
    <w:p>
      <w:pPr>
        <w:ind w:firstLine="482" w:firstLineChars="200"/>
        <w:jc w:val="both"/>
        <w:rPr>
          <w:b/>
          <w:bCs/>
          <w:szCs w:val="18"/>
        </w:rPr>
      </w:pPr>
      <w:r>
        <w:rPr>
          <w:rFonts w:hint="eastAsia"/>
          <w:b/>
          <w:bCs/>
          <w:szCs w:val="18"/>
        </w:rPr>
        <w:t>第二合同包：面粉</w:t>
      </w:r>
    </w:p>
    <w:p>
      <w:pPr>
        <w:spacing w:line="560" w:lineRule="exact"/>
        <w:ind w:firstLine="480" w:firstLineChars="200"/>
      </w:pPr>
      <w:r>
        <w:rPr>
          <w:rFonts w:hint="eastAsia"/>
        </w:rPr>
        <w:t>报价方式：招定价标，投标单位自行报价。</w:t>
      </w:r>
    </w:p>
    <w:p>
      <w:pPr>
        <w:pStyle w:val="27"/>
        <w:shd w:val="clear" w:color="auto" w:fill="FFFFFF"/>
        <w:spacing w:line="435" w:lineRule="atLeast"/>
        <w:ind w:firstLine="480" w:firstLineChars="200"/>
      </w:pPr>
      <w:r>
        <w:rPr>
          <w:rFonts w:hint="eastAsia"/>
        </w:rPr>
        <w:t>验收标准：</w:t>
      </w:r>
    </w:p>
    <w:p>
      <w:pPr>
        <w:pStyle w:val="124"/>
        <w:spacing w:line="560" w:lineRule="exact"/>
        <w:ind w:firstLine="470" w:firstLineChars="196"/>
        <w:rPr>
          <w:rFonts w:ascii="宋体" w:hAnsi="宋体" w:cs="宋体"/>
          <w:bCs/>
          <w:sz w:val="24"/>
        </w:rPr>
      </w:pPr>
      <w:r>
        <w:rPr>
          <w:rFonts w:hint="eastAsia" w:ascii="宋体" w:hAnsi="宋体" w:cs="宋体"/>
          <w:color w:val="auto"/>
          <w:kern w:val="2"/>
          <w:sz w:val="24"/>
        </w:rPr>
        <w:t>包装标签标识要求：有SC编码或QS标志，标明产品名称、净含量、生产者名称和地址、生产日期、保质期、产品标准号、质量等级、生产许可证号、产品批号等内容</w:t>
      </w:r>
      <w:r>
        <w:rPr>
          <w:rFonts w:hint="eastAsia" w:ascii="宋体" w:hAnsi="宋体" w:cs="宋体"/>
          <w:bCs/>
          <w:sz w:val="24"/>
        </w:rPr>
        <w:t>。</w:t>
      </w:r>
    </w:p>
    <w:p>
      <w:pPr>
        <w:pStyle w:val="27"/>
        <w:shd w:val="clear" w:color="auto" w:fill="FFFFFF"/>
        <w:spacing w:line="435" w:lineRule="atLeast"/>
        <w:ind w:firstLine="480" w:firstLineChars="200"/>
        <w:rPr>
          <w:kern w:val="2"/>
        </w:rPr>
      </w:pPr>
      <w:r>
        <w:rPr>
          <w:rFonts w:hint="eastAsia"/>
          <w:kern w:val="2"/>
        </w:rPr>
        <w:t>严格执行国家标准</w:t>
      </w:r>
      <w:r>
        <w:fldChar w:fldCharType="begin"/>
      </w:r>
      <w:r>
        <w:instrText xml:space="preserve"> HYPERLINK "javascript:void(0)" </w:instrText>
      </w:r>
      <w:r>
        <w:fldChar w:fldCharType="separate"/>
      </w:r>
      <w:r>
        <w:rPr>
          <w:rStyle w:val="38"/>
          <w:rFonts w:hint="eastAsia"/>
          <w:b/>
          <w:bCs/>
          <w:color w:val="auto"/>
          <w:shd w:val="clear" w:color="auto" w:fill="F5F5F5"/>
        </w:rPr>
        <w:t>GB/T 28120-2011</w:t>
      </w:r>
      <w:r>
        <w:rPr>
          <w:rStyle w:val="38"/>
          <w:rFonts w:hint="eastAsia"/>
          <w:b/>
          <w:bCs/>
          <w:color w:val="auto"/>
          <w:shd w:val="clear" w:color="auto" w:fill="F5F5F5"/>
        </w:rPr>
        <w:fldChar w:fldCharType="end"/>
      </w:r>
      <w:r>
        <w:rPr>
          <w:rFonts w:hint="eastAsia"/>
          <w:kern w:val="2"/>
        </w:rPr>
        <w:t>《小麦粉》或优于国标的企业标准</w:t>
      </w:r>
      <w:r>
        <w:rPr>
          <w:rFonts w:hint="eastAsia"/>
          <w:b/>
          <w:bCs/>
          <w:kern w:val="2"/>
        </w:rPr>
        <w:t>GB/T8607—1988《高筋小麦粉》、GB/T8608—1988《低筋小麦粉》</w:t>
      </w:r>
      <w:r>
        <w:rPr>
          <w:rFonts w:hint="eastAsia"/>
          <w:kern w:val="2"/>
        </w:rPr>
        <w:t>，要求面粉呈黄白色，手感细腻，粗细均匀，未受潮，干燥松散，无异味，无肉眼可见杂质，禁止使用任何添加剂。</w:t>
      </w:r>
    </w:p>
    <w:p>
      <w:pPr>
        <w:pStyle w:val="124"/>
        <w:spacing w:line="560" w:lineRule="exact"/>
        <w:ind w:firstLine="470" w:firstLineChars="196"/>
        <w:rPr>
          <w:rFonts w:ascii="宋体" w:hAnsi="宋体" w:cs="宋体"/>
          <w:color w:val="auto"/>
          <w:sz w:val="24"/>
        </w:rPr>
      </w:pPr>
      <w:r>
        <w:rPr>
          <w:rFonts w:hint="eastAsia" w:ascii="宋体" w:hAnsi="宋体" w:cs="宋体"/>
          <w:color w:val="auto"/>
          <w:sz w:val="24"/>
        </w:rPr>
        <w:t>面粉国家相关质量标准：</w:t>
      </w:r>
    </w:p>
    <w:p>
      <w:pPr>
        <w:pStyle w:val="124"/>
        <w:spacing w:line="560" w:lineRule="exact"/>
        <w:ind w:firstLine="556"/>
        <w:jc w:val="center"/>
        <w:rPr>
          <w:rFonts w:ascii="宋体" w:hAnsi="宋体" w:cs="宋体"/>
          <w:color w:val="auto"/>
          <w:sz w:val="24"/>
        </w:rPr>
      </w:pPr>
      <w:r>
        <w:rPr>
          <w:rFonts w:hint="eastAsia" w:ascii="宋体" w:hAnsi="宋体" w:cs="宋体"/>
          <w:color w:val="auto"/>
          <w:sz w:val="24"/>
        </w:rPr>
        <w:t>质量与计量检测所检验技术要求</w:t>
      </w:r>
    </w:p>
    <w:tbl>
      <w:tblPr>
        <w:tblStyle w:val="33"/>
        <w:tblW w:w="8288"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1475"/>
        <w:gridCol w:w="4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检验项目</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单位</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气味、口味</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加工精度</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w:t>
            </w:r>
          </w:p>
        </w:tc>
        <w:tc>
          <w:tcPr>
            <w:tcW w:w="4075" w:type="dxa"/>
            <w:vAlign w:val="center"/>
          </w:tcPr>
          <w:p>
            <w:pPr>
              <w:pStyle w:val="124"/>
              <w:spacing w:line="500" w:lineRule="exact"/>
              <w:rPr>
                <w:rFonts w:ascii="宋体" w:hAnsi="宋体" w:cs="宋体"/>
                <w:color w:val="auto"/>
                <w:sz w:val="24"/>
              </w:rPr>
            </w:pPr>
            <w:r>
              <w:rPr>
                <w:rFonts w:hint="eastAsia" w:ascii="宋体" w:hAnsi="宋体" w:cs="宋体"/>
                <w:color w:val="auto"/>
                <w:sz w:val="24"/>
              </w:rPr>
              <w:t>按照实物标准样品对照检验粉色麸星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灰分（以干物计）</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Merge w:val="restart"/>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粗细度</w:t>
            </w:r>
          </w:p>
        </w:tc>
        <w:tc>
          <w:tcPr>
            <w:tcW w:w="1475" w:type="dxa"/>
            <w:vMerge w:val="restart"/>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全部通过CB36号筛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738" w:type="dxa"/>
            <w:vMerge w:val="continue"/>
            <w:vAlign w:val="center"/>
          </w:tcPr>
          <w:p>
            <w:pPr>
              <w:pStyle w:val="124"/>
              <w:spacing w:line="500" w:lineRule="exact"/>
              <w:ind w:firstLine="556"/>
              <w:rPr>
                <w:rFonts w:ascii="宋体" w:hAnsi="宋体" w:cs="宋体"/>
                <w:color w:val="auto"/>
                <w:sz w:val="24"/>
              </w:rPr>
            </w:pPr>
          </w:p>
        </w:tc>
        <w:tc>
          <w:tcPr>
            <w:tcW w:w="1475" w:type="dxa"/>
            <w:vMerge w:val="continue"/>
            <w:vAlign w:val="center"/>
          </w:tcPr>
          <w:p>
            <w:pPr>
              <w:pStyle w:val="124"/>
              <w:spacing w:line="500" w:lineRule="exact"/>
              <w:ind w:firstLine="556"/>
              <w:rPr>
                <w:rFonts w:ascii="宋体" w:hAnsi="宋体" w:cs="宋体"/>
                <w:color w:val="auto"/>
                <w:sz w:val="24"/>
              </w:rPr>
            </w:pPr>
          </w:p>
        </w:tc>
        <w:tc>
          <w:tcPr>
            <w:tcW w:w="4075" w:type="dxa"/>
            <w:vAlign w:val="center"/>
          </w:tcPr>
          <w:p>
            <w:pPr>
              <w:pStyle w:val="124"/>
              <w:spacing w:line="500" w:lineRule="exact"/>
              <w:rPr>
                <w:rFonts w:ascii="宋体" w:hAnsi="宋体" w:cs="宋体"/>
                <w:color w:val="auto"/>
                <w:sz w:val="24"/>
              </w:rPr>
            </w:pPr>
            <w:r>
              <w:rPr>
                <w:rFonts w:hint="eastAsia" w:ascii="宋体" w:hAnsi="宋体" w:cs="宋体"/>
                <w:color w:val="auto"/>
                <w:sz w:val="24"/>
              </w:rPr>
              <w:t>留存在CB42号筛的不超过10.0％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面筋质(以湿重计)</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含砂量</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磁性金属物</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g/kg</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38"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水分</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738" w:type="dxa"/>
            <w:vAlign w:val="center"/>
          </w:tcPr>
          <w:p>
            <w:pPr>
              <w:pStyle w:val="124"/>
              <w:spacing w:line="500" w:lineRule="exact"/>
              <w:rPr>
                <w:rFonts w:ascii="宋体" w:hAnsi="宋体" w:cs="宋体"/>
                <w:color w:val="auto"/>
                <w:sz w:val="24"/>
              </w:rPr>
            </w:pPr>
            <w:r>
              <w:rPr>
                <w:rFonts w:hint="eastAsia" w:ascii="宋体" w:hAnsi="宋体" w:cs="宋体"/>
                <w:color w:val="auto"/>
                <w:sz w:val="24"/>
              </w:rPr>
              <w:t>脂肪酸值（以湿重计）</w:t>
            </w:r>
          </w:p>
        </w:tc>
        <w:tc>
          <w:tcPr>
            <w:tcW w:w="1475" w:type="dxa"/>
            <w:vAlign w:val="center"/>
          </w:tcPr>
          <w:p>
            <w:pPr>
              <w:pStyle w:val="124"/>
              <w:spacing w:line="500" w:lineRule="exact"/>
              <w:jc w:val="center"/>
              <w:rPr>
                <w:rFonts w:ascii="宋体" w:hAnsi="宋体" w:cs="宋体"/>
                <w:color w:val="auto"/>
                <w:sz w:val="24"/>
              </w:rPr>
            </w:pPr>
            <w:r>
              <w:rPr>
                <w:rFonts w:hint="eastAsia" w:ascii="宋体" w:hAnsi="宋体" w:cs="宋体"/>
                <w:color w:val="auto"/>
                <w:sz w:val="24"/>
              </w:rPr>
              <w:t>MgKOH/100g</w:t>
            </w:r>
          </w:p>
        </w:tc>
        <w:tc>
          <w:tcPr>
            <w:tcW w:w="4075" w:type="dxa"/>
            <w:vAlign w:val="center"/>
          </w:tcPr>
          <w:p>
            <w:pPr>
              <w:pStyle w:val="124"/>
              <w:spacing w:line="500" w:lineRule="exact"/>
              <w:ind w:firstLine="556"/>
              <w:rPr>
                <w:rFonts w:ascii="宋体" w:hAnsi="宋体" w:cs="宋体"/>
                <w:color w:val="auto"/>
                <w:sz w:val="24"/>
              </w:rPr>
            </w:pPr>
            <w:r>
              <w:rPr>
                <w:rFonts w:hint="eastAsia" w:ascii="宋体" w:hAnsi="宋体" w:cs="宋体"/>
                <w:color w:val="auto"/>
                <w:sz w:val="24"/>
              </w:rPr>
              <w:t>≤80</w:t>
            </w:r>
          </w:p>
        </w:tc>
      </w:tr>
    </w:tbl>
    <w:p>
      <w:pPr>
        <w:tabs>
          <w:tab w:val="left" w:pos="1440"/>
          <w:tab w:val="left" w:pos="2100"/>
        </w:tabs>
        <w:snapToGrid w:val="0"/>
        <w:spacing w:line="560" w:lineRule="exact"/>
        <w:ind w:firstLine="472" w:firstLineChars="196"/>
        <w:jc w:val="both"/>
        <w:rPr>
          <w:b/>
          <w:sz w:val="28"/>
          <w:szCs w:val="28"/>
        </w:rPr>
      </w:pPr>
      <w:r>
        <w:rPr>
          <w:rFonts w:hint="eastAsia"/>
          <w:b/>
          <w:bCs/>
          <w:szCs w:val="18"/>
        </w:rPr>
        <w:t>四、相关产品配</w:t>
      </w:r>
      <w:r>
        <w:rPr>
          <w:rFonts w:hint="eastAsia"/>
          <w:b/>
          <w:bCs/>
        </w:rPr>
        <w:t>套要</w:t>
      </w:r>
      <w:r>
        <w:rPr>
          <w:rFonts w:hint="eastAsia"/>
          <w:b/>
        </w:rPr>
        <w:t>求</w:t>
      </w:r>
    </w:p>
    <w:p>
      <w:pPr>
        <w:tabs>
          <w:tab w:val="left" w:pos="1440"/>
          <w:tab w:val="left" w:pos="2100"/>
        </w:tabs>
        <w:snapToGrid w:val="0"/>
        <w:spacing w:line="560" w:lineRule="exact"/>
        <w:ind w:firstLine="480" w:firstLineChars="200"/>
      </w:pPr>
      <w:r>
        <w:rPr>
          <w:rFonts w:hint="eastAsia"/>
        </w:rPr>
        <w:t>1.供货方所提供产品质量必须符合行业标准要求。不得有掺假、变质、变味、过期等现象出现，须有生产日期及有效期。严禁伪劣、假冒、无证不合格产品进入学校；</w:t>
      </w:r>
    </w:p>
    <w:p>
      <w:pPr>
        <w:tabs>
          <w:tab w:val="left" w:pos="1440"/>
          <w:tab w:val="left" w:pos="2100"/>
        </w:tabs>
        <w:snapToGrid w:val="0"/>
        <w:spacing w:line="560" w:lineRule="exact"/>
        <w:ind w:firstLine="480" w:firstLineChars="200"/>
      </w:pPr>
      <w:r>
        <w:rPr>
          <w:rFonts w:hint="eastAsia"/>
        </w:rPr>
        <w:t>2.保证供应产品、食品质量符合国家法定的质量标准（参照国家标准全文公开系统的最新标准，网址（http://openstd.samr.gov.cn/），无国家标准的执行行业标准或需求方餐厅实际要求；</w:t>
      </w:r>
    </w:p>
    <w:p>
      <w:pPr>
        <w:tabs>
          <w:tab w:val="left" w:pos="1440"/>
          <w:tab w:val="left" w:pos="2100"/>
        </w:tabs>
        <w:snapToGrid w:val="0"/>
        <w:spacing w:line="560" w:lineRule="exact"/>
        <w:ind w:firstLine="480" w:firstLineChars="200"/>
      </w:pPr>
      <w:r>
        <w:rPr>
          <w:rFonts w:hint="eastAsia"/>
        </w:rPr>
        <w:t>3.提供所需证件及产品检验报告单。中标后，我方将审核供货方投标书中的产品的质量标准、检验报告、QS《质量安全》标志与实际供货的产品的质量标准、检验报告、QS《质量安全》标志是否一致，如发现偏离，我方将取消供货资格，并追究相关法律责任。</w:t>
      </w:r>
    </w:p>
    <w:p>
      <w:pPr>
        <w:tabs>
          <w:tab w:val="left" w:pos="1440"/>
          <w:tab w:val="left" w:pos="2100"/>
        </w:tabs>
        <w:snapToGrid w:val="0"/>
        <w:spacing w:line="560" w:lineRule="exact"/>
        <w:ind w:firstLine="480" w:firstLineChars="200"/>
      </w:pPr>
      <w:r>
        <w:rPr>
          <w:rFonts w:hint="eastAsia"/>
        </w:rPr>
        <w:t>4.中标后，根据产品类型，供货方根据产品批次、月份按我方要求提供产品检验报告单。逾期未提供检验报告的，我方有权扣除无检验报告批次产品的货款，并追究法律责任。同时，中标方需提供当下疫情防控要求的核酸报告等文件（包括人员、车辆、产品外包装、产品等）。</w:t>
      </w:r>
    </w:p>
    <w:p>
      <w:pPr>
        <w:tabs>
          <w:tab w:val="left" w:pos="1440"/>
          <w:tab w:val="left" w:pos="2100"/>
        </w:tabs>
        <w:snapToGrid w:val="0"/>
        <w:spacing w:line="560" w:lineRule="exact"/>
        <w:ind w:firstLine="480" w:firstLineChars="200"/>
      </w:pPr>
      <w:r>
        <w:rPr>
          <w:rFonts w:hint="eastAsia"/>
        </w:rPr>
        <w:t>5.投标单位中标后，以下食材需提供样品：面粉有保质期的样品需在保质到期前两个月进行无偿调换，不产生额外的费用。在合同期内供应的物资须与样品一致，否则我方有权调换，所产生的一切费用由供应方承担。</w:t>
      </w:r>
    </w:p>
    <w:p>
      <w:pPr>
        <w:tabs>
          <w:tab w:val="left" w:pos="1440"/>
          <w:tab w:val="left" w:pos="2100"/>
        </w:tabs>
        <w:snapToGrid w:val="0"/>
        <w:spacing w:line="560" w:lineRule="exact"/>
        <w:ind w:firstLine="480" w:firstLineChars="200"/>
        <w:rPr>
          <w:highlight w:val="yellow"/>
        </w:rPr>
      </w:pPr>
      <w:r>
        <w:rPr>
          <w:rFonts w:hint="eastAsia"/>
        </w:rPr>
        <w:t>6.投标单位中标后，各供应单位严禁向需求方管辖范围内的任何食堂配送中标范围外的大宗物资。</w:t>
      </w:r>
    </w:p>
    <w:p>
      <w:pPr>
        <w:tabs>
          <w:tab w:val="left" w:pos="1440"/>
          <w:tab w:val="left" w:pos="2100"/>
        </w:tabs>
        <w:snapToGrid w:val="0"/>
        <w:spacing w:line="560" w:lineRule="exact"/>
        <w:ind w:firstLine="480" w:firstLineChars="200"/>
      </w:pPr>
      <w:r>
        <w:rPr>
          <w:rFonts w:hint="eastAsia"/>
        </w:rPr>
        <w:t>8.投标单位中标后，在实际的供应过程中如出现缺少货物品种，但实际市场有售卖的，一经查实，需求方将有权扣除当日总货款的10%。若因此影响餐厅正常使用的，餐厅在临近市场就近购买，买价全额从中标单位的未结货款中扣除，同时按照中标方违约处理。</w:t>
      </w:r>
    </w:p>
    <w:p>
      <w:pPr>
        <w:spacing w:line="560" w:lineRule="exact"/>
        <w:ind w:firstLine="482" w:firstLineChars="200"/>
        <w:rPr>
          <w:b/>
        </w:rPr>
      </w:pPr>
      <w:r>
        <w:rPr>
          <w:rFonts w:hint="eastAsia"/>
          <w:b/>
        </w:rPr>
        <w:t>五、采购方式及付款方式</w:t>
      </w:r>
    </w:p>
    <w:p>
      <w:pPr>
        <w:tabs>
          <w:tab w:val="left" w:pos="1440"/>
          <w:tab w:val="left" w:pos="2100"/>
        </w:tabs>
        <w:snapToGrid w:val="0"/>
        <w:spacing w:line="560" w:lineRule="exact"/>
        <w:ind w:firstLine="480" w:firstLineChars="200"/>
      </w:pPr>
      <w:r>
        <w:rPr>
          <w:rFonts w:hint="eastAsia"/>
        </w:rPr>
        <w:t>1.采购方式：按甲方食堂实际需求分批采购。</w:t>
      </w:r>
    </w:p>
    <w:p>
      <w:pPr>
        <w:tabs>
          <w:tab w:val="left" w:pos="1440"/>
          <w:tab w:val="left" w:pos="2100"/>
        </w:tabs>
        <w:snapToGrid w:val="0"/>
        <w:spacing w:line="560" w:lineRule="exact"/>
        <w:ind w:firstLine="480" w:firstLineChars="200"/>
      </w:pPr>
      <w:r>
        <w:rPr>
          <w:rFonts w:hint="eastAsia"/>
        </w:rPr>
        <w:t>2.根据需求方财务要求，供货方需提供与合同内一致的价格、账号、单位名称等有效信息的增值税发票。如因供货方原因造成的拖延结算，供货方自行承担相应一切损失。</w:t>
      </w:r>
    </w:p>
    <w:p>
      <w:pPr>
        <w:tabs>
          <w:tab w:val="left" w:pos="1440"/>
          <w:tab w:val="left" w:pos="2100"/>
        </w:tabs>
        <w:snapToGrid w:val="0"/>
        <w:spacing w:line="560" w:lineRule="exact"/>
        <w:ind w:firstLine="480" w:firstLineChars="200"/>
      </w:pPr>
      <w:r>
        <w:rPr>
          <w:rFonts w:hint="eastAsia"/>
        </w:rPr>
        <w:t>3.相关流程：物资进入校区现场验收，供应单位提供的验收联单不少于四联，验收合格则餐厅三人在《送货单》签字确认。经确认的《送货单》及增值税发票等，提交我方各部门核算，办理结算事宜。</w:t>
      </w:r>
    </w:p>
    <w:p>
      <w:pPr>
        <w:tabs>
          <w:tab w:val="left" w:pos="1440"/>
          <w:tab w:val="left" w:pos="2100"/>
        </w:tabs>
        <w:snapToGrid w:val="0"/>
        <w:spacing w:line="560" w:lineRule="exact"/>
        <w:ind w:firstLine="480" w:firstLineChars="200"/>
      </w:pPr>
      <w:r>
        <w:rPr>
          <w:rFonts w:hint="eastAsia"/>
        </w:rPr>
        <w:t>4.付款方式：每15日办理一次结算事宜，滚动式结账，本批结算上批货款。自供货至办理结款间隔30</w:t>
      </w:r>
      <w:r>
        <w:rPr>
          <w:rFonts w:hint="eastAsia"/>
          <w:lang w:val="en-US" w:eastAsia="zh-CN"/>
        </w:rPr>
        <w:t>个工作</w:t>
      </w:r>
      <w:r>
        <w:rPr>
          <w:rFonts w:hint="eastAsia"/>
        </w:rPr>
        <w:t>日。如遇节假日、寒暑假、甲方财务扎帐等特殊情况，结账日期依次顺延，且不产生额外费用。</w:t>
      </w:r>
    </w:p>
    <w:p>
      <w:pPr>
        <w:pStyle w:val="11"/>
        <w:rPr>
          <w:sz w:val="24"/>
        </w:rPr>
      </w:pPr>
    </w:p>
    <w:p/>
    <w:p>
      <w:pPr>
        <w:pStyle w:val="2"/>
      </w:pPr>
    </w:p>
    <w:p>
      <w:pPr>
        <w:pStyle w:val="11"/>
        <w:rPr>
          <w:sz w:val="24"/>
        </w:rPr>
      </w:pPr>
    </w:p>
    <w:p/>
    <w:p/>
    <w:p>
      <w:pPr>
        <w:spacing w:line="360" w:lineRule="auto"/>
        <w:jc w:val="center"/>
        <w:outlineLvl w:val="0"/>
        <w:rPr>
          <w:rFonts w:hint="eastAsia"/>
          <w:b/>
          <w:sz w:val="28"/>
        </w:rPr>
      </w:pPr>
      <w:bookmarkStart w:id="32" w:name="_Toc92733685"/>
    </w:p>
    <w:p>
      <w:pPr>
        <w:spacing w:line="360" w:lineRule="auto"/>
        <w:jc w:val="center"/>
        <w:outlineLvl w:val="0"/>
        <w:rPr>
          <w:rFonts w:hint="eastAsia"/>
          <w:b/>
          <w:sz w:val="28"/>
        </w:rPr>
      </w:pPr>
    </w:p>
    <w:p>
      <w:pPr>
        <w:spacing w:line="360" w:lineRule="auto"/>
        <w:jc w:val="center"/>
        <w:outlineLvl w:val="0"/>
        <w:rPr>
          <w:rFonts w:hint="eastAsia"/>
          <w:b/>
          <w:sz w:val="28"/>
        </w:rPr>
      </w:pPr>
    </w:p>
    <w:p>
      <w:pPr>
        <w:pStyle w:val="2"/>
        <w:rPr>
          <w:rFonts w:hint="eastAsia"/>
          <w:b/>
          <w:sz w:val="28"/>
        </w:rPr>
      </w:pPr>
    </w:p>
    <w:p>
      <w:pPr>
        <w:rPr>
          <w:rFonts w:hint="eastAsia"/>
          <w:b/>
          <w:sz w:val="28"/>
        </w:rPr>
      </w:pPr>
    </w:p>
    <w:p>
      <w:pPr>
        <w:pStyle w:val="2"/>
        <w:rPr>
          <w:rFonts w:hint="eastAsia"/>
          <w:b/>
          <w:sz w:val="28"/>
        </w:rPr>
      </w:pPr>
    </w:p>
    <w:p>
      <w:pPr>
        <w:rPr>
          <w:rFonts w:hint="eastAsia"/>
          <w:b/>
          <w:sz w:val="28"/>
        </w:rPr>
      </w:pPr>
    </w:p>
    <w:p>
      <w:pPr>
        <w:pStyle w:val="2"/>
        <w:rPr>
          <w:rFonts w:hint="eastAsia"/>
          <w:b/>
          <w:sz w:val="28"/>
        </w:rPr>
      </w:pPr>
    </w:p>
    <w:p>
      <w:pPr>
        <w:rPr>
          <w:rFonts w:hint="eastAsia"/>
        </w:rPr>
      </w:pPr>
    </w:p>
    <w:p>
      <w:pPr>
        <w:spacing w:line="360" w:lineRule="auto"/>
        <w:jc w:val="center"/>
        <w:outlineLvl w:val="0"/>
        <w:rPr>
          <w:rFonts w:hint="eastAsia"/>
          <w:b/>
          <w:sz w:val="28"/>
        </w:rPr>
      </w:pPr>
    </w:p>
    <w:p>
      <w:pPr>
        <w:spacing w:line="360" w:lineRule="auto"/>
        <w:jc w:val="center"/>
        <w:outlineLvl w:val="0"/>
        <w:rPr>
          <w:b/>
          <w:sz w:val="28"/>
        </w:rPr>
      </w:pPr>
      <w:r>
        <w:rPr>
          <w:rFonts w:hint="eastAsia"/>
          <w:b/>
          <w:sz w:val="28"/>
        </w:rPr>
        <w:t>第五章  政府采购合同</w:t>
      </w:r>
      <w:bookmarkEnd w:id="32"/>
    </w:p>
    <w:p>
      <w:pPr>
        <w:pStyle w:val="41"/>
        <w:ind w:firstLine="0" w:firstLineChars="0"/>
        <w:jc w:val="center"/>
      </w:pPr>
      <w:r>
        <w:rPr>
          <w:rFonts w:hint="eastAsia"/>
        </w:rPr>
        <w:t>（本合同为模版合同，具体以最终签订的合同为准）</w:t>
      </w:r>
    </w:p>
    <w:p>
      <w:pPr>
        <w:spacing w:line="259" w:lineRule="auto"/>
        <w:ind w:left="17" w:hanging="11"/>
        <w:jc w:val="center"/>
        <w:rPr>
          <w:sz w:val="52"/>
        </w:rPr>
      </w:pPr>
    </w:p>
    <w:p>
      <w:pPr>
        <w:spacing w:line="259" w:lineRule="auto"/>
        <w:ind w:left="17" w:hanging="11"/>
        <w:jc w:val="center"/>
      </w:pPr>
      <w:r>
        <w:rPr>
          <w:sz w:val="52"/>
        </w:rPr>
        <w:t>采购合同</w:t>
      </w:r>
    </w:p>
    <w:p>
      <w:pPr>
        <w:spacing w:line="360" w:lineRule="auto"/>
        <w:ind w:left="24"/>
        <w:rPr>
          <w:szCs w:val="21"/>
        </w:rPr>
      </w:pPr>
    </w:p>
    <w:p>
      <w:pPr>
        <w:spacing w:line="360" w:lineRule="auto"/>
        <w:ind w:left="24"/>
        <w:rPr>
          <w:szCs w:val="21"/>
        </w:rPr>
      </w:pPr>
      <w:r>
        <w:rPr>
          <w:szCs w:val="21"/>
        </w:rPr>
        <w:t>买 方：</w:t>
      </w:r>
    </w:p>
    <w:p>
      <w:pPr>
        <w:spacing w:line="360" w:lineRule="auto"/>
        <w:ind w:left="24"/>
        <w:rPr>
          <w:szCs w:val="21"/>
        </w:rPr>
      </w:pPr>
    </w:p>
    <w:p>
      <w:pPr>
        <w:spacing w:line="360" w:lineRule="auto"/>
        <w:ind w:left="24"/>
        <w:rPr>
          <w:szCs w:val="21"/>
        </w:rPr>
      </w:pPr>
      <w:r>
        <w:rPr>
          <w:szCs w:val="21"/>
        </w:rPr>
        <w:t>签约地点：</w:t>
      </w:r>
      <w:r>
        <w:rPr>
          <w:szCs w:val="21"/>
          <w:u w:val="single" w:color="000000"/>
        </w:rPr>
        <w:t>乌鲁木齐市</w:t>
      </w:r>
    </w:p>
    <w:p>
      <w:pPr>
        <w:spacing w:line="360" w:lineRule="auto"/>
        <w:rPr>
          <w:szCs w:val="21"/>
        </w:rPr>
      </w:pPr>
      <w:r>
        <w:rPr>
          <w:szCs w:val="21"/>
        </w:rPr>
        <w:t>签约日期：</w:t>
      </w:r>
    </w:p>
    <w:p>
      <w:pPr>
        <w:spacing w:line="360" w:lineRule="auto"/>
        <w:rPr>
          <w:szCs w:val="21"/>
        </w:rPr>
      </w:pPr>
      <w:r>
        <w:rPr>
          <w:szCs w:val="21"/>
        </w:rPr>
        <w:t>合同编号：</w:t>
      </w:r>
    </w:p>
    <w:p>
      <w:pPr>
        <w:spacing w:line="360" w:lineRule="auto"/>
        <w:rPr>
          <w:szCs w:val="21"/>
        </w:rPr>
      </w:pPr>
    </w:p>
    <w:p>
      <w:pPr>
        <w:spacing w:line="360" w:lineRule="auto"/>
        <w:ind w:left="24"/>
        <w:rPr>
          <w:szCs w:val="21"/>
        </w:rPr>
      </w:pPr>
      <w:r>
        <w:rPr>
          <w:rFonts w:hint="eastAsia"/>
          <w:szCs w:val="21"/>
        </w:rPr>
        <w:t>甲</w:t>
      </w:r>
      <w:r>
        <w:rPr>
          <w:szCs w:val="21"/>
        </w:rPr>
        <w:t>方（</w:t>
      </w:r>
      <w:r>
        <w:rPr>
          <w:rFonts w:hint="eastAsia"/>
          <w:szCs w:val="21"/>
        </w:rPr>
        <w:t>买</w:t>
      </w:r>
      <w:r>
        <w:rPr>
          <w:szCs w:val="21"/>
        </w:rPr>
        <w:t>方）：</w:t>
      </w:r>
    </w:p>
    <w:p>
      <w:pPr>
        <w:spacing w:line="360" w:lineRule="auto"/>
        <w:ind w:left="24"/>
        <w:rPr>
          <w:szCs w:val="21"/>
        </w:rPr>
      </w:pPr>
      <w:r>
        <w:rPr>
          <w:szCs w:val="21"/>
        </w:rPr>
        <w:t>地址：</w:t>
      </w:r>
    </w:p>
    <w:p>
      <w:pPr>
        <w:spacing w:line="360" w:lineRule="auto"/>
        <w:ind w:left="24"/>
        <w:rPr>
          <w:szCs w:val="21"/>
        </w:rPr>
      </w:pPr>
      <w:r>
        <w:rPr>
          <w:szCs w:val="21"/>
        </w:rPr>
        <w:t>电话：</w:t>
      </w:r>
    </w:p>
    <w:p>
      <w:pPr>
        <w:spacing w:line="360" w:lineRule="auto"/>
        <w:ind w:left="24"/>
        <w:rPr>
          <w:szCs w:val="21"/>
        </w:rPr>
      </w:pPr>
    </w:p>
    <w:p>
      <w:pPr>
        <w:spacing w:line="360" w:lineRule="auto"/>
        <w:ind w:left="24"/>
        <w:rPr>
          <w:szCs w:val="21"/>
        </w:rPr>
      </w:pPr>
      <w:r>
        <w:rPr>
          <w:szCs w:val="21"/>
        </w:rPr>
        <w:t xml:space="preserve">乙方（卖方）： </w:t>
      </w:r>
    </w:p>
    <w:p>
      <w:pPr>
        <w:spacing w:line="360" w:lineRule="auto"/>
        <w:ind w:left="24"/>
        <w:rPr>
          <w:szCs w:val="21"/>
        </w:rPr>
      </w:pPr>
      <w:r>
        <w:rPr>
          <w:szCs w:val="21"/>
        </w:rPr>
        <w:t>地址：</w:t>
      </w:r>
    </w:p>
    <w:p>
      <w:pPr>
        <w:spacing w:line="360" w:lineRule="auto"/>
        <w:ind w:left="24"/>
        <w:rPr>
          <w:szCs w:val="21"/>
        </w:rPr>
      </w:pPr>
      <w:r>
        <w:rPr>
          <w:szCs w:val="21"/>
        </w:rPr>
        <w:t>电话：</w:t>
      </w:r>
    </w:p>
    <w:p>
      <w:pPr>
        <w:pStyle w:val="11"/>
        <w:rPr>
          <w:szCs w:val="21"/>
        </w:rPr>
      </w:pPr>
    </w:p>
    <w:p>
      <w:pPr>
        <w:rPr>
          <w:szCs w:val="21"/>
        </w:rPr>
      </w:pPr>
    </w:p>
    <w:p>
      <w:pPr>
        <w:pStyle w:val="11"/>
        <w:rPr>
          <w:szCs w:val="21"/>
        </w:rPr>
      </w:pPr>
    </w:p>
    <w:p>
      <w:pPr>
        <w:rPr>
          <w:szCs w:val="21"/>
        </w:rPr>
      </w:pPr>
    </w:p>
    <w:p>
      <w:pPr>
        <w:pStyle w:val="11"/>
        <w:rPr>
          <w:szCs w:val="21"/>
        </w:rPr>
      </w:pPr>
    </w:p>
    <w:p>
      <w:pPr>
        <w:rPr>
          <w:szCs w:val="21"/>
        </w:rPr>
      </w:pPr>
    </w:p>
    <w:p>
      <w:pPr>
        <w:pStyle w:val="11"/>
        <w:rPr>
          <w:szCs w:val="21"/>
        </w:rPr>
      </w:pPr>
    </w:p>
    <w:p>
      <w:pPr>
        <w:rPr>
          <w:szCs w:val="21"/>
        </w:rPr>
      </w:pPr>
    </w:p>
    <w:p>
      <w:pPr>
        <w:pStyle w:val="3"/>
        <w:tabs>
          <w:tab w:val="left" w:pos="360"/>
        </w:tabs>
        <w:spacing w:line="400" w:lineRule="atLeast"/>
        <w:jc w:val="center"/>
        <w:rPr>
          <w:rFonts w:hint="eastAsia"/>
          <w:sz w:val="24"/>
          <w:szCs w:val="24"/>
        </w:rPr>
      </w:pPr>
    </w:p>
    <w:p>
      <w:pPr>
        <w:pStyle w:val="3"/>
        <w:tabs>
          <w:tab w:val="left" w:pos="360"/>
        </w:tabs>
        <w:spacing w:line="400" w:lineRule="atLeast"/>
        <w:jc w:val="center"/>
        <w:rPr>
          <w:sz w:val="28"/>
          <w:szCs w:val="28"/>
        </w:rPr>
      </w:pPr>
      <w:r>
        <w:rPr>
          <w:rFonts w:hint="eastAsia"/>
          <w:sz w:val="24"/>
          <w:szCs w:val="24"/>
        </w:rPr>
        <w:t>第一部分  合同一般条款</w:t>
      </w:r>
    </w:p>
    <w:p>
      <w:pPr>
        <w:spacing w:line="560" w:lineRule="exact"/>
        <w:ind w:firstLine="472" w:firstLineChars="196"/>
        <w:rPr>
          <w:b/>
        </w:rPr>
      </w:pPr>
      <w:r>
        <w:rPr>
          <w:rFonts w:hint="eastAsia"/>
          <w:b/>
        </w:rPr>
        <w:t>5.</w:t>
      </w:r>
      <w:r>
        <w:rPr>
          <w:b/>
        </w:rPr>
        <w:t xml:space="preserve">1 </w:t>
      </w:r>
      <w:r>
        <w:rPr>
          <w:rFonts w:hint="eastAsia"/>
          <w:b/>
        </w:rPr>
        <w:t>定义</w:t>
      </w:r>
    </w:p>
    <w:p>
      <w:pPr>
        <w:spacing w:line="560" w:lineRule="exact"/>
      </w:pPr>
      <w:r>
        <w:rPr>
          <w:rFonts w:hint="eastAsia"/>
        </w:rPr>
        <w:t>　　5</w:t>
      </w:r>
      <w:r>
        <w:t>.</w:t>
      </w:r>
      <w:r>
        <w:rPr>
          <w:rFonts w:hint="eastAsia"/>
        </w:rPr>
        <w:t>1.</w:t>
      </w:r>
      <w:r>
        <w:t>1</w:t>
      </w:r>
      <w:r>
        <w:rPr>
          <w:rFonts w:hint="eastAsia"/>
        </w:rPr>
        <w:t>　“合同”系指甲方和乙方</w:t>
      </w:r>
      <w:r>
        <w:t>(</w:t>
      </w:r>
      <w:r>
        <w:rPr>
          <w:rFonts w:hint="eastAsia"/>
        </w:rPr>
        <w:t>以下简称合同双方</w:t>
      </w:r>
      <w:r>
        <w:t>)</w:t>
      </w:r>
      <w:r>
        <w:rPr>
          <w:rFonts w:hint="eastAsia"/>
        </w:rPr>
        <w:t>已达成的协议，即由双方签订的合同格式文件，包括所有的招标文件、投标文件、招标答疑记录、澄清说明、附件、附录和组成合同的所有其他文件。</w:t>
      </w:r>
    </w:p>
    <w:p>
      <w:pPr>
        <w:spacing w:line="560" w:lineRule="exact"/>
      </w:pPr>
      <w:r>
        <w:rPr>
          <w:rFonts w:hint="eastAsia"/>
        </w:rPr>
        <w:t>　　5</w:t>
      </w:r>
      <w:r>
        <w:t>.</w:t>
      </w:r>
      <w:r>
        <w:rPr>
          <w:rFonts w:hint="eastAsia"/>
        </w:rPr>
        <w:t>1.</w:t>
      </w:r>
      <w:r>
        <w:t>2</w:t>
      </w:r>
      <w:r>
        <w:rPr>
          <w:rFonts w:hint="eastAsia"/>
        </w:rPr>
        <w:t>　“合同价格”系指根据合同规定，在供货方全面正确地履行合同义务时，甲方应支付给乙方的款项。</w:t>
      </w:r>
    </w:p>
    <w:p>
      <w:pPr>
        <w:spacing w:line="560" w:lineRule="exact"/>
      </w:pPr>
      <w:r>
        <w:rPr>
          <w:rFonts w:hint="eastAsia"/>
        </w:rPr>
        <w:t>　　5</w:t>
      </w:r>
      <w:r>
        <w:t>.</w:t>
      </w:r>
      <w:r>
        <w:rPr>
          <w:rFonts w:hint="eastAsia"/>
        </w:rPr>
        <w:t>1.</w:t>
      </w:r>
      <w:r>
        <w:t>3</w:t>
      </w:r>
      <w:r>
        <w:rPr>
          <w:rFonts w:hint="eastAsia"/>
        </w:rPr>
        <w:t>　“货物”系指招标文件规定的，须向甲方提供的一切产品、服务和其它材料。</w:t>
      </w:r>
    </w:p>
    <w:p>
      <w:pPr>
        <w:spacing w:line="560" w:lineRule="exact"/>
      </w:pPr>
      <w:r>
        <w:rPr>
          <w:rFonts w:hint="eastAsia"/>
        </w:rPr>
        <w:t>　　5</w:t>
      </w:r>
      <w:r>
        <w:t>.</w:t>
      </w:r>
      <w:r>
        <w:rPr>
          <w:rFonts w:hint="eastAsia"/>
        </w:rPr>
        <w:t>1.</w:t>
      </w:r>
      <w:r>
        <w:t xml:space="preserve">4  </w:t>
      </w:r>
      <w:r>
        <w:rPr>
          <w:rFonts w:hint="eastAsia"/>
        </w:rPr>
        <w:t>“服务”系指招标文件中规定投标人须承担的运输等其他类似的责任。</w:t>
      </w:r>
    </w:p>
    <w:p>
      <w:pPr>
        <w:spacing w:line="560" w:lineRule="exact"/>
      </w:pPr>
      <w:r>
        <w:rPr>
          <w:rFonts w:hint="eastAsia"/>
        </w:rPr>
        <w:t>　　5</w:t>
      </w:r>
      <w:r>
        <w:t>.</w:t>
      </w:r>
      <w:r>
        <w:rPr>
          <w:rFonts w:hint="eastAsia"/>
        </w:rPr>
        <w:t>1.</w:t>
      </w:r>
      <w:r>
        <w:t>5</w:t>
      </w:r>
      <w:r>
        <w:rPr>
          <w:rFonts w:hint="eastAsia"/>
        </w:rPr>
        <w:t>　“甲方”、“买方”、“招标方”均系指通过招标采购，接受合同货物及服务的各行政事业单位、社会团体（采购单位）及社会代理公司。</w:t>
      </w:r>
    </w:p>
    <w:p>
      <w:pPr>
        <w:spacing w:line="560" w:lineRule="exact"/>
      </w:pPr>
      <w:r>
        <w:rPr>
          <w:rFonts w:hint="eastAsia"/>
        </w:rPr>
        <w:t>　　5</w:t>
      </w:r>
      <w:r>
        <w:t>.</w:t>
      </w:r>
      <w:r>
        <w:rPr>
          <w:rFonts w:hint="eastAsia"/>
        </w:rPr>
        <w:t>1.</w:t>
      </w:r>
      <w:r>
        <w:t>6</w:t>
      </w:r>
      <w:r>
        <w:rPr>
          <w:rFonts w:hint="eastAsia"/>
        </w:rPr>
        <w:t>　“乙方”、“卖方”系指中标后提供合同货物和服务的经济实体。</w:t>
      </w:r>
    </w:p>
    <w:p>
      <w:pPr>
        <w:spacing w:line="560" w:lineRule="exact"/>
      </w:pPr>
      <w:r>
        <w:rPr>
          <w:rFonts w:hint="eastAsia"/>
        </w:rPr>
        <w:t>　　5</w:t>
      </w:r>
      <w:r>
        <w:t>.</w:t>
      </w:r>
      <w:r>
        <w:rPr>
          <w:rFonts w:hint="eastAsia"/>
        </w:rPr>
        <w:t>1.</w:t>
      </w:r>
      <w:r>
        <w:t>7</w:t>
      </w:r>
      <w:r>
        <w:rPr>
          <w:rFonts w:hint="eastAsia"/>
        </w:rPr>
        <w:t>　“验收”系指甲方依据国家技术规范及本合同的约定，对货物规定接受合同货物所依据的程序和条件。</w:t>
      </w:r>
    </w:p>
    <w:p>
      <w:pPr>
        <w:spacing w:line="560" w:lineRule="exact"/>
        <w:ind w:firstLine="472" w:firstLineChars="196"/>
        <w:rPr>
          <w:b/>
        </w:rPr>
      </w:pPr>
      <w:r>
        <w:rPr>
          <w:rFonts w:hint="eastAsia"/>
          <w:b/>
        </w:rPr>
        <w:t>5.</w:t>
      </w:r>
      <w:r>
        <w:rPr>
          <w:b/>
        </w:rPr>
        <w:t xml:space="preserve">2. </w:t>
      </w:r>
      <w:r>
        <w:rPr>
          <w:rFonts w:hint="eastAsia"/>
          <w:b/>
        </w:rPr>
        <w:t>适用范围</w:t>
      </w:r>
    </w:p>
    <w:p>
      <w:pPr>
        <w:spacing w:line="560" w:lineRule="exact"/>
      </w:pPr>
      <w:r>
        <w:rPr>
          <w:rFonts w:hint="eastAsia"/>
        </w:rPr>
        <w:t>　　5.</w:t>
      </w:r>
      <w:r>
        <w:t>2.1</w:t>
      </w:r>
      <w:r>
        <w:rPr>
          <w:rFonts w:hint="eastAsia"/>
        </w:rPr>
        <w:t>　本合同条款仅适用于本次招标活动。</w:t>
      </w:r>
    </w:p>
    <w:p>
      <w:pPr>
        <w:spacing w:line="560" w:lineRule="exact"/>
        <w:ind w:firstLine="472" w:firstLineChars="196"/>
        <w:rPr>
          <w:b/>
        </w:rPr>
      </w:pPr>
      <w:r>
        <w:rPr>
          <w:rFonts w:hint="eastAsia"/>
          <w:b/>
        </w:rPr>
        <w:t>5.</w:t>
      </w:r>
      <w:r>
        <w:rPr>
          <w:b/>
        </w:rPr>
        <w:t xml:space="preserve">3. </w:t>
      </w:r>
      <w:r>
        <w:rPr>
          <w:rFonts w:hint="eastAsia"/>
          <w:b/>
        </w:rPr>
        <w:t>交货时间及地点</w:t>
      </w:r>
    </w:p>
    <w:p>
      <w:pPr>
        <w:spacing w:line="560" w:lineRule="exact"/>
        <w:ind w:firstLine="480"/>
      </w:pPr>
      <w:r>
        <w:rPr>
          <w:rFonts w:hint="eastAsia"/>
        </w:rPr>
        <w:t>5.</w:t>
      </w:r>
      <w:r>
        <w:t>3.1</w:t>
      </w:r>
      <w:r>
        <w:rPr>
          <w:rFonts w:hint="eastAsia"/>
        </w:rPr>
        <w:t xml:space="preserve"> 批次订货以订货单为准，临时订货以通知为准。</w:t>
      </w:r>
    </w:p>
    <w:p>
      <w:pPr>
        <w:spacing w:line="560" w:lineRule="exact"/>
        <w:ind w:firstLine="480"/>
      </w:pPr>
      <w:r>
        <w:rPr>
          <w:rFonts w:hint="eastAsia"/>
        </w:rPr>
        <w:t>5.</w:t>
      </w:r>
      <w:r>
        <w:t>3.2</w:t>
      </w:r>
      <w:r>
        <w:rPr>
          <w:rFonts w:hint="eastAsia"/>
        </w:rPr>
        <w:t xml:space="preserve"> 乙方保证按照约定时间将甲方所定的货物送至甲方指定地点。如遇不可抗因素造成不能送货，或不能及时送货，应及时告知甲方，如果因送货地点错误、送货时间延误而造成甲方工作不便，乙方承担相应责任。</w:t>
      </w:r>
    </w:p>
    <w:p>
      <w:pPr>
        <w:spacing w:line="560" w:lineRule="exact"/>
        <w:ind w:firstLine="472" w:firstLineChars="196"/>
        <w:rPr>
          <w:b/>
        </w:rPr>
      </w:pPr>
      <w:r>
        <w:rPr>
          <w:rFonts w:hint="eastAsia"/>
          <w:b/>
        </w:rPr>
        <w:t>5.</w:t>
      </w:r>
      <w:r>
        <w:rPr>
          <w:b/>
        </w:rPr>
        <w:t xml:space="preserve">4. </w:t>
      </w:r>
      <w:r>
        <w:rPr>
          <w:rFonts w:hint="eastAsia"/>
          <w:b/>
        </w:rPr>
        <w:t>交货价格的确定</w:t>
      </w:r>
    </w:p>
    <w:p>
      <w:pPr>
        <w:spacing w:line="560" w:lineRule="exact"/>
        <w:ind w:firstLine="540"/>
      </w:pPr>
      <w:r>
        <w:rPr>
          <w:rFonts w:hint="eastAsia"/>
        </w:rPr>
        <w:t>5.</w:t>
      </w:r>
      <w:r>
        <w:t>4.1</w:t>
      </w:r>
      <w:r>
        <w:rPr>
          <w:rFonts w:hint="eastAsia"/>
        </w:rPr>
        <w:t>依招标文件内乙方报价，为合同最终支付价。此价包含货款、运输费、装卸费、搬运费（一至三楼）、税费等一切费用。</w:t>
      </w:r>
    </w:p>
    <w:p>
      <w:pPr>
        <w:spacing w:line="560" w:lineRule="exact"/>
        <w:ind w:firstLine="472" w:firstLineChars="196"/>
        <w:rPr>
          <w:b/>
        </w:rPr>
      </w:pPr>
      <w:r>
        <w:rPr>
          <w:rFonts w:hint="eastAsia"/>
          <w:b/>
        </w:rPr>
        <w:t>5.</w:t>
      </w:r>
      <w:r>
        <w:rPr>
          <w:b/>
        </w:rPr>
        <w:t xml:space="preserve">5. </w:t>
      </w:r>
      <w:r>
        <w:rPr>
          <w:rFonts w:hint="eastAsia"/>
          <w:b/>
        </w:rPr>
        <w:t>专利权</w:t>
      </w:r>
    </w:p>
    <w:p>
      <w:pPr>
        <w:spacing w:line="560" w:lineRule="exact"/>
        <w:ind w:firstLine="570"/>
      </w:pPr>
      <w:r>
        <w:rPr>
          <w:rFonts w:hint="eastAsia"/>
        </w:rPr>
        <w:t>5.</w:t>
      </w:r>
      <w:r>
        <w:t>5.1</w:t>
      </w:r>
      <w:r>
        <w:rPr>
          <w:rFonts w:hint="eastAsia"/>
        </w:rPr>
        <w:t>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560" w:lineRule="exact"/>
        <w:ind w:firstLine="570"/>
      </w:pPr>
      <w:r>
        <w:rPr>
          <w:rFonts w:hint="eastAsia"/>
          <w:b/>
        </w:rPr>
        <w:t>5.</w:t>
      </w:r>
      <w:r>
        <w:rPr>
          <w:b/>
        </w:rPr>
        <w:t xml:space="preserve">6. </w:t>
      </w:r>
      <w:r>
        <w:rPr>
          <w:rFonts w:hint="eastAsia"/>
          <w:b/>
        </w:rPr>
        <w:t>乙方的交货价</w:t>
      </w:r>
    </w:p>
    <w:p>
      <w:pPr>
        <w:spacing w:line="560" w:lineRule="exact"/>
      </w:pPr>
      <w:r>
        <w:rPr>
          <w:rFonts w:hint="eastAsia"/>
        </w:rPr>
        <w:t>　　5.</w:t>
      </w:r>
      <w:r>
        <w:t>6.1</w:t>
      </w:r>
      <w:r>
        <w:rPr>
          <w:rFonts w:hint="eastAsia"/>
        </w:rPr>
        <w:t>　乙方负责安排自发运地至甲方现场的运输，合同价格应包含货款，税费、运输费、装卸费及搬运费（一至三楼）。</w:t>
      </w:r>
    </w:p>
    <w:p>
      <w:pPr>
        <w:spacing w:line="560" w:lineRule="exact"/>
      </w:pPr>
      <w:r>
        <w:rPr>
          <w:rFonts w:hint="eastAsia"/>
        </w:rPr>
        <w:t>　　5.</w:t>
      </w:r>
      <w:r>
        <w:t>6.2</w:t>
      </w:r>
      <w:r>
        <w:rPr>
          <w:rFonts w:hint="eastAsia"/>
        </w:rPr>
        <w:t>　交货日期以货物到达甲方现场为准。</w:t>
      </w:r>
    </w:p>
    <w:p>
      <w:pPr>
        <w:spacing w:line="560" w:lineRule="exact"/>
        <w:ind w:firstLine="570"/>
      </w:pPr>
      <w:r>
        <w:rPr>
          <w:rFonts w:hint="eastAsia"/>
        </w:rPr>
        <w:t>5.</w:t>
      </w:r>
      <w:r>
        <w:t>6.3</w:t>
      </w:r>
      <w:r>
        <w:rPr>
          <w:rFonts w:hint="eastAsia"/>
        </w:rPr>
        <w:t>　乙方装运的货物必须符合合同规定的货物名称、质量、数量或重量，否则，一切后果均由乙方承担。</w:t>
      </w:r>
    </w:p>
    <w:p>
      <w:pPr>
        <w:spacing w:line="560" w:lineRule="exact"/>
        <w:ind w:firstLine="472" w:firstLineChars="196"/>
        <w:rPr>
          <w:b/>
        </w:rPr>
      </w:pPr>
      <w:r>
        <w:rPr>
          <w:rFonts w:hint="eastAsia"/>
          <w:b/>
        </w:rPr>
        <w:t>5.</w:t>
      </w:r>
      <w:r>
        <w:rPr>
          <w:b/>
        </w:rPr>
        <w:t xml:space="preserve">7. </w:t>
      </w:r>
      <w:r>
        <w:rPr>
          <w:rFonts w:hint="eastAsia"/>
          <w:b/>
        </w:rPr>
        <w:t>合同价款的支付方式</w:t>
      </w:r>
    </w:p>
    <w:p>
      <w:pPr>
        <w:spacing w:line="560" w:lineRule="exact"/>
        <w:ind w:left="480" w:hanging="480" w:hangingChars="200"/>
      </w:pPr>
      <w:r>
        <w:rPr>
          <w:rFonts w:hint="eastAsia"/>
        </w:rPr>
        <w:t>　　5.</w:t>
      </w:r>
      <w:r>
        <w:t xml:space="preserve">7.1  </w:t>
      </w:r>
      <w:r>
        <w:rPr>
          <w:rFonts w:hint="eastAsia"/>
        </w:rPr>
        <w:t>除另有规定者外，本合同价款将由甲方财务部门以转账方式向乙方支付。</w:t>
      </w:r>
    </w:p>
    <w:p>
      <w:pPr>
        <w:spacing w:line="560" w:lineRule="exact"/>
        <w:ind w:firstLine="480" w:firstLineChars="200"/>
      </w:pPr>
      <w:r>
        <w:rPr>
          <w:rFonts w:hint="eastAsia"/>
        </w:rPr>
        <w:t>5.</w:t>
      </w:r>
      <w:r>
        <w:t xml:space="preserve">7.2  </w:t>
      </w:r>
      <w:r>
        <w:rPr>
          <w:rFonts w:hint="eastAsia"/>
        </w:rPr>
        <w:t>按甲方规定，乙方必须给甲方提供增值税普通发票，需甲方验收产品质量合格后，办理付款手续。结账方式：按批次滚动式结账。</w:t>
      </w:r>
    </w:p>
    <w:p>
      <w:pPr>
        <w:spacing w:line="560" w:lineRule="exact"/>
        <w:ind w:firstLine="472" w:firstLineChars="196"/>
        <w:rPr>
          <w:b/>
        </w:rPr>
      </w:pPr>
      <w:r>
        <w:rPr>
          <w:rFonts w:hint="eastAsia"/>
          <w:b/>
        </w:rPr>
        <w:t>5.</w:t>
      </w:r>
      <w:r>
        <w:rPr>
          <w:b/>
        </w:rPr>
        <w:t xml:space="preserve">8. </w:t>
      </w:r>
      <w:r>
        <w:rPr>
          <w:rFonts w:hint="eastAsia"/>
          <w:b/>
        </w:rPr>
        <w:t>食品质量、卫生与安全</w:t>
      </w:r>
    </w:p>
    <w:p>
      <w:pPr>
        <w:spacing w:line="560" w:lineRule="exact"/>
        <w:ind w:firstLine="480"/>
      </w:pPr>
      <w:r>
        <w:rPr>
          <w:rFonts w:hint="eastAsia"/>
        </w:rPr>
        <w:t>5.</w:t>
      </w:r>
      <w:r>
        <w:t>8.1</w:t>
      </w:r>
      <w:r>
        <w:rPr>
          <w:rFonts w:hint="eastAsia"/>
        </w:rPr>
        <w:t>　乙方保证其提供的货物及服务均符合《中华人民共和国食品卫生法》、《餐饮业食品卫生管理办法》、《餐饮业和集体用餐配送单位卫生规范》及新疆维吾尔自治区有关食品安全管理的规定。乙方对提供货物的质量、卫生、食品安全承担全部责任。乙方保证提供的货物均符合国家规定的质量、卫生、食品安全标准。乙方提供的货物属于实行生产许可证管理的，所提供的货物必须经过</w:t>
      </w:r>
      <w:r>
        <w:t>QS</w:t>
      </w:r>
      <w:r>
        <w:rPr>
          <w:rFonts w:hint="eastAsia"/>
        </w:rPr>
        <w:t>质量认证。</w:t>
      </w:r>
    </w:p>
    <w:p>
      <w:pPr>
        <w:spacing w:line="560" w:lineRule="exact"/>
        <w:ind w:firstLine="480"/>
      </w:pPr>
      <w:r>
        <w:rPr>
          <w:rFonts w:hint="eastAsia"/>
        </w:rPr>
        <w:t>5.</w:t>
      </w:r>
      <w:r>
        <w:t>8.2</w:t>
      </w:r>
      <w:r>
        <w:rPr>
          <w:rFonts w:hint="eastAsia"/>
        </w:rPr>
        <w:t xml:space="preserve">  除合同中另有规定外，乙方所提供的货物在该类食品规定的条件和期限内不发生食品质量变异，否则赔偿甲方的全部损失。</w:t>
      </w:r>
    </w:p>
    <w:p>
      <w:pPr>
        <w:spacing w:line="560" w:lineRule="exact"/>
        <w:ind w:firstLine="480"/>
      </w:pPr>
      <w:r>
        <w:rPr>
          <w:rFonts w:hint="eastAsia"/>
        </w:rPr>
        <w:t>5.</w:t>
      </w:r>
      <w:r>
        <w:t xml:space="preserve">8.3 </w:t>
      </w:r>
      <w:r>
        <w:rPr>
          <w:rFonts w:hint="eastAsia"/>
        </w:rPr>
        <w:t>提供采购货物的“质量检验报告”：提供产品在半年内由国家质量检测机构出具的“质量检验报告”，自检报告无效。</w:t>
      </w:r>
    </w:p>
    <w:p>
      <w:pPr>
        <w:spacing w:line="560" w:lineRule="exact"/>
        <w:ind w:firstLine="480"/>
      </w:pPr>
      <w:r>
        <w:rPr>
          <w:rFonts w:hint="eastAsia"/>
        </w:rPr>
        <w:t>5.</w:t>
      </w:r>
      <w:r>
        <w:t xml:space="preserve">8.4 </w:t>
      </w:r>
      <w:r>
        <w:rPr>
          <w:rFonts w:hint="eastAsia"/>
        </w:rPr>
        <w:t>其他货物合格证明材料：按照国家规定，个别产品生产企业（厂商）必须具备的其他生产资格证明文件。按照新疆维吾尔自治区规定，个别产品在新疆销售必须具备的其他生产资格证明文件。</w:t>
      </w:r>
    </w:p>
    <w:p>
      <w:pPr>
        <w:spacing w:line="560" w:lineRule="exact"/>
        <w:ind w:firstLine="480"/>
      </w:pPr>
      <w:r>
        <w:rPr>
          <w:rFonts w:hint="eastAsia"/>
        </w:rPr>
        <w:t>5.</w:t>
      </w:r>
      <w:r>
        <w:t xml:space="preserve">8.5 </w:t>
      </w:r>
      <w:r>
        <w:rPr>
          <w:rFonts w:hint="eastAsia"/>
        </w:rPr>
        <w:t>禁止向甲方提供不符合食品卫生安全的食品及原辅材料。</w:t>
      </w:r>
    </w:p>
    <w:p>
      <w:pPr>
        <w:spacing w:line="560" w:lineRule="exact"/>
        <w:ind w:firstLine="472" w:firstLineChars="196"/>
        <w:rPr>
          <w:b/>
        </w:rPr>
      </w:pPr>
      <w:r>
        <w:rPr>
          <w:rFonts w:hint="eastAsia"/>
          <w:b/>
        </w:rPr>
        <w:t>5.</w:t>
      </w:r>
      <w:r>
        <w:rPr>
          <w:b/>
        </w:rPr>
        <w:t>9</w:t>
      </w:r>
      <w:r>
        <w:rPr>
          <w:rFonts w:hint="eastAsia"/>
          <w:b/>
        </w:rPr>
        <w:t>、包装要求</w:t>
      </w:r>
    </w:p>
    <w:p>
      <w:pPr>
        <w:spacing w:line="560" w:lineRule="exact"/>
        <w:ind w:firstLine="480" w:firstLineChars="200"/>
      </w:pPr>
      <w:r>
        <w:rPr>
          <w:rFonts w:hint="eastAsia"/>
        </w:rPr>
        <w:t>5.</w:t>
      </w:r>
      <w:r>
        <w:t>9.1</w:t>
      </w:r>
      <w:r>
        <w:rPr>
          <w:rFonts w:hint="eastAsia"/>
        </w:rPr>
        <w:t>采用定型包装的货物，包装必须符合国家对产品包装的有关规定。包装上必须有明确的品牌、等级、生产日期、保质期、储存要求、净重量等。</w:t>
      </w:r>
    </w:p>
    <w:p>
      <w:pPr>
        <w:spacing w:line="560" w:lineRule="exact"/>
        <w:ind w:firstLine="472" w:firstLineChars="196"/>
        <w:rPr>
          <w:b/>
        </w:rPr>
      </w:pPr>
      <w:r>
        <w:rPr>
          <w:rFonts w:hint="eastAsia"/>
          <w:b/>
        </w:rPr>
        <w:t>5.</w:t>
      </w:r>
      <w:r>
        <w:rPr>
          <w:b/>
        </w:rPr>
        <w:t>10</w:t>
      </w:r>
      <w:r>
        <w:rPr>
          <w:rFonts w:hint="eastAsia"/>
          <w:b/>
        </w:rPr>
        <w:t>、货物的储藏</w:t>
      </w:r>
    </w:p>
    <w:p>
      <w:pPr>
        <w:spacing w:line="560" w:lineRule="exact"/>
        <w:ind w:firstLine="480" w:firstLineChars="200"/>
      </w:pPr>
      <w:r>
        <w:rPr>
          <w:rFonts w:hint="eastAsia"/>
        </w:rPr>
        <w:t>5.</w:t>
      </w:r>
      <w:r>
        <w:t>10.1</w:t>
      </w:r>
      <w:r>
        <w:rPr>
          <w:rFonts w:hint="eastAsia"/>
        </w:rPr>
        <w:t>乙方不对供应甲方的货物进行长时间的储藏；所有提供给甲方的货物，在乙方仓库储藏时间不得超过</w:t>
      </w:r>
      <w:r>
        <w:t>24</w:t>
      </w:r>
      <w:r>
        <w:rPr>
          <w:rFonts w:hint="eastAsia"/>
        </w:rPr>
        <w:t>小时；乙方保证所有外购的货物自批发、采购地点运至甲方指定地点的时间不超过</w:t>
      </w:r>
      <w:r>
        <w:t>24</w:t>
      </w:r>
      <w:r>
        <w:rPr>
          <w:rFonts w:hint="eastAsia"/>
        </w:rPr>
        <w:t>小时。</w:t>
      </w:r>
    </w:p>
    <w:p>
      <w:pPr>
        <w:spacing w:line="560" w:lineRule="exact"/>
        <w:ind w:firstLine="480" w:firstLineChars="200"/>
      </w:pPr>
      <w:r>
        <w:rPr>
          <w:rFonts w:hint="eastAsia"/>
        </w:rPr>
        <w:t>5.</w:t>
      </w:r>
      <w:r>
        <w:t xml:space="preserve">10.2 </w:t>
      </w:r>
      <w:r>
        <w:rPr>
          <w:rFonts w:hint="eastAsia"/>
        </w:rPr>
        <w:t>乙方向甲方保证具有对部分货物进行冷冻储藏或保鲜储藏的设施，所有储藏设施符合国家、行业标准的规范。</w:t>
      </w:r>
    </w:p>
    <w:p>
      <w:pPr>
        <w:spacing w:line="560" w:lineRule="exact"/>
        <w:ind w:firstLine="480" w:firstLineChars="200"/>
      </w:pPr>
      <w:r>
        <w:rPr>
          <w:rFonts w:hint="eastAsia"/>
        </w:rPr>
        <w:t>5.</w:t>
      </w:r>
      <w:r>
        <w:t xml:space="preserve">10.3 </w:t>
      </w:r>
      <w:r>
        <w:rPr>
          <w:rFonts w:hint="eastAsia"/>
        </w:rPr>
        <w:t>乙方保证建立了严格的仓库管理记录档案，以备甲方随时查验，详细记载进入、搬出货物的种类、数量和时间。</w:t>
      </w:r>
    </w:p>
    <w:p>
      <w:pPr>
        <w:spacing w:line="560" w:lineRule="exact"/>
        <w:ind w:firstLine="472" w:firstLineChars="196"/>
        <w:rPr>
          <w:b/>
        </w:rPr>
      </w:pPr>
      <w:r>
        <w:rPr>
          <w:rFonts w:hint="eastAsia"/>
          <w:b/>
        </w:rPr>
        <w:t>5.</w:t>
      </w:r>
      <w:r>
        <w:rPr>
          <w:b/>
        </w:rPr>
        <w:t>11</w:t>
      </w:r>
      <w:r>
        <w:rPr>
          <w:rFonts w:hint="eastAsia"/>
          <w:b/>
        </w:rPr>
        <w:t>、货物的运装</w:t>
      </w:r>
    </w:p>
    <w:p>
      <w:pPr>
        <w:spacing w:line="560" w:lineRule="exact"/>
        <w:ind w:firstLine="480" w:firstLineChars="200"/>
      </w:pPr>
      <w:r>
        <w:rPr>
          <w:rFonts w:hint="eastAsia"/>
        </w:rPr>
        <w:t>5.</w:t>
      </w:r>
      <w:r>
        <w:t>11.1</w:t>
      </w:r>
      <w:r>
        <w:rPr>
          <w:rFonts w:hint="eastAsia"/>
        </w:rPr>
        <w:t>乙方所提供的货物不得敞露运输。肉类、冷冻鸡鸭、冷冻食品、豆制品类根据季节需配备冷链运输。</w:t>
      </w:r>
    </w:p>
    <w:p>
      <w:pPr>
        <w:spacing w:line="560" w:lineRule="exact"/>
        <w:ind w:firstLine="480" w:firstLineChars="200"/>
      </w:pPr>
      <w:r>
        <w:rPr>
          <w:rFonts w:hint="eastAsia"/>
        </w:rPr>
        <w:t>5.</w:t>
      </w:r>
      <w:r>
        <w:t xml:space="preserve">11.2 </w:t>
      </w:r>
      <w:r>
        <w:rPr>
          <w:rFonts w:hint="eastAsia"/>
        </w:rPr>
        <w:t>货物装卸必须做到轻装轻卸。</w:t>
      </w:r>
    </w:p>
    <w:p>
      <w:pPr>
        <w:spacing w:line="560" w:lineRule="exact"/>
        <w:ind w:firstLine="480" w:firstLineChars="200"/>
      </w:pPr>
      <w:r>
        <w:rPr>
          <w:rFonts w:hint="eastAsia"/>
        </w:rPr>
        <w:t>5.</w:t>
      </w:r>
      <w:r>
        <w:t xml:space="preserve">11.3 </w:t>
      </w:r>
      <w:r>
        <w:rPr>
          <w:rFonts w:hint="eastAsia"/>
        </w:rPr>
        <w:t>乙方负责将所有货物运至甲方指定地点，负责卸货并搬运至甲方指定存放地点，并码放整齐。</w:t>
      </w:r>
    </w:p>
    <w:p>
      <w:pPr>
        <w:spacing w:line="560" w:lineRule="exact"/>
        <w:ind w:firstLine="480" w:firstLineChars="200"/>
      </w:pPr>
      <w:r>
        <w:rPr>
          <w:rFonts w:hint="eastAsia"/>
        </w:rPr>
        <w:t>5.</w:t>
      </w:r>
      <w:r>
        <w:t xml:space="preserve">11.4 </w:t>
      </w:r>
      <w:r>
        <w:rPr>
          <w:rFonts w:hint="eastAsia"/>
        </w:rPr>
        <w:t>乙方保证周转容器与运输车辆的清洁卫生和防止食品在运输过程中受到污染。</w:t>
      </w:r>
    </w:p>
    <w:p>
      <w:pPr>
        <w:spacing w:line="560" w:lineRule="exact"/>
        <w:ind w:firstLine="472" w:firstLineChars="196"/>
        <w:rPr>
          <w:b/>
        </w:rPr>
      </w:pPr>
      <w:r>
        <w:rPr>
          <w:rFonts w:hint="eastAsia"/>
          <w:b/>
        </w:rPr>
        <w:t>5.</w:t>
      </w:r>
      <w:r>
        <w:rPr>
          <w:b/>
        </w:rPr>
        <w:t>12</w:t>
      </w:r>
      <w:r>
        <w:rPr>
          <w:rFonts w:hint="eastAsia"/>
          <w:b/>
        </w:rPr>
        <w:t>、验收与检查</w:t>
      </w:r>
    </w:p>
    <w:p>
      <w:pPr>
        <w:spacing w:line="560" w:lineRule="exact"/>
        <w:ind w:firstLine="480"/>
      </w:pPr>
      <w:r>
        <w:rPr>
          <w:rFonts w:hint="eastAsia"/>
        </w:rPr>
        <w:t>5.</w:t>
      </w:r>
      <w:r>
        <w:t xml:space="preserve">12.1 </w:t>
      </w:r>
      <w:r>
        <w:rPr>
          <w:rFonts w:hint="eastAsia"/>
        </w:rPr>
        <w:t>乙方按照甲方订单将货物运至甲方指定地点后，甲方人员应及时对乙方货物进行验收，甲方不得无故拖延。经《送货单》验收签字确认后，默认为验收合格，乙方不再承担该批物资的质量责任。</w:t>
      </w:r>
    </w:p>
    <w:p>
      <w:pPr>
        <w:spacing w:line="560" w:lineRule="exact"/>
        <w:ind w:firstLine="480"/>
      </w:pPr>
      <w:r>
        <w:rPr>
          <w:rFonts w:hint="eastAsia"/>
        </w:rPr>
        <w:t>5.</w:t>
      </w:r>
      <w:r>
        <w:t>12.2</w:t>
      </w:r>
      <w:r>
        <w:rPr>
          <w:rFonts w:hint="eastAsia"/>
        </w:rPr>
        <w:t>产品规格型号按标准验收，若技术规格中无相应规定，按国家行业标准验收。</w:t>
      </w:r>
    </w:p>
    <w:p>
      <w:pPr>
        <w:spacing w:line="560" w:lineRule="exact"/>
        <w:ind w:firstLine="480"/>
      </w:pPr>
      <w:r>
        <w:rPr>
          <w:rFonts w:hint="eastAsia"/>
        </w:rPr>
        <w:t>5.</w:t>
      </w:r>
      <w:r>
        <w:t xml:space="preserve">12.3 </w:t>
      </w:r>
      <w:r>
        <w:rPr>
          <w:rFonts w:hint="eastAsia"/>
        </w:rPr>
        <w:t>产品质量出现问题，乙方应无偿退换，因此产生的费用由乙方自行负责。</w:t>
      </w:r>
    </w:p>
    <w:p>
      <w:pPr>
        <w:spacing w:line="560" w:lineRule="exact"/>
        <w:ind w:firstLine="480"/>
      </w:pPr>
      <w:r>
        <w:rPr>
          <w:rFonts w:hint="eastAsia"/>
        </w:rPr>
        <w:t>5.</w:t>
      </w:r>
      <w:r>
        <w:t>12.</w:t>
      </w:r>
      <w:r>
        <w:rPr>
          <w:rFonts w:hint="eastAsia"/>
        </w:rPr>
        <w:t>4产品直接运到现场，由甲方、乙方及有关专业人员进行检验，验收合格后，甲方代表签字确认。</w:t>
      </w:r>
    </w:p>
    <w:p>
      <w:pPr>
        <w:spacing w:line="560" w:lineRule="exact"/>
        <w:ind w:firstLine="472" w:firstLineChars="196"/>
        <w:rPr>
          <w:b/>
        </w:rPr>
      </w:pPr>
      <w:r>
        <w:rPr>
          <w:rFonts w:hint="eastAsia"/>
          <w:b/>
        </w:rPr>
        <w:t>5.</w:t>
      </w:r>
      <w:r>
        <w:rPr>
          <w:b/>
        </w:rPr>
        <w:t>13</w:t>
      </w:r>
      <w:r>
        <w:rPr>
          <w:rFonts w:hint="eastAsia"/>
          <w:b/>
        </w:rPr>
        <w:t>、索赔</w:t>
      </w:r>
    </w:p>
    <w:p>
      <w:pPr>
        <w:spacing w:line="560" w:lineRule="exact"/>
      </w:pPr>
      <w:r>
        <w:rPr>
          <w:rFonts w:hint="eastAsia"/>
        </w:rPr>
        <w:t>　　5.</w:t>
      </w:r>
      <w:r>
        <w:t>13.1</w:t>
      </w:r>
      <w:r>
        <w:rPr>
          <w:rFonts w:hint="eastAsia"/>
        </w:rPr>
        <w:t>乙方对所供货物与合同要求不符合应负有责任，甲方在规定质量保证期内和检验、服务与验收期限内提出索赔，乙方应按甲方提出的下述一种或多种方法解决索赔事宜。</w:t>
      </w:r>
    </w:p>
    <w:p>
      <w:pPr>
        <w:spacing w:line="560" w:lineRule="exact"/>
      </w:pPr>
      <w:r>
        <w:rPr>
          <w:rFonts w:hint="eastAsia"/>
        </w:rPr>
        <w:t>　　5.</w:t>
      </w:r>
      <w:r>
        <w:t>13.</w:t>
      </w:r>
      <w:r>
        <w:rPr>
          <w:rFonts w:hint="eastAsia"/>
        </w:rPr>
        <w:t>2乙方由于食材及材料质量问题，应将甲方拒收材料并把被拒收材料的金额以合同规定的同类货币付给甲方，乙方承担一切损失和费用，包括货款、运输和保险费、检验费、仓储费和装卸费以及为保管和保护被拒绝材料所需要的其它等一切费用。</w:t>
      </w:r>
    </w:p>
    <w:p>
      <w:pPr>
        <w:spacing w:line="560" w:lineRule="exact"/>
      </w:pPr>
      <w:r>
        <w:rPr>
          <w:rFonts w:hint="eastAsia"/>
        </w:rPr>
        <w:t>　　5.</w:t>
      </w:r>
      <w:r>
        <w:t>13.</w:t>
      </w:r>
      <w:r>
        <w:rPr>
          <w:rFonts w:hint="eastAsia"/>
        </w:rPr>
        <w:t>3根据乙方配送材料的低劣和受损程度，甲方要求限时调换，如乙方未按时调换，甲方从市场自行购买，产生的一切费用，将从乙方货款内扣除。</w:t>
      </w:r>
    </w:p>
    <w:p>
      <w:pPr>
        <w:spacing w:line="560" w:lineRule="exact"/>
      </w:pPr>
      <w:r>
        <w:rPr>
          <w:rFonts w:hint="eastAsia"/>
        </w:rPr>
        <w:t>　　5.</w:t>
      </w:r>
      <w:r>
        <w:t>13.</w:t>
      </w:r>
      <w:r>
        <w:rPr>
          <w:rFonts w:hint="eastAsia"/>
        </w:rPr>
        <w:t>4如果甲方提出索赔通知后</w:t>
      </w:r>
      <w:r>
        <w:t>10</w:t>
      </w:r>
      <w:r>
        <w:rPr>
          <w:rFonts w:hint="eastAsia"/>
        </w:rPr>
        <w:t>日内乙方未能予以答复，该索赔应视为被乙方接受。若乙方在甲方提出索赔通知的</w:t>
      </w:r>
      <w:r>
        <w:t>10</w:t>
      </w:r>
      <w:r>
        <w:rPr>
          <w:rFonts w:hint="eastAsia"/>
        </w:rPr>
        <w:t>日内或甲方同意更长一些时间内，未能按甲方同意的上述任何一种方式处理索赔事宜，乙方向甲方赔偿合同金额的</w:t>
      </w:r>
      <w:r>
        <w:t xml:space="preserve"> 10 %</w:t>
      </w:r>
      <w:r>
        <w:rPr>
          <w:rFonts w:hint="eastAsia"/>
        </w:rPr>
        <w:t>的罚金。</w:t>
      </w:r>
    </w:p>
    <w:p>
      <w:pPr>
        <w:spacing w:line="560" w:lineRule="exact"/>
        <w:ind w:firstLine="472" w:firstLineChars="196"/>
        <w:rPr>
          <w:b/>
        </w:rPr>
      </w:pPr>
      <w:r>
        <w:rPr>
          <w:rFonts w:hint="eastAsia"/>
          <w:b/>
        </w:rPr>
        <w:t>5.</w:t>
      </w:r>
      <w:r>
        <w:rPr>
          <w:b/>
        </w:rPr>
        <w:t xml:space="preserve">14. </w:t>
      </w:r>
      <w:r>
        <w:rPr>
          <w:rFonts w:hint="eastAsia"/>
          <w:b/>
        </w:rPr>
        <w:t>延期交货与核定损失额</w:t>
      </w:r>
    </w:p>
    <w:p>
      <w:pPr>
        <w:spacing w:line="560" w:lineRule="exact"/>
      </w:pPr>
      <w:r>
        <w:rPr>
          <w:rFonts w:hint="eastAsia"/>
        </w:rPr>
        <w:t>　　5.</w:t>
      </w:r>
      <w:r>
        <w:t xml:space="preserve">14.1  </w:t>
      </w:r>
      <w:r>
        <w:rPr>
          <w:rFonts w:hint="eastAsia"/>
        </w:rPr>
        <w:t>乙方应按照“开标一览表”中规定的交货期交货和提供服务，并交付甲方验收使用。</w:t>
      </w:r>
    </w:p>
    <w:p>
      <w:pPr>
        <w:spacing w:line="560" w:lineRule="exact"/>
      </w:pPr>
      <w:r>
        <w:rPr>
          <w:rFonts w:hint="eastAsia"/>
        </w:rPr>
        <w:t>　　5.</w:t>
      </w:r>
      <w:r>
        <w:t xml:space="preserve">14.2  </w:t>
      </w:r>
      <w:r>
        <w:rPr>
          <w:rFonts w:hint="eastAsia"/>
        </w:rPr>
        <w:t>如果乙方无正当理由拖延交货，将受到以下制裁：乙方逾期交货酌情扣除当日货款作为违约金。</w:t>
      </w:r>
    </w:p>
    <w:p>
      <w:pPr>
        <w:spacing w:line="560" w:lineRule="exact"/>
      </w:pPr>
      <w:r>
        <w:rPr>
          <w:rFonts w:hint="eastAsia"/>
        </w:rPr>
        <w:t>　　5.</w:t>
      </w:r>
      <w:r>
        <w:t xml:space="preserve">14.3  </w:t>
      </w:r>
      <w:r>
        <w:rPr>
          <w:rFonts w:hint="eastAsia"/>
        </w:rPr>
        <w:t>在履行合同过程中，如果乙方遇到不能按时交货和提供服务的情况，应及时将不能按时交货的理由、可能延误的时间通知甲方。甲方在收到乙方通知后，应对情况进行分析，决酌情延长交货时间或终止合同；同时保留按第</w:t>
      </w:r>
      <w:r>
        <w:t>14.2</w:t>
      </w:r>
      <w:r>
        <w:rPr>
          <w:rFonts w:hint="eastAsia"/>
        </w:rPr>
        <w:t>条规定对乙方进行制裁的权力。</w:t>
      </w:r>
    </w:p>
    <w:p>
      <w:pPr>
        <w:spacing w:line="560" w:lineRule="exact"/>
        <w:ind w:firstLine="585"/>
      </w:pPr>
      <w:r>
        <w:rPr>
          <w:rFonts w:hint="eastAsia"/>
        </w:rPr>
        <w:t>5.</w:t>
      </w:r>
      <w:r>
        <w:t xml:space="preserve">14.4 </w:t>
      </w:r>
      <w:r>
        <w:rPr>
          <w:rFonts w:hint="eastAsia"/>
        </w:rPr>
        <w:t>对乙方在每学期发生三次以上不履行合同或未完全履行合同等违约行为，甲方视情节轻重按合同约定追究其违约责任，包括但不限于：书面警告、责令整改、中止合同3个月、扣除保证金和当月货款并解除合同。</w:t>
      </w:r>
    </w:p>
    <w:p>
      <w:pPr>
        <w:spacing w:line="560" w:lineRule="exact"/>
        <w:ind w:firstLine="585"/>
      </w:pPr>
      <w:r>
        <w:rPr>
          <w:rFonts w:hint="eastAsia"/>
        </w:rPr>
        <w:t>5.14.5甲方追责后，乙方仍然不能按合同履行义务的，由甲方报送政府采购监管部门，采购监管部门可依法对其采取列入不良行为记录名单、在一至三年内禁止参加政府采购活动，并予以通报的处罚措施。乙方因违约行为给采购人造成经济损失的，采购方有权按实际发生的经济损失从乙方的保证金中扣除，并终止合同。</w:t>
      </w:r>
    </w:p>
    <w:p>
      <w:pPr>
        <w:spacing w:line="560" w:lineRule="exact"/>
        <w:ind w:firstLine="472" w:firstLineChars="196"/>
        <w:rPr>
          <w:b/>
        </w:rPr>
      </w:pPr>
      <w:r>
        <w:rPr>
          <w:rFonts w:hint="eastAsia"/>
          <w:b/>
        </w:rPr>
        <w:t>5.</w:t>
      </w:r>
      <w:r>
        <w:rPr>
          <w:b/>
        </w:rPr>
        <w:t xml:space="preserve">15. </w:t>
      </w:r>
      <w:r>
        <w:rPr>
          <w:rFonts w:hint="eastAsia"/>
          <w:b/>
        </w:rPr>
        <w:t>不可抗力</w:t>
      </w:r>
    </w:p>
    <w:p>
      <w:pPr>
        <w:spacing w:line="560" w:lineRule="exact"/>
      </w:pPr>
      <w:r>
        <w:rPr>
          <w:rFonts w:hint="eastAsia"/>
        </w:rPr>
        <w:t>　　5.</w:t>
      </w:r>
      <w:r>
        <w:t>15.1</w:t>
      </w:r>
      <w:r>
        <w:rPr>
          <w:rFonts w:hint="eastAsia"/>
        </w:rPr>
        <w:t>　签约任何一方由于受诸如战争、瘟疫、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560" w:lineRule="exact"/>
      </w:pPr>
      <w:r>
        <w:rPr>
          <w:rFonts w:hint="eastAsia"/>
        </w:rPr>
        <w:t>　　5.</w:t>
      </w:r>
      <w:r>
        <w:t xml:space="preserve">15.2  </w:t>
      </w:r>
      <w:r>
        <w:rPr>
          <w:rFonts w:hint="eastAsia"/>
        </w:rPr>
        <w:t>受阻一方应在不可抗力事故发生后尽快用邮件、传真、快递、挂号信等方式通知对方，并于事故发生后</w:t>
      </w:r>
      <w:r>
        <w:t>15</w:t>
      </w:r>
      <w:r>
        <w:rPr>
          <w:rFonts w:hint="eastAsia"/>
        </w:rPr>
        <w:t>天内将有关部门出具的证明文件用特快专递或挂号信等形式寄给对方审阅确认。一旦不可抗力事故的影响持续一百二十日以上，双方应通过友好协商在合理的时间内达成进一步履行合同的协议。</w:t>
      </w:r>
    </w:p>
    <w:p>
      <w:pPr>
        <w:spacing w:line="560" w:lineRule="exact"/>
        <w:ind w:firstLine="472" w:firstLineChars="196"/>
        <w:rPr>
          <w:b/>
        </w:rPr>
      </w:pPr>
      <w:r>
        <w:rPr>
          <w:rFonts w:hint="eastAsia"/>
          <w:b/>
        </w:rPr>
        <w:t>5.</w:t>
      </w:r>
      <w:r>
        <w:rPr>
          <w:b/>
        </w:rPr>
        <w:t xml:space="preserve">16. </w:t>
      </w:r>
      <w:r>
        <w:rPr>
          <w:rFonts w:hint="eastAsia"/>
          <w:b/>
        </w:rPr>
        <w:t>纠纷处理方式</w:t>
      </w:r>
    </w:p>
    <w:p>
      <w:pPr>
        <w:spacing w:line="560" w:lineRule="exact"/>
      </w:pPr>
      <w:r>
        <w:rPr>
          <w:rFonts w:hint="eastAsia"/>
        </w:rPr>
        <w:t>　　5.</w:t>
      </w:r>
      <w:r>
        <w:t>16.1</w:t>
      </w:r>
      <w:r>
        <w:rPr>
          <w:rFonts w:hint="eastAsia"/>
        </w:rPr>
        <w:t>　双方发生纠纷，向甲方所在地有管辖权的人民法院进行诉讼。</w:t>
      </w:r>
    </w:p>
    <w:p>
      <w:pPr>
        <w:spacing w:line="560" w:lineRule="exact"/>
        <w:ind w:firstLine="472" w:firstLineChars="196"/>
        <w:rPr>
          <w:b/>
        </w:rPr>
      </w:pPr>
      <w:r>
        <w:rPr>
          <w:rFonts w:hint="eastAsia"/>
          <w:b/>
        </w:rPr>
        <w:t>5.</w:t>
      </w:r>
      <w:r>
        <w:rPr>
          <w:b/>
        </w:rPr>
        <w:t xml:space="preserve">17. </w:t>
      </w:r>
      <w:r>
        <w:rPr>
          <w:rFonts w:hint="eastAsia"/>
          <w:b/>
        </w:rPr>
        <w:t>违约终止合同</w:t>
      </w:r>
    </w:p>
    <w:p>
      <w:pPr>
        <w:spacing w:line="560" w:lineRule="exact"/>
      </w:pPr>
      <w:r>
        <w:rPr>
          <w:rFonts w:hint="eastAsia"/>
        </w:rPr>
        <w:t>　　5.</w:t>
      </w:r>
      <w:r>
        <w:t>17.1</w:t>
      </w:r>
      <w:r>
        <w:rPr>
          <w:rFonts w:hint="eastAsia"/>
        </w:rPr>
        <w:t>　在补救违约而采取的任何其他措施未能实现的情况下，即在乙方收到甲方发出的违约通知后十日内</w:t>
      </w:r>
      <w:r>
        <w:t>(</w:t>
      </w:r>
      <w:r>
        <w:rPr>
          <w:rFonts w:hint="eastAsia"/>
        </w:rPr>
        <w:t>或经甲方书面确认的更长时间内</w:t>
      </w:r>
      <w:r>
        <w:t>)</w:t>
      </w:r>
      <w:r>
        <w:rPr>
          <w:rFonts w:hint="eastAsia"/>
        </w:rPr>
        <w:t>仍未纠正其下述任何一种违约行为，甲方可向乙方发出书面违约通知，终止部分或全部合同：</w:t>
      </w:r>
    </w:p>
    <w:p>
      <w:pPr>
        <w:spacing w:line="560" w:lineRule="exact"/>
      </w:pPr>
      <w:r>
        <w:rPr>
          <w:rFonts w:hint="eastAsia"/>
        </w:rPr>
        <w:t>（</w:t>
      </w:r>
      <w:r>
        <w:t>1</w:t>
      </w:r>
      <w:r>
        <w:rPr>
          <w:rFonts w:hint="eastAsia"/>
        </w:rPr>
        <w:t>）如果乙方未能在合同规定的期限内或甲方准许的任何延期内交付部分或全部货物。</w:t>
      </w:r>
    </w:p>
    <w:p>
      <w:pPr>
        <w:spacing w:line="560" w:lineRule="exact"/>
      </w:pPr>
      <w:r>
        <w:rPr>
          <w:rFonts w:hint="eastAsia"/>
        </w:rPr>
        <w:t>（</w:t>
      </w:r>
      <w:r>
        <w:t>2</w:t>
      </w:r>
      <w:r>
        <w:rPr>
          <w:rFonts w:hint="eastAsia"/>
        </w:rPr>
        <w:t>）乙方未能履行合同项下的其它义务。</w:t>
      </w:r>
    </w:p>
    <w:p>
      <w:pPr>
        <w:spacing w:line="560" w:lineRule="exact"/>
      </w:pPr>
      <w:r>
        <w:rPr>
          <w:rFonts w:hint="eastAsia"/>
        </w:rPr>
        <w:t>（</w:t>
      </w:r>
      <w:r>
        <w:t>3</w:t>
      </w:r>
      <w:r>
        <w:rPr>
          <w:rFonts w:hint="eastAsia"/>
        </w:rPr>
        <w:t>）因向用户或采购人员提供非法利益和不开具正规发票等原因，累计被投诉三次（经查证属实），取消其协议供货单位资格；</w:t>
      </w:r>
    </w:p>
    <w:p>
      <w:pPr>
        <w:spacing w:line="560" w:lineRule="exact"/>
      </w:pPr>
      <w:r>
        <w:rPr>
          <w:rFonts w:hint="eastAsia"/>
        </w:rPr>
        <w:t>　　5.</w:t>
      </w:r>
      <w:r>
        <w:t>17.2</w:t>
      </w:r>
      <w:r>
        <w:rPr>
          <w:rFonts w:hint="eastAsia"/>
        </w:rPr>
        <w:t>　一旦甲方根据第</w:t>
      </w:r>
      <w:r>
        <w:t>17.1</w:t>
      </w:r>
      <w:r>
        <w:rPr>
          <w:rFonts w:hint="eastAsia"/>
        </w:rPr>
        <w:t>款终止合同，甲方可以按其认为适当的条件和方式采购类似未交付部分的货物。乙方应承担甲方购买类似货物的价格差及额外费用。但是，乙方应继续履行合同中未终止的部分。</w:t>
      </w:r>
    </w:p>
    <w:p>
      <w:pPr>
        <w:spacing w:line="560" w:lineRule="exact"/>
      </w:pPr>
      <w:r>
        <w:rPr>
          <w:rFonts w:hint="eastAsia"/>
        </w:rPr>
        <w:t>　　5.</w:t>
      </w:r>
      <w:r>
        <w:t xml:space="preserve">17.3 </w:t>
      </w:r>
      <w:r>
        <w:rPr>
          <w:rFonts w:hint="eastAsia"/>
        </w:rPr>
        <w:t>乙方按照《中华人民共和国政府采购法》第七十七条规定，承担相应的法律责任。</w:t>
      </w:r>
    </w:p>
    <w:p>
      <w:pPr>
        <w:spacing w:line="560" w:lineRule="exact"/>
        <w:ind w:firstLine="472" w:firstLineChars="196"/>
        <w:rPr>
          <w:b/>
        </w:rPr>
      </w:pPr>
      <w:r>
        <w:rPr>
          <w:rFonts w:hint="eastAsia"/>
          <w:b/>
        </w:rPr>
        <w:t>5.</w:t>
      </w:r>
      <w:r>
        <w:rPr>
          <w:b/>
        </w:rPr>
        <w:t xml:space="preserve">18. </w:t>
      </w:r>
      <w:r>
        <w:rPr>
          <w:rFonts w:hint="eastAsia"/>
          <w:b/>
        </w:rPr>
        <w:t>合同修改</w:t>
      </w:r>
    </w:p>
    <w:p>
      <w:pPr>
        <w:spacing w:line="580" w:lineRule="exact"/>
      </w:pPr>
      <w:r>
        <w:rPr>
          <w:rFonts w:hint="eastAsia"/>
        </w:rPr>
        <w:t>　　5.</w:t>
      </w:r>
      <w:r>
        <w:t>18.1</w:t>
      </w:r>
      <w:r>
        <w:rPr>
          <w:rFonts w:hint="eastAsia"/>
        </w:rPr>
        <w:t>　欲对合同条款做出任何改动或偏离，均须由买卖双方签署书面的合同修改书。</w:t>
      </w:r>
    </w:p>
    <w:p>
      <w:pPr>
        <w:spacing w:line="580" w:lineRule="exact"/>
        <w:ind w:firstLine="472" w:firstLineChars="196"/>
        <w:rPr>
          <w:b/>
        </w:rPr>
      </w:pPr>
      <w:r>
        <w:rPr>
          <w:rFonts w:hint="eastAsia"/>
          <w:b/>
        </w:rPr>
        <w:t>5.</w:t>
      </w:r>
      <w:r>
        <w:rPr>
          <w:b/>
        </w:rPr>
        <w:t xml:space="preserve">19. </w:t>
      </w:r>
      <w:r>
        <w:rPr>
          <w:rFonts w:hint="eastAsia"/>
          <w:b/>
        </w:rPr>
        <w:t>转让与分包</w:t>
      </w:r>
    </w:p>
    <w:p>
      <w:pPr>
        <w:spacing w:line="580" w:lineRule="exact"/>
      </w:pPr>
      <w:r>
        <w:rPr>
          <w:rFonts w:hint="eastAsia"/>
        </w:rPr>
        <w:t>　　5.</w:t>
      </w:r>
      <w:r>
        <w:t>19.1</w:t>
      </w:r>
      <w:r>
        <w:rPr>
          <w:rFonts w:hint="eastAsia"/>
        </w:rPr>
        <w:t>　除甲方事先同意外，乙方不得部分转让或全部转让其应履行的合同项下的义务。</w:t>
      </w:r>
    </w:p>
    <w:p>
      <w:pPr>
        <w:spacing w:line="580" w:lineRule="exact"/>
      </w:pPr>
      <w:r>
        <w:rPr>
          <w:rFonts w:hint="eastAsia"/>
        </w:rPr>
        <w:t>　　5.</w:t>
      </w:r>
      <w:r>
        <w:t>19.2</w:t>
      </w:r>
      <w:r>
        <w:rPr>
          <w:rFonts w:hint="eastAsia"/>
        </w:rPr>
        <w:t>　甲方应书面通知乙方本合同项下所授予的所有分包合同。但该通知不解除乙方承担的本合同项下的任何责任或义务。</w:t>
      </w:r>
    </w:p>
    <w:p>
      <w:pPr>
        <w:spacing w:line="580" w:lineRule="exact"/>
        <w:ind w:firstLine="472" w:firstLineChars="196"/>
        <w:rPr>
          <w:b/>
        </w:rPr>
      </w:pPr>
      <w:r>
        <w:rPr>
          <w:rFonts w:hint="eastAsia"/>
          <w:b/>
        </w:rPr>
        <w:t>5.</w:t>
      </w:r>
      <w:r>
        <w:rPr>
          <w:b/>
        </w:rPr>
        <w:t xml:space="preserve">20. </w:t>
      </w:r>
      <w:r>
        <w:rPr>
          <w:rFonts w:hint="eastAsia"/>
          <w:b/>
        </w:rPr>
        <w:t>适用法律</w:t>
      </w:r>
    </w:p>
    <w:p>
      <w:pPr>
        <w:spacing w:line="580" w:lineRule="exact"/>
      </w:pPr>
      <w:r>
        <w:rPr>
          <w:rFonts w:hint="eastAsia"/>
        </w:rPr>
        <w:t>　　5.</w:t>
      </w:r>
      <w:r>
        <w:t>20.1</w:t>
      </w:r>
      <w:r>
        <w:rPr>
          <w:rFonts w:hint="eastAsia"/>
        </w:rPr>
        <w:t>　本合同应按中华人民共和国的相关法律解释。</w:t>
      </w:r>
    </w:p>
    <w:p>
      <w:pPr>
        <w:spacing w:line="580" w:lineRule="exact"/>
        <w:ind w:firstLine="472" w:firstLineChars="196"/>
        <w:rPr>
          <w:b/>
        </w:rPr>
      </w:pPr>
      <w:r>
        <w:rPr>
          <w:rFonts w:hint="eastAsia"/>
          <w:b/>
        </w:rPr>
        <w:t>5.</w:t>
      </w:r>
      <w:r>
        <w:rPr>
          <w:b/>
        </w:rPr>
        <w:t xml:space="preserve">21. </w:t>
      </w:r>
      <w:r>
        <w:rPr>
          <w:rFonts w:hint="eastAsia"/>
          <w:b/>
        </w:rPr>
        <w:t>通知</w:t>
      </w:r>
    </w:p>
    <w:p>
      <w:pPr>
        <w:spacing w:line="580" w:lineRule="exact"/>
      </w:pPr>
      <w:r>
        <w:rPr>
          <w:rFonts w:hint="eastAsia"/>
        </w:rPr>
        <w:t>　　5.</w:t>
      </w:r>
      <w:r>
        <w:t>21.1</w:t>
      </w:r>
      <w:r>
        <w:rPr>
          <w:rFonts w:hint="eastAsia"/>
        </w:rPr>
        <w:t>　本合同任何一方给另一方的通知都应以书面或电传、电报、传真的形式发送，而另一方应以书面形式确认并发送到对方明确的地址。</w:t>
      </w:r>
    </w:p>
    <w:p>
      <w:pPr>
        <w:spacing w:line="580" w:lineRule="exact"/>
        <w:ind w:firstLine="472" w:firstLineChars="196"/>
        <w:rPr>
          <w:b/>
        </w:rPr>
      </w:pPr>
      <w:r>
        <w:rPr>
          <w:rFonts w:hint="eastAsia"/>
          <w:b/>
        </w:rPr>
        <w:t>5.</w:t>
      </w:r>
      <w:r>
        <w:rPr>
          <w:b/>
        </w:rPr>
        <w:t xml:space="preserve">22. </w:t>
      </w:r>
      <w:r>
        <w:rPr>
          <w:rFonts w:hint="eastAsia"/>
          <w:b/>
        </w:rPr>
        <w:t>合同生效及其他</w:t>
      </w:r>
    </w:p>
    <w:p>
      <w:pPr>
        <w:spacing w:line="580" w:lineRule="exact"/>
        <w:ind w:firstLine="530" w:firstLineChars="221"/>
      </w:pPr>
      <w:r>
        <w:rPr>
          <w:rFonts w:hint="eastAsia"/>
        </w:rPr>
        <w:t>5.</w:t>
      </w:r>
      <w:r>
        <w:t>22.1</w:t>
      </w:r>
      <w:r>
        <w:rPr>
          <w:rFonts w:hint="eastAsia"/>
        </w:rPr>
        <w:t>　本合同自双方法定代表人或授权代理人签字（盖章）并加盖公章后生效。</w:t>
      </w:r>
    </w:p>
    <w:p>
      <w:pPr>
        <w:spacing w:line="580" w:lineRule="exact"/>
      </w:pPr>
      <w:r>
        <w:rPr>
          <w:rFonts w:hint="eastAsia"/>
        </w:rPr>
        <w:t>　　5.</w:t>
      </w:r>
      <w:r>
        <w:t xml:space="preserve">22.2 </w:t>
      </w:r>
      <w:r>
        <w:rPr>
          <w:rFonts w:hint="eastAsia"/>
        </w:rPr>
        <w:t>下述文件将作为合同附件，为本合同不可分割的组成部分，并与本合同具有同等效力；</w:t>
      </w:r>
    </w:p>
    <w:p>
      <w:pPr>
        <w:spacing w:line="580" w:lineRule="exact"/>
      </w:pPr>
      <w:r>
        <w:rPr>
          <w:rFonts w:hint="eastAsia"/>
        </w:rPr>
        <w:t>　　（</w:t>
      </w:r>
      <w:r>
        <w:t>1</w:t>
      </w:r>
      <w:r>
        <w:rPr>
          <w:rFonts w:hint="eastAsia"/>
        </w:rPr>
        <w:t>）招标文件；</w:t>
      </w:r>
    </w:p>
    <w:p>
      <w:pPr>
        <w:spacing w:line="580" w:lineRule="exact"/>
        <w:ind w:firstLine="555"/>
      </w:pPr>
      <w:r>
        <w:rPr>
          <w:rFonts w:hint="eastAsia"/>
        </w:rPr>
        <w:t>（</w:t>
      </w:r>
      <w:r>
        <w:t>2</w:t>
      </w:r>
      <w:r>
        <w:rPr>
          <w:rFonts w:hint="eastAsia"/>
        </w:rPr>
        <w:t>）中标通知书；</w:t>
      </w:r>
    </w:p>
    <w:p>
      <w:pPr>
        <w:spacing w:line="580" w:lineRule="exact"/>
        <w:ind w:firstLine="555"/>
      </w:pPr>
      <w:r>
        <w:rPr>
          <w:rFonts w:hint="eastAsia"/>
        </w:rPr>
        <w:t>（</w:t>
      </w:r>
      <w:r>
        <w:t>3</w:t>
      </w:r>
      <w:r>
        <w:rPr>
          <w:rFonts w:hint="eastAsia"/>
        </w:rPr>
        <w:t>）中标方的投标文件及询标过程中的书面答疑记录；</w:t>
      </w:r>
    </w:p>
    <w:p>
      <w:pPr>
        <w:spacing w:line="580" w:lineRule="exact"/>
        <w:ind w:firstLine="555"/>
      </w:pPr>
      <w:r>
        <w:rPr>
          <w:rFonts w:hint="eastAsia"/>
        </w:rPr>
        <w:t>（4）双方签订的其他各类文件等。</w:t>
      </w:r>
    </w:p>
    <w:p>
      <w:pPr>
        <w:spacing w:line="580" w:lineRule="exact"/>
        <w:ind w:firstLine="480"/>
      </w:pPr>
      <w:r>
        <w:rPr>
          <w:rFonts w:hint="eastAsia"/>
        </w:rPr>
        <w:t>5.</w:t>
      </w:r>
      <w:r>
        <w:t xml:space="preserve">22.3 </w:t>
      </w:r>
      <w:r>
        <w:rPr>
          <w:rFonts w:hint="eastAsia"/>
        </w:rPr>
        <w:t>本协议未尽事宜，双方友好协商解决。</w:t>
      </w:r>
    </w:p>
    <w:p>
      <w:pPr>
        <w:pStyle w:val="11"/>
      </w:pPr>
    </w:p>
    <w:p>
      <w:pPr>
        <w:spacing w:line="360" w:lineRule="auto"/>
        <w:ind w:left="24"/>
        <w:rPr>
          <w:szCs w:val="21"/>
        </w:rPr>
      </w:pPr>
    </w:p>
    <w:p>
      <w:pPr>
        <w:pStyle w:val="11"/>
        <w:rPr>
          <w:szCs w:val="21"/>
        </w:rPr>
      </w:pPr>
    </w:p>
    <w:p>
      <w:pPr>
        <w:rPr>
          <w:szCs w:val="21"/>
        </w:rPr>
      </w:pPr>
    </w:p>
    <w:p>
      <w:pPr>
        <w:pStyle w:val="11"/>
        <w:rPr>
          <w:szCs w:val="21"/>
        </w:rPr>
      </w:pPr>
    </w:p>
    <w:p/>
    <w:p>
      <w:bookmarkStart w:id="33" w:name="_Toc92733686"/>
    </w:p>
    <w:p>
      <w:pPr>
        <w:rPr>
          <w:rFonts w:hint="eastAsia"/>
          <w:b/>
          <w:sz w:val="28"/>
        </w:rPr>
      </w:pPr>
      <w:r>
        <w:rPr>
          <w:rFonts w:hint="eastAsia"/>
          <w:b/>
          <w:sz w:val="28"/>
        </w:rPr>
        <w:br w:type="page"/>
      </w:r>
    </w:p>
    <w:p>
      <w:pPr>
        <w:pStyle w:val="2"/>
        <w:rPr>
          <w:rFonts w:hint="eastAsia"/>
        </w:rPr>
      </w:pPr>
    </w:p>
    <w:p>
      <w:pPr>
        <w:spacing w:line="360" w:lineRule="auto"/>
        <w:jc w:val="center"/>
        <w:outlineLvl w:val="0"/>
        <w:rPr>
          <w:b/>
          <w:sz w:val="28"/>
        </w:rPr>
      </w:pPr>
      <w:r>
        <w:rPr>
          <w:rFonts w:hint="eastAsia"/>
          <w:b/>
          <w:sz w:val="28"/>
        </w:rPr>
        <w:t>第六章 响应文件格式</w:t>
      </w:r>
      <w:bookmarkEnd w:id="33"/>
    </w:p>
    <w:p>
      <w:pPr>
        <w:spacing w:afterLines="100" w:line="440" w:lineRule="exact"/>
        <w:jc w:val="right"/>
        <w:rPr>
          <w:bCs/>
          <w:sz w:val="28"/>
          <w:szCs w:val="28"/>
        </w:rPr>
      </w:pPr>
      <w:r>
        <w:rPr>
          <w:rFonts w:hint="eastAsia"/>
          <w:bCs/>
          <w:sz w:val="28"/>
          <w:szCs w:val="28"/>
          <w:bdr w:val="single" w:color="auto" w:sz="4" w:space="0"/>
        </w:rPr>
        <w:t>正本</w:t>
      </w:r>
    </w:p>
    <w:p>
      <w:pPr>
        <w:jc w:val="center"/>
        <w:rPr>
          <w:sz w:val="44"/>
          <w:szCs w:val="44"/>
        </w:rPr>
      </w:pPr>
    </w:p>
    <w:p>
      <w:pPr>
        <w:jc w:val="center"/>
        <w:rPr>
          <w:sz w:val="44"/>
          <w:szCs w:val="44"/>
        </w:rPr>
      </w:pPr>
      <w:r>
        <w:rPr>
          <w:rFonts w:hint="eastAsia"/>
          <w:sz w:val="44"/>
          <w:szCs w:val="44"/>
        </w:rPr>
        <w:t>响应文件</w:t>
      </w:r>
    </w:p>
    <w:p>
      <w:pPr>
        <w:pStyle w:val="79"/>
        <w:rPr>
          <w:rFonts w:hAnsi="宋体"/>
          <w:sz w:val="28"/>
          <w:szCs w:val="28"/>
        </w:rPr>
      </w:pPr>
    </w:p>
    <w:p>
      <w:pPr>
        <w:jc w:val="center"/>
        <w:rPr>
          <w:rFonts w:hint="eastAsia" w:eastAsia="宋体"/>
          <w:sz w:val="36"/>
          <w:szCs w:val="36"/>
          <w:lang w:eastAsia="zh-CN"/>
        </w:rPr>
      </w:pPr>
      <w:r>
        <w:rPr>
          <w:rFonts w:hint="eastAsia"/>
          <w:sz w:val="36"/>
          <w:szCs w:val="36"/>
        </w:rPr>
        <w:t>新疆大学学生餐饮管理服务中心2022-2023学年大宗物资招标采购项目（第 包）</w:t>
      </w:r>
      <w:r>
        <w:rPr>
          <w:rFonts w:hint="eastAsia"/>
          <w:sz w:val="36"/>
          <w:szCs w:val="36"/>
          <w:lang w:eastAsia="zh-CN"/>
        </w:rPr>
        <w:t>（二次）</w:t>
      </w:r>
    </w:p>
    <w:p>
      <w:pPr>
        <w:jc w:val="center"/>
        <w:rPr>
          <w:sz w:val="36"/>
          <w:szCs w:val="36"/>
        </w:rPr>
      </w:pPr>
      <w:bookmarkStart w:id="34" w:name="_Toc13946"/>
      <w:r>
        <w:rPr>
          <w:rFonts w:hint="eastAsia"/>
          <w:sz w:val="36"/>
          <w:szCs w:val="36"/>
        </w:rPr>
        <w:t>项目编号：</w:t>
      </w:r>
      <w:bookmarkEnd w:id="34"/>
    </w:p>
    <w:p>
      <w:pPr>
        <w:spacing w:afterLines="100" w:line="440" w:lineRule="exact"/>
        <w:jc w:val="center"/>
        <w:rPr>
          <w:sz w:val="28"/>
          <w:szCs w:val="28"/>
        </w:rPr>
      </w:pPr>
    </w:p>
    <w:p>
      <w:pPr>
        <w:pStyle w:val="79"/>
        <w:rPr>
          <w:rFonts w:hAnsi="宋体"/>
          <w:sz w:val="28"/>
          <w:szCs w:val="28"/>
        </w:rPr>
      </w:pPr>
    </w:p>
    <w:p>
      <w:pPr>
        <w:pStyle w:val="79"/>
        <w:rPr>
          <w:rFonts w:hAnsi="宋体"/>
          <w:sz w:val="28"/>
          <w:szCs w:val="28"/>
        </w:rPr>
      </w:pPr>
    </w:p>
    <w:p>
      <w:pPr>
        <w:pStyle w:val="79"/>
        <w:rPr>
          <w:rFonts w:hAnsi="宋体"/>
          <w:sz w:val="28"/>
          <w:szCs w:val="28"/>
        </w:rPr>
      </w:pPr>
    </w:p>
    <w:p>
      <w:pPr>
        <w:spacing w:afterLines="100" w:line="440" w:lineRule="exact"/>
        <w:rPr>
          <w:bCs/>
          <w:sz w:val="28"/>
          <w:szCs w:val="28"/>
        </w:rPr>
      </w:pPr>
      <w:r>
        <w:rPr>
          <w:rFonts w:hint="eastAsia"/>
          <w:bCs/>
          <w:sz w:val="28"/>
          <w:szCs w:val="28"/>
        </w:rPr>
        <w:t>供应商（盖章）：</w:t>
      </w:r>
    </w:p>
    <w:p>
      <w:pPr>
        <w:spacing w:afterLines="100" w:line="440" w:lineRule="exact"/>
        <w:rPr>
          <w:bCs/>
          <w:sz w:val="28"/>
          <w:szCs w:val="28"/>
        </w:rPr>
      </w:pPr>
      <w:r>
        <w:rPr>
          <w:rFonts w:hint="eastAsia"/>
          <w:bCs/>
          <w:sz w:val="28"/>
          <w:szCs w:val="28"/>
        </w:rPr>
        <w:t>法定代表人或委托代理人（签字或盖章）：</w:t>
      </w:r>
    </w:p>
    <w:p>
      <w:pPr>
        <w:spacing w:afterLines="100" w:line="440" w:lineRule="exact"/>
        <w:rPr>
          <w:bCs/>
          <w:sz w:val="28"/>
          <w:szCs w:val="28"/>
        </w:rPr>
      </w:pPr>
      <w:r>
        <w:rPr>
          <w:rFonts w:hint="eastAsia"/>
          <w:bCs/>
          <w:sz w:val="28"/>
          <w:szCs w:val="28"/>
        </w:rPr>
        <w:t>单位地址：</w:t>
      </w:r>
    </w:p>
    <w:p>
      <w:pPr>
        <w:spacing w:afterLines="100" w:line="440" w:lineRule="exact"/>
        <w:rPr>
          <w:bCs/>
          <w:sz w:val="28"/>
          <w:szCs w:val="28"/>
        </w:rPr>
      </w:pPr>
      <w:r>
        <w:rPr>
          <w:rFonts w:hint="eastAsia"/>
          <w:bCs/>
          <w:sz w:val="28"/>
          <w:szCs w:val="28"/>
        </w:rPr>
        <w:t>联 系 人：</w:t>
      </w:r>
    </w:p>
    <w:p>
      <w:pPr>
        <w:spacing w:afterLines="100" w:line="440" w:lineRule="exact"/>
        <w:rPr>
          <w:bCs/>
          <w:sz w:val="28"/>
          <w:szCs w:val="28"/>
        </w:rPr>
      </w:pPr>
      <w:r>
        <w:rPr>
          <w:rFonts w:hint="eastAsia"/>
          <w:bCs/>
          <w:sz w:val="28"/>
          <w:szCs w:val="28"/>
        </w:rPr>
        <w:t>联系电话：</w:t>
      </w:r>
    </w:p>
    <w:p>
      <w:pPr>
        <w:spacing w:line="440" w:lineRule="exact"/>
        <w:rPr>
          <w:bCs/>
          <w:sz w:val="28"/>
          <w:szCs w:val="28"/>
        </w:rPr>
      </w:pPr>
      <w:r>
        <w:rPr>
          <w:rFonts w:hint="eastAsia"/>
          <w:bCs/>
          <w:sz w:val="28"/>
          <w:szCs w:val="28"/>
        </w:rPr>
        <w:t>日  期：</w:t>
      </w:r>
    </w:p>
    <w:p>
      <w:pPr>
        <w:rPr>
          <w:b/>
          <w:sz w:val="28"/>
        </w:rPr>
      </w:pPr>
      <w:r>
        <w:rPr>
          <w:b/>
          <w:sz w:val="28"/>
        </w:rPr>
        <w:br w:type="page"/>
      </w:r>
    </w:p>
    <w:p>
      <w:pPr>
        <w:pStyle w:val="32"/>
        <w:spacing w:line="120" w:lineRule="auto"/>
        <w:ind w:left="0" w:leftChars="0" w:firstLine="0" w:firstLineChars="0"/>
        <w:jc w:val="center"/>
        <w:rPr>
          <w:szCs w:val="16"/>
        </w:rPr>
      </w:pPr>
    </w:p>
    <w:p>
      <w:pPr>
        <w:pStyle w:val="32"/>
        <w:spacing w:line="360" w:lineRule="auto"/>
        <w:ind w:left="0" w:leftChars="0" w:firstLine="0" w:firstLineChars="0"/>
        <w:jc w:val="center"/>
        <w:rPr>
          <w:b/>
          <w:bCs/>
          <w:szCs w:val="16"/>
        </w:rPr>
      </w:pPr>
      <w:r>
        <w:rPr>
          <w:rFonts w:hint="eastAsia"/>
          <w:b/>
          <w:bCs/>
          <w:szCs w:val="16"/>
        </w:rPr>
        <w:t>初步评审索引表</w:t>
      </w:r>
    </w:p>
    <w:tbl>
      <w:tblPr>
        <w:tblStyle w:val="33"/>
        <w:tblW w:w="5392"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6082"/>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801" w:type="pct"/>
            <w:gridSpan w:val="2"/>
          </w:tcPr>
          <w:p>
            <w:pPr>
              <w:spacing w:line="440" w:lineRule="exact"/>
              <w:jc w:val="center"/>
              <w:rPr>
                <w:b/>
                <w:bCs/>
              </w:rPr>
            </w:pPr>
            <w:r>
              <w:rPr>
                <w:rFonts w:hint="eastAsia"/>
                <w:b/>
                <w:bCs/>
              </w:rPr>
              <w:t>资格性审查</w:t>
            </w:r>
          </w:p>
        </w:tc>
        <w:tc>
          <w:tcPr>
            <w:tcW w:w="1198" w:type="pct"/>
            <w:vMerge w:val="restart"/>
            <w:vAlign w:val="center"/>
          </w:tcPr>
          <w:p>
            <w:pPr>
              <w:spacing w:line="440" w:lineRule="exact"/>
              <w:jc w:val="center"/>
              <w:rPr>
                <w:b/>
                <w:bCs/>
              </w:rPr>
            </w:pPr>
            <w:r>
              <w:rPr>
                <w:rFonts w:hint="eastAsia" w:cs="Times New Roman"/>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5" w:type="pct"/>
          </w:tcPr>
          <w:p>
            <w:pPr>
              <w:spacing w:line="440" w:lineRule="exact"/>
              <w:jc w:val="center"/>
              <w:rPr>
                <w:b/>
              </w:rPr>
            </w:pPr>
            <w:r>
              <w:rPr>
                <w:rFonts w:hint="eastAsia"/>
                <w:b/>
              </w:rPr>
              <w:t>序号</w:t>
            </w:r>
          </w:p>
        </w:tc>
        <w:tc>
          <w:tcPr>
            <w:tcW w:w="3305" w:type="pct"/>
            <w:vAlign w:val="center"/>
          </w:tcPr>
          <w:p>
            <w:pPr>
              <w:spacing w:line="440" w:lineRule="exact"/>
              <w:jc w:val="center"/>
              <w:rPr>
                <w:b/>
              </w:rPr>
            </w:pPr>
            <w:r>
              <w:rPr>
                <w:rFonts w:hint="eastAsia"/>
                <w:b/>
              </w:rPr>
              <w:t>标准</w:t>
            </w:r>
          </w:p>
        </w:tc>
        <w:tc>
          <w:tcPr>
            <w:tcW w:w="1198" w:type="pct"/>
            <w:vMerge w:val="continue"/>
          </w:tcPr>
          <w:p>
            <w:pPr>
              <w:spacing w:line="440" w:lineRule="exact"/>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5" w:type="pct"/>
            <w:vAlign w:val="center"/>
          </w:tcPr>
          <w:p>
            <w:pPr>
              <w:spacing w:line="440" w:lineRule="exact"/>
              <w:jc w:val="center"/>
              <w:rPr>
                <w:bCs/>
              </w:rPr>
            </w:pPr>
            <w:r>
              <w:rPr>
                <w:rFonts w:hint="eastAsia"/>
                <w:bCs/>
              </w:rPr>
              <w:t>1</w:t>
            </w:r>
          </w:p>
        </w:tc>
        <w:tc>
          <w:tcPr>
            <w:tcW w:w="3305" w:type="pct"/>
            <w:vAlign w:val="center"/>
          </w:tcPr>
          <w:p>
            <w:pPr>
              <w:pStyle w:val="79"/>
              <w:rPr>
                <w:bCs/>
              </w:rPr>
            </w:pPr>
            <w:r>
              <w:rPr>
                <w:rFonts w:hint="eastAsia"/>
                <w:bCs/>
              </w:rPr>
              <w:t>满足《中华人民共和国政府采购法》第二十二条规定：</w:t>
            </w:r>
          </w:p>
          <w:p>
            <w:pPr>
              <w:pStyle w:val="79"/>
              <w:rPr>
                <w:bCs/>
              </w:rPr>
            </w:pPr>
            <w:r>
              <w:rPr>
                <w:rFonts w:hint="eastAsia"/>
                <w:bCs/>
              </w:rPr>
              <w:t>（一）具有独立承担民事责任的能力；提供营业执照或其他证明材料</w:t>
            </w:r>
          </w:p>
          <w:p>
            <w:pPr>
              <w:pStyle w:val="79"/>
              <w:rPr>
                <w:rFonts w:hint="eastAsia" w:eastAsia="宋体"/>
                <w:bCs/>
                <w:lang w:eastAsia="zh-CN"/>
              </w:rPr>
            </w:pPr>
            <w:r>
              <w:rPr>
                <w:rFonts w:hint="eastAsia"/>
                <w:bCs/>
              </w:rPr>
              <w:t>（二）具有良好的商业信誉和健全的财务会计制度（提供近一年度经审计的财务报表或审计报告【成立不满一年不需要提供，审计报告指2021年】或其基本户开户银行开具的资信证明）</w:t>
            </w:r>
            <w:r>
              <w:rPr>
                <w:rFonts w:hint="eastAsia"/>
                <w:bCs/>
                <w:lang w:eastAsia="zh-CN"/>
              </w:rPr>
              <w:t>（</w:t>
            </w:r>
            <w:r>
              <w:rPr>
                <w:rFonts w:hint="eastAsia"/>
                <w:bCs/>
                <w:lang w:val="en-US" w:eastAsia="zh-CN"/>
              </w:rPr>
              <w:t>原件</w:t>
            </w:r>
            <w:r>
              <w:rPr>
                <w:rFonts w:hint="eastAsia"/>
                <w:bCs/>
                <w:lang w:eastAsia="zh-CN"/>
              </w:rPr>
              <w:t>）</w:t>
            </w:r>
            <w:r>
              <w:rPr>
                <w:rFonts w:hint="eastAsia"/>
                <w:b w:val="0"/>
                <w:bCs/>
                <w:lang w:eastAsia="zh-CN"/>
              </w:rPr>
              <w:t>（</w:t>
            </w:r>
            <w:r>
              <w:rPr>
                <w:rFonts w:hint="eastAsia"/>
                <w:b w:val="0"/>
                <w:bCs/>
                <w:lang w:val="en-US" w:eastAsia="zh-CN"/>
              </w:rPr>
              <w:t>投标人如为个体工商户不需提供</w:t>
            </w:r>
            <w:r>
              <w:rPr>
                <w:rFonts w:hint="eastAsia"/>
                <w:bCs/>
                <w:lang w:eastAsia="zh-CN"/>
              </w:rPr>
              <w:t>）</w:t>
            </w:r>
          </w:p>
          <w:p>
            <w:pPr>
              <w:pStyle w:val="79"/>
              <w:rPr>
                <w:bCs/>
              </w:rPr>
            </w:pPr>
            <w:r>
              <w:rPr>
                <w:rFonts w:hint="eastAsia"/>
                <w:bCs/>
              </w:rPr>
              <w:t>（三）具有履行合同所必需的设备和专业技术能力；提供承诺书</w:t>
            </w:r>
          </w:p>
          <w:p>
            <w:pPr>
              <w:pStyle w:val="79"/>
              <w:rPr>
                <w:bCs/>
              </w:rPr>
            </w:pPr>
            <w:r>
              <w:rPr>
                <w:rFonts w:hint="eastAsia"/>
                <w:bCs/>
              </w:rPr>
              <w:t>（四）有依法缴纳税收和社会保障资金的良好记录；提供缴纳税收和社会保障资金</w:t>
            </w:r>
            <w:r>
              <w:rPr>
                <w:rFonts w:hint="eastAsia"/>
                <w:bCs/>
                <w:lang w:eastAsia="zh-CN"/>
              </w:rPr>
              <w:t>（</w:t>
            </w:r>
            <w:r>
              <w:rPr>
                <w:rFonts w:hint="eastAsia"/>
                <w:bCs/>
                <w:lang w:val="en-US" w:eastAsia="zh-CN"/>
              </w:rPr>
              <w:t>投标截止时间前六月内任一月）</w:t>
            </w:r>
            <w:r>
              <w:rPr>
                <w:rFonts w:hint="eastAsia"/>
                <w:b w:val="0"/>
                <w:bCs/>
                <w:lang w:eastAsia="zh-CN"/>
              </w:rPr>
              <w:t>（</w:t>
            </w:r>
            <w:r>
              <w:rPr>
                <w:rFonts w:hint="eastAsia"/>
                <w:b w:val="0"/>
                <w:bCs/>
                <w:lang w:val="en-US" w:eastAsia="zh-CN"/>
              </w:rPr>
              <w:t>投标人如为个体工商户不需提供</w:t>
            </w:r>
            <w:r>
              <w:rPr>
                <w:rFonts w:hint="eastAsia"/>
                <w:bCs/>
                <w:lang w:eastAsia="zh-CN"/>
              </w:rPr>
              <w:t>）</w:t>
            </w:r>
          </w:p>
          <w:p>
            <w:pPr>
              <w:pStyle w:val="79"/>
              <w:rPr>
                <w:bCs/>
              </w:rPr>
            </w:pPr>
            <w:r>
              <w:rPr>
                <w:rFonts w:hint="eastAsia"/>
                <w:bCs/>
              </w:rPr>
              <w:t>（五）参加政府采购活动前三年内，在经营活动中没有重大违法记录；提供承诺书</w:t>
            </w:r>
          </w:p>
        </w:tc>
        <w:tc>
          <w:tcPr>
            <w:tcW w:w="1198" w:type="pct"/>
            <w:vAlign w:val="center"/>
          </w:tcPr>
          <w:p>
            <w:pPr>
              <w:pStyle w:val="79"/>
              <w:jc w:val="center"/>
              <w:rPr>
                <w:rFonts w:hAnsi="宋体"/>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495" w:type="pct"/>
            <w:vAlign w:val="center"/>
          </w:tcPr>
          <w:p>
            <w:pPr>
              <w:spacing w:line="440" w:lineRule="exact"/>
              <w:jc w:val="center"/>
            </w:pPr>
            <w:r>
              <w:rPr>
                <w:bCs/>
              </w:rPr>
              <w:t>2</w:t>
            </w:r>
          </w:p>
        </w:tc>
        <w:tc>
          <w:tcPr>
            <w:tcW w:w="3305" w:type="pct"/>
            <w:vAlign w:val="center"/>
          </w:tcPr>
          <w:p>
            <w:pPr>
              <w:pStyle w:val="79"/>
              <w:rPr>
                <w:rFonts w:hAnsi="宋体"/>
              </w:rPr>
            </w:pPr>
            <w:r>
              <w:rPr>
                <w:rFonts w:hint="eastAsia" w:hAnsi="宋体"/>
              </w:rPr>
              <w:t>供应商须提供有效的营业执照；有效的食品生产许可证或食品经营许可证、具有市级（含）（含产地）以上食品质检部门出具的投标产品质量检测报告（</w:t>
            </w:r>
            <w:r>
              <w:rPr>
                <w:rFonts w:hint="eastAsia" w:hAnsi="宋体"/>
                <w:lang w:val="en-US" w:eastAsia="zh-CN"/>
              </w:rPr>
              <w:t>投标截止时间前六月内任一月</w:t>
            </w:r>
            <w:r>
              <w:rPr>
                <w:rFonts w:hint="eastAsia" w:hAnsi="宋体"/>
              </w:rPr>
              <w:t>）。（原件或扫描彩印件）</w:t>
            </w:r>
          </w:p>
        </w:tc>
        <w:tc>
          <w:tcPr>
            <w:tcW w:w="1198" w:type="pct"/>
            <w:vAlign w:val="center"/>
          </w:tcPr>
          <w:p>
            <w:pPr>
              <w:spacing w:line="440" w:lineRule="exact"/>
              <w:jc w:val="center"/>
              <w:rPr>
                <w:bCs/>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7" w:hRule="atLeast"/>
        </w:trPr>
        <w:tc>
          <w:tcPr>
            <w:tcW w:w="495" w:type="pct"/>
            <w:vAlign w:val="center"/>
          </w:tcPr>
          <w:p>
            <w:pPr>
              <w:spacing w:line="440" w:lineRule="exact"/>
              <w:jc w:val="center"/>
              <w:rPr>
                <w:bCs/>
              </w:rPr>
            </w:pPr>
            <w:r>
              <w:rPr>
                <w:rFonts w:hint="eastAsia"/>
                <w:bCs/>
              </w:rPr>
              <w:t>3</w:t>
            </w:r>
          </w:p>
        </w:tc>
        <w:tc>
          <w:tcPr>
            <w:tcW w:w="3305" w:type="pct"/>
            <w:vAlign w:val="center"/>
          </w:tcPr>
          <w:p>
            <w:pPr>
              <w:pStyle w:val="79"/>
              <w:rPr>
                <w:rFonts w:hAnsi="宋体"/>
              </w:rPr>
            </w:pPr>
            <w:r>
              <w:rPr>
                <w:rFonts w:hint="eastAsia" w:hAnsi="宋体" w:cs="Times New Roman"/>
                <w:color w:val="auto"/>
                <w:kern w:val="2"/>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系统失信惩戒企业名单。近三年政府采购合同履约过程中及其他经营活动履约过程中因围标串标、偷税漏税、制售假冒伪劣商品等行为被有关行政部门处罚（处理）记录的，本项目不认定其具有良好的商业信誉，将拒绝其参与本次投标活动。（提供</w:t>
            </w:r>
            <w:r>
              <w:rPr>
                <w:rFonts w:hint="eastAsia" w:hAnsi="宋体"/>
                <w:color w:val="auto"/>
              </w:rPr>
              <w:t>“信用中国”查询失信被执行人、重大税收违法案件当事人名单及“中国政府采购网”查询政府采购严重违法失信行为记录名单、</w:t>
            </w:r>
            <w:r>
              <w:rPr>
                <w:rFonts w:hint="eastAsia" w:hAnsi="宋体" w:cs="Times New Roman"/>
                <w:color w:val="auto"/>
                <w:kern w:val="2"/>
              </w:rPr>
              <w:t>税务系统未被列入失信惩戒企业名单</w:t>
            </w:r>
            <w:r>
              <w:rPr>
                <w:rFonts w:hint="eastAsia" w:hAnsi="宋体"/>
                <w:color w:val="auto"/>
              </w:rPr>
              <w:t>截图</w:t>
            </w:r>
            <w:r>
              <w:rPr>
                <w:rFonts w:hint="eastAsia" w:hAnsi="宋体" w:cs="Times New Roman"/>
                <w:color w:val="auto"/>
                <w:kern w:val="2"/>
              </w:rPr>
              <w:t>）</w:t>
            </w:r>
          </w:p>
        </w:tc>
        <w:tc>
          <w:tcPr>
            <w:tcW w:w="1198" w:type="pct"/>
            <w:vAlign w:val="center"/>
          </w:tcPr>
          <w:p>
            <w:pPr>
              <w:spacing w:line="440" w:lineRule="exact"/>
              <w:jc w:val="center"/>
              <w:rPr>
                <w:bCs/>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95" w:type="pct"/>
            <w:vAlign w:val="center"/>
          </w:tcPr>
          <w:p>
            <w:pPr>
              <w:spacing w:line="440" w:lineRule="exact"/>
              <w:jc w:val="center"/>
              <w:rPr>
                <w:bCs/>
              </w:rPr>
            </w:pPr>
            <w:r>
              <w:rPr>
                <w:rFonts w:hint="eastAsia"/>
                <w:bCs/>
              </w:rPr>
              <w:t>4</w:t>
            </w:r>
          </w:p>
        </w:tc>
        <w:tc>
          <w:tcPr>
            <w:tcW w:w="3305" w:type="pct"/>
            <w:vAlign w:val="center"/>
          </w:tcPr>
          <w:p>
            <w:pPr>
              <w:pStyle w:val="125"/>
              <w:spacing w:before="1" w:line="360" w:lineRule="exact"/>
              <w:ind w:right="95"/>
              <w:jc w:val="both"/>
              <w:rPr>
                <w:rFonts w:cs="Times New Roman"/>
                <w:kern w:val="2"/>
              </w:rPr>
            </w:pPr>
            <w:r>
              <w:rPr>
                <w:rFonts w:hint="eastAsia"/>
              </w:rPr>
              <w:t>法定代表人身份证明书及身份证原件或法定代表人授权委托书及委托代理人的身份证原件；</w:t>
            </w:r>
          </w:p>
        </w:tc>
        <w:tc>
          <w:tcPr>
            <w:tcW w:w="1198" w:type="pct"/>
            <w:vAlign w:val="center"/>
          </w:tcPr>
          <w:p>
            <w:pPr>
              <w:spacing w:line="440" w:lineRule="exact"/>
              <w:jc w:val="center"/>
              <w:rPr>
                <w:bCs/>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pct"/>
            <w:vAlign w:val="center"/>
          </w:tcPr>
          <w:p>
            <w:pPr>
              <w:spacing w:line="440" w:lineRule="exact"/>
              <w:jc w:val="center"/>
              <w:rPr>
                <w:bCs/>
                <w:highlight w:val="none"/>
              </w:rPr>
            </w:pPr>
            <w:r>
              <w:rPr>
                <w:rFonts w:hint="eastAsia"/>
                <w:bCs/>
                <w:highlight w:val="none"/>
              </w:rPr>
              <w:t>5</w:t>
            </w:r>
          </w:p>
        </w:tc>
        <w:tc>
          <w:tcPr>
            <w:tcW w:w="3305" w:type="pct"/>
            <w:vAlign w:val="center"/>
          </w:tcPr>
          <w:p>
            <w:pPr>
              <w:pStyle w:val="79"/>
              <w:rPr>
                <w:highlight w:val="none"/>
              </w:rPr>
            </w:pPr>
            <w:r>
              <w:rPr>
                <w:rFonts w:hint="eastAsia"/>
                <w:highlight w:val="none"/>
              </w:rPr>
              <w:t>具有企业员工的社保单据记录；税务系统出具完税证明；</w:t>
            </w:r>
            <w:r>
              <w:rPr>
                <w:rFonts w:hint="eastAsia"/>
                <w:highlight w:val="none"/>
                <w:lang w:eastAsia="zh-CN"/>
              </w:rPr>
              <w:t>（</w:t>
            </w:r>
            <w:r>
              <w:rPr>
                <w:rFonts w:hint="eastAsia"/>
                <w:highlight w:val="none"/>
                <w:lang w:val="en-US" w:eastAsia="zh-CN"/>
              </w:rPr>
              <w:t>投标截止时间前六月内任一月）</w:t>
            </w:r>
            <w:r>
              <w:rPr>
                <w:rFonts w:hint="eastAsia"/>
                <w:highlight w:val="none"/>
              </w:rPr>
              <w:t>（原件）</w:t>
            </w:r>
            <w:r>
              <w:rPr>
                <w:rFonts w:hint="eastAsia"/>
                <w:b w:val="0"/>
                <w:bCs/>
                <w:lang w:eastAsia="zh-CN"/>
              </w:rPr>
              <w:t>（</w:t>
            </w:r>
            <w:r>
              <w:rPr>
                <w:rFonts w:hint="eastAsia"/>
                <w:b w:val="0"/>
                <w:bCs/>
                <w:lang w:val="en-US" w:eastAsia="zh-CN"/>
              </w:rPr>
              <w:t>投标人如为个体工商户不需提供</w:t>
            </w:r>
            <w:r>
              <w:rPr>
                <w:rFonts w:hint="eastAsia"/>
                <w:bCs/>
                <w:lang w:eastAsia="zh-CN"/>
              </w:rPr>
              <w:t>）</w:t>
            </w:r>
          </w:p>
        </w:tc>
        <w:tc>
          <w:tcPr>
            <w:tcW w:w="1198" w:type="pct"/>
            <w:vAlign w:val="center"/>
          </w:tcPr>
          <w:p>
            <w:pPr>
              <w:spacing w:line="440" w:lineRule="exact"/>
              <w:jc w:val="center"/>
              <w:rPr>
                <w:bCs/>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95" w:type="pct"/>
            <w:vAlign w:val="center"/>
          </w:tcPr>
          <w:p>
            <w:pPr>
              <w:spacing w:line="440" w:lineRule="exact"/>
              <w:jc w:val="center"/>
              <w:rPr>
                <w:bCs/>
              </w:rPr>
            </w:pPr>
            <w:r>
              <w:rPr>
                <w:rFonts w:hint="eastAsia"/>
                <w:bCs/>
              </w:rPr>
              <w:t>6</w:t>
            </w:r>
          </w:p>
        </w:tc>
        <w:tc>
          <w:tcPr>
            <w:tcW w:w="3305" w:type="pct"/>
            <w:vAlign w:val="center"/>
          </w:tcPr>
          <w:p>
            <w:pPr>
              <w:spacing w:line="440" w:lineRule="exact"/>
              <w:rPr>
                <w:bCs/>
              </w:rPr>
            </w:pPr>
            <w:r>
              <w:rPr>
                <w:rFonts w:hint="eastAsia"/>
              </w:rPr>
              <w:t>投标</w:t>
            </w:r>
            <w:r>
              <w:rPr>
                <w:rFonts w:hint="eastAsia"/>
                <w:szCs w:val="21"/>
              </w:rPr>
              <w:t>保证金打款凭证（纸质版或电子版均可）</w:t>
            </w:r>
          </w:p>
        </w:tc>
        <w:tc>
          <w:tcPr>
            <w:tcW w:w="1198" w:type="pct"/>
            <w:vAlign w:val="center"/>
          </w:tcPr>
          <w:p>
            <w:pPr>
              <w:spacing w:line="440" w:lineRule="exact"/>
              <w:jc w:val="center"/>
              <w:rPr>
                <w:bCs/>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801" w:type="pct"/>
            <w:gridSpan w:val="2"/>
            <w:vAlign w:val="center"/>
          </w:tcPr>
          <w:p>
            <w:pPr>
              <w:spacing w:line="440" w:lineRule="exact"/>
              <w:jc w:val="center"/>
              <w:rPr>
                <w:b/>
              </w:rPr>
            </w:pPr>
            <w:r>
              <w:rPr>
                <w:rFonts w:hint="eastAsia"/>
                <w:b/>
              </w:rPr>
              <w:t>符合性审查</w:t>
            </w:r>
          </w:p>
        </w:tc>
        <w:tc>
          <w:tcPr>
            <w:tcW w:w="1198" w:type="pct"/>
            <w:vMerge w:val="restart"/>
            <w:vAlign w:val="center"/>
          </w:tcPr>
          <w:p>
            <w:pPr>
              <w:spacing w:line="440" w:lineRule="exact"/>
              <w:jc w:val="center"/>
              <w:rPr>
                <w:szCs w:val="16"/>
              </w:rPr>
            </w:pPr>
            <w:r>
              <w:rPr>
                <w:rFonts w:hint="eastAsia" w:cs="Times New Roman"/>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95" w:type="pct"/>
            <w:vAlign w:val="center"/>
          </w:tcPr>
          <w:p>
            <w:pPr>
              <w:spacing w:line="440" w:lineRule="exact"/>
              <w:jc w:val="center"/>
              <w:rPr>
                <w:b/>
              </w:rPr>
            </w:pPr>
            <w:r>
              <w:rPr>
                <w:rFonts w:hint="eastAsia"/>
                <w:b/>
              </w:rPr>
              <w:t>序号</w:t>
            </w:r>
          </w:p>
        </w:tc>
        <w:tc>
          <w:tcPr>
            <w:tcW w:w="3305" w:type="pct"/>
            <w:vAlign w:val="center"/>
          </w:tcPr>
          <w:p>
            <w:pPr>
              <w:spacing w:line="440" w:lineRule="exact"/>
              <w:jc w:val="center"/>
              <w:rPr>
                <w:b/>
              </w:rPr>
            </w:pPr>
            <w:r>
              <w:rPr>
                <w:rFonts w:hint="eastAsia"/>
                <w:b/>
              </w:rPr>
              <w:t>标准</w:t>
            </w:r>
          </w:p>
        </w:tc>
        <w:tc>
          <w:tcPr>
            <w:tcW w:w="1198" w:type="pct"/>
            <w:vMerge w:val="continue"/>
            <w:vAlign w:val="center"/>
          </w:tcPr>
          <w:p>
            <w:pPr>
              <w:spacing w:line="440" w:lineRule="exact"/>
              <w:jc w:val="center"/>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trPr>
        <w:tc>
          <w:tcPr>
            <w:tcW w:w="495" w:type="pct"/>
            <w:vAlign w:val="center"/>
          </w:tcPr>
          <w:p>
            <w:pPr>
              <w:spacing w:line="440" w:lineRule="exact"/>
              <w:jc w:val="center"/>
            </w:pPr>
            <w:r>
              <w:rPr>
                <w:rFonts w:hint="eastAsia"/>
                <w:bCs/>
              </w:rPr>
              <w:t>1</w:t>
            </w:r>
          </w:p>
        </w:tc>
        <w:tc>
          <w:tcPr>
            <w:tcW w:w="3305" w:type="pct"/>
            <w:vAlign w:val="center"/>
          </w:tcPr>
          <w:p>
            <w:pPr>
              <w:spacing w:line="440" w:lineRule="exact"/>
            </w:pPr>
            <w:r>
              <w:rPr>
                <w:rFonts w:hint="eastAsia"/>
                <w:bCs/>
              </w:rPr>
              <w:t>响应文件必须按招标文件规定格式完整提供，并要盖供应商章、法定代表人或授权委托人签字或盖章；</w:t>
            </w:r>
          </w:p>
        </w:tc>
        <w:tc>
          <w:tcPr>
            <w:tcW w:w="1198" w:type="pct"/>
            <w:vAlign w:val="center"/>
          </w:tcPr>
          <w:p>
            <w:pPr>
              <w:spacing w:line="440" w:lineRule="exact"/>
              <w:jc w:val="cente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5" w:type="pct"/>
            <w:vAlign w:val="center"/>
          </w:tcPr>
          <w:p>
            <w:pPr>
              <w:spacing w:line="440" w:lineRule="exact"/>
              <w:jc w:val="center"/>
              <w:rPr>
                <w:bCs/>
                <w:highlight w:val="none"/>
              </w:rPr>
            </w:pPr>
            <w:r>
              <w:rPr>
                <w:rFonts w:hint="eastAsia"/>
                <w:bCs/>
                <w:highlight w:val="none"/>
              </w:rPr>
              <w:t>2</w:t>
            </w:r>
          </w:p>
        </w:tc>
        <w:tc>
          <w:tcPr>
            <w:tcW w:w="3305" w:type="pct"/>
            <w:vAlign w:val="center"/>
          </w:tcPr>
          <w:p>
            <w:pPr>
              <w:spacing w:line="440" w:lineRule="exact"/>
              <w:rPr>
                <w:bCs/>
                <w:highlight w:val="none"/>
              </w:rPr>
            </w:pPr>
            <w:r>
              <w:rPr>
                <w:rFonts w:hint="eastAsia"/>
                <w:bCs/>
              </w:rPr>
              <w:t>法定代表人身份证明书必须按招标文件规定格式完整提供，并要盖供应商章；</w:t>
            </w:r>
          </w:p>
        </w:tc>
        <w:tc>
          <w:tcPr>
            <w:tcW w:w="1198" w:type="pct"/>
            <w:vAlign w:val="center"/>
          </w:tcPr>
          <w:p>
            <w:pPr>
              <w:spacing w:line="440" w:lineRule="exact"/>
              <w:jc w:val="center"/>
              <w:rPr>
                <w:highlight w:val="none"/>
              </w:rPr>
            </w:pPr>
            <w:r>
              <w:rPr>
                <w:rFonts w:hint="eastAsia"/>
                <w:szCs w:val="16"/>
                <w:highlight w:val="none"/>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5" w:type="pct"/>
            <w:vAlign w:val="center"/>
          </w:tcPr>
          <w:p>
            <w:pPr>
              <w:spacing w:line="440" w:lineRule="exact"/>
              <w:jc w:val="center"/>
              <w:rPr>
                <w:bCs/>
              </w:rPr>
            </w:pPr>
            <w:r>
              <w:rPr>
                <w:rFonts w:hint="eastAsia"/>
                <w:bCs/>
              </w:rPr>
              <w:t>3</w:t>
            </w:r>
          </w:p>
        </w:tc>
        <w:tc>
          <w:tcPr>
            <w:tcW w:w="3305" w:type="pct"/>
            <w:vAlign w:val="center"/>
          </w:tcPr>
          <w:p>
            <w:pPr>
              <w:spacing w:line="440" w:lineRule="exact"/>
              <w:rPr>
                <w:bCs/>
              </w:rPr>
            </w:pPr>
            <w:r>
              <w:rPr>
                <w:rFonts w:hint="eastAsia"/>
                <w:bCs/>
              </w:rPr>
              <w:t>法定代表人授权委托书必须按招标文件规定格式完整提供，并要盖供应商章、法定代表人章；</w:t>
            </w:r>
          </w:p>
        </w:tc>
        <w:tc>
          <w:tcPr>
            <w:tcW w:w="1198" w:type="pct"/>
            <w:vAlign w:val="center"/>
          </w:tcPr>
          <w:p>
            <w:pPr>
              <w:spacing w:line="440" w:lineRule="exact"/>
              <w:jc w:val="cente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95" w:type="pct"/>
            <w:vAlign w:val="center"/>
          </w:tcPr>
          <w:p>
            <w:pPr>
              <w:spacing w:line="440" w:lineRule="exact"/>
              <w:jc w:val="center"/>
              <w:rPr>
                <w:bCs/>
              </w:rPr>
            </w:pPr>
            <w:r>
              <w:rPr>
                <w:rFonts w:hint="eastAsia"/>
                <w:bCs/>
              </w:rPr>
              <w:t>4</w:t>
            </w:r>
          </w:p>
        </w:tc>
        <w:tc>
          <w:tcPr>
            <w:tcW w:w="3305" w:type="pct"/>
            <w:vAlign w:val="center"/>
          </w:tcPr>
          <w:p>
            <w:pPr>
              <w:spacing w:line="440" w:lineRule="exact"/>
              <w:rPr>
                <w:bCs/>
              </w:rPr>
            </w:pPr>
            <w:r>
              <w:rPr>
                <w:rFonts w:hint="eastAsia"/>
              </w:rPr>
              <w:t>响应文件封面右上角必须注明“正本”或“副本”字样；</w:t>
            </w:r>
          </w:p>
        </w:tc>
        <w:tc>
          <w:tcPr>
            <w:tcW w:w="1198" w:type="pct"/>
            <w:vAlign w:val="center"/>
          </w:tcPr>
          <w:p>
            <w:pPr>
              <w:spacing w:line="440" w:lineRule="exact"/>
              <w:jc w:val="cente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5" w:type="pct"/>
            <w:vAlign w:val="center"/>
          </w:tcPr>
          <w:p>
            <w:pPr>
              <w:spacing w:line="440" w:lineRule="exact"/>
              <w:jc w:val="center"/>
              <w:rPr>
                <w:bCs/>
              </w:rPr>
            </w:pPr>
            <w:r>
              <w:rPr>
                <w:rFonts w:hint="eastAsia"/>
                <w:bCs/>
              </w:rPr>
              <w:t>5</w:t>
            </w:r>
          </w:p>
        </w:tc>
        <w:tc>
          <w:tcPr>
            <w:tcW w:w="3305" w:type="pct"/>
            <w:vAlign w:val="center"/>
          </w:tcPr>
          <w:p>
            <w:pPr>
              <w:spacing w:line="440" w:lineRule="exact"/>
            </w:pPr>
            <w:r>
              <w:rPr>
                <w:rFonts w:hint="eastAsia"/>
              </w:rPr>
              <w:t>响应文件份数必须按招标文件要求提供；</w:t>
            </w:r>
          </w:p>
        </w:tc>
        <w:tc>
          <w:tcPr>
            <w:tcW w:w="1198" w:type="pct"/>
            <w:vAlign w:val="center"/>
          </w:tcPr>
          <w:p>
            <w:pPr>
              <w:spacing w:line="440" w:lineRule="exact"/>
              <w:jc w:val="cente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pct"/>
            <w:vAlign w:val="center"/>
          </w:tcPr>
          <w:p>
            <w:pPr>
              <w:spacing w:line="440" w:lineRule="exact"/>
              <w:jc w:val="center"/>
              <w:rPr>
                <w:bCs/>
              </w:rPr>
            </w:pPr>
            <w:r>
              <w:rPr>
                <w:rFonts w:hint="eastAsia"/>
                <w:bCs/>
              </w:rPr>
              <w:t>6</w:t>
            </w:r>
          </w:p>
        </w:tc>
        <w:tc>
          <w:tcPr>
            <w:tcW w:w="3305" w:type="pct"/>
            <w:vAlign w:val="center"/>
          </w:tcPr>
          <w:p>
            <w:pPr>
              <w:spacing w:line="440" w:lineRule="exact"/>
            </w:pPr>
            <w:r>
              <w:rPr>
                <w:rFonts w:hint="eastAsia"/>
              </w:rPr>
              <w:t>按照招标文件要求缴纳投标保证金；</w:t>
            </w:r>
          </w:p>
        </w:tc>
        <w:tc>
          <w:tcPr>
            <w:tcW w:w="1198" w:type="pct"/>
            <w:vAlign w:val="center"/>
          </w:tcPr>
          <w:p>
            <w:pPr>
              <w:spacing w:line="440" w:lineRule="exact"/>
              <w:jc w:val="cente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pct"/>
            <w:vAlign w:val="center"/>
          </w:tcPr>
          <w:p>
            <w:pPr>
              <w:spacing w:line="440" w:lineRule="exact"/>
              <w:jc w:val="center"/>
              <w:rPr>
                <w:bCs/>
              </w:rPr>
            </w:pPr>
            <w:r>
              <w:rPr>
                <w:rFonts w:hint="eastAsia"/>
                <w:bCs/>
              </w:rPr>
              <w:t>7</w:t>
            </w:r>
          </w:p>
        </w:tc>
        <w:tc>
          <w:tcPr>
            <w:tcW w:w="3305" w:type="pct"/>
            <w:vAlign w:val="center"/>
          </w:tcPr>
          <w:p>
            <w:pPr>
              <w:spacing w:line="440" w:lineRule="exact"/>
            </w:pPr>
            <w:r>
              <w:rPr>
                <w:rFonts w:hint="eastAsia"/>
                <w:highlight w:val="none"/>
              </w:rPr>
              <w:t>响应文件中所报投标有效期满足招标文件规定；</w:t>
            </w:r>
          </w:p>
        </w:tc>
        <w:tc>
          <w:tcPr>
            <w:tcW w:w="1198" w:type="pct"/>
            <w:vAlign w:val="center"/>
          </w:tcPr>
          <w:p>
            <w:pPr>
              <w:spacing w:line="440" w:lineRule="exact"/>
              <w:jc w:val="cente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pct"/>
            <w:vAlign w:val="center"/>
          </w:tcPr>
          <w:p>
            <w:pPr>
              <w:spacing w:line="440" w:lineRule="exact"/>
              <w:jc w:val="center"/>
              <w:rPr>
                <w:bCs/>
              </w:rPr>
            </w:pPr>
            <w:r>
              <w:rPr>
                <w:rFonts w:hint="eastAsia"/>
                <w:bCs/>
              </w:rPr>
              <w:t>8</w:t>
            </w:r>
          </w:p>
        </w:tc>
        <w:tc>
          <w:tcPr>
            <w:tcW w:w="3305" w:type="pct"/>
            <w:vAlign w:val="center"/>
          </w:tcPr>
          <w:p>
            <w:pPr>
              <w:spacing w:line="440" w:lineRule="exact"/>
            </w:pPr>
            <w:r>
              <w:rPr>
                <w:rFonts w:hint="eastAsia"/>
                <w:highlight w:val="none"/>
              </w:rPr>
              <w:t>报价</w:t>
            </w:r>
            <w:r>
              <w:rPr>
                <w:rFonts w:hint="eastAsia"/>
                <w:highlight w:val="none"/>
                <w:lang w:val="en-US" w:eastAsia="zh-CN"/>
              </w:rPr>
              <w:t>未</w:t>
            </w:r>
            <w:r>
              <w:rPr>
                <w:rFonts w:hint="eastAsia"/>
                <w:highlight w:val="none"/>
              </w:rPr>
              <w:t>超出采购预算金额</w:t>
            </w:r>
            <w:r>
              <w:rPr>
                <w:rFonts w:hint="eastAsia"/>
                <w:highlight w:val="none"/>
                <w:lang w:eastAsia="zh-CN"/>
              </w:rPr>
              <w:t>。</w:t>
            </w:r>
          </w:p>
        </w:tc>
        <w:tc>
          <w:tcPr>
            <w:tcW w:w="1198" w:type="pct"/>
            <w:vAlign w:val="center"/>
          </w:tcPr>
          <w:p>
            <w:pPr>
              <w:spacing w:line="440" w:lineRule="exact"/>
              <w:jc w:val="center"/>
            </w:pPr>
            <w:r>
              <w:rPr>
                <w:rFonts w:hint="eastAsia"/>
                <w:szCs w:val="16"/>
              </w:rPr>
              <w:t>第（ ）页-（ ）页</w:t>
            </w:r>
          </w:p>
        </w:tc>
      </w:tr>
    </w:tbl>
    <w:p>
      <w:pPr>
        <w:rPr>
          <w:szCs w:val="16"/>
        </w:rPr>
      </w:pPr>
      <w:r>
        <w:rPr>
          <w:szCs w:val="16"/>
        </w:rPr>
        <w:br w:type="page"/>
      </w:r>
    </w:p>
    <w:p>
      <w:pPr>
        <w:pStyle w:val="32"/>
        <w:spacing w:line="360" w:lineRule="auto"/>
        <w:ind w:left="0" w:leftChars="0" w:firstLine="0" w:firstLineChars="0"/>
        <w:jc w:val="center"/>
        <w:rPr>
          <w:b/>
          <w:bCs/>
          <w:szCs w:val="16"/>
        </w:rPr>
      </w:pPr>
      <w:r>
        <w:rPr>
          <w:b/>
          <w:bCs/>
          <w:szCs w:val="16"/>
        </w:rPr>
        <w:t>商务部分评分</w:t>
      </w:r>
      <w:r>
        <w:rPr>
          <w:rFonts w:hint="eastAsia"/>
          <w:b/>
          <w:bCs/>
          <w:szCs w:val="16"/>
        </w:rPr>
        <w:t>细则索引表</w:t>
      </w:r>
    </w:p>
    <w:tbl>
      <w:tblPr>
        <w:tblStyle w:val="33"/>
        <w:tblW w:w="96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9"/>
        <w:gridCol w:w="2107"/>
        <w:gridCol w:w="3371"/>
        <w:gridCol w:w="29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序号</w:t>
            </w:r>
          </w:p>
        </w:tc>
        <w:tc>
          <w:tcPr>
            <w:tcW w:w="210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评审项目</w:t>
            </w:r>
          </w:p>
        </w:tc>
        <w:tc>
          <w:tcPr>
            <w:tcW w:w="337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响应情况</w:t>
            </w:r>
          </w:p>
        </w:tc>
        <w:tc>
          <w:tcPr>
            <w:tcW w:w="295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cs="Times New Roman"/>
                <w:b/>
                <w:szCs w:val="21"/>
              </w:rPr>
            </w:pPr>
            <w:r>
              <w:rPr>
                <w:rFonts w:hint="eastAsia" w:cs="Times New Roman"/>
                <w:b/>
                <w:szCs w:val="21"/>
              </w:rPr>
              <w:t>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2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rFonts w:cs="Times New Roman"/>
                <w:b/>
                <w:szCs w:val="21"/>
              </w:rPr>
            </w:pPr>
            <w:r>
              <w:rPr>
                <w:rFonts w:hint="eastAsia" w:cs="Times New Roman"/>
                <w:b/>
                <w:szCs w:val="21"/>
              </w:rPr>
              <w:t>1</w:t>
            </w:r>
          </w:p>
        </w:tc>
        <w:tc>
          <w:tcPr>
            <w:tcW w:w="210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60" w:lineRule="auto"/>
              <w:jc w:val="center"/>
              <w:textAlignment w:val="baseline"/>
              <w:rPr>
                <w:szCs w:val="21"/>
              </w:rPr>
            </w:pPr>
            <w:r>
              <w:rPr>
                <w:rFonts w:hint="eastAsia"/>
                <w:szCs w:val="21"/>
              </w:rPr>
              <w:t>同类项目经验</w:t>
            </w:r>
          </w:p>
        </w:tc>
        <w:tc>
          <w:tcPr>
            <w:tcW w:w="337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20" w:lineRule="exact"/>
              <w:jc w:val="center"/>
              <w:textAlignment w:val="baseline"/>
            </w:pPr>
          </w:p>
        </w:tc>
        <w:tc>
          <w:tcPr>
            <w:tcW w:w="2951"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szCs w:val="21"/>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2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1"/>
              <w:jc w:val="center"/>
            </w:pPr>
            <w:r>
              <w:rPr>
                <w:rFonts w:hint="eastAsia"/>
              </w:rPr>
              <w:t>2</w:t>
            </w:r>
          </w:p>
        </w:tc>
        <w:tc>
          <w:tcPr>
            <w:tcW w:w="210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szCs w:val="21"/>
              </w:rPr>
            </w:pPr>
            <w:r>
              <w:rPr>
                <w:rFonts w:hint="eastAsia"/>
                <w:spacing w:val="-6"/>
              </w:rPr>
              <w:t>管理体系认证</w:t>
            </w:r>
          </w:p>
        </w:tc>
        <w:tc>
          <w:tcPr>
            <w:tcW w:w="337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20" w:lineRule="exact"/>
              <w:jc w:val="center"/>
              <w:textAlignment w:val="baseline"/>
            </w:pPr>
          </w:p>
        </w:tc>
        <w:tc>
          <w:tcPr>
            <w:tcW w:w="2951"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szCs w:val="16"/>
              </w:rPr>
            </w:pPr>
            <w:r>
              <w:rPr>
                <w:rFonts w:hint="eastAsia"/>
                <w:szCs w:val="16"/>
              </w:rPr>
              <w:t>第（ ）页-（ ）页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209"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pStyle w:val="11"/>
              <w:jc w:val="center"/>
            </w:pPr>
            <w:r>
              <w:rPr>
                <w:rFonts w:hint="eastAsia"/>
              </w:rPr>
              <w:t>3</w:t>
            </w:r>
          </w:p>
        </w:tc>
        <w:tc>
          <w:tcPr>
            <w:tcW w:w="210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jc w:val="center"/>
              <w:rPr>
                <w:szCs w:val="21"/>
              </w:rPr>
            </w:pPr>
            <w:r>
              <w:rPr>
                <w:rFonts w:hint="eastAsia"/>
                <w:szCs w:val="21"/>
              </w:rPr>
              <w:t>企业综合实力</w:t>
            </w:r>
          </w:p>
        </w:tc>
        <w:tc>
          <w:tcPr>
            <w:tcW w:w="3371"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adjustRightInd w:val="0"/>
              <w:spacing w:line="320" w:lineRule="exact"/>
              <w:jc w:val="center"/>
              <w:textAlignment w:val="baseline"/>
            </w:pPr>
          </w:p>
        </w:tc>
        <w:tc>
          <w:tcPr>
            <w:tcW w:w="2951" w:type="dxa"/>
            <w:tcBorders>
              <w:top w:val="single" w:color="auto" w:sz="4" w:space="0"/>
              <w:left w:val="single" w:color="auto" w:sz="4" w:space="0"/>
              <w:bottom w:val="single" w:color="auto" w:sz="4" w:space="0"/>
              <w:right w:val="single" w:color="auto" w:sz="4" w:space="0"/>
            </w:tcBorders>
            <w:vAlign w:val="center"/>
          </w:tcPr>
          <w:p>
            <w:pPr>
              <w:adjustRightInd w:val="0"/>
              <w:spacing w:line="320" w:lineRule="exact"/>
              <w:jc w:val="center"/>
              <w:textAlignment w:val="baseline"/>
              <w:rPr>
                <w:szCs w:val="16"/>
              </w:rPr>
            </w:pPr>
            <w:r>
              <w:rPr>
                <w:rFonts w:hint="eastAsia"/>
                <w:szCs w:val="16"/>
              </w:rPr>
              <w:t>第（ ）页-（ ）页</w:t>
            </w:r>
          </w:p>
        </w:tc>
      </w:tr>
    </w:tbl>
    <w:p>
      <w:pPr>
        <w:pStyle w:val="32"/>
        <w:spacing w:line="360" w:lineRule="auto"/>
        <w:ind w:left="0" w:leftChars="0" w:firstLine="0" w:firstLineChars="0"/>
        <w:jc w:val="center"/>
        <w:rPr>
          <w:b/>
          <w:bCs/>
          <w:szCs w:val="16"/>
          <w:highlight w:val="yellow"/>
        </w:rPr>
      </w:pPr>
    </w:p>
    <w:p>
      <w:pPr>
        <w:pStyle w:val="32"/>
        <w:spacing w:line="360" w:lineRule="auto"/>
        <w:ind w:left="0" w:leftChars="0" w:firstLine="0" w:firstLineChars="0"/>
        <w:jc w:val="center"/>
        <w:rPr>
          <w:b/>
          <w:bCs/>
          <w:szCs w:val="16"/>
        </w:rPr>
      </w:pPr>
      <w:r>
        <w:rPr>
          <w:rFonts w:hint="eastAsia"/>
          <w:b/>
          <w:bCs/>
          <w:szCs w:val="16"/>
        </w:rPr>
        <w:t>技术</w:t>
      </w:r>
      <w:r>
        <w:rPr>
          <w:b/>
          <w:bCs/>
          <w:szCs w:val="16"/>
        </w:rPr>
        <w:t>部分评分</w:t>
      </w:r>
      <w:r>
        <w:rPr>
          <w:rFonts w:hint="eastAsia"/>
          <w:b/>
          <w:bCs/>
          <w:szCs w:val="16"/>
        </w:rPr>
        <w:t>细则索引表</w:t>
      </w:r>
    </w:p>
    <w:tbl>
      <w:tblPr>
        <w:tblStyle w:val="33"/>
        <w:tblW w:w="95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4"/>
        <w:gridCol w:w="2776"/>
        <w:gridCol w:w="2415"/>
        <w:gridCol w:w="3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exact"/>
          <w:jc w:val="center"/>
        </w:trPr>
        <w:tc>
          <w:tcPr>
            <w:tcW w:w="1114" w:type="dxa"/>
            <w:vAlign w:val="center"/>
          </w:tcPr>
          <w:p>
            <w:pPr>
              <w:pStyle w:val="32"/>
              <w:spacing w:line="360" w:lineRule="auto"/>
              <w:ind w:left="0" w:leftChars="0" w:firstLine="0" w:firstLineChars="0"/>
              <w:jc w:val="center"/>
              <w:rPr>
                <w:b/>
                <w:bCs/>
                <w:szCs w:val="16"/>
              </w:rPr>
            </w:pPr>
            <w:r>
              <w:rPr>
                <w:rFonts w:hint="eastAsia"/>
                <w:b/>
                <w:bCs/>
                <w:szCs w:val="16"/>
              </w:rPr>
              <w:t>序号</w:t>
            </w:r>
          </w:p>
        </w:tc>
        <w:tc>
          <w:tcPr>
            <w:tcW w:w="2776" w:type="dxa"/>
            <w:vAlign w:val="center"/>
          </w:tcPr>
          <w:p>
            <w:pPr>
              <w:pStyle w:val="32"/>
              <w:spacing w:line="360" w:lineRule="auto"/>
              <w:ind w:left="0" w:leftChars="0" w:firstLine="0" w:firstLineChars="0"/>
              <w:jc w:val="center"/>
              <w:rPr>
                <w:b/>
                <w:bCs/>
                <w:szCs w:val="16"/>
              </w:rPr>
            </w:pPr>
            <w:r>
              <w:rPr>
                <w:rFonts w:hint="eastAsia"/>
                <w:b/>
                <w:bCs/>
                <w:szCs w:val="16"/>
              </w:rPr>
              <w:t>评审因素</w:t>
            </w:r>
          </w:p>
        </w:tc>
        <w:tc>
          <w:tcPr>
            <w:tcW w:w="2415" w:type="dxa"/>
            <w:vAlign w:val="center"/>
          </w:tcPr>
          <w:p>
            <w:pPr>
              <w:pStyle w:val="32"/>
              <w:spacing w:line="360" w:lineRule="auto"/>
              <w:ind w:left="0" w:leftChars="0" w:firstLine="0" w:firstLineChars="0"/>
              <w:jc w:val="center"/>
              <w:rPr>
                <w:b/>
                <w:bCs/>
                <w:szCs w:val="16"/>
              </w:rPr>
            </w:pPr>
            <w:r>
              <w:rPr>
                <w:rFonts w:hint="eastAsia"/>
                <w:b/>
                <w:bCs/>
                <w:szCs w:val="16"/>
              </w:rPr>
              <w:t>响应情况</w:t>
            </w:r>
          </w:p>
        </w:tc>
        <w:tc>
          <w:tcPr>
            <w:tcW w:w="3219" w:type="dxa"/>
            <w:vAlign w:val="center"/>
          </w:tcPr>
          <w:p>
            <w:pPr>
              <w:pStyle w:val="32"/>
              <w:spacing w:line="360" w:lineRule="auto"/>
              <w:ind w:left="0" w:leftChars="0" w:firstLine="0" w:firstLineChars="0"/>
              <w:jc w:val="center"/>
              <w:rPr>
                <w:b/>
                <w:bCs/>
                <w:szCs w:val="16"/>
              </w:rPr>
            </w:pPr>
            <w:r>
              <w:rPr>
                <w:rFonts w:hint="eastAsia"/>
                <w:b/>
                <w:bCs/>
                <w:szCs w:val="16"/>
              </w:rPr>
              <w:t>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exact"/>
          <w:jc w:val="center"/>
        </w:trPr>
        <w:tc>
          <w:tcPr>
            <w:tcW w:w="1114" w:type="dxa"/>
            <w:vAlign w:val="center"/>
          </w:tcPr>
          <w:p>
            <w:pPr>
              <w:pStyle w:val="32"/>
              <w:spacing w:line="360" w:lineRule="auto"/>
              <w:ind w:left="0" w:leftChars="0" w:firstLine="0" w:firstLineChars="0"/>
              <w:jc w:val="center"/>
              <w:rPr>
                <w:szCs w:val="16"/>
              </w:rPr>
            </w:pPr>
            <w:r>
              <w:rPr>
                <w:rFonts w:hint="eastAsia"/>
                <w:szCs w:val="16"/>
              </w:rPr>
              <w:t>1</w:t>
            </w:r>
          </w:p>
        </w:tc>
        <w:tc>
          <w:tcPr>
            <w:tcW w:w="2776" w:type="dxa"/>
            <w:vAlign w:val="center"/>
          </w:tcPr>
          <w:p>
            <w:pPr>
              <w:adjustRightInd w:val="0"/>
              <w:spacing w:line="360" w:lineRule="auto"/>
              <w:jc w:val="center"/>
              <w:textAlignment w:val="baseline"/>
            </w:pPr>
            <w:r>
              <w:rPr>
                <w:rFonts w:hint="eastAsia" w:cs="Times New Roman"/>
              </w:rPr>
              <w:t>配送车辆</w:t>
            </w:r>
          </w:p>
        </w:tc>
        <w:tc>
          <w:tcPr>
            <w:tcW w:w="2415" w:type="dxa"/>
            <w:vAlign w:val="center"/>
          </w:tcPr>
          <w:p>
            <w:pPr>
              <w:pStyle w:val="32"/>
              <w:spacing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exact"/>
          <w:jc w:val="center"/>
        </w:trPr>
        <w:tc>
          <w:tcPr>
            <w:tcW w:w="1114" w:type="dxa"/>
            <w:vAlign w:val="center"/>
          </w:tcPr>
          <w:p>
            <w:pPr>
              <w:pStyle w:val="32"/>
              <w:spacing w:line="360" w:lineRule="auto"/>
              <w:ind w:left="0" w:leftChars="0" w:firstLine="0" w:firstLineChars="0"/>
              <w:jc w:val="center"/>
              <w:rPr>
                <w:szCs w:val="16"/>
              </w:rPr>
            </w:pPr>
            <w:r>
              <w:rPr>
                <w:rFonts w:hint="eastAsia"/>
                <w:szCs w:val="16"/>
              </w:rPr>
              <w:t>2</w:t>
            </w:r>
          </w:p>
        </w:tc>
        <w:tc>
          <w:tcPr>
            <w:tcW w:w="2776" w:type="dxa"/>
            <w:vAlign w:val="center"/>
          </w:tcPr>
          <w:p>
            <w:pPr>
              <w:adjustRightInd w:val="0"/>
              <w:spacing w:line="360" w:lineRule="auto"/>
              <w:jc w:val="center"/>
              <w:textAlignment w:val="baseline"/>
              <w:rPr>
                <w:rFonts w:cs="Times New Roman"/>
              </w:rPr>
            </w:pPr>
            <w:r>
              <w:rPr>
                <w:rFonts w:hint="eastAsia" w:cs="Times New Roman"/>
              </w:rPr>
              <w:t>配送人员</w:t>
            </w:r>
          </w:p>
        </w:tc>
        <w:tc>
          <w:tcPr>
            <w:tcW w:w="2415" w:type="dxa"/>
            <w:vAlign w:val="center"/>
          </w:tcPr>
          <w:p>
            <w:pPr>
              <w:pStyle w:val="32"/>
              <w:spacing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exact"/>
          <w:jc w:val="center"/>
        </w:trPr>
        <w:tc>
          <w:tcPr>
            <w:tcW w:w="1114" w:type="dxa"/>
            <w:vAlign w:val="center"/>
          </w:tcPr>
          <w:p>
            <w:pPr>
              <w:pStyle w:val="32"/>
              <w:spacing w:line="360" w:lineRule="auto"/>
              <w:ind w:left="0" w:leftChars="0" w:firstLine="0" w:firstLineChars="0"/>
              <w:jc w:val="center"/>
              <w:rPr>
                <w:szCs w:val="16"/>
              </w:rPr>
            </w:pPr>
            <w:r>
              <w:rPr>
                <w:rFonts w:hint="eastAsia"/>
                <w:szCs w:val="16"/>
              </w:rPr>
              <w:t>3</w:t>
            </w:r>
          </w:p>
        </w:tc>
        <w:tc>
          <w:tcPr>
            <w:tcW w:w="2776" w:type="dxa"/>
            <w:vAlign w:val="center"/>
          </w:tcPr>
          <w:p>
            <w:pPr>
              <w:adjustRightInd w:val="0"/>
              <w:spacing w:line="360" w:lineRule="auto"/>
              <w:jc w:val="center"/>
              <w:textAlignment w:val="baseline"/>
              <w:rPr>
                <w:rFonts w:cs="Times New Roman"/>
              </w:rPr>
            </w:pPr>
            <w:r>
              <w:rPr>
                <w:rFonts w:hint="eastAsia" w:cs="Times New Roman"/>
              </w:rPr>
              <w:t>仓储能力</w:t>
            </w:r>
          </w:p>
        </w:tc>
        <w:tc>
          <w:tcPr>
            <w:tcW w:w="2415" w:type="dxa"/>
            <w:vAlign w:val="center"/>
          </w:tcPr>
          <w:p>
            <w:pPr>
              <w:pStyle w:val="32"/>
              <w:spacing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exact"/>
          <w:jc w:val="center"/>
        </w:trPr>
        <w:tc>
          <w:tcPr>
            <w:tcW w:w="1114" w:type="dxa"/>
            <w:vAlign w:val="center"/>
          </w:tcPr>
          <w:p>
            <w:pPr>
              <w:pStyle w:val="32"/>
              <w:spacing w:line="360" w:lineRule="auto"/>
              <w:ind w:left="0" w:leftChars="0" w:firstLine="0" w:firstLineChars="0"/>
              <w:jc w:val="center"/>
              <w:rPr>
                <w:szCs w:val="16"/>
              </w:rPr>
            </w:pPr>
            <w:r>
              <w:rPr>
                <w:rFonts w:hint="eastAsia"/>
                <w:szCs w:val="16"/>
              </w:rPr>
              <w:t>4</w:t>
            </w:r>
          </w:p>
        </w:tc>
        <w:tc>
          <w:tcPr>
            <w:tcW w:w="2776" w:type="dxa"/>
            <w:vAlign w:val="center"/>
          </w:tcPr>
          <w:p>
            <w:pPr>
              <w:adjustRightInd w:val="0"/>
              <w:spacing w:line="360" w:lineRule="exact"/>
              <w:jc w:val="center"/>
              <w:textAlignment w:val="baseline"/>
              <w:rPr>
                <w:rFonts w:cs="Times New Roman"/>
              </w:rPr>
            </w:pPr>
            <w:r>
              <w:rPr>
                <w:rFonts w:cs="Tahoma"/>
                <w:bCs/>
              </w:rPr>
              <w:t>货物</w:t>
            </w:r>
            <w:r>
              <w:rPr>
                <w:rFonts w:hint="eastAsia" w:cs="Tahoma"/>
                <w:bCs/>
              </w:rPr>
              <w:t>配送方案</w:t>
            </w:r>
          </w:p>
        </w:tc>
        <w:tc>
          <w:tcPr>
            <w:tcW w:w="2415" w:type="dxa"/>
            <w:vAlign w:val="center"/>
          </w:tcPr>
          <w:p>
            <w:pPr>
              <w:pStyle w:val="32"/>
              <w:spacing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exact"/>
          <w:jc w:val="center"/>
        </w:trPr>
        <w:tc>
          <w:tcPr>
            <w:tcW w:w="1114" w:type="dxa"/>
            <w:vAlign w:val="center"/>
          </w:tcPr>
          <w:p>
            <w:pPr>
              <w:pStyle w:val="32"/>
              <w:spacing w:line="360" w:lineRule="auto"/>
              <w:ind w:left="0" w:leftChars="0" w:firstLine="0" w:firstLineChars="0"/>
              <w:jc w:val="center"/>
              <w:rPr>
                <w:szCs w:val="16"/>
              </w:rPr>
            </w:pPr>
            <w:r>
              <w:rPr>
                <w:rFonts w:hint="eastAsia"/>
                <w:szCs w:val="16"/>
              </w:rPr>
              <w:t>5</w:t>
            </w:r>
          </w:p>
        </w:tc>
        <w:tc>
          <w:tcPr>
            <w:tcW w:w="2776" w:type="dxa"/>
            <w:vAlign w:val="center"/>
          </w:tcPr>
          <w:p>
            <w:pPr>
              <w:adjustRightInd w:val="0"/>
              <w:spacing w:line="360" w:lineRule="exact"/>
              <w:jc w:val="center"/>
              <w:textAlignment w:val="baseline"/>
              <w:rPr>
                <w:rFonts w:cs="Tahoma"/>
                <w:bCs/>
              </w:rPr>
            </w:pPr>
            <w:r>
              <w:rPr>
                <w:rFonts w:hint="eastAsia" w:cs="Times New Roman"/>
              </w:rPr>
              <w:t>安全质量</w:t>
            </w:r>
          </w:p>
        </w:tc>
        <w:tc>
          <w:tcPr>
            <w:tcW w:w="2415" w:type="dxa"/>
            <w:vAlign w:val="center"/>
          </w:tcPr>
          <w:p>
            <w:pPr>
              <w:pStyle w:val="32"/>
              <w:spacing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exact"/>
          <w:jc w:val="center"/>
        </w:trPr>
        <w:tc>
          <w:tcPr>
            <w:tcW w:w="1114" w:type="dxa"/>
            <w:vAlign w:val="center"/>
          </w:tcPr>
          <w:p>
            <w:pPr>
              <w:pStyle w:val="32"/>
              <w:spacing w:line="360" w:lineRule="auto"/>
              <w:ind w:left="0" w:leftChars="0" w:firstLine="0" w:firstLineChars="0"/>
              <w:jc w:val="center"/>
              <w:rPr>
                <w:szCs w:val="16"/>
              </w:rPr>
            </w:pPr>
            <w:r>
              <w:rPr>
                <w:rFonts w:hint="eastAsia"/>
                <w:szCs w:val="16"/>
              </w:rPr>
              <w:t>6</w:t>
            </w:r>
          </w:p>
        </w:tc>
        <w:tc>
          <w:tcPr>
            <w:tcW w:w="2776" w:type="dxa"/>
            <w:vAlign w:val="center"/>
          </w:tcPr>
          <w:p>
            <w:pPr>
              <w:adjustRightInd w:val="0"/>
              <w:spacing w:line="360" w:lineRule="exact"/>
              <w:jc w:val="center"/>
              <w:textAlignment w:val="baseline"/>
              <w:rPr>
                <w:rFonts w:cs="Times New Roman"/>
              </w:rPr>
            </w:pPr>
            <w:r>
              <w:rPr>
                <w:rFonts w:hint="eastAsia" w:cs="Times New Roman"/>
              </w:rPr>
              <w:t>服务管控</w:t>
            </w:r>
          </w:p>
        </w:tc>
        <w:tc>
          <w:tcPr>
            <w:tcW w:w="2415" w:type="dxa"/>
            <w:vAlign w:val="center"/>
          </w:tcPr>
          <w:p>
            <w:pPr>
              <w:pStyle w:val="32"/>
              <w:spacing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exact"/>
          <w:jc w:val="center"/>
        </w:trPr>
        <w:tc>
          <w:tcPr>
            <w:tcW w:w="1114" w:type="dxa"/>
            <w:vAlign w:val="center"/>
          </w:tcPr>
          <w:p>
            <w:pPr>
              <w:pStyle w:val="32"/>
              <w:spacing w:line="360" w:lineRule="auto"/>
              <w:ind w:left="0" w:leftChars="0" w:firstLine="0" w:firstLineChars="0"/>
              <w:jc w:val="center"/>
              <w:rPr>
                <w:szCs w:val="16"/>
              </w:rPr>
            </w:pPr>
            <w:r>
              <w:rPr>
                <w:rFonts w:hint="eastAsia"/>
                <w:szCs w:val="16"/>
              </w:rPr>
              <w:t>7</w:t>
            </w:r>
          </w:p>
        </w:tc>
        <w:tc>
          <w:tcPr>
            <w:tcW w:w="2776" w:type="dxa"/>
            <w:vAlign w:val="center"/>
          </w:tcPr>
          <w:p>
            <w:pPr>
              <w:adjustRightInd w:val="0"/>
              <w:spacing w:line="360" w:lineRule="exact"/>
              <w:jc w:val="center"/>
              <w:textAlignment w:val="baseline"/>
              <w:rPr>
                <w:rFonts w:cs="Tahoma"/>
              </w:rPr>
            </w:pPr>
            <w:r>
              <w:rPr>
                <w:rFonts w:hint="eastAsia"/>
                <w:bCs/>
                <w:szCs w:val="21"/>
              </w:rPr>
              <w:t>特殊情况应急方案</w:t>
            </w:r>
          </w:p>
        </w:tc>
        <w:tc>
          <w:tcPr>
            <w:tcW w:w="2415" w:type="dxa"/>
            <w:vAlign w:val="center"/>
          </w:tcPr>
          <w:p>
            <w:pPr>
              <w:pStyle w:val="32"/>
              <w:spacing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18" w:hRule="exact"/>
          <w:jc w:val="center"/>
        </w:trPr>
        <w:tc>
          <w:tcPr>
            <w:tcW w:w="1114" w:type="dxa"/>
            <w:vAlign w:val="center"/>
          </w:tcPr>
          <w:p>
            <w:pPr>
              <w:pStyle w:val="32"/>
              <w:spacing w:before="132" w:line="360" w:lineRule="auto"/>
              <w:ind w:left="0" w:leftChars="0" w:firstLine="0" w:firstLineChars="0"/>
              <w:jc w:val="center"/>
              <w:rPr>
                <w:szCs w:val="16"/>
              </w:rPr>
            </w:pPr>
            <w:r>
              <w:rPr>
                <w:szCs w:val="16"/>
              </w:rPr>
              <w:t>8</w:t>
            </w:r>
          </w:p>
        </w:tc>
        <w:tc>
          <w:tcPr>
            <w:tcW w:w="2776" w:type="dxa"/>
            <w:vAlign w:val="center"/>
          </w:tcPr>
          <w:p>
            <w:pPr>
              <w:adjustRightInd w:val="0"/>
              <w:spacing w:line="360" w:lineRule="exact"/>
              <w:jc w:val="center"/>
              <w:textAlignment w:val="baseline"/>
              <w:rPr>
                <w:rFonts w:cs="Tahoma"/>
              </w:rPr>
            </w:pPr>
            <w:r>
              <w:rPr>
                <w:rFonts w:hint="eastAsia"/>
                <w:szCs w:val="21"/>
              </w:rPr>
              <w:t>售后服务</w:t>
            </w:r>
          </w:p>
        </w:tc>
        <w:tc>
          <w:tcPr>
            <w:tcW w:w="2415" w:type="dxa"/>
            <w:vAlign w:val="center"/>
          </w:tcPr>
          <w:p>
            <w:pPr>
              <w:pStyle w:val="32"/>
              <w:spacing w:before="132"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exact"/>
          <w:jc w:val="center"/>
        </w:trPr>
        <w:tc>
          <w:tcPr>
            <w:tcW w:w="1114" w:type="dxa"/>
            <w:vAlign w:val="center"/>
          </w:tcPr>
          <w:p>
            <w:pPr>
              <w:pStyle w:val="32"/>
              <w:spacing w:before="132" w:line="360" w:lineRule="auto"/>
              <w:ind w:left="0" w:leftChars="0" w:firstLine="0" w:firstLineChars="0"/>
              <w:jc w:val="center"/>
              <w:rPr>
                <w:szCs w:val="16"/>
              </w:rPr>
            </w:pPr>
            <w:r>
              <w:rPr>
                <w:rFonts w:hint="eastAsia"/>
                <w:szCs w:val="16"/>
              </w:rPr>
              <w:t>9</w:t>
            </w:r>
          </w:p>
        </w:tc>
        <w:tc>
          <w:tcPr>
            <w:tcW w:w="2776" w:type="dxa"/>
            <w:vAlign w:val="center"/>
          </w:tcPr>
          <w:p>
            <w:pPr>
              <w:adjustRightInd w:val="0"/>
              <w:spacing w:line="360" w:lineRule="exact"/>
              <w:jc w:val="center"/>
              <w:textAlignment w:val="baseline"/>
              <w:rPr>
                <w:rFonts w:cs="Times New Roman"/>
              </w:rPr>
            </w:pPr>
            <w:r>
              <w:rPr>
                <w:rFonts w:hint="eastAsia" w:cs="Times New Roman"/>
              </w:rPr>
              <w:t>优惠承诺</w:t>
            </w:r>
          </w:p>
        </w:tc>
        <w:tc>
          <w:tcPr>
            <w:tcW w:w="2415" w:type="dxa"/>
            <w:vAlign w:val="center"/>
          </w:tcPr>
          <w:p>
            <w:pPr>
              <w:pStyle w:val="32"/>
              <w:spacing w:before="132" w:line="360" w:lineRule="auto"/>
              <w:ind w:left="480" w:firstLine="480"/>
              <w:jc w:val="center"/>
              <w:rPr>
                <w:szCs w:val="16"/>
              </w:rPr>
            </w:pPr>
          </w:p>
        </w:tc>
        <w:tc>
          <w:tcPr>
            <w:tcW w:w="3219" w:type="dxa"/>
            <w:vAlign w:val="center"/>
          </w:tcPr>
          <w:p>
            <w:pPr>
              <w:pStyle w:val="32"/>
              <w:spacing w:line="360" w:lineRule="auto"/>
              <w:ind w:left="0" w:leftChars="0" w:firstLine="0" w:firstLineChars="0"/>
              <w:jc w:val="center"/>
              <w:rPr>
                <w:szCs w:val="16"/>
              </w:rPr>
            </w:pPr>
            <w:r>
              <w:rPr>
                <w:rFonts w:hint="eastAsia"/>
                <w:szCs w:val="16"/>
              </w:rPr>
              <w:t>第（ ）页-（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6" w:hRule="exact"/>
          <w:jc w:val="center"/>
        </w:trPr>
        <w:tc>
          <w:tcPr>
            <w:tcW w:w="9524" w:type="dxa"/>
            <w:gridSpan w:val="4"/>
          </w:tcPr>
          <w:p>
            <w:pPr>
              <w:spacing w:line="347" w:lineRule="exact"/>
              <w:ind w:left="95"/>
              <w:jc w:val="center"/>
              <w:rPr>
                <w:szCs w:val="21"/>
              </w:rPr>
            </w:pPr>
            <w:r>
              <w:rPr>
                <w:rFonts w:hint="eastAsia"/>
                <w:szCs w:val="16"/>
              </w:rPr>
              <w:t>其他内容资料（如有）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exact"/>
          <w:jc w:val="center"/>
        </w:trPr>
        <w:tc>
          <w:tcPr>
            <w:tcW w:w="1114" w:type="dxa"/>
            <w:vAlign w:val="center"/>
          </w:tcPr>
          <w:p>
            <w:pPr>
              <w:spacing w:line="277" w:lineRule="exact"/>
              <w:ind w:left="93"/>
              <w:jc w:val="center"/>
              <w:rPr>
                <w:szCs w:val="21"/>
                <w:lang w:eastAsia="en-US"/>
              </w:rPr>
            </w:pPr>
            <w:r>
              <w:rPr>
                <w:rFonts w:hint="eastAsia"/>
                <w:szCs w:val="21"/>
                <w:lang w:eastAsia="en-US"/>
              </w:rPr>
              <w:t>1</w:t>
            </w:r>
          </w:p>
        </w:tc>
        <w:tc>
          <w:tcPr>
            <w:tcW w:w="5191" w:type="dxa"/>
            <w:gridSpan w:val="2"/>
          </w:tcPr>
          <w:p>
            <w:pPr>
              <w:spacing w:line="277" w:lineRule="exact"/>
              <w:ind w:left="100"/>
              <w:rPr>
                <w:szCs w:val="21"/>
                <w:lang w:eastAsia="en-US"/>
              </w:rPr>
            </w:pPr>
          </w:p>
        </w:tc>
        <w:tc>
          <w:tcPr>
            <w:tcW w:w="3219" w:type="dxa"/>
          </w:tcPr>
          <w:p>
            <w:pPr>
              <w:spacing w:line="277" w:lineRule="exact"/>
              <w:ind w:left="1121"/>
              <w:rPr>
                <w:szCs w:val="16"/>
              </w:rPr>
            </w:pPr>
            <w:r>
              <w:rPr>
                <w:rFonts w:hint="eastAsia"/>
                <w:szCs w:val="16"/>
              </w:rPr>
              <w:t xml:space="preserve">第（ ）页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exact"/>
          <w:jc w:val="center"/>
        </w:trPr>
        <w:tc>
          <w:tcPr>
            <w:tcW w:w="1114" w:type="dxa"/>
            <w:vAlign w:val="center"/>
          </w:tcPr>
          <w:p>
            <w:pPr>
              <w:spacing w:line="276" w:lineRule="exact"/>
              <w:ind w:left="93"/>
              <w:jc w:val="center"/>
              <w:rPr>
                <w:szCs w:val="21"/>
                <w:lang w:eastAsia="en-US"/>
              </w:rPr>
            </w:pPr>
            <w:r>
              <w:rPr>
                <w:rFonts w:hint="eastAsia"/>
                <w:szCs w:val="21"/>
                <w:lang w:eastAsia="en-US"/>
              </w:rPr>
              <w:t>2</w:t>
            </w:r>
          </w:p>
        </w:tc>
        <w:tc>
          <w:tcPr>
            <w:tcW w:w="5191" w:type="dxa"/>
            <w:gridSpan w:val="2"/>
          </w:tcPr>
          <w:p>
            <w:pPr>
              <w:spacing w:line="276" w:lineRule="exact"/>
              <w:ind w:left="100"/>
              <w:rPr>
                <w:szCs w:val="21"/>
                <w:lang w:eastAsia="en-US"/>
              </w:rPr>
            </w:pPr>
          </w:p>
        </w:tc>
        <w:tc>
          <w:tcPr>
            <w:tcW w:w="3219" w:type="dxa"/>
          </w:tcPr>
          <w:p>
            <w:pPr>
              <w:spacing w:line="276" w:lineRule="exact"/>
              <w:ind w:left="1121"/>
              <w:rPr>
                <w:szCs w:val="16"/>
              </w:rPr>
            </w:pPr>
            <w:r>
              <w:rPr>
                <w:rFonts w:hint="eastAsia"/>
                <w:szCs w:val="16"/>
              </w:rPr>
              <w:t xml:space="preserve">第（ ）页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exact"/>
          <w:jc w:val="center"/>
        </w:trPr>
        <w:tc>
          <w:tcPr>
            <w:tcW w:w="1114" w:type="dxa"/>
            <w:vAlign w:val="center"/>
          </w:tcPr>
          <w:p>
            <w:pPr>
              <w:spacing w:line="276" w:lineRule="exact"/>
              <w:ind w:left="93"/>
              <w:jc w:val="center"/>
              <w:rPr>
                <w:szCs w:val="21"/>
                <w:lang w:eastAsia="en-US"/>
              </w:rPr>
            </w:pPr>
            <w:r>
              <w:rPr>
                <w:rFonts w:hint="eastAsia"/>
                <w:szCs w:val="21"/>
                <w:lang w:eastAsia="en-US"/>
              </w:rPr>
              <w:t>3</w:t>
            </w:r>
          </w:p>
        </w:tc>
        <w:tc>
          <w:tcPr>
            <w:tcW w:w="5191" w:type="dxa"/>
            <w:gridSpan w:val="2"/>
          </w:tcPr>
          <w:p>
            <w:pPr>
              <w:spacing w:line="276" w:lineRule="exact"/>
              <w:ind w:left="100"/>
              <w:rPr>
                <w:szCs w:val="21"/>
                <w:lang w:eastAsia="en-US"/>
              </w:rPr>
            </w:pPr>
          </w:p>
        </w:tc>
        <w:tc>
          <w:tcPr>
            <w:tcW w:w="3219" w:type="dxa"/>
          </w:tcPr>
          <w:p>
            <w:pPr>
              <w:spacing w:line="276" w:lineRule="exact"/>
              <w:ind w:left="1121"/>
              <w:rPr>
                <w:szCs w:val="16"/>
              </w:rPr>
            </w:pPr>
            <w:r>
              <w:rPr>
                <w:rFonts w:hint="eastAsia"/>
                <w:szCs w:val="16"/>
              </w:rPr>
              <w:t xml:space="preserve">第（ ）页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exact"/>
          <w:jc w:val="center"/>
        </w:trPr>
        <w:tc>
          <w:tcPr>
            <w:tcW w:w="1114" w:type="dxa"/>
            <w:vAlign w:val="center"/>
          </w:tcPr>
          <w:p>
            <w:pPr>
              <w:spacing w:line="276" w:lineRule="exact"/>
              <w:ind w:left="93"/>
              <w:jc w:val="center"/>
              <w:rPr>
                <w:szCs w:val="21"/>
                <w:lang w:eastAsia="en-US"/>
              </w:rPr>
            </w:pPr>
            <w:r>
              <w:rPr>
                <w:szCs w:val="21"/>
                <w:lang w:eastAsia="en-US"/>
              </w:rPr>
              <w:t>4</w:t>
            </w:r>
          </w:p>
        </w:tc>
        <w:tc>
          <w:tcPr>
            <w:tcW w:w="5191" w:type="dxa"/>
            <w:gridSpan w:val="2"/>
          </w:tcPr>
          <w:p>
            <w:pPr>
              <w:spacing w:line="276" w:lineRule="exact"/>
              <w:ind w:left="100"/>
              <w:rPr>
                <w:szCs w:val="21"/>
                <w:lang w:eastAsia="en-US"/>
              </w:rPr>
            </w:pPr>
          </w:p>
        </w:tc>
        <w:tc>
          <w:tcPr>
            <w:tcW w:w="3219" w:type="dxa"/>
          </w:tcPr>
          <w:p>
            <w:pPr>
              <w:spacing w:line="276" w:lineRule="exact"/>
              <w:ind w:left="1121"/>
              <w:rPr>
                <w:szCs w:val="16"/>
              </w:rPr>
            </w:pPr>
            <w:r>
              <w:rPr>
                <w:rFonts w:hint="eastAsia"/>
                <w:szCs w:val="16"/>
              </w:rPr>
              <w:t xml:space="preserve">第（ ）页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0" w:hRule="exact"/>
          <w:jc w:val="center"/>
        </w:trPr>
        <w:tc>
          <w:tcPr>
            <w:tcW w:w="1114" w:type="dxa"/>
            <w:vAlign w:val="center"/>
          </w:tcPr>
          <w:p>
            <w:pPr>
              <w:spacing w:line="276" w:lineRule="exact"/>
              <w:ind w:left="93"/>
              <w:jc w:val="center"/>
              <w:rPr>
                <w:szCs w:val="21"/>
                <w:lang w:eastAsia="en-US"/>
              </w:rPr>
            </w:pPr>
            <w:r>
              <w:rPr>
                <w:rFonts w:hint="eastAsia"/>
                <w:szCs w:val="21"/>
                <w:lang w:eastAsia="en-US"/>
              </w:rPr>
              <w:t>5</w:t>
            </w:r>
          </w:p>
        </w:tc>
        <w:tc>
          <w:tcPr>
            <w:tcW w:w="5191" w:type="dxa"/>
            <w:gridSpan w:val="2"/>
          </w:tcPr>
          <w:p>
            <w:pPr>
              <w:spacing w:line="276" w:lineRule="exact"/>
              <w:ind w:left="100"/>
              <w:rPr>
                <w:szCs w:val="21"/>
                <w:lang w:eastAsia="en-US"/>
              </w:rPr>
            </w:pPr>
          </w:p>
        </w:tc>
        <w:tc>
          <w:tcPr>
            <w:tcW w:w="3219" w:type="dxa"/>
          </w:tcPr>
          <w:p>
            <w:pPr>
              <w:spacing w:line="276" w:lineRule="exact"/>
              <w:ind w:left="1121"/>
              <w:rPr>
                <w:szCs w:val="16"/>
              </w:rPr>
            </w:pPr>
            <w:r>
              <w:rPr>
                <w:rFonts w:hint="eastAsia"/>
                <w:szCs w:val="16"/>
              </w:rPr>
              <w:t xml:space="preserve">第（ ）页 </w:t>
            </w:r>
          </w:p>
        </w:tc>
      </w:tr>
    </w:tbl>
    <w:p>
      <w:pPr>
        <w:rPr>
          <w:szCs w:val="16"/>
        </w:rPr>
      </w:pPr>
      <w:r>
        <w:rPr>
          <w:szCs w:val="16"/>
        </w:rPr>
        <w:br w:type="page"/>
      </w:r>
    </w:p>
    <w:p>
      <w:pPr>
        <w:pStyle w:val="4"/>
        <w:rPr>
          <w:bCs w:val="0"/>
          <w:sz w:val="28"/>
          <w:szCs w:val="28"/>
        </w:rPr>
      </w:pPr>
      <w:r>
        <w:rPr>
          <w:rFonts w:hint="eastAsia"/>
          <w:bCs w:val="0"/>
          <w:sz w:val="28"/>
          <w:szCs w:val="28"/>
        </w:rPr>
        <w:t>一、资格性文件</w:t>
      </w:r>
    </w:p>
    <w:p>
      <w:pPr>
        <w:pStyle w:val="7"/>
        <w:spacing w:before="0" w:after="0" w:line="360" w:lineRule="auto"/>
        <w:rPr>
          <w:sz w:val="24"/>
          <w:szCs w:val="24"/>
        </w:rPr>
      </w:pPr>
      <w:bookmarkStart w:id="35" w:name="_Toc6322297"/>
      <w:bookmarkStart w:id="36" w:name="_Toc67046895"/>
      <w:bookmarkStart w:id="37" w:name="_Toc259090983"/>
      <w:bookmarkStart w:id="38" w:name="_Toc276645580"/>
      <w:bookmarkStart w:id="39" w:name="_Toc462677235"/>
      <w:r>
        <w:rPr>
          <w:rFonts w:hint="eastAsia"/>
          <w:sz w:val="24"/>
          <w:szCs w:val="24"/>
        </w:rPr>
        <w:t>1.1投标函</w:t>
      </w:r>
      <w:bookmarkEnd w:id="35"/>
      <w:bookmarkEnd w:id="36"/>
      <w:bookmarkEnd w:id="37"/>
      <w:bookmarkEnd w:id="38"/>
      <w:bookmarkEnd w:id="39"/>
    </w:p>
    <w:p>
      <w:pPr>
        <w:spacing w:line="360" w:lineRule="auto"/>
        <w:ind w:firstLine="437"/>
        <w:rPr>
          <w:i/>
          <w:iCs/>
          <w:szCs w:val="16"/>
          <w:u w:val="single"/>
        </w:rPr>
      </w:pPr>
      <w:r>
        <w:rPr>
          <w:rFonts w:hint="eastAsia"/>
          <w:szCs w:val="16"/>
        </w:rPr>
        <w:t>致：</w:t>
      </w:r>
      <w:r>
        <w:rPr>
          <w:rFonts w:hint="eastAsia"/>
          <w:i/>
          <w:iCs/>
          <w:szCs w:val="16"/>
          <w:u w:val="single"/>
        </w:rPr>
        <w:t xml:space="preserve">     （采购人名称）</w:t>
      </w:r>
    </w:p>
    <w:p>
      <w:pPr>
        <w:spacing w:line="360" w:lineRule="auto"/>
        <w:ind w:firstLine="437"/>
        <w:rPr>
          <w:szCs w:val="16"/>
        </w:rPr>
      </w:pPr>
      <w:r>
        <w:rPr>
          <w:rFonts w:hint="eastAsia"/>
          <w:szCs w:val="16"/>
        </w:rPr>
        <w:t>依据贵方</w:t>
      </w:r>
      <w:r>
        <w:rPr>
          <w:rFonts w:hint="eastAsia"/>
          <w:i/>
          <w:iCs/>
          <w:szCs w:val="16"/>
          <w:u w:val="single"/>
        </w:rPr>
        <w:t xml:space="preserve">       （项目名称、项目编号)</w:t>
      </w:r>
      <w:r>
        <w:rPr>
          <w:rFonts w:hint="eastAsia"/>
          <w:szCs w:val="16"/>
        </w:rPr>
        <w:t>项目的招标公告，我方代表</w:t>
      </w:r>
      <w:r>
        <w:rPr>
          <w:rFonts w:hint="eastAsia"/>
          <w:i/>
          <w:iCs/>
          <w:szCs w:val="16"/>
          <w:u w:val="single"/>
        </w:rPr>
        <w:t xml:space="preserve">     （姓名、职</w:t>
      </w:r>
      <w:r>
        <w:rPr>
          <w:rFonts w:hint="eastAsia"/>
          <w:szCs w:val="16"/>
        </w:rPr>
        <w:t>务）经正式授权并代表</w:t>
      </w:r>
      <w:r>
        <w:rPr>
          <w:rFonts w:hint="eastAsia"/>
          <w:i/>
          <w:iCs/>
          <w:szCs w:val="16"/>
          <w:u w:val="single"/>
        </w:rPr>
        <w:t xml:space="preserve">    （供应商名称、地址）</w:t>
      </w:r>
      <w:r>
        <w:rPr>
          <w:rFonts w:hint="eastAsia"/>
          <w:szCs w:val="16"/>
        </w:rPr>
        <w:t>提交下述文件正本份，副本份。</w:t>
      </w:r>
    </w:p>
    <w:p>
      <w:pPr>
        <w:spacing w:line="360" w:lineRule="auto"/>
        <w:ind w:firstLine="437"/>
        <w:rPr>
          <w:b/>
          <w:bCs/>
          <w:szCs w:val="16"/>
        </w:rPr>
      </w:pPr>
      <w:r>
        <w:rPr>
          <w:rFonts w:hint="eastAsia"/>
          <w:b/>
          <w:bCs/>
          <w:szCs w:val="16"/>
        </w:rPr>
        <w:t>1、资格性文件</w:t>
      </w:r>
    </w:p>
    <w:p>
      <w:pPr>
        <w:spacing w:line="360" w:lineRule="auto"/>
        <w:ind w:firstLine="437"/>
        <w:rPr>
          <w:b/>
          <w:bCs/>
          <w:szCs w:val="16"/>
        </w:rPr>
      </w:pPr>
      <w:r>
        <w:rPr>
          <w:rFonts w:hint="eastAsia"/>
          <w:b/>
          <w:bCs/>
          <w:szCs w:val="16"/>
        </w:rPr>
        <w:t>2、商务技术文件</w:t>
      </w:r>
    </w:p>
    <w:p>
      <w:pPr>
        <w:spacing w:line="360" w:lineRule="auto"/>
        <w:ind w:firstLine="437"/>
        <w:rPr>
          <w:b/>
          <w:bCs/>
          <w:szCs w:val="16"/>
        </w:rPr>
      </w:pPr>
      <w:r>
        <w:rPr>
          <w:rFonts w:hint="eastAsia"/>
          <w:b/>
          <w:bCs/>
          <w:szCs w:val="16"/>
        </w:rPr>
        <w:t>3、报价文件</w:t>
      </w:r>
    </w:p>
    <w:p>
      <w:pPr>
        <w:pStyle w:val="41"/>
        <w:ind w:firstLine="482"/>
      </w:pPr>
      <w:r>
        <w:rPr>
          <w:rFonts w:hint="eastAsia"/>
          <w:b/>
          <w:bCs/>
          <w:szCs w:val="16"/>
        </w:rPr>
        <w:t>4、其他文件</w:t>
      </w:r>
    </w:p>
    <w:p>
      <w:pPr>
        <w:spacing w:line="360" w:lineRule="auto"/>
        <w:ind w:firstLine="437"/>
        <w:rPr>
          <w:szCs w:val="16"/>
        </w:rPr>
      </w:pPr>
      <w:r>
        <w:rPr>
          <w:rFonts w:hint="eastAsia"/>
          <w:szCs w:val="16"/>
        </w:rPr>
        <w:t>在此，我方声明如下：</w:t>
      </w:r>
    </w:p>
    <w:p>
      <w:pPr>
        <w:spacing w:line="360" w:lineRule="auto"/>
        <w:ind w:firstLine="437"/>
        <w:rPr>
          <w:szCs w:val="16"/>
        </w:rPr>
      </w:pPr>
      <w:r>
        <w:rPr>
          <w:rFonts w:hint="eastAsia"/>
          <w:szCs w:val="16"/>
        </w:rPr>
        <w:t>1.同意并接受招标文件的各项要求，遵守招标文件中的各项规定，按招标文件的要求提供报价（详见报价文件）。</w:t>
      </w:r>
    </w:p>
    <w:p>
      <w:pPr>
        <w:spacing w:line="360" w:lineRule="auto"/>
        <w:ind w:firstLine="437"/>
        <w:rPr>
          <w:szCs w:val="16"/>
        </w:rPr>
      </w:pPr>
      <w:r>
        <w:rPr>
          <w:rFonts w:hint="eastAsia"/>
          <w:szCs w:val="16"/>
        </w:rPr>
        <w:t>2.本投标有效期为自递交响应文件截止之日起日历日。</w:t>
      </w:r>
    </w:p>
    <w:p>
      <w:pPr>
        <w:spacing w:line="360" w:lineRule="auto"/>
        <w:ind w:firstLine="437"/>
        <w:rPr>
          <w:szCs w:val="16"/>
        </w:rPr>
      </w:pPr>
      <w:r>
        <w:rPr>
          <w:rFonts w:hint="eastAsia"/>
          <w:szCs w:val="16"/>
        </w:rPr>
        <w:t>3.我方已经详细阅读全部招标文件及其附件，包括澄清及参考文件(如果有的话)。我方已完全清晰理解招标文件的要求，不存在任何含糊不清和误解之处，同意放弃对这些文件所提出的异议和质疑的权利。</w:t>
      </w:r>
    </w:p>
    <w:p>
      <w:pPr>
        <w:spacing w:line="360" w:lineRule="auto"/>
        <w:ind w:firstLine="437"/>
        <w:rPr>
          <w:szCs w:val="16"/>
        </w:rPr>
      </w:pPr>
      <w:r>
        <w:rPr>
          <w:rFonts w:hint="eastAsia"/>
          <w:szCs w:val="16"/>
        </w:rPr>
        <w:t>4.我方已毫无保留地向贵方提供一切所需的证明材料。</w:t>
      </w:r>
    </w:p>
    <w:p>
      <w:pPr>
        <w:spacing w:line="360" w:lineRule="auto"/>
        <w:ind w:firstLine="437"/>
        <w:rPr>
          <w:szCs w:val="16"/>
        </w:rPr>
      </w:pPr>
      <w:r>
        <w:rPr>
          <w:rFonts w:hint="eastAsia"/>
          <w:szCs w:val="16"/>
        </w:rPr>
        <w:t>5.我方承诺在本次响应文件中提供的一切文件，无论是原件还是复印件均为真实和准确的，绝无任何虚假、伪造和夸大的成份，否则，愿承担相应的后果和法律责任。</w:t>
      </w:r>
    </w:p>
    <w:p>
      <w:pPr>
        <w:spacing w:line="360" w:lineRule="auto"/>
        <w:ind w:firstLine="437"/>
        <w:rPr>
          <w:szCs w:val="16"/>
        </w:rPr>
      </w:pPr>
      <w:r>
        <w:rPr>
          <w:rFonts w:hint="eastAsia"/>
          <w:szCs w:val="16"/>
        </w:rPr>
        <w:t xml:space="preserve">6.我方完全服从和尊重评委会所作的评定结果，同时清楚理解到报价最低并非意味着必定获得中标资格。 </w:t>
      </w:r>
    </w:p>
    <w:p>
      <w:pPr>
        <w:spacing w:line="360" w:lineRule="auto"/>
        <w:ind w:firstLine="437"/>
        <w:rPr>
          <w:szCs w:val="16"/>
        </w:rPr>
      </w:pPr>
      <w:r>
        <w:rPr>
          <w:rFonts w:hint="eastAsia"/>
          <w:szCs w:val="16"/>
        </w:rPr>
        <w:t>7.我方同意按招标文件规定向采购代理机构缴纳采购服务费。</w:t>
      </w:r>
    </w:p>
    <w:p>
      <w:pPr>
        <w:spacing w:line="360" w:lineRule="auto"/>
        <w:ind w:firstLine="437"/>
        <w:rPr>
          <w:szCs w:val="16"/>
        </w:rPr>
      </w:pPr>
      <w:r>
        <w:rPr>
          <w:rFonts w:hint="eastAsia"/>
          <w:szCs w:val="16"/>
        </w:rPr>
        <w:t>8.按照招标文件的规定履行合同责任和义务。</w:t>
      </w:r>
    </w:p>
    <w:p>
      <w:pPr>
        <w:spacing w:line="360" w:lineRule="auto"/>
        <w:ind w:firstLine="437"/>
        <w:rPr>
          <w:szCs w:val="16"/>
        </w:rPr>
      </w:pPr>
      <w:r>
        <w:rPr>
          <w:rFonts w:hint="eastAsia"/>
          <w:szCs w:val="16"/>
        </w:rPr>
        <w:t>9.我方承诺响应文件中的证明材料真实、合法、有效。</w:t>
      </w:r>
    </w:p>
    <w:p>
      <w:pPr>
        <w:spacing w:line="360" w:lineRule="auto"/>
        <w:ind w:firstLine="437"/>
      </w:pPr>
      <w:r>
        <w:rPr>
          <w:rFonts w:hint="eastAsia"/>
          <w:szCs w:val="16"/>
        </w:rPr>
        <w:t>1</w:t>
      </w:r>
      <w:r>
        <w:rPr>
          <w:szCs w:val="16"/>
        </w:rPr>
        <w:t>0.</w:t>
      </w:r>
      <w:r>
        <w:rPr>
          <w:rFonts w:hint="eastAsia"/>
          <w:szCs w:val="16"/>
        </w:rPr>
        <w:t>我方承诺我司满足</w:t>
      </w:r>
      <w:r>
        <w:rPr>
          <w:rFonts w:hint="eastAsia"/>
        </w:rPr>
        <w:t>《中华人民共和国政府采购法》第二十二条规定：</w:t>
      </w:r>
    </w:p>
    <w:p>
      <w:pPr>
        <w:pStyle w:val="79"/>
        <w:spacing w:line="360" w:lineRule="auto"/>
        <w:ind w:firstLine="360" w:firstLineChars="150"/>
        <w:rPr>
          <w:rFonts w:hAnsi="宋体"/>
        </w:rPr>
      </w:pPr>
      <w:r>
        <w:rPr>
          <w:rFonts w:hint="eastAsia" w:hAnsi="宋体"/>
        </w:rPr>
        <w:t>（1）具有独立承担民事责任的能力；</w:t>
      </w:r>
    </w:p>
    <w:p>
      <w:pPr>
        <w:pStyle w:val="79"/>
        <w:spacing w:line="360" w:lineRule="auto"/>
        <w:ind w:firstLine="360" w:firstLineChars="150"/>
        <w:rPr>
          <w:rFonts w:hAnsi="宋体"/>
        </w:rPr>
      </w:pPr>
      <w:r>
        <w:rPr>
          <w:rFonts w:hint="eastAsia" w:hAnsi="宋体"/>
        </w:rPr>
        <w:t>（2）具有良好的商业信誉和健全的财务会计制度；</w:t>
      </w:r>
    </w:p>
    <w:p>
      <w:pPr>
        <w:pStyle w:val="79"/>
        <w:spacing w:line="360" w:lineRule="auto"/>
        <w:ind w:firstLine="360" w:firstLineChars="150"/>
        <w:rPr>
          <w:rFonts w:hAnsi="宋体"/>
        </w:rPr>
      </w:pPr>
      <w:r>
        <w:rPr>
          <w:rFonts w:hint="eastAsia" w:hAnsi="宋体"/>
        </w:rPr>
        <w:t>（3）具有履行合同所必需的设备和专业技术能力；</w:t>
      </w:r>
    </w:p>
    <w:p>
      <w:pPr>
        <w:pStyle w:val="79"/>
        <w:spacing w:line="360" w:lineRule="auto"/>
        <w:ind w:firstLine="360" w:firstLineChars="150"/>
        <w:rPr>
          <w:rFonts w:hAnsi="宋体"/>
        </w:rPr>
      </w:pPr>
      <w:r>
        <w:rPr>
          <w:rFonts w:hint="eastAsia" w:hAnsi="宋体"/>
        </w:rPr>
        <w:t>（4）有依法缴纳税收和社会保障资金的良好记录；</w:t>
      </w:r>
    </w:p>
    <w:p>
      <w:pPr>
        <w:pStyle w:val="79"/>
        <w:spacing w:line="360" w:lineRule="auto"/>
        <w:ind w:firstLine="360" w:firstLineChars="150"/>
        <w:rPr>
          <w:rFonts w:hAnsi="宋体"/>
        </w:rPr>
      </w:pPr>
      <w:r>
        <w:rPr>
          <w:rFonts w:hint="eastAsia" w:hAnsi="宋体"/>
        </w:rPr>
        <w:t>（5）参加政府采购活动前三年内，在经营活动中没有重大违法记录；</w:t>
      </w:r>
    </w:p>
    <w:p>
      <w:pPr>
        <w:pStyle w:val="79"/>
        <w:spacing w:line="360" w:lineRule="auto"/>
        <w:ind w:firstLine="360" w:firstLineChars="150"/>
      </w:pPr>
      <w:r>
        <w:rPr>
          <w:rFonts w:hint="eastAsia" w:hAnsi="宋体"/>
        </w:rPr>
        <w:t>1</w:t>
      </w:r>
      <w:r>
        <w:rPr>
          <w:rFonts w:hint="eastAsia" w:hAnsi="宋体"/>
          <w:lang w:val="en-US" w:eastAsia="zh-CN"/>
        </w:rPr>
        <w:t>1</w:t>
      </w:r>
      <w:r>
        <w:rPr>
          <w:rFonts w:hAnsi="宋体"/>
        </w:rPr>
        <w:t>.</w:t>
      </w:r>
      <w:r>
        <w:rPr>
          <w:rFonts w:hint="eastAsia" w:hAnsi="宋体"/>
        </w:rPr>
        <w:t>交货期按甲方要求</w:t>
      </w:r>
      <w:r>
        <w:rPr>
          <w:rFonts w:hint="eastAsia"/>
        </w:rPr>
        <w:t>按订单要求分批供货，送至乌鲁木齐市甲方指定交货地点。</w:t>
      </w:r>
    </w:p>
    <w:p>
      <w:pPr>
        <w:pStyle w:val="79"/>
        <w:spacing w:line="360" w:lineRule="auto"/>
        <w:ind w:firstLine="360" w:firstLineChars="150"/>
        <w:rPr>
          <w:rFonts w:hAnsi="宋体"/>
        </w:rPr>
      </w:pPr>
      <w:r>
        <w:rPr>
          <w:rFonts w:hint="eastAsia"/>
        </w:rPr>
        <w:t>1</w:t>
      </w:r>
      <w:r>
        <w:rPr>
          <w:rFonts w:hint="eastAsia"/>
          <w:lang w:val="en-US" w:eastAsia="zh-CN"/>
        </w:rPr>
        <w:t>2</w:t>
      </w:r>
      <w:r>
        <w:t>.</w:t>
      </w:r>
      <w:r>
        <w:rPr>
          <w:rFonts w:hint="eastAsia"/>
        </w:rPr>
        <w:t>项目服务期限：合同签订之日起一年。</w:t>
      </w:r>
    </w:p>
    <w:p>
      <w:pPr>
        <w:spacing w:line="360" w:lineRule="auto"/>
        <w:ind w:firstLine="437"/>
        <w:rPr>
          <w:szCs w:val="16"/>
        </w:rPr>
      </w:pPr>
      <w:r>
        <w:rPr>
          <w:rFonts w:hint="eastAsia"/>
        </w:rPr>
        <w:t>（六）法律、行政法规规定的其他条件；提供承诺书。</w:t>
      </w:r>
    </w:p>
    <w:p>
      <w:pPr>
        <w:spacing w:line="360" w:lineRule="auto"/>
        <w:ind w:firstLine="437"/>
        <w:rPr>
          <w:szCs w:val="16"/>
        </w:rPr>
      </w:pPr>
      <w:r>
        <w:rPr>
          <w:rFonts w:hint="eastAsia"/>
          <w:szCs w:val="16"/>
        </w:rPr>
        <w:t xml:space="preserve">其他事项： </w:t>
      </w:r>
    </w:p>
    <w:p>
      <w:pPr>
        <w:pStyle w:val="32"/>
        <w:ind w:left="480" w:firstLine="480"/>
      </w:pPr>
    </w:p>
    <w:p>
      <w:pPr>
        <w:spacing w:line="720" w:lineRule="auto"/>
        <w:ind w:firstLine="437"/>
        <w:rPr>
          <w:szCs w:val="16"/>
        </w:rPr>
      </w:pPr>
      <w:r>
        <w:rPr>
          <w:rFonts w:hint="eastAsia"/>
          <w:szCs w:val="16"/>
        </w:rPr>
        <w:t>地址：</w:t>
      </w:r>
    </w:p>
    <w:p>
      <w:pPr>
        <w:spacing w:line="720" w:lineRule="auto"/>
        <w:ind w:firstLine="437"/>
        <w:rPr>
          <w:szCs w:val="16"/>
        </w:rPr>
      </w:pPr>
      <w:r>
        <w:rPr>
          <w:rFonts w:hint="eastAsia"/>
          <w:szCs w:val="16"/>
        </w:rPr>
        <w:t>电话：</w:t>
      </w:r>
    </w:p>
    <w:p>
      <w:pPr>
        <w:spacing w:line="720" w:lineRule="auto"/>
        <w:ind w:firstLine="437"/>
        <w:rPr>
          <w:szCs w:val="16"/>
        </w:rPr>
      </w:pPr>
      <w:r>
        <w:rPr>
          <w:rFonts w:hint="eastAsia"/>
          <w:szCs w:val="16"/>
        </w:rPr>
        <w:t>电子邮件：</w:t>
      </w:r>
    </w:p>
    <w:p>
      <w:pPr>
        <w:spacing w:line="720" w:lineRule="auto"/>
        <w:ind w:firstLine="437"/>
        <w:rPr>
          <w:szCs w:val="16"/>
        </w:rPr>
      </w:pPr>
    </w:p>
    <w:p>
      <w:pPr>
        <w:spacing w:line="720" w:lineRule="auto"/>
        <w:ind w:firstLine="437"/>
        <w:rPr>
          <w:szCs w:val="16"/>
        </w:rPr>
      </w:pPr>
    </w:p>
    <w:p>
      <w:pPr>
        <w:spacing w:line="720" w:lineRule="auto"/>
        <w:ind w:firstLine="437"/>
        <w:rPr>
          <w:szCs w:val="16"/>
        </w:rPr>
      </w:pPr>
      <w:r>
        <w:rPr>
          <w:rFonts w:hint="eastAsia"/>
          <w:szCs w:val="16"/>
        </w:rPr>
        <w:t>法定代表人/单位负责人（签字或盖私章）：</w:t>
      </w:r>
    </w:p>
    <w:p>
      <w:pPr>
        <w:spacing w:line="720" w:lineRule="auto"/>
        <w:ind w:firstLine="437"/>
        <w:rPr>
          <w:szCs w:val="16"/>
        </w:rPr>
      </w:pPr>
      <w:r>
        <w:rPr>
          <w:rFonts w:hint="eastAsia"/>
          <w:szCs w:val="16"/>
        </w:rPr>
        <w:t>供应商名称（加盖公章）：</w:t>
      </w:r>
    </w:p>
    <w:p>
      <w:pPr>
        <w:spacing w:line="720" w:lineRule="auto"/>
        <w:ind w:firstLine="437"/>
        <w:rPr>
          <w:szCs w:val="16"/>
        </w:rPr>
      </w:pPr>
      <w:r>
        <w:rPr>
          <w:rFonts w:hint="eastAsia"/>
          <w:szCs w:val="16"/>
        </w:rPr>
        <w:t>日期：年月日</w:t>
      </w:r>
    </w:p>
    <w:p>
      <w:pPr>
        <w:spacing w:line="720" w:lineRule="auto"/>
        <w:rPr>
          <w:szCs w:val="16"/>
        </w:rPr>
      </w:pPr>
      <w:r>
        <w:rPr>
          <w:szCs w:val="16"/>
        </w:rPr>
        <w:br w:type="page"/>
      </w:r>
    </w:p>
    <w:p>
      <w:pPr>
        <w:pStyle w:val="7"/>
        <w:spacing w:before="0" w:after="0" w:line="360" w:lineRule="auto"/>
        <w:rPr>
          <w:sz w:val="24"/>
          <w:szCs w:val="24"/>
        </w:rPr>
      </w:pPr>
      <w:bookmarkStart w:id="40" w:name="_Toc70068632"/>
      <w:r>
        <w:rPr>
          <w:rFonts w:hint="eastAsia"/>
          <w:sz w:val="24"/>
          <w:szCs w:val="24"/>
        </w:rPr>
        <w:t>1</w:t>
      </w:r>
      <w:r>
        <w:rPr>
          <w:sz w:val="24"/>
          <w:szCs w:val="24"/>
        </w:rPr>
        <w:t>.2</w:t>
      </w:r>
      <w:r>
        <w:rPr>
          <w:rFonts w:hint="eastAsia"/>
          <w:sz w:val="24"/>
          <w:szCs w:val="24"/>
        </w:rPr>
        <w:t>、报价文件</w:t>
      </w:r>
    </w:p>
    <w:p>
      <w:pPr>
        <w:pStyle w:val="7"/>
        <w:spacing w:before="0" w:after="0" w:line="360" w:lineRule="auto"/>
        <w:rPr>
          <w:sz w:val="24"/>
          <w:szCs w:val="24"/>
        </w:rPr>
      </w:pPr>
      <w:r>
        <w:rPr>
          <w:sz w:val="24"/>
          <w:szCs w:val="24"/>
        </w:rPr>
        <w:t>1.2.1</w:t>
      </w:r>
      <w:r>
        <w:rPr>
          <w:rFonts w:hint="eastAsia"/>
          <w:sz w:val="24"/>
          <w:szCs w:val="24"/>
        </w:rPr>
        <w:t>报价一览表</w:t>
      </w:r>
      <w:r>
        <w:rPr>
          <w:sz w:val="24"/>
          <w:szCs w:val="24"/>
        </w:rPr>
        <w:t>（</w:t>
      </w:r>
      <w:r>
        <w:rPr>
          <w:rFonts w:hint="eastAsia"/>
          <w:sz w:val="24"/>
          <w:szCs w:val="24"/>
        </w:rPr>
        <w:t>第2包 面粉</w:t>
      </w:r>
      <w:r>
        <w:rPr>
          <w:sz w:val="24"/>
          <w:szCs w:val="24"/>
        </w:rPr>
        <w:t>）</w:t>
      </w:r>
    </w:p>
    <w:p>
      <w:pPr>
        <w:spacing w:line="360" w:lineRule="auto"/>
        <w:rPr>
          <w:szCs w:val="16"/>
          <w:u w:val="single"/>
        </w:rPr>
      </w:pPr>
      <w:r>
        <w:rPr>
          <w:rFonts w:hint="eastAsia"/>
          <w:szCs w:val="16"/>
        </w:rPr>
        <w:t>项目名称： （第2包）；项目编号：</w:t>
      </w:r>
    </w:p>
    <w:tbl>
      <w:tblPr>
        <w:tblStyle w:val="33"/>
        <w:tblpPr w:leftFromText="180" w:rightFromText="180" w:vertAnchor="text" w:horzAnchor="page" w:tblpXSpec="center" w:tblpY="164"/>
        <w:tblOverlap w:val="never"/>
        <w:tblW w:w="9578" w:type="dxa"/>
        <w:jc w:val="center"/>
        <w:tblLayout w:type="fixed"/>
        <w:tblCellMar>
          <w:top w:w="0" w:type="dxa"/>
          <w:left w:w="0" w:type="dxa"/>
          <w:bottom w:w="0" w:type="dxa"/>
          <w:right w:w="0" w:type="dxa"/>
        </w:tblCellMar>
      </w:tblPr>
      <w:tblGrid>
        <w:gridCol w:w="1589"/>
        <w:gridCol w:w="7989"/>
      </w:tblGrid>
      <w:tr>
        <w:trPr>
          <w:trHeight w:val="697" w:hRule="exact"/>
          <w:jc w:val="center"/>
        </w:trPr>
        <w:tc>
          <w:tcPr>
            <w:tcW w:w="1589" w:type="dxa"/>
            <w:tcBorders>
              <w:top w:val="single" w:color="auto" w:sz="8" w:space="0"/>
              <w:left w:val="single" w:color="auto" w:sz="8" w:space="0"/>
              <w:bottom w:val="single" w:color="auto" w:sz="8" w:space="0"/>
              <w:right w:val="single" w:color="auto" w:sz="8" w:space="0"/>
            </w:tcBorders>
            <w:vAlign w:val="center"/>
          </w:tcPr>
          <w:p>
            <w:pPr>
              <w:ind w:right="-72" w:rightChars="-30"/>
              <w:jc w:val="center"/>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供应商名称</w:t>
            </w:r>
          </w:p>
        </w:tc>
        <w:tc>
          <w:tcPr>
            <w:tcW w:w="7989" w:type="dxa"/>
            <w:tcBorders>
              <w:top w:val="single" w:color="auto" w:sz="8" w:space="0"/>
              <w:left w:val="single" w:color="auto" w:sz="8" w:space="0"/>
              <w:bottom w:val="single" w:color="auto" w:sz="8" w:space="0"/>
              <w:right w:val="single" w:color="auto" w:sz="8" w:space="0"/>
            </w:tcBorders>
            <w:vAlign w:val="center"/>
          </w:tcPr>
          <w:p>
            <w:pPr>
              <w:ind w:right="-72" w:rightChars="-30"/>
              <w:jc w:val="center"/>
              <w:rPr>
                <w:rFonts w:asciiTheme="minorEastAsia" w:hAnsiTheme="minorEastAsia" w:eastAsiaTheme="minorEastAsia" w:cstheme="minorEastAsia"/>
                <w:bCs/>
                <w:color w:val="000000"/>
              </w:rPr>
            </w:pPr>
          </w:p>
        </w:tc>
      </w:tr>
      <w:tr>
        <w:tblPrEx>
          <w:tblCellMar>
            <w:top w:w="0" w:type="dxa"/>
            <w:left w:w="0" w:type="dxa"/>
            <w:bottom w:w="0" w:type="dxa"/>
            <w:right w:w="0" w:type="dxa"/>
          </w:tblCellMar>
        </w:tblPrEx>
        <w:trPr>
          <w:trHeight w:val="672" w:hRule="atLeast"/>
          <w:jc w:val="center"/>
        </w:trPr>
        <w:tc>
          <w:tcPr>
            <w:tcW w:w="1589" w:type="dxa"/>
            <w:tcBorders>
              <w:top w:val="single" w:color="auto" w:sz="8" w:space="0"/>
              <w:left w:val="single" w:color="auto" w:sz="8" w:space="0"/>
              <w:right w:val="single" w:color="auto" w:sz="8" w:space="0"/>
            </w:tcBorders>
            <w:vAlign w:val="center"/>
          </w:tcPr>
          <w:p>
            <w:pPr>
              <w:pStyle w:val="79"/>
              <w:jc w:val="center"/>
              <w:rPr>
                <w:rFonts w:asciiTheme="minorEastAsia" w:hAnsiTheme="minorEastAsia" w:eastAsiaTheme="minorEastAsia" w:cstheme="minorEastAsia"/>
                <w:bCs/>
              </w:rPr>
            </w:pPr>
            <w:r>
              <w:rPr>
                <w:rFonts w:hint="eastAsia" w:asciiTheme="minorEastAsia" w:hAnsiTheme="minorEastAsia" w:eastAsiaTheme="minorEastAsia" w:cstheme="minorEastAsia"/>
              </w:rPr>
              <w:t>投标总报价（元）</w:t>
            </w:r>
          </w:p>
        </w:tc>
        <w:tc>
          <w:tcPr>
            <w:tcW w:w="7989" w:type="dxa"/>
            <w:tcBorders>
              <w:top w:val="single" w:color="auto" w:sz="8" w:space="0"/>
              <w:left w:val="single" w:color="auto" w:sz="8" w:space="0"/>
              <w:bottom w:val="single" w:color="auto" w:sz="8" w:space="0"/>
              <w:right w:val="single" w:color="auto" w:sz="8" w:space="0"/>
            </w:tcBorders>
            <w:vAlign w:val="center"/>
          </w:tcPr>
          <w:p>
            <w:pPr>
              <w:ind w:right="-72" w:rightChars="-30"/>
              <w:jc w:val="both"/>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小写：</w:t>
            </w:r>
          </w:p>
          <w:p>
            <w:pPr>
              <w:pStyle w:val="5"/>
              <w:ind w:firstLine="0"/>
              <w:jc w:val="center"/>
              <w:rPr>
                <w:rFonts w:asciiTheme="minorEastAsia" w:hAnsiTheme="minorEastAsia" w:eastAsiaTheme="minorEastAsia" w:cstheme="minorEastAsia"/>
                <w:bCs/>
                <w:color w:val="000000"/>
              </w:rPr>
            </w:pPr>
          </w:p>
          <w:p>
            <w:pPr>
              <w:pStyle w:val="5"/>
              <w:ind w:firstLine="0"/>
              <w:jc w:val="both"/>
            </w:pPr>
            <w:r>
              <w:rPr>
                <w:rFonts w:hint="eastAsia" w:asciiTheme="minorEastAsia" w:hAnsiTheme="minorEastAsia" w:eastAsiaTheme="minorEastAsia" w:cstheme="minorEastAsia"/>
                <w:bCs/>
                <w:color w:val="000000"/>
              </w:rPr>
              <w:t>大写：</w:t>
            </w:r>
          </w:p>
        </w:tc>
      </w:tr>
      <w:tr>
        <w:tblPrEx>
          <w:tblCellMar>
            <w:top w:w="0" w:type="dxa"/>
            <w:left w:w="0" w:type="dxa"/>
            <w:bottom w:w="0" w:type="dxa"/>
            <w:right w:w="0" w:type="dxa"/>
          </w:tblCellMar>
        </w:tblPrEx>
        <w:trPr>
          <w:trHeight w:val="672" w:hRule="atLeast"/>
          <w:jc w:val="center"/>
        </w:trPr>
        <w:tc>
          <w:tcPr>
            <w:tcW w:w="1589" w:type="dxa"/>
            <w:tcBorders>
              <w:top w:val="single" w:color="auto" w:sz="8" w:space="0"/>
              <w:left w:val="single" w:color="auto" w:sz="8" w:space="0"/>
              <w:right w:val="single" w:color="auto" w:sz="8" w:space="0"/>
            </w:tcBorders>
            <w:vAlign w:val="center"/>
          </w:tcPr>
          <w:p>
            <w:pPr>
              <w:pStyle w:val="79"/>
              <w:jc w:val="center"/>
              <w:rPr>
                <w:rFonts w:asciiTheme="minorEastAsia" w:hAnsiTheme="minorEastAsia" w:eastAsiaTheme="minorEastAsia" w:cstheme="minorEastAsia"/>
              </w:rPr>
            </w:pPr>
            <w:r>
              <w:rPr>
                <w:rFonts w:hint="eastAsia" w:asciiTheme="minorEastAsia" w:hAnsiTheme="minorEastAsia" w:eastAsiaTheme="minorEastAsia" w:cstheme="minorEastAsia"/>
              </w:rPr>
              <w:t>供货周期</w:t>
            </w:r>
          </w:p>
        </w:tc>
        <w:tc>
          <w:tcPr>
            <w:tcW w:w="7989" w:type="dxa"/>
            <w:tcBorders>
              <w:top w:val="single" w:color="auto" w:sz="8" w:space="0"/>
              <w:left w:val="single" w:color="auto" w:sz="8" w:space="0"/>
              <w:bottom w:val="single" w:color="auto" w:sz="8" w:space="0"/>
              <w:right w:val="single" w:color="auto" w:sz="8" w:space="0"/>
            </w:tcBorders>
            <w:vAlign w:val="center"/>
          </w:tcPr>
          <w:p>
            <w:pPr>
              <w:pStyle w:val="5"/>
              <w:ind w:firstLine="0"/>
              <w:jc w:val="both"/>
              <w:rPr>
                <w:rFonts w:asciiTheme="minorEastAsia" w:hAnsiTheme="minorEastAsia" w:eastAsiaTheme="minorEastAsia" w:cstheme="minorEastAsia"/>
                <w:bCs/>
                <w:color w:val="000000"/>
              </w:rPr>
            </w:pPr>
            <w:r>
              <w:rPr>
                <w:rFonts w:hint="eastAsia" w:hAnsi="宋体" w:cs="宋体"/>
              </w:rPr>
              <w:t>自合同签订日起一年</w:t>
            </w:r>
          </w:p>
        </w:tc>
      </w:tr>
      <w:tr>
        <w:tblPrEx>
          <w:tblCellMar>
            <w:top w:w="0" w:type="dxa"/>
            <w:left w:w="0" w:type="dxa"/>
            <w:bottom w:w="0" w:type="dxa"/>
            <w:right w:w="0" w:type="dxa"/>
          </w:tblCellMar>
        </w:tblPrEx>
        <w:trPr>
          <w:trHeight w:val="672" w:hRule="atLeast"/>
          <w:jc w:val="center"/>
        </w:trPr>
        <w:tc>
          <w:tcPr>
            <w:tcW w:w="1589" w:type="dxa"/>
            <w:tcBorders>
              <w:top w:val="single" w:color="auto" w:sz="8" w:space="0"/>
              <w:left w:val="single" w:color="auto" w:sz="8" w:space="0"/>
              <w:right w:val="single" w:color="auto" w:sz="8" w:space="0"/>
            </w:tcBorders>
            <w:vAlign w:val="center"/>
          </w:tcPr>
          <w:p>
            <w:pPr>
              <w:pStyle w:val="79"/>
              <w:jc w:val="center"/>
              <w:rPr>
                <w:rFonts w:asciiTheme="minorEastAsia" w:hAnsiTheme="minorEastAsia" w:eastAsiaTheme="minorEastAsia" w:cstheme="minorEastAsia"/>
              </w:rPr>
            </w:pPr>
            <w:r>
              <w:rPr>
                <w:rFonts w:hint="eastAsia"/>
              </w:rPr>
              <w:t>备注</w:t>
            </w:r>
          </w:p>
        </w:tc>
        <w:tc>
          <w:tcPr>
            <w:tcW w:w="7989" w:type="dxa"/>
            <w:tcBorders>
              <w:top w:val="single" w:color="auto" w:sz="8" w:space="0"/>
              <w:left w:val="single" w:color="auto" w:sz="8" w:space="0"/>
              <w:bottom w:val="single" w:color="auto" w:sz="8" w:space="0"/>
              <w:right w:val="single" w:color="auto" w:sz="8" w:space="0"/>
            </w:tcBorders>
            <w:vAlign w:val="center"/>
          </w:tcPr>
          <w:p>
            <w:pPr>
              <w:pStyle w:val="5"/>
              <w:ind w:firstLine="0"/>
              <w:jc w:val="center"/>
              <w:rPr>
                <w:rFonts w:asciiTheme="minorEastAsia" w:hAnsiTheme="minorEastAsia" w:eastAsiaTheme="minorEastAsia" w:cstheme="minorEastAsia"/>
                <w:bCs/>
                <w:color w:val="000000"/>
              </w:rPr>
            </w:pPr>
          </w:p>
        </w:tc>
      </w:tr>
      <w:tr>
        <w:tblPrEx>
          <w:tblCellMar>
            <w:top w:w="0" w:type="dxa"/>
            <w:left w:w="0" w:type="dxa"/>
            <w:bottom w:w="0" w:type="dxa"/>
            <w:right w:w="0" w:type="dxa"/>
          </w:tblCellMar>
        </w:tblPrEx>
        <w:trPr>
          <w:trHeight w:val="2616" w:hRule="exact"/>
          <w:jc w:val="center"/>
        </w:trPr>
        <w:tc>
          <w:tcPr>
            <w:tcW w:w="1589" w:type="dxa"/>
            <w:tcBorders>
              <w:top w:val="single" w:color="auto" w:sz="8" w:space="0"/>
              <w:left w:val="single" w:color="auto" w:sz="8" w:space="0"/>
              <w:bottom w:val="single" w:color="auto" w:sz="8" w:space="0"/>
              <w:right w:val="single" w:color="auto" w:sz="8" w:space="0"/>
            </w:tcBorders>
            <w:vAlign w:val="center"/>
          </w:tcPr>
          <w:p>
            <w:pPr>
              <w:ind w:right="-72" w:rightChars="-30"/>
              <w:jc w:val="center"/>
              <w:rPr>
                <w:rFonts w:asciiTheme="minorEastAsia" w:hAnsiTheme="minorEastAsia" w:eastAsiaTheme="minorEastAsia" w:cstheme="minorEastAsia"/>
                <w:bCs/>
                <w:color w:val="000000"/>
              </w:rPr>
            </w:pPr>
            <w:r>
              <w:rPr>
                <w:rFonts w:hint="eastAsia" w:asciiTheme="minorEastAsia" w:hAnsiTheme="minorEastAsia" w:eastAsiaTheme="minorEastAsia" w:cstheme="minorEastAsia"/>
                <w:bCs/>
                <w:color w:val="000000"/>
              </w:rPr>
              <w:t>备注</w:t>
            </w:r>
          </w:p>
        </w:tc>
        <w:tc>
          <w:tcPr>
            <w:tcW w:w="7989" w:type="dxa"/>
            <w:tcBorders>
              <w:top w:val="single" w:color="auto" w:sz="8" w:space="0"/>
              <w:left w:val="single" w:color="auto" w:sz="8" w:space="0"/>
              <w:bottom w:val="single" w:color="auto" w:sz="8" w:space="0"/>
              <w:right w:val="single" w:color="auto" w:sz="8" w:space="0"/>
            </w:tcBorders>
            <w:vAlign w:val="center"/>
          </w:tcPr>
          <w:p>
            <w:pPr>
              <w:spacing w:line="360" w:lineRule="auto"/>
            </w:pPr>
            <w:r>
              <w:rPr>
                <w:rFonts w:hint="eastAsia"/>
              </w:rPr>
              <w:t>说明：</w:t>
            </w:r>
          </w:p>
          <w:p>
            <w:pPr>
              <w:spacing w:line="360" w:lineRule="auto"/>
            </w:pPr>
            <w:r>
              <w:rPr>
                <w:rFonts w:hint="eastAsia"/>
              </w:rPr>
              <w:t>1</w:t>
            </w:r>
            <w:r>
              <w:t>.</w:t>
            </w:r>
            <w:r>
              <w:rPr>
                <w:rFonts w:hint="eastAsia"/>
              </w:rPr>
              <w:t>报价</w:t>
            </w:r>
            <w:r>
              <w:t>包括全部货品、税费、包装费、运输、装卸等费用，以及己支付或将支付的营业税和其它税费等所有费用</w:t>
            </w:r>
            <w:r>
              <w:rPr>
                <w:rFonts w:hint="eastAsia"/>
              </w:rPr>
              <w:t>。</w:t>
            </w:r>
          </w:p>
          <w:p>
            <w:pPr>
              <w:spacing w:line="360" w:lineRule="auto"/>
            </w:pPr>
            <w:r>
              <w:t>2.报价最多保留两位小数，对于小数点后第三位数字，无论大小，一律按舍去处理。</w:t>
            </w:r>
          </w:p>
        </w:tc>
      </w:tr>
    </w:tbl>
    <w:p>
      <w:pPr>
        <w:spacing w:line="360" w:lineRule="auto"/>
        <w:rPr>
          <w:szCs w:val="16"/>
        </w:rPr>
      </w:pPr>
      <w:r>
        <w:rPr>
          <w:rFonts w:hint="eastAsia"/>
          <w:szCs w:val="16"/>
        </w:rPr>
        <w:t xml:space="preserve">注：1.表中大小写不一致时，以大写为准。     </w:t>
      </w:r>
    </w:p>
    <w:p>
      <w:pPr>
        <w:spacing w:line="360" w:lineRule="auto"/>
        <w:rPr>
          <w:szCs w:val="16"/>
        </w:rPr>
      </w:pPr>
      <w:r>
        <w:rPr>
          <w:rFonts w:hint="eastAsia"/>
          <w:szCs w:val="16"/>
        </w:rPr>
        <w:t xml:space="preserve">    2.此表及报价明细表一式两份，一份用信封单独密封，另一份装订在响应文件正本中，两个表须内容必须一致。 </w:t>
      </w:r>
    </w:p>
    <w:p>
      <w:pPr>
        <w:spacing w:line="600" w:lineRule="auto"/>
        <w:rPr>
          <w:szCs w:val="16"/>
        </w:rPr>
      </w:pPr>
    </w:p>
    <w:p>
      <w:pPr>
        <w:spacing w:line="600" w:lineRule="auto"/>
        <w:rPr>
          <w:szCs w:val="16"/>
        </w:rPr>
      </w:pPr>
      <w:r>
        <w:rPr>
          <w:rFonts w:hint="eastAsia"/>
          <w:szCs w:val="16"/>
        </w:rPr>
        <w:t>供应商法定代表人/授权代表（签字或盖私章）：</w:t>
      </w:r>
    </w:p>
    <w:p>
      <w:pPr>
        <w:spacing w:line="600" w:lineRule="auto"/>
        <w:rPr>
          <w:szCs w:val="16"/>
        </w:rPr>
      </w:pPr>
      <w:r>
        <w:rPr>
          <w:rFonts w:hint="eastAsia"/>
          <w:szCs w:val="16"/>
        </w:rPr>
        <w:t>供应商名称（加盖公章）：</w:t>
      </w:r>
    </w:p>
    <w:p>
      <w:pPr>
        <w:spacing w:line="600" w:lineRule="auto"/>
        <w:rPr>
          <w:szCs w:val="16"/>
        </w:rPr>
      </w:pPr>
      <w:r>
        <w:rPr>
          <w:rFonts w:hint="eastAsia"/>
          <w:szCs w:val="16"/>
        </w:rPr>
        <w:t>日期：年月日</w:t>
      </w:r>
    </w:p>
    <w:p>
      <w:pPr>
        <w:rPr>
          <w:szCs w:val="16"/>
        </w:rPr>
      </w:pPr>
      <w:r>
        <w:rPr>
          <w:rFonts w:hint="eastAsia"/>
          <w:szCs w:val="16"/>
        </w:rPr>
        <w:br w:type="page"/>
      </w:r>
    </w:p>
    <w:p>
      <w:pPr>
        <w:pStyle w:val="7"/>
        <w:spacing w:before="0" w:after="0" w:line="360" w:lineRule="auto"/>
        <w:jc w:val="center"/>
      </w:pPr>
      <w:r>
        <w:rPr>
          <w:rFonts w:hint="eastAsia"/>
        </w:rPr>
        <w:t>（第2包-面粉）报价明细表</w:t>
      </w:r>
    </w:p>
    <w:tbl>
      <w:tblPr>
        <w:tblStyle w:val="33"/>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47"/>
        <w:gridCol w:w="1287"/>
        <w:gridCol w:w="1575"/>
        <w:gridCol w:w="817"/>
        <w:gridCol w:w="943"/>
        <w:gridCol w:w="1127"/>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646" w:type="dxa"/>
            <w:noWrap/>
            <w:vAlign w:val="center"/>
          </w:tcPr>
          <w:p>
            <w:pPr>
              <w:jc w:val="center"/>
              <w:rPr>
                <w:szCs w:val="21"/>
              </w:rPr>
            </w:pPr>
            <w:r>
              <w:rPr>
                <w:rFonts w:hint="eastAsia"/>
                <w:szCs w:val="21"/>
              </w:rPr>
              <w:t>序号</w:t>
            </w:r>
          </w:p>
        </w:tc>
        <w:tc>
          <w:tcPr>
            <w:tcW w:w="1447" w:type="dxa"/>
            <w:noWrap/>
            <w:vAlign w:val="center"/>
          </w:tcPr>
          <w:p>
            <w:pPr>
              <w:jc w:val="center"/>
              <w:rPr>
                <w:szCs w:val="21"/>
              </w:rPr>
            </w:pPr>
            <w:r>
              <w:rPr>
                <w:rFonts w:hint="eastAsia"/>
                <w:szCs w:val="21"/>
              </w:rPr>
              <w:t>原料名称</w:t>
            </w:r>
          </w:p>
        </w:tc>
        <w:tc>
          <w:tcPr>
            <w:tcW w:w="1287" w:type="dxa"/>
            <w:noWrap/>
            <w:vAlign w:val="center"/>
          </w:tcPr>
          <w:p>
            <w:pPr>
              <w:spacing w:line="274" w:lineRule="exact"/>
              <w:jc w:val="center"/>
              <w:rPr>
                <w:szCs w:val="21"/>
              </w:rPr>
            </w:pPr>
            <w:r>
              <w:rPr>
                <w:rFonts w:hint="eastAsia"/>
                <w:szCs w:val="21"/>
              </w:rPr>
              <w:t>品牌</w:t>
            </w:r>
          </w:p>
        </w:tc>
        <w:tc>
          <w:tcPr>
            <w:tcW w:w="1575" w:type="dxa"/>
            <w:noWrap/>
            <w:vAlign w:val="center"/>
          </w:tcPr>
          <w:p>
            <w:pPr>
              <w:spacing w:line="274" w:lineRule="exact"/>
              <w:jc w:val="center"/>
              <w:rPr>
                <w:szCs w:val="21"/>
              </w:rPr>
            </w:pPr>
            <w:r>
              <w:rPr>
                <w:rFonts w:hint="eastAsia"/>
                <w:szCs w:val="21"/>
              </w:rPr>
              <w:t>规格</w:t>
            </w:r>
          </w:p>
        </w:tc>
        <w:tc>
          <w:tcPr>
            <w:tcW w:w="817" w:type="dxa"/>
            <w:noWrap/>
            <w:vAlign w:val="center"/>
          </w:tcPr>
          <w:p>
            <w:pPr>
              <w:spacing w:line="274" w:lineRule="exact"/>
              <w:jc w:val="center"/>
              <w:rPr>
                <w:szCs w:val="21"/>
              </w:rPr>
            </w:pPr>
            <w:r>
              <w:rPr>
                <w:rFonts w:hint="eastAsia"/>
                <w:szCs w:val="21"/>
              </w:rPr>
              <w:t>产地</w:t>
            </w:r>
          </w:p>
        </w:tc>
        <w:tc>
          <w:tcPr>
            <w:tcW w:w="943" w:type="dxa"/>
            <w:noWrap/>
            <w:vAlign w:val="center"/>
          </w:tcPr>
          <w:p>
            <w:pPr>
              <w:spacing w:line="274" w:lineRule="exact"/>
              <w:jc w:val="center"/>
              <w:rPr>
                <w:szCs w:val="21"/>
              </w:rPr>
            </w:pPr>
            <w:r>
              <w:rPr>
                <w:rFonts w:hint="eastAsia"/>
                <w:szCs w:val="21"/>
              </w:rPr>
              <w:t>单价（元）</w:t>
            </w:r>
          </w:p>
        </w:tc>
        <w:tc>
          <w:tcPr>
            <w:tcW w:w="1127" w:type="dxa"/>
            <w:noWrap/>
            <w:vAlign w:val="center"/>
          </w:tcPr>
          <w:p>
            <w:pPr>
              <w:jc w:val="center"/>
              <w:rPr>
                <w:szCs w:val="21"/>
              </w:rPr>
            </w:pPr>
            <w:r>
              <w:rPr>
                <w:rFonts w:hint="eastAsia"/>
                <w:szCs w:val="21"/>
              </w:rPr>
              <w:t>数量</w:t>
            </w:r>
          </w:p>
          <w:p>
            <w:pPr>
              <w:jc w:val="center"/>
              <w:rPr>
                <w:szCs w:val="21"/>
              </w:rPr>
            </w:pPr>
            <w:r>
              <w:rPr>
                <w:rFonts w:hint="eastAsia"/>
                <w:szCs w:val="21"/>
              </w:rPr>
              <w:t>（公斤）</w:t>
            </w:r>
          </w:p>
        </w:tc>
        <w:tc>
          <w:tcPr>
            <w:tcW w:w="1455" w:type="dxa"/>
            <w:noWrap/>
            <w:vAlign w:val="center"/>
          </w:tcPr>
          <w:p>
            <w:pPr>
              <w:autoSpaceDE w:val="0"/>
              <w:autoSpaceDN w:val="0"/>
              <w:adjustRightInd w:val="0"/>
              <w:spacing w:line="360" w:lineRule="auto"/>
              <w:jc w:val="center"/>
              <w:rPr>
                <w:b/>
                <w:bCs/>
                <w:color w:val="000000"/>
                <w:szCs w:val="21"/>
              </w:rPr>
            </w:pPr>
            <w:r>
              <w:rPr>
                <w:rFonts w:hint="eastAsia"/>
                <w:szCs w:val="21"/>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646" w:type="dxa"/>
            <w:noWrap/>
            <w:vAlign w:val="center"/>
          </w:tcPr>
          <w:p>
            <w:pPr>
              <w:autoSpaceDE w:val="0"/>
              <w:autoSpaceDN w:val="0"/>
              <w:adjustRightInd w:val="0"/>
              <w:spacing w:line="360" w:lineRule="auto"/>
              <w:jc w:val="center"/>
              <w:rPr>
                <w:color w:val="000000"/>
                <w:szCs w:val="21"/>
              </w:rPr>
            </w:pPr>
            <w:r>
              <w:rPr>
                <w:rFonts w:hint="eastAsia"/>
                <w:color w:val="000000"/>
                <w:szCs w:val="21"/>
              </w:rPr>
              <w:t>1</w:t>
            </w:r>
          </w:p>
        </w:tc>
        <w:tc>
          <w:tcPr>
            <w:tcW w:w="1447" w:type="dxa"/>
            <w:noWrap/>
            <w:vAlign w:val="center"/>
          </w:tcPr>
          <w:p>
            <w:pPr>
              <w:jc w:val="center"/>
              <w:rPr>
                <w:szCs w:val="21"/>
              </w:rPr>
            </w:pPr>
            <w:r>
              <w:rPr>
                <w:rFonts w:hint="eastAsia"/>
                <w:szCs w:val="21"/>
              </w:rPr>
              <w:t>特一粉</w:t>
            </w:r>
          </w:p>
        </w:tc>
        <w:tc>
          <w:tcPr>
            <w:tcW w:w="1287" w:type="dxa"/>
            <w:noWrap/>
            <w:vAlign w:val="center"/>
          </w:tcPr>
          <w:p>
            <w:pPr>
              <w:autoSpaceDE w:val="0"/>
              <w:autoSpaceDN w:val="0"/>
              <w:adjustRightInd w:val="0"/>
              <w:spacing w:line="360" w:lineRule="auto"/>
              <w:jc w:val="center"/>
              <w:rPr>
                <w:color w:val="000000"/>
                <w:szCs w:val="21"/>
              </w:rPr>
            </w:pPr>
          </w:p>
        </w:tc>
        <w:tc>
          <w:tcPr>
            <w:tcW w:w="1575" w:type="dxa"/>
            <w:noWrap/>
            <w:vAlign w:val="center"/>
          </w:tcPr>
          <w:p>
            <w:pPr>
              <w:autoSpaceDE w:val="0"/>
              <w:autoSpaceDN w:val="0"/>
              <w:adjustRightInd w:val="0"/>
              <w:spacing w:line="360" w:lineRule="auto"/>
              <w:jc w:val="center"/>
              <w:rPr>
                <w:color w:val="000000"/>
                <w:szCs w:val="21"/>
              </w:rPr>
            </w:pPr>
            <w:r>
              <w:rPr>
                <w:rFonts w:hint="eastAsia"/>
                <w:color w:val="000000"/>
                <w:szCs w:val="21"/>
              </w:rPr>
              <w:t>25公斤/每袋</w:t>
            </w:r>
          </w:p>
        </w:tc>
        <w:tc>
          <w:tcPr>
            <w:tcW w:w="817" w:type="dxa"/>
            <w:noWrap/>
            <w:vAlign w:val="center"/>
          </w:tcPr>
          <w:p>
            <w:pPr>
              <w:autoSpaceDE w:val="0"/>
              <w:autoSpaceDN w:val="0"/>
              <w:adjustRightInd w:val="0"/>
              <w:spacing w:line="360" w:lineRule="auto"/>
              <w:jc w:val="center"/>
              <w:rPr>
                <w:color w:val="000000"/>
                <w:szCs w:val="21"/>
              </w:rPr>
            </w:pPr>
          </w:p>
        </w:tc>
        <w:tc>
          <w:tcPr>
            <w:tcW w:w="943" w:type="dxa"/>
            <w:noWrap/>
            <w:vAlign w:val="center"/>
          </w:tcPr>
          <w:p>
            <w:pPr>
              <w:autoSpaceDE w:val="0"/>
              <w:autoSpaceDN w:val="0"/>
              <w:adjustRightInd w:val="0"/>
              <w:spacing w:line="360" w:lineRule="auto"/>
              <w:jc w:val="center"/>
              <w:rPr>
                <w:color w:val="000000"/>
                <w:szCs w:val="21"/>
              </w:rPr>
            </w:pPr>
          </w:p>
        </w:tc>
        <w:tc>
          <w:tcPr>
            <w:tcW w:w="1127" w:type="dxa"/>
            <w:noWrap/>
            <w:vAlign w:val="center"/>
          </w:tcPr>
          <w:p>
            <w:pPr>
              <w:jc w:val="center"/>
              <w:textAlignment w:val="center"/>
              <w:rPr>
                <w:rFonts w:hint="eastAsia" w:ascii="宋体" w:hAnsi="宋体" w:eastAsia="宋体" w:cs="宋体"/>
                <w:color w:val="000000"/>
                <w:sz w:val="24"/>
                <w:szCs w:val="24"/>
                <w:highlight w:val="none"/>
                <w:lang w:val="en-US" w:eastAsia="zh-CN" w:bidi="ar-SA"/>
              </w:rPr>
            </w:pPr>
            <w:r>
              <w:rPr>
                <w:rFonts w:hint="eastAsia"/>
                <w:color w:val="000000"/>
                <w:highlight w:val="none"/>
              </w:rPr>
              <w:t>450000</w:t>
            </w:r>
          </w:p>
        </w:tc>
        <w:tc>
          <w:tcPr>
            <w:tcW w:w="1455" w:type="dxa"/>
            <w:noWrap/>
            <w:vAlign w:val="center"/>
          </w:tcPr>
          <w:p>
            <w:pPr>
              <w:autoSpaceDE w:val="0"/>
              <w:autoSpaceDN w:val="0"/>
              <w:adjustRightInd w:val="0"/>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646" w:type="dxa"/>
            <w:noWrap/>
            <w:vAlign w:val="center"/>
          </w:tcPr>
          <w:p>
            <w:pPr>
              <w:autoSpaceDE w:val="0"/>
              <w:autoSpaceDN w:val="0"/>
              <w:adjustRightInd w:val="0"/>
              <w:spacing w:line="360" w:lineRule="auto"/>
              <w:jc w:val="center"/>
              <w:rPr>
                <w:color w:val="000000"/>
                <w:szCs w:val="21"/>
              </w:rPr>
            </w:pPr>
            <w:r>
              <w:rPr>
                <w:rFonts w:hint="eastAsia"/>
                <w:color w:val="000000"/>
                <w:szCs w:val="21"/>
              </w:rPr>
              <w:t>2</w:t>
            </w:r>
          </w:p>
        </w:tc>
        <w:tc>
          <w:tcPr>
            <w:tcW w:w="1447" w:type="dxa"/>
            <w:noWrap/>
            <w:vAlign w:val="center"/>
          </w:tcPr>
          <w:p>
            <w:pPr>
              <w:jc w:val="center"/>
              <w:rPr>
                <w:szCs w:val="21"/>
              </w:rPr>
            </w:pPr>
            <w:r>
              <w:rPr>
                <w:rFonts w:hint="eastAsia"/>
                <w:szCs w:val="21"/>
              </w:rPr>
              <w:t>高筋粉</w:t>
            </w:r>
          </w:p>
        </w:tc>
        <w:tc>
          <w:tcPr>
            <w:tcW w:w="1287" w:type="dxa"/>
            <w:noWrap/>
            <w:vAlign w:val="center"/>
          </w:tcPr>
          <w:p>
            <w:pPr>
              <w:autoSpaceDE w:val="0"/>
              <w:autoSpaceDN w:val="0"/>
              <w:adjustRightInd w:val="0"/>
              <w:spacing w:line="360" w:lineRule="auto"/>
              <w:jc w:val="center"/>
              <w:rPr>
                <w:color w:val="000000"/>
                <w:szCs w:val="21"/>
              </w:rPr>
            </w:pPr>
          </w:p>
        </w:tc>
        <w:tc>
          <w:tcPr>
            <w:tcW w:w="1575" w:type="dxa"/>
            <w:noWrap/>
            <w:vAlign w:val="center"/>
          </w:tcPr>
          <w:p>
            <w:pPr>
              <w:autoSpaceDE w:val="0"/>
              <w:autoSpaceDN w:val="0"/>
              <w:adjustRightInd w:val="0"/>
              <w:spacing w:line="360" w:lineRule="auto"/>
              <w:jc w:val="center"/>
              <w:rPr>
                <w:color w:val="000000"/>
                <w:szCs w:val="21"/>
              </w:rPr>
            </w:pPr>
            <w:r>
              <w:rPr>
                <w:rFonts w:hint="eastAsia"/>
                <w:color w:val="000000"/>
                <w:szCs w:val="21"/>
              </w:rPr>
              <w:t>25公斤/每袋</w:t>
            </w:r>
          </w:p>
        </w:tc>
        <w:tc>
          <w:tcPr>
            <w:tcW w:w="817" w:type="dxa"/>
            <w:noWrap/>
            <w:vAlign w:val="center"/>
          </w:tcPr>
          <w:p>
            <w:pPr>
              <w:autoSpaceDE w:val="0"/>
              <w:autoSpaceDN w:val="0"/>
              <w:adjustRightInd w:val="0"/>
              <w:spacing w:line="360" w:lineRule="auto"/>
              <w:jc w:val="center"/>
              <w:rPr>
                <w:color w:val="000000"/>
                <w:szCs w:val="21"/>
              </w:rPr>
            </w:pPr>
          </w:p>
        </w:tc>
        <w:tc>
          <w:tcPr>
            <w:tcW w:w="943" w:type="dxa"/>
            <w:noWrap/>
            <w:vAlign w:val="center"/>
          </w:tcPr>
          <w:p>
            <w:pPr>
              <w:autoSpaceDE w:val="0"/>
              <w:autoSpaceDN w:val="0"/>
              <w:adjustRightInd w:val="0"/>
              <w:spacing w:line="360" w:lineRule="auto"/>
              <w:jc w:val="center"/>
              <w:rPr>
                <w:color w:val="000000"/>
                <w:szCs w:val="21"/>
              </w:rPr>
            </w:pPr>
          </w:p>
        </w:tc>
        <w:tc>
          <w:tcPr>
            <w:tcW w:w="1127" w:type="dxa"/>
            <w:noWrap/>
            <w:vAlign w:val="center"/>
          </w:tcPr>
          <w:p>
            <w:pPr>
              <w:jc w:val="center"/>
              <w:textAlignment w:val="center"/>
              <w:rPr>
                <w:rFonts w:hint="eastAsia" w:ascii="宋体" w:hAnsi="宋体" w:eastAsia="宋体" w:cs="宋体"/>
                <w:color w:val="000000"/>
                <w:sz w:val="24"/>
                <w:szCs w:val="24"/>
                <w:highlight w:val="none"/>
                <w:lang w:val="en-US" w:eastAsia="zh-CN" w:bidi="ar-SA"/>
              </w:rPr>
            </w:pPr>
            <w:r>
              <w:rPr>
                <w:rFonts w:hint="eastAsia"/>
                <w:color w:val="000000"/>
                <w:highlight w:val="none"/>
              </w:rPr>
              <w:t>10000</w:t>
            </w:r>
          </w:p>
        </w:tc>
        <w:tc>
          <w:tcPr>
            <w:tcW w:w="1455" w:type="dxa"/>
            <w:noWrap/>
            <w:vAlign w:val="center"/>
          </w:tcPr>
          <w:p>
            <w:pPr>
              <w:autoSpaceDE w:val="0"/>
              <w:autoSpaceDN w:val="0"/>
              <w:adjustRightInd w:val="0"/>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646" w:type="dxa"/>
            <w:noWrap/>
            <w:vAlign w:val="center"/>
          </w:tcPr>
          <w:p>
            <w:pPr>
              <w:autoSpaceDE w:val="0"/>
              <w:autoSpaceDN w:val="0"/>
              <w:adjustRightInd w:val="0"/>
              <w:spacing w:line="360" w:lineRule="auto"/>
              <w:jc w:val="center"/>
              <w:rPr>
                <w:color w:val="000000"/>
                <w:szCs w:val="21"/>
              </w:rPr>
            </w:pPr>
            <w:r>
              <w:rPr>
                <w:rFonts w:hint="eastAsia"/>
                <w:color w:val="000000"/>
                <w:szCs w:val="21"/>
              </w:rPr>
              <w:t>3</w:t>
            </w:r>
          </w:p>
        </w:tc>
        <w:tc>
          <w:tcPr>
            <w:tcW w:w="1447" w:type="dxa"/>
            <w:noWrap/>
            <w:vAlign w:val="center"/>
          </w:tcPr>
          <w:p>
            <w:pPr>
              <w:jc w:val="center"/>
              <w:rPr>
                <w:szCs w:val="21"/>
              </w:rPr>
            </w:pPr>
            <w:r>
              <w:rPr>
                <w:rFonts w:hint="eastAsia"/>
                <w:szCs w:val="21"/>
              </w:rPr>
              <w:t>切面粉</w:t>
            </w:r>
          </w:p>
        </w:tc>
        <w:tc>
          <w:tcPr>
            <w:tcW w:w="1287" w:type="dxa"/>
            <w:noWrap/>
            <w:vAlign w:val="center"/>
          </w:tcPr>
          <w:p>
            <w:pPr>
              <w:autoSpaceDE w:val="0"/>
              <w:autoSpaceDN w:val="0"/>
              <w:adjustRightInd w:val="0"/>
              <w:spacing w:line="360" w:lineRule="auto"/>
              <w:jc w:val="center"/>
              <w:rPr>
                <w:color w:val="000000"/>
                <w:szCs w:val="21"/>
              </w:rPr>
            </w:pPr>
          </w:p>
        </w:tc>
        <w:tc>
          <w:tcPr>
            <w:tcW w:w="1575" w:type="dxa"/>
            <w:noWrap/>
            <w:vAlign w:val="center"/>
          </w:tcPr>
          <w:p>
            <w:pPr>
              <w:autoSpaceDE w:val="0"/>
              <w:autoSpaceDN w:val="0"/>
              <w:adjustRightInd w:val="0"/>
              <w:spacing w:line="360" w:lineRule="auto"/>
              <w:jc w:val="center"/>
              <w:rPr>
                <w:color w:val="000000"/>
                <w:szCs w:val="21"/>
              </w:rPr>
            </w:pPr>
            <w:r>
              <w:rPr>
                <w:rFonts w:hint="eastAsia"/>
                <w:color w:val="000000"/>
                <w:szCs w:val="21"/>
              </w:rPr>
              <w:t>25公斤/每袋</w:t>
            </w:r>
          </w:p>
        </w:tc>
        <w:tc>
          <w:tcPr>
            <w:tcW w:w="817" w:type="dxa"/>
            <w:noWrap/>
            <w:vAlign w:val="center"/>
          </w:tcPr>
          <w:p>
            <w:pPr>
              <w:autoSpaceDE w:val="0"/>
              <w:autoSpaceDN w:val="0"/>
              <w:adjustRightInd w:val="0"/>
              <w:spacing w:line="360" w:lineRule="auto"/>
              <w:jc w:val="center"/>
              <w:rPr>
                <w:color w:val="000000"/>
                <w:szCs w:val="21"/>
              </w:rPr>
            </w:pPr>
          </w:p>
        </w:tc>
        <w:tc>
          <w:tcPr>
            <w:tcW w:w="943" w:type="dxa"/>
            <w:noWrap/>
            <w:vAlign w:val="center"/>
          </w:tcPr>
          <w:p>
            <w:pPr>
              <w:autoSpaceDE w:val="0"/>
              <w:autoSpaceDN w:val="0"/>
              <w:adjustRightInd w:val="0"/>
              <w:spacing w:line="360" w:lineRule="auto"/>
              <w:jc w:val="center"/>
              <w:rPr>
                <w:color w:val="000000"/>
                <w:szCs w:val="21"/>
              </w:rPr>
            </w:pPr>
          </w:p>
        </w:tc>
        <w:tc>
          <w:tcPr>
            <w:tcW w:w="1127" w:type="dxa"/>
            <w:noWrap/>
            <w:vAlign w:val="center"/>
          </w:tcPr>
          <w:p>
            <w:pPr>
              <w:jc w:val="center"/>
              <w:textAlignment w:val="center"/>
              <w:rPr>
                <w:rFonts w:hint="eastAsia" w:ascii="宋体" w:hAnsi="宋体" w:eastAsia="宋体" w:cs="宋体"/>
                <w:color w:val="000000"/>
                <w:sz w:val="24"/>
                <w:szCs w:val="24"/>
                <w:highlight w:val="none"/>
                <w:lang w:val="en-US" w:eastAsia="zh-CN" w:bidi="ar-SA"/>
              </w:rPr>
            </w:pPr>
            <w:r>
              <w:rPr>
                <w:rFonts w:hint="eastAsia"/>
                <w:color w:val="000000"/>
                <w:highlight w:val="none"/>
                <w:lang w:val="en-US" w:eastAsia="zh-CN"/>
              </w:rPr>
              <w:t>24000</w:t>
            </w:r>
          </w:p>
        </w:tc>
        <w:tc>
          <w:tcPr>
            <w:tcW w:w="1455" w:type="dxa"/>
            <w:noWrap/>
            <w:vAlign w:val="center"/>
          </w:tcPr>
          <w:p>
            <w:pPr>
              <w:autoSpaceDE w:val="0"/>
              <w:autoSpaceDN w:val="0"/>
              <w:adjustRightInd w:val="0"/>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646" w:type="dxa"/>
            <w:noWrap/>
            <w:vAlign w:val="center"/>
          </w:tcPr>
          <w:p>
            <w:pPr>
              <w:autoSpaceDE w:val="0"/>
              <w:autoSpaceDN w:val="0"/>
              <w:adjustRightInd w:val="0"/>
              <w:spacing w:line="360" w:lineRule="auto"/>
              <w:jc w:val="center"/>
              <w:rPr>
                <w:color w:val="000000"/>
                <w:szCs w:val="21"/>
              </w:rPr>
            </w:pPr>
            <w:r>
              <w:rPr>
                <w:rFonts w:hint="eastAsia"/>
                <w:color w:val="000000"/>
                <w:szCs w:val="21"/>
              </w:rPr>
              <w:t>4</w:t>
            </w:r>
          </w:p>
        </w:tc>
        <w:tc>
          <w:tcPr>
            <w:tcW w:w="1447" w:type="dxa"/>
            <w:noWrap/>
            <w:vAlign w:val="center"/>
          </w:tcPr>
          <w:p>
            <w:pPr>
              <w:jc w:val="center"/>
              <w:rPr>
                <w:szCs w:val="21"/>
              </w:rPr>
            </w:pPr>
            <w:r>
              <w:rPr>
                <w:rFonts w:hint="eastAsia"/>
                <w:szCs w:val="21"/>
              </w:rPr>
              <w:t>低筋粉</w:t>
            </w:r>
          </w:p>
        </w:tc>
        <w:tc>
          <w:tcPr>
            <w:tcW w:w="1287" w:type="dxa"/>
            <w:noWrap/>
            <w:vAlign w:val="center"/>
          </w:tcPr>
          <w:p>
            <w:pPr>
              <w:autoSpaceDE w:val="0"/>
              <w:autoSpaceDN w:val="0"/>
              <w:adjustRightInd w:val="0"/>
              <w:spacing w:line="360" w:lineRule="auto"/>
              <w:jc w:val="center"/>
              <w:rPr>
                <w:color w:val="000000"/>
                <w:szCs w:val="21"/>
              </w:rPr>
            </w:pPr>
          </w:p>
        </w:tc>
        <w:tc>
          <w:tcPr>
            <w:tcW w:w="1575" w:type="dxa"/>
            <w:noWrap/>
            <w:vAlign w:val="center"/>
          </w:tcPr>
          <w:p>
            <w:pPr>
              <w:autoSpaceDE w:val="0"/>
              <w:autoSpaceDN w:val="0"/>
              <w:adjustRightInd w:val="0"/>
              <w:spacing w:line="360" w:lineRule="auto"/>
              <w:jc w:val="center"/>
              <w:rPr>
                <w:color w:val="000000"/>
                <w:szCs w:val="21"/>
              </w:rPr>
            </w:pPr>
            <w:r>
              <w:rPr>
                <w:rFonts w:hint="eastAsia"/>
                <w:color w:val="000000"/>
                <w:szCs w:val="21"/>
              </w:rPr>
              <w:t>25公斤/每袋</w:t>
            </w:r>
          </w:p>
        </w:tc>
        <w:tc>
          <w:tcPr>
            <w:tcW w:w="817" w:type="dxa"/>
            <w:noWrap/>
            <w:vAlign w:val="center"/>
          </w:tcPr>
          <w:p>
            <w:pPr>
              <w:autoSpaceDE w:val="0"/>
              <w:autoSpaceDN w:val="0"/>
              <w:adjustRightInd w:val="0"/>
              <w:spacing w:line="360" w:lineRule="auto"/>
              <w:jc w:val="center"/>
              <w:rPr>
                <w:color w:val="000000"/>
                <w:szCs w:val="21"/>
              </w:rPr>
            </w:pPr>
          </w:p>
        </w:tc>
        <w:tc>
          <w:tcPr>
            <w:tcW w:w="943" w:type="dxa"/>
            <w:noWrap/>
            <w:vAlign w:val="center"/>
          </w:tcPr>
          <w:p>
            <w:pPr>
              <w:autoSpaceDE w:val="0"/>
              <w:autoSpaceDN w:val="0"/>
              <w:adjustRightInd w:val="0"/>
              <w:spacing w:line="360" w:lineRule="auto"/>
              <w:jc w:val="center"/>
              <w:rPr>
                <w:color w:val="000000"/>
                <w:szCs w:val="21"/>
              </w:rPr>
            </w:pPr>
          </w:p>
        </w:tc>
        <w:tc>
          <w:tcPr>
            <w:tcW w:w="1127" w:type="dxa"/>
            <w:noWrap/>
            <w:vAlign w:val="center"/>
          </w:tcPr>
          <w:p>
            <w:pPr>
              <w:jc w:val="center"/>
              <w:textAlignment w:val="center"/>
              <w:rPr>
                <w:rFonts w:hint="eastAsia" w:ascii="宋体" w:hAnsi="宋体" w:eastAsia="宋体" w:cs="宋体"/>
                <w:color w:val="000000"/>
                <w:sz w:val="24"/>
                <w:szCs w:val="24"/>
                <w:highlight w:val="none"/>
                <w:lang w:val="en-US" w:eastAsia="zh-CN" w:bidi="ar-SA"/>
              </w:rPr>
            </w:pPr>
            <w:r>
              <w:rPr>
                <w:rFonts w:hint="eastAsia"/>
                <w:color w:val="000000"/>
                <w:highlight w:val="none"/>
                <w:lang w:val="en-US" w:eastAsia="zh-CN"/>
              </w:rPr>
              <w:t>1000</w:t>
            </w:r>
          </w:p>
        </w:tc>
        <w:tc>
          <w:tcPr>
            <w:tcW w:w="1455" w:type="dxa"/>
            <w:noWrap/>
            <w:vAlign w:val="center"/>
          </w:tcPr>
          <w:p>
            <w:pPr>
              <w:autoSpaceDE w:val="0"/>
              <w:autoSpaceDN w:val="0"/>
              <w:adjustRightInd w:val="0"/>
              <w:spacing w:line="360" w:lineRule="auto"/>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646" w:type="dxa"/>
            <w:noWrap/>
            <w:vAlign w:val="center"/>
          </w:tcPr>
          <w:p>
            <w:pPr>
              <w:autoSpaceDE w:val="0"/>
              <w:autoSpaceDN w:val="0"/>
              <w:adjustRightInd w:val="0"/>
              <w:spacing w:line="360" w:lineRule="auto"/>
              <w:jc w:val="center"/>
              <w:rPr>
                <w:color w:val="000000"/>
                <w:szCs w:val="21"/>
              </w:rPr>
            </w:pPr>
            <w:r>
              <w:rPr>
                <w:rFonts w:hint="eastAsia"/>
                <w:color w:val="000000"/>
                <w:szCs w:val="21"/>
              </w:rPr>
              <w:t>5</w:t>
            </w:r>
          </w:p>
        </w:tc>
        <w:tc>
          <w:tcPr>
            <w:tcW w:w="1447" w:type="dxa"/>
            <w:noWrap/>
            <w:vAlign w:val="center"/>
          </w:tcPr>
          <w:p>
            <w:pPr>
              <w:jc w:val="center"/>
              <w:rPr>
                <w:szCs w:val="21"/>
              </w:rPr>
            </w:pPr>
            <w:r>
              <w:rPr>
                <w:rFonts w:hint="eastAsia"/>
                <w:szCs w:val="21"/>
              </w:rPr>
              <w:t>全麦面粉</w:t>
            </w:r>
          </w:p>
        </w:tc>
        <w:tc>
          <w:tcPr>
            <w:tcW w:w="1287" w:type="dxa"/>
            <w:noWrap/>
            <w:vAlign w:val="center"/>
          </w:tcPr>
          <w:p>
            <w:pPr>
              <w:autoSpaceDE w:val="0"/>
              <w:autoSpaceDN w:val="0"/>
              <w:adjustRightInd w:val="0"/>
              <w:spacing w:line="360" w:lineRule="auto"/>
              <w:jc w:val="center"/>
              <w:rPr>
                <w:color w:val="000000"/>
                <w:szCs w:val="21"/>
              </w:rPr>
            </w:pPr>
          </w:p>
        </w:tc>
        <w:tc>
          <w:tcPr>
            <w:tcW w:w="1575" w:type="dxa"/>
            <w:noWrap/>
            <w:vAlign w:val="center"/>
          </w:tcPr>
          <w:p>
            <w:pPr>
              <w:autoSpaceDE w:val="0"/>
              <w:autoSpaceDN w:val="0"/>
              <w:adjustRightInd w:val="0"/>
              <w:spacing w:line="360" w:lineRule="auto"/>
              <w:jc w:val="center"/>
              <w:rPr>
                <w:color w:val="000000"/>
                <w:szCs w:val="21"/>
              </w:rPr>
            </w:pPr>
            <w:r>
              <w:rPr>
                <w:rFonts w:hint="eastAsia"/>
                <w:color w:val="000000"/>
                <w:szCs w:val="21"/>
              </w:rPr>
              <w:t>25公斤/每袋</w:t>
            </w:r>
          </w:p>
        </w:tc>
        <w:tc>
          <w:tcPr>
            <w:tcW w:w="817" w:type="dxa"/>
            <w:noWrap/>
            <w:vAlign w:val="center"/>
          </w:tcPr>
          <w:p>
            <w:pPr>
              <w:autoSpaceDE w:val="0"/>
              <w:autoSpaceDN w:val="0"/>
              <w:adjustRightInd w:val="0"/>
              <w:spacing w:line="360" w:lineRule="auto"/>
              <w:jc w:val="center"/>
              <w:rPr>
                <w:color w:val="000000"/>
                <w:szCs w:val="21"/>
              </w:rPr>
            </w:pPr>
          </w:p>
        </w:tc>
        <w:tc>
          <w:tcPr>
            <w:tcW w:w="943" w:type="dxa"/>
            <w:noWrap/>
            <w:vAlign w:val="center"/>
          </w:tcPr>
          <w:p>
            <w:pPr>
              <w:autoSpaceDE w:val="0"/>
              <w:autoSpaceDN w:val="0"/>
              <w:adjustRightInd w:val="0"/>
              <w:spacing w:line="360" w:lineRule="auto"/>
              <w:jc w:val="center"/>
              <w:rPr>
                <w:color w:val="000000"/>
                <w:szCs w:val="21"/>
              </w:rPr>
            </w:pPr>
          </w:p>
        </w:tc>
        <w:tc>
          <w:tcPr>
            <w:tcW w:w="1127" w:type="dxa"/>
            <w:noWrap/>
            <w:vAlign w:val="center"/>
          </w:tcPr>
          <w:p>
            <w:pPr>
              <w:jc w:val="center"/>
              <w:textAlignment w:val="center"/>
              <w:rPr>
                <w:rFonts w:hint="eastAsia" w:ascii="宋体" w:hAnsi="宋体" w:eastAsia="宋体" w:cs="宋体"/>
                <w:color w:val="000000"/>
                <w:sz w:val="24"/>
                <w:szCs w:val="24"/>
                <w:highlight w:val="none"/>
                <w:lang w:val="en-US" w:eastAsia="zh-CN" w:bidi="ar-SA"/>
              </w:rPr>
            </w:pPr>
            <w:r>
              <w:rPr>
                <w:rFonts w:hint="eastAsia"/>
                <w:strike w:val="0"/>
                <w:dstrike w:val="0"/>
                <w:color w:val="000000"/>
                <w:highlight w:val="none"/>
                <w:lang w:val="en-US" w:eastAsia="zh-CN"/>
              </w:rPr>
              <w:t>1180</w:t>
            </w:r>
          </w:p>
        </w:tc>
        <w:tc>
          <w:tcPr>
            <w:tcW w:w="1455" w:type="dxa"/>
            <w:noWrap/>
            <w:vAlign w:val="center"/>
          </w:tcPr>
          <w:p>
            <w:pPr>
              <w:autoSpaceDE w:val="0"/>
              <w:autoSpaceDN w:val="0"/>
              <w:adjustRightInd w:val="0"/>
              <w:spacing w:line="360" w:lineRule="auto"/>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2093" w:type="dxa"/>
            <w:gridSpan w:val="2"/>
            <w:noWrap/>
            <w:vAlign w:val="center"/>
          </w:tcPr>
          <w:p>
            <w:pPr>
              <w:spacing w:line="360" w:lineRule="auto"/>
              <w:jc w:val="center"/>
              <w:rPr>
                <w:bCs/>
                <w:szCs w:val="21"/>
              </w:rPr>
            </w:pPr>
            <w:r>
              <w:rPr>
                <w:rFonts w:hint="eastAsia"/>
                <w:szCs w:val="21"/>
              </w:rPr>
              <w:t>投标报价</w:t>
            </w:r>
          </w:p>
        </w:tc>
        <w:tc>
          <w:tcPr>
            <w:tcW w:w="7204" w:type="dxa"/>
            <w:gridSpan w:val="6"/>
            <w:noWrap/>
            <w:vAlign w:val="center"/>
          </w:tcPr>
          <w:p>
            <w:pPr>
              <w:autoSpaceDE w:val="0"/>
              <w:autoSpaceDN w:val="0"/>
              <w:adjustRightInd w:val="0"/>
              <w:spacing w:line="360" w:lineRule="auto"/>
              <w:rPr>
                <w:szCs w:val="21"/>
              </w:rPr>
            </w:pPr>
          </w:p>
        </w:tc>
      </w:tr>
    </w:tbl>
    <w:p>
      <w:pPr>
        <w:adjustRightInd w:val="0"/>
        <w:snapToGrid w:val="0"/>
        <w:spacing w:line="360" w:lineRule="auto"/>
        <w:ind w:right="24"/>
        <w:rPr>
          <w:b/>
          <w:bCs/>
        </w:rPr>
      </w:pPr>
      <w:r>
        <w:rPr>
          <w:rFonts w:hint="eastAsia"/>
          <w:b/>
          <w:bCs/>
        </w:rPr>
        <w:t>注：</w:t>
      </w:r>
    </w:p>
    <w:p>
      <w:pPr>
        <w:adjustRightInd w:val="0"/>
        <w:snapToGrid w:val="0"/>
        <w:spacing w:line="360" w:lineRule="auto"/>
        <w:ind w:right="24"/>
        <w:rPr>
          <w:b/>
          <w:bCs/>
        </w:rPr>
      </w:pPr>
      <w:r>
        <w:rPr>
          <w:rFonts w:hint="eastAsia"/>
          <w:b/>
          <w:bCs/>
        </w:rPr>
        <w:t>1、报价如修改，应在修改处加盖单位公章或者由法定代表人或授权委托人签字或盖章，否则其响应文件作无效标处理。</w:t>
      </w:r>
    </w:p>
    <w:p>
      <w:pPr>
        <w:adjustRightInd w:val="0"/>
        <w:snapToGrid w:val="0"/>
        <w:spacing w:line="360" w:lineRule="auto"/>
        <w:ind w:right="24"/>
        <w:rPr>
          <w:b/>
          <w:bCs/>
        </w:rPr>
      </w:pPr>
      <w:r>
        <w:rPr>
          <w:rFonts w:hint="eastAsia"/>
          <w:b/>
          <w:bCs/>
        </w:rPr>
        <w:t>2、项目须附详细的报价明细表，报价明细表中金额和开标一览表金额一致。</w:t>
      </w:r>
    </w:p>
    <w:p>
      <w:pPr>
        <w:adjustRightInd w:val="0"/>
        <w:snapToGrid w:val="0"/>
        <w:spacing w:line="360" w:lineRule="auto"/>
        <w:ind w:right="24"/>
        <w:rPr>
          <w:b/>
          <w:bCs/>
        </w:rPr>
      </w:pPr>
      <w:r>
        <w:rPr>
          <w:rFonts w:hint="eastAsia"/>
          <w:b/>
          <w:bCs/>
        </w:rPr>
        <w:t>3</w:t>
      </w:r>
      <w:r>
        <w:rPr>
          <w:b/>
          <w:bCs/>
        </w:rPr>
        <w:t>、本表表格不够时投标人自行添加表格。</w:t>
      </w:r>
    </w:p>
    <w:p>
      <w:pPr>
        <w:adjustRightInd w:val="0"/>
        <w:snapToGrid w:val="0"/>
        <w:spacing w:line="360" w:lineRule="auto"/>
        <w:ind w:right="24"/>
        <w:rPr>
          <w:b/>
          <w:bCs/>
        </w:rPr>
      </w:pPr>
      <w:r>
        <w:rPr>
          <w:rFonts w:hint="eastAsia"/>
          <w:b/>
          <w:bCs/>
        </w:rPr>
        <w:t>4</w:t>
      </w:r>
      <w:r>
        <w:rPr>
          <w:b/>
          <w:bCs/>
        </w:rPr>
        <w:t>、投标人所投标应符合验收标准，不允许</w:t>
      </w:r>
      <w:r>
        <w:rPr>
          <w:rFonts w:hint="eastAsia"/>
          <w:b/>
          <w:bCs/>
          <w:lang w:eastAsia="zh-CN"/>
        </w:rPr>
        <w:t>负偏离</w:t>
      </w:r>
      <w:r>
        <w:rPr>
          <w:b/>
          <w:bCs/>
        </w:rPr>
        <w:t>。</w:t>
      </w:r>
    </w:p>
    <w:p>
      <w:pPr>
        <w:spacing w:line="720" w:lineRule="auto"/>
        <w:rPr>
          <w:szCs w:val="16"/>
        </w:rPr>
      </w:pPr>
    </w:p>
    <w:p>
      <w:pPr>
        <w:spacing w:line="720" w:lineRule="auto"/>
        <w:rPr>
          <w:szCs w:val="16"/>
        </w:rPr>
      </w:pPr>
    </w:p>
    <w:p>
      <w:pPr>
        <w:spacing w:line="720" w:lineRule="auto"/>
        <w:rPr>
          <w:szCs w:val="16"/>
        </w:rPr>
      </w:pPr>
      <w:r>
        <w:rPr>
          <w:rFonts w:hint="eastAsia"/>
          <w:szCs w:val="16"/>
        </w:rPr>
        <w:t>供应商法定代表人/授权代表（签字或盖私章）：</w:t>
      </w:r>
    </w:p>
    <w:p>
      <w:pPr>
        <w:spacing w:line="720" w:lineRule="auto"/>
        <w:rPr>
          <w:szCs w:val="16"/>
        </w:rPr>
      </w:pPr>
      <w:r>
        <w:rPr>
          <w:rFonts w:hint="eastAsia"/>
          <w:szCs w:val="16"/>
        </w:rPr>
        <w:t>供应商名称（加盖公章）：</w:t>
      </w:r>
    </w:p>
    <w:p>
      <w:pPr>
        <w:spacing w:line="720" w:lineRule="auto"/>
        <w:rPr>
          <w:szCs w:val="16"/>
        </w:rPr>
      </w:pPr>
      <w:r>
        <w:rPr>
          <w:rFonts w:hint="eastAsia"/>
          <w:szCs w:val="16"/>
        </w:rPr>
        <w:t>日期：年月日</w:t>
      </w:r>
    </w:p>
    <w:bookmarkEnd w:id="40"/>
    <w:p>
      <w:bookmarkStart w:id="41" w:name="_Toc259090997"/>
      <w:bookmarkStart w:id="42" w:name="_Toc462677250"/>
      <w:bookmarkStart w:id="43" w:name="_Toc425161128"/>
      <w:bookmarkStart w:id="44" w:name="_Toc462677251"/>
      <w:r>
        <w:br w:type="page"/>
      </w:r>
    </w:p>
    <w:bookmarkEnd w:id="41"/>
    <w:bookmarkEnd w:id="42"/>
    <w:bookmarkEnd w:id="43"/>
    <w:bookmarkEnd w:id="44"/>
    <w:p>
      <w:pPr>
        <w:pStyle w:val="7"/>
        <w:spacing w:before="0" w:after="0" w:line="360" w:lineRule="auto"/>
        <w:rPr>
          <w:sz w:val="24"/>
          <w:szCs w:val="24"/>
        </w:rPr>
      </w:pPr>
      <w:bookmarkStart w:id="45" w:name="_Toc67046919"/>
      <w:bookmarkStart w:id="46" w:name="_Toc70068633"/>
      <w:bookmarkStart w:id="47" w:name="_Toc36625609"/>
      <w:r>
        <w:rPr>
          <w:sz w:val="24"/>
          <w:szCs w:val="24"/>
        </w:rPr>
        <w:t>1.2.2</w:t>
      </w:r>
      <w:r>
        <w:rPr>
          <w:rFonts w:hint="eastAsia"/>
          <w:sz w:val="24"/>
          <w:szCs w:val="24"/>
        </w:rPr>
        <w:t>节能产品明细表（样表，如有）</w:t>
      </w:r>
    </w:p>
    <w:p>
      <w:pPr>
        <w:autoSpaceDE w:val="0"/>
        <w:autoSpaceDN w:val="0"/>
        <w:adjustRightInd w:val="0"/>
        <w:spacing w:line="600" w:lineRule="exact"/>
        <w:ind w:firstLine="482" w:firstLineChars="200"/>
        <w:jc w:val="center"/>
        <w:rPr>
          <w:b/>
          <w:bCs/>
        </w:rPr>
      </w:pPr>
      <w:r>
        <w:rPr>
          <w:rFonts w:hint="eastAsia"/>
          <w:b/>
          <w:bCs/>
        </w:rPr>
        <w:t>节能产品明细表</w:t>
      </w:r>
    </w:p>
    <w:p>
      <w:pPr>
        <w:autoSpaceDE w:val="0"/>
        <w:autoSpaceDN w:val="0"/>
        <w:adjustRightInd w:val="0"/>
        <w:spacing w:line="600" w:lineRule="exact"/>
      </w:pPr>
      <w:r>
        <w:rPr>
          <w:rFonts w:hint="eastAsia"/>
          <w:szCs w:val="16"/>
        </w:rPr>
        <w:t>项目名称（</w:t>
      </w:r>
      <w:r>
        <w:rPr>
          <w:rFonts w:hint="eastAsia"/>
          <w:i/>
          <w:iCs/>
          <w:color w:val="FF0000"/>
          <w:szCs w:val="16"/>
        </w:rPr>
        <w:t>第X包</w:t>
      </w:r>
      <w:r>
        <w:rPr>
          <w:rFonts w:hint="eastAsia"/>
          <w:szCs w:val="16"/>
        </w:rPr>
        <w:t>）：                                 项目编号： </w:t>
      </w:r>
    </w:p>
    <w:tbl>
      <w:tblPr>
        <w:tblStyle w:val="33"/>
        <w:tblpPr w:leftFromText="180" w:rightFromText="180" w:vertAnchor="text" w:horzAnchor="margin" w:tblpXSpec="center" w:tblpY="6"/>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577"/>
        <w:gridCol w:w="2717"/>
        <w:gridCol w:w="855"/>
        <w:gridCol w:w="95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7" w:type="dxa"/>
            <w:vMerge w:val="restart"/>
            <w:tcBorders>
              <w:top w:val="single" w:color="auto" w:sz="12" w:space="0"/>
              <w:left w:val="single" w:color="auto" w:sz="12" w:space="0"/>
            </w:tcBorders>
            <w:vAlign w:val="center"/>
          </w:tcPr>
          <w:p>
            <w:pPr>
              <w:spacing w:line="360" w:lineRule="auto"/>
              <w:rPr>
                <w:szCs w:val="16"/>
              </w:rPr>
            </w:pPr>
            <w:r>
              <w:rPr>
                <w:rFonts w:hint="eastAsia"/>
                <w:szCs w:val="16"/>
              </w:rPr>
              <w:t>编号</w:t>
            </w:r>
          </w:p>
        </w:tc>
        <w:tc>
          <w:tcPr>
            <w:tcW w:w="1843" w:type="dxa"/>
            <w:vMerge w:val="restart"/>
            <w:tcBorders>
              <w:top w:val="single" w:color="auto" w:sz="12" w:space="0"/>
            </w:tcBorders>
            <w:vAlign w:val="center"/>
          </w:tcPr>
          <w:p>
            <w:pPr>
              <w:spacing w:line="360" w:lineRule="auto"/>
              <w:rPr>
                <w:szCs w:val="16"/>
              </w:rPr>
            </w:pPr>
            <w:r>
              <w:rPr>
                <w:rFonts w:hint="eastAsia"/>
                <w:szCs w:val="16"/>
              </w:rPr>
              <w:t>货物名称</w:t>
            </w:r>
          </w:p>
        </w:tc>
        <w:tc>
          <w:tcPr>
            <w:tcW w:w="1577" w:type="dxa"/>
            <w:vMerge w:val="restart"/>
            <w:tcBorders>
              <w:top w:val="single" w:color="auto" w:sz="12" w:space="0"/>
            </w:tcBorders>
            <w:vAlign w:val="center"/>
          </w:tcPr>
          <w:p>
            <w:pPr>
              <w:spacing w:line="360" w:lineRule="auto"/>
              <w:rPr>
                <w:szCs w:val="16"/>
              </w:rPr>
            </w:pPr>
            <w:r>
              <w:rPr>
                <w:rFonts w:hint="eastAsia"/>
                <w:szCs w:val="16"/>
              </w:rPr>
              <w:t>规格型号</w:t>
            </w:r>
          </w:p>
        </w:tc>
        <w:tc>
          <w:tcPr>
            <w:tcW w:w="2717" w:type="dxa"/>
            <w:vMerge w:val="restart"/>
            <w:tcBorders>
              <w:top w:val="single" w:color="auto" w:sz="12" w:space="0"/>
            </w:tcBorders>
            <w:vAlign w:val="center"/>
          </w:tcPr>
          <w:p>
            <w:pPr>
              <w:spacing w:line="360" w:lineRule="auto"/>
              <w:rPr>
                <w:szCs w:val="16"/>
              </w:rPr>
            </w:pPr>
            <w:r>
              <w:rPr>
                <w:rFonts w:hint="eastAsia"/>
                <w:szCs w:val="16"/>
              </w:rPr>
              <w:t>节字标志认证证书编号</w:t>
            </w:r>
          </w:p>
        </w:tc>
        <w:tc>
          <w:tcPr>
            <w:tcW w:w="2765" w:type="dxa"/>
            <w:gridSpan w:val="3"/>
            <w:tcBorders>
              <w:top w:val="single" w:color="auto" w:sz="12" w:space="0"/>
              <w:right w:val="single" w:color="auto" w:sz="12" w:space="0"/>
            </w:tcBorders>
            <w:vAlign w:val="center"/>
          </w:tcPr>
          <w:p>
            <w:pPr>
              <w:spacing w:line="360" w:lineRule="auto"/>
              <w:ind w:firstLine="960" w:firstLineChars="400"/>
              <w:rPr>
                <w:szCs w:val="16"/>
              </w:rPr>
            </w:pPr>
            <w:r>
              <w:rPr>
                <w:rFonts w:hint="eastAsia"/>
                <w:szCs w:val="16"/>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7" w:type="dxa"/>
            <w:vMerge w:val="continue"/>
            <w:tcBorders>
              <w:left w:val="single" w:color="auto" w:sz="12" w:space="0"/>
            </w:tcBorders>
            <w:vAlign w:val="center"/>
          </w:tcPr>
          <w:p>
            <w:pPr>
              <w:spacing w:line="360" w:lineRule="auto"/>
              <w:rPr>
                <w:szCs w:val="16"/>
              </w:rPr>
            </w:pPr>
          </w:p>
        </w:tc>
        <w:tc>
          <w:tcPr>
            <w:tcW w:w="1843" w:type="dxa"/>
            <w:vMerge w:val="continue"/>
            <w:vAlign w:val="center"/>
          </w:tcPr>
          <w:p>
            <w:pPr>
              <w:spacing w:line="360" w:lineRule="auto"/>
              <w:rPr>
                <w:szCs w:val="16"/>
              </w:rPr>
            </w:pPr>
          </w:p>
        </w:tc>
        <w:tc>
          <w:tcPr>
            <w:tcW w:w="1577" w:type="dxa"/>
            <w:vMerge w:val="continue"/>
            <w:vAlign w:val="center"/>
          </w:tcPr>
          <w:p>
            <w:pPr>
              <w:spacing w:line="360" w:lineRule="auto"/>
              <w:rPr>
                <w:szCs w:val="16"/>
              </w:rPr>
            </w:pPr>
          </w:p>
        </w:tc>
        <w:tc>
          <w:tcPr>
            <w:tcW w:w="2717" w:type="dxa"/>
            <w:vMerge w:val="continue"/>
            <w:vAlign w:val="center"/>
          </w:tcPr>
          <w:p>
            <w:pPr>
              <w:spacing w:line="360" w:lineRule="auto"/>
              <w:rPr>
                <w:szCs w:val="16"/>
              </w:rPr>
            </w:pPr>
          </w:p>
        </w:tc>
        <w:tc>
          <w:tcPr>
            <w:tcW w:w="855" w:type="dxa"/>
            <w:vAlign w:val="center"/>
          </w:tcPr>
          <w:p>
            <w:pPr>
              <w:spacing w:line="360" w:lineRule="auto"/>
              <w:rPr>
                <w:szCs w:val="16"/>
              </w:rPr>
            </w:pPr>
            <w:r>
              <w:rPr>
                <w:rFonts w:hint="eastAsia"/>
                <w:szCs w:val="16"/>
              </w:rPr>
              <w:t>单价</w:t>
            </w:r>
          </w:p>
        </w:tc>
        <w:tc>
          <w:tcPr>
            <w:tcW w:w="955" w:type="dxa"/>
            <w:vAlign w:val="center"/>
          </w:tcPr>
          <w:p>
            <w:pPr>
              <w:spacing w:line="360" w:lineRule="auto"/>
              <w:rPr>
                <w:szCs w:val="16"/>
              </w:rPr>
            </w:pPr>
            <w:r>
              <w:rPr>
                <w:rFonts w:hint="eastAsia"/>
                <w:szCs w:val="16"/>
              </w:rPr>
              <w:t>数量</w:t>
            </w:r>
          </w:p>
        </w:tc>
        <w:tc>
          <w:tcPr>
            <w:tcW w:w="955" w:type="dxa"/>
            <w:tcBorders>
              <w:right w:val="single" w:color="auto" w:sz="12" w:space="0"/>
            </w:tcBorders>
            <w:vAlign w:val="center"/>
          </w:tcPr>
          <w:p>
            <w:pPr>
              <w:spacing w:line="360" w:lineRule="auto"/>
              <w:rPr>
                <w:szCs w:val="16"/>
              </w:rPr>
            </w:pPr>
            <w:r>
              <w:rPr>
                <w:rFonts w:hint="eastAsia"/>
                <w:szCs w:val="16"/>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left w:val="single" w:color="auto" w:sz="12" w:space="0"/>
            </w:tcBorders>
            <w:vAlign w:val="center"/>
          </w:tcPr>
          <w:p>
            <w:pPr>
              <w:autoSpaceDE w:val="0"/>
              <w:autoSpaceDN w:val="0"/>
              <w:adjustRightInd w:val="0"/>
              <w:spacing w:line="600" w:lineRule="exact"/>
            </w:pPr>
            <w:r>
              <w:rPr>
                <w:rFonts w:hint="eastAsia"/>
              </w:rPr>
              <w:t>1</w:t>
            </w:r>
          </w:p>
        </w:tc>
        <w:tc>
          <w:tcPr>
            <w:tcW w:w="1843" w:type="dxa"/>
            <w:vAlign w:val="center"/>
          </w:tcPr>
          <w:p>
            <w:pPr>
              <w:autoSpaceDE w:val="0"/>
              <w:autoSpaceDN w:val="0"/>
              <w:adjustRightInd w:val="0"/>
              <w:spacing w:line="600" w:lineRule="exact"/>
              <w:ind w:firstLine="480" w:firstLineChars="200"/>
            </w:pPr>
          </w:p>
        </w:tc>
        <w:tc>
          <w:tcPr>
            <w:tcW w:w="1577" w:type="dxa"/>
            <w:vAlign w:val="center"/>
          </w:tcPr>
          <w:p>
            <w:pPr>
              <w:autoSpaceDE w:val="0"/>
              <w:autoSpaceDN w:val="0"/>
              <w:adjustRightInd w:val="0"/>
              <w:spacing w:line="600" w:lineRule="exact"/>
              <w:ind w:firstLine="480" w:firstLineChars="200"/>
            </w:pPr>
          </w:p>
        </w:tc>
        <w:tc>
          <w:tcPr>
            <w:tcW w:w="2717" w:type="dxa"/>
            <w:vAlign w:val="center"/>
          </w:tcPr>
          <w:p>
            <w:pPr>
              <w:autoSpaceDE w:val="0"/>
              <w:autoSpaceDN w:val="0"/>
              <w:adjustRightInd w:val="0"/>
              <w:spacing w:line="600" w:lineRule="exact"/>
              <w:ind w:firstLine="480" w:firstLineChars="200"/>
            </w:pPr>
          </w:p>
        </w:tc>
        <w:tc>
          <w:tcPr>
            <w:tcW w:w="855" w:type="dxa"/>
            <w:vAlign w:val="center"/>
          </w:tcPr>
          <w:p>
            <w:pPr>
              <w:autoSpaceDE w:val="0"/>
              <w:autoSpaceDN w:val="0"/>
              <w:adjustRightInd w:val="0"/>
              <w:spacing w:line="600" w:lineRule="exact"/>
              <w:ind w:firstLine="480" w:firstLineChars="200"/>
            </w:pPr>
          </w:p>
        </w:tc>
        <w:tc>
          <w:tcPr>
            <w:tcW w:w="955" w:type="dxa"/>
            <w:vAlign w:val="center"/>
          </w:tcPr>
          <w:p>
            <w:pPr>
              <w:autoSpaceDE w:val="0"/>
              <w:autoSpaceDN w:val="0"/>
              <w:adjustRightInd w:val="0"/>
              <w:spacing w:line="600" w:lineRule="exact"/>
              <w:ind w:firstLine="480" w:firstLineChars="200"/>
            </w:pPr>
          </w:p>
        </w:tc>
        <w:tc>
          <w:tcPr>
            <w:tcW w:w="955" w:type="dxa"/>
            <w:tcBorders>
              <w:right w:val="single" w:color="auto" w:sz="12" w:space="0"/>
            </w:tcBorders>
            <w:vAlign w:val="center"/>
          </w:tcPr>
          <w:p>
            <w:pPr>
              <w:autoSpaceDE w:val="0"/>
              <w:autoSpaceDN w:val="0"/>
              <w:adjustRightInd w:val="0"/>
              <w:spacing w:line="600" w:lineRule="exact"/>
              <w:ind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left w:val="single" w:color="auto" w:sz="12" w:space="0"/>
            </w:tcBorders>
            <w:vAlign w:val="center"/>
          </w:tcPr>
          <w:p>
            <w:pPr>
              <w:autoSpaceDE w:val="0"/>
              <w:autoSpaceDN w:val="0"/>
              <w:adjustRightInd w:val="0"/>
              <w:spacing w:line="600" w:lineRule="exact"/>
            </w:pPr>
            <w:r>
              <w:rPr>
                <w:rFonts w:hint="eastAsia"/>
              </w:rPr>
              <w:t>2</w:t>
            </w:r>
          </w:p>
        </w:tc>
        <w:tc>
          <w:tcPr>
            <w:tcW w:w="1843" w:type="dxa"/>
            <w:vAlign w:val="center"/>
          </w:tcPr>
          <w:p>
            <w:pPr>
              <w:autoSpaceDE w:val="0"/>
              <w:autoSpaceDN w:val="0"/>
              <w:adjustRightInd w:val="0"/>
              <w:spacing w:line="600" w:lineRule="exact"/>
              <w:ind w:firstLine="480" w:firstLineChars="200"/>
            </w:pPr>
          </w:p>
        </w:tc>
        <w:tc>
          <w:tcPr>
            <w:tcW w:w="1577" w:type="dxa"/>
            <w:vAlign w:val="center"/>
          </w:tcPr>
          <w:p>
            <w:pPr>
              <w:autoSpaceDE w:val="0"/>
              <w:autoSpaceDN w:val="0"/>
              <w:adjustRightInd w:val="0"/>
              <w:spacing w:line="600" w:lineRule="exact"/>
              <w:ind w:firstLine="480" w:firstLineChars="200"/>
            </w:pPr>
          </w:p>
        </w:tc>
        <w:tc>
          <w:tcPr>
            <w:tcW w:w="2717" w:type="dxa"/>
            <w:vAlign w:val="center"/>
          </w:tcPr>
          <w:p>
            <w:pPr>
              <w:autoSpaceDE w:val="0"/>
              <w:autoSpaceDN w:val="0"/>
              <w:adjustRightInd w:val="0"/>
              <w:spacing w:line="600" w:lineRule="exact"/>
              <w:ind w:firstLine="480" w:firstLineChars="200"/>
            </w:pPr>
          </w:p>
        </w:tc>
        <w:tc>
          <w:tcPr>
            <w:tcW w:w="855" w:type="dxa"/>
            <w:vAlign w:val="center"/>
          </w:tcPr>
          <w:p>
            <w:pPr>
              <w:autoSpaceDE w:val="0"/>
              <w:autoSpaceDN w:val="0"/>
              <w:adjustRightInd w:val="0"/>
              <w:spacing w:line="600" w:lineRule="exact"/>
              <w:ind w:firstLine="480" w:firstLineChars="200"/>
            </w:pPr>
          </w:p>
        </w:tc>
        <w:tc>
          <w:tcPr>
            <w:tcW w:w="955" w:type="dxa"/>
            <w:vAlign w:val="center"/>
          </w:tcPr>
          <w:p>
            <w:pPr>
              <w:autoSpaceDE w:val="0"/>
              <w:autoSpaceDN w:val="0"/>
              <w:adjustRightInd w:val="0"/>
              <w:spacing w:line="600" w:lineRule="exact"/>
              <w:ind w:firstLine="480" w:firstLineChars="200"/>
            </w:pPr>
          </w:p>
        </w:tc>
        <w:tc>
          <w:tcPr>
            <w:tcW w:w="955" w:type="dxa"/>
            <w:tcBorders>
              <w:right w:val="single" w:color="auto" w:sz="12" w:space="0"/>
            </w:tcBorders>
            <w:vAlign w:val="center"/>
          </w:tcPr>
          <w:p>
            <w:pPr>
              <w:autoSpaceDE w:val="0"/>
              <w:autoSpaceDN w:val="0"/>
              <w:adjustRightInd w:val="0"/>
              <w:spacing w:line="600" w:lineRule="exact"/>
              <w:ind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left w:val="single" w:color="auto" w:sz="12" w:space="0"/>
            </w:tcBorders>
            <w:vAlign w:val="center"/>
          </w:tcPr>
          <w:p>
            <w:pPr>
              <w:autoSpaceDE w:val="0"/>
              <w:autoSpaceDN w:val="0"/>
              <w:adjustRightInd w:val="0"/>
              <w:spacing w:line="600" w:lineRule="exact"/>
            </w:pPr>
            <w:r>
              <w:rPr>
                <w:rFonts w:hint="eastAsia"/>
              </w:rPr>
              <w:t>3</w:t>
            </w:r>
          </w:p>
        </w:tc>
        <w:tc>
          <w:tcPr>
            <w:tcW w:w="1843" w:type="dxa"/>
            <w:vAlign w:val="center"/>
          </w:tcPr>
          <w:p>
            <w:pPr>
              <w:autoSpaceDE w:val="0"/>
              <w:autoSpaceDN w:val="0"/>
              <w:adjustRightInd w:val="0"/>
              <w:spacing w:line="600" w:lineRule="exact"/>
              <w:ind w:firstLine="480" w:firstLineChars="200"/>
            </w:pPr>
            <w:r>
              <w:rPr>
                <w:rFonts w:hint="eastAsia"/>
              </w:rPr>
              <w:t>…</w:t>
            </w:r>
          </w:p>
        </w:tc>
        <w:tc>
          <w:tcPr>
            <w:tcW w:w="1577" w:type="dxa"/>
            <w:vAlign w:val="center"/>
          </w:tcPr>
          <w:p>
            <w:pPr>
              <w:autoSpaceDE w:val="0"/>
              <w:autoSpaceDN w:val="0"/>
              <w:adjustRightInd w:val="0"/>
              <w:spacing w:line="600" w:lineRule="exact"/>
              <w:ind w:firstLine="480" w:firstLineChars="200"/>
            </w:pPr>
          </w:p>
        </w:tc>
        <w:tc>
          <w:tcPr>
            <w:tcW w:w="2717" w:type="dxa"/>
            <w:vAlign w:val="center"/>
          </w:tcPr>
          <w:p>
            <w:pPr>
              <w:autoSpaceDE w:val="0"/>
              <w:autoSpaceDN w:val="0"/>
              <w:adjustRightInd w:val="0"/>
              <w:spacing w:line="600" w:lineRule="exact"/>
              <w:ind w:firstLine="480" w:firstLineChars="200"/>
            </w:pPr>
          </w:p>
        </w:tc>
        <w:tc>
          <w:tcPr>
            <w:tcW w:w="855" w:type="dxa"/>
            <w:vAlign w:val="center"/>
          </w:tcPr>
          <w:p>
            <w:pPr>
              <w:autoSpaceDE w:val="0"/>
              <w:autoSpaceDN w:val="0"/>
              <w:adjustRightInd w:val="0"/>
              <w:spacing w:line="600" w:lineRule="exact"/>
              <w:ind w:firstLine="480" w:firstLineChars="200"/>
            </w:pPr>
          </w:p>
        </w:tc>
        <w:tc>
          <w:tcPr>
            <w:tcW w:w="955" w:type="dxa"/>
            <w:vAlign w:val="center"/>
          </w:tcPr>
          <w:p>
            <w:pPr>
              <w:autoSpaceDE w:val="0"/>
              <w:autoSpaceDN w:val="0"/>
              <w:adjustRightInd w:val="0"/>
              <w:spacing w:line="600" w:lineRule="exact"/>
              <w:ind w:firstLine="480" w:firstLineChars="200"/>
            </w:pPr>
          </w:p>
        </w:tc>
        <w:tc>
          <w:tcPr>
            <w:tcW w:w="955" w:type="dxa"/>
            <w:tcBorders>
              <w:right w:val="single" w:color="auto" w:sz="12" w:space="0"/>
            </w:tcBorders>
            <w:vAlign w:val="center"/>
          </w:tcPr>
          <w:p>
            <w:pPr>
              <w:autoSpaceDE w:val="0"/>
              <w:autoSpaceDN w:val="0"/>
              <w:adjustRightInd w:val="0"/>
              <w:spacing w:line="600" w:lineRule="exact"/>
              <w:ind w:firstLine="480" w:firstLineChars="200"/>
            </w:pPr>
          </w:p>
        </w:tc>
      </w:tr>
    </w:tbl>
    <w:p>
      <w:pPr>
        <w:autoSpaceDE w:val="0"/>
        <w:autoSpaceDN w:val="0"/>
        <w:adjustRightInd w:val="0"/>
        <w:spacing w:line="600" w:lineRule="exact"/>
        <w:rPr>
          <w:szCs w:val="16"/>
        </w:rPr>
      </w:pPr>
      <w:r>
        <w:rPr>
          <w:rFonts w:hint="eastAsia"/>
          <w:szCs w:val="16"/>
        </w:rPr>
        <w:t>说明：</w:t>
      </w:r>
    </w:p>
    <w:p>
      <w:pPr>
        <w:autoSpaceDE w:val="0"/>
        <w:autoSpaceDN w:val="0"/>
        <w:adjustRightInd w:val="0"/>
        <w:spacing w:line="600" w:lineRule="exact"/>
        <w:rPr>
          <w:szCs w:val="16"/>
        </w:rPr>
      </w:pPr>
      <w:r>
        <w:rPr>
          <w:rFonts w:hint="eastAsia"/>
          <w:szCs w:val="16"/>
        </w:rPr>
        <w:t xml:space="preserve">1、如所投产品为节能产品，请按要求逐项填写； </w:t>
      </w:r>
    </w:p>
    <w:p>
      <w:pPr>
        <w:autoSpaceDE w:val="0"/>
        <w:autoSpaceDN w:val="0"/>
        <w:adjustRightInd w:val="0"/>
        <w:spacing w:line="600" w:lineRule="exact"/>
        <w:rPr>
          <w:szCs w:val="16"/>
        </w:rPr>
      </w:pPr>
      <w:r>
        <w:rPr>
          <w:rFonts w:hint="eastAsia"/>
          <w:szCs w:val="16"/>
        </w:rPr>
        <w:t>2、需提供PDF格式节能产品认证证书，且证书内产品型号与所投产品型号完全一致，否则评审时不予加分（非强制节能产品）；如为强制节能产品，未提供产品认证证书或证书内产品型号与所投产品型号不完全一致的，将被认定为投标无效。</w:t>
      </w:r>
    </w:p>
    <w:p>
      <w:pPr>
        <w:pStyle w:val="41"/>
        <w:ind w:firstLine="0" w:firstLineChars="0"/>
      </w:pPr>
    </w:p>
    <w:p>
      <w:pPr>
        <w:spacing w:line="720" w:lineRule="auto"/>
        <w:rPr>
          <w:szCs w:val="16"/>
        </w:rPr>
      </w:pPr>
    </w:p>
    <w:p>
      <w:pPr>
        <w:spacing w:line="720" w:lineRule="auto"/>
        <w:rPr>
          <w:szCs w:val="16"/>
        </w:rPr>
      </w:pPr>
      <w:r>
        <w:rPr>
          <w:rFonts w:hint="eastAsia"/>
          <w:szCs w:val="16"/>
        </w:rPr>
        <w:t>供应商法定代表人/授权代表（签字或盖私章）：</w:t>
      </w:r>
    </w:p>
    <w:p>
      <w:pPr>
        <w:spacing w:line="720" w:lineRule="auto"/>
        <w:rPr>
          <w:szCs w:val="16"/>
        </w:rPr>
      </w:pPr>
      <w:r>
        <w:rPr>
          <w:rFonts w:hint="eastAsia"/>
          <w:szCs w:val="16"/>
        </w:rPr>
        <w:t>供应商名称（加盖公章）：</w:t>
      </w:r>
    </w:p>
    <w:p>
      <w:pPr>
        <w:spacing w:line="720" w:lineRule="auto"/>
        <w:rPr>
          <w:szCs w:val="16"/>
        </w:rPr>
      </w:pPr>
      <w:r>
        <w:rPr>
          <w:rFonts w:hint="eastAsia"/>
          <w:szCs w:val="16"/>
        </w:rPr>
        <w:t>日期：年月日</w:t>
      </w:r>
    </w:p>
    <w:p>
      <w:pPr>
        <w:spacing w:line="720" w:lineRule="auto"/>
        <w:rPr>
          <w:rFonts w:cs="Times New Roman"/>
          <w:szCs w:val="21"/>
        </w:rPr>
      </w:pPr>
      <w:r>
        <w:rPr>
          <w:rFonts w:cs="Times New Roman"/>
          <w:szCs w:val="21"/>
        </w:rPr>
        <w:br w:type="page"/>
      </w:r>
    </w:p>
    <w:p>
      <w:pPr>
        <w:pStyle w:val="7"/>
        <w:spacing w:before="0" w:after="0" w:line="360" w:lineRule="auto"/>
        <w:rPr>
          <w:sz w:val="24"/>
          <w:szCs w:val="24"/>
        </w:rPr>
      </w:pPr>
      <w:r>
        <w:rPr>
          <w:sz w:val="24"/>
          <w:szCs w:val="24"/>
        </w:rPr>
        <w:t>1</w:t>
      </w:r>
      <w:r>
        <w:rPr>
          <w:rFonts w:hint="eastAsia"/>
          <w:sz w:val="24"/>
          <w:szCs w:val="24"/>
        </w:rPr>
        <w:t>.2</w:t>
      </w:r>
      <w:r>
        <w:rPr>
          <w:sz w:val="24"/>
          <w:szCs w:val="24"/>
        </w:rPr>
        <w:t>.3</w:t>
      </w:r>
      <w:r>
        <w:rPr>
          <w:rFonts w:hint="eastAsia"/>
          <w:sz w:val="24"/>
          <w:szCs w:val="24"/>
        </w:rPr>
        <w:t>环境标志产品明细表（样表，如有）</w:t>
      </w:r>
    </w:p>
    <w:p>
      <w:pPr>
        <w:pStyle w:val="32"/>
        <w:ind w:left="480" w:firstLine="480"/>
      </w:pPr>
    </w:p>
    <w:p>
      <w:pPr>
        <w:autoSpaceDE w:val="0"/>
        <w:autoSpaceDN w:val="0"/>
        <w:adjustRightInd w:val="0"/>
        <w:spacing w:line="600" w:lineRule="exact"/>
        <w:ind w:firstLine="482" w:firstLineChars="200"/>
        <w:jc w:val="center"/>
        <w:rPr>
          <w:b/>
          <w:bCs/>
        </w:rPr>
      </w:pPr>
      <w:r>
        <w:rPr>
          <w:rFonts w:hint="eastAsia"/>
          <w:b/>
          <w:bCs/>
        </w:rPr>
        <w:t>环境标志产品明细表</w:t>
      </w:r>
    </w:p>
    <w:p>
      <w:pPr>
        <w:autoSpaceDE w:val="0"/>
        <w:autoSpaceDN w:val="0"/>
        <w:adjustRightInd w:val="0"/>
        <w:spacing w:line="600" w:lineRule="exact"/>
      </w:pPr>
      <w:r>
        <w:rPr>
          <w:rFonts w:hint="eastAsia"/>
          <w:szCs w:val="16"/>
        </w:rPr>
        <w:t>项目名称（</w:t>
      </w:r>
      <w:r>
        <w:rPr>
          <w:rFonts w:hint="eastAsia"/>
          <w:i/>
          <w:iCs/>
          <w:color w:val="FF0000"/>
          <w:szCs w:val="16"/>
        </w:rPr>
        <w:t>第X包</w:t>
      </w:r>
      <w:r>
        <w:rPr>
          <w:rFonts w:hint="eastAsia"/>
          <w:szCs w:val="16"/>
        </w:rPr>
        <w:t>）：                                 项目编号： </w:t>
      </w:r>
    </w:p>
    <w:tbl>
      <w:tblPr>
        <w:tblStyle w:val="33"/>
        <w:tblpPr w:leftFromText="180" w:rightFromText="180" w:vertAnchor="text" w:horzAnchor="margin" w:tblpXSpec="center" w:tblpY="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2593"/>
        <w:gridCol w:w="855"/>
        <w:gridCol w:w="95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7" w:type="dxa"/>
            <w:vMerge w:val="restart"/>
            <w:tcBorders>
              <w:top w:val="single" w:color="auto" w:sz="12" w:space="0"/>
              <w:left w:val="single" w:color="auto" w:sz="12" w:space="0"/>
            </w:tcBorders>
            <w:vAlign w:val="center"/>
          </w:tcPr>
          <w:p>
            <w:pPr>
              <w:spacing w:line="360" w:lineRule="auto"/>
              <w:rPr>
                <w:szCs w:val="16"/>
              </w:rPr>
            </w:pPr>
            <w:r>
              <w:rPr>
                <w:rFonts w:hint="eastAsia"/>
                <w:szCs w:val="16"/>
              </w:rPr>
              <w:t>编号</w:t>
            </w:r>
          </w:p>
        </w:tc>
        <w:tc>
          <w:tcPr>
            <w:tcW w:w="1843" w:type="dxa"/>
            <w:vMerge w:val="restart"/>
            <w:tcBorders>
              <w:top w:val="single" w:color="auto" w:sz="12" w:space="0"/>
            </w:tcBorders>
            <w:vAlign w:val="center"/>
          </w:tcPr>
          <w:p>
            <w:pPr>
              <w:spacing w:line="360" w:lineRule="auto"/>
              <w:rPr>
                <w:szCs w:val="16"/>
              </w:rPr>
            </w:pPr>
            <w:r>
              <w:rPr>
                <w:rFonts w:hint="eastAsia"/>
                <w:szCs w:val="16"/>
              </w:rPr>
              <w:t>货物名称</w:t>
            </w:r>
          </w:p>
        </w:tc>
        <w:tc>
          <w:tcPr>
            <w:tcW w:w="1701" w:type="dxa"/>
            <w:vMerge w:val="restart"/>
            <w:tcBorders>
              <w:top w:val="single" w:color="auto" w:sz="12" w:space="0"/>
            </w:tcBorders>
            <w:vAlign w:val="center"/>
          </w:tcPr>
          <w:p>
            <w:pPr>
              <w:spacing w:line="360" w:lineRule="auto"/>
              <w:rPr>
                <w:szCs w:val="16"/>
              </w:rPr>
            </w:pPr>
            <w:r>
              <w:rPr>
                <w:rFonts w:hint="eastAsia"/>
                <w:szCs w:val="16"/>
              </w:rPr>
              <w:t>规格型号</w:t>
            </w:r>
          </w:p>
        </w:tc>
        <w:tc>
          <w:tcPr>
            <w:tcW w:w="2593" w:type="dxa"/>
            <w:vMerge w:val="restart"/>
            <w:tcBorders>
              <w:top w:val="single" w:color="auto" w:sz="12" w:space="0"/>
            </w:tcBorders>
            <w:vAlign w:val="center"/>
          </w:tcPr>
          <w:p>
            <w:pPr>
              <w:spacing w:line="360" w:lineRule="auto"/>
              <w:rPr>
                <w:szCs w:val="16"/>
              </w:rPr>
            </w:pPr>
            <w:r>
              <w:rPr>
                <w:rFonts w:hint="eastAsia"/>
                <w:szCs w:val="16"/>
              </w:rPr>
              <w:t>中国环境标志认证证书编号</w:t>
            </w:r>
          </w:p>
        </w:tc>
        <w:tc>
          <w:tcPr>
            <w:tcW w:w="2765" w:type="dxa"/>
            <w:gridSpan w:val="3"/>
            <w:tcBorders>
              <w:top w:val="single" w:color="auto" w:sz="12" w:space="0"/>
              <w:right w:val="single" w:color="auto" w:sz="12" w:space="0"/>
            </w:tcBorders>
            <w:vAlign w:val="center"/>
          </w:tcPr>
          <w:p>
            <w:pPr>
              <w:spacing w:line="360" w:lineRule="auto"/>
              <w:rPr>
                <w:szCs w:val="16"/>
              </w:rPr>
            </w:pPr>
            <w:r>
              <w:rPr>
                <w:rFonts w:hint="eastAsia"/>
                <w:szCs w:val="16"/>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17" w:type="dxa"/>
            <w:vMerge w:val="continue"/>
            <w:tcBorders>
              <w:left w:val="single" w:color="auto" w:sz="12" w:space="0"/>
            </w:tcBorders>
            <w:vAlign w:val="center"/>
          </w:tcPr>
          <w:p>
            <w:pPr>
              <w:spacing w:line="360" w:lineRule="auto"/>
              <w:rPr>
                <w:szCs w:val="16"/>
              </w:rPr>
            </w:pPr>
          </w:p>
        </w:tc>
        <w:tc>
          <w:tcPr>
            <w:tcW w:w="1843" w:type="dxa"/>
            <w:vMerge w:val="continue"/>
            <w:vAlign w:val="center"/>
          </w:tcPr>
          <w:p>
            <w:pPr>
              <w:spacing w:line="360" w:lineRule="auto"/>
              <w:rPr>
                <w:szCs w:val="16"/>
              </w:rPr>
            </w:pPr>
          </w:p>
        </w:tc>
        <w:tc>
          <w:tcPr>
            <w:tcW w:w="1701" w:type="dxa"/>
            <w:vMerge w:val="continue"/>
            <w:vAlign w:val="center"/>
          </w:tcPr>
          <w:p>
            <w:pPr>
              <w:spacing w:line="360" w:lineRule="auto"/>
              <w:rPr>
                <w:szCs w:val="16"/>
              </w:rPr>
            </w:pPr>
          </w:p>
        </w:tc>
        <w:tc>
          <w:tcPr>
            <w:tcW w:w="2593" w:type="dxa"/>
            <w:vMerge w:val="continue"/>
            <w:vAlign w:val="center"/>
          </w:tcPr>
          <w:p>
            <w:pPr>
              <w:spacing w:line="360" w:lineRule="auto"/>
              <w:rPr>
                <w:szCs w:val="16"/>
              </w:rPr>
            </w:pPr>
          </w:p>
        </w:tc>
        <w:tc>
          <w:tcPr>
            <w:tcW w:w="855" w:type="dxa"/>
            <w:vAlign w:val="center"/>
          </w:tcPr>
          <w:p>
            <w:pPr>
              <w:spacing w:line="360" w:lineRule="auto"/>
              <w:rPr>
                <w:szCs w:val="16"/>
              </w:rPr>
            </w:pPr>
            <w:r>
              <w:rPr>
                <w:rFonts w:hint="eastAsia"/>
                <w:szCs w:val="16"/>
              </w:rPr>
              <w:t>单价</w:t>
            </w:r>
          </w:p>
        </w:tc>
        <w:tc>
          <w:tcPr>
            <w:tcW w:w="955" w:type="dxa"/>
            <w:vAlign w:val="center"/>
          </w:tcPr>
          <w:p>
            <w:pPr>
              <w:spacing w:line="360" w:lineRule="auto"/>
              <w:rPr>
                <w:szCs w:val="16"/>
              </w:rPr>
            </w:pPr>
            <w:r>
              <w:rPr>
                <w:rFonts w:hint="eastAsia"/>
                <w:szCs w:val="16"/>
              </w:rPr>
              <w:t>数量</w:t>
            </w:r>
          </w:p>
        </w:tc>
        <w:tc>
          <w:tcPr>
            <w:tcW w:w="955" w:type="dxa"/>
            <w:tcBorders>
              <w:right w:val="single" w:color="auto" w:sz="12" w:space="0"/>
            </w:tcBorders>
            <w:vAlign w:val="center"/>
          </w:tcPr>
          <w:p>
            <w:pPr>
              <w:spacing w:line="360" w:lineRule="auto"/>
              <w:rPr>
                <w:szCs w:val="16"/>
              </w:rPr>
            </w:pPr>
            <w:r>
              <w:rPr>
                <w:rFonts w:hint="eastAsia"/>
                <w:szCs w:val="16"/>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left w:val="single" w:color="auto" w:sz="12" w:space="0"/>
            </w:tcBorders>
            <w:vAlign w:val="center"/>
          </w:tcPr>
          <w:p>
            <w:pPr>
              <w:autoSpaceDE w:val="0"/>
              <w:autoSpaceDN w:val="0"/>
              <w:adjustRightInd w:val="0"/>
              <w:spacing w:line="600" w:lineRule="exact"/>
            </w:pPr>
            <w:r>
              <w:rPr>
                <w:rFonts w:hint="eastAsia"/>
              </w:rPr>
              <w:t>1</w:t>
            </w:r>
          </w:p>
        </w:tc>
        <w:tc>
          <w:tcPr>
            <w:tcW w:w="1843" w:type="dxa"/>
            <w:vAlign w:val="center"/>
          </w:tcPr>
          <w:p>
            <w:pPr>
              <w:autoSpaceDE w:val="0"/>
              <w:autoSpaceDN w:val="0"/>
              <w:adjustRightInd w:val="0"/>
              <w:spacing w:line="600" w:lineRule="exact"/>
              <w:ind w:firstLine="480" w:firstLineChars="200"/>
            </w:pPr>
          </w:p>
        </w:tc>
        <w:tc>
          <w:tcPr>
            <w:tcW w:w="1701" w:type="dxa"/>
            <w:vAlign w:val="center"/>
          </w:tcPr>
          <w:p>
            <w:pPr>
              <w:autoSpaceDE w:val="0"/>
              <w:autoSpaceDN w:val="0"/>
              <w:adjustRightInd w:val="0"/>
              <w:spacing w:line="600" w:lineRule="exact"/>
              <w:ind w:firstLine="480" w:firstLineChars="200"/>
            </w:pPr>
          </w:p>
        </w:tc>
        <w:tc>
          <w:tcPr>
            <w:tcW w:w="2593" w:type="dxa"/>
            <w:vAlign w:val="center"/>
          </w:tcPr>
          <w:p>
            <w:pPr>
              <w:autoSpaceDE w:val="0"/>
              <w:autoSpaceDN w:val="0"/>
              <w:adjustRightInd w:val="0"/>
              <w:spacing w:line="600" w:lineRule="exact"/>
              <w:ind w:firstLine="480" w:firstLineChars="200"/>
            </w:pPr>
          </w:p>
        </w:tc>
        <w:tc>
          <w:tcPr>
            <w:tcW w:w="855" w:type="dxa"/>
            <w:vAlign w:val="center"/>
          </w:tcPr>
          <w:p>
            <w:pPr>
              <w:autoSpaceDE w:val="0"/>
              <w:autoSpaceDN w:val="0"/>
              <w:adjustRightInd w:val="0"/>
              <w:spacing w:line="600" w:lineRule="exact"/>
              <w:ind w:firstLine="480" w:firstLineChars="200"/>
            </w:pPr>
          </w:p>
        </w:tc>
        <w:tc>
          <w:tcPr>
            <w:tcW w:w="955" w:type="dxa"/>
            <w:vAlign w:val="center"/>
          </w:tcPr>
          <w:p>
            <w:pPr>
              <w:autoSpaceDE w:val="0"/>
              <w:autoSpaceDN w:val="0"/>
              <w:adjustRightInd w:val="0"/>
              <w:spacing w:line="600" w:lineRule="exact"/>
              <w:ind w:firstLine="480" w:firstLineChars="200"/>
            </w:pPr>
          </w:p>
        </w:tc>
        <w:tc>
          <w:tcPr>
            <w:tcW w:w="955" w:type="dxa"/>
            <w:tcBorders>
              <w:right w:val="single" w:color="auto" w:sz="12" w:space="0"/>
            </w:tcBorders>
            <w:vAlign w:val="center"/>
          </w:tcPr>
          <w:p>
            <w:pPr>
              <w:autoSpaceDE w:val="0"/>
              <w:autoSpaceDN w:val="0"/>
              <w:adjustRightInd w:val="0"/>
              <w:spacing w:line="600" w:lineRule="exact"/>
              <w:ind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left w:val="single" w:color="auto" w:sz="12" w:space="0"/>
            </w:tcBorders>
            <w:vAlign w:val="center"/>
          </w:tcPr>
          <w:p>
            <w:pPr>
              <w:autoSpaceDE w:val="0"/>
              <w:autoSpaceDN w:val="0"/>
              <w:adjustRightInd w:val="0"/>
              <w:spacing w:line="600" w:lineRule="exact"/>
            </w:pPr>
            <w:r>
              <w:rPr>
                <w:rFonts w:hint="eastAsia"/>
              </w:rPr>
              <w:t>2</w:t>
            </w:r>
          </w:p>
        </w:tc>
        <w:tc>
          <w:tcPr>
            <w:tcW w:w="1843" w:type="dxa"/>
            <w:vAlign w:val="center"/>
          </w:tcPr>
          <w:p>
            <w:pPr>
              <w:autoSpaceDE w:val="0"/>
              <w:autoSpaceDN w:val="0"/>
              <w:adjustRightInd w:val="0"/>
              <w:spacing w:line="600" w:lineRule="exact"/>
              <w:ind w:firstLine="480" w:firstLineChars="200"/>
            </w:pPr>
          </w:p>
        </w:tc>
        <w:tc>
          <w:tcPr>
            <w:tcW w:w="1701" w:type="dxa"/>
            <w:vAlign w:val="center"/>
          </w:tcPr>
          <w:p>
            <w:pPr>
              <w:autoSpaceDE w:val="0"/>
              <w:autoSpaceDN w:val="0"/>
              <w:adjustRightInd w:val="0"/>
              <w:spacing w:line="600" w:lineRule="exact"/>
              <w:ind w:firstLine="480" w:firstLineChars="200"/>
            </w:pPr>
          </w:p>
        </w:tc>
        <w:tc>
          <w:tcPr>
            <w:tcW w:w="2593" w:type="dxa"/>
            <w:vAlign w:val="center"/>
          </w:tcPr>
          <w:p>
            <w:pPr>
              <w:autoSpaceDE w:val="0"/>
              <w:autoSpaceDN w:val="0"/>
              <w:adjustRightInd w:val="0"/>
              <w:spacing w:line="600" w:lineRule="exact"/>
              <w:ind w:firstLine="480" w:firstLineChars="200"/>
            </w:pPr>
          </w:p>
        </w:tc>
        <w:tc>
          <w:tcPr>
            <w:tcW w:w="855" w:type="dxa"/>
            <w:vAlign w:val="center"/>
          </w:tcPr>
          <w:p>
            <w:pPr>
              <w:autoSpaceDE w:val="0"/>
              <w:autoSpaceDN w:val="0"/>
              <w:adjustRightInd w:val="0"/>
              <w:spacing w:line="600" w:lineRule="exact"/>
              <w:ind w:firstLine="480" w:firstLineChars="200"/>
            </w:pPr>
          </w:p>
        </w:tc>
        <w:tc>
          <w:tcPr>
            <w:tcW w:w="955" w:type="dxa"/>
            <w:vAlign w:val="center"/>
          </w:tcPr>
          <w:p>
            <w:pPr>
              <w:autoSpaceDE w:val="0"/>
              <w:autoSpaceDN w:val="0"/>
              <w:adjustRightInd w:val="0"/>
              <w:spacing w:line="600" w:lineRule="exact"/>
              <w:ind w:firstLine="480" w:firstLineChars="200"/>
            </w:pPr>
          </w:p>
        </w:tc>
        <w:tc>
          <w:tcPr>
            <w:tcW w:w="955" w:type="dxa"/>
            <w:tcBorders>
              <w:right w:val="single" w:color="auto" w:sz="12" w:space="0"/>
            </w:tcBorders>
            <w:vAlign w:val="center"/>
          </w:tcPr>
          <w:p>
            <w:pPr>
              <w:autoSpaceDE w:val="0"/>
              <w:autoSpaceDN w:val="0"/>
              <w:adjustRightInd w:val="0"/>
              <w:spacing w:line="600" w:lineRule="exact"/>
              <w:ind w:firstLine="480" w:firstLineChars="2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tcBorders>
              <w:left w:val="single" w:color="auto" w:sz="12" w:space="0"/>
            </w:tcBorders>
            <w:vAlign w:val="center"/>
          </w:tcPr>
          <w:p>
            <w:pPr>
              <w:autoSpaceDE w:val="0"/>
              <w:autoSpaceDN w:val="0"/>
              <w:adjustRightInd w:val="0"/>
              <w:spacing w:line="600" w:lineRule="exact"/>
            </w:pPr>
            <w:r>
              <w:rPr>
                <w:rFonts w:hint="eastAsia"/>
              </w:rPr>
              <w:t>3</w:t>
            </w:r>
          </w:p>
        </w:tc>
        <w:tc>
          <w:tcPr>
            <w:tcW w:w="1843" w:type="dxa"/>
            <w:vAlign w:val="center"/>
          </w:tcPr>
          <w:p>
            <w:pPr>
              <w:autoSpaceDE w:val="0"/>
              <w:autoSpaceDN w:val="0"/>
              <w:adjustRightInd w:val="0"/>
              <w:spacing w:line="600" w:lineRule="exact"/>
              <w:ind w:firstLine="480" w:firstLineChars="200"/>
            </w:pPr>
            <w:r>
              <w:rPr>
                <w:rFonts w:hint="eastAsia"/>
              </w:rPr>
              <w:t>…</w:t>
            </w:r>
          </w:p>
        </w:tc>
        <w:tc>
          <w:tcPr>
            <w:tcW w:w="1701" w:type="dxa"/>
            <w:vAlign w:val="center"/>
          </w:tcPr>
          <w:p>
            <w:pPr>
              <w:autoSpaceDE w:val="0"/>
              <w:autoSpaceDN w:val="0"/>
              <w:adjustRightInd w:val="0"/>
              <w:spacing w:line="600" w:lineRule="exact"/>
              <w:ind w:firstLine="480" w:firstLineChars="200"/>
            </w:pPr>
          </w:p>
        </w:tc>
        <w:tc>
          <w:tcPr>
            <w:tcW w:w="2593" w:type="dxa"/>
            <w:vAlign w:val="center"/>
          </w:tcPr>
          <w:p>
            <w:pPr>
              <w:autoSpaceDE w:val="0"/>
              <w:autoSpaceDN w:val="0"/>
              <w:adjustRightInd w:val="0"/>
              <w:spacing w:line="600" w:lineRule="exact"/>
              <w:ind w:firstLine="480" w:firstLineChars="200"/>
            </w:pPr>
          </w:p>
        </w:tc>
        <w:tc>
          <w:tcPr>
            <w:tcW w:w="855" w:type="dxa"/>
            <w:vAlign w:val="center"/>
          </w:tcPr>
          <w:p>
            <w:pPr>
              <w:autoSpaceDE w:val="0"/>
              <w:autoSpaceDN w:val="0"/>
              <w:adjustRightInd w:val="0"/>
              <w:spacing w:line="600" w:lineRule="exact"/>
              <w:ind w:firstLine="480" w:firstLineChars="200"/>
            </w:pPr>
          </w:p>
        </w:tc>
        <w:tc>
          <w:tcPr>
            <w:tcW w:w="955" w:type="dxa"/>
            <w:vAlign w:val="center"/>
          </w:tcPr>
          <w:p>
            <w:pPr>
              <w:autoSpaceDE w:val="0"/>
              <w:autoSpaceDN w:val="0"/>
              <w:adjustRightInd w:val="0"/>
              <w:spacing w:line="600" w:lineRule="exact"/>
              <w:ind w:firstLine="480" w:firstLineChars="200"/>
            </w:pPr>
          </w:p>
        </w:tc>
        <w:tc>
          <w:tcPr>
            <w:tcW w:w="955" w:type="dxa"/>
            <w:tcBorders>
              <w:right w:val="single" w:color="auto" w:sz="12" w:space="0"/>
            </w:tcBorders>
            <w:vAlign w:val="center"/>
          </w:tcPr>
          <w:p>
            <w:pPr>
              <w:autoSpaceDE w:val="0"/>
              <w:autoSpaceDN w:val="0"/>
              <w:adjustRightInd w:val="0"/>
              <w:spacing w:line="600" w:lineRule="exact"/>
              <w:ind w:firstLine="480" w:firstLineChars="200"/>
            </w:pPr>
          </w:p>
        </w:tc>
      </w:tr>
    </w:tbl>
    <w:p>
      <w:pPr>
        <w:autoSpaceDE w:val="0"/>
        <w:autoSpaceDN w:val="0"/>
        <w:adjustRightInd w:val="0"/>
        <w:spacing w:line="600" w:lineRule="exact"/>
        <w:rPr>
          <w:szCs w:val="16"/>
        </w:rPr>
      </w:pPr>
      <w:r>
        <w:rPr>
          <w:rFonts w:hint="eastAsia"/>
          <w:szCs w:val="16"/>
        </w:rPr>
        <w:t>说明：</w:t>
      </w:r>
    </w:p>
    <w:p>
      <w:pPr>
        <w:autoSpaceDE w:val="0"/>
        <w:autoSpaceDN w:val="0"/>
        <w:adjustRightInd w:val="0"/>
        <w:spacing w:line="600" w:lineRule="exact"/>
        <w:rPr>
          <w:szCs w:val="16"/>
        </w:rPr>
      </w:pPr>
      <w:r>
        <w:rPr>
          <w:rFonts w:hint="eastAsia"/>
          <w:szCs w:val="16"/>
        </w:rPr>
        <w:t xml:space="preserve">1、如所投产品为环保产品，请按要求逐项填写； </w:t>
      </w:r>
    </w:p>
    <w:p>
      <w:pPr>
        <w:autoSpaceDE w:val="0"/>
        <w:autoSpaceDN w:val="0"/>
        <w:adjustRightInd w:val="0"/>
        <w:spacing w:line="600" w:lineRule="exact"/>
        <w:rPr>
          <w:szCs w:val="16"/>
        </w:rPr>
      </w:pPr>
      <w:r>
        <w:rPr>
          <w:rFonts w:hint="eastAsia"/>
          <w:szCs w:val="16"/>
        </w:rPr>
        <w:t>2、需提供PDF格式的环境标志产品认证证书，且证书内产品型号与所投产品型号完全一致，否则评审时不予加分。</w:t>
      </w:r>
    </w:p>
    <w:p>
      <w:pPr>
        <w:pStyle w:val="41"/>
        <w:ind w:firstLine="0" w:firstLineChars="0"/>
      </w:pPr>
    </w:p>
    <w:p>
      <w:pPr>
        <w:pStyle w:val="41"/>
        <w:ind w:firstLine="0" w:firstLineChars="0"/>
      </w:pPr>
    </w:p>
    <w:p>
      <w:pPr>
        <w:spacing w:line="720" w:lineRule="auto"/>
        <w:rPr>
          <w:szCs w:val="16"/>
        </w:rPr>
      </w:pPr>
      <w:r>
        <w:rPr>
          <w:rFonts w:hint="eastAsia"/>
          <w:szCs w:val="16"/>
        </w:rPr>
        <w:t>供应商法定代表人/授权代表（签字或盖私章）：</w:t>
      </w:r>
    </w:p>
    <w:p>
      <w:pPr>
        <w:spacing w:line="720" w:lineRule="auto"/>
        <w:rPr>
          <w:szCs w:val="16"/>
        </w:rPr>
      </w:pPr>
      <w:r>
        <w:rPr>
          <w:rFonts w:hint="eastAsia"/>
          <w:szCs w:val="16"/>
        </w:rPr>
        <w:t>供应商名称（加盖公章）：</w:t>
      </w:r>
    </w:p>
    <w:p>
      <w:pPr>
        <w:spacing w:line="720" w:lineRule="auto"/>
        <w:rPr>
          <w:szCs w:val="16"/>
        </w:rPr>
      </w:pPr>
      <w:r>
        <w:rPr>
          <w:rFonts w:hint="eastAsia"/>
          <w:szCs w:val="16"/>
        </w:rPr>
        <w:t>日期：年月日</w:t>
      </w:r>
    </w:p>
    <w:p>
      <w:pPr>
        <w:pStyle w:val="32"/>
        <w:ind w:left="480" w:firstLine="480"/>
        <w:rPr>
          <w:sz w:val="28"/>
          <w:szCs w:val="28"/>
        </w:rPr>
      </w:pPr>
      <w:r>
        <w:rPr>
          <w:rFonts w:hint="eastAsia"/>
        </w:rPr>
        <w:br w:type="page"/>
      </w:r>
    </w:p>
    <w:bookmarkEnd w:id="45"/>
    <w:bookmarkEnd w:id="46"/>
    <w:bookmarkEnd w:id="47"/>
    <w:p>
      <w:pPr>
        <w:pStyle w:val="7"/>
        <w:spacing w:before="0" w:after="0" w:line="360" w:lineRule="auto"/>
        <w:ind w:firstLine="120" w:firstLineChars="50"/>
        <w:rPr>
          <w:sz w:val="24"/>
          <w:szCs w:val="24"/>
        </w:rPr>
      </w:pPr>
      <w:bookmarkStart w:id="48" w:name="_Toc6322298"/>
      <w:bookmarkStart w:id="49" w:name="_Toc67046896"/>
      <w:bookmarkStart w:id="50" w:name="_Toc462677236"/>
      <w:bookmarkStart w:id="51" w:name="_Toc259090984"/>
      <w:bookmarkStart w:id="52" w:name="_Toc276645581"/>
      <w:r>
        <w:rPr>
          <w:rFonts w:hint="eastAsia"/>
          <w:sz w:val="24"/>
          <w:szCs w:val="24"/>
        </w:rPr>
        <w:t>1.</w:t>
      </w:r>
      <w:r>
        <w:rPr>
          <w:sz w:val="24"/>
          <w:szCs w:val="24"/>
        </w:rPr>
        <w:t>3</w:t>
      </w:r>
      <w:r>
        <w:rPr>
          <w:rFonts w:hint="eastAsia"/>
          <w:sz w:val="24"/>
          <w:szCs w:val="24"/>
        </w:rPr>
        <w:t>法定代表人</w:t>
      </w:r>
      <w:bookmarkEnd w:id="48"/>
      <w:bookmarkEnd w:id="49"/>
      <w:bookmarkEnd w:id="50"/>
      <w:bookmarkEnd w:id="51"/>
      <w:bookmarkEnd w:id="52"/>
    </w:p>
    <w:p>
      <w:pPr>
        <w:spacing w:line="460" w:lineRule="exact"/>
        <w:jc w:val="center"/>
        <w:outlineLvl w:val="0"/>
        <w:rPr>
          <w:b/>
          <w:bCs/>
          <w:kern w:val="28"/>
        </w:rPr>
      </w:pPr>
      <w:r>
        <w:rPr>
          <w:rFonts w:hint="eastAsia"/>
          <w:b/>
          <w:bCs/>
        </w:rPr>
        <w:t>（1）</w:t>
      </w:r>
      <w:r>
        <w:rPr>
          <w:rFonts w:hint="eastAsia"/>
          <w:b/>
          <w:bCs/>
          <w:kern w:val="28"/>
        </w:rPr>
        <w:t>法定代表人身份证明书</w:t>
      </w:r>
    </w:p>
    <w:p>
      <w:pPr>
        <w:pStyle w:val="5"/>
        <w:spacing w:line="460" w:lineRule="exact"/>
        <w:ind w:firstLine="480"/>
      </w:pPr>
    </w:p>
    <w:p>
      <w:pPr>
        <w:pStyle w:val="5"/>
        <w:spacing w:line="460" w:lineRule="exact"/>
        <w:ind w:firstLine="0"/>
      </w:pPr>
    </w:p>
    <w:p>
      <w:pPr>
        <w:spacing w:line="480" w:lineRule="auto"/>
        <w:ind w:firstLine="480" w:firstLineChars="200"/>
      </w:pPr>
      <w:r>
        <w:rPr>
          <w:rFonts w:hint="eastAsia"/>
        </w:rPr>
        <w:t>供应商名称：</w:t>
      </w:r>
    </w:p>
    <w:p>
      <w:pPr>
        <w:spacing w:line="480" w:lineRule="auto"/>
        <w:ind w:firstLine="480" w:firstLineChars="200"/>
      </w:pPr>
      <w:r>
        <w:rPr>
          <w:rFonts w:hint="eastAsia"/>
        </w:rPr>
        <w:t>单位性质：</w:t>
      </w:r>
    </w:p>
    <w:p>
      <w:pPr>
        <w:spacing w:line="480" w:lineRule="auto"/>
        <w:ind w:firstLine="480" w:firstLineChars="200"/>
      </w:pPr>
      <w:r>
        <w:rPr>
          <w:rFonts w:hint="eastAsia"/>
        </w:rPr>
        <w:t>地    址：</w:t>
      </w:r>
    </w:p>
    <w:p>
      <w:pPr>
        <w:spacing w:line="480" w:lineRule="auto"/>
        <w:ind w:firstLine="480" w:firstLineChars="200"/>
      </w:pPr>
      <w:r>
        <w:rPr>
          <w:rFonts w:hint="eastAsia"/>
        </w:rPr>
        <w:t>成立时间：</w:t>
      </w:r>
    </w:p>
    <w:p>
      <w:pPr>
        <w:spacing w:line="480" w:lineRule="auto"/>
        <w:ind w:firstLine="480" w:firstLineChars="200"/>
      </w:pPr>
      <w:r>
        <w:rPr>
          <w:rFonts w:hint="eastAsia"/>
        </w:rPr>
        <w:t>经营期限：</w:t>
      </w:r>
    </w:p>
    <w:p>
      <w:pPr>
        <w:spacing w:line="480" w:lineRule="auto"/>
        <w:ind w:firstLine="480" w:firstLineChars="200"/>
      </w:pPr>
      <w:r>
        <w:rPr>
          <w:rFonts w:hint="eastAsia"/>
        </w:rPr>
        <w:t>姓  名： 性  别：</w:t>
      </w:r>
    </w:p>
    <w:p>
      <w:pPr>
        <w:spacing w:line="480" w:lineRule="auto"/>
        <w:ind w:firstLine="480" w:firstLineChars="200"/>
      </w:pPr>
      <w:r>
        <w:rPr>
          <w:rFonts w:hint="eastAsia"/>
        </w:rPr>
        <w:t>年  龄：职  务：</w:t>
      </w:r>
    </w:p>
    <w:p>
      <w:pPr>
        <w:spacing w:line="480" w:lineRule="auto"/>
        <w:ind w:firstLine="480" w:firstLineChars="200"/>
      </w:pPr>
      <w:r>
        <w:rPr>
          <w:rFonts w:hint="eastAsia"/>
        </w:rPr>
        <w:t>系 （供应商名称）的法定代表人。</w:t>
      </w:r>
    </w:p>
    <w:p>
      <w:pPr>
        <w:spacing w:line="480" w:lineRule="auto"/>
        <w:ind w:firstLine="496" w:firstLineChars="207"/>
      </w:pPr>
      <w:r>
        <w:rPr>
          <w:rFonts w:hint="eastAsia"/>
        </w:rPr>
        <w:t>特此证明。</w:t>
      </w:r>
    </w:p>
    <w:p>
      <w:pPr>
        <w:ind w:firstLine="435"/>
        <w:rPr>
          <w:b/>
          <w:bCs/>
          <w:szCs w:val="16"/>
        </w:rPr>
      </w:pPr>
    </w:p>
    <w:tbl>
      <w:tblPr>
        <w:tblStyle w:val="33"/>
        <w:tblpPr w:leftFromText="180" w:rightFromText="180" w:vertAnchor="text" w:horzAnchor="margin" w:tblpXSpec="center" w:tblpY="4"/>
        <w:tblOverlap w:val="never"/>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2"/>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exact"/>
        </w:trPr>
        <w:tc>
          <w:tcPr>
            <w:tcW w:w="5482" w:type="dxa"/>
            <w:vAlign w:val="center"/>
          </w:tcPr>
          <w:p>
            <w:pPr>
              <w:jc w:val="center"/>
              <w:rPr>
                <w:szCs w:val="16"/>
              </w:rPr>
            </w:pPr>
            <w:r>
              <w:rPr>
                <w:rFonts w:hint="eastAsia"/>
                <w:szCs w:val="16"/>
                <w:lang w:val="en-US" w:eastAsia="zh-CN"/>
              </w:rPr>
              <w:t>法人</w:t>
            </w:r>
            <w:r>
              <w:rPr>
                <w:rFonts w:hint="eastAsia"/>
                <w:szCs w:val="16"/>
              </w:rPr>
              <w:t>身份证复印件（正面）</w:t>
            </w:r>
          </w:p>
        </w:tc>
        <w:tc>
          <w:tcPr>
            <w:tcW w:w="5335" w:type="dxa"/>
            <w:vAlign w:val="center"/>
          </w:tcPr>
          <w:p>
            <w:pPr>
              <w:jc w:val="center"/>
              <w:rPr>
                <w:szCs w:val="16"/>
              </w:rPr>
            </w:pPr>
            <w:r>
              <w:rPr>
                <w:rFonts w:hint="eastAsia"/>
                <w:szCs w:val="16"/>
                <w:lang w:val="en-US" w:eastAsia="zh-CN"/>
              </w:rPr>
              <w:t>法人</w:t>
            </w:r>
            <w:r>
              <w:rPr>
                <w:rFonts w:hint="eastAsia"/>
                <w:szCs w:val="16"/>
              </w:rPr>
              <w:t>身份证复印件（反面）</w:t>
            </w:r>
          </w:p>
        </w:tc>
      </w:tr>
    </w:tbl>
    <w:p>
      <w:pPr>
        <w:spacing w:line="360" w:lineRule="auto"/>
        <w:ind w:firstLine="435"/>
        <w:rPr>
          <w:szCs w:val="16"/>
        </w:rPr>
      </w:pPr>
    </w:p>
    <w:p>
      <w:pPr>
        <w:spacing w:line="360" w:lineRule="auto"/>
        <w:ind w:firstLine="435"/>
        <w:rPr>
          <w:szCs w:val="16"/>
        </w:rPr>
      </w:pPr>
      <w:r>
        <w:rPr>
          <w:rFonts w:hint="eastAsia"/>
          <w:szCs w:val="16"/>
        </w:rPr>
        <w:t xml:space="preserve">供应商名称（加盖公章）： </w:t>
      </w:r>
    </w:p>
    <w:p>
      <w:pPr>
        <w:spacing w:line="360" w:lineRule="auto"/>
        <w:ind w:firstLine="435"/>
        <w:rPr>
          <w:szCs w:val="16"/>
        </w:rPr>
      </w:pPr>
    </w:p>
    <w:p>
      <w:pPr>
        <w:pStyle w:val="32"/>
        <w:ind w:left="0" w:leftChars="0" w:firstLine="480"/>
        <w:rPr>
          <w:u w:val="single"/>
        </w:rPr>
      </w:pPr>
      <w:r>
        <w:rPr>
          <w:rFonts w:hint="eastAsia"/>
          <w:szCs w:val="16"/>
        </w:rPr>
        <w:t>日期：</w:t>
      </w:r>
    </w:p>
    <w:p>
      <w:pPr>
        <w:rPr>
          <w:b/>
          <w:bCs/>
          <w:sz w:val="28"/>
          <w:szCs w:val="28"/>
        </w:rPr>
      </w:pPr>
      <w:r>
        <w:rPr>
          <w:rFonts w:hint="eastAsia"/>
          <w:b/>
          <w:sz w:val="28"/>
          <w:szCs w:val="28"/>
        </w:rPr>
        <w:br w:type="page"/>
      </w:r>
    </w:p>
    <w:p>
      <w:pPr>
        <w:spacing w:line="460" w:lineRule="exact"/>
        <w:jc w:val="center"/>
        <w:outlineLvl w:val="0"/>
        <w:rPr>
          <w:b/>
          <w:bCs/>
          <w:kern w:val="28"/>
        </w:rPr>
      </w:pPr>
      <w:r>
        <w:rPr>
          <w:rFonts w:hint="eastAsia"/>
          <w:b/>
          <w:bCs/>
          <w:kern w:val="28"/>
        </w:rPr>
        <w:t>（2）法定代表人授权委托书</w:t>
      </w:r>
    </w:p>
    <w:p>
      <w:pPr>
        <w:pStyle w:val="11"/>
        <w:spacing w:line="460" w:lineRule="exact"/>
      </w:pPr>
    </w:p>
    <w:p>
      <w:pPr>
        <w:spacing w:line="460" w:lineRule="exact"/>
        <w:ind w:firstLine="630"/>
      </w:pPr>
      <w:r>
        <w:rPr>
          <w:rFonts w:hint="eastAsia"/>
        </w:rPr>
        <w:t>本授权委托书声明：我（姓名）系（供应商名称）的法定代表人，现授权委托（供应商名称）的（姓名）为我公司代理人，以本公司的名义参加（招标方）的招标项目的投标活动。代理人签署的响应文件和参加整个工程招标投标活动中所签署的一切文件和处理与之有关的一切事物，我均予以承认。</w:t>
      </w:r>
    </w:p>
    <w:p>
      <w:pPr>
        <w:spacing w:line="460" w:lineRule="exact"/>
      </w:pPr>
      <w:r>
        <w:rPr>
          <w:rFonts w:hint="eastAsia"/>
        </w:rPr>
        <w:t>代理人：性别：年龄：</w:t>
      </w:r>
    </w:p>
    <w:p>
      <w:pPr>
        <w:spacing w:line="460" w:lineRule="exact"/>
      </w:pPr>
      <w:r>
        <w:rPr>
          <w:rFonts w:hint="eastAsia"/>
        </w:rPr>
        <w:t>单  位：部门：职务：</w:t>
      </w:r>
    </w:p>
    <w:p>
      <w:pPr>
        <w:spacing w:line="460" w:lineRule="exact"/>
      </w:pPr>
      <w:r>
        <w:rPr>
          <w:rFonts w:hint="eastAsia"/>
        </w:rPr>
        <w:t>代理人无转委权。特此委托。</w:t>
      </w:r>
    </w:p>
    <w:tbl>
      <w:tblPr>
        <w:tblStyle w:val="33"/>
        <w:tblpPr w:leftFromText="180" w:rightFromText="180" w:vertAnchor="text" w:horzAnchor="margin" w:tblpXSpec="center" w:tblpY="4"/>
        <w:tblOverlap w:val="never"/>
        <w:tblW w:w="10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3"/>
        <w:gridCol w:w="5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trPr>
        <w:tc>
          <w:tcPr>
            <w:tcW w:w="5443" w:type="dxa"/>
            <w:vAlign w:val="center"/>
          </w:tcPr>
          <w:p>
            <w:pPr>
              <w:jc w:val="center"/>
              <w:rPr>
                <w:szCs w:val="16"/>
              </w:rPr>
            </w:pPr>
            <w:bookmarkStart w:id="53" w:name="_Toc276645582"/>
            <w:bookmarkStart w:id="54" w:name="_Toc259090986"/>
            <w:bookmarkStart w:id="55" w:name="_Toc462677237"/>
            <w:r>
              <w:rPr>
                <w:rFonts w:hint="eastAsia"/>
                <w:szCs w:val="16"/>
              </w:rPr>
              <w:t>法人身份证复印件（正面）</w:t>
            </w:r>
          </w:p>
        </w:tc>
        <w:tc>
          <w:tcPr>
            <w:tcW w:w="5296" w:type="dxa"/>
            <w:vAlign w:val="center"/>
          </w:tcPr>
          <w:p>
            <w:pPr>
              <w:jc w:val="center"/>
              <w:rPr>
                <w:szCs w:val="16"/>
              </w:rPr>
            </w:pPr>
            <w:r>
              <w:rPr>
                <w:rFonts w:hint="eastAsia"/>
                <w:szCs w:val="16"/>
              </w:rPr>
              <w:t>代理人身份证复印件（正面）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exact"/>
        </w:trPr>
        <w:tc>
          <w:tcPr>
            <w:tcW w:w="5443" w:type="dxa"/>
            <w:vAlign w:val="center"/>
          </w:tcPr>
          <w:p>
            <w:pPr>
              <w:jc w:val="center"/>
              <w:rPr>
                <w:szCs w:val="16"/>
              </w:rPr>
            </w:pPr>
            <w:bookmarkStart w:id="56" w:name="_Toc6322299"/>
            <w:bookmarkStart w:id="57" w:name="_Toc67046897"/>
            <w:r>
              <w:rPr>
                <w:rFonts w:hint="eastAsia"/>
                <w:szCs w:val="16"/>
              </w:rPr>
              <w:t>法人身份证复印件（反面）</w:t>
            </w:r>
          </w:p>
        </w:tc>
        <w:tc>
          <w:tcPr>
            <w:tcW w:w="5296" w:type="dxa"/>
            <w:vAlign w:val="center"/>
          </w:tcPr>
          <w:p>
            <w:pPr>
              <w:jc w:val="center"/>
              <w:rPr>
                <w:szCs w:val="16"/>
              </w:rPr>
            </w:pPr>
            <w:r>
              <w:rPr>
                <w:rFonts w:hint="eastAsia"/>
                <w:szCs w:val="16"/>
              </w:rPr>
              <w:t>代理人身份证复印件（反面）</w:t>
            </w:r>
          </w:p>
        </w:tc>
      </w:tr>
    </w:tbl>
    <w:p>
      <w:pPr>
        <w:spacing w:line="460" w:lineRule="exact"/>
      </w:pPr>
    </w:p>
    <w:p>
      <w:pPr>
        <w:spacing w:line="460" w:lineRule="exact"/>
      </w:pPr>
      <w:r>
        <w:rPr>
          <w:rFonts w:hint="eastAsia"/>
        </w:rPr>
        <w:t>供应商：（盖章）</w:t>
      </w:r>
    </w:p>
    <w:p>
      <w:pPr>
        <w:spacing w:line="460" w:lineRule="exact"/>
      </w:pPr>
    </w:p>
    <w:p>
      <w:pPr>
        <w:spacing w:line="460" w:lineRule="exact"/>
      </w:pPr>
      <w:r>
        <w:rPr>
          <w:rFonts w:hint="eastAsia"/>
        </w:rPr>
        <w:t>法定代表人：（签字或盖章）</w:t>
      </w:r>
    </w:p>
    <w:p>
      <w:pPr>
        <w:spacing w:line="460" w:lineRule="exact"/>
      </w:pPr>
    </w:p>
    <w:p>
      <w:pPr>
        <w:spacing w:line="460" w:lineRule="exact"/>
      </w:pPr>
      <w:r>
        <w:rPr>
          <w:rFonts w:hint="eastAsia"/>
        </w:rPr>
        <w:t>授权委托人：（签字或盖章）</w:t>
      </w:r>
    </w:p>
    <w:p>
      <w:pPr>
        <w:spacing w:line="460" w:lineRule="exact"/>
      </w:pPr>
    </w:p>
    <w:p>
      <w:pPr>
        <w:spacing w:line="460" w:lineRule="exact"/>
      </w:pPr>
      <w:r>
        <w:rPr>
          <w:rFonts w:hint="eastAsia"/>
        </w:rPr>
        <w:t xml:space="preserve">日期：年月日 </w:t>
      </w:r>
    </w:p>
    <w:p>
      <w:pPr>
        <w:pStyle w:val="11"/>
        <w:rPr>
          <w:b/>
          <w:bCs/>
          <w:sz w:val="24"/>
        </w:rPr>
      </w:pPr>
    </w:p>
    <w:p>
      <w:pPr>
        <w:pStyle w:val="11"/>
        <w:rPr>
          <w:b/>
          <w:bCs/>
        </w:rPr>
      </w:pPr>
      <w:r>
        <w:rPr>
          <w:rFonts w:hint="eastAsia"/>
          <w:b/>
          <w:bCs/>
          <w:sz w:val="24"/>
        </w:rPr>
        <w:t>说明：本授权委托书用于供应商法定代表人授权委托人出席开标会，并须按此格式提供。法定代表人授权委托人需提供社保部门出具</w:t>
      </w:r>
      <w:r>
        <w:rPr>
          <w:rFonts w:hint="eastAsia"/>
          <w:b/>
          <w:bCs/>
          <w:sz w:val="24"/>
          <w:lang w:eastAsia="zh-CN"/>
        </w:rPr>
        <w:t>（</w:t>
      </w:r>
      <w:r>
        <w:rPr>
          <w:rFonts w:hint="eastAsia"/>
          <w:b/>
          <w:bCs/>
          <w:sz w:val="24"/>
          <w:lang w:val="en-US" w:eastAsia="zh-CN"/>
        </w:rPr>
        <w:t>投标截止时间前六月内任一月）</w:t>
      </w:r>
      <w:r>
        <w:rPr>
          <w:rFonts w:hint="eastAsia"/>
          <w:b/>
          <w:bCs/>
          <w:sz w:val="24"/>
        </w:rPr>
        <w:t xml:space="preserve">的缴纳社保证明（社保缴费凭证及个人明细表） </w:t>
      </w:r>
      <w:r>
        <w:rPr>
          <w:rFonts w:hint="eastAsia"/>
          <w:b/>
          <w:bCs/>
          <w:sz w:val="24"/>
          <w:lang w:eastAsia="zh-CN"/>
        </w:rPr>
        <w:t>（</w:t>
      </w:r>
      <w:r>
        <w:rPr>
          <w:rFonts w:hint="eastAsia"/>
          <w:b/>
          <w:bCs/>
          <w:sz w:val="24"/>
        </w:rPr>
        <w:t>投标人如为个体工商户不需提供</w:t>
      </w:r>
      <w:r>
        <w:rPr>
          <w:rFonts w:hint="eastAsia"/>
          <w:b/>
          <w:bCs/>
          <w:sz w:val="24"/>
          <w:lang w:eastAsia="zh-CN"/>
        </w:rPr>
        <w:t>）</w:t>
      </w:r>
    </w:p>
    <w:p>
      <w:pPr>
        <w:pStyle w:val="7"/>
        <w:spacing w:before="0" w:after="0" w:line="360" w:lineRule="auto"/>
        <w:ind w:firstLine="482" w:firstLineChars="200"/>
        <w:rPr>
          <w:sz w:val="24"/>
          <w:szCs w:val="24"/>
        </w:rPr>
      </w:pPr>
      <w:r>
        <w:rPr>
          <w:rFonts w:hint="eastAsia"/>
          <w:sz w:val="24"/>
          <w:szCs w:val="24"/>
        </w:rPr>
        <w:t>1.</w:t>
      </w:r>
      <w:r>
        <w:rPr>
          <w:sz w:val="24"/>
          <w:szCs w:val="24"/>
        </w:rPr>
        <w:t>4</w:t>
      </w:r>
      <w:r>
        <w:rPr>
          <w:rFonts w:hint="eastAsia"/>
          <w:sz w:val="24"/>
          <w:szCs w:val="24"/>
        </w:rPr>
        <w:t>关于资格的声明函</w:t>
      </w:r>
      <w:bookmarkEnd w:id="53"/>
      <w:bookmarkEnd w:id="54"/>
      <w:bookmarkEnd w:id="55"/>
      <w:bookmarkEnd w:id="56"/>
      <w:bookmarkEnd w:id="57"/>
    </w:p>
    <w:p>
      <w:pPr>
        <w:spacing w:line="360" w:lineRule="auto"/>
        <w:ind w:firstLine="435"/>
        <w:rPr>
          <w:i/>
          <w:iCs/>
          <w:szCs w:val="16"/>
          <w:u w:val="single"/>
        </w:rPr>
      </w:pPr>
      <w:bookmarkStart w:id="58" w:name="_Hlk24380869"/>
      <w:r>
        <w:rPr>
          <w:rFonts w:hint="eastAsia"/>
          <w:szCs w:val="16"/>
        </w:rPr>
        <w:t xml:space="preserve">致： </w:t>
      </w:r>
      <w:r>
        <w:rPr>
          <w:rFonts w:hint="eastAsia"/>
          <w:i/>
          <w:iCs/>
          <w:szCs w:val="16"/>
          <w:u w:val="single"/>
        </w:rPr>
        <w:t>（采购人名称）</w:t>
      </w:r>
    </w:p>
    <w:p>
      <w:pPr>
        <w:spacing w:line="360" w:lineRule="auto"/>
        <w:ind w:firstLine="435"/>
        <w:rPr>
          <w:szCs w:val="16"/>
        </w:rPr>
      </w:pPr>
      <w:r>
        <w:rPr>
          <w:rFonts w:hint="eastAsia"/>
          <w:szCs w:val="16"/>
        </w:rPr>
        <w:t xml:space="preserve">    关于贵方</w:t>
      </w:r>
      <w:r>
        <w:rPr>
          <w:rFonts w:hint="eastAsia"/>
          <w:szCs w:val="16"/>
          <w:u w:val="single"/>
        </w:rPr>
        <w:t xml:space="preserve">      （项目名称、项目编号）</w:t>
      </w:r>
      <w:r>
        <w:rPr>
          <w:rFonts w:hint="eastAsia"/>
          <w:szCs w:val="16"/>
        </w:rPr>
        <w:t>的招标公告，本单位愿意参加投标，提供招标文件中规定的货物及服务，并声明：</w:t>
      </w:r>
    </w:p>
    <w:p>
      <w:pPr>
        <w:spacing w:line="360" w:lineRule="auto"/>
        <w:ind w:firstLine="435"/>
        <w:rPr>
          <w:szCs w:val="16"/>
        </w:rPr>
      </w:pPr>
      <w:r>
        <w:rPr>
          <w:rFonts w:hint="eastAsia"/>
          <w:szCs w:val="16"/>
        </w:rPr>
        <w:t xml:space="preserve">1. 本单位具备以下条件： </w:t>
      </w:r>
    </w:p>
    <w:p>
      <w:pPr>
        <w:spacing w:line="360" w:lineRule="auto"/>
        <w:ind w:firstLine="435"/>
        <w:rPr>
          <w:szCs w:val="16"/>
        </w:rPr>
      </w:pPr>
      <w:r>
        <w:rPr>
          <w:rFonts w:hint="eastAsia"/>
          <w:szCs w:val="16"/>
        </w:rPr>
        <w:t xml:space="preserve">1.1 具有履行合同所必需的设备和专业技术能力； </w:t>
      </w:r>
    </w:p>
    <w:p>
      <w:pPr>
        <w:spacing w:line="360" w:lineRule="auto"/>
        <w:ind w:firstLine="435"/>
        <w:rPr>
          <w:szCs w:val="16"/>
        </w:rPr>
      </w:pPr>
      <w:r>
        <w:rPr>
          <w:rFonts w:hint="eastAsia"/>
          <w:szCs w:val="16"/>
        </w:rPr>
        <w:t xml:space="preserve">1.2 法律、行政法规规定的其他条件。 </w:t>
      </w:r>
    </w:p>
    <w:p>
      <w:pPr>
        <w:spacing w:line="360" w:lineRule="auto"/>
        <w:ind w:firstLine="435"/>
        <w:rPr>
          <w:szCs w:val="16"/>
        </w:rPr>
      </w:pPr>
      <w:r>
        <w:rPr>
          <w:rFonts w:hint="eastAsia"/>
          <w:szCs w:val="16"/>
        </w:rPr>
        <w:t>2. 根据《中华人民共和国政府采购法实施条例》的规定，本单位如为采购项目提供整体设计、规范编制或者项目管理、监理、检测等服务的供应商，不再参加该采购项目的其他采购活动。</w:t>
      </w:r>
    </w:p>
    <w:p>
      <w:pPr>
        <w:spacing w:line="360" w:lineRule="auto"/>
        <w:ind w:firstLine="435"/>
        <w:rPr>
          <w:szCs w:val="16"/>
        </w:rPr>
      </w:pPr>
      <w:bookmarkStart w:id="59" w:name="_Hlk16582271"/>
      <w:r>
        <w:rPr>
          <w:rFonts w:hint="eastAsia"/>
          <w:szCs w:val="16"/>
        </w:rPr>
        <w:t>3. 本单位承诺如与本项目同一合同项下其他供应商的法定代表人/负责人为同一人或存在直接控股或管理关系的情形，同意按投标无效处理。</w:t>
      </w:r>
      <w:bookmarkEnd w:id="59"/>
    </w:p>
    <w:p>
      <w:pPr>
        <w:spacing w:line="360" w:lineRule="auto"/>
        <w:ind w:firstLine="435"/>
        <w:rPr>
          <w:szCs w:val="16"/>
        </w:rPr>
      </w:pPr>
      <w:r>
        <w:rPr>
          <w:rFonts w:hint="eastAsia"/>
          <w:szCs w:val="16"/>
        </w:rPr>
        <w:t>本单位承诺在本次招标采购活动中如有违法、违规、弄虚作假行为，所造成的损失、不良后果及法律责任，一律由我单位承担。</w:t>
      </w:r>
    </w:p>
    <w:p>
      <w:pPr>
        <w:spacing w:line="360" w:lineRule="auto"/>
        <w:ind w:firstLine="435"/>
        <w:rPr>
          <w:szCs w:val="16"/>
        </w:rPr>
      </w:pPr>
      <w:r>
        <w:rPr>
          <w:rFonts w:hint="eastAsia"/>
          <w:szCs w:val="16"/>
        </w:rPr>
        <w:t>特此声明！</w:t>
      </w:r>
    </w:p>
    <w:p>
      <w:pPr>
        <w:spacing w:line="360" w:lineRule="auto"/>
        <w:ind w:firstLine="435"/>
        <w:rPr>
          <w:b/>
          <w:bCs/>
          <w:szCs w:val="16"/>
        </w:rPr>
      </w:pPr>
      <w:r>
        <w:rPr>
          <w:rFonts w:hint="eastAsia"/>
          <w:b/>
          <w:bCs/>
          <w:szCs w:val="16"/>
        </w:rPr>
        <w:t>说明：</w:t>
      </w:r>
    </w:p>
    <w:p>
      <w:pPr>
        <w:spacing w:line="360" w:lineRule="auto"/>
        <w:ind w:firstLine="435"/>
        <w:rPr>
          <w:szCs w:val="16"/>
        </w:rPr>
      </w:pPr>
      <w:r>
        <w:rPr>
          <w:rFonts w:hint="eastAsia"/>
          <w:szCs w:val="16"/>
        </w:rPr>
        <w:t>1.本声明函必须提供且内容不得擅自删改，否则视为无效投标。</w:t>
      </w:r>
    </w:p>
    <w:p>
      <w:pPr>
        <w:spacing w:line="360" w:lineRule="auto"/>
        <w:ind w:firstLine="435"/>
        <w:rPr>
          <w:szCs w:val="16"/>
        </w:rPr>
      </w:pPr>
      <w:r>
        <w:rPr>
          <w:rFonts w:hint="eastAsia"/>
          <w:szCs w:val="16"/>
        </w:rPr>
        <w:t>2.本声明函如有虚假或与事实不符的，做无效投标处理。</w:t>
      </w:r>
    </w:p>
    <w:p>
      <w:pPr>
        <w:spacing w:line="360" w:lineRule="auto"/>
        <w:ind w:firstLine="435"/>
        <w:rPr>
          <w:szCs w:val="16"/>
        </w:rPr>
      </w:pPr>
    </w:p>
    <w:p>
      <w:pPr>
        <w:spacing w:line="720" w:lineRule="auto"/>
        <w:rPr>
          <w:szCs w:val="16"/>
        </w:rPr>
      </w:pPr>
      <w:r>
        <w:rPr>
          <w:rFonts w:hint="eastAsia"/>
          <w:szCs w:val="16"/>
        </w:rPr>
        <w:t>供应商法定代表人/授权代表（签字或盖私章）：</w:t>
      </w:r>
    </w:p>
    <w:p>
      <w:pPr>
        <w:spacing w:line="720" w:lineRule="auto"/>
        <w:rPr>
          <w:szCs w:val="16"/>
        </w:rPr>
      </w:pPr>
      <w:r>
        <w:rPr>
          <w:rFonts w:hint="eastAsia"/>
          <w:szCs w:val="16"/>
        </w:rPr>
        <w:t>供应商名称（加盖公章）：</w:t>
      </w:r>
    </w:p>
    <w:p>
      <w:pPr>
        <w:spacing w:line="720" w:lineRule="auto"/>
        <w:rPr>
          <w:szCs w:val="16"/>
        </w:rPr>
      </w:pPr>
      <w:r>
        <w:rPr>
          <w:rFonts w:hint="eastAsia"/>
          <w:szCs w:val="16"/>
        </w:rPr>
        <w:t>日期：年月日</w:t>
      </w:r>
    </w:p>
    <w:p>
      <w:pPr>
        <w:adjustRightInd w:val="0"/>
        <w:snapToGrid w:val="0"/>
        <w:spacing w:line="360" w:lineRule="auto"/>
      </w:pPr>
    </w:p>
    <w:bookmarkEnd w:id="58"/>
    <w:p>
      <w:pPr>
        <w:rPr>
          <w:lang w:val="en-GB"/>
        </w:rPr>
      </w:pPr>
      <w:r>
        <w:rPr>
          <w:rFonts w:hint="eastAsia"/>
          <w:lang w:val="en-GB"/>
        </w:rPr>
        <w:br w:type="page"/>
      </w:r>
    </w:p>
    <w:p>
      <w:pPr>
        <w:rPr>
          <w:lang w:val="en-GB"/>
        </w:rPr>
      </w:pPr>
    </w:p>
    <w:p>
      <w:r>
        <w:rPr>
          <w:b/>
          <w:bCs/>
          <w:lang w:val="en-GB"/>
        </w:rPr>
        <w:t>1.4.1</w:t>
      </w:r>
      <w:r>
        <w:rPr>
          <w:rFonts w:hint="eastAsia"/>
          <w:b/>
          <w:bCs/>
        </w:rPr>
        <w:t>营业执照或登记证书复印件等</w:t>
      </w:r>
    </w:p>
    <w:p>
      <w:pPr>
        <w:spacing w:line="360" w:lineRule="auto"/>
        <w:ind w:firstLine="435"/>
        <w:rPr>
          <w:szCs w:val="16"/>
        </w:rPr>
      </w:pPr>
    </w:p>
    <w:p>
      <w:pPr>
        <w:spacing w:line="360" w:lineRule="auto"/>
        <w:rPr>
          <w:b/>
          <w:bCs/>
          <w:szCs w:val="16"/>
        </w:rPr>
      </w:pPr>
      <w:r>
        <w:rPr>
          <w:rFonts w:hint="eastAsia"/>
          <w:b/>
          <w:bCs/>
          <w:szCs w:val="16"/>
        </w:rPr>
        <w:t>1.4.2缴纳税收和社会保障资金记录</w:t>
      </w:r>
    </w:p>
    <w:p>
      <w:pPr>
        <w:spacing w:line="360" w:lineRule="auto"/>
        <w:ind w:firstLine="435"/>
        <w:rPr>
          <w:szCs w:val="16"/>
        </w:rPr>
      </w:pPr>
      <w:r>
        <w:rPr>
          <w:rFonts w:hint="eastAsia"/>
          <w:szCs w:val="16"/>
        </w:rPr>
        <w:t>有依法缴纳税收和社会保障资金的良好记录；提供</w:t>
      </w:r>
      <w:r>
        <w:rPr>
          <w:rFonts w:hint="eastAsia" w:hAnsi="宋体"/>
          <w:highlight w:val="none"/>
          <w:lang w:val="en-US" w:eastAsia="zh-CN"/>
        </w:rPr>
        <w:t>投标截止时间前六月内任一月</w:t>
      </w:r>
      <w:r>
        <w:rPr>
          <w:rFonts w:hint="eastAsia"/>
          <w:szCs w:val="16"/>
          <w:highlight w:val="none"/>
        </w:rPr>
        <w:t>的缴纳税收和社会保障资金的缴纳记录相关证明材料。如依法免税的，应提供相应文件证明其依法免税；如依法不需要缴纳社会保障资金</w:t>
      </w:r>
      <w:r>
        <w:rPr>
          <w:rFonts w:hint="eastAsia"/>
          <w:szCs w:val="16"/>
        </w:rPr>
        <w:t>的，应提供相应文件证明其依法不需要缴纳社会保障资金；</w:t>
      </w:r>
      <w:bookmarkStart w:id="60" w:name="_Toc371489960"/>
      <w:bookmarkStart w:id="61" w:name="_Toc67046898"/>
      <w:bookmarkStart w:id="62" w:name="_Toc6322300"/>
      <w:bookmarkStart w:id="63" w:name="_Toc462677238"/>
      <w:bookmarkStart w:id="64" w:name="_Toc370802478"/>
      <w:r>
        <w:rPr>
          <w:rFonts w:hint="eastAsia"/>
          <w:szCs w:val="16"/>
          <w:lang w:eastAsia="zh-CN"/>
        </w:rPr>
        <w:t>（投标人如为个体工商户不需提供）</w:t>
      </w:r>
    </w:p>
    <w:p>
      <w:pPr>
        <w:spacing w:line="360" w:lineRule="auto"/>
      </w:pPr>
      <w:r>
        <w:rPr>
          <w:rFonts w:hint="eastAsia"/>
        </w:rPr>
        <w:br w:type="page"/>
      </w:r>
    </w:p>
    <w:bookmarkEnd w:id="60"/>
    <w:bookmarkEnd w:id="61"/>
    <w:bookmarkEnd w:id="62"/>
    <w:bookmarkEnd w:id="63"/>
    <w:bookmarkEnd w:id="64"/>
    <w:p>
      <w:pPr>
        <w:pStyle w:val="7"/>
        <w:spacing w:before="0" w:after="0" w:line="360" w:lineRule="auto"/>
        <w:rPr>
          <w:sz w:val="24"/>
          <w:szCs w:val="24"/>
        </w:rPr>
      </w:pPr>
      <w:r>
        <w:rPr>
          <w:rFonts w:hint="eastAsia"/>
          <w:sz w:val="24"/>
          <w:szCs w:val="24"/>
        </w:rPr>
        <w:t>1.5中小企业声明函（如有）</w:t>
      </w:r>
    </w:p>
    <w:p>
      <w:pPr>
        <w:pStyle w:val="32"/>
        <w:ind w:left="480" w:firstLine="2168" w:firstLineChars="900"/>
        <w:rPr>
          <w:b/>
          <w:bCs/>
        </w:rPr>
      </w:pPr>
    </w:p>
    <w:p>
      <w:pPr>
        <w:pStyle w:val="32"/>
        <w:ind w:left="480" w:firstLine="2168" w:firstLineChars="900"/>
        <w:rPr>
          <w:b/>
          <w:bCs/>
          <w:sz w:val="28"/>
          <w:szCs w:val="28"/>
        </w:rPr>
      </w:pPr>
      <w:r>
        <w:rPr>
          <w:rFonts w:hint="eastAsia"/>
          <w:b/>
          <w:bCs/>
        </w:rPr>
        <w:t xml:space="preserve">中小企业声明函（货物） </w:t>
      </w:r>
    </w:p>
    <w:p>
      <w:pPr>
        <w:pStyle w:val="70"/>
        <w:spacing w:line="360" w:lineRule="auto"/>
        <w:ind w:firstLine="562"/>
        <w:rPr>
          <w:rFonts w:hint="default" w:ascii="宋体" w:hAnsi="宋体" w:eastAsia="宋体" w:cs="宋体"/>
          <w:sz w:val="24"/>
          <w:szCs w:val="16"/>
          <w:lang w:val="en-US" w:eastAsia="zh-CN" w:bidi="ar-SA"/>
        </w:rPr>
      </w:pPr>
      <w:r>
        <w:rPr>
          <w:rFonts w:hint="default" w:ascii="宋体" w:hAnsi="宋体" w:eastAsia="宋体" w:cs="宋体"/>
          <w:sz w:val="24"/>
          <w:szCs w:val="16"/>
          <w:lang w:val="en-US" w:eastAsia="zh-CN" w:bidi="ar-SA"/>
        </w:rPr>
        <w:t>本公司郑重声明，根据《政府采购促进中小企业发展管理办法》（财库</w:t>
      </w:r>
      <w:r>
        <w:rPr>
          <w:rFonts w:ascii="宋体" w:hAnsi="宋体" w:eastAsia="宋体" w:cs="宋体"/>
          <w:sz w:val="24"/>
          <w:szCs w:val="16"/>
          <w:lang w:val="en-US" w:eastAsia="zh-CN" w:bidi="ar-SA"/>
        </w:rPr>
        <w:t>﹝</w:t>
      </w:r>
      <w:r>
        <w:rPr>
          <w:rFonts w:hint="default" w:ascii="宋体" w:hAnsi="宋体" w:eastAsia="宋体" w:cs="宋体"/>
          <w:sz w:val="24"/>
          <w:szCs w:val="16"/>
          <w:lang w:val="en-US" w:eastAsia="zh-CN" w:bidi="ar-SA"/>
        </w:rPr>
        <w:t>2020</w:t>
      </w:r>
      <w:r>
        <w:rPr>
          <w:rFonts w:ascii="宋体" w:hAnsi="宋体" w:eastAsia="宋体" w:cs="宋体"/>
          <w:sz w:val="24"/>
          <w:szCs w:val="16"/>
          <w:lang w:val="en-US" w:eastAsia="zh-CN" w:bidi="ar-SA"/>
        </w:rPr>
        <w:t>﹞</w:t>
      </w:r>
      <w:r>
        <w:rPr>
          <w:rFonts w:hint="default" w:ascii="宋体" w:hAnsi="宋体" w:eastAsia="宋体" w:cs="宋体"/>
          <w:sz w:val="24"/>
          <w:szCs w:val="16"/>
          <w:lang w:val="en-US" w:eastAsia="zh-CN" w:bidi="ar-SA"/>
        </w:rPr>
        <w:t>46 号）的规定，本公司（联合体）参加（单位名称） 的（项目名称）采购活动，提供的货物全部由符合政策要求的中小企业制造。相关企业（含联合体中的中小企业、 签订分包意向协议的中小企业的具体情况如下：</w:t>
      </w:r>
    </w:p>
    <w:p>
      <w:pPr>
        <w:pStyle w:val="70"/>
        <w:spacing w:line="360" w:lineRule="auto"/>
        <w:ind w:firstLine="420"/>
        <w:rPr>
          <w:rFonts w:hint="default" w:ascii="宋体" w:hAnsi="宋体" w:eastAsia="宋体" w:cs="宋体"/>
          <w:sz w:val="24"/>
          <w:szCs w:val="16"/>
          <w:lang w:val="en-US" w:eastAsia="zh-CN" w:bidi="ar-SA"/>
        </w:rPr>
      </w:pPr>
      <w:r>
        <w:rPr>
          <w:rFonts w:hint="default" w:ascii="宋体" w:hAnsi="宋体" w:eastAsia="宋体" w:cs="宋体"/>
          <w:sz w:val="24"/>
          <w:szCs w:val="16"/>
          <w:lang w:val="en-US" w:eastAsia="zh-CN" w:bidi="ar-SA"/>
        </w:rPr>
        <w:t>1. （标的名称），属于（明确的所属行业）行业；制造商为（企业名称），从业人员人， 营业收入为万元， 资产总额为万元1， 属于（中型企业、 小型企业、 微型企业）；</w:t>
      </w:r>
    </w:p>
    <w:p>
      <w:pPr>
        <w:pStyle w:val="70"/>
        <w:spacing w:line="360" w:lineRule="auto"/>
        <w:ind w:firstLine="420"/>
        <w:rPr>
          <w:rFonts w:hint="default" w:ascii="宋体" w:hAnsi="宋体" w:eastAsia="宋体" w:cs="宋体"/>
          <w:sz w:val="24"/>
          <w:szCs w:val="16"/>
          <w:lang w:val="en-US" w:eastAsia="zh-CN" w:bidi="ar-SA"/>
        </w:rPr>
      </w:pPr>
      <w:r>
        <w:rPr>
          <w:rFonts w:hint="default" w:ascii="宋体" w:hAnsi="宋体" w:eastAsia="宋体" w:cs="宋体"/>
          <w:sz w:val="24"/>
          <w:szCs w:val="16"/>
          <w:lang w:val="en-US" w:eastAsia="zh-CN" w:bidi="ar-SA"/>
        </w:rPr>
        <w:t>2. （标的名称），属于（明确的所属行业）行业；制造商为（企业名称），从业人员人，营业收入为万元，资产总额为万元，属于（中型企业、 小型企业、 微型企业）；</w:t>
      </w:r>
    </w:p>
    <w:p>
      <w:pPr>
        <w:pStyle w:val="70"/>
        <w:spacing w:line="360" w:lineRule="auto"/>
        <w:ind w:firstLine="420"/>
        <w:rPr>
          <w:rFonts w:hint="default" w:ascii="宋体" w:hAnsi="宋体" w:eastAsia="宋体" w:cs="宋体"/>
          <w:sz w:val="24"/>
          <w:szCs w:val="16"/>
          <w:lang w:val="en-US" w:eastAsia="zh-CN" w:bidi="ar-SA"/>
        </w:rPr>
      </w:pPr>
      <w:r>
        <w:rPr>
          <w:rFonts w:hint="default" w:ascii="宋体" w:hAnsi="宋体" w:eastAsia="宋体" w:cs="宋体"/>
          <w:sz w:val="24"/>
          <w:szCs w:val="16"/>
          <w:lang w:val="en-US" w:eastAsia="zh-CN" w:bidi="ar-SA"/>
        </w:rPr>
        <w:t xml:space="preserve">    ……</w:t>
      </w:r>
    </w:p>
    <w:p>
      <w:pPr>
        <w:pStyle w:val="70"/>
        <w:spacing w:line="360" w:lineRule="auto"/>
        <w:ind w:firstLine="420"/>
        <w:rPr>
          <w:rFonts w:hint="default" w:ascii="宋体" w:hAnsi="宋体" w:eastAsia="宋体" w:cs="宋体"/>
          <w:sz w:val="24"/>
          <w:szCs w:val="16"/>
          <w:lang w:val="en-US" w:eastAsia="zh-CN" w:bidi="ar-SA"/>
        </w:rPr>
      </w:pPr>
      <w:r>
        <w:rPr>
          <w:rFonts w:hint="default" w:ascii="宋体" w:hAnsi="宋体" w:eastAsia="宋体" w:cs="宋体"/>
          <w:sz w:val="24"/>
          <w:szCs w:val="16"/>
          <w:lang w:val="en-US" w:eastAsia="zh-CN" w:bidi="ar-SA"/>
        </w:rPr>
        <w:t>以上企业，不属于大企业的分支机构，不存在控股股东为大企业的情形， 也不存在与大企业的负责人为同一人的情形。</w:t>
      </w:r>
    </w:p>
    <w:p>
      <w:pPr>
        <w:spacing w:line="360" w:lineRule="auto"/>
        <w:ind w:firstLine="435"/>
        <w:rPr>
          <w:rFonts w:ascii="宋体" w:hAnsi="宋体" w:eastAsia="宋体" w:cs="宋体"/>
          <w:sz w:val="24"/>
          <w:szCs w:val="16"/>
          <w:lang w:val="en-US" w:eastAsia="zh-CN" w:bidi="ar-SA"/>
        </w:rPr>
      </w:pPr>
      <w:r>
        <w:rPr>
          <w:rFonts w:hint="default" w:ascii="宋体" w:hAnsi="宋体" w:eastAsia="宋体" w:cs="宋体"/>
          <w:sz w:val="24"/>
          <w:szCs w:val="16"/>
          <w:lang w:val="en-US" w:eastAsia="zh-CN" w:bidi="ar-SA"/>
        </w:rPr>
        <w:t>本企业对上述声明内容的真实性负责。如有虚假，将依法承担相应责任。</w:t>
      </w:r>
    </w:p>
    <w:p>
      <w:pPr>
        <w:spacing w:line="360" w:lineRule="auto"/>
        <w:ind w:firstLine="435"/>
        <w:jc w:val="right"/>
        <w:rPr>
          <w:rFonts w:ascii="宋体" w:hAnsi="宋体" w:eastAsia="宋体" w:cs="宋体"/>
          <w:sz w:val="24"/>
          <w:szCs w:val="16"/>
          <w:lang w:val="en-US" w:eastAsia="zh-CN" w:bidi="ar-SA"/>
        </w:rPr>
      </w:pPr>
    </w:p>
    <w:p>
      <w:pPr>
        <w:spacing w:line="360" w:lineRule="auto"/>
        <w:ind w:firstLine="435"/>
        <w:jc w:val="right"/>
        <w:rPr>
          <w:rFonts w:ascii="宋体" w:hAnsi="宋体" w:eastAsia="宋体" w:cs="宋体"/>
          <w:sz w:val="24"/>
          <w:szCs w:val="16"/>
          <w:lang w:val="en-US" w:eastAsia="zh-CN" w:bidi="ar-SA"/>
        </w:rPr>
      </w:pPr>
      <w:r>
        <w:rPr>
          <w:rFonts w:hint="eastAsia" w:ascii="宋体" w:hAnsi="宋体" w:eastAsia="宋体" w:cs="宋体"/>
          <w:sz w:val="24"/>
          <w:szCs w:val="16"/>
          <w:lang w:val="en-US" w:eastAsia="zh-CN" w:bidi="ar-SA"/>
        </w:rPr>
        <w:t>企业名称（盖章）：.</w:t>
      </w:r>
    </w:p>
    <w:p>
      <w:pPr>
        <w:spacing w:line="360" w:lineRule="auto"/>
        <w:ind w:firstLine="435"/>
        <w:jc w:val="right"/>
        <w:rPr>
          <w:rFonts w:ascii="宋体" w:hAnsi="宋体" w:eastAsia="宋体" w:cs="宋体"/>
          <w:sz w:val="24"/>
          <w:szCs w:val="16"/>
          <w:lang w:val="en-US" w:eastAsia="zh-CN" w:bidi="ar-SA"/>
        </w:rPr>
      </w:pPr>
      <w:r>
        <w:rPr>
          <w:rFonts w:hint="eastAsia" w:ascii="宋体" w:hAnsi="宋体" w:eastAsia="宋体" w:cs="宋体"/>
          <w:sz w:val="24"/>
          <w:szCs w:val="16"/>
          <w:lang w:val="en-US" w:eastAsia="zh-CN" w:bidi="ar-SA"/>
        </w:rPr>
        <w:t>日 期：.</w:t>
      </w:r>
    </w:p>
    <w:p>
      <w:pPr>
        <w:spacing w:line="360" w:lineRule="auto"/>
        <w:ind w:firstLine="435"/>
        <w:rPr>
          <w:rFonts w:ascii="宋体" w:hAnsi="宋体" w:eastAsia="宋体" w:cs="宋体"/>
          <w:sz w:val="24"/>
          <w:szCs w:val="16"/>
          <w:lang w:val="en-US" w:eastAsia="zh-CN" w:bidi="ar-SA"/>
        </w:rPr>
      </w:pPr>
      <w:r>
        <w:rPr>
          <w:rFonts w:hint="eastAsia" w:ascii="宋体" w:hAnsi="宋体" w:eastAsia="宋体" w:cs="宋体"/>
          <w:sz w:val="24"/>
          <w:szCs w:val="16"/>
          <w:lang w:val="en-US" w:eastAsia="zh-CN" w:bidi="ar-SA"/>
        </w:rPr>
        <w:t>说明：</w:t>
      </w:r>
    </w:p>
    <w:p>
      <w:pPr>
        <w:spacing w:line="360" w:lineRule="auto"/>
        <w:ind w:firstLine="435"/>
        <w:rPr>
          <w:rFonts w:ascii="宋体" w:hAnsi="宋体" w:eastAsia="宋体" w:cs="宋体"/>
          <w:sz w:val="24"/>
          <w:szCs w:val="16"/>
          <w:lang w:val="en-US" w:eastAsia="zh-CN" w:bidi="ar-SA"/>
        </w:rPr>
      </w:pPr>
      <w:r>
        <w:rPr>
          <w:rFonts w:hint="eastAsia" w:ascii="宋体" w:hAnsi="宋体" w:eastAsia="宋体" w:cs="宋体"/>
          <w:sz w:val="24"/>
          <w:szCs w:val="16"/>
          <w:lang w:val="en-US" w:eastAsia="zh-CN" w:bidi="ar-SA"/>
        </w:rPr>
        <w:t>1.从业人员、营业收入、资产总额填报上一年度数据，无上一年度数据的新成立企业可不填报。</w:t>
      </w:r>
    </w:p>
    <w:p>
      <w:pPr>
        <w:spacing w:line="360" w:lineRule="auto"/>
        <w:ind w:firstLine="435"/>
        <w:rPr>
          <w:rFonts w:hint="eastAsia" w:ascii="宋体" w:hAnsi="宋体" w:eastAsia="宋体" w:cs="宋体"/>
          <w:sz w:val="24"/>
          <w:szCs w:val="16"/>
          <w:lang w:val="en-US" w:eastAsia="zh-CN" w:bidi="ar-SA"/>
        </w:rPr>
      </w:pPr>
      <w:r>
        <w:rPr>
          <w:rFonts w:hint="eastAsia" w:ascii="宋体" w:hAnsi="宋体" w:eastAsia="宋体" w:cs="宋体"/>
          <w:sz w:val="24"/>
          <w:szCs w:val="16"/>
          <w:lang w:val="en-US" w:eastAsia="zh-CN" w:bidi="ar-SA"/>
        </w:rPr>
        <w:t>2.本项目针对属于专门面向中小企业采购的，供应商须提供本声明函。</w:t>
      </w:r>
    </w:p>
    <w:p>
      <w:pPr>
        <w:spacing w:line="360" w:lineRule="auto"/>
        <w:ind w:firstLine="435"/>
        <w:rPr>
          <w:rFonts w:hint="eastAsia" w:ascii="宋体" w:hAnsi="宋体" w:eastAsia="宋体" w:cs="宋体"/>
          <w:sz w:val="24"/>
          <w:szCs w:val="16"/>
          <w:lang w:val="en-US" w:eastAsia="zh-CN" w:bidi="ar-SA"/>
        </w:rPr>
      </w:pPr>
      <w:r>
        <w:rPr>
          <w:rFonts w:hint="eastAsia" w:ascii="宋体" w:hAnsi="宋体" w:eastAsia="宋体" w:cs="宋体"/>
          <w:sz w:val="24"/>
          <w:szCs w:val="16"/>
          <w:lang w:val="en-US" w:eastAsia="zh-CN" w:bidi="ar-SA"/>
        </w:rPr>
        <w:t>3.本项目针对不属于专门面向中小企业采购的，如供应商所投货物总额大部分为中小企业生产，或使用该中小企业商号、注册商标，可提供本声明函，填写相应信息，并明确企业类型，否则评审时不能享受相应的价格扣除；如供应商所投所有货物不由中小企业制造商制造的，则无须提供本声明函。</w:t>
      </w:r>
    </w:p>
    <w:p>
      <w:pPr>
        <w:spacing w:line="360" w:lineRule="auto"/>
        <w:ind w:firstLine="435"/>
        <w:rPr>
          <w:rFonts w:ascii="宋体" w:hAnsi="宋体" w:eastAsia="宋体" w:cs="宋体"/>
          <w:sz w:val="24"/>
          <w:szCs w:val="16"/>
          <w:lang w:val="en-US" w:eastAsia="zh-CN" w:bidi="ar-SA"/>
        </w:rPr>
      </w:pPr>
      <w:r>
        <w:rPr>
          <w:rFonts w:hint="eastAsia" w:ascii="宋体" w:hAnsi="宋体" w:eastAsia="宋体" w:cs="宋体"/>
          <w:sz w:val="24"/>
          <w:szCs w:val="16"/>
          <w:lang w:val="en-US" w:eastAsia="zh-CN" w:bidi="ar-SA"/>
        </w:rPr>
        <w:t>4.供应商应当对其出具的《中小企业声明函》真实性负责，供应商出具的《中小企业声明函》内容不实的，属于提供虚假材料谋取中标。在实际操作中，供应商希望获得中小企业扶持政策支持的，应从制造商处获得充分、准确的信息。对相关制造商信息了解不充分，或者不能确定相关信息真实、准确的，不建议出具《中小企业声明函》。</w:t>
      </w:r>
    </w:p>
    <w:p>
      <w:pPr>
        <w:spacing w:line="360" w:lineRule="auto"/>
        <w:ind w:firstLine="435"/>
        <w:rPr>
          <w:rFonts w:ascii="宋体" w:hAnsi="宋体" w:eastAsia="宋体" w:cs="宋体"/>
          <w:sz w:val="24"/>
          <w:szCs w:val="16"/>
          <w:lang w:val="en-US" w:eastAsia="zh-CN" w:bidi="ar-SA"/>
        </w:rPr>
      </w:pPr>
      <w:r>
        <w:rPr>
          <w:rFonts w:hint="eastAsia" w:ascii="宋体" w:hAnsi="宋体" w:eastAsia="宋体" w:cs="宋体"/>
          <w:sz w:val="24"/>
          <w:szCs w:val="16"/>
          <w:lang w:val="en-US" w:eastAsia="zh-CN" w:bidi="ar-SA"/>
        </w:rPr>
        <w:t xml:space="preserve">5.供应商根据招标文件中明确的行业所对应的划分标准，判断制造商是否属于中小企业，如属于中小企业，请根据自身情况三选一（中型企业、小型企业、微型企业）填写。 </w:t>
      </w:r>
    </w:p>
    <w:p>
      <w:pPr>
        <w:spacing w:line="360" w:lineRule="auto"/>
        <w:ind w:firstLine="435"/>
      </w:pPr>
      <w:r>
        <w:rPr>
          <w:rFonts w:hint="eastAsia" w:ascii="宋体" w:hAnsi="宋体" w:eastAsia="宋体" w:cs="宋体"/>
          <w:sz w:val="24"/>
          <w:szCs w:val="16"/>
          <w:lang w:val="en-US" w:eastAsia="zh-CN" w:bidi="ar-SA"/>
        </w:rPr>
        <w:t>6.为方便广大中小企业识别企业规模类型，可通过中小企业规模类型自测小程序（</w:t>
      </w:r>
      <w:r>
        <w:rPr>
          <w:rFonts w:ascii="宋体" w:hAnsi="宋体" w:eastAsia="宋体" w:cs="宋体"/>
          <w:sz w:val="24"/>
          <w:szCs w:val="16"/>
          <w:lang w:val="en-US" w:eastAsia="zh-CN" w:bidi="ar-SA"/>
        </w:rPr>
        <w:fldChar w:fldCharType="begin"/>
      </w:r>
      <w:r>
        <w:rPr>
          <w:rFonts w:ascii="宋体" w:hAnsi="宋体" w:eastAsia="宋体" w:cs="宋体"/>
          <w:sz w:val="24"/>
          <w:szCs w:val="16"/>
          <w:lang w:val="en-US" w:eastAsia="zh-CN" w:bidi="ar-SA"/>
        </w:rPr>
        <w:instrText xml:space="preserve"> HYPERLINK "http://202.106.120.146/baosong/appweb/orgScale.html" </w:instrText>
      </w:r>
      <w:r>
        <w:rPr>
          <w:rFonts w:ascii="宋体" w:hAnsi="宋体" w:eastAsia="宋体" w:cs="宋体"/>
          <w:sz w:val="24"/>
          <w:szCs w:val="16"/>
          <w:lang w:val="en-US" w:eastAsia="zh-CN" w:bidi="ar-SA"/>
        </w:rPr>
        <w:fldChar w:fldCharType="separate"/>
      </w:r>
      <w:r>
        <w:rPr>
          <w:rFonts w:hint="eastAsia" w:ascii="宋体" w:hAnsi="宋体" w:eastAsia="宋体" w:cs="宋体"/>
          <w:sz w:val="24"/>
          <w:szCs w:val="16"/>
          <w:lang w:val="en-US" w:eastAsia="zh-CN" w:bidi="ar-SA"/>
        </w:rPr>
        <w:t>http://202.106.120.146/baosong/appweb/orgScale.html</w:t>
      </w:r>
      <w:r>
        <w:rPr>
          <w:rFonts w:hint="eastAsia" w:ascii="宋体" w:hAnsi="宋体" w:eastAsia="宋体" w:cs="宋体"/>
          <w:sz w:val="24"/>
          <w:szCs w:val="16"/>
          <w:lang w:val="en-US" w:eastAsia="zh-CN" w:bidi="ar-SA"/>
        </w:rPr>
        <w:fldChar w:fldCharType="end"/>
      </w:r>
      <w:r>
        <w:rPr>
          <w:rFonts w:hint="eastAsia" w:ascii="宋体" w:hAnsi="宋体" w:eastAsia="宋体" w:cs="宋体"/>
          <w:sz w:val="24"/>
          <w:szCs w:val="16"/>
          <w:lang w:val="en-US" w:eastAsia="zh-CN" w:bidi="ar-SA"/>
        </w:rPr>
        <w:t>）进行查询。</w:t>
      </w:r>
      <w:r>
        <w:rPr>
          <w:rFonts w:hint="eastAsia"/>
        </w:rPr>
        <w:br w:type="page"/>
      </w:r>
    </w:p>
    <w:p>
      <w:pPr>
        <w:pStyle w:val="7"/>
        <w:spacing w:before="0" w:after="0" w:line="360" w:lineRule="auto"/>
        <w:rPr>
          <w:sz w:val="24"/>
          <w:szCs w:val="24"/>
        </w:rPr>
      </w:pPr>
      <w:bookmarkStart w:id="65" w:name="_Toc67046900"/>
    </w:p>
    <w:p>
      <w:pPr>
        <w:pStyle w:val="7"/>
        <w:spacing w:before="0" w:after="0" w:line="360" w:lineRule="auto"/>
        <w:rPr>
          <w:sz w:val="24"/>
          <w:szCs w:val="24"/>
        </w:rPr>
      </w:pPr>
      <w:r>
        <w:rPr>
          <w:rFonts w:hint="eastAsia"/>
          <w:sz w:val="24"/>
          <w:szCs w:val="24"/>
        </w:rPr>
        <w:t>1.6监狱企业的证明文件（如有）</w:t>
      </w:r>
      <w:bookmarkEnd w:id="65"/>
    </w:p>
    <w:p>
      <w:pPr>
        <w:pStyle w:val="28"/>
        <w:shd w:val="clear" w:color="auto" w:fill="FFFFFF"/>
        <w:spacing w:line="360" w:lineRule="auto"/>
        <w:jc w:val="center"/>
        <w:rPr>
          <w:rFonts w:ascii="宋体" w:hAnsi="宋体"/>
          <w:b/>
          <w:bCs/>
          <w:color w:val="auto"/>
          <w:spacing w:val="10"/>
        </w:rPr>
      </w:pPr>
      <w:r>
        <w:rPr>
          <w:rStyle w:val="36"/>
          <w:rFonts w:hint="eastAsia" w:ascii="宋体" w:hAnsi="宋体"/>
          <w:color w:val="auto"/>
        </w:rPr>
        <w:t>监狱企业的证明文件</w:t>
      </w:r>
    </w:p>
    <w:p>
      <w:pPr>
        <w:spacing w:line="360" w:lineRule="auto"/>
        <w:ind w:firstLine="435"/>
        <w:rPr>
          <w:szCs w:val="16"/>
        </w:rPr>
      </w:pPr>
      <w:r>
        <w:rPr>
          <w:rFonts w:hint="eastAsia"/>
          <w:szCs w:val="16"/>
        </w:rPr>
        <w:t>……（格式自拟）</w:t>
      </w:r>
    </w:p>
    <w:p>
      <w:pPr>
        <w:spacing w:line="480" w:lineRule="auto"/>
        <w:ind w:firstLine="435"/>
        <w:rPr>
          <w:szCs w:val="16"/>
        </w:rPr>
      </w:pPr>
    </w:p>
    <w:p>
      <w:pPr>
        <w:spacing w:line="480" w:lineRule="auto"/>
        <w:ind w:firstLine="435"/>
        <w:rPr>
          <w:szCs w:val="16"/>
        </w:rPr>
      </w:pPr>
      <w:r>
        <w:rPr>
          <w:rFonts w:hint="eastAsia"/>
          <w:szCs w:val="16"/>
        </w:rPr>
        <w:t>供应商法定代表人/授权代表（签字或盖私章）：</w:t>
      </w:r>
    </w:p>
    <w:p>
      <w:pPr>
        <w:spacing w:line="480" w:lineRule="auto"/>
        <w:ind w:firstLine="435"/>
        <w:rPr>
          <w:szCs w:val="16"/>
        </w:rPr>
      </w:pPr>
      <w:r>
        <w:rPr>
          <w:rFonts w:hint="eastAsia"/>
          <w:szCs w:val="16"/>
        </w:rPr>
        <w:t>供应商名称（加盖公章）：</w:t>
      </w:r>
    </w:p>
    <w:p>
      <w:pPr>
        <w:spacing w:line="480" w:lineRule="auto"/>
        <w:ind w:firstLine="435"/>
        <w:rPr>
          <w:szCs w:val="16"/>
        </w:rPr>
      </w:pPr>
      <w:r>
        <w:rPr>
          <w:rFonts w:hint="eastAsia"/>
          <w:szCs w:val="16"/>
        </w:rPr>
        <w:t>日期：年月日</w:t>
      </w:r>
    </w:p>
    <w:p>
      <w:pPr>
        <w:spacing w:line="360" w:lineRule="auto"/>
        <w:ind w:firstLine="435"/>
        <w:rPr>
          <w:szCs w:val="16"/>
        </w:rPr>
      </w:pPr>
    </w:p>
    <w:p>
      <w:pPr>
        <w:spacing w:line="600" w:lineRule="auto"/>
        <w:ind w:firstLine="435"/>
        <w:rPr>
          <w:sz w:val="20"/>
          <w:szCs w:val="15"/>
        </w:rPr>
      </w:pPr>
      <w:r>
        <w:rPr>
          <w:rFonts w:hint="eastAsia"/>
          <w:sz w:val="20"/>
          <w:szCs w:val="15"/>
        </w:rPr>
        <w:t>说明：</w:t>
      </w:r>
    </w:p>
    <w:p>
      <w:pPr>
        <w:spacing w:line="600" w:lineRule="auto"/>
        <w:ind w:firstLine="435"/>
        <w:rPr>
          <w:sz w:val="20"/>
          <w:szCs w:val="15"/>
        </w:rPr>
      </w:pPr>
      <w:r>
        <w:rPr>
          <w:rFonts w:hint="eastAsia"/>
          <w:sz w:val="20"/>
          <w:szCs w:val="15"/>
        </w:rPr>
        <w:t>1.监狱企业参加政府采购活动时，应当提供由省级以上监狱管理局、戒毒管理局（含新疆生产建设兵团）出具的属于监狱企业的证明文件；</w:t>
      </w:r>
    </w:p>
    <w:p>
      <w:pPr>
        <w:spacing w:line="600" w:lineRule="auto"/>
        <w:ind w:firstLine="435"/>
        <w:rPr>
          <w:sz w:val="20"/>
          <w:szCs w:val="15"/>
        </w:rPr>
      </w:pPr>
      <w:r>
        <w:rPr>
          <w:rFonts w:hint="eastAsia"/>
          <w:sz w:val="20"/>
          <w:szCs w:val="15"/>
        </w:rPr>
        <w:t>2.如供应商不属于监狱企业，则无须提供。</w:t>
      </w:r>
    </w:p>
    <w:p>
      <w:pPr>
        <w:pStyle w:val="7"/>
        <w:spacing w:before="0" w:after="0" w:line="360" w:lineRule="auto"/>
        <w:rPr>
          <w:spacing w:val="4"/>
        </w:rPr>
      </w:pPr>
      <w:r>
        <w:rPr>
          <w:rFonts w:hint="eastAsia"/>
          <w:spacing w:val="4"/>
        </w:rPr>
        <w:br w:type="page"/>
      </w:r>
      <w:bookmarkStart w:id="66" w:name="_Toc67046901"/>
    </w:p>
    <w:p>
      <w:pPr>
        <w:pStyle w:val="7"/>
        <w:spacing w:before="0" w:after="0" w:line="360" w:lineRule="auto"/>
        <w:rPr>
          <w:sz w:val="24"/>
          <w:szCs w:val="24"/>
        </w:rPr>
      </w:pPr>
      <w:r>
        <w:rPr>
          <w:rFonts w:hint="eastAsia"/>
          <w:sz w:val="24"/>
          <w:szCs w:val="24"/>
        </w:rPr>
        <w:t>1.7残疾人福利性单位声明函（如有）</w:t>
      </w:r>
      <w:bookmarkEnd w:id="66"/>
    </w:p>
    <w:p>
      <w:pPr>
        <w:pStyle w:val="28"/>
        <w:shd w:val="clear" w:color="auto" w:fill="FFFFFF"/>
        <w:spacing w:line="360" w:lineRule="auto"/>
        <w:jc w:val="center"/>
        <w:rPr>
          <w:rStyle w:val="36"/>
          <w:rFonts w:ascii="宋体" w:hAnsi="宋体"/>
          <w:color w:val="auto"/>
        </w:rPr>
      </w:pPr>
    </w:p>
    <w:p>
      <w:pPr>
        <w:pStyle w:val="28"/>
        <w:shd w:val="clear" w:color="auto" w:fill="FFFFFF"/>
        <w:spacing w:line="360" w:lineRule="auto"/>
        <w:jc w:val="center"/>
        <w:rPr>
          <w:rStyle w:val="36"/>
          <w:rFonts w:ascii="宋体" w:hAnsi="宋体"/>
          <w:color w:val="auto"/>
        </w:rPr>
      </w:pPr>
      <w:r>
        <w:rPr>
          <w:rStyle w:val="36"/>
          <w:rFonts w:hint="eastAsia" w:ascii="宋体" w:hAnsi="宋体"/>
          <w:color w:val="auto"/>
        </w:rPr>
        <w:t>残疾人福利性单位声明函</w:t>
      </w:r>
    </w:p>
    <w:p>
      <w:pPr>
        <w:spacing w:line="360" w:lineRule="auto"/>
        <w:ind w:firstLine="435"/>
        <w:rPr>
          <w:szCs w:val="16"/>
        </w:rPr>
      </w:pPr>
      <w:r>
        <w:rPr>
          <w:rFonts w:hint="eastAsia"/>
          <w:szCs w:val="16"/>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35"/>
        <w:rPr>
          <w:szCs w:val="16"/>
        </w:rPr>
      </w:pPr>
      <w:r>
        <w:rPr>
          <w:rFonts w:hint="eastAsia"/>
          <w:szCs w:val="16"/>
        </w:rPr>
        <w:t>本单位对上述声明的真实性负责。如有虚假，将依法承担相应责任。</w:t>
      </w:r>
    </w:p>
    <w:p>
      <w:pPr>
        <w:spacing w:line="360" w:lineRule="auto"/>
        <w:ind w:firstLine="435"/>
        <w:rPr>
          <w:szCs w:val="16"/>
        </w:rPr>
      </w:pPr>
    </w:p>
    <w:p>
      <w:pPr>
        <w:spacing w:line="360" w:lineRule="auto"/>
        <w:ind w:firstLine="435"/>
        <w:rPr>
          <w:szCs w:val="16"/>
        </w:rPr>
      </w:pPr>
    </w:p>
    <w:p>
      <w:pPr>
        <w:spacing w:line="720" w:lineRule="auto"/>
        <w:ind w:firstLine="435"/>
        <w:rPr>
          <w:szCs w:val="16"/>
        </w:rPr>
      </w:pPr>
      <w:r>
        <w:rPr>
          <w:rFonts w:hint="eastAsia"/>
          <w:szCs w:val="16"/>
        </w:rPr>
        <w:t>供应商法定代表人/授权代表（签字或盖私章）：</w:t>
      </w:r>
    </w:p>
    <w:p>
      <w:pPr>
        <w:spacing w:line="720" w:lineRule="auto"/>
        <w:ind w:firstLine="435"/>
        <w:rPr>
          <w:szCs w:val="16"/>
        </w:rPr>
      </w:pPr>
      <w:r>
        <w:rPr>
          <w:rFonts w:hint="eastAsia"/>
          <w:szCs w:val="16"/>
        </w:rPr>
        <w:t>供应商名称（加盖公章）：</w:t>
      </w:r>
    </w:p>
    <w:p>
      <w:pPr>
        <w:spacing w:line="720" w:lineRule="auto"/>
        <w:ind w:firstLine="435"/>
        <w:rPr>
          <w:szCs w:val="16"/>
        </w:rPr>
      </w:pPr>
      <w:r>
        <w:rPr>
          <w:rFonts w:hint="eastAsia"/>
          <w:szCs w:val="16"/>
        </w:rPr>
        <w:t>日期：年月日</w:t>
      </w:r>
    </w:p>
    <w:p>
      <w:pPr>
        <w:spacing w:line="360" w:lineRule="auto"/>
        <w:ind w:firstLine="435"/>
        <w:rPr>
          <w:szCs w:val="16"/>
        </w:rPr>
      </w:pPr>
    </w:p>
    <w:p>
      <w:pPr>
        <w:spacing w:line="360" w:lineRule="auto"/>
        <w:ind w:firstLine="435"/>
        <w:rPr>
          <w:szCs w:val="16"/>
        </w:rPr>
      </w:pPr>
      <w:r>
        <w:rPr>
          <w:rFonts w:hint="eastAsia"/>
          <w:szCs w:val="16"/>
        </w:rPr>
        <w:t>注：如供应商不属于残疾人福利单位，则无须提供。</w:t>
      </w:r>
    </w:p>
    <w:p>
      <w:pPr>
        <w:rPr>
          <w:szCs w:val="16"/>
        </w:rPr>
      </w:pPr>
      <w:r>
        <w:rPr>
          <w:szCs w:val="16"/>
        </w:rPr>
        <w:br w:type="page"/>
      </w:r>
    </w:p>
    <w:p>
      <w:pPr>
        <w:widowControl w:val="0"/>
        <w:spacing w:line="360" w:lineRule="auto"/>
        <w:rPr>
          <w:b/>
          <w:bCs/>
        </w:rPr>
      </w:pPr>
      <w:r>
        <w:rPr>
          <w:rFonts w:hint="eastAsia"/>
          <w:b/>
          <w:bCs/>
        </w:rPr>
        <w:t>1.8相关证件</w:t>
      </w:r>
    </w:p>
    <w:p>
      <w:pPr>
        <w:widowControl w:val="0"/>
        <w:spacing w:line="360" w:lineRule="auto"/>
        <w:ind w:firstLine="480" w:firstLineChars="200"/>
      </w:pPr>
      <w:r>
        <w:rPr>
          <w:rFonts w:hint="eastAsia"/>
        </w:rPr>
        <w:t>1、供应商应备有效的营业执照；</w:t>
      </w:r>
    </w:p>
    <w:p>
      <w:pPr>
        <w:widowControl w:val="0"/>
        <w:spacing w:line="360" w:lineRule="auto"/>
        <w:ind w:firstLine="480" w:firstLineChars="200"/>
      </w:pPr>
      <w:r>
        <w:rPr>
          <w:rFonts w:hint="eastAsia"/>
        </w:rPr>
        <w:t>2、供应商须具备有效的《食品经营许可证》或</w:t>
      </w:r>
      <w:r>
        <w:rPr>
          <w:rFonts w:hint="eastAsia"/>
          <w:bCs/>
          <w:szCs w:val="21"/>
        </w:rPr>
        <w:t>《食品生产许可证</w:t>
      </w:r>
      <w:r>
        <w:rPr>
          <w:rFonts w:hint="eastAsia"/>
        </w:rPr>
        <w:t>》；</w:t>
      </w:r>
    </w:p>
    <w:p>
      <w:pPr>
        <w:widowControl w:val="0"/>
        <w:spacing w:line="360" w:lineRule="auto"/>
        <w:ind w:firstLine="480" w:firstLineChars="200"/>
      </w:pPr>
      <w:r>
        <w:rPr>
          <w:rFonts w:hint="eastAsia"/>
        </w:rPr>
        <w:t>3、供应商具备具有市级（含）（含产地）以上食品质检部门出具的投标产品质量检测报告</w:t>
      </w:r>
      <w:r>
        <w:rPr>
          <w:rFonts w:hint="eastAsia"/>
          <w:lang w:eastAsia="zh-CN"/>
        </w:rPr>
        <w:t>（</w:t>
      </w:r>
      <w:r>
        <w:rPr>
          <w:rFonts w:hint="eastAsia"/>
          <w:lang w:val="en-US" w:eastAsia="zh-CN"/>
        </w:rPr>
        <w:t>投标截止时间前六月内任一月）</w:t>
      </w:r>
    </w:p>
    <w:p>
      <w:pPr>
        <w:pStyle w:val="5"/>
      </w:pPr>
      <w:r>
        <w:rPr>
          <w:rFonts w:hint="eastAsia"/>
        </w:rPr>
        <w:t>须提供相关证件</w:t>
      </w:r>
    </w:p>
    <w:p>
      <w:pPr>
        <w:pStyle w:val="6"/>
      </w:pPr>
    </w:p>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40"/>
      </w:pPr>
    </w:p>
    <w:p>
      <w:pPr>
        <w:pStyle w:val="7"/>
        <w:spacing w:before="0" w:after="0" w:line="360" w:lineRule="auto"/>
        <w:rPr>
          <w:sz w:val="24"/>
          <w:szCs w:val="24"/>
        </w:rPr>
      </w:pPr>
      <w:r>
        <w:rPr>
          <w:rFonts w:hint="eastAsia"/>
          <w:sz w:val="24"/>
          <w:szCs w:val="24"/>
        </w:rPr>
        <w:t>1.9商务条款偏离表</w:t>
      </w:r>
    </w:p>
    <w:p>
      <w:pPr>
        <w:pStyle w:val="114"/>
        <w:spacing w:line="500" w:lineRule="exact"/>
        <w:ind w:left="480"/>
        <w:rPr>
          <w:rFonts w:ascii="宋体" w:hAnsi="宋体"/>
        </w:rPr>
      </w:pPr>
      <w:r>
        <w:rPr>
          <w:rFonts w:hint="eastAsia" w:ascii="宋体" w:hAnsi="宋体"/>
        </w:rPr>
        <w:t>供应商名称：</w:t>
      </w:r>
    </w:p>
    <w:p>
      <w:pPr>
        <w:pStyle w:val="114"/>
        <w:spacing w:line="500" w:lineRule="exact"/>
        <w:ind w:left="480"/>
        <w:rPr>
          <w:rFonts w:ascii="宋体" w:hAnsi="宋体"/>
          <w:u w:val="single"/>
        </w:rPr>
      </w:pPr>
      <w:r>
        <w:rPr>
          <w:rFonts w:hint="eastAsia" w:ascii="宋体" w:hAnsi="宋体"/>
        </w:rPr>
        <w:t xml:space="preserve">项目编号： </w:t>
      </w:r>
    </w:p>
    <w:tbl>
      <w:tblPr>
        <w:tblStyle w:val="33"/>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vAlign w:val="center"/>
          </w:tcPr>
          <w:p>
            <w:pPr>
              <w:pStyle w:val="114"/>
              <w:spacing w:line="500" w:lineRule="exact"/>
              <w:jc w:val="center"/>
              <w:rPr>
                <w:rFonts w:ascii="宋体" w:hAnsi="宋体"/>
              </w:rPr>
            </w:pPr>
            <w:r>
              <w:rPr>
                <w:rFonts w:hint="eastAsia" w:ascii="宋体" w:hAnsi="宋体"/>
              </w:rPr>
              <w:t>序号</w:t>
            </w:r>
          </w:p>
        </w:tc>
        <w:tc>
          <w:tcPr>
            <w:tcW w:w="2552" w:type="dxa"/>
            <w:vAlign w:val="center"/>
          </w:tcPr>
          <w:p>
            <w:pPr>
              <w:pStyle w:val="114"/>
              <w:spacing w:line="500" w:lineRule="exact"/>
              <w:jc w:val="center"/>
              <w:rPr>
                <w:rFonts w:ascii="宋体" w:hAnsi="宋体"/>
              </w:rPr>
            </w:pPr>
            <w:r>
              <w:rPr>
                <w:rFonts w:hint="eastAsia" w:ascii="宋体" w:hAnsi="宋体"/>
              </w:rPr>
              <w:t>招标文件的商务条款</w:t>
            </w:r>
          </w:p>
        </w:tc>
        <w:tc>
          <w:tcPr>
            <w:tcW w:w="2409" w:type="dxa"/>
            <w:vAlign w:val="center"/>
          </w:tcPr>
          <w:p>
            <w:pPr>
              <w:pStyle w:val="114"/>
              <w:spacing w:line="500" w:lineRule="exact"/>
              <w:jc w:val="center"/>
              <w:rPr>
                <w:rFonts w:ascii="宋体" w:hAnsi="宋体"/>
              </w:rPr>
            </w:pPr>
            <w:r>
              <w:rPr>
                <w:rFonts w:hint="eastAsia" w:ascii="宋体" w:hAnsi="宋体"/>
              </w:rPr>
              <w:t>响应文件的商务条款</w:t>
            </w:r>
          </w:p>
        </w:tc>
        <w:tc>
          <w:tcPr>
            <w:tcW w:w="1588" w:type="dxa"/>
            <w:vAlign w:val="center"/>
          </w:tcPr>
          <w:p>
            <w:pPr>
              <w:pStyle w:val="114"/>
              <w:spacing w:line="500" w:lineRule="exact"/>
              <w:jc w:val="center"/>
              <w:rPr>
                <w:rFonts w:ascii="宋体" w:hAnsi="宋体"/>
              </w:rPr>
            </w:pPr>
            <w:r>
              <w:rPr>
                <w:rFonts w:hint="eastAsia" w:ascii="宋体" w:hAnsi="宋体"/>
              </w:rPr>
              <w:t>偏离</w:t>
            </w:r>
          </w:p>
        </w:tc>
        <w:tc>
          <w:tcPr>
            <w:tcW w:w="1815" w:type="dxa"/>
            <w:vAlign w:val="center"/>
          </w:tcPr>
          <w:p>
            <w:pPr>
              <w:pStyle w:val="114"/>
              <w:spacing w:line="50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pPr>
              <w:pStyle w:val="114"/>
              <w:spacing w:line="500" w:lineRule="exact"/>
              <w:ind w:left="480" w:firstLine="480"/>
              <w:jc w:val="center"/>
              <w:rPr>
                <w:rFonts w:ascii="宋体" w:hAnsi="宋体"/>
              </w:rPr>
            </w:pPr>
          </w:p>
        </w:tc>
        <w:tc>
          <w:tcPr>
            <w:tcW w:w="2552" w:type="dxa"/>
          </w:tcPr>
          <w:p>
            <w:pPr>
              <w:pStyle w:val="114"/>
              <w:spacing w:line="500" w:lineRule="exact"/>
              <w:ind w:left="480" w:firstLine="480"/>
              <w:jc w:val="center"/>
              <w:rPr>
                <w:rFonts w:ascii="宋体" w:hAnsi="宋体"/>
              </w:rPr>
            </w:pPr>
          </w:p>
        </w:tc>
        <w:tc>
          <w:tcPr>
            <w:tcW w:w="2409" w:type="dxa"/>
          </w:tcPr>
          <w:p>
            <w:pPr>
              <w:pStyle w:val="114"/>
              <w:spacing w:line="500" w:lineRule="exact"/>
              <w:ind w:left="480" w:firstLine="480"/>
              <w:jc w:val="center"/>
              <w:rPr>
                <w:rFonts w:ascii="宋体" w:hAnsi="宋体"/>
              </w:rPr>
            </w:pPr>
          </w:p>
        </w:tc>
        <w:tc>
          <w:tcPr>
            <w:tcW w:w="1588"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bl>
    <w:p>
      <w:pPr>
        <w:pStyle w:val="114"/>
        <w:spacing w:line="500" w:lineRule="exact"/>
        <w:ind w:left="480" w:firstLine="480"/>
        <w:rPr>
          <w:rFonts w:ascii="宋体" w:hAnsi="宋体"/>
        </w:rPr>
      </w:pPr>
      <w:r>
        <w:rPr>
          <w:rFonts w:hint="eastAsia" w:ascii="宋体" w:hAnsi="宋体"/>
        </w:rPr>
        <w:t>注:若有偏离,请将具体偏离条款在</w:t>
      </w:r>
      <w:r>
        <w:rPr>
          <w:rFonts w:ascii="宋体" w:hAnsi="宋体"/>
        </w:rPr>
        <w:t>”</w:t>
      </w:r>
      <w:r>
        <w:rPr>
          <w:rFonts w:hint="eastAsia" w:ascii="宋体" w:hAnsi="宋体"/>
        </w:rPr>
        <w:t>偏离</w:t>
      </w:r>
      <w:r>
        <w:rPr>
          <w:rFonts w:ascii="宋体" w:hAnsi="宋体"/>
        </w:rPr>
        <w:t>”</w:t>
      </w:r>
      <w:r>
        <w:rPr>
          <w:rFonts w:hint="eastAsia" w:ascii="宋体" w:hAnsi="宋体"/>
        </w:rPr>
        <w:t>一栏中详细说明;若无偏离,请在</w:t>
      </w:r>
      <w:r>
        <w:rPr>
          <w:rFonts w:ascii="宋体" w:hAnsi="宋体"/>
        </w:rPr>
        <w:t>”</w:t>
      </w:r>
      <w:r>
        <w:rPr>
          <w:rFonts w:hint="eastAsia" w:ascii="宋体" w:hAnsi="宋体"/>
        </w:rPr>
        <w:t>偏离</w:t>
      </w:r>
      <w:r>
        <w:rPr>
          <w:rFonts w:ascii="宋体" w:hAnsi="宋体"/>
        </w:rPr>
        <w:t>”</w:t>
      </w:r>
      <w:r>
        <w:rPr>
          <w:rFonts w:hint="eastAsia" w:ascii="宋体" w:hAnsi="宋体"/>
        </w:rPr>
        <w:t>一栏中标注</w:t>
      </w:r>
      <w:r>
        <w:rPr>
          <w:rFonts w:ascii="宋体" w:hAnsi="宋体"/>
        </w:rPr>
        <w:t>”</w:t>
      </w:r>
      <w:r>
        <w:rPr>
          <w:rFonts w:hint="eastAsia" w:ascii="宋体" w:hAnsi="宋体"/>
        </w:rPr>
        <w:t>无</w:t>
      </w:r>
      <w:r>
        <w:rPr>
          <w:rFonts w:ascii="宋体" w:hAnsi="宋体"/>
        </w:rPr>
        <w:t>”</w:t>
      </w:r>
      <w:r>
        <w:rPr>
          <w:rFonts w:hint="eastAsia" w:ascii="宋体" w:hAnsi="宋体"/>
        </w:rPr>
        <w:t>字样.</w:t>
      </w:r>
    </w:p>
    <w:p>
      <w:pPr>
        <w:pStyle w:val="114"/>
        <w:spacing w:line="500" w:lineRule="exact"/>
        <w:ind w:left="480" w:firstLine="480"/>
        <w:rPr>
          <w:rFonts w:ascii="宋体" w:hAnsi="宋体"/>
        </w:rPr>
      </w:pPr>
    </w:p>
    <w:p>
      <w:pPr>
        <w:spacing w:line="720" w:lineRule="auto"/>
        <w:rPr>
          <w:szCs w:val="16"/>
        </w:rPr>
      </w:pPr>
      <w:r>
        <w:rPr>
          <w:rFonts w:hint="eastAsia"/>
          <w:szCs w:val="16"/>
        </w:rPr>
        <w:t>供应商法定代表人/授权代表（签字或盖私章）：</w:t>
      </w:r>
    </w:p>
    <w:p>
      <w:pPr>
        <w:spacing w:line="720" w:lineRule="auto"/>
        <w:rPr>
          <w:szCs w:val="16"/>
        </w:rPr>
      </w:pPr>
      <w:r>
        <w:rPr>
          <w:rFonts w:hint="eastAsia"/>
          <w:szCs w:val="16"/>
        </w:rPr>
        <w:t>供应商名称（加盖公章）：</w:t>
      </w:r>
    </w:p>
    <w:p>
      <w:pPr>
        <w:spacing w:line="720" w:lineRule="auto"/>
        <w:rPr>
          <w:szCs w:val="16"/>
        </w:rPr>
      </w:pPr>
      <w:r>
        <w:rPr>
          <w:rFonts w:hint="eastAsia"/>
          <w:szCs w:val="16"/>
        </w:rPr>
        <w:t>日期：年月日</w:t>
      </w:r>
    </w:p>
    <w:p>
      <w:pPr>
        <w:snapToGrid w:val="0"/>
        <w:spacing w:line="440" w:lineRule="exact"/>
        <w:ind w:firstLine="1440" w:firstLineChars="600"/>
        <w:jc w:val="right"/>
        <w:rPr>
          <w:rFonts w:cs="Times New Roman"/>
          <w:szCs w:val="21"/>
        </w:rPr>
      </w:pPr>
      <w:r>
        <w:rPr>
          <w:rFonts w:cs="Times New Roman"/>
          <w:szCs w:val="21"/>
        </w:rPr>
        <w:br w:type="page"/>
      </w:r>
    </w:p>
    <w:p>
      <w:pPr>
        <w:pStyle w:val="7"/>
        <w:spacing w:before="0" w:after="0" w:line="360" w:lineRule="auto"/>
        <w:rPr>
          <w:sz w:val="24"/>
          <w:szCs w:val="24"/>
        </w:rPr>
      </w:pPr>
      <w:bookmarkStart w:id="67" w:name="_Toc449387772"/>
      <w:bookmarkStart w:id="68" w:name="_Toc16052"/>
    </w:p>
    <w:p>
      <w:pPr>
        <w:pStyle w:val="7"/>
        <w:spacing w:before="0" w:after="0" w:line="360" w:lineRule="auto"/>
        <w:rPr>
          <w:sz w:val="24"/>
          <w:szCs w:val="24"/>
        </w:rPr>
      </w:pPr>
      <w:r>
        <w:rPr>
          <w:rFonts w:hint="eastAsia"/>
          <w:sz w:val="24"/>
          <w:szCs w:val="24"/>
        </w:rPr>
        <w:t>1</w:t>
      </w:r>
      <w:r>
        <w:rPr>
          <w:sz w:val="24"/>
          <w:szCs w:val="24"/>
        </w:rPr>
        <w:t>.1</w:t>
      </w:r>
      <w:r>
        <w:rPr>
          <w:rFonts w:hint="eastAsia"/>
          <w:sz w:val="24"/>
          <w:szCs w:val="24"/>
        </w:rPr>
        <w:t>0技术规格偏离表</w:t>
      </w:r>
      <w:bookmarkEnd w:id="67"/>
      <w:bookmarkEnd w:id="68"/>
    </w:p>
    <w:p>
      <w:pPr>
        <w:pStyle w:val="114"/>
        <w:spacing w:line="500" w:lineRule="exact"/>
        <w:ind w:left="480"/>
        <w:rPr>
          <w:rFonts w:ascii="宋体" w:hAnsi="宋体"/>
        </w:rPr>
      </w:pPr>
      <w:r>
        <w:rPr>
          <w:rFonts w:hint="eastAsia" w:ascii="宋体" w:hAnsi="宋体"/>
        </w:rPr>
        <w:t>供应商名称：</w:t>
      </w:r>
    </w:p>
    <w:p>
      <w:pPr>
        <w:pStyle w:val="114"/>
        <w:spacing w:line="500" w:lineRule="exact"/>
        <w:ind w:left="480"/>
        <w:rPr>
          <w:rFonts w:ascii="宋体" w:hAnsi="宋体"/>
          <w:u w:val="single"/>
        </w:rPr>
      </w:pPr>
      <w:r>
        <w:rPr>
          <w:rFonts w:hint="eastAsia" w:ascii="宋体" w:hAnsi="宋体"/>
        </w:rPr>
        <w:t xml:space="preserve">项目编号：  </w:t>
      </w:r>
    </w:p>
    <w:tbl>
      <w:tblPr>
        <w:tblStyle w:val="33"/>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312"/>
        <w:gridCol w:w="1965"/>
        <w:gridCol w:w="1785"/>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vAlign w:val="center"/>
          </w:tcPr>
          <w:p>
            <w:pPr>
              <w:pStyle w:val="114"/>
              <w:spacing w:line="500" w:lineRule="exact"/>
              <w:jc w:val="center"/>
              <w:rPr>
                <w:rFonts w:ascii="宋体" w:hAnsi="宋体"/>
              </w:rPr>
            </w:pPr>
            <w:r>
              <w:rPr>
                <w:rFonts w:hint="eastAsia" w:ascii="宋体" w:hAnsi="宋体"/>
              </w:rPr>
              <w:t>序号</w:t>
            </w:r>
          </w:p>
        </w:tc>
        <w:tc>
          <w:tcPr>
            <w:tcW w:w="2312" w:type="dxa"/>
            <w:vAlign w:val="center"/>
          </w:tcPr>
          <w:p>
            <w:pPr>
              <w:pStyle w:val="114"/>
              <w:spacing w:line="500" w:lineRule="exact"/>
              <w:jc w:val="center"/>
              <w:rPr>
                <w:rFonts w:ascii="宋体" w:hAnsi="宋体"/>
              </w:rPr>
            </w:pPr>
            <w:r>
              <w:rPr>
                <w:rFonts w:hint="eastAsia" w:ascii="宋体" w:hAnsi="宋体"/>
              </w:rPr>
              <w:t>货物名称</w:t>
            </w:r>
          </w:p>
        </w:tc>
        <w:tc>
          <w:tcPr>
            <w:tcW w:w="1965" w:type="dxa"/>
            <w:vAlign w:val="center"/>
          </w:tcPr>
          <w:p>
            <w:pPr>
              <w:pStyle w:val="114"/>
              <w:spacing w:line="500" w:lineRule="exact"/>
              <w:jc w:val="center"/>
              <w:rPr>
                <w:rFonts w:ascii="宋体" w:hAnsi="宋体"/>
              </w:rPr>
            </w:pPr>
            <w:r>
              <w:rPr>
                <w:rFonts w:hint="eastAsia" w:ascii="宋体" w:hAnsi="宋体"/>
              </w:rPr>
              <w:t>招标规格</w:t>
            </w:r>
          </w:p>
        </w:tc>
        <w:tc>
          <w:tcPr>
            <w:tcW w:w="1785" w:type="dxa"/>
            <w:vAlign w:val="center"/>
          </w:tcPr>
          <w:p>
            <w:pPr>
              <w:pStyle w:val="114"/>
              <w:spacing w:line="500" w:lineRule="exact"/>
              <w:jc w:val="center"/>
              <w:rPr>
                <w:rFonts w:ascii="宋体" w:hAnsi="宋体"/>
              </w:rPr>
            </w:pPr>
            <w:r>
              <w:rPr>
                <w:rFonts w:hint="eastAsia" w:ascii="宋体" w:hAnsi="宋体"/>
              </w:rPr>
              <w:t>投标规格</w:t>
            </w:r>
          </w:p>
        </w:tc>
        <w:tc>
          <w:tcPr>
            <w:tcW w:w="1815" w:type="dxa"/>
            <w:vAlign w:val="center"/>
          </w:tcPr>
          <w:p>
            <w:pPr>
              <w:pStyle w:val="114"/>
              <w:spacing w:line="500" w:lineRule="exact"/>
              <w:jc w:val="center"/>
              <w:rPr>
                <w:rFonts w:ascii="宋体" w:hAnsi="宋体"/>
              </w:rPr>
            </w:pPr>
            <w:r>
              <w:rPr>
                <w:rFonts w:hint="eastAsia" w:ascii="宋体" w:hAnsi="宋体"/>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1" w:type="dxa"/>
          </w:tcPr>
          <w:p>
            <w:pPr>
              <w:pStyle w:val="114"/>
              <w:spacing w:line="500" w:lineRule="exact"/>
              <w:ind w:left="480" w:firstLine="480"/>
              <w:jc w:val="center"/>
              <w:rPr>
                <w:rFonts w:ascii="宋体" w:hAnsi="宋体"/>
              </w:rPr>
            </w:pPr>
          </w:p>
        </w:tc>
        <w:tc>
          <w:tcPr>
            <w:tcW w:w="2312" w:type="dxa"/>
          </w:tcPr>
          <w:p>
            <w:pPr>
              <w:pStyle w:val="114"/>
              <w:spacing w:line="500" w:lineRule="exact"/>
              <w:ind w:left="480" w:firstLine="480"/>
              <w:jc w:val="center"/>
              <w:rPr>
                <w:rFonts w:ascii="宋体" w:hAnsi="宋体"/>
              </w:rPr>
            </w:pPr>
          </w:p>
        </w:tc>
        <w:tc>
          <w:tcPr>
            <w:tcW w:w="1965" w:type="dxa"/>
          </w:tcPr>
          <w:p>
            <w:pPr>
              <w:pStyle w:val="114"/>
              <w:spacing w:line="500" w:lineRule="exact"/>
              <w:ind w:left="480" w:firstLine="480"/>
              <w:jc w:val="center"/>
              <w:rPr>
                <w:rFonts w:ascii="宋体" w:hAnsi="宋体"/>
              </w:rPr>
            </w:pPr>
          </w:p>
        </w:tc>
        <w:tc>
          <w:tcPr>
            <w:tcW w:w="1785" w:type="dxa"/>
          </w:tcPr>
          <w:p>
            <w:pPr>
              <w:pStyle w:val="114"/>
              <w:spacing w:line="500" w:lineRule="exact"/>
              <w:ind w:left="480" w:firstLine="480"/>
              <w:jc w:val="center"/>
              <w:rPr>
                <w:rFonts w:ascii="宋体" w:hAnsi="宋体"/>
              </w:rPr>
            </w:pPr>
          </w:p>
        </w:tc>
        <w:tc>
          <w:tcPr>
            <w:tcW w:w="1815" w:type="dxa"/>
          </w:tcPr>
          <w:p>
            <w:pPr>
              <w:pStyle w:val="114"/>
              <w:spacing w:line="500" w:lineRule="exact"/>
              <w:ind w:left="480" w:firstLine="480"/>
              <w:jc w:val="center"/>
              <w:rPr>
                <w:rFonts w:ascii="宋体" w:hAnsi="宋体"/>
              </w:rPr>
            </w:pPr>
          </w:p>
        </w:tc>
      </w:tr>
    </w:tbl>
    <w:p>
      <w:pPr>
        <w:pStyle w:val="114"/>
        <w:spacing w:line="500" w:lineRule="exact"/>
        <w:ind w:left="480" w:firstLine="480"/>
        <w:rPr>
          <w:rFonts w:ascii="宋体" w:hAnsi="宋体"/>
          <w:b/>
        </w:rPr>
      </w:pPr>
      <w:r>
        <w:rPr>
          <w:rFonts w:hint="eastAsia" w:ascii="宋体" w:hAnsi="宋体"/>
        </w:rPr>
        <w:t>注:若有偏离,请将具体偏离条款在</w:t>
      </w:r>
      <w:r>
        <w:rPr>
          <w:rFonts w:ascii="宋体" w:hAnsi="宋体"/>
        </w:rPr>
        <w:t>”</w:t>
      </w:r>
      <w:r>
        <w:rPr>
          <w:rFonts w:hint="eastAsia" w:ascii="宋体" w:hAnsi="宋体"/>
        </w:rPr>
        <w:t>偏离</w:t>
      </w:r>
      <w:r>
        <w:rPr>
          <w:rFonts w:ascii="宋体" w:hAnsi="宋体"/>
        </w:rPr>
        <w:t>”</w:t>
      </w:r>
      <w:r>
        <w:rPr>
          <w:rFonts w:hint="eastAsia" w:ascii="宋体" w:hAnsi="宋体"/>
        </w:rPr>
        <w:t>一栏中详细说明;若无偏离,请在</w:t>
      </w:r>
      <w:r>
        <w:rPr>
          <w:rFonts w:ascii="宋体" w:hAnsi="宋体"/>
        </w:rPr>
        <w:t>”</w:t>
      </w:r>
      <w:r>
        <w:rPr>
          <w:rFonts w:hint="eastAsia" w:ascii="宋体" w:hAnsi="宋体"/>
        </w:rPr>
        <w:t>偏离</w:t>
      </w:r>
      <w:r>
        <w:rPr>
          <w:rFonts w:ascii="宋体" w:hAnsi="宋体"/>
        </w:rPr>
        <w:t>”</w:t>
      </w:r>
      <w:r>
        <w:rPr>
          <w:rFonts w:hint="eastAsia" w:ascii="宋体" w:hAnsi="宋体"/>
        </w:rPr>
        <w:t>一栏中标注</w:t>
      </w:r>
      <w:r>
        <w:rPr>
          <w:rFonts w:ascii="宋体" w:hAnsi="宋体"/>
        </w:rPr>
        <w:t>”</w:t>
      </w:r>
      <w:r>
        <w:rPr>
          <w:rFonts w:hint="eastAsia" w:ascii="宋体" w:hAnsi="宋体"/>
        </w:rPr>
        <w:t>无</w:t>
      </w:r>
      <w:r>
        <w:rPr>
          <w:rFonts w:ascii="宋体" w:hAnsi="宋体"/>
        </w:rPr>
        <w:t>”</w:t>
      </w:r>
      <w:r>
        <w:rPr>
          <w:rFonts w:hint="eastAsia" w:ascii="宋体" w:hAnsi="宋体"/>
        </w:rPr>
        <w:t>字样.</w:t>
      </w:r>
    </w:p>
    <w:p>
      <w:pPr>
        <w:pStyle w:val="114"/>
        <w:spacing w:line="720" w:lineRule="auto"/>
        <w:ind w:left="480" w:firstLine="482"/>
        <w:rPr>
          <w:rFonts w:ascii="宋体" w:hAnsi="宋体"/>
          <w:b/>
        </w:rPr>
      </w:pPr>
    </w:p>
    <w:p>
      <w:pPr>
        <w:spacing w:line="720" w:lineRule="auto"/>
        <w:rPr>
          <w:szCs w:val="16"/>
        </w:rPr>
      </w:pPr>
      <w:r>
        <w:rPr>
          <w:rFonts w:hint="eastAsia"/>
          <w:szCs w:val="16"/>
        </w:rPr>
        <w:t>供应商法定代表人/授权代表（签字或盖私章）：</w:t>
      </w:r>
    </w:p>
    <w:p>
      <w:pPr>
        <w:spacing w:line="720" w:lineRule="auto"/>
        <w:rPr>
          <w:szCs w:val="16"/>
        </w:rPr>
      </w:pPr>
      <w:r>
        <w:rPr>
          <w:rFonts w:hint="eastAsia"/>
          <w:szCs w:val="16"/>
        </w:rPr>
        <w:t>供应商名称（加盖公章）：</w:t>
      </w:r>
    </w:p>
    <w:p>
      <w:pPr>
        <w:spacing w:line="720" w:lineRule="auto"/>
        <w:rPr>
          <w:szCs w:val="16"/>
        </w:rPr>
      </w:pPr>
      <w:r>
        <w:rPr>
          <w:rFonts w:hint="eastAsia"/>
          <w:szCs w:val="16"/>
        </w:rPr>
        <w:t>日期：年月日</w:t>
      </w:r>
    </w:p>
    <w:p>
      <w:pPr>
        <w:spacing w:line="720" w:lineRule="auto"/>
        <w:rPr>
          <w:szCs w:val="16"/>
        </w:rPr>
      </w:pPr>
      <w:r>
        <w:rPr>
          <w:szCs w:val="16"/>
        </w:rPr>
        <w:br w:type="page"/>
      </w:r>
    </w:p>
    <w:p>
      <w:pPr>
        <w:spacing w:line="360" w:lineRule="auto"/>
        <w:rPr>
          <w:szCs w:val="16"/>
        </w:rPr>
      </w:pPr>
    </w:p>
    <w:p>
      <w:pPr>
        <w:pStyle w:val="7"/>
        <w:spacing w:before="0" w:after="0" w:line="360" w:lineRule="auto"/>
        <w:rPr>
          <w:bCs w:val="0"/>
        </w:rPr>
      </w:pPr>
      <w:r>
        <w:rPr>
          <w:rFonts w:hint="eastAsia"/>
          <w:sz w:val="24"/>
          <w:szCs w:val="24"/>
        </w:rPr>
        <w:t>1</w:t>
      </w:r>
      <w:r>
        <w:rPr>
          <w:sz w:val="24"/>
          <w:szCs w:val="24"/>
        </w:rPr>
        <w:t>.1</w:t>
      </w:r>
      <w:r>
        <w:rPr>
          <w:rFonts w:hint="eastAsia"/>
          <w:sz w:val="24"/>
          <w:szCs w:val="24"/>
        </w:rPr>
        <w:t>1投标保证金</w:t>
      </w:r>
    </w:p>
    <w:p>
      <w:pPr>
        <w:spacing w:line="400" w:lineRule="exact"/>
        <w:rPr>
          <w:szCs w:val="21"/>
          <w:u w:val="single"/>
        </w:rPr>
      </w:pPr>
      <w:r>
        <w:rPr>
          <w:rFonts w:hint="eastAsia"/>
          <w:szCs w:val="21"/>
        </w:rPr>
        <w:t>致：</w:t>
      </w:r>
    </w:p>
    <w:p>
      <w:pPr>
        <w:spacing w:line="400" w:lineRule="exact"/>
        <w:rPr>
          <w:szCs w:val="21"/>
        </w:rPr>
      </w:pPr>
      <w:r>
        <w:rPr>
          <w:rFonts w:hint="eastAsia"/>
          <w:szCs w:val="21"/>
          <w:u w:val="single"/>
        </w:rPr>
        <w:t xml:space="preserve">（供应商全称) </w:t>
      </w:r>
      <w:r>
        <w:rPr>
          <w:rFonts w:hint="eastAsia"/>
          <w:szCs w:val="21"/>
        </w:rPr>
        <w:t>参加贵方组织的</w:t>
      </w:r>
      <w:r>
        <w:rPr>
          <w:rFonts w:hint="eastAsia"/>
          <w:sz w:val="24"/>
          <w:szCs w:val="21"/>
          <w:u w:val="single"/>
        </w:rPr>
        <w:t>项目名称（招标编号：）</w:t>
      </w:r>
      <w:r>
        <w:rPr>
          <w:rFonts w:hint="eastAsia"/>
          <w:szCs w:val="21"/>
        </w:rPr>
        <w:t>的招标活动。按招标文件的规定，已通过电汇等形式缴纳人民币</w:t>
      </w:r>
      <w:r>
        <w:rPr>
          <w:rFonts w:hint="eastAsia"/>
          <w:szCs w:val="21"/>
          <w:u w:val="single"/>
        </w:rPr>
        <w:t xml:space="preserve">（大写）  　　  </w:t>
      </w:r>
      <w:r>
        <w:rPr>
          <w:rFonts w:hint="eastAsia"/>
          <w:szCs w:val="21"/>
        </w:rPr>
        <w:t>元的保证金。</w:t>
      </w:r>
    </w:p>
    <w:p>
      <w:pPr>
        <w:spacing w:line="400" w:lineRule="exact"/>
        <w:rPr>
          <w:szCs w:val="21"/>
        </w:rPr>
      </w:pPr>
      <w:r>
        <w:rPr>
          <w:rFonts w:hint="eastAsia"/>
          <w:szCs w:val="21"/>
        </w:rPr>
        <w:t xml:space="preserve">附： </w:t>
      </w:r>
    </w:p>
    <w:tbl>
      <w:tblPr>
        <w:tblStyle w:val="33"/>
        <w:tblW w:w="496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4" w:hRule="atLeast"/>
        </w:trPr>
        <w:tc>
          <w:tcPr>
            <w:tcW w:w="5000" w:type="pct"/>
            <w:vAlign w:val="center"/>
          </w:tcPr>
          <w:p>
            <w:pPr>
              <w:spacing w:line="400" w:lineRule="exact"/>
              <w:jc w:val="center"/>
              <w:rPr>
                <w:szCs w:val="21"/>
              </w:rPr>
            </w:pPr>
            <w:r>
              <w:rPr>
                <w:rFonts w:hint="eastAsia"/>
                <w:szCs w:val="21"/>
              </w:rPr>
              <w:t>（汇款凭证复印件加盖公章）</w:t>
            </w:r>
          </w:p>
        </w:tc>
      </w:tr>
    </w:tbl>
    <w:p>
      <w:r>
        <w:rPr>
          <w:rFonts w:hint="eastAsia"/>
          <w:szCs w:val="21"/>
        </w:rPr>
        <w:br w:type="page"/>
      </w:r>
    </w:p>
    <w:p>
      <w:pPr>
        <w:pStyle w:val="7"/>
        <w:spacing w:before="0" w:after="0" w:line="360" w:lineRule="auto"/>
        <w:rPr>
          <w:sz w:val="24"/>
          <w:szCs w:val="24"/>
        </w:rPr>
      </w:pPr>
    </w:p>
    <w:p>
      <w:pPr>
        <w:pStyle w:val="7"/>
        <w:spacing w:before="0" w:after="0" w:line="360" w:lineRule="auto"/>
        <w:rPr>
          <w:sz w:val="24"/>
          <w:szCs w:val="24"/>
        </w:rPr>
      </w:pPr>
      <w:r>
        <w:rPr>
          <w:rFonts w:hint="eastAsia"/>
          <w:sz w:val="24"/>
          <w:szCs w:val="24"/>
        </w:rPr>
        <w:t>1.</w:t>
      </w:r>
      <w:r>
        <w:rPr>
          <w:rFonts w:hint="eastAsia"/>
          <w:sz w:val="24"/>
          <w:szCs w:val="24"/>
          <w:lang w:val="en-US" w:eastAsia="zh-CN"/>
        </w:rPr>
        <w:t>12</w:t>
      </w:r>
      <w:r>
        <w:rPr>
          <w:rFonts w:hint="eastAsia"/>
          <w:sz w:val="24"/>
          <w:szCs w:val="24"/>
        </w:rPr>
        <w:t>其他补充材料</w:t>
      </w:r>
    </w:p>
    <w:p>
      <w:pPr>
        <w:pStyle w:val="32"/>
        <w:ind w:left="0" w:leftChars="0" w:firstLine="0" w:firstLineChars="0"/>
      </w:pPr>
      <w:r>
        <w:rPr>
          <w:rFonts w:hint="eastAsia"/>
          <w:szCs w:val="16"/>
        </w:rPr>
        <w:t>供应商认为需要提供的其他证明材料</w:t>
      </w:r>
      <w:r>
        <w:rPr>
          <w:rFonts w:hint="eastAsia"/>
          <w:szCs w:val="16"/>
        </w:rPr>
        <w:tab/>
      </w:r>
    </w:p>
    <w:p>
      <w:pPr>
        <w:spacing w:line="360" w:lineRule="auto"/>
        <w:sectPr>
          <w:headerReference r:id="rId5" w:type="first"/>
          <w:footerReference r:id="rId6" w:type="default"/>
          <w:pgSz w:w="11906" w:h="16838"/>
          <w:pgMar w:top="1109" w:right="1797" w:bottom="1440" w:left="1797" w:header="851" w:footer="992" w:gutter="0"/>
          <w:paperSrc w:first="7"/>
          <w:cols w:space="720" w:num="1"/>
          <w:titlePg/>
          <w:docGrid w:linePitch="312" w:charSpace="0"/>
        </w:sectPr>
      </w:pPr>
    </w:p>
    <w:p>
      <w:pPr>
        <w:pStyle w:val="4"/>
        <w:spacing w:before="0" w:after="0" w:line="240" w:lineRule="auto"/>
      </w:pPr>
      <w:bookmarkStart w:id="69" w:name="_Toc202820352"/>
      <w:bookmarkStart w:id="70" w:name="_Toc202816997"/>
      <w:bookmarkStart w:id="71" w:name="_Toc202252035"/>
      <w:bookmarkStart w:id="72" w:name="_Toc202251076"/>
      <w:bookmarkStart w:id="73" w:name="_Toc259090987"/>
      <w:bookmarkStart w:id="74" w:name="_Toc202819879"/>
      <w:bookmarkStart w:id="75" w:name="_Toc202254106"/>
      <w:bookmarkStart w:id="76" w:name="_Toc202251701"/>
      <w:bookmarkStart w:id="77" w:name="_Toc276645584"/>
      <w:bookmarkStart w:id="78" w:name="_Toc70068630"/>
      <w:bookmarkStart w:id="79" w:name="_Toc462677240"/>
      <w:bookmarkStart w:id="80" w:name="_Toc66797397"/>
      <w:bookmarkStart w:id="81" w:name="_Toc66392091"/>
      <w:bookmarkStart w:id="82" w:name="_Hlk24378921"/>
      <w:bookmarkStart w:id="83" w:name="_Toc202819882"/>
      <w:bookmarkStart w:id="84" w:name="_Toc202252037"/>
      <w:bookmarkStart w:id="85" w:name="_Toc202251703"/>
      <w:bookmarkStart w:id="86" w:name="_Toc276645592"/>
      <w:bookmarkStart w:id="87" w:name="_Toc202820355"/>
      <w:bookmarkStart w:id="88" w:name="_Toc462677249"/>
      <w:bookmarkStart w:id="89" w:name="_Toc67046916"/>
      <w:bookmarkStart w:id="90" w:name="_Toc202254108"/>
      <w:bookmarkStart w:id="91" w:name="_Toc202817000"/>
      <w:bookmarkStart w:id="92" w:name="_Toc259090996"/>
      <w:bookmarkStart w:id="93" w:name="_Toc202251078"/>
      <w:bookmarkStart w:id="94" w:name="_Toc6322316"/>
      <w:r>
        <w:rPr>
          <w:rFonts w:hint="eastAsia"/>
          <w:bCs w:val="0"/>
          <w:sz w:val="28"/>
          <w:szCs w:val="28"/>
        </w:rPr>
        <w:t>二、商务</w:t>
      </w:r>
      <w:bookmarkEnd w:id="69"/>
      <w:bookmarkEnd w:id="70"/>
      <w:bookmarkEnd w:id="71"/>
      <w:bookmarkEnd w:id="72"/>
      <w:bookmarkEnd w:id="73"/>
      <w:bookmarkEnd w:id="74"/>
      <w:bookmarkEnd w:id="75"/>
      <w:bookmarkEnd w:id="76"/>
      <w:r>
        <w:rPr>
          <w:rFonts w:hint="eastAsia"/>
          <w:bCs w:val="0"/>
          <w:sz w:val="28"/>
          <w:szCs w:val="28"/>
        </w:rPr>
        <w:t>技术文件</w:t>
      </w:r>
      <w:bookmarkEnd w:id="77"/>
      <w:bookmarkEnd w:id="78"/>
      <w:bookmarkEnd w:id="79"/>
      <w:bookmarkEnd w:id="80"/>
      <w:bookmarkEnd w:id="81"/>
    </w:p>
    <w:p>
      <w:pPr>
        <w:pStyle w:val="7"/>
        <w:spacing w:before="0" w:after="0" w:line="360" w:lineRule="auto"/>
        <w:rPr>
          <w:sz w:val="24"/>
          <w:szCs w:val="24"/>
        </w:rPr>
      </w:pPr>
      <w:bookmarkStart w:id="95" w:name="_Toc462677241"/>
      <w:bookmarkStart w:id="96" w:name="_Toc6322303"/>
      <w:bookmarkStart w:id="97" w:name="_Toc66392092"/>
      <w:bookmarkStart w:id="98" w:name="_Toc351386963"/>
      <w:bookmarkStart w:id="99" w:name="_Toc202252036"/>
      <w:bookmarkStart w:id="100" w:name="_Toc462677246"/>
      <w:bookmarkStart w:id="101" w:name="_Toc202820353"/>
      <w:bookmarkStart w:id="102" w:name="_Toc202816998"/>
      <w:bookmarkStart w:id="103" w:name="_Toc425161124"/>
      <w:bookmarkStart w:id="104" w:name="_Toc202251702"/>
      <w:bookmarkStart w:id="105" w:name="_Toc202819880"/>
      <w:bookmarkStart w:id="106" w:name="_Toc202251077"/>
      <w:bookmarkStart w:id="107" w:name="_Toc202254107"/>
      <w:bookmarkStart w:id="108" w:name="_Toc259090991"/>
      <w:r>
        <w:rPr>
          <w:rFonts w:hint="eastAsia"/>
          <w:sz w:val="24"/>
          <w:szCs w:val="24"/>
        </w:rPr>
        <w:t>2</w:t>
      </w:r>
      <w:r>
        <w:rPr>
          <w:sz w:val="24"/>
          <w:szCs w:val="24"/>
        </w:rPr>
        <w:t>.1</w:t>
      </w:r>
      <w:r>
        <w:rPr>
          <w:rFonts w:hint="eastAsia"/>
          <w:sz w:val="24"/>
          <w:szCs w:val="24"/>
        </w:rPr>
        <w:t>供应商综合概况</w:t>
      </w:r>
      <w:bookmarkEnd w:id="95"/>
      <w:bookmarkEnd w:id="96"/>
      <w:bookmarkEnd w:id="97"/>
      <w:bookmarkEnd w:id="98"/>
    </w:p>
    <w:tbl>
      <w:tblPr>
        <w:tblStyle w:val="33"/>
        <w:tblW w:w="873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1"/>
        <w:gridCol w:w="1050"/>
        <w:gridCol w:w="938"/>
        <w:gridCol w:w="1437"/>
        <w:gridCol w:w="1238"/>
        <w:gridCol w:w="812"/>
        <w:gridCol w:w="1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r>
              <w:rPr>
                <w:rFonts w:hint="eastAsia"/>
                <w:szCs w:val="16"/>
              </w:rPr>
              <w:t>供应商名称</w:t>
            </w:r>
          </w:p>
        </w:tc>
        <w:tc>
          <w:tcPr>
            <w:tcW w:w="677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r>
              <w:rPr>
                <w:rFonts w:hint="eastAsia"/>
                <w:szCs w:val="16"/>
              </w:rPr>
              <w:t>注册地址</w:t>
            </w:r>
          </w:p>
        </w:tc>
        <w:tc>
          <w:tcPr>
            <w:tcW w:w="342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238"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邮政编码</w:t>
            </w:r>
          </w:p>
        </w:tc>
        <w:tc>
          <w:tcPr>
            <w:tcW w:w="21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18" w:hRule="atLeast"/>
          <w:jc w:val="center"/>
        </w:trPr>
        <w:tc>
          <w:tcPr>
            <w:tcW w:w="196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r>
              <w:rPr>
                <w:rFonts w:hint="eastAsia"/>
                <w:szCs w:val="16"/>
              </w:rPr>
              <w:t>联系方式</w:t>
            </w: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联系人</w:t>
            </w:r>
          </w:p>
        </w:tc>
        <w:tc>
          <w:tcPr>
            <w:tcW w:w="23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238"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电话</w:t>
            </w:r>
          </w:p>
        </w:tc>
        <w:tc>
          <w:tcPr>
            <w:tcW w:w="21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96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传真</w:t>
            </w:r>
          </w:p>
        </w:tc>
        <w:tc>
          <w:tcPr>
            <w:tcW w:w="237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238"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网址</w:t>
            </w:r>
          </w:p>
        </w:tc>
        <w:tc>
          <w:tcPr>
            <w:tcW w:w="210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组织结构</w:t>
            </w:r>
          </w:p>
        </w:tc>
        <w:tc>
          <w:tcPr>
            <w:tcW w:w="677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法定代表人</w:t>
            </w:r>
          </w:p>
        </w:tc>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姓名</w:t>
            </w:r>
          </w:p>
        </w:tc>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技术职称</w:t>
            </w:r>
          </w:p>
        </w:tc>
        <w:tc>
          <w:tcPr>
            <w:tcW w:w="12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812" w:type="dxa"/>
            <w:tcBorders>
              <w:top w:val="single" w:color="auto" w:sz="4" w:space="0"/>
              <w:left w:val="single" w:color="auto" w:sz="4" w:space="0"/>
              <w:bottom w:val="single" w:color="auto" w:sz="4" w:space="0"/>
              <w:right w:val="single" w:color="auto" w:sz="4" w:space="0"/>
            </w:tcBorders>
            <w:vAlign w:val="center"/>
          </w:tcPr>
          <w:p>
            <w:pPr>
              <w:spacing w:line="360" w:lineRule="auto"/>
              <w:rPr>
                <w:szCs w:val="16"/>
              </w:rPr>
            </w:pPr>
            <w:r>
              <w:rPr>
                <w:rFonts w:hint="eastAsia"/>
                <w:szCs w:val="16"/>
              </w:rPr>
              <w:t>电话</w:t>
            </w:r>
          </w:p>
        </w:tc>
        <w:tc>
          <w:tcPr>
            <w:tcW w:w="129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34"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成立时间</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员工总人数</w:t>
            </w:r>
          </w:p>
        </w:tc>
        <w:tc>
          <w:tcPr>
            <w:tcW w:w="334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营业执照号</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注册资金</w:t>
            </w:r>
          </w:p>
        </w:tc>
        <w:tc>
          <w:tcPr>
            <w:tcW w:w="334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开户银行</w:t>
            </w:r>
          </w:p>
        </w:tc>
        <w:tc>
          <w:tcPr>
            <w:tcW w:w="19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Cs w:val="16"/>
              </w:rPr>
            </w:pPr>
            <w:r>
              <w:rPr>
                <w:rFonts w:hint="eastAsia"/>
                <w:szCs w:val="16"/>
              </w:rPr>
              <w:t>账号</w:t>
            </w:r>
          </w:p>
        </w:tc>
        <w:tc>
          <w:tcPr>
            <w:tcW w:w="334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8" w:hRule="atLeast"/>
          <w:jc w:val="center"/>
        </w:trPr>
        <w:tc>
          <w:tcPr>
            <w:tcW w:w="1961" w:type="dxa"/>
            <w:tcBorders>
              <w:top w:val="single" w:color="auto" w:sz="4" w:space="0"/>
              <w:left w:val="single" w:color="auto" w:sz="4" w:space="0"/>
              <w:right w:val="single" w:color="auto" w:sz="4" w:space="0"/>
            </w:tcBorders>
            <w:vAlign w:val="center"/>
          </w:tcPr>
          <w:p>
            <w:pPr>
              <w:spacing w:line="360" w:lineRule="auto"/>
              <w:ind w:firstLine="435"/>
              <w:rPr>
                <w:szCs w:val="16"/>
              </w:rPr>
            </w:pPr>
            <w:r>
              <w:rPr>
                <w:rFonts w:hint="eastAsia"/>
                <w:szCs w:val="16"/>
              </w:rPr>
              <w:t>经营范围</w:t>
            </w:r>
          </w:p>
        </w:tc>
        <w:tc>
          <w:tcPr>
            <w:tcW w:w="6772" w:type="dxa"/>
            <w:gridSpan w:val="6"/>
            <w:tcBorders>
              <w:top w:val="single" w:color="auto" w:sz="4" w:space="0"/>
              <w:left w:val="single" w:color="auto" w:sz="4" w:space="0"/>
              <w:right w:val="single" w:color="auto" w:sz="4" w:space="0"/>
            </w:tcBorders>
            <w:vAlign w:val="center"/>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r>
              <w:rPr>
                <w:rFonts w:hint="eastAsia"/>
                <w:szCs w:val="16"/>
              </w:rPr>
              <w:t>备注</w:t>
            </w:r>
          </w:p>
        </w:tc>
        <w:tc>
          <w:tcPr>
            <w:tcW w:w="677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ind w:firstLine="435"/>
              <w:rPr>
                <w:szCs w:val="16"/>
              </w:rPr>
            </w:pPr>
          </w:p>
        </w:tc>
      </w:tr>
    </w:tbl>
    <w:p>
      <w:pPr>
        <w:spacing w:line="360" w:lineRule="auto"/>
        <w:ind w:firstLine="435"/>
        <w:rPr>
          <w:szCs w:val="16"/>
          <w:lang w:val="en-GB"/>
        </w:rPr>
      </w:pPr>
      <w:r>
        <w:rPr>
          <w:rFonts w:hint="eastAsia"/>
          <w:szCs w:val="16"/>
        </w:rPr>
        <w:t>注：1、招标文件要求或供应商认为必要的有关</w:t>
      </w:r>
      <w:r>
        <w:rPr>
          <w:rFonts w:hint="eastAsia"/>
          <w:b/>
          <w:bCs/>
          <w:szCs w:val="16"/>
        </w:rPr>
        <w:t>资质、资格、荣誉、认证</w:t>
      </w:r>
      <w:r>
        <w:rPr>
          <w:rFonts w:hint="eastAsia"/>
          <w:szCs w:val="16"/>
        </w:rPr>
        <w:t>等证明材料的复印件</w:t>
      </w:r>
      <w:r>
        <w:rPr>
          <w:rFonts w:hint="eastAsia"/>
          <w:szCs w:val="16"/>
          <w:lang w:val="en-GB"/>
        </w:rPr>
        <w:t>。</w:t>
      </w:r>
      <w:r>
        <w:rPr>
          <w:rFonts w:hint="eastAsia"/>
          <w:szCs w:val="16"/>
        </w:rPr>
        <w:t>复印件须加盖供应商单位公章。</w:t>
      </w:r>
    </w:p>
    <w:p>
      <w:pPr>
        <w:numPr>
          <w:ilvl w:val="255"/>
          <w:numId w:val="0"/>
        </w:numPr>
        <w:spacing w:line="360" w:lineRule="auto"/>
        <w:ind w:firstLine="912" w:firstLineChars="380"/>
        <w:rPr>
          <w:szCs w:val="16"/>
          <w:lang w:val="en-GB"/>
        </w:rPr>
      </w:pPr>
      <w:r>
        <w:rPr>
          <w:rFonts w:hint="eastAsia"/>
          <w:szCs w:val="16"/>
        </w:rPr>
        <w:t>2、</w:t>
      </w:r>
      <w:r>
        <w:rPr>
          <w:rFonts w:hint="eastAsia"/>
          <w:szCs w:val="16"/>
          <w:lang w:val="en-GB"/>
        </w:rPr>
        <w:t>如供应商此表数据有虚假，一经查实，自行承担相关责任。</w:t>
      </w:r>
    </w:p>
    <w:p>
      <w:pPr>
        <w:pStyle w:val="7"/>
        <w:spacing w:before="0" w:after="0" w:line="360" w:lineRule="auto"/>
        <w:rPr>
          <w:sz w:val="24"/>
          <w:szCs w:val="24"/>
        </w:rPr>
      </w:pPr>
    </w:p>
    <w:p/>
    <w:p>
      <w:r>
        <w:rPr>
          <w:rFonts w:hint="eastAsia"/>
        </w:rPr>
        <w:br w:type="page"/>
      </w:r>
    </w:p>
    <w:p>
      <w:pPr>
        <w:pStyle w:val="7"/>
        <w:spacing w:before="0" w:after="0" w:line="360" w:lineRule="auto"/>
        <w:rPr>
          <w:sz w:val="24"/>
          <w:szCs w:val="24"/>
        </w:rPr>
      </w:pPr>
      <w:r>
        <w:rPr>
          <w:rFonts w:hint="eastAsia"/>
          <w:sz w:val="24"/>
          <w:szCs w:val="24"/>
        </w:rPr>
        <w:t>2.2企业综合实力</w:t>
      </w:r>
    </w:p>
    <w:p>
      <w:pPr>
        <w:spacing w:line="360" w:lineRule="auto"/>
        <w:ind w:firstLine="435"/>
        <w:rPr>
          <w:szCs w:val="16"/>
        </w:rPr>
      </w:pPr>
      <w:r>
        <w:rPr>
          <w:rFonts w:hint="eastAsia"/>
          <w:szCs w:val="16"/>
        </w:rPr>
        <w:t>1、配备的符合食品服务行业需求的组织架构各岗位人员情况；</w:t>
      </w:r>
    </w:p>
    <w:p>
      <w:pPr>
        <w:spacing w:line="360" w:lineRule="auto"/>
        <w:ind w:firstLine="435"/>
        <w:rPr>
          <w:rFonts w:hint="eastAsia"/>
          <w:szCs w:val="16"/>
        </w:rPr>
      </w:pPr>
      <w:r>
        <w:rPr>
          <w:rFonts w:hint="eastAsia"/>
          <w:szCs w:val="16"/>
        </w:rPr>
        <w:t>2、厂家的设备设施配置，仓储设备设施，卫生设施等情况；</w:t>
      </w:r>
    </w:p>
    <w:p>
      <w:pPr>
        <w:spacing w:line="360" w:lineRule="auto"/>
        <w:ind w:leftChars="0" w:firstLine="435"/>
        <w:rPr>
          <w:szCs w:val="16"/>
        </w:rPr>
      </w:pPr>
      <w:r>
        <w:rPr>
          <w:rFonts w:hint="eastAsia"/>
          <w:szCs w:val="16"/>
        </w:rPr>
        <w:t>3、厂商具有国家级优秀称号，或产品具有国家级绿色认证</w:t>
      </w:r>
      <w:bookmarkEnd w:id="82"/>
    </w:p>
    <w:p>
      <w:pPr>
        <w:pStyle w:val="7"/>
        <w:spacing w:before="0" w:after="0" w:line="360" w:lineRule="auto"/>
        <w:rPr>
          <w:sz w:val="24"/>
          <w:szCs w:val="24"/>
        </w:rPr>
      </w:pPr>
      <w:bookmarkStart w:id="109" w:name="_Toc66392093"/>
      <w:r>
        <w:rPr>
          <w:rFonts w:hint="eastAsia"/>
          <w:sz w:val="24"/>
          <w:szCs w:val="24"/>
        </w:rPr>
        <w:t>2</w:t>
      </w:r>
      <w:r>
        <w:rPr>
          <w:sz w:val="24"/>
          <w:szCs w:val="24"/>
        </w:rPr>
        <w:t>.</w:t>
      </w:r>
      <w:r>
        <w:rPr>
          <w:rFonts w:hint="eastAsia"/>
          <w:sz w:val="24"/>
          <w:szCs w:val="24"/>
        </w:rPr>
        <w:t>3同类项目经验</w:t>
      </w:r>
    </w:p>
    <w:p>
      <w:pPr>
        <w:spacing w:line="360" w:lineRule="auto"/>
        <w:jc w:val="center"/>
        <w:rPr>
          <w:b/>
          <w:bCs/>
        </w:rPr>
      </w:pPr>
      <w:r>
        <w:rPr>
          <w:rFonts w:hint="eastAsia"/>
          <w:b/>
          <w:bCs/>
        </w:rPr>
        <w:t>同类项目表</w:t>
      </w:r>
    </w:p>
    <w:tbl>
      <w:tblPr>
        <w:tblStyle w:val="34"/>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459"/>
        <w:gridCol w:w="1355"/>
        <w:gridCol w:w="1582"/>
        <w:gridCol w:w="1265"/>
        <w:gridCol w:w="153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7" w:type="dxa"/>
            <w:vAlign w:val="center"/>
          </w:tcPr>
          <w:p>
            <w:pPr>
              <w:pStyle w:val="32"/>
              <w:ind w:left="0" w:leftChars="0" w:firstLine="0" w:firstLineChars="0"/>
              <w:jc w:val="center"/>
              <w:rPr>
                <w:szCs w:val="16"/>
              </w:rPr>
            </w:pPr>
            <w:r>
              <w:rPr>
                <w:rFonts w:hint="eastAsia"/>
                <w:szCs w:val="16"/>
              </w:rPr>
              <w:t>序号</w:t>
            </w:r>
          </w:p>
        </w:tc>
        <w:tc>
          <w:tcPr>
            <w:tcW w:w="1559" w:type="dxa"/>
            <w:vAlign w:val="center"/>
          </w:tcPr>
          <w:p>
            <w:pPr>
              <w:pStyle w:val="32"/>
              <w:ind w:left="0" w:leftChars="0" w:firstLine="0" w:firstLineChars="0"/>
              <w:jc w:val="center"/>
              <w:rPr>
                <w:szCs w:val="16"/>
              </w:rPr>
            </w:pPr>
            <w:r>
              <w:rPr>
                <w:rFonts w:hint="eastAsia"/>
                <w:szCs w:val="16"/>
              </w:rPr>
              <w:t>合同名称</w:t>
            </w:r>
          </w:p>
        </w:tc>
        <w:tc>
          <w:tcPr>
            <w:tcW w:w="1418" w:type="dxa"/>
            <w:vAlign w:val="center"/>
          </w:tcPr>
          <w:p>
            <w:pPr>
              <w:pStyle w:val="32"/>
              <w:ind w:left="0" w:leftChars="0" w:firstLine="0" w:firstLineChars="0"/>
              <w:jc w:val="center"/>
              <w:rPr>
                <w:szCs w:val="16"/>
              </w:rPr>
            </w:pPr>
            <w:r>
              <w:rPr>
                <w:rFonts w:hint="eastAsia"/>
                <w:szCs w:val="16"/>
              </w:rPr>
              <w:t>合同金额</w:t>
            </w:r>
          </w:p>
        </w:tc>
        <w:tc>
          <w:tcPr>
            <w:tcW w:w="1725" w:type="dxa"/>
            <w:vAlign w:val="center"/>
          </w:tcPr>
          <w:p>
            <w:pPr>
              <w:pStyle w:val="32"/>
              <w:ind w:left="0" w:leftChars="0" w:firstLine="0" w:firstLineChars="0"/>
              <w:jc w:val="center"/>
              <w:rPr>
                <w:szCs w:val="16"/>
              </w:rPr>
            </w:pPr>
            <w:r>
              <w:rPr>
                <w:rFonts w:hint="eastAsia"/>
                <w:szCs w:val="16"/>
              </w:rPr>
              <w:t>合同签订时间</w:t>
            </w:r>
          </w:p>
        </w:tc>
        <w:tc>
          <w:tcPr>
            <w:tcW w:w="1297" w:type="dxa"/>
            <w:vAlign w:val="center"/>
          </w:tcPr>
          <w:p>
            <w:pPr>
              <w:pStyle w:val="32"/>
              <w:ind w:left="0" w:leftChars="0" w:firstLine="0" w:firstLineChars="0"/>
              <w:jc w:val="center"/>
              <w:rPr>
                <w:szCs w:val="16"/>
              </w:rPr>
            </w:pPr>
            <w:r>
              <w:rPr>
                <w:rFonts w:hint="eastAsia"/>
                <w:szCs w:val="16"/>
              </w:rPr>
              <w:t>甲方名称</w:t>
            </w:r>
          </w:p>
        </w:tc>
        <w:tc>
          <w:tcPr>
            <w:tcW w:w="1656" w:type="dxa"/>
            <w:vAlign w:val="center"/>
          </w:tcPr>
          <w:p>
            <w:pPr>
              <w:pStyle w:val="32"/>
              <w:ind w:left="0" w:leftChars="0" w:firstLine="0" w:firstLineChars="0"/>
              <w:jc w:val="center"/>
              <w:rPr>
                <w:szCs w:val="16"/>
              </w:rPr>
            </w:pPr>
            <w:r>
              <w:rPr>
                <w:rFonts w:hint="eastAsia"/>
                <w:szCs w:val="16"/>
              </w:rPr>
              <w:t>甲方负责人</w:t>
            </w:r>
          </w:p>
        </w:tc>
        <w:tc>
          <w:tcPr>
            <w:tcW w:w="1072" w:type="dxa"/>
            <w:vAlign w:val="center"/>
          </w:tcPr>
          <w:p>
            <w:pPr>
              <w:pStyle w:val="32"/>
              <w:ind w:left="0" w:leftChars="0" w:firstLine="0" w:firstLineChars="0"/>
              <w:jc w:val="center"/>
              <w:rPr>
                <w:szCs w:val="16"/>
              </w:rPr>
            </w:pPr>
            <w:r>
              <w:rPr>
                <w:rFonts w:hint="eastAsia"/>
                <w:szCs w:val="16"/>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7" w:type="dxa"/>
            <w:vAlign w:val="center"/>
          </w:tcPr>
          <w:p>
            <w:pPr>
              <w:pStyle w:val="32"/>
              <w:ind w:left="0" w:leftChars="0" w:firstLine="0" w:firstLineChars="0"/>
            </w:pPr>
          </w:p>
        </w:tc>
        <w:tc>
          <w:tcPr>
            <w:tcW w:w="1559" w:type="dxa"/>
            <w:vAlign w:val="center"/>
          </w:tcPr>
          <w:p>
            <w:pPr>
              <w:pStyle w:val="32"/>
              <w:ind w:left="480" w:firstLine="480"/>
              <w:jc w:val="center"/>
            </w:pPr>
          </w:p>
        </w:tc>
        <w:tc>
          <w:tcPr>
            <w:tcW w:w="1418" w:type="dxa"/>
            <w:vAlign w:val="center"/>
          </w:tcPr>
          <w:p>
            <w:pPr>
              <w:pStyle w:val="32"/>
              <w:ind w:left="480" w:firstLine="480"/>
              <w:jc w:val="center"/>
            </w:pPr>
          </w:p>
        </w:tc>
        <w:tc>
          <w:tcPr>
            <w:tcW w:w="1725" w:type="dxa"/>
            <w:vAlign w:val="center"/>
          </w:tcPr>
          <w:p>
            <w:pPr>
              <w:pStyle w:val="32"/>
              <w:ind w:left="480" w:firstLine="480"/>
              <w:jc w:val="center"/>
            </w:pPr>
          </w:p>
        </w:tc>
        <w:tc>
          <w:tcPr>
            <w:tcW w:w="1297" w:type="dxa"/>
            <w:vAlign w:val="center"/>
          </w:tcPr>
          <w:p>
            <w:pPr>
              <w:pStyle w:val="32"/>
              <w:ind w:left="480" w:firstLine="480"/>
              <w:jc w:val="center"/>
            </w:pPr>
          </w:p>
        </w:tc>
        <w:tc>
          <w:tcPr>
            <w:tcW w:w="1656" w:type="dxa"/>
            <w:vAlign w:val="center"/>
          </w:tcPr>
          <w:p>
            <w:pPr>
              <w:pStyle w:val="32"/>
              <w:ind w:left="480" w:firstLine="480"/>
              <w:jc w:val="center"/>
            </w:pPr>
          </w:p>
        </w:tc>
        <w:tc>
          <w:tcPr>
            <w:tcW w:w="1072" w:type="dxa"/>
            <w:vAlign w:val="center"/>
          </w:tcPr>
          <w:p>
            <w:pPr>
              <w:pStyle w:val="32"/>
              <w:ind w:left="480"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7" w:type="dxa"/>
            <w:vAlign w:val="center"/>
          </w:tcPr>
          <w:p>
            <w:pPr>
              <w:pStyle w:val="32"/>
              <w:ind w:left="0" w:leftChars="0" w:firstLine="0" w:firstLineChars="0"/>
            </w:pPr>
          </w:p>
        </w:tc>
        <w:tc>
          <w:tcPr>
            <w:tcW w:w="1559" w:type="dxa"/>
            <w:vAlign w:val="center"/>
          </w:tcPr>
          <w:p>
            <w:pPr>
              <w:pStyle w:val="32"/>
              <w:ind w:left="480" w:firstLine="480"/>
              <w:jc w:val="center"/>
            </w:pPr>
          </w:p>
        </w:tc>
        <w:tc>
          <w:tcPr>
            <w:tcW w:w="1418" w:type="dxa"/>
            <w:vAlign w:val="center"/>
          </w:tcPr>
          <w:p>
            <w:pPr>
              <w:pStyle w:val="32"/>
              <w:ind w:left="480" w:firstLine="480"/>
              <w:jc w:val="center"/>
            </w:pPr>
          </w:p>
        </w:tc>
        <w:tc>
          <w:tcPr>
            <w:tcW w:w="1725" w:type="dxa"/>
            <w:vAlign w:val="center"/>
          </w:tcPr>
          <w:p>
            <w:pPr>
              <w:pStyle w:val="32"/>
              <w:ind w:left="480" w:firstLine="480"/>
              <w:jc w:val="center"/>
            </w:pPr>
          </w:p>
        </w:tc>
        <w:tc>
          <w:tcPr>
            <w:tcW w:w="1297" w:type="dxa"/>
            <w:vAlign w:val="center"/>
          </w:tcPr>
          <w:p>
            <w:pPr>
              <w:pStyle w:val="32"/>
              <w:ind w:left="480" w:firstLine="480"/>
              <w:jc w:val="center"/>
            </w:pPr>
          </w:p>
        </w:tc>
        <w:tc>
          <w:tcPr>
            <w:tcW w:w="1656" w:type="dxa"/>
            <w:vAlign w:val="center"/>
          </w:tcPr>
          <w:p>
            <w:pPr>
              <w:pStyle w:val="32"/>
              <w:ind w:left="480" w:firstLine="480"/>
              <w:jc w:val="center"/>
            </w:pPr>
          </w:p>
        </w:tc>
        <w:tc>
          <w:tcPr>
            <w:tcW w:w="1072" w:type="dxa"/>
            <w:vAlign w:val="center"/>
          </w:tcPr>
          <w:p>
            <w:pPr>
              <w:pStyle w:val="32"/>
              <w:ind w:left="480" w:firstLine="48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7" w:type="dxa"/>
            <w:vAlign w:val="center"/>
          </w:tcPr>
          <w:p>
            <w:pPr>
              <w:pStyle w:val="32"/>
              <w:ind w:left="480" w:firstLine="480"/>
              <w:jc w:val="center"/>
            </w:pPr>
          </w:p>
        </w:tc>
        <w:tc>
          <w:tcPr>
            <w:tcW w:w="1559" w:type="dxa"/>
            <w:vAlign w:val="center"/>
          </w:tcPr>
          <w:p>
            <w:pPr>
              <w:pStyle w:val="32"/>
              <w:ind w:left="480" w:firstLine="480"/>
              <w:jc w:val="center"/>
            </w:pPr>
          </w:p>
        </w:tc>
        <w:tc>
          <w:tcPr>
            <w:tcW w:w="1418" w:type="dxa"/>
            <w:vAlign w:val="center"/>
          </w:tcPr>
          <w:p>
            <w:pPr>
              <w:pStyle w:val="32"/>
              <w:ind w:left="480" w:firstLine="480"/>
              <w:jc w:val="center"/>
            </w:pPr>
          </w:p>
        </w:tc>
        <w:tc>
          <w:tcPr>
            <w:tcW w:w="1725" w:type="dxa"/>
            <w:vAlign w:val="center"/>
          </w:tcPr>
          <w:p>
            <w:pPr>
              <w:pStyle w:val="32"/>
              <w:ind w:left="480" w:firstLine="480"/>
              <w:jc w:val="center"/>
            </w:pPr>
          </w:p>
        </w:tc>
        <w:tc>
          <w:tcPr>
            <w:tcW w:w="1297" w:type="dxa"/>
            <w:vAlign w:val="center"/>
          </w:tcPr>
          <w:p>
            <w:pPr>
              <w:pStyle w:val="32"/>
              <w:ind w:left="480" w:firstLine="480"/>
              <w:jc w:val="center"/>
            </w:pPr>
          </w:p>
        </w:tc>
        <w:tc>
          <w:tcPr>
            <w:tcW w:w="1656" w:type="dxa"/>
            <w:vAlign w:val="center"/>
          </w:tcPr>
          <w:p>
            <w:pPr>
              <w:pStyle w:val="32"/>
              <w:ind w:left="480" w:firstLine="480"/>
              <w:jc w:val="center"/>
            </w:pPr>
          </w:p>
        </w:tc>
        <w:tc>
          <w:tcPr>
            <w:tcW w:w="1072" w:type="dxa"/>
            <w:vAlign w:val="center"/>
          </w:tcPr>
          <w:p>
            <w:pPr>
              <w:pStyle w:val="32"/>
              <w:ind w:left="480"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7" w:type="dxa"/>
            <w:vAlign w:val="center"/>
          </w:tcPr>
          <w:p>
            <w:pPr>
              <w:pStyle w:val="32"/>
              <w:ind w:left="480" w:firstLine="480"/>
              <w:jc w:val="center"/>
            </w:pPr>
          </w:p>
        </w:tc>
        <w:tc>
          <w:tcPr>
            <w:tcW w:w="1559" w:type="dxa"/>
            <w:vAlign w:val="center"/>
          </w:tcPr>
          <w:p>
            <w:pPr>
              <w:pStyle w:val="32"/>
              <w:ind w:left="480" w:firstLine="480"/>
              <w:jc w:val="center"/>
            </w:pPr>
          </w:p>
        </w:tc>
        <w:tc>
          <w:tcPr>
            <w:tcW w:w="1418" w:type="dxa"/>
            <w:vAlign w:val="center"/>
          </w:tcPr>
          <w:p>
            <w:pPr>
              <w:pStyle w:val="32"/>
              <w:ind w:left="480" w:firstLine="480"/>
              <w:jc w:val="center"/>
            </w:pPr>
          </w:p>
        </w:tc>
        <w:tc>
          <w:tcPr>
            <w:tcW w:w="1725" w:type="dxa"/>
            <w:vAlign w:val="center"/>
          </w:tcPr>
          <w:p>
            <w:pPr>
              <w:pStyle w:val="32"/>
              <w:ind w:left="480" w:firstLine="480"/>
              <w:jc w:val="center"/>
            </w:pPr>
          </w:p>
        </w:tc>
        <w:tc>
          <w:tcPr>
            <w:tcW w:w="1297" w:type="dxa"/>
            <w:vAlign w:val="center"/>
          </w:tcPr>
          <w:p>
            <w:pPr>
              <w:pStyle w:val="32"/>
              <w:ind w:left="480" w:firstLine="480"/>
              <w:jc w:val="center"/>
            </w:pPr>
          </w:p>
        </w:tc>
        <w:tc>
          <w:tcPr>
            <w:tcW w:w="1656" w:type="dxa"/>
            <w:vAlign w:val="center"/>
          </w:tcPr>
          <w:p>
            <w:pPr>
              <w:pStyle w:val="32"/>
              <w:ind w:left="480" w:firstLine="480"/>
              <w:jc w:val="center"/>
            </w:pPr>
          </w:p>
        </w:tc>
        <w:tc>
          <w:tcPr>
            <w:tcW w:w="1072" w:type="dxa"/>
            <w:vAlign w:val="center"/>
          </w:tcPr>
          <w:p>
            <w:pPr>
              <w:pStyle w:val="32"/>
              <w:ind w:left="480"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17" w:type="dxa"/>
            <w:vAlign w:val="center"/>
          </w:tcPr>
          <w:p>
            <w:pPr>
              <w:pStyle w:val="32"/>
              <w:ind w:left="480" w:firstLine="0" w:firstLineChars="0"/>
            </w:pPr>
            <w:r>
              <w:rPr>
                <w:rFonts w:hint="eastAsia"/>
                <w:color w:val="000000"/>
              </w:rPr>
              <w:t>……</w:t>
            </w:r>
          </w:p>
        </w:tc>
        <w:tc>
          <w:tcPr>
            <w:tcW w:w="1559" w:type="dxa"/>
            <w:vAlign w:val="center"/>
          </w:tcPr>
          <w:p>
            <w:pPr>
              <w:pStyle w:val="32"/>
              <w:ind w:left="480" w:firstLine="0" w:firstLineChars="0"/>
            </w:pPr>
            <w:r>
              <w:rPr>
                <w:rFonts w:hint="eastAsia"/>
                <w:color w:val="000000"/>
              </w:rPr>
              <w:t>……</w:t>
            </w:r>
          </w:p>
        </w:tc>
        <w:tc>
          <w:tcPr>
            <w:tcW w:w="1418" w:type="dxa"/>
            <w:vAlign w:val="center"/>
          </w:tcPr>
          <w:p>
            <w:pPr>
              <w:pStyle w:val="32"/>
              <w:ind w:left="480" w:firstLine="0" w:firstLineChars="0"/>
            </w:pPr>
            <w:r>
              <w:rPr>
                <w:rFonts w:hint="eastAsia"/>
                <w:color w:val="000000"/>
              </w:rPr>
              <w:t>……</w:t>
            </w:r>
          </w:p>
        </w:tc>
        <w:tc>
          <w:tcPr>
            <w:tcW w:w="1725" w:type="dxa"/>
            <w:vAlign w:val="center"/>
          </w:tcPr>
          <w:p>
            <w:pPr>
              <w:pStyle w:val="32"/>
              <w:ind w:left="480" w:firstLine="0" w:firstLineChars="0"/>
            </w:pPr>
            <w:r>
              <w:rPr>
                <w:rFonts w:hint="eastAsia"/>
                <w:color w:val="000000"/>
              </w:rPr>
              <w:t>……</w:t>
            </w:r>
          </w:p>
        </w:tc>
        <w:tc>
          <w:tcPr>
            <w:tcW w:w="1297" w:type="dxa"/>
            <w:vAlign w:val="center"/>
          </w:tcPr>
          <w:p>
            <w:pPr>
              <w:pStyle w:val="32"/>
              <w:ind w:left="480" w:firstLine="0" w:firstLineChars="0"/>
            </w:pPr>
            <w:r>
              <w:rPr>
                <w:rFonts w:hint="eastAsia"/>
                <w:color w:val="000000"/>
              </w:rPr>
              <w:t>……</w:t>
            </w:r>
          </w:p>
        </w:tc>
        <w:tc>
          <w:tcPr>
            <w:tcW w:w="1656" w:type="dxa"/>
            <w:vAlign w:val="center"/>
          </w:tcPr>
          <w:p>
            <w:pPr>
              <w:pStyle w:val="32"/>
              <w:ind w:left="480" w:firstLine="0" w:firstLineChars="0"/>
            </w:pPr>
            <w:r>
              <w:rPr>
                <w:rFonts w:hint="eastAsia"/>
                <w:color w:val="000000"/>
              </w:rPr>
              <w:t>……</w:t>
            </w:r>
          </w:p>
        </w:tc>
        <w:tc>
          <w:tcPr>
            <w:tcW w:w="1072" w:type="dxa"/>
            <w:vAlign w:val="center"/>
          </w:tcPr>
          <w:p>
            <w:pPr>
              <w:pStyle w:val="32"/>
              <w:ind w:left="480" w:firstLine="0" w:firstLineChars="0"/>
            </w:pPr>
            <w:r>
              <w:rPr>
                <w:rFonts w:hint="eastAsia"/>
                <w:color w:val="000000"/>
              </w:rPr>
              <w:t>……</w:t>
            </w:r>
          </w:p>
        </w:tc>
      </w:tr>
    </w:tbl>
    <w:p>
      <w:pPr>
        <w:spacing w:line="360" w:lineRule="auto"/>
        <w:rPr>
          <w:szCs w:val="16"/>
        </w:rPr>
      </w:pPr>
      <w:r>
        <w:rPr>
          <w:rFonts w:hint="eastAsia"/>
          <w:b/>
          <w:bCs/>
          <w:szCs w:val="16"/>
        </w:rPr>
        <w:t>说明：</w:t>
      </w:r>
    </w:p>
    <w:p>
      <w:pPr>
        <w:numPr>
          <w:ilvl w:val="0"/>
          <w:numId w:val="8"/>
        </w:numPr>
        <w:spacing w:line="360" w:lineRule="auto"/>
        <w:rPr>
          <w:szCs w:val="16"/>
        </w:rPr>
      </w:pPr>
      <w:r>
        <w:rPr>
          <w:rFonts w:hint="eastAsia"/>
          <w:szCs w:val="16"/>
        </w:rPr>
        <w:t>供应商需提供近3年（2019年1月1日至今）类似业绩【提供合同关键页（金额页、内容页、盖章页、日期页等（复印件）、中标通知书或银行进帐单（银行电子回单带有电子回单专用章字样）</w:t>
      </w:r>
      <w:r>
        <w:rPr>
          <w:rFonts w:hint="eastAsia"/>
          <w:szCs w:val="16"/>
          <w:lang w:eastAsia="zh-CN"/>
        </w:rPr>
        <w:t>、</w:t>
      </w:r>
      <w:r>
        <w:rPr>
          <w:rFonts w:hint="eastAsia"/>
          <w:szCs w:val="16"/>
        </w:rPr>
        <w:t>其他有效证明材料（如</w:t>
      </w:r>
      <w:r>
        <w:rPr>
          <w:rFonts w:hint="eastAsia"/>
          <w:szCs w:val="16"/>
          <w:lang w:val="en-US" w:eastAsia="zh-CN"/>
        </w:rPr>
        <w:t>成交</w:t>
      </w:r>
      <w:r>
        <w:rPr>
          <w:rFonts w:hint="eastAsia"/>
          <w:szCs w:val="16"/>
        </w:rPr>
        <w:t>通知书等）扫描件。</w:t>
      </w:r>
    </w:p>
    <w:p>
      <w:pPr>
        <w:pStyle w:val="11"/>
        <w:rPr>
          <w:rFonts w:hint="eastAsia" w:eastAsia="宋体"/>
          <w:sz w:val="24"/>
          <w:szCs w:val="16"/>
          <w:lang w:eastAsia="zh-CN"/>
        </w:rPr>
      </w:pPr>
      <w:r>
        <w:rPr>
          <w:rFonts w:hint="eastAsia"/>
          <w:sz w:val="24"/>
          <w:szCs w:val="16"/>
        </w:rPr>
        <w:t>2、业绩中标通知书、电子回单以及单位的考核意见原件带入现场备查</w:t>
      </w:r>
      <w:r>
        <w:rPr>
          <w:rFonts w:hint="eastAsia"/>
          <w:sz w:val="24"/>
          <w:szCs w:val="16"/>
          <w:lang w:eastAsia="zh-CN"/>
        </w:rPr>
        <w:t>。</w:t>
      </w:r>
    </w:p>
    <w:p>
      <w:pPr>
        <w:spacing w:line="360" w:lineRule="auto"/>
        <w:rPr>
          <w:szCs w:val="16"/>
        </w:rPr>
      </w:pPr>
      <w:r>
        <w:rPr>
          <w:rFonts w:hint="eastAsia"/>
          <w:szCs w:val="16"/>
        </w:rPr>
        <w:t xml:space="preserve">3、注：未提供或内容模糊不清的，其业绩不予认定。一经发现业绩列表内的合同为伪造，投标做无效处理。 </w:t>
      </w:r>
    </w:p>
    <w:p>
      <w:pPr>
        <w:spacing w:line="360" w:lineRule="auto"/>
        <w:rPr>
          <w:szCs w:val="16"/>
        </w:rPr>
      </w:pPr>
      <w:r>
        <w:rPr>
          <w:rFonts w:hint="eastAsia"/>
          <w:szCs w:val="16"/>
        </w:rPr>
        <w:t>4、未附有证明材料的业绩不予认可。</w:t>
      </w:r>
    </w:p>
    <w:p>
      <w:pPr>
        <w:spacing w:line="360" w:lineRule="auto"/>
        <w:rPr>
          <w:szCs w:val="16"/>
        </w:rPr>
      </w:pPr>
    </w:p>
    <w:bookmarkEnd w:id="109"/>
    <w:p>
      <w:pPr>
        <w:pStyle w:val="7"/>
        <w:spacing w:before="0" w:after="0" w:line="360" w:lineRule="auto"/>
        <w:rPr>
          <w:sz w:val="24"/>
          <w:szCs w:val="24"/>
        </w:rPr>
      </w:pPr>
    </w:p>
    <w:p>
      <w:pPr>
        <w:pStyle w:val="7"/>
        <w:spacing w:before="0" w:after="0" w:line="360" w:lineRule="auto"/>
        <w:rPr>
          <w:sz w:val="24"/>
          <w:szCs w:val="24"/>
        </w:rPr>
      </w:pPr>
    </w:p>
    <w:p>
      <w:pPr>
        <w:pStyle w:val="7"/>
        <w:spacing w:before="0" w:after="0" w:line="360" w:lineRule="auto"/>
        <w:rPr>
          <w:sz w:val="24"/>
          <w:szCs w:val="24"/>
        </w:rPr>
      </w:pPr>
    </w:p>
    <w:p>
      <w:pPr>
        <w:spacing w:line="360" w:lineRule="auto"/>
      </w:pPr>
      <w:r>
        <w:rPr>
          <w:rFonts w:hint="eastAsia"/>
        </w:rPr>
        <w:br w:type="page"/>
      </w:r>
    </w:p>
    <w:p>
      <w:pPr>
        <w:pStyle w:val="7"/>
        <w:spacing w:before="0" w:after="0" w:line="360" w:lineRule="auto"/>
        <w:rPr>
          <w:sz w:val="24"/>
          <w:szCs w:val="24"/>
        </w:rPr>
      </w:pPr>
      <w:r>
        <w:rPr>
          <w:rFonts w:hint="eastAsia"/>
          <w:sz w:val="24"/>
          <w:szCs w:val="24"/>
        </w:rPr>
        <w:t>2</w:t>
      </w:r>
      <w:r>
        <w:rPr>
          <w:sz w:val="24"/>
          <w:szCs w:val="24"/>
        </w:rPr>
        <w:t>.</w:t>
      </w:r>
      <w:r>
        <w:rPr>
          <w:rFonts w:hint="eastAsia"/>
          <w:sz w:val="24"/>
          <w:szCs w:val="24"/>
        </w:rPr>
        <w:t>4配送车辆</w:t>
      </w:r>
    </w:p>
    <w:tbl>
      <w:tblPr>
        <w:tblStyle w:val="33"/>
        <w:tblW w:w="8290"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658"/>
        <w:gridCol w:w="1658"/>
        <w:gridCol w:w="165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58" w:type="dxa"/>
            <w:shd w:val="clear" w:color="auto" w:fill="auto"/>
            <w:vAlign w:val="center"/>
          </w:tcPr>
          <w:p>
            <w:pPr>
              <w:jc w:val="center"/>
              <w:rPr>
                <w:color w:val="000000"/>
              </w:rPr>
            </w:pPr>
            <w:r>
              <w:rPr>
                <w:rFonts w:hint="eastAsia"/>
                <w:color w:val="000000"/>
              </w:rPr>
              <w:t>序号</w:t>
            </w:r>
          </w:p>
        </w:tc>
        <w:tc>
          <w:tcPr>
            <w:tcW w:w="1658" w:type="dxa"/>
            <w:shd w:val="clear" w:color="auto" w:fill="auto"/>
            <w:vAlign w:val="center"/>
          </w:tcPr>
          <w:p>
            <w:pPr>
              <w:jc w:val="center"/>
              <w:rPr>
                <w:color w:val="000000"/>
              </w:rPr>
            </w:pPr>
            <w:r>
              <w:rPr>
                <w:rFonts w:hint="eastAsia"/>
                <w:color w:val="000000"/>
              </w:rPr>
              <w:t>设备名称</w:t>
            </w:r>
          </w:p>
        </w:tc>
        <w:tc>
          <w:tcPr>
            <w:tcW w:w="1658" w:type="dxa"/>
            <w:shd w:val="clear" w:color="auto" w:fill="auto"/>
            <w:vAlign w:val="center"/>
          </w:tcPr>
          <w:p>
            <w:pPr>
              <w:jc w:val="center"/>
              <w:rPr>
                <w:color w:val="000000"/>
              </w:rPr>
            </w:pPr>
            <w:r>
              <w:rPr>
                <w:rFonts w:hint="eastAsia"/>
                <w:color w:val="000000"/>
              </w:rPr>
              <w:t>车牌号</w:t>
            </w:r>
          </w:p>
        </w:tc>
        <w:tc>
          <w:tcPr>
            <w:tcW w:w="1658" w:type="dxa"/>
            <w:shd w:val="clear" w:color="auto" w:fill="auto"/>
            <w:vAlign w:val="center"/>
          </w:tcPr>
          <w:p>
            <w:pPr>
              <w:jc w:val="center"/>
              <w:rPr>
                <w:color w:val="000000"/>
              </w:rPr>
            </w:pPr>
            <w:r>
              <w:rPr>
                <w:rFonts w:hint="eastAsia"/>
                <w:color w:val="000000"/>
              </w:rPr>
              <w:t>型号</w:t>
            </w:r>
          </w:p>
        </w:tc>
        <w:tc>
          <w:tcPr>
            <w:tcW w:w="1658" w:type="dxa"/>
            <w:shd w:val="clear" w:color="auto" w:fill="auto"/>
            <w:vAlign w:val="center"/>
          </w:tcPr>
          <w:p>
            <w:pPr>
              <w:jc w:val="center"/>
              <w:rPr>
                <w:color w:val="000000"/>
              </w:rPr>
            </w:pPr>
            <w:r>
              <w:rPr>
                <w:rFonts w:hint="eastAsia"/>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58" w:type="dxa"/>
            <w:shd w:val="clear" w:color="auto" w:fill="auto"/>
            <w:vAlign w:val="center"/>
          </w:tcPr>
          <w:p>
            <w:pPr>
              <w:jc w:val="center"/>
              <w:rPr>
                <w:color w:val="000000"/>
              </w:rPr>
            </w:pPr>
            <w:r>
              <w:rPr>
                <w:rFonts w:hint="eastAsia"/>
                <w:color w:val="000000"/>
              </w:rPr>
              <w:t>1</w:t>
            </w:r>
          </w:p>
        </w:tc>
        <w:tc>
          <w:tcPr>
            <w:tcW w:w="1658" w:type="dxa"/>
            <w:shd w:val="clear" w:color="auto" w:fill="auto"/>
            <w:vAlign w:val="center"/>
          </w:tcPr>
          <w:p>
            <w:pPr>
              <w:jc w:val="center"/>
              <w:rPr>
                <w:color w:val="000000"/>
              </w:rPr>
            </w:pPr>
          </w:p>
        </w:tc>
        <w:tc>
          <w:tcPr>
            <w:tcW w:w="1658" w:type="dxa"/>
            <w:shd w:val="clear" w:color="auto" w:fill="auto"/>
            <w:vAlign w:val="center"/>
          </w:tcPr>
          <w:p>
            <w:pPr>
              <w:jc w:val="center"/>
              <w:rPr>
                <w:color w:val="000000"/>
              </w:rPr>
            </w:pPr>
          </w:p>
        </w:tc>
        <w:tc>
          <w:tcPr>
            <w:tcW w:w="1658" w:type="dxa"/>
            <w:shd w:val="clear" w:color="auto" w:fill="auto"/>
            <w:vAlign w:val="center"/>
          </w:tcPr>
          <w:p>
            <w:pPr>
              <w:jc w:val="center"/>
              <w:rPr>
                <w:color w:val="000000"/>
              </w:rPr>
            </w:pPr>
          </w:p>
        </w:tc>
        <w:tc>
          <w:tcPr>
            <w:tcW w:w="1658"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658" w:type="dxa"/>
            <w:shd w:val="clear" w:color="auto" w:fill="auto"/>
            <w:vAlign w:val="center"/>
          </w:tcPr>
          <w:p>
            <w:pPr>
              <w:jc w:val="center"/>
              <w:rPr>
                <w:color w:val="000000"/>
              </w:rPr>
            </w:pPr>
            <w:r>
              <w:rPr>
                <w:rFonts w:hint="eastAsia"/>
                <w:color w:val="000000"/>
              </w:rPr>
              <w:t>2</w:t>
            </w:r>
          </w:p>
        </w:tc>
        <w:tc>
          <w:tcPr>
            <w:tcW w:w="1658" w:type="dxa"/>
            <w:shd w:val="clear" w:color="auto" w:fill="auto"/>
            <w:vAlign w:val="center"/>
          </w:tcPr>
          <w:p>
            <w:pPr>
              <w:jc w:val="center"/>
              <w:rPr>
                <w:color w:val="000000"/>
              </w:rPr>
            </w:pPr>
          </w:p>
        </w:tc>
        <w:tc>
          <w:tcPr>
            <w:tcW w:w="1658" w:type="dxa"/>
            <w:shd w:val="clear" w:color="auto" w:fill="auto"/>
            <w:vAlign w:val="center"/>
          </w:tcPr>
          <w:p>
            <w:pPr>
              <w:jc w:val="center"/>
              <w:rPr>
                <w:color w:val="000000"/>
              </w:rPr>
            </w:pPr>
          </w:p>
        </w:tc>
        <w:tc>
          <w:tcPr>
            <w:tcW w:w="1658" w:type="dxa"/>
            <w:shd w:val="clear" w:color="auto" w:fill="auto"/>
            <w:vAlign w:val="center"/>
          </w:tcPr>
          <w:p>
            <w:pPr>
              <w:jc w:val="center"/>
              <w:rPr>
                <w:color w:val="000000"/>
              </w:rPr>
            </w:pPr>
          </w:p>
        </w:tc>
        <w:tc>
          <w:tcPr>
            <w:tcW w:w="1658" w:type="dxa"/>
            <w:shd w:val="clear" w:color="auto" w:fill="auto"/>
            <w:vAlign w:val="center"/>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658" w:type="dxa"/>
            <w:shd w:val="clear" w:color="auto" w:fill="auto"/>
            <w:vAlign w:val="center"/>
          </w:tcPr>
          <w:p>
            <w:pPr>
              <w:jc w:val="center"/>
              <w:rPr>
                <w:color w:val="000000"/>
              </w:rPr>
            </w:pPr>
            <w:r>
              <w:rPr>
                <w:rFonts w:hint="eastAsia"/>
                <w:color w:val="000000"/>
              </w:rPr>
              <w:t>3</w:t>
            </w:r>
          </w:p>
        </w:tc>
        <w:tc>
          <w:tcPr>
            <w:tcW w:w="1658" w:type="dxa"/>
            <w:shd w:val="clear" w:color="auto" w:fill="auto"/>
            <w:vAlign w:val="center"/>
          </w:tcPr>
          <w:p>
            <w:pPr>
              <w:jc w:val="center"/>
              <w:rPr>
                <w:color w:val="000000"/>
              </w:rPr>
            </w:pPr>
            <w:r>
              <w:rPr>
                <w:rFonts w:hint="eastAsia"/>
                <w:color w:val="000000"/>
              </w:rPr>
              <w:t>……</w:t>
            </w:r>
          </w:p>
        </w:tc>
        <w:tc>
          <w:tcPr>
            <w:tcW w:w="1658" w:type="dxa"/>
            <w:shd w:val="clear" w:color="auto" w:fill="auto"/>
            <w:vAlign w:val="center"/>
          </w:tcPr>
          <w:p>
            <w:pPr>
              <w:jc w:val="center"/>
              <w:rPr>
                <w:color w:val="000000"/>
              </w:rPr>
            </w:pPr>
            <w:r>
              <w:rPr>
                <w:rFonts w:hint="eastAsia"/>
                <w:color w:val="000000"/>
              </w:rPr>
              <w:t>……</w:t>
            </w:r>
          </w:p>
        </w:tc>
        <w:tc>
          <w:tcPr>
            <w:tcW w:w="1658" w:type="dxa"/>
            <w:shd w:val="clear" w:color="auto" w:fill="auto"/>
            <w:vAlign w:val="center"/>
          </w:tcPr>
          <w:p>
            <w:pPr>
              <w:jc w:val="center"/>
              <w:rPr>
                <w:color w:val="000000"/>
              </w:rPr>
            </w:pPr>
            <w:r>
              <w:rPr>
                <w:rFonts w:hint="eastAsia"/>
                <w:color w:val="000000"/>
              </w:rPr>
              <w:t>……</w:t>
            </w:r>
          </w:p>
        </w:tc>
        <w:tc>
          <w:tcPr>
            <w:tcW w:w="1658" w:type="dxa"/>
            <w:shd w:val="clear" w:color="auto" w:fill="auto"/>
            <w:vAlign w:val="center"/>
          </w:tcPr>
          <w:p>
            <w:pPr>
              <w:jc w:val="center"/>
              <w:rPr>
                <w:color w:val="000000"/>
              </w:rPr>
            </w:pPr>
            <w:r>
              <w:rPr>
                <w:rFonts w:hint="eastAsia"/>
                <w:color w:val="000000"/>
              </w:rPr>
              <w:t>……</w:t>
            </w:r>
          </w:p>
        </w:tc>
      </w:tr>
    </w:tbl>
    <w:p>
      <w:pPr>
        <w:adjustRightInd w:val="0"/>
        <w:spacing w:line="360" w:lineRule="auto"/>
        <w:textAlignment w:val="baseline"/>
        <w:rPr>
          <w:rFonts w:ascii="Times New Roman" w:hAnsi="Times New Roman" w:cs="Times New Roman"/>
        </w:rPr>
      </w:pPr>
      <w:r>
        <w:rPr>
          <w:rFonts w:hint="eastAsia"/>
        </w:rPr>
        <w:t>注：</w:t>
      </w:r>
      <w:r>
        <w:rPr>
          <w:rFonts w:hint="eastAsia" w:ascii="Times New Roman" w:hAnsi="Times New Roman" w:cs="Times New Roman"/>
        </w:rPr>
        <w:t>根据供应商拟用于本项目的配送车辆进行评分；</w:t>
      </w:r>
    </w:p>
    <w:p>
      <w:pPr>
        <w:spacing w:line="360" w:lineRule="auto"/>
        <w:rPr>
          <w:rFonts w:ascii="Times New Roman" w:hAnsi="Times New Roman" w:cs="Times New Roman"/>
        </w:rPr>
      </w:pPr>
      <w:r>
        <w:rPr>
          <w:rFonts w:hint="eastAsia" w:ascii="Times New Roman" w:hAnsi="Times New Roman" w:cs="Times New Roman"/>
        </w:rPr>
        <w:t>评分认定标准：</w:t>
      </w:r>
      <w:r>
        <w:rPr>
          <w:rFonts w:ascii="Times New Roman" w:hAnsi="Times New Roman" w:cs="Times New Roman"/>
        </w:rPr>
        <w:t>1.</w:t>
      </w:r>
      <w:r>
        <w:rPr>
          <w:rFonts w:hint="eastAsia" w:ascii="Times New Roman" w:hAnsi="Times New Roman" w:cs="Times New Roman"/>
        </w:rPr>
        <w:t>提供机动车行驶证及车辆登记证复印件；</w:t>
      </w:r>
      <w:r>
        <w:rPr>
          <w:rFonts w:ascii="Times New Roman" w:hAnsi="Times New Roman" w:cs="Times New Roman"/>
        </w:rPr>
        <w:t>2.</w:t>
      </w:r>
      <w:r>
        <w:rPr>
          <w:rFonts w:hint="eastAsia" w:ascii="Times New Roman" w:hAnsi="Times New Roman" w:cs="Times New Roman"/>
        </w:rPr>
        <w:t>配送车辆如为租赁的，须提供租赁合同，不提供者上述材料者本项不得分。</w:t>
      </w:r>
    </w:p>
    <w:p>
      <w:pPr>
        <w:adjustRightInd w:val="0"/>
        <w:spacing w:line="360" w:lineRule="auto"/>
        <w:textAlignment w:val="baseline"/>
        <w:rPr>
          <w:rFonts w:ascii="Times New Roman" w:hAnsi="Times New Roman" w:cs="Times New Roman"/>
        </w:rPr>
      </w:pPr>
    </w:p>
    <w:p>
      <w:pPr>
        <w:pStyle w:val="7"/>
        <w:spacing w:before="0" w:after="0" w:line="360" w:lineRule="auto"/>
        <w:rPr>
          <w:sz w:val="24"/>
          <w:szCs w:val="24"/>
        </w:rPr>
      </w:pPr>
      <w:r>
        <w:rPr>
          <w:rFonts w:hint="eastAsia"/>
          <w:sz w:val="24"/>
          <w:szCs w:val="24"/>
        </w:rPr>
        <w:t>2</w:t>
      </w:r>
      <w:r>
        <w:rPr>
          <w:sz w:val="24"/>
          <w:szCs w:val="24"/>
        </w:rPr>
        <w:t>.</w:t>
      </w:r>
      <w:r>
        <w:rPr>
          <w:rFonts w:hint="eastAsia"/>
          <w:sz w:val="24"/>
          <w:szCs w:val="24"/>
        </w:rPr>
        <w:t>5</w:t>
      </w:r>
      <w:r>
        <w:rPr>
          <w:sz w:val="24"/>
          <w:szCs w:val="24"/>
        </w:rPr>
        <w:t>配送人员</w:t>
      </w:r>
    </w:p>
    <w:tbl>
      <w:tblPr>
        <w:tblStyle w:val="33"/>
        <w:tblW w:w="8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764"/>
        <w:gridCol w:w="1384"/>
        <w:gridCol w:w="1446"/>
        <w:gridCol w:w="1479"/>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94" w:type="dxa"/>
            <w:vAlign w:val="center"/>
          </w:tcPr>
          <w:p>
            <w:pPr>
              <w:pStyle w:val="10"/>
              <w:jc w:val="center"/>
              <w:rPr>
                <w:szCs w:val="16"/>
              </w:rPr>
            </w:pPr>
            <w:r>
              <w:rPr>
                <w:rFonts w:hint="eastAsia"/>
                <w:szCs w:val="16"/>
              </w:rPr>
              <w:t>序号</w:t>
            </w:r>
          </w:p>
        </w:tc>
        <w:tc>
          <w:tcPr>
            <w:tcW w:w="1764" w:type="dxa"/>
            <w:vAlign w:val="center"/>
          </w:tcPr>
          <w:p>
            <w:pPr>
              <w:pStyle w:val="10"/>
              <w:jc w:val="center"/>
              <w:rPr>
                <w:szCs w:val="16"/>
              </w:rPr>
            </w:pPr>
            <w:r>
              <w:rPr>
                <w:rFonts w:hint="eastAsia"/>
                <w:szCs w:val="16"/>
              </w:rPr>
              <w:t>姓名</w:t>
            </w:r>
          </w:p>
        </w:tc>
        <w:tc>
          <w:tcPr>
            <w:tcW w:w="1384" w:type="dxa"/>
            <w:vAlign w:val="center"/>
          </w:tcPr>
          <w:p>
            <w:pPr>
              <w:pStyle w:val="10"/>
              <w:jc w:val="center"/>
              <w:rPr>
                <w:szCs w:val="16"/>
              </w:rPr>
            </w:pPr>
            <w:r>
              <w:rPr>
                <w:rFonts w:hint="eastAsia"/>
                <w:szCs w:val="16"/>
              </w:rPr>
              <w:t>身份证号</w:t>
            </w:r>
          </w:p>
        </w:tc>
        <w:tc>
          <w:tcPr>
            <w:tcW w:w="1446" w:type="dxa"/>
            <w:vAlign w:val="center"/>
          </w:tcPr>
          <w:p>
            <w:pPr>
              <w:pStyle w:val="10"/>
              <w:jc w:val="center"/>
              <w:rPr>
                <w:szCs w:val="16"/>
              </w:rPr>
            </w:pPr>
            <w:r>
              <w:rPr>
                <w:rFonts w:hint="eastAsia"/>
                <w:szCs w:val="16"/>
              </w:rPr>
              <w:t>工作年限</w:t>
            </w:r>
          </w:p>
        </w:tc>
        <w:tc>
          <w:tcPr>
            <w:tcW w:w="1479" w:type="dxa"/>
            <w:vAlign w:val="center"/>
          </w:tcPr>
          <w:p>
            <w:pPr>
              <w:pStyle w:val="10"/>
              <w:jc w:val="center"/>
              <w:rPr>
                <w:szCs w:val="16"/>
              </w:rPr>
            </w:pPr>
            <w:r>
              <w:rPr>
                <w:rFonts w:hint="eastAsia"/>
                <w:szCs w:val="16"/>
              </w:rPr>
              <w:t>投入本项目分工</w:t>
            </w:r>
          </w:p>
        </w:tc>
        <w:tc>
          <w:tcPr>
            <w:tcW w:w="1153" w:type="dxa"/>
            <w:vAlign w:val="center"/>
          </w:tcPr>
          <w:p>
            <w:pPr>
              <w:pStyle w:val="10"/>
              <w:jc w:val="center"/>
              <w:rPr>
                <w:szCs w:val="16"/>
              </w:rPr>
            </w:pPr>
            <w:r>
              <w:rPr>
                <w:rFonts w:hint="eastAsia"/>
                <w:szCs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94" w:type="dxa"/>
          </w:tcPr>
          <w:p>
            <w:pPr>
              <w:spacing w:line="360" w:lineRule="auto"/>
              <w:ind w:firstLine="435"/>
              <w:rPr>
                <w:szCs w:val="16"/>
              </w:rPr>
            </w:pPr>
          </w:p>
        </w:tc>
        <w:tc>
          <w:tcPr>
            <w:tcW w:w="1764" w:type="dxa"/>
          </w:tcPr>
          <w:p>
            <w:pPr>
              <w:spacing w:line="360" w:lineRule="auto"/>
              <w:ind w:firstLine="435"/>
              <w:rPr>
                <w:szCs w:val="16"/>
              </w:rPr>
            </w:pPr>
          </w:p>
        </w:tc>
        <w:tc>
          <w:tcPr>
            <w:tcW w:w="1384" w:type="dxa"/>
          </w:tcPr>
          <w:p>
            <w:pPr>
              <w:spacing w:line="360" w:lineRule="auto"/>
              <w:ind w:firstLine="435"/>
              <w:rPr>
                <w:szCs w:val="16"/>
              </w:rPr>
            </w:pPr>
          </w:p>
        </w:tc>
        <w:tc>
          <w:tcPr>
            <w:tcW w:w="1446" w:type="dxa"/>
          </w:tcPr>
          <w:p>
            <w:pPr>
              <w:spacing w:line="360" w:lineRule="auto"/>
              <w:ind w:firstLine="435"/>
              <w:rPr>
                <w:szCs w:val="16"/>
              </w:rPr>
            </w:pPr>
          </w:p>
        </w:tc>
        <w:tc>
          <w:tcPr>
            <w:tcW w:w="1479" w:type="dxa"/>
          </w:tcPr>
          <w:p>
            <w:pPr>
              <w:spacing w:line="360" w:lineRule="auto"/>
              <w:ind w:firstLine="435"/>
              <w:rPr>
                <w:szCs w:val="16"/>
              </w:rPr>
            </w:pPr>
          </w:p>
        </w:tc>
        <w:tc>
          <w:tcPr>
            <w:tcW w:w="1153" w:type="dxa"/>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94" w:type="dxa"/>
          </w:tcPr>
          <w:p>
            <w:pPr>
              <w:spacing w:line="360" w:lineRule="auto"/>
              <w:ind w:firstLine="435"/>
              <w:rPr>
                <w:szCs w:val="16"/>
              </w:rPr>
            </w:pPr>
          </w:p>
        </w:tc>
        <w:tc>
          <w:tcPr>
            <w:tcW w:w="1764" w:type="dxa"/>
          </w:tcPr>
          <w:p>
            <w:pPr>
              <w:spacing w:line="360" w:lineRule="auto"/>
              <w:ind w:firstLine="435"/>
              <w:rPr>
                <w:szCs w:val="16"/>
              </w:rPr>
            </w:pPr>
          </w:p>
        </w:tc>
        <w:tc>
          <w:tcPr>
            <w:tcW w:w="1384" w:type="dxa"/>
          </w:tcPr>
          <w:p>
            <w:pPr>
              <w:spacing w:line="360" w:lineRule="auto"/>
              <w:ind w:firstLine="435"/>
              <w:rPr>
                <w:szCs w:val="16"/>
              </w:rPr>
            </w:pPr>
          </w:p>
        </w:tc>
        <w:tc>
          <w:tcPr>
            <w:tcW w:w="1446" w:type="dxa"/>
          </w:tcPr>
          <w:p>
            <w:pPr>
              <w:spacing w:line="360" w:lineRule="auto"/>
              <w:ind w:firstLine="435"/>
              <w:rPr>
                <w:szCs w:val="16"/>
              </w:rPr>
            </w:pPr>
          </w:p>
        </w:tc>
        <w:tc>
          <w:tcPr>
            <w:tcW w:w="1479" w:type="dxa"/>
          </w:tcPr>
          <w:p>
            <w:pPr>
              <w:spacing w:line="360" w:lineRule="auto"/>
              <w:ind w:firstLine="435"/>
              <w:rPr>
                <w:szCs w:val="16"/>
              </w:rPr>
            </w:pPr>
          </w:p>
        </w:tc>
        <w:tc>
          <w:tcPr>
            <w:tcW w:w="1153" w:type="dxa"/>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94" w:type="dxa"/>
          </w:tcPr>
          <w:p>
            <w:pPr>
              <w:spacing w:line="360" w:lineRule="auto"/>
              <w:ind w:firstLine="435"/>
              <w:rPr>
                <w:szCs w:val="16"/>
              </w:rPr>
            </w:pPr>
          </w:p>
        </w:tc>
        <w:tc>
          <w:tcPr>
            <w:tcW w:w="1764" w:type="dxa"/>
          </w:tcPr>
          <w:p>
            <w:pPr>
              <w:spacing w:line="360" w:lineRule="auto"/>
              <w:ind w:firstLine="435"/>
              <w:rPr>
                <w:szCs w:val="16"/>
              </w:rPr>
            </w:pPr>
          </w:p>
        </w:tc>
        <w:tc>
          <w:tcPr>
            <w:tcW w:w="1384" w:type="dxa"/>
          </w:tcPr>
          <w:p>
            <w:pPr>
              <w:spacing w:line="360" w:lineRule="auto"/>
              <w:ind w:firstLine="435"/>
              <w:rPr>
                <w:szCs w:val="16"/>
              </w:rPr>
            </w:pPr>
          </w:p>
        </w:tc>
        <w:tc>
          <w:tcPr>
            <w:tcW w:w="1446" w:type="dxa"/>
          </w:tcPr>
          <w:p>
            <w:pPr>
              <w:spacing w:line="360" w:lineRule="auto"/>
              <w:ind w:firstLine="435"/>
              <w:rPr>
                <w:szCs w:val="16"/>
              </w:rPr>
            </w:pPr>
          </w:p>
        </w:tc>
        <w:tc>
          <w:tcPr>
            <w:tcW w:w="1479" w:type="dxa"/>
          </w:tcPr>
          <w:p>
            <w:pPr>
              <w:spacing w:line="360" w:lineRule="auto"/>
              <w:ind w:firstLine="435"/>
              <w:rPr>
                <w:szCs w:val="16"/>
              </w:rPr>
            </w:pPr>
          </w:p>
        </w:tc>
        <w:tc>
          <w:tcPr>
            <w:tcW w:w="1153" w:type="dxa"/>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94" w:type="dxa"/>
          </w:tcPr>
          <w:p>
            <w:pPr>
              <w:spacing w:line="360" w:lineRule="auto"/>
              <w:ind w:firstLine="435"/>
              <w:rPr>
                <w:szCs w:val="16"/>
              </w:rPr>
            </w:pPr>
          </w:p>
        </w:tc>
        <w:tc>
          <w:tcPr>
            <w:tcW w:w="1764" w:type="dxa"/>
          </w:tcPr>
          <w:p>
            <w:pPr>
              <w:spacing w:line="360" w:lineRule="auto"/>
              <w:ind w:firstLine="435"/>
              <w:rPr>
                <w:szCs w:val="16"/>
              </w:rPr>
            </w:pPr>
          </w:p>
        </w:tc>
        <w:tc>
          <w:tcPr>
            <w:tcW w:w="1384" w:type="dxa"/>
          </w:tcPr>
          <w:p>
            <w:pPr>
              <w:spacing w:line="360" w:lineRule="auto"/>
              <w:ind w:firstLine="435"/>
              <w:rPr>
                <w:szCs w:val="16"/>
              </w:rPr>
            </w:pPr>
          </w:p>
        </w:tc>
        <w:tc>
          <w:tcPr>
            <w:tcW w:w="1446" w:type="dxa"/>
          </w:tcPr>
          <w:p>
            <w:pPr>
              <w:spacing w:line="360" w:lineRule="auto"/>
              <w:ind w:firstLine="435"/>
              <w:rPr>
                <w:szCs w:val="16"/>
              </w:rPr>
            </w:pPr>
          </w:p>
        </w:tc>
        <w:tc>
          <w:tcPr>
            <w:tcW w:w="1479" w:type="dxa"/>
          </w:tcPr>
          <w:p>
            <w:pPr>
              <w:spacing w:line="360" w:lineRule="auto"/>
              <w:ind w:firstLine="435"/>
              <w:rPr>
                <w:szCs w:val="16"/>
              </w:rPr>
            </w:pPr>
          </w:p>
        </w:tc>
        <w:tc>
          <w:tcPr>
            <w:tcW w:w="1153" w:type="dxa"/>
          </w:tcPr>
          <w:p>
            <w:pPr>
              <w:spacing w:line="360" w:lineRule="auto"/>
              <w:ind w:firstLine="435"/>
              <w:rPr>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94" w:type="dxa"/>
          </w:tcPr>
          <w:p>
            <w:pPr>
              <w:spacing w:line="360" w:lineRule="auto"/>
              <w:ind w:firstLine="435"/>
              <w:rPr>
                <w:szCs w:val="16"/>
              </w:rPr>
            </w:pPr>
            <w:r>
              <w:rPr>
                <w:rFonts w:hint="eastAsia"/>
                <w:szCs w:val="16"/>
              </w:rPr>
              <w:t>…</w:t>
            </w:r>
          </w:p>
        </w:tc>
        <w:tc>
          <w:tcPr>
            <w:tcW w:w="1764" w:type="dxa"/>
          </w:tcPr>
          <w:p>
            <w:pPr>
              <w:spacing w:line="360" w:lineRule="auto"/>
              <w:ind w:firstLine="435"/>
              <w:rPr>
                <w:szCs w:val="16"/>
              </w:rPr>
            </w:pPr>
            <w:r>
              <w:rPr>
                <w:rFonts w:hint="eastAsia"/>
                <w:color w:val="000000"/>
              </w:rPr>
              <w:t>……</w:t>
            </w:r>
          </w:p>
        </w:tc>
        <w:tc>
          <w:tcPr>
            <w:tcW w:w="1384" w:type="dxa"/>
          </w:tcPr>
          <w:p>
            <w:pPr>
              <w:spacing w:line="360" w:lineRule="auto"/>
              <w:ind w:firstLine="435"/>
              <w:rPr>
                <w:szCs w:val="16"/>
              </w:rPr>
            </w:pPr>
            <w:r>
              <w:rPr>
                <w:rFonts w:hint="eastAsia"/>
                <w:color w:val="000000"/>
              </w:rPr>
              <w:t>……</w:t>
            </w:r>
          </w:p>
        </w:tc>
        <w:tc>
          <w:tcPr>
            <w:tcW w:w="1446" w:type="dxa"/>
          </w:tcPr>
          <w:p>
            <w:pPr>
              <w:spacing w:line="360" w:lineRule="auto"/>
              <w:ind w:firstLine="435"/>
              <w:rPr>
                <w:szCs w:val="16"/>
              </w:rPr>
            </w:pPr>
            <w:r>
              <w:rPr>
                <w:rFonts w:hint="eastAsia"/>
                <w:color w:val="000000"/>
              </w:rPr>
              <w:t>……</w:t>
            </w:r>
          </w:p>
        </w:tc>
        <w:tc>
          <w:tcPr>
            <w:tcW w:w="1479" w:type="dxa"/>
          </w:tcPr>
          <w:p>
            <w:pPr>
              <w:spacing w:line="360" w:lineRule="auto"/>
              <w:ind w:firstLine="435"/>
              <w:rPr>
                <w:szCs w:val="16"/>
              </w:rPr>
            </w:pPr>
            <w:r>
              <w:rPr>
                <w:rFonts w:hint="eastAsia"/>
                <w:color w:val="000000"/>
              </w:rPr>
              <w:t>……</w:t>
            </w:r>
          </w:p>
        </w:tc>
        <w:tc>
          <w:tcPr>
            <w:tcW w:w="1153" w:type="dxa"/>
          </w:tcPr>
          <w:p>
            <w:pPr>
              <w:spacing w:line="360" w:lineRule="auto"/>
              <w:ind w:firstLine="435"/>
              <w:rPr>
                <w:szCs w:val="16"/>
              </w:rPr>
            </w:pPr>
            <w:r>
              <w:rPr>
                <w:rFonts w:hint="eastAsia"/>
                <w:color w:val="000000"/>
              </w:rPr>
              <w:t>……</w:t>
            </w:r>
          </w:p>
        </w:tc>
      </w:tr>
    </w:tbl>
    <w:p>
      <w:pPr>
        <w:rPr>
          <w:rFonts w:ascii="Times New Roman" w:hAnsi="Times New Roman" w:cs="Times New Roman"/>
        </w:rPr>
      </w:pPr>
      <w:r>
        <w:rPr>
          <w:rFonts w:hint="eastAsia"/>
        </w:rPr>
        <w:t>注：</w:t>
      </w:r>
      <w:r>
        <w:rPr>
          <w:rFonts w:hint="eastAsia" w:ascii="Times New Roman" w:hAnsi="Times New Roman" w:cs="Times New Roman"/>
        </w:rPr>
        <w:t>供应商拟投入本项目的配送人员须提供以上人员的健康证、劳动合同（或者</w:t>
      </w:r>
      <w:r>
        <w:rPr>
          <w:rFonts w:hint="eastAsia" w:ascii="Times New Roman" w:hAnsi="Times New Roman" w:cs="Times New Roman"/>
          <w:lang w:val="en-US" w:eastAsia="zh-CN"/>
        </w:rPr>
        <w:t>投标截止时间前六月内任一月</w:t>
      </w:r>
      <w:r>
        <w:rPr>
          <w:rFonts w:hint="eastAsia" w:ascii="Times New Roman" w:hAnsi="Times New Roman" w:cs="Times New Roman"/>
        </w:rPr>
        <w:t>的社保缴纳证明材料）。</w:t>
      </w:r>
    </w:p>
    <w:p>
      <w:pPr>
        <w:pStyle w:val="7"/>
        <w:spacing w:before="0" w:after="0" w:line="360" w:lineRule="auto"/>
        <w:rPr>
          <w:sz w:val="24"/>
          <w:szCs w:val="24"/>
        </w:rPr>
      </w:pPr>
    </w:p>
    <w:p>
      <w:pPr>
        <w:pStyle w:val="7"/>
        <w:spacing w:before="0" w:after="0" w:line="360" w:lineRule="auto"/>
        <w:rPr>
          <w:sz w:val="24"/>
          <w:szCs w:val="24"/>
        </w:rPr>
      </w:pPr>
      <w:r>
        <w:rPr>
          <w:rFonts w:hint="eastAsia"/>
          <w:sz w:val="24"/>
          <w:szCs w:val="24"/>
        </w:rPr>
        <w:t>2</w:t>
      </w:r>
      <w:r>
        <w:rPr>
          <w:sz w:val="24"/>
          <w:szCs w:val="24"/>
        </w:rPr>
        <w:t>.</w:t>
      </w:r>
      <w:r>
        <w:rPr>
          <w:rFonts w:hint="eastAsia"/>
          <w:sz w:val="24"/>
          <w:szCs w:val="24"/>
        </w:rPr>
        <w:t>6</w:t>
      </w:r>
      <w:r>
        <w:rPr>
          <w:sz w:val="24"/>
          <w:szCs w:val="24"/>
        </w:rPr>
        <w:t>仓储能力</w:t>
      </w:r>
    </w:p>
    <w:p>
      <w:pPr>
        <w:rPr>
          <w:bCs/>
        </w:rPr>
      </w:pPr>
      <w:r>
        <w:rPr>
          <w:rFonts w:hint="eastAsia"/>
          <w:bCs/>
        </w:rPr>
        <w:t>供应商</w:t>
      </w:r>
      <w:r>
        <w:rPr>
          <w:bCs/>
        </w:rPr>
        <w:t>在项目实施地点的仓储能力</w:t>
      </w:r>
      <w:r>
        <w:rPr>
          <w:rFonts w:hint="eastAsia"/>
          <w:bCs/>
        </w:rPr>
        <w:t>，配备仓库满足项目需求条件得满分，否则不得分</w:t>
      </w:r>
      <w:r>
        <w:rPr>
          <w:bCs/>
        </w:rPr>
        <w:t>得满分，否则不得分。自有仓库库须提供产权证明，如是租赁仓储，则提供租赁合同复印件，不提供不得分</w:t>
      </w:r>
      <w:r>
        <w:rPr>
          <w:rFonts w:hint="eastAsia"/>
          <w:bCs/>
        </w:rPr>
        <w:t>。</w:t>
      </w:r>
    </w:p>
    <w:p>
      <w:pPr>
        <w:rPr>
          <w:bCs/>
        </w:rPr>
      </w:pPr>
      <w:r>
        <w:rPr>
          <w:rFonts w:hint="eastAsia"/>
          <w:bCs/>
        </w:rPr>
        <w:t>应答：格式自拟。</w:t>
      </w:r>
    </w:p>
    <w:p>
      <w:pPr>
        <w:rPr>
          <w:szCs w:val="21"/>
        </w:rPr>
      </w:pPr>
    </w:p>
    <w:p>
      <w:pPr>
        <w:rPr>
          <w:szCs w:val="21"/>
        </w:rPr>
      </w:pPr>
    </w:p>
    <w:p>
      <w:pPr>
        <w:pStyle w:val="7"/>
        <w:spacing w:before="0" w:after="0" w:line="360" w:lineRule="auto"/>
        <w:rPr>
          <w:sz w:val="24"/>
          <w:szCs w:val="24"/>
        </w:rPr>
      </w:pPr>
      <w:r>
        <w:rPr>
          <w:rFonts w:hint="eastAsia"/>
          <w:sz w:val="24"/>
          <w:szCs w:val="24"/>
        </w:rPr>
        <w:t>2</w:t>
      </w:r>
      <w:r>
        <w:rPr>
          <w:sz w:val="24"/>
          <w:szCs w:val="24"/>
        </w:rPr>
        <w:t>.</w:t>
      </w:r>
      <w:r>
        <w:rPr>
          <w:rFonts w:hint="eastAsia"/>
          <w:sz w:val="24"/>
          <w:szCs w:val="24"/>
        </w:rPr>
        <w:t>7</w:t>
      </w:r>
      <w:r>
        <w:rPr>
          <w:sz w:val="24"/>
          <w:szCs w:val="24"/>
        </w:rPr>
        <w:t>货物配送方案</w:t>
      </w:r>
    </w:p>
    <w:p>
      <w:pPr>
        <w:rPr>
          <w:rFonts w:ascii="Tahoma" w:hAnsi="Tahoma" w:cs="Tahoma"/>
          <w:bCs/>
        </w:rPr>
      </w:pPr>
      <w:r>
        <w:t>货物</w:t>
      </w:r>
      <w:r>
        <w:rPr>
          <w:rFonts w:hint="eastAsia"/>
        </w:rPr>
        <w:t>配送方案：供应商对货物的运输、配送、装卸等有具体方案。</w:t>
      </w:r>
    </w:p>
    <w:p>
      <w:r>
        <w:rPr>
          <w:rFonts w:hint="eastAsia"/>
        </w:rPr>
        <w:t>应答：格式自拟。</w:t>
      </w:r>
    </w:p>
    <w:p/>
    <w:p/>
    <w:p>
      <w:pPr>
        <w:pStyle w:val="7"/>
        <w:spacing w:before="0" w:after="0" w:line="360" w:lineRule="auto"/>
        <w:rPr>
          <w:sz w:val="24"/>
          <w:szCs w:val="24"/>
        </w:rPr>
      </w:pPr>
      <w:r>
        <w:rPr>
          <w:rFonts w:hint="eastAsia"/>
          <w:sz w:val="24"/>
          <w:szCs w:val="24"/>
        </w:rPr>
        <w:t>2</w:t>
      </w:r>
      <w:r>
        <w:rPr>
          <w:sz w:val="24"/>
          <w:szCs w:val="24"/>
        </w:rPr>
        <w:t>.</w:t>
      </w:r>
      <w:r>
        <w:rPr>
          <w:rFonts w:hint="eastAsia"/>
          <w:sz w:val="24"/>
          <w:szCs w:val="24"/>
        </w:rPr>
        <w:t>8安全质量</w:t>
      </w:r>
    </w:p>
    <w:p>
      <w:pPr>
        <w:adjustRightInd w:val="0"/>
        <w:spacing w:line="360" w:lineRule="exact"/>
        <w:textAlignment w:val="baseline"/>
        <w:rPr>
          <w:rFonts w:cs="Times New Roman"/>
        </w:rPr>
      </w:pPr>
      <w:r>
        <w:rPr>
          <w:rFonts w:cs="Times New Roman"/>
        </w:rPr>
        <w:t>（1）针对质量安全控制的操作流程、下游控制流程的方案介绍。</w:t>
      </w:r>
    </w:p>
    <w:p>
      <w:pPr>
        <w:adjustRightInd w:val="0"/>
        <w:spacing w:line="360" w:lineRule="exact"/>
        <w:textAlignment w:val="baseline"/>
        <w:rPr>
          <w:rFonts w:cs="仿宋_GB2312"/>
        </w:rPr>
      </w:pPr>
      <w:r>
        <w:rPr>
          <w:rFonts w:hint="eastAsia" w:cs="Times New Roman"/>
        </w:rPr>
        <w:t>（2）针对安全控制的安全举措，</w:t>
      </w:r>
      <w:r>
        <w:rPr>
          <w:rFonts w:hint="eastAsia" w:cs="仿宋_GB2312"/>
        </w:rPr>
        <w:t>包括但不限于食品可追溯性、各类产品检测结果</w:t>
      </w:r>
      <w:r>
        <w:rPr>
          <w:rFonts w:hint="eastAsia"/>
          <w:bCs/>
          <w:szCs w:val="21"/>
        </w:rPr>
        <w:t>（例如农残、水份、重</w:t>
      </w:r>
      <w:r>
        <w:rPr>
          <w:rFonts w:hint="eastAsia"/>
          <w:szCs w:val="21"/>
        </w:rPr>
        <w:t>金属、非法添加剂、非转基因成分等等</w:t>
      </w:r>
      <w:r>
        <w:rPr>
          <w:rFonts w:hint="eastAsia" w:cs="仿宋_GB2312"/>
        </w:rPr>
        <w:t>）。</w:t>
      </w:r>
    </w:p>
    <w:p>
      <w:r>
        <w:rPr>
          <w:rFonts w:hint="eastAsia"/>
        </w:rPr>
        <w:t>应答：格式自拟。</w:t>
      </w:r>
    </w:p>
    <w:p/>
    <w:p/>
    <w:p>
      <w:pPr>
        <w:pStyle w:val="7"/>
        <w:spacing w:before="0" w:after="0" w:line="360" w:lineRule="auto"/>
        <w:rPr>
          <w:sz w:val="24"/>
          <w:szCs w:val="24"/>
        </w:rPr>
      </w:pPr>
      <w:r>
        <w:rPr>
          <w:rFonts w:hint="eastAsia"/>
          <w:sz w:val="24"/>
          <w:szCs w:val="24"/>
        </w:rPr>
        <w:t>2</w:t>
      </w:r>
      <w:r>
        <w:rPr>
          <w:sz w:val="24"/>
          <w:szCs w:val="24"/>
        </w:rPr>
        <w:t>.</w:t>
      </w:r>
      <w:r>
        <w:rPr>
          <w:rFonts w:hint="eastAsia"/>
          <w:sz w:val="24"/>
          <w:szCs w:val="24"/>
        </w:rPr>
        <w:t>9</w:t>
      </w:r>
      <w:r>
        <w:rPr>
          <w:sz w:val="24"/>
          <w:szCs w:val="24"/>
        </w:rPr>
        <w:t>服务管控</w:t>
      </w:r>
    </w:p>
    <w:p>
      <w:pPr>
        <w:adjustRightInd w:val="0"/>
        <w:spacing w:line="360" w:lineRule="exact"/>
        <w:textAlignment w:val="baseline"/>
        <w:rPr>
          <w:rFonts w:cs="Times New Roman"/>
        </w:rPr>
      </w:pPr>
      <w:r>
        <w:rPr>
          <w:rFonts w:hint="eastAsia" w:cs="Times New Roman"/>
        </w:rPr>
        <w:t>供应商按项目理解制定详细服务方案，如每个环节合理安排专职人员推进各项工作有序开展，保证项目按计划交付的基本承诺内容，包括不限于：订单、到货、退换、报账。</w:t>
      </w:r>
    </w:p>
    <w:p>
      <w:r>
        <w:rPr>
          <w:rFonts w:hint="eastAsia"/>
        </w:rPr>
        <w:t>应答：格式自拟。</w:t>
      </w:r>
    </w:p>
    <w:p>
      <w:pPr>
        <w:pStyle w:val="7"/>
        <w:spacing w:before="0" w:after="0" w:line="360" w:lineRule="auto"/>
        <w:rPr>
          <w:sz w:val="24"/>
          <w:szCs w:val="24"/>
        </w:rPr>
      </w:pPr>
    </w:p>
    <w:p>
      <w:pPr>
        <w:pStyle w:val="7"/>
        <w:spacing w:before="0" w:after="0" w:line="360" w:lineRule="auto"/>
        <w:rPr>
          <w:sz w:val="24"/>
          <w:szCs w:val="24"/>
        </w:rPr>
      </w:pPr>
      <w:r>
        <w:rPr>
          <w:rFonts w:hint="eastAsia"/>
          <w:sz w:val="24"/>
          <w:szCs w:val="24"/>
        </w:rPr>
        <w:t>2</w:t>
      </w:r>
      <w:r>
        <w:rPr>
          <w:sz w:val="24"/>
          <w:szCs w:val="24"/>
        </w:rPr>
        <w:t>.</w:t>
      </w:r>
      <w:r>
        <w:rPr>
          <w:rFonts w:hint="eastAsia"/>
          <w:sz w:val="24"/>
          <w:szCs w:val="24"/>
        </w:rPr>
        <w:t>10配送方案及特殊情况应急方案</w:t>
      </w:r>
    </w:p>
    <w:p>
      <w:pPr>
        <w:adjustRightInd w:val="0"/>
        <w:snapToGrid w:val="0"/>
        <w:spacing w:line="360" w:lineRule="auto"/>
        <w:rPr>
          <w:rFonts w:cs="仿宋_GB2312"/>
        </w:rPr>
      </w:pPr>
      <w:r>
        <w:rPr>
          <w:rFonts w:hint="eastAsia"/>
          <w:bCs/>
          <w:szCs w:val="21"/>
        </w:rPr>
        <w:t>（1）应急采购措施方案包括</w:t>
      </w:r>
      <w:r>
        <w:rPr>
          <w:rFonts w:hint="eastAsia" w:cs="仿宋_GB2312"/>
        </w:rPr>
        <w:t>在自然灾害、公共卫生事件、停水、停电等情况下供应物资应急方案。</w:t>
      </w:r>
    </w:p>
    <w:p>
      <w:pPr>
        <w:spacing w:line="360" w:lineRule="auto"/>
        <w:rPr>
          <w:bCs/>
          <w:szCs w:val="21"/>
        </w:rPr>
      </w:pPr>
      <w:r>
        <w:rPr>
          <w:rFonts w:hint="eastAsia"/>
          <w:bCs/>
          <w:szCs w:val="21"/>
        </w:rPr>
        <w:t>（2）后期提供持续的零星增补供应保障方案。</w:t>
      </w:r>
    </w:p>
    <w:p>
      <w:r>
        <w:rPr>
          <w:rFonts w:hint="eastAsia"/>
        </w:rPr>
        <w:t>应答：格式自拟。</w:t>
      </w:r>
    </w:p>
    <w:p/>
    <w:p/>
    <w:p>
      <w:pPr>
        <w:pStyle w:val="7"/>
        <w:spacing w:before="0" w:after="0" w:line="360" w:lineRule="auto"/>
        <w:rPr>
          <w:sz w:val="24"/>
          <w:szCs w:val="24"/>
        </w:rPr>
      </w:pPr>
      <w:r>
        <w:rPr>
          <w:rFonts w:hint="eastAsia"/>
          <w:sz w:val="24"/>
          <w:szCs w:val="24"/>
        </w:rPr>
        <w:t>2</w:t>
      </w:r>
      <w:r>
        <w:rPr>
          <w:sz w:val="24"/>
          <w:szCs w:val="24"/>
        </w:rPr>
        <w:t>.1</w:t>
      </w:r>
      <w:r>
        <w:rPr>
          <w:rFonts w:hint="eastAsia"/>
          <w:sz w:val="24"/>
          <w:szCs w:val="24"/>
        </w:rPr>
        <w:t>1</w:t>
      </w:r>
      <w:r>
        <w:rPr>
          <w:sz w:val="24"/>
          <w:szCs w:val="24"/>
        </w:rPr>
        <w:t>售后服务</w:t>
      </w:r>
    </w:p>
    <w:p>
      <w:pPr>
        <w:adjustRightInd w:val="0"/>
        <w:snapToGrid w:val="0"/>
        <w:spacing w:line="360" w:lineRule="auto"/>
        <w:rPr>
          <w:bCs/>
          <w:szCs w:val="21"/>
        </w:rPr>
      </w:pPr>
      <w:r>
        <w:rPr>
          <w:rFonts w:hint="eastAsia"/>
          <w:bCs/>
          <w:szCs w:val="21"/>
        </w:rPr>
        <w:t>根据供应商售后服务方案和管理水平和服务响应时间等。</w:t>
      </w:r>
    </w:p>
    <w:p>
      <w:r>
        <w:rPr>
          <w:rFonts w:hint="eastAsia"/>
        </w:rPr>
        <w:t>应答：格式自拟。</w:t>
      </w:r>
    </w:p>
    <w:p/>
    <w:p/>
    <w:p>
      <w:pPr>
        <w:pStyle w:val="7"/>
        <w:spacing w:before="0" w:after="0" w:line="360" w:lineRule="auto"/>
        <w:rPr>
          <w:sz w:val="24"/>
          <w:szCs w:val="24"/>
        </w:rPr>
      </w:pPr>
      <w:r>
        <w:rPr>
          <w:rFonts w:hint="eastAsia"/>
          <w:sz w:val="24"/>
          <w:szCs w:val="24"/>
        </w:rPr>
        <w:t>2</w:t>
      </w:r>
      <w:r>
        <w:rPr>
          <w:sz w:val="24"/>
          <w:szCs w:val="24"/>
        </w:rPr>
        <w:t>.1</w:t>
      </w:r>
      <w:r>
        <w:rPr>
          <w:rFonts w:hint="eastAsia"/>
          <w:sz w:val="24"/>
          <w:szCs w:val="24"/>
        </w:rPr>
        <w:t>2</w:t>
      </w:r>
      <w:r>
        <w:rPr>
          <w:sz w:val="24"/>
          <w:szCs w:val="24"/>
        </w:rPr>
        <w:t>服务承诺</w:t>
      </w:r>
    </w:p>
    <w:p>
      <w:pPr>
        <w:spacing w:line="360" w:lineRule="auto"/>
        <w:rPr>
          <w:rFonts w:cs="Times New Roman"/>
        </w:rPr>
      </w:pPr>
      <w:r>
        <w:rPr>
          <w:rFonts w:hint="eastAsia" w:cs="Times New Roman"/>
        </w:rPr>
        <w:t>项目基本服务要求以外的，对项目开展有利的资源、技术支撑手段或服务等，考察提供额外的增值服务承诺</w:t>
      </w:r>
    </w:p>
    <w:p>
      <w:r>
        <w:rPr>
          <w:rFonts w:hint="eastAsia"/>
        </w:rPr>
        <w:t>应答：格式自拟。</w:t>
      </w:r>
    </w:p>
    <w:p>
      <w:pPr>
        <w:pStyle w:val="11"/>
      </w:pPr>
    </w:p>
    <w:p>
      <w:pPr>
        <w:pStyle w:val="7"/>
        <w:spacing w:before="0" w:after="0" w:line="360" w:lineRule="auto"/>
        <w:rPr>
          <w:sz w:val="24"/>
          <w:szCs w:val="24"/>
        </w:rPr>
      </w:pPr>
      <w:r>
        <w:rPr>
          <w:rFonts w:hint="eastAsia"/>
          <w:sz w:val="24"/>
          <w:szCs w:val="24"/>
        </w:rPr>
        <w:t>2.13其他补充材料</w:t>
      </w:r>
    </w:p>
    <w:p>
      <w:pPr>
        <w:pStyle w:val="32"/>
        <w:ind w:left="0" w:leftChars="0" w:firstLine="0" w:firstLineChars="0"/>
        <w:rPr>
          <w:szCs w:val="22"/>
        </w:rPr>
      </w:pPr>
      <w:r>
        <w:rPr>
          <w:rFonts w:hint="eastAsia"/>
        </w:rPr>
        <w:t>供应商认为需要提供的其他证明材料</w:t>
      </w:r>
    </w:p>
    <w:bookmarkEnd w:id="83"/>
    <w:bookmarkEnd w:id="84"/>
    <w:bookmarkEnd w:id="85"/>
    <w:bookmarkEnd w:id="86"/>
    <w:bookmarkEnd w:id="87"/>
    <w:bookmarkEnd w:id="88"/>
    <w:bookmarkEnd w:id="89"/>
    <w:bookmarkEnd w:id="90"/>
    <w:bookmarkEnd w:id="91"/>
    <w:bookmarkEnd w:id="92"/>
    <w:bookmarkEnd w:id="93"/>
    <w:bookmarkEnd w:id="94"/>
    <w:bookmarkEnd w:id="99"/>
    <w:bookmarkEnd w:id="100"/>
    <w:bookmarkEnd w:id="101"/>
    <w:bookmarkEnd w:id="102"/>
    <w:bookmarkEnd w:id="103"/>
    <w:bookmarkEnd w:id="104"/>
    <w:bookmarkEnd w:id="105"/>
    <w:bookmarkEnd w:id="106"/>
    <w:bookmarkEnd w:id="107"/>
    <w:bookmarkEnd w:id="108"/>
    <w:p>
      <w:pPr>
        <w:spacing w:line="360" w:lineRule="auto"/>
        <w:rPr>
          <w:szCs w:val="22"/>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中黑">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9"/>
                </w:pPr>
                <w:r>
                  <w:fldChar w:fldCharType="begin"/>
                </w:r>
                <w:r>
                  <w:instrText xml:space="preserve"> PAGE  \* MERGEFORMAT </w:instrText>
                </w:r>
                <w:r>
                  <w:fldChar w:fldCharType="separate"/>
                </w:r>
                <w:r>
                  <w:t>86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540" w:firstLineChars="300"/>
      <w:jc w:val="both"/>
      <w:rPr>
        <w:rFonts w:hint="eastAsia" w:eastAsiaTheme="minorEastAsia"/>
        <w:lang w:eastAsia="zh-CN"/>
      </w:rPr>
    </w:pPr>
    <w:r>
      <w:rPr>
        <w:rFonts w:hint="eastAsia" w:asciiTheme="minorEastAsia" w:hAnsiTheme="minorEastAsia" w:eastAsiaTheme="minorEastAsia"/>
      </w:rPr>
      <w:t>新疆大学学生餐饮管理服务中心2022-2023学年大宗物资招标采购项</w:t>
    </w:r>
    <w:r>
      <w:rPr>
        <w:rFonts w:asciiTheme="minorEastAsia" w:hAnsiTheme="minorEastAsia" w:eastAsiaTheme="minorEastAsia"/>
      </w:rPr>
      <w:t>目(包</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面粉</w:t>
    </w:r>
    <w:r>
      <w:rPr>
        <w:rFonts w:asciiTheme="minorEastAsia" w:hAnsiTheme="minorEastAsia" w:eastAsiaTheme="minorEastAsia"/>
      </w:rPr>
      <w:t>)</w:t>
    </w:r>
    <w:r>
      <w:rPr>
        <w:rFonts w:hint="eastAsia" w:asciiTheme="minorEastAsia" w:hAnsiTheme="minorEastAsia" w:eastAsiaTheme="minorEastAsia"/>
        <w:lang w:eastAsia="zh-CN"/>
      </w:rPr>
      <w:t>（二次）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E314A"/>
    <w:multiLevelType w:val="singleLevel"/>
    <w:tmpl w:val="902E314A"/>
    <w:lvl w:ilvl="0" w:tentative="0">
      <w:start w:val="3"/>
      <w:numFmt w:val="decimal"/>
      <w:suff w:val="space"/>
      <w:lvlText w:val="%1."/>
      <w:lvlJc w:val="left"/>
    </w:lvl>
  </w:abstractNum>
  <w:abstractNum w:abstractNumId="1">
    <w:nsid w:val="B3B2AFBB"/>
    <w:multiLevelType w:val="singleLevel"/>
    <w:tmpl w:val="B3B2AFBB"/>
    <w:lvl w:ilvl="0" w:tentative="0">
      <w:start w:val="1"/>
      <w:numFmt w:val="decimal"/>
      <w:suff w:val="nothing"/>
      <w:lvlText w:val="%1）"/>
      <w:lvlJc w:val="left"/>
    </w:lvl>
  </w:abstractNum>
  <w:abstractNum w:abstractNumId="2">
    <w:nsid w:val="B3D78AEB"/>
    <w:multiLevelType w:val="singleLevel"/>
    <w:tmpl w:val="B3D78AEB"/>
    <w:lvl w:ilvl="0" w:tentative="0">
      <w:start w:val="1"/>
      <w:numFmt w:val="decimal"/>
      <w:suff w:val="nothing"/>
      <w:lvlText w:val="%1、"/>
      <w:lvlJc w:val="left"/>
    </w:lvl>
  </w:abstractNum>
  <w:abstractNum w:abstractNumId="3">
    <w:nsid w:val="F0367597"/>
    <w:multiLevelType w:val="singleLevel"/>
    <w:tmpl w:val="F0367597"/>
    <w:lvl w:ilvl="0" w:tentative="0">
      <w:start w:val="2"/>
      <w:numFmt w:val="upperLetter"/>
      <w:suff w:val="nothing"/>
      <w:lvlText w:val="%1、"/>
      <w:lvlJc w:val="left"/>
    </w:lvl>
  </w:abstractNum>
  <w:abstractNum w:abstractNumId="4">
    <w:nsid w:val="02FEFCC3"/>
    <w:multiLevelType w:val="singleLevel"/>
    <w:tmpl w:val="02FEFCC3"/>
    <w:lvl w:ilvl="0" w:tentative="0">
      <w:start w:val="1"/>
      <w:numFmt w:val="decimal"/>
      <w:suff w:val="nothing"/>
      <w:lvlText w:val="（%1）"/>
      <w:lvlJc w:val="left"/>
    </w:lvl>
  </w:abstractNum>
  <w:abstractNum w:abstractNumId="5">
    <w:nsid w:val="394C6725"/>
    <w:multiLevelType w:val="singleLevel"/>
    <w:tmpl w:val="394C6725"/>
    <w:lvl w:ilvl="0" w:tentative="0">
      <w:start w:val="1"/>
      <w:numFmt w:val="chineseCounting"/>
      <w:suff w:val="nothing"/>
      <w:lvlText w:val="%1、"/>
      <w:lvlJc w:val="left"/>
      <w:rPr>
        <w:rFonts w:hint="eastAsia"/>
      </w:rPr>
    </w:lvl>
  </w:abstractNum>
  <w:abstractNum w:abstractNumId="6">
    <w:nsid w:val="3CA764AB"/>
    <w:multiLevelType w:val="singleLevel"/>
    <w:tmpl w:val="3CA764AB"/>
    <w:lvl w:ilvl="0" w:tentative="0">
      <w:start w:val="4"/>
      <w:numFmt w:val="decimal"/>
      <w:lvlText w:val="%1)"/>
      <w:lvlJc w:val="left"/>
      <w:pPr>
        <w:tabs>
          <w:tab w:val="left" w:pos="312"/>
        </w:tabs>
      </w:pPr>
    </w:lvl>
  </w:abstractNum>
  <w:abstractNum w:abstractNumId="7">
    <w:nsid w:val="64D65B25"/>
    <w:multiLevelType w:val="singleLevel"/>
    <w:tmpl w:val="64D65B25"/>
    <w:lvl w:ilvl="0" w:tentative="0">
      <w:start w:val="4"/>
      <w:numFmt w:val="chineseCounting"/>
      <w:suff w:val="space"/>
      <w:lvlText w:val="第%1章"/>
      <w:lvlJc w:val="left"/>
      <w:rPr>
        <w:rFonts w:hint="eastAsia"/>
      </w:rPr>
    </w:lvl>
  </w:abstractNum>
  <w:num w:numId="1">
    <w:abstractNumId w:val="0"/>
  </w:num>
  <w:num w:numId="2">
    <w:abstractNumId w:val="1"/>
  </w:num>
  <w:num w:numId="3">
    <w:abstractNumId w:val="6"/>
  </w:num>
  <w:num w:numId="4">
    <w:abstractNumId w:val="4"/>
  </w:num>
  <w:num w:numId="5">
    <w:abstractNumId w:val="3"/>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hideSpellingError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yNTJjMzI2OTZkMzFkOTJiMTVmOTQwZTdkMjVjOTUifQ=="/>
  </w:docVars>
  <w:rsids>
    <w:rsidRoot w:val="00276BA1"/>
    <w:rsid w:val="0000043F"/>
    <w:rsid w:val="00000C0B"/>
    <w:rsid w:val="000010CC"/>
    <w:rsid w:val="00002140"/>
    <w:rsid w:val="0000446C"/>
    <w:rsid w:val="000049DA"/>
    <w:rsid w:val="00004F75"/>
    <w:rsid w:val="000056B7"/>
    <w:rsid w:val="00010A48"/>
    <w:rsid w:val="00012A13"/>
    <w:rsid w:val="000131F7"/>
    <w:rsid w:val="00013C81"/>
    <w:rsid w:val="00016B40"/>
    <w:rsid w:val="00016B6C"/>
    <w:rsid w:val="0001712F"/>
    <w:rsid w:val="00020B57"/>
    <w:rsid w:val="00021E5A"/>
    <w:rsid w:val="0002225B"/>
    <w:rsid w:val="000229D1"/>
    <w:rsid w:val="00022A77"/>
    <w:rsid w:val="000331AF"/>
    <w:rsid w:val="00033B5B"/>
    <w:rsid w:val="00037DBE"/>
    <w:rsid w:val="00041596"/>
    <w:rsid w:val="00041963"/>
    <w:rsid w:val="00042139"/>
    <w:rsid w:val="00042434"/>
    <w:rsid w:val="00042B14"/>
    <w:rsid w:val="00044F49"/>
    <w:rsid w:val="000450C3"/>
    <w:rsid w:val="000453F0"/>
    <w:rsid w:val="000479A6"/>
    <w:rsid w:val="00050A3F"/>
    <w:rsid w:val="00050E62"/>
    <w:rsid w:val="00051DB9"/>
    <w:rsid w:val="000530EC"/>
    <w:rsid w:val="00053B86"/>
    <w:rsid w:val="00054466"/>
    <w:rsid w:val="000544DE"/>
    <w:rsid w:val="000571B9"/>
    <w:rsid w:val="00061444"/>
    <w:rsid w:val="00061866"/>
    <w:rsid w:val="00061DBE"/>
    <w:rsid w:val="00064552"/>
    <w:rsid w:val="000648D2"/>
    <w:rsid w:val="00064FB3"/>
    <w:rsid w:val="00065FBE"/>
    <w:rsid w:val="000673AB"/>
    <w:rsid w:val="00067A25"/>
    <w:rsid w:val="00070100"/>
    <w:rsid w:val="0007015B"/>
    <w:rsid w:val="00070E0E"/>
    <w:rsid w:val="00071451"/>
    <w:rsid w:val="00072604"/>
    <w:rsid w:val="000761E1"/>
    <w:rsid w:val="00076DB7"/>
    <w:rsid w:val="00080006"/>
    <w:rsid w:val="00080FEB"/>
    <w:rsid w:val="00081B81"/>
    <w:rsid w:val="0008247E"/>
    <w:rsid w:val="000850B3"/>
    <w:rsid w:val="000868D6"/>
    <w:rsid w:val="00093581"/>
    <w:rsid w:val="00094D41"/>
    <w:rsid w:val="00095F8D"/>
    <w:rsid w:val="00097CB9"/>
    <w:rsid w:val="000A3569"/>
    <w:rsid w:val="000A3EAE"/>
    <w:rsid w:val="000A40B9"/>
    <w:rsid w:val="000A4640"/>
    <w:rsid w:val="000A6345"/>
    <w:rsid w:val="000A6497"/>
    <w:rsid w:val="000A6693"/>
    <w:rsid w:val="000A6B73"/>
    <w:rsid w:val="000A7279"/>
    <w:rsid w:val="000A7CCC"/>
    <w:rsid w:val="000A7D94"/>
    <w:rsid w:val="000B1511"/>
    <w:rsid w:val="000B54F4"/>
    <w:rsid w:val="000B5D37"/>
    <w:rsid w:val="000B6950"/>
    <w:rsid w:val="000C1385"/>
    <w:rsid w:val="000C1DB1"/>
    <w:rsid w:val="000C35DD"/>
    <w:rsid w:val="000C4548"/>
    <w:rsid w:val="000C5EAC"/>
    <w:rsid w:val="000D1B1B"/>
    <w:rsid w:val="000D238A"/>
    <w:rsid w:val="000D33E5"/>
    <w:rsid w:val="000D3F37"/>
    <w:rsid w:val="000D431F"/>
    <w:rsid w:val="000D484D"/>
    <w:rsid w:val="000E2955"/>
    <w:rsid w:val="000E3A18"/>
    <w:rsid w:val="000E3C74"/>
    <w:rsid w:val="000E3F9B"/>
    <w:rsid w:val="000E40F2"/>
    <w:rsid w:val="000E522C"/>
    <w:rsid w:val="000E54A4"/>
    <w:rsid w:val="000E6689"/>
    <w:rsid w:val="000E7005"/>
    <w:rsid w:val="000E7D37"/>
    <w:rsid w:val="000F014C"/>
    <w:rsid w:val="000F170D"/>
    <w:rsid w:val="000F172B"/>
    <w:rsid w:val="000F1B3C"/>
    <w:rsid w:val="000F1C24"/>
    <w:rsid w:val="000F2198"/>
    <w:rsid w:val="000F3187"/>
    <w:rsid w:val="000F33F9"/>
    <w:rsid w:val="000F39B6"/>
    <w:rsid w:val="000F3AF8"/>
    <w:rsid w:val="000F4553"/>
    <w:rsid w:val="000F6B7B"/>
    <w:rsid w:val="000F6B96"/>
    <w:rsid w:val="00100B0F"/>
    <w:rsid w:val="0010187C"/>
    <w:rsid w:val="001037E3"/>
    <w:rsid w:val="001071E0"/>
    <w:rsid w:val="00110911"/>
    <w:rsid w:val="00114712"/>
    <w:rsid w:val="00116A70"/>
    <w:rsid w:val="0012143A"/>
    <w:rsid w:val="001222C6"/>
    <w:rsid w:val="001227FD"/>
    <w:rsid w:val="001273E1"/>
    <w:rsid w:val="001301D9"/>
    <w:rsid w:val="00130754"/>
    <w:rsid w:val="001313DB"/>
    <w:rsid w:val="0013338D"/>
    <w:rsid w:val="00133B5B"/>
    <w:rsid w:val="00135027"/>
    <w:rsid w:val="0013513C"/>
    <w:rsid w:val="00135966"/>
    <w:rsid w:val="00136C53"/>
    <w:rsid w:val="00136D80"/>
    <w:rsid w:val="00137C7C"/>
    <w:rsid w:val="00137E43"/>
    <w:rsid w:val="00140687"/>
    <w:rsid w:val="00141707"/>
    <w:rsid w:val="001421D0"/>
    <w:rsid w:val="00146421"/>
    <w:rsid w:val="00146A93"/>
    <w:rsid w:val="001479CF"/>
    <w:rsid w:val="0015030E"/>
    <w:rsid w:val="001507AD"/>
    <w:rsid w:val="00150C41"/>
    <w:rsid w:val="00153927"/>
    <w:rsid w:val="00153D8A"/>
    <w:rsid w:val="00155F64"/>
    <w:rsid w:val="00156BB6"/>
    <w:rsid w:val="00157856"/>
    <w:rsid w:val="00160729"/>
    <w:rsid w:val="00160D83"/>
    <w:rsid w:val="001638BF"/>
    <w:rsid w:val="00163BE5"/>
    <w:rsid w:val="00163F1D"/>
    <w:rsid w:val="001644D1"/>
    <w:rsid w:val="00166ED8"/>
    <w:rsid w:val="0017060A"/>
    <w:rsid w:val="00170CF5"/>
    <w:rsid w:val="001714C9"/>
    <w:rsid w:val="0017207C"/>
    <w:rsid w:val="00174052"/>
    <w:rsid w:val="00174F78"/>
    <w:rsid w:val="001754E2"/>
    <w:rsid w:val="001769FE"/>
    <w:rsid w:val="00176DA5"/>
    <w:rsid w:val="0018119B"/>
    <w:rsid w:val="00182493"/>
    <w:rsid w:val="001826D0"/>
    <w:rsid w:val="00183344"/>
    <w:rsid w:val="001837F0"/>
    <w:rsid w:val="00183897"/>
    <w:rsid w:val="001844AB"/>
    <w:rsid w:val="00185468"/>
    <w:rsid w:val="00186A0D"/>
    <w:rsid w:val="00190F1F"/>
    <w:rsid w:val="0019245D"/>
    <w:rsid w:val="001944B8"/>
    <w:rsid w:val="001950CB"/>
    <w:rsid w:val="00196DA3"/>
    <w:rsid w:val="00197361"/>
    <w:rsid w:val="0019788D"/>
    <w:rsid w:val="00197AC4"/>
    <w:rsid w:val="001A0DCD"/>
    <w:rsid w:val="001A3871"/>
    <w:rsid w:val="001A4306"/>
    <w:rsid w:val="001A5D34"/>
    <w:rsid w:val="001A68E5"/>
    <w:rsid w:val="001A7732"/>
    <w:rsid w:val="001B0A70"/>
    <w:rsid w:val="001B12AA"/>
    <w:rsid w:val="001B16A3"/>
    <w:rsid w:val="001B21DF"/>
    <w:rsid w:val="001B2A54"/>
    <w:rsid w:val="001B5014"/>
    <w:rsid w:val="001B7327"/>
    <w:rsid w:val="001C27EC"/>
    <w:rsid w:val="001C3310"/>
    <w:rsid w:val="001C412D"/>
    <w:rsid w:val="001C67F2"/>
    <w:rsid w:val="001C762D"/>
    <w:rsid w:val="001D3BE8"/>
    <w:rsid w:val="001D46EF"/>
    <w:rsid w:val="001D53B4"/>
    <w:rsid w:val="001D667F"/>
    <w:rsid w:val="001E1852"/>
    <w:rsid w:val="001E536A"/>
    <w:rsid w:val="001E579F"/>
    <w:rsid w:val="001E5E26"/>
    <w:rsid w:val="001F0599"/>
    <w:rsid w:val="001F0F7E"/>
    <w:rsid w:val="001F28D2"/>
    <w:rsid w:val="001F2F45"/>
    <w:rsid w:val="001F3023"/>
    <w:rsid w:val="001F35F6"/>
    <w:rsid w:val="001F6735"/>
    <w:rsid w:val="001F74CA"/>
    <w:rsid w:val="002003B6"/>
    <w:rsid w:val="00201794"/>
    <w:rsid w:val="00201EB2"/>
    <w:rsid w:val="00203385"/>
    <w:rsid w:val="00203F50"/>
    <w:rsid w:val="002049B4"/>
    <w:rsid w:val="0020520B"/>
    <w:rsid w:val="00205257"/>
    <w:rsid w:val="00205F73"/>
    <w:rsid w:val="0021133B"/>
    <w:rsid w:val="002126DF"/>
    <w:rsid w:val="00213C55"/>
    <w:rsid w:val="00213F7F"/>
    <w:rsid w:val="00215723"/>
    <w:rsid w:val="00215894"/>
    <w:rsid w:val="002163CF"/>
    <w:rsid w:val="0021657C"/>
    <w:rsid w:val="002168C4"/>
    <w:rsid w:val="00216A24"/>
    <w:rsid w:val="002178B1"/>
    <w:rsid w:val="00220BAE"/>
    <w:rsid w:val="00221624"/>
    <w:rsid w:val="00223222"/>
    <w:rsid w:val="00223BB3"/>
    <w:rsid w:val="00223CF4"/>
    <w:rsid w:val="00224C4A"/>
    <w:rsid w:val="00225C05"/>
    <w:rsid w:val="00227292"/>
    <w:rsid w:val="00227D8D"/>
    <w:rsid w:val="002306F9"/>
    <w:rsid w:val="00231012"/>
    <w:rsid w:val="002335D6"/>
    <w:rsid w:val="0023375F"/>
    <w:rsid w:val="0023407E"/>
    <w:rsid w:val="00235770"/>
    <w:rsid w:val="00235E60"/>
    <w:rsid w:val="00237743"/>
    <w:rsid w:val="00240B40"/>
    <w:rsid w:val="00241AF5"/>
    <w:rsid w:val="00243B65"/>
    <w:rsid w:val="002440D8"/>
    <w:rsid w:val="00244182"/>
    <w:rsid w:val="0024419C"/>
    <w:rsid w:val="0024467B"/>
    <w:rsid w:val="00246810"/>
    <w:rsid w:val="002470FC"/>
    <w:rsid w:val="0025348A"/>
    <w:rsid w:val="00255B5F"/>
    <w:rsid w:val="00260860"/>
    <w:rsid w:val="00260B94"/>
    <w:rsid w:val="00264F2E"/>
    <w:rsid w:val="00266328"/>
    <w:rsid w:val="0026644D"/>
    <w:rsid w:val="002671E5"/>
    <w:rsid w:val="00267261"/>
    <w:rsid w:val="00270FA0"/>
    <w:rsid w:val="00271245"/>
    <w:rsid w:val="00272D76"/>
    <w:rsid w:val="00272E6E"/>
    <w:rsid w:val="00274A9E"/>
    <w:rsid w:val="00276292"/>
    <w:rsid w:val="00276680"/>
    <w:rsid w:val="00276BA1"/>
    <w:rsid w:val="00276BB3"/>
    <w:rsid w:val="00277094"/>
    <w:rsid w:val="00277943"/>
    <w:rsid w:val="00280CD0"/>
    <w:rsid w:val="002962B4"/>
    <w:rsid w:val="002A0DED"/>
    <w:rsid w:val="002A1A1D"/>
    <w:rsid w:val="002A273B"/>
    <w:rsid w:val="002A28AD"/>
    <w:rsid w:val="002A3AEE"/>
    <w:rsid w:val="002A3B41"/>
    <w:rsid w:val="002A408B"/>
    <w:rsid w:val="002A6C51"/>
    <w:rsid w:val="002A7F20"/>
    <w:rsid w:val="002B0E1F"/>
    <w:rsid w:val="002B195F"/>
    <w:rsid w:val="002B4C0B"/>
    <w:rsid w:val="002B5318"/>
    <w:rsid w:val="002B5373"/>
    <w:rsid w:val="002B55F6"/>
    <w:rsid w:val="002B6D27"/>
    <w:rsid w:val="002C0D40"/>
    <w:rsid w:val="002C173B"/>
    <w:rsid w:val="002C2943"/>
    <w:rsid w:val="002C4BA9"/>
    <w:rsid w:val="002C5C02"/>
    <w:rsid w:val="002C67FC"/>
    <w:rsid w:val="002C7FF3"/>
    <w:rsid w:val="002D0A13"/>
    <w:rsid w:val="002D1258"/>
    <w:rsid w:val="002D21BF"/>
    <w:rsid w:val="002D2965"/>
    <w:rsid w:val="002D3D02"/>
    <w:rsid w:val="002D4CB5"/>
    <w:rsid w:val="002D6022"/>
    <w:rsid w:val="002D654C"/>
    <w:rsid w:val="002D684B"/>
    <w:rsid w:val="002E3170"/>
    <w:rsid w:val="002E3B26"/>
    <w:rsid w:val="002E4AB8"/>
    <w:rsid w:val="002E7997"/>
    <w:rsid w:val="002F092B"/>
    <w:rsid w:val="002F0B33"/>
    <w:rsid w:val="002F22CA"/>
    <w:rsid w:val="002F2501"/>
    <w:rsid w:val="002F457C"/>
    <w:rsid w:val="002F4A4C"/>
    <w:rsid w:val="002F4DF8"/>
    <w:rsid w:val="002F5981"/>
    <w:rsid w:val="002F7E17"/>
    <w:rsid w:val="00301C75"/>
    <w:rsid w:val="00302AB8"/>
    <w:rsid w:val="00304E70"/>
    <w:rsid w:val="00304EA5"/>
    <w:rsid w:val="00306D56"/>
    <w:rsid w:val="00307300"/>
    <w:rsid w:val="0030735C"/>
    <w:rsid w:val="00310070"/>
    <w:rsid w:val="00310A8C"/>
    <w:rsid w:val="00310CC5"/>
    <w:rsid w:val="003110EC"/>
    <w:rsid w:val="00313029"/>
    <w:rsid w:val="003149DE"/>
    <w:rsid w:val="00316972"/>
    <w:rsid w:val="00320EC9"/>
    <w:rsid w:val="0032131E"/>
    <w:rsid w:val="00325A23"/>
    <w:rsid w:val="00327430"/>
    <w:rsid w:val="00327C92"/>
    <w:rsid w:val="00327D90"/>
    <w:rsid w:val="0033245B"/>
    <w:rsid w:val="00332891"/>
    <w:rsid w:val="00333292"/>
    <w:rsid w:val="003344E7"/>
    <w:rsid w:val="0033580B"/>
    <w:rsid w:val="0033628B"/>
    <w:rsid w:val="003365E7"/>
    <w:rsid w:val="003372A6"/>
    <w:rsid w:val="003378D5"/>
    <w:rsid w:val="003419E9"/>
    <w:rsid w:val="00341E44"/>
    <w:rsid w:val="00341ED8"/>
    <w:rsid w:val="003447AE"/>
    <w:rsid w:val="00346B3D"/>
    <w:rsid w:val="003473D7"/>
    <w:rsid w:val="0035054C"/>
    <w:rsid w:val="00351AC8"/>
    <w:rsid w:val="0035255E"/>
    <w:rsid w:val="00353075"/>
    <w:rsid w:val="00353F9E"/>
    <w:rsid w:val="00357E7D"/>
    <w:rsid w:val="00361C50"/>
    <w:rsid w:val="00362300"/>
    <w:rsid w:val="00362EF3"/>
    <w:rsid w:val="0036320C"/>
    <w:rsid w:val="00363E02"/>
    <w:rsid w:val="00364C20"/>
    <w:rsid w:val="00367C6A"/>
    <w:rsid w:val="003739B8"/>
    <w:rsid w:val="00373A96"/>
    <w:rsid w:val="003755BD"/>
    <w:rsid w:val="00375A9A"/>
    <w:rsid w:val="003826C2"/>
    <w:rsid w:val="00383728"/>
    <w:rsid w:val="00386C4A"/>
    <w:rsid w:val="00391586"/>
    <w:rsid w:val="003923A3"/>
    <w:rsid w:val="00392488"/>
    <w:rsid w:val="00392617"/>
    <w:rsid w:val="00394128"/>
    <w:rsid w:val="003947A4"/>
    <w:rsid w:val="00395235"/>
    <w:rsid w:val="0039561A"/>
    <w:rsid w:val="00397C7D"/>
    <w:rsid w:val="003A004F"/>
    <w:rsid w:val="003A0142"/>
    <w:rsid w:val="003A0C3B"/>
    <w:rsid w:val="003A6BA4"/>
    <w:rsid w:val="003A7725"/>
    <w:rsid w:val="003B2FC4"/>
    <w:rsid w:val="003B4130"/>
    <w:rsid w:val="003B50DB"/>
    <w:rsid w:val="003B5D5A"/>
    <w:rsid w:val="003B5DDF"/>
    <w:rsid w:val="003B67D3"/>
    <w:rsid w:val="003B715B"/>
    <w:rsid w:val="003B7C89"/>
    <w:rsid w:val="003C346F"/>
    <w:rsid w:val="003C4609"/>
    <w:rsid w:val="003C4630"/>
    <w:rsid w:val="003C794A"/>
    <w:rsid w:val="003C7CE1"/>
    <w:rsid w:val="003D1D14"/>
    <w:rsid w:val="003D6A0E"/>
    <w:rsid w:val="003D6BB5"/>
    <w:rsid w:val="003D6C7C"/>
    <w:rsid w:val="003D6EFB"/>
    <w:rsid w:val="003D7E52"/>
    <w:rsid w:val="003E25C6"/>
    <w:rsid w:val="003E2BFB"/>
    <w:rsid w:val="003E3BF1"/>
    <w:rsid w:val="003E44F6"/>
    <w:rsid w:val="003E47EB"/>
    <w:rsid w:val="003E5720"/>
    <w:rsid w:val="003E6A0C"/>
    <w:rsid w:val="003F01D9"/>
    <w:rsid w:val="003F145B"/>
    <w:rsid w:val="003F326A"/>
    <w:rsid w:val="003F6334"/>
    <w:rsid w:val="003F7990"/>
    <w:rsid w:val="004011AA"/>
    <w:rsid w:val="0040202C"/>
    <w:rsid w:val="00402622"/>
    <w:rsid w:val="004040AA"/>
    <w:rsid w:val="00406044"/>
    <w:rsid w:val="00406508"/>
    <w:rsid w:val="004108CF"/>
    <w:rsid w:val="00412238"/>
    <w:rsid w:val="00412D60"/>
    <w:rsid w:val="0041456E"/>
    <w:rsid w:val="00414F7E"/>
    <w:rsid w:val="004164F8"/>
    <w:rsid w:val="00417FD0"/>
    <w:rsid w:val="00420B7F"/>
    <w:rsid w:val="004230DA"/>
    <w:rsid w:val="0042488B"/>
    <w:rsid w:val="004269FC"/>
    <w:rsid w:val="00427915"/>
    <w:rsid w:val="00427CFB"/>
    <w:rsid w:val="00432E88"/>
    <w:rsid w:val="004334D4"/>
    <w:rsid w:val="00434020"/>
    <w:rsid w:val="00435EBC"/>
    <w:rsid w:val="0043611C"/>
    <w:rsid w:val="00440D65"/>
    <w:rsid w:val="0044165D"/>
    <w:rsid w:val="004427B7"/>
    <w:rsid w:val="0044349F"/>
    <w:rsid w:val="00444AB6"/>
    <w:rsid w:val="00445922"/>
    <w:rsid w:val="00445F1F"/>
    <w:rsid w:val="00446233"/>
    <w:rsid w:val="00447687"/>
    <w:rsid w:val="00450F26"/>
    <w:rsid w:val="0045143E"/>
    <w:rsid w:val="00451DB4"/>
    <w:rsid w:val="00451F60"/>
    <w:rsid w:val="004521E9"/>
    <w:rsid w:val="00452BB2"/>
    <w:rsid w:val="00454200"/>
    <w:rsid w:val="0045656D"/>
    <w:rsid w:val="00456AEA"/>
    <w:rsid w:val="00461174"/>
    <w:rsid w:val="00462D98"/>
    <w:rsid w:val="00464ABE"/>
    <w:rsid w:val="00465E67"/>
    <w:rsid w:val="00465F1C"/>
    <w:rsid w:val="0046693A"/>
    <w:rsid w:val="004673DE"/>
    <w:rsid w:val="00471812"/>
    <w:rsid w:val="00471EC8"/>
    <w:rsid w:val="00472A44"/>
    <w:rsid w:val="0047379B"/>
    <w:rsid w:val="00473A89"/>
    <w:rsid w:val="00473AED"/>
    <w:rsid w:val="00473E34"/>
    <w:rsid w:val="00474D3B"/>
    <w:rsid w:val="004757D6"/>
    <w:rsid w:val="00475899"/>
    <w:rsid w:val="004802A8"/>
    <w:rsid w:val="00480C6D"/>
    <w:rsid w:val="00482C78"/>
    <w:rsid w:val="00484B16"/>
    <w:rsid w:val="00484D40"/>
    <w:rsid w:val="00485BA4"/>
    <w:rsid w:val="004874AE"/>
    <w:rsid w:val="004904A5"/>
    <w:rsid w:val="00490739"/>
    <w:rsid w:val="00491C6A"/>
    <w:rsid w:val="00492E2B"/>
    <w:rsid w:val="00494D24"/>
    <w:rsid w:val="004951D1"/>
    <w:rsid w:val="004979BD"/>
    <w:rsid w:val="004A2516"/>
    <w:rsid w:val="004A27D0"/>
    <w:rsid w:val="004A4D67"/>
    <w:rsid w:val="004A549F"/>
    <w:rsid w:val="004A6A95"/>
    <w:rsid w:val="004A70E0"/>
    <w:rsid w:val="004B2D4C"/>
    <w:rsid w:val="004B59C6"/>
    <w:rsid w:val="004B5E7F"/>
    <w:rsid w:val="004C1596"/>
    <w:rsid w:val="004C1C10"/>
    <w:rsid w:val="004C658B"/>
    <w:rsid w:val="004C7378"/>
    <w:rsid w:val="004C784D"/>
    <w:rsid w:val="004D075B"/>
    <w:rsid w:val="004D3D4B"/>
    <w:rsid w:val="004D5498"/>
    <w:rsid w:val="004D66A5"/>
    <w:rsid w:val="004D6B00"/>
    <w:rsid w:val="004E1619"/>
    <w:rsid w:val="004E1D50"/>
    <w:rsid w:val="004E5F79"/>
    <w:rsid w:val="004E6563"/>
    <w:rsid w:val="004E7806"/>
    <w:rsid w:val="004E7B58"/>
    <w:rsid w:val="004F0396"/>
    <w:rsid w:val="004F4906"/>
    <w:rsid w:val="004F6336"/>
    <w:rsid w:val="00501382"/>
    <w:rsid w:val="00503F25"/>
    <w:rsid w:val="00505019"/>
    <w:rsid w:val="005054B9"/>
    <w:rsid w:val="0050582D"/>
    <w:rsid w:val="00505BF7"/>
    <w:rsid w:val="00506E4F"/>
    <w:rsid w:val="00507A76"/>
    <w:rsid w:val="00510798"/>
    <w:rsid w:val="005139EE"/>
    <w:rsid w:val="00514ED8"/>
    <w:rsid w:val="00515F12"/>
    <w:rsid w:val="00520E7A"/>
    <w:rsid w:val="00521EED"/>
    <w:rsid w:val="005245FA"/>
    <w:rsid w:val="00524A11"/>
    <w:rsid w:val="00525BE3"/>
    <w:rsid w:val="00527768"/>
    <w:rsid w:val="0053079A"/>
    <w:rsid w:val="00531771"/>
    <w:rsid w:val="0053237B"/>
    <w:rsid w:val="00532623"/>
    <w:rsid w:val="005327FB"/>
    <w:rsid w:val="00533FCA"/>
    <w:rsid w:val="00534582"/>
    <w:rsid w:val="0053610D"/>
    <w:rsid w:val="005376A7"/>
    <w:rsid w:val="005424B8"/>
    <w:rsid w:val="0054317E"/>
    <w:rsid w:val="005462E2"/>
    <w:rsid w:val="00546BE7"/>
    <w:rsid w:val="00546D49"/>
    <w:rsid w:val="00555A2E"/>
    <w:rsid w:val="00557B1C"/>
    <w:rsid w:val="00560679"/>
    <w:rsid w:val="00560A38"/>
    <w:rsid w:val="005616B5"/>
    <w:rsid w:val="005622EF"/>
    <w:rsid w:val="00562862"/>
    <w:rsid w:val="005634D8"/>
    <w:rsid w:val="005657D1"/>
    <w:rsid w:val="005663D3"/>
    <w:rsid w:val="005671A9"/>
    <w:rsid w:val="00567821"/>
    <w:rsid w:val="0057111F"/>
    <w:rsid w:val="00571315"/>
    <w:rsid w:val="00571BE3"/>
    <w:rsid w:val="005749F1"/>
    <w:rsid w:val="00575D22"/>
    <w:rsid w:val="00580B3A"/>
    <w:rsid w:val="00582075"/>
    <w:rsid w:val="00585EB3"/>
    <w:rsid w:val="00592509"/>
    <w:rsid w:val="005927CD"/>
    <w:rsid w:val="00596721"/>
    <w:rsid w:val="00597B15"/>
    <w:rsid w:val="005A044C"/>
    <w:rsid w:val="005A0894"/>
    <w:rsid w:val="005A4BA1"/>
    <w:rsid w:val="005A7120"/>
    <w:rsid w:val="005B5C95"/>
    <w:rsid w:val="005B66D8"/>
    <w:rsid w:val="005B6740"/>
    <w:rsid w:val="005C14AC"/>
    <w:rsid w:val="005C34ED"/>
    <w:rsid w:val="005D0200"/>
    <w:rsid w:val="005D44EF"/>
    <w:rsid w:val="005D4814"/>
    <w:rsid w:val="005D5112"/>
    <w:rsid w:val="005D6C3F"/>
    <w:rsid w:val="005E3A34"/>
    <w:rsid w:val="005E4CBE"/>
    <w:rsid w:val="005E5295"/>
    <w:rsid w:val="005F056C"/>
    <w:rsid w:val="005F3914"/>
    <w:rsid w:val="005F3B5A"/>
    <w:rsid w:val="005F3C26"/>
    <w:rsid w:val="005F5083"/>
    <w:rsid w:val="005F6AB4"/>
    <w:rsid w:val="00600A73"/>
    <w:rsid w:val="00601873"/>
    <w:rsid w:val="0060209F"/>
    <w:rsid w:val="00603453"/>
    <w:rsid w:val="00604C53"/>
    <w:rsid w:val="00607CED"/>
    <w:rsid w:val="00610A66"/>
    <w:rsid w:val="00610BF2"/>
    <w:rsid w:val="0061145D"/>
    <w:rsid w:val="0061291A"/>
    <w:rsid w:val="00613177"/>
    <w:rsid w:val="00613F7C"/>
    <w:rsid w:val="00614BF2"/>
    <w:rsid w:val="0061618E"/>
    <w:rsid w:val="00620560"/>
    <w:rsid w:val="006208CB"/>
    <w:rsid w:val="00623DE2"/>
    <w:rsid w:val="00623DEF"/>
    <w:rsid w:val="00624AA2"/>
    <w:rsid w:val="00624EE5"/>
    <w:rsid w:val="00627601"/>
    <w:rsid w:val="006300D0"/>
    <w:rsid w:val="00630D94"/>
    <w:rsid w:val="00632012"/>
    <w:rsid w:val="00632284"/>
    <w:rsid w:val="00633043"/>
    <w:rsid w:val="00634694"/>
    <w:rsid w:val="00635F9D"/>
    <w:rsid w:val="00636517"/>
    <w:rsid w:val="00636E39"/>
    <w:rsid w:val="00637690"/>
    <w:rsid w:val="006401F9"/>
    <w:rsid w:val="00640E1E"/>
    <w:rsid w:val="00641303"/>
    <w:rsid w:val="00643238"/>
    <w:rsid w:val="006435F9"/>
    <w:rsid w:val="0064389A"/>
    <w:rsid w:val="00645442"/>
    <w:rsid w:val="00646EA2"/>
    <w:rsid w:val="00647003"/>
    <w:rsid w:val="00650AF4"/>
    <w:rsid w:val="006525CD"/>
    <w:rsid w:val="00653E31"/>
    <w:rsid w:val="00653F7F"/>
    <w:rsid w:val="006555C8"/>
    <w:rsid w:val="0066134E"/>
    <w:rsid w:val="006613D8"/>
    <w:rsid w:val="00662EE8"/>
    <w:rsid w:val="00663813"/>
    <w:rsid w:val="00663C3B"/>
    <w:rsid w:val="00664837"/>
    <w:rsid w:val="00664AFD"/>
    <w:rsid w:val="00665936"/>
    <w:rsid w:val="00666FDA"/>
    <w:rsid w:val="00667567"/>
    <w:rsid w:val="0067391A"/>
    <w:rsid w:val="00674173"/>
    <w:rsid w:val="00674602"/>
    <w:rsid w:val="006748B3"/>
    <w:rsid w:val="0067535A"/>
    <w:rsid w:val="006760CA"/>
    <w:rsid w:val="00677E94"/>
    <w:rsid w:val="00680A9F"/>
    <w:rsid w:val="00683CA0"/>
    <w:rsid w:val="00684CB5"/>
    <w:rsid w:val="00684DA7"/>
    <w:rsid w:val="00685A47"/>
    <w:rsid w:val="00686A22"/>
    <w:rsid w:val="00690AF6"/>
    <w:rsid w:val="00690DB1"/>
    <w:rsid w:val="0069219B"/>
    <w:rsid w:val="00693404"/>
    <w:rsid w:val="00695345"/>
    <w:rsid w:val="006953D9"/>
    <w:rsid w:val="006954D1"/>
    <w:rsid w:val="00695944"/>
    <w:rsid w:val="00696385"/>
    <w:rsid w:val="00696488"/>
    <w:rsid w:val="00696DB9"/>
    <w:rsid w:val="00697FE9"/>
    <w:rsid w:val="006A37F5"/>
    <w:rsid w:val="006A52F8"/>
    <w:rsid w:val="006A5FEE"/>
    <w:rsid w:val="006A651B"/>
    <w:rsid w:val="006B1242"/>
    <w:rsid w:val="006B1DBC"/>
    <w:rsid w:val="006B25C6"/>
    <w:rsid w:val="006B2AC3"/>
    <w:rsid w:val="006B46CC"/>
    <w:rsid w:val="006B5D12"/>
    <w:rsid w:val="006B63B7"/>
    <w:rsid w:val="006B7D9A"/>
    <w:rsid w:val="006C06D9"/>
    <w:rsid w:val="006C2805"/>
    <w:rsid w:val="006C2AE1"/>
    <w:rsid w:val="006C4325"/>
    <w:rsid w:val="006C464F"/>
    <w:rsid w:val="006C5716"/>
    <w:rsid w:val="006C6659"/>
    <w:rsid w:val="006C74A9"/>
    <w:rsid w:val="006D07DE"/>
    <w:rsid w:val="006D1B9A"/>
    <w:rsid w:val="006D2A4D"/>
    <w:rsid w:val="006D394E"/>
    <w:rsid w:val="006E06D9"/>
    <w:rsid w:val="006E1D40"/>
    <w:rsid w:val="006E2E1F"/>
    <w:rsid w:val="006E4BE8"/>
    <w:rsid w:val="006E6C91"/>
    <w:rsid w:val="006F17BF"/>
    <w:rsid w:val="006F1B28"/>
    <w:rsid w:val="006F4D9C"/>
    <w:rsid w:val="006F5FFF"/>
    <w:rsid w:val="006F6E33"/>
    <w:rsid w:val="006F7478"/>
    <w:rsid w:val="006F7AF3"/>
    <w:rsid w:val="007019E1"/>
    <w:rsid w:val="00703635"/>
    <w:rsid w:val="007054AA"/>
    <w:rsid w:val="00705D0C"/>
    <w:rsid w:val="00706D4B"/>
    <w:rsid w:val="00707B8C"/>
    <w:rsid w:val="00710804"/>
    <w:rsid w:val="00710D8A"/>
    <w:rsid w:val="00711A61"/>
    <w:rsid w:val="00711FC6"/>
    <w:rsid w:val="007128F5"/>
    <w:rsid w:val="007130B1"/>
    <w:rsid w:val="00715071"/>
    <w:rsid w:val="00716B53"/>
    <w:rsid w:val="007207D2"/>
    <w:rsid w:val="00720B5C"/>
    <w:rsid w:val="007231E9"/>
    <w:rsid w:val="00725FD6"/>
    <w:rsid w:val="00727C59"/>
    <w:rsid w:val="00730D6A"/>
    <w:rsid w:val="00734E5D"/>
    <w:rsid w:val="007354B2"/>
    <w:rsid w:val="00735AF1"/>
    <w:rsid w:val="00736013"/>
    <w:rsid w:val="00737661"/>
    <w:rsid w:val="00740EB7"/>
    <w:rsid w:val="00744A1F"/>
    <w:rsid w:val="007512BB"/>
    <w:rsid w:val="0075399C"/>
    <w:rsid w:val="00755D75"/>
    <w:rsid w:val="00755ECF"/>
    <w:rsid w:val="00756245"/>
    <w:rsid w:val="007564FE"/>
    <w:rsid w:val="00761662"/>
    <w:rsid w:val="00763D79"/>
    <w:rsid w:val="00764043"/>
    <w:rsid w:val="00766F8F"/>
    <w:rsid w:val="00770FC4"/>
    <w:rsid w:val="00772D51"/>
    <w:rsid w:val="00775338"/>
    <w:rsid w:val="007757CF"/>
    <w:rsid w:val="00775AD8"/>
    <w:rsid w:val="00776FFC"/>
    <w:rsid w:val="00777B8D"/>
    <w:rsid w:val="0078046D"/>
    <w:rsid w:val="0078128F"/>
    <w:rsid w:val="007816AF"/>
    <w:rsid w:val="00781ED2"/>
    <w:rsid w:val="0078671C"/>
    <w:rsid w:val="0078683C"/>
    <w:rsid w:val="007906CD"/>
    <w:rsid w:val="00790EDB"/>
    <w:rsid w:val="00791538"/>
    <w:rsid w:val="0079326E"/>
    <w:rsid w:val="00793CC7"/>
    <w:rsid w:val="00795FB9"/>
    <w:rsid w:val="00796090"/>
    <w:rsid w:val="00796EDE"/>
    <w:rsid w:val="007A10ED"/>
    <w:rsid w:val="007A27A9"/>
    <w:rsid w:val="007A3DE9"/>
    <w:rsid w:val="007A44BA"/>
    <w:rsid w:val="007A5449"/>
    <w:rsid w:val="007A5A58"/>
    <w:rsid w:val="007A5FC3"/>
    <w:rsid w:val="007A6740"/>
    <w:rsid w:val="007A7302"/>
    <w:rsid w:val="007A7942"/>
    <w:rsid w:val="007B10C3"/>
    <w:rsid w:val="007B1C56"/>
    <w:rsid w:val="007B2CCC"/>
    <w:rsid w:val="007B4996"/>
    <w:rsid w:val="007B59C0"/>
    <w:rsid w:val="007B6BC9"/>
    <w:rsid w:val="007B719E"/>
    <w:rsid w:val="007C3CD5"/>
    <w:rsid w:val="007C61EF"/>
    <w:rsid w:val="007D12CC"/>
    <w:rsid w:val="007D1803"/>
    <w:rsid w:val="007D1C0D"/>
    <w:rsid w:val="007D2D23"/>
    <w:rsid w:val="007D6012"/>
    <w:rsid w:val="007E0D0E"/>
    <w:rsid w:val="007E27D6"/>
    <w:rsid w:val="007E3921"/>
    <w:rsid w:val="007E40F0"/>
    <w:rsid w:val="007E5142"/>
    <w:rsid w:val="007E554D"/>
    <w:rsid w:val="007E5DDE"/>
    <w:rsid w:val="007E78D1"/>
    <w:rsid w:val="007F2E26"/>
    <w:rsid w:val="007F376C"/>
    <w:rsid w:val="007F53DF"/>
    <w:rsid w:val="007F66A0"/>
    <w:rsid w:val="00801014"/>
    <w:rsid w:val="00801028"/>
    <w:rsid w:val="00803793"/>
    <w:rsid w:val="00803D8D"/>
    <w:rsid w:val="008057FA"/>
    <w:rsid w:val="0080643F"/>
    <w:rsid w:val="00807540"/>
    <w:rsid w:val="0080778A"/>
    <w:rsid w:val="00814052"/>
    <w:rsid w:val="008149FD"/>
    <w:rsid w:val="00816114"/>
    <w:rsid w:val="00816146"/>
    <w:rsid w:val="008175FF"/>
    <w:rsid w:val="00817A01"/>
    <w:rsid w:val="00817D7C"/>
    <w:rsid w:val="00824F21"/>
    <w:rsid w:val="00825E35"/>
    <w:rsid w:val="008334F8"/>
    <w:rsid w:val="00833DF2"/>
    <w:rsid w:val="008341AA"/>
    <w:rsid w:val="008359D8"/>
    <w:rsid w:val="00835CB5"/>
    <w:rsid w:val="00835D8E"/>
    <w:rsid w:val="00836FBE"/>
    <w:rsid w:val="00841349"/>
    <w:rsid w:val="00844D03"/>
    <w:rsid w:val="00845F19"/>
    <w:rsid w:val="00847A3A"/>
    <w:rsid w:val="00847B0F"/>
    <w:rsid w:val="00850071"/>
    <w:rsid w:val="008501D9"/>
    <w:rsid w:val="00851B8D"/>
    <w:rsid w:val="00851CC2"/>
    <w:rsid w:val="008526A4"/>
    <w:rsid w:val="00852BB7"/>
    <w:rsid w:val="00860837"/>
    <w:rsid w:val="008636B3"/>
    <w:rsid w:val="00865CD6"/>
    <w:rsid w:val="00866305"/>
    <w:rsid w:val="008702DE"/>
    <w:rsid w:val="00872425"/>
    <w:rsid w:val="00874D08"/>
    <w:rsid w:val="0087581D"/>
    <w:rsid w:val="00876659"/>
    <w:rsid w:val="00876677"/>
    <w:rsid w:val="0087696B"/>
    <w:rsid w:val="0087734C"/>
    <w:rsid w:val="00877D52"/>
    <w:rsid w:val="00882141"/>
    <w:rsid w:val="0088528F"/>
    <w:rsid w:val="008860D0"/>
    <w:rsid w:val="00886920"/>
    <w:rsid w:val="00887E5E"/>
    <w:rsid w:val="00887EE8"/>
    <w:rsid w:val="008922A8"/>
    <w:rsid w:val="00894717"/>
    <w:rsid w:val="00895728"/>
    <w:rsid w:val="00895BD5"/>
    <w:rsid w:val="00895BE4"/>
    <w:rsid w:val="0089742B"/>
    <w:rsid w:val="0089748D"/>
    <w:rsid w:val="008975A1"/>
    <w:rsid w:val="008A16C4"/>
    <w:rsid w:val="008A27EC"/>
    <w:rsid w:val="008A3BD5"/>
    <w:rsid w:val="008A684A"/>
    <w:rsid w:val="008A6FED"/>
    <w:rsid w:val="008B0DD4"/>
    <w:rsid w:val="008B1911"/>
    <w:rsid w:val="008B2A02"/>
    <w:rsid w:val="008B308D"/>
    <w:rsid w:val="008B39C5"/>
    <w:rsid w:val="008B51AA"/>
    <w:rsid w:val="008B5B3E"/>
    <w:rsid w:val="008B7932"/>
    <w:rsid w:val="008C1CC7"/>
    <w:rsid w:val="008C3C8B"/>
    <w:rsid w:val="008C3DB0"/>
    <w:rsid w:val="008C67F2"/>
    <w:rsid w:val="008D064A"/>
    <w:rsid w:val="008D07F9"/>
    <w:rsid w:val="008D0FE0"/>
    <w:rsid w:val="008D17FE"/>
    <w:rsid w:val="008D2B0F"/>
    <w:rsid w:val="008E1335"/>
    <w:rsid w:val="008E42FB"/>
    <w:rsid w:val="008E449E"/>
    <w:rsid w:val="008E5E0F"/>
    <w:rsid w:val="008E6F86"/>
    <w:rsid w:val="008E7062"/>
    <w:rsid w:val="008E70CB"/>
    <w:rsid w:val="008F01EA"/>
    <w:rsid w:val="008F0D74"/>
    <w:rsid w:val="008F12AC"/>
    <w:rsid w:val="008F1590"/>
    <w:rsid w:val="008F187F"/>
    <w:rsid w:val="008F402F"/>
    <w:rsid w:val="008F55FA"/>
    <w:rsid w:val="008F76E8"/>
    <w:rsid w:val="008F76F5"/>
    <w:rsid w:val="008F7CD0"/>
    <w:rsid w:val="00901028"/>
    <w:rsid w:val="00902902"/>
    <w:rsid w:val="00902A4B"/>
    <w:rsid w:val="00904F5E"/>
    <w:rsid w:val="00906AC7"/>
    <w:rsid w:val="009078A1"/>
    <w:rsid w:val="00911E9C"/>
    <w:rsid w:val="00915083"/>
    <w:rsid w:val="00917405"/>
    <w:rsid w:val="00920035"/>
    <w:rsid w:val="00920332"/>
    <w:rsid w:val="00920F7C"/>
    <w:rsid w:val="009220DB"/>
    <w:rsid w:val="00926DEC"/>
    <w:rsid w:val="009271B1"/>
    <w:rsid w:val="00930521"/>
    <w:rsid w:val="009339E4"/>
    <w:rsid w:val="00934CAE"/>
    <w:rsid w:val="009402F0"/>
    <w:rsid w:val="0094257D"/>
    <w:rsid w:val="00942F60"/>
    <w:rsid w:val="00943133"/>
    <w:rsid w:val="0095211B"/>
    <w:rsid w:val="00952FD3"/>
    <w:rsid w:val="009541E0"/>
    <w:rsid w:val="0095467C"/>
    <w:rsid w:val="00954A61"/>
    <w:rsid w:val="00955C6F"/>
    <w:rsid w:val="009623C6"/>
    <w:rsid w:val="00962543"/>
    <w:rsid w:val="00964881"/>
    <w:rsid w:val="00966C7B"/>
    <w:rsid w:val="009701DC"/>
    <w:rsid w:val="009715D8"/>
    <w:rsid w:val="009721F2"/>
    <w:rsid w:val="00972D3C"/>
    <w:rsid w:val="00973090"/>
    <w:rsid w:val="00973FB0"/>
    <w:rsid w:val="00974C53"/>
    <w:rsid w:val="00975B1C"/>
    <w:rsid w:val="00976100"/>
    <w:rsid w:val="009765A2"/>
    <w:rsid w:val="00976FC2"/>
    <w:rsid w:val="0097730E"/>
    <w:rsid w:val="0097792D"/>
    <w:rsid w:val="009829FB"/>
    <w:rsid w:val="00985500"/>
    <w:rsid w:val="00985C4B"/>
    <w:rsid w:val="009865F1"/>
    <w:rsid w:val="0099083E"/>
    <w:rsid w:val="009927A3"/>
    <w:rsid w:val="00995146"/>
    <w:rsid w:val="00995BF9"/>
    <w:rsid w:val="00995D0F"/>
    <w:rsid w:val="00996E03"/>
    <w:rsid w:val="00996ECB"/>
    <w:rsid w:val="00997C3C"/>
    <w:rsid w:val="009A0CAF"/>
    <w:rsid w:val="009A1474"/>
    <w:rsid w:val="009A2207"/>
    <w:rsid w:val="009A3498"/>
    <w:rsid w:val="009A3A0F"/>
    <w:rsid w:val="009A5147"/>
    <w:rsid w:val="009A54E4"/>
    <w:rsid w:val="009A5E73"/>
    <w:rsid w:val="009A601C"/>
    <w:rsid w:val="009A6BEC"/>
    <w:rsid w:val="009A74C4"/>
    <w:rsid w:val="009A77B4"/>
    <w:rsid w:val="009B0F80"/>
    <w:rsid w:val="009B401B"/>
    <w:rsid w:val="009B5353"/>
    <w:rsid w:val="009B69BF"/>
    <w:rsid w:val="009B6C42"/>
    <w:rsid w:val="009B72DD"/>
    <w:rsid w:val="009C3427"/>
    <w:rsid w:val="009C5D9C"/>
    <w:rsid w:val="009C5FEF"/>
    <w:rsid w:val="009C62B6"/>
    <w:rsid w:val="009C703F"/>
    <w:rsid w:val="009C73F8"/>
    <w:rsid w:val="009D31F7"/>
    <w:rsid w:val="009D32C2"/>
    <w:rsid w:val="009D33F2"/>
    <w:rsid w:val="009D50DB"/>
    <w:rsid w:val="009E08EA"/>
    <w:rsid w:val="009E3A0A"/>
    <w:rsid w:val="009E5460"/>
    <w:rsid w:val="009E5684"/>
    <w:rsid w:val="009E7CD8"/>
    <w:rsid w:val="009E7E4E"/>
    <w:rsid w:val="009F3E91"/>
    <w:rsid w:val="009F6CE7"/>
    <w:rsid w:val="009F71FB"/>
    <w:rsid w:val="00A01670"/>
    <w:rsid w:val="00A03191"/>
    <w:rsid w:val="00A03568"/>
    <w:rsid w:val="00A03BB7"/>
    <w:rsid w:val="00A045E7"/>
    <w:rsid w:val="00A05599"/>
    <w:rsid w:val="00A06199"/>
    <w:rsid w:val="00A07D10"/>
    <w:rsid w:val="00A10414"/>
    <w:rsid w:val="00A10C4A"/>
    <w:rsid w:val="00A124C6"/>
    <w:rsid w:val="00A1499B"/>
    <w:rsid w:val="00A1551F"/>
    <w:rsid w:val="00A167F3"/>
    <w:rsid w:val="00A17739"/>
    <w:rsid w:val="00A20879"/>
    <w:rsid w:val="00A20AFC"/>
    <w:rsid w:val="00A215BA"/>
    <w:rsid w:val="00A219AC"/>
    <w:rsid w:val="00A21BFF"/>
    <w:rsid w:val="00A265CD"/>
    <w:rsid w:val="00A303B7"/>
    <w:rsid w:val="00A314C2"/>
    <w:rsid w:val="00A316FC"/>
    <w:rsid w:val="00A31DD3"/>
    <w:rsid w:val="00A3248C"/>
    <w:rsid w:val="00A35932"/>
    <w:rsid w:val="00A35B7B"/>
    <w:rsid w:val="00A36E88"/>
    <w:rsid w:val="00A41FD7"/>
    <w:rsid w:val="00A43B9C"/>
    <w:rsid w:val="00A53155"/>
    <w:rsid w:val="00A56F51"/>
    <w:rsid w:val="00A63771"/>
    <w:rsid w:val="00A63E86"/>
    <w:rsid w:val="00A65A1C"/>
    <w:rsid w:val="00A662AE"/>
    <w:rsid w:val="00A6704B"/>
    <w:rsid w:val="00A71DC7"/>
    <w:rsid w:val="00A757C3"/>
    <w:rsid w:val="00A75E5B"/>
    <w:rsid w:val="00A7684A"/>
    <w:rsid w:val="00A81193"/>
    <w:rsid w:val="00A82AED"/>
    <w:rsid w:val="00A83B69"/>
    <w:rsid w:val="00A83BAC"/>
    <w:rsid w:val="00A84AF8"/>
    <w:rsid w:val="00A85206"/>
    <w:rsid w:val="00A853FD"/>
    <w:rsid w:val="00A86533"/>
    <w:rsid w:val="00A9176A"/>
    <w:rsid w:val="00A91CA2"/>
    <w:rsid w:val="00A92FB8"/>
    <w:rsid w:val="00A9454E"/>
    <w:rsid w:val="00A948F1"/>
    <w:rsid w:val="00A9605F"/>
    <w:rsid w:val="00AA1000"/>
    <w:rsid w:val="00AA1D7D"/>
    <w:rsid w:val="00AA2CDE"/>
    <w:rsid w:val="00AA32B0"/>
    <w:rsid w:val="00AA43B8"/>
    <w:rsid w:val="00AA7525"/>
    <w:rsid w:val="00AB0454"/>
    <w:rsid w:val="00AB0EA9"/>
    <w:rsid w:val="00AB139D"/>
    <w:rsid w:val="00AB2C46"/>
    <w:rsid w:val="00AB3EFB"/>
    <w:rsid w:val="00AB691D"/>
    <w:rsid w:val="00AC0B05"/>
    <w:rsid w:val="00AC19D9"/>
    <w:rsid w:val="00AC3FA9"/>
    <w:rsid w:val="00AD079A"/>
    <w:rsid w:val="00AD1890"/>
    <w:rsid w:val="00AD410C"/>
    <w:rsid w:val="00AD4F08"/>
    <w:rsid w:val="00AE2149"/>
    <w:rsid w:val="00AE33AE"/>
    <w:rsid w:val="00AE3785"/>
    <w:rsid w:val="00AE3F91"/>
    <w:rsid w:val="00AE452F"/>
    <w:rsid w:val="00AE469A"/>
    <w:rsid w:val="00AE5C0C"/>
    <w:rsid w:val="00AE76E6"/>
    <w:rsid w:val="00AF01D6"/>
    <w:rsid w:val="00AF0D84"/>
    <w:rsid w:val="00AF42F9"/>
    <w:rsid w:val="00B00ACC"/>
    <w:rsid w:val="00B00BE9"/>
    <w:rsid w:val="00B02F52"/>
    <w:rsid w:val="00B039E3"/>
    <w:rsid w:val="00B03CE8"/>
    <w:rsid w:val="00B043C1"/>
    <w:rsid w:val="00B0483C"/>
    <w:rsid w:val="00B04AA0"/>
    <w:rsid w:val="00B10CB2"/>
    <w:rsid w:val="00B14213"/>
    <w:rsid w:val="00B22838"/>
    <w:rsid w:val="00B22A42"/>
    <w:rsid w:val="00B22B71"/>
    <w:rsid w:val="00B23212"/>
    <w:rsid w:val="00B232ED"/>
    <w:rsid w:val="00B2786C"/>
    <w:rsid w:val="00B302E2"/>
    <w:rsid w:val="00B30C12"/>
    <w:rsid w:val="00B310C0"/>
    <w:rsid w:val="00B3143D"/>
    <w:rsid w:val="00B32BC1"/>
    <w:rsid w:val="00B33E95"/>
    <w:rsid w:val="00B34798"/>
    <w:rsid w:val="00B3484B"/>
    <w:rsid w:val="00B35B5E"/>
    <w:rsid w:val="00B37198"/>
    <w:rsid w:val="00B3720B"/>
    <w:rsid w:val="00B40EE3"/>
    <w:rsid w:val="00B40F22"/>
    <w:rsid w:val="00B5322A"/>
    <w:rsid w:val="00B536C6"/>
    <w:rsid w:val="00B54147"/>
    <w:rsid w:val="00B55271"/>
    <w:rsid w:val="00B5558A"/>
    <w:rsid w:val="00B56513"/>
    <w:rsid w:val="00B56B2E"/>
    <w:rsid w:val="00B61FFE"/>
    <w:rsid w:val="00B64376"/>
    <w:rsid w:val="00B6661A"/>
    <w:rsid w:val="00B674F0"/>
    <w:rsid w:val="00B70FFD"/>
    <w:rsid w:val="00B71533"/>
    <w:rsid w:val="00B7401F"/>
    <w:rsid w:val="00B7572D"/>
    <w:rsid w:val="00B806C3"/>
    <w:rsid w:val="00B81DD5"/>
    <w:rsid w:val="00B82DCC"/>
    <w:rsid w:val="00B84FCA"/>
    <w:rsid w:val="00B9089F"/>
    <w:rsid w:val="00B90B42"/>
    <w:rsid w:val="00B91AEE"/>
    <w:rsid w:val="00B93F02"/>
    <w:rsid w:val="00B94F71"/>
    <w:rsid w:val="00B95F5A"/>
    <w:rsid w:val="00B96EAD"/>
    <w:rsid w:val="00B9769C"/>
    <w:rsid w:val="00B97A96"/>
    <w:rsid w:val="00BA26F8"/>
    <w:rsid w:val="00BA2E43"/>
    <w:rsid w:val="00BA4B42"/>
    <w:rsid w:val="00BA6684"/>
    <w:rsid w:val="00BA79F5"/>
    <w:rsid w:val="00BB00CB"/>
    <w:rsid w:val="00BB02E8"/>
    <w:rsid w:val="00BB2A3C"/>
    <w:rsid w:val="00BB3826"/>
    <w:rsid w:val="00BB3AB6"/>
    <w:rsid w:val="00BB45EB"/>
    <w:rsid w:val="00BB681F"/>
    <w:rsid w:val="00BB7196"/>
    <w:rsid w:val="00BB766D"/>
    <w:rsid w:val="00BC007B"/>
    <w:rsid w:val="00BC1417"/>
    <w:rsid w:val="00BC15E7"/>
    <w:rsid w:val="00BC26BA"/>
    <w:rsid w:val="00BC35F8"/>
    <w:rsid w:val="00BC7140"/>
    <w:rsid w:val="00BD2A3C"/>
    <w:rsid w:val="00BD3651"/>
    <w:rsid w:val="00BD3701"/>
    <w:rsid w:val="00BD3944"/>
    <w:rsid w:val="00BD6B02"/>
    <w:rsid w:val="00BD7401"/>
    <w:rsid w:val="00BE2921"/>
    <w:rsid w:val="00BE38C8"/>
    <w:rsid w:val="00BF03CA"/>
    <w:rsid w:val="00BF24FC"/>
    <w:rsid w:val="00BF376F"/>
    <w:rsid w:val="00BF3916"/>
    <w:rsid w:val="00BF46A6"/>
    <w:rsid w:val="00BF5D1B"/>
    <w:rsid w:val="00BF62CF"/>
    <w:rsid w:val="00BF73D6"/>
    <w:rsid w:val="00C027A2"/>
    <w:rsid w:val="00C0295B"/>
    <w:rsid w:val="00C03648"/>
    <w:rsid w:val="00C06545"/>
    <w:rsid w:val="00C06CEC"/>
    <w:rsid w:val="00C07024"/>
    <w:rsid w:val="00C1161C"/>
    <w:rsid w:val="00C126C8"/>
    <w:rsid w:val="00C17803"/>
    <w:rsid w:val="00C220FC"/>
    <w:rsid w:val="00C24929"/>
    <w:rsid w:val="00C24DFA"/>
    <w:rsid w:val="00C25D32"/>
    <w:rsid w:val="00C31E77"/>
    <w:rsid w:val="00C325A0"/>
    <w:rsid w:val="00C35F32"/>
    <w:rsid w:val="00C368B7"/>
    <w:rsid w:val="00C41B7B"/>
    <w:rsid w:val="00C4202A"/>
    <w:rsid w:val="00C4211F"/>
    <w:rsid w:val="00C46A36"/>
    <w:rsid w:val="00C47037"/>
    <w:rsid w:val="00C511E5"/>
    <w:rsid w:val="00C53625"/>
    <w:rsid w:val="00C602C1"/>
    <w:rsid w:val="00C62086"/>
    <w:rsid w:val="00C632DF"/>
    <w:rsid w:val="00C63FC0"/>
    <w:rsid w:val="00C66392"/>
    <w:rsid w:val="00C677EA"/>
    <w:rsid w:val="00C70D19"/>
    <w:rsid w:val="00C73438"/>
    <w:rsid w:val="00C74C5E"/>
    <w:rsid w:val="00C81B9C"/>
    <w:rsid w:val="00C827A2"/>
    <w:rsid w:val="00C82B69"/>
    <w:rsid w:val="00C85394"/>
    <w:rsid w:val="00C8657D"/>
    <w:rsid w:val="00C87914"/>
    <w:rsid w:val="00C907E7"/>
    <w:rsid w:val="00C91963"/>
    <w:rsid w:val="00C91B28"/>
    <w:rsid w:val="00C91F3A"/>
    <w:rsid w:val="00C94A6F"/>
    <w:rsid w:val="00C94F39"/>
    <w:rsid w:val="00CA039D"/>
    <w:rsid w:val="00CA06E3"/>
    <w:rsid w:val="00CA0F57"/>
    <w:rsid w:val="00CA42BF"/>
    <w:rsid w:val="00CA6CB7"/>
    <w:rsid w:val="00CA76D3"/>
    <w:rsid w:val="00CB5797"/>
    <w:rsid w:val="00CB789D"/>
    <w:rsid w:val="00CC1202"/>
    <w:rsid w:val="00CC3939"/>
    <w:rsid w:val="00CC4099"/>
    <w:rsid w:val="00CC45C1"/>
    <w:rsid w:val="00CC46E5"/>
    <w:rsid w:val="00CC51E4"/>
    <w:rsid w:val="00CD09E1"/>
    <w:rsid w:val="00CD0B74"/>
    <w:rsid w:val="00CD2042"/>
    <w:rsid w:val="00CD6202"/>
    <w:rsid w:val="00CD78EE"/>
    <w:rsid w:val="00CE2486"/>
    <w:rsid w:val="00CE2BE2"/>
    <w:rsid w:val="00CE33D0"/>
    <w:rsid w:val="00CE44FA"/>
    <w:rsid w:val="00CE4913"/>
    <w:rsid w:val="00CE4AEB"/>
    <w:rsid w:val="00CE54A6"/>
    <w:rsid w:val="00CE59CF"/>
    <w:rsid w:val="00CE66BD"/>
    <w:rsid w:val="00CE6906"/>
    <w:rsid w:val="00CF0671"/>
    <w:rsid w:val="00CF2FB9"/>
    <w:rsid w:val="00CF3628"/>
    <w:rsid w:val="00CF36C3"/>
    <w:rsid w:val="00CF39F8"/>
    <w:rsid w:val="00CF44AD"/>
    <w:rsid w:val="00CF4FC0"/>
    <w:rsid w:val="00CF79BC"/>
    <w:rsid w:val="00D0032D"/>
    <w:rsid w:val="00D00460"/>
    <w:rsid w:val="00D01EFE"/>
    <w:rsid w:val="00D023DD"/>
    <w:rsid w:val="00D03A0E"/>
    <w:rsid w:val="00D03DF2"/>
    <w:rsid w:val="00D06D2C"/>
    <w:rsid w:val="00D1072F"/>
    <w:rsid w:val="00D108A5"/>
    <w:rsid w:val="00D121DE"/>
    <w:rsid w:val="00D12829"/>
    <w:rsid w:val="00D12C9D"/>
    <w:rsid w:val="00D13429"/>
    <w:rsid w:val="00D1445B"/>
    <w:rsid w:val="00D14585"/>
    <w:rsid w:val="00D20EFF"/>
    <w:rsid w:val="00D248D3"/>
    <w:rsid w:val="00D24B87"/>
    <w:rsid w:val="00D2695F"/>
    <w:rsid w:val="00D27981"/>
    <w:rsid w:val="00D30F1B"/>
    <w:rsid w:val="00D30FC0"/>
    <w:rsid w:val="00D328A0"/>
    <w:rsid w:val="00D3461C"/>
    <w:rsid w:val="00D346CF"/>
    <w:rsid w:val="00D34F0D"/>
    <w:rsid w:val="00D3516E"/>
    <w:rsid w:val="00D35FD2"/>
    <w:rsid w:val="00D4064C"/>
    <w:rsid w:val="00D4402F"/>
    <w:rsid w:val="00D44C32"/>
    <w:rsid w:val="00D45A8C"/>
    <w:rsid w:val="00D51FB4"/>
    <w:rsid w:val="00D52474"/>
    <w:rsid w:val="00D535DC"/>
    <w:rsid w:val="00D53ED8"/>
    <w:rsid w:val="00D54F44"/>
    <w:rsid w:val="00D5563A"/>
    <w:rsid w:val="00D56A47"/>
    <w:rsid w:val="00D62117"/>
    <w:rsid w:val="00D634F2"/>
    <w:rsid w:val="00D64857"/>
    <w:rsid w:val="00D6493A"/>
    <w:rsid w:val="00D64EE2"/>
    <w:rsid w:val="00D67875"/>
    <w:rsid w:val="00D70040"/>
    <w:rsid w:val="00D7063F"/>
    <w:rsid w:val="00D71CBD"/>
    <w:rsid w:val="00D71E86"/>
    <w:rsid w:val="00D71FB3"/>
    <w:rsid w:val="00D728A1"/>
    <w:rsid w:val="00D731C6"/>
    <w:rsid w:val="00D745C5"/>
    <w:rsid w:val="00D752AD"/>
    <w:rsid w:val="00D75327"/>
    <w:rsid w:val="00D75868"/>
    <w:rsid w:val="00D76473"/>
    <w:rsid w:val="00D800AF"/>
    <w:rsid w:val="00D809C7"/>
    <w:rsid w:val="00D80A12"/>
    <w:rsid w:val="00D80C36"/>
    <w:rsid w:val="00D86779"/>
    <w:rsid w:val="00D86EE1"/>
    <w:rsid w:val="00D9120E"/>
    <w:rsid w:val="00D930EA"/>
    <w:rsid w:val="00D95322"/>
    <w:rsid w:val="00D96126"/>
    <w:rsid w:val="00D9618E"/>
    <w:rsid w:val="00D9641F"/>
    <w:rsid w:val="00D97C02"/>
    <w:rsid w:val="00DA09F8"/>
    <w:rsid w:val="00DA0A4B"/>
    <w:rsid w:val="00DA43A2"/>
    <w:rsid w:val="00DA630D"/>
    <w:rsid w:val="00DA641F"/>
    <w:rsid w:val="00DB4B1C"/>
    <w:rsid w:val="00DB5085"/>
    <w:rsid w:val="00DB70BE"/>
    <w:rsid w:val="00DB7706"/>
    <w:rsid w:val="00DC1062"/>
    <w:rsid w:val="00DC132C"/>
    <w:rsid w:val="00DC6340"/>
    <w:rsid w:val="00DC7160"/>
    <w:rsid w:val="00DD1293"/>
    <w:rsid w:val="00DD1DF3"/>
    <w:rsid w:val="00DD28CB"/>
    <w:rsid w:val="00DD43F0"/>
    <w:rsid w:val="00DD44DE"/>
    <w:rsid w:val="00DD4680"/>
    <w:rsid w:val="00DD6779"/>
    <w:rsid w:val="00DD70E1"/>
    <w:rsid w:val="00DD7A92"/>
    <w:rsid w:val="00DE09AB"/>
    <w:rsid w:val="00DE2E1E"/>
    <w:rsid w:val="00DE3FFC"/>
    <w:rsid w:val="00DE4A3F"/>
    <w:rsid w:val="00DE695A"/>
    <w:rsid w:val="00DE7AE9"/>
    <w:rsid w:val="00DF1236"/>
    <w:rsid w:val="00DF180C"/>
    <w:rsid w:val="00DF2488"/>
    <w:rsid w:val="00DF3843"/>
    <w:rsid w:val="00DF4367"/>
    <w:rsid w:val="00DF4FDB"/>
    <w:rsid w:val="00DF77B5"/>
    <w:rsid w:val="00E0259B"/>
    <w:rsid w:val="00E0574A"/>
    <w:rsid w:val="00E0579F"/>
    <w:rsid w:val="00E07DDF"/>
    <w:rsid w:val="00E1166A"/>
    <w:rsid w:val="00E1243D"/>
    <w:rsid w:val="00E12742"/>
    <w:rsid w:val="00E12D31"/>
    <w:rsid w:val="00E146D4"/>
    <w:rsid w:val="00E150C6"/>
    <w:rsid w:val="00E20976"/>
    <w:rsid w:val="00E22079"/>
    <w:rsid w:val="00E22B44"/>
    <w:rsid w:val="00E236D8"/>
    <w:rsid w:val="00E25CDA"/>
    <w:rsid w:val="00E26615"/>
    <w:rsid w:val="00E279A4"/>
    <w:rsid w:val="00E30AAC"/>
    <w:rsid w:val="00E30ACD"/>
    <w:rsid w:val="00E30FB6"/>
    <w:rsid w:val="00E31541"/>
    <w:rsid w:val="00E31E1E"/>
    <w:rsid w:val="00E32735"/>
    <w:rsid w:val="00E33156"/>
    <w:rsid w:val="00E36D11"/>
    <w:rsid w:val="00E37314"/>
    <w:rsid w:val="00E40EF2"/>
    <w:rsid w:val="00E47C33"/>
    <w:rsid w:val="00E518A1"/>
    <w:rsid w:val="00E5242B"/>
    <w:rsid w:val="00E52A82"/>
    <w:rsid w:val="00E532DF"/>
    <w:rsid w:val="00E5391D"/>
    <w:rsid w:val="00E55D70"/>
    <w:rsid w:val="00E62380"/>
    <w:rsid w:val="00E636C6"/>
    <w:rsid w:val="00E6485C"/>
    <w:rsid w:val="00E653E8"/>
    <w:rsid w:val="00E65E6A"/>
    <w:rsid w:val="00E66E36"/>
    <w:rsid w:val="00E67103"/>
    <w:rsid w:val="00E6781E"/>
    <w:rsid w:val="00E702ED"/>
    <w:rsid w:val="00E705F1"/>
    <w:rsid w:val="00E709A4"/>
    <w:rsid w:val="00E7143C"/>
    <w:rsid w:val="00E725A3"/>
    <w:rsid w:val="00E73822"/>
    <w:rsid w:val="00E74319"/>
    <w:rsid w:val="00E75270"/>
    <w:rsid w:val="00E76CF8"/>
    <w:rsid w:val="00E772DB"/>
    <w:rsid w:val="00E77875"/>
    <w:rsid w:val="00E804CC"/>
    <w:rsid w:val="00E80D6C"/>
    <w:rsid w:val="00E83FBC"/>
    <w:rsid w:val="00E84400"/>
    <w:rsid w:val="00E84504"/>
    <w:rsid w:val="00E85261"/>
    <w:rsid w:val="00E86012"/>
    <w:rsid w:val="00E8613F"/>
    <w:rsid w:val="00E862D9"/>
    <w:rsid w:val="00E86BAB"/>
    <w:rsid w:val="00E86EEB"/>
    <w:rsid w:val="00E87209"/>
    <w:rsid w:val="00E901A1"/>
    <w:rsid w:val="00E94E10"/>
    <w:rsid w:val="00E954BD"/>
    <w:rsid w:val="00E96743"/>
    <w:rsid w:val="00E96A42"/>
    <w:rsid w:val="00E972C4"/>
    <w:rsid w:val="00E97965"/>
    <w:rsid w:val="00EA0569"/>
    <w:rsid w:val="00EA0A36"/>
    <w:rsid w:val="00EA24EA"/>
    <w:rsid w:val="00EA3045"/>
    <w:rsid w:val="00EA3C6D"/>
    <w:rsid w:val="00EA49C5"/>
    <w:rsid w:val="00EA575B"/>
    <w:rsid w:val="00EB1C1C"/>
    <w:rsid w:val="00EB1DFA"/>
    <w:rsid w:val="00EB5027"/>
    <w:rsid w:val="00EB5E30"/>
    <w:rsid w:val="00EB6CC1"/>
    <w:rsid w:val="00EC0463"/>
    <w:rsid w:val="00EC1836"/>
    <w:rsid w:val="00EC3990"/>
    <w:rsid w:val="00EC484B"/>
    <w:rsid w:val="00ED15FA"/>
    <w:rsid w:val="00ED1E00"/>
    <w:rsid w:val="00ED4892"/>
    <w:rsid w:val="00ED4CD2"/>
    <w:rsid w:val="00ED6C46"/>
    <w:rsid w:val="00EE5DA9"/>
    <w:rsid w:val="00EE6E9A"/>
    <w:rsid w:val="00EE7162"/>
    <w:rsid w:val="00EE7F91"/>
    <w:rsid w:val="00EF0BF1"/>
    <w:rsid w:val="00EF1901"/>
    <w:rsid w:val="00EF2AC4"/>
    <w:rsid w:val="00EF397E"/>
    <w:rsid w:val="00EF4A20"/>
    <w:rsid w:val="00EF4A45"/>
    <w:rsid w:val="00EF4C6F"/>
    <w:rsid w:val="00EF759D"/>
    <w:rsid w:val="00F0281E"/>
    <w:rsid w:val="00F02F5C"/>
    <w:rsid w:val="00F045B5"/>
    <w:rsid w:val="00F05CC2"/>
    <w:rsid w:val="00F06123"/>
    <w:rsid w:val="00F06F68"/>
    <w:rsid w:val="00F07037"/>
    <w:rsid w:val="00F07EFC"/>
    <w:rsid w:val="00F1139A"/>
    <w:rsid w:val="00F1146A"/>
    <w:rsid w:val="00F122C7"/>
    <w:rsid w:val="00F13DC2"/>
    <w:rsid w:val="00F140BF"/>
    <w:rsid w:val="00F1713B"/>
    <w:rsid w:val="00F176BC"/>
    <w:rsid w:val="00F212CB"/>
    <w:rsid w:val="00F21976"/>
    <w:rsid w:val="00F23C7D"/>
    <w:rsid w:val="00F243DB"/>
    <w:rsid w:val="00F24C2D"/>
    <w:rsid w:val="00F24F1B"/>
    <w:rsid w:val="00F2583C"/>
    <w:rsid w:val="00F27356"/>
    <w:rsid w:val="00F321B8"/>
    <w:rsid w:val="00F32810"/>
    <w:rsid w:val="00F32A81"/>
    <w:rsid w:val="00F34378"/>
    <w:rsid w:val="00F37942"/>
    <w:rsid w:val="00F41E5E"/>
    <w:rsid w:val="00F46998"/>
    <w:rsid w:val="00F47100"/>
    <w:rsid w:val="00F50796"/>
    <w:rsid w:val="00F5282B"/>
    <w:rsid w:val="00F5382D"/>
    <w:rsid w:val="00F53D9C"/>
    <w:rsid w:val="00F5462B"/>
    <w:rsid w:val="00F56FDF"/>
    <w:rsid w:val="00F60BE3"/>
    <w:rsid w:val="00F62268"/>
    <w:rsid w:val="00F62377"/>
    <w:rsid w:val="00F634AD"/>
    <w:rsid w:val="00F63677"/>
    <w:rsid w:val="00F70CE3"/>
    <w:rsid w:val="00F731EB"/>
    <w:rsid w:val="00F73857"/>
    <w:rsid w:val="00F73BD9"/>
    <w:rsid w:val="00F75B81"/>
    <w:rsid w:val="00F76BA3"/>
    <w:rsid w:val="00F804C4"/>
    <w:rsid w:val="00F807FC"/>
    <w:rsid w:val="00F80984"/>
    <w:rsid w:val="00F8153B"/>
    <w:rsid w:val="00F82BDD"/>
    <w:rsid w:val="00F82F83"/>
    <w:rsid w:val="00F832E5"/>
    <w:rsid w:val="00F90B73"/>
    <w:rsid w:val="00F90F40"/>
    <w:rsid w:val="00F9209D"/>
    <w:rsid w:val="00F92B30"/>
    <w:rsid w:val="00F933B9"/>
    <w:rsid w:val="00F94674"/>
    <w:rsid w:val="00F94919"/>
    <w:rsid w:val="00F94A59"/>
    <w:rsid w:val="00F975DD"/>
    <w:rsid w:val="00FA25B6"/>
    <w:rsid w:val="00FA2FAF"/>
    <w:rsid w:val="00FA501B"/>
    <w:rsid w:val="00FA5A93"/>
    <w:rsid w:val="00FA5CCF"/>
    <w:rsid w:val="00FA64B1"/>
    <w:rsid w:val="00FA670C"/>
    <w:rsid w:val="00FA6B06"/>
    <w:rsid w:val="00FA7036"/>
    <w:rsid w:val="00FA70F3"/>
    <w:rsid w:val="00FA71CD"/>
    <w:rsid w:val="00FB0453"/>
    <w:rsid w:val="00FB0C07"/>
    <w:rsid w:val="00FB298D"/>
    <w:rsid w:val="00FB3C9A"/>
    <w:rsid w:val="00FB6030"/>
    <w:rsid w:val="00FB76B0"/>
    <w:rsid w:val="00FC05C6"/>
    <w:rsid w:val="00FC1439"/>
    <w:rsid w:val="00FC5192"/>
    <w:rsid w:val="00FC5659"/>
    <w:rsid w:val="00FC58BE"/>
    <w:rsid w:val="00FC61D9"/>
    <w:rsid w:val="00FC724B"/>
    <w:rsid w:val="00FC7910"/>
    <w:rsid w:val="00FD3DAA"/>
    <w:rsid w:val="00FD45E5"/>
    <w:rsid w:val="00FD6DC7"/>
    <w:rsid w:val="00FE13AD"/>
    <w:rsid w:val="00FE2BAC"/>
    <w:rsid w:val="00FE46EA"/>
    <w:rsid w:val="00FE4D8E"/>
    <w:rsid w:val="00FE5C6B"/>
    <w:rsid w:val="00FE72A6"/>
    <w:rsid w:val="00FF027B"/>
    <w:rsid w:val="00FF03BD"/>
    <w:rsid w:val="00FF0DA7"/>
    <w:rsid w:val="00FF1E19"/>
    <w:rsid w:val="00FF412C"/>
    <w:rsid w:val="00FF442B"/>
    <w:rsid w:val="00FF44E0"/>
    <w:rsid w:val="00FF4CB6"/>
    <w:rsid w:val="00FF6978"/>
    <w:rsid w:val="00FF6C72"/>
    <w:rsid w:val="01110454"/>
    <w:rsid w:val="0115436B"/>
    <w:rsid w:val="01551060"/>
    <w:rsid w:val="015E0986"/>
    <w:rsid w:val="01D50918"/>
    <w:rsid w:val="01E1405A"/>
    <w:rsid w:val="01F37FC4"/>
    <w:rsid w:val="029F04DC"/>
    <w:rsid w:val="02A7230E"/>
    <w:rsid w:val="02FF7D3A"/>
    <w:rsid w:val="03200111"/>
    <w:rsid w:val="032964DF"/>
    <w:rsid w:val="03396A16"/>
    <w:rsid w:val="036C195E"/>
    <w:rsid w:val="038D3AC6"/>
    <w:rsid w:val="03E966E5"/>
    <w:rsid w:val="04101F97"/>
    <w:rsid w:val="042553A4"/>
    <w:rsid w:val="04381DAF"/>
    <w:rsid w:val="04AC7756"/>
    <w:rsid w:val="04AE1B2D"/>
    <w:rsid w:val="04C12CEA"/>
    <w:rsid w:val="04CE185F"/>
    <w:rsid w:val="04FA4B16"/>
    <w:rsid w:val="050D65F7"/>
    <w:rsid w:val="053C0F58"/>
    <w:rsid w:val="05777604"/>
    <w:rsid w:val="057F02E4"/>
    <w:rsid w:val="0584451A"/>
    <w:rsid w:val="05A55A15"/>
    <w:rsid w:val="05B0020B"/>
    <w:rsid w:val="05C03DD8"/>
    <w:rsid w:val="05F67BDA"/>
    <w:rsid w:val="061F0220"/>
    <w:rsid w:val="06273432"/>
    <w:rsid w:val="062D5CA2"/>
    <w:rsid w:val="066A08B5"/>
    <w:rsid w:val="06767489"/>
    <w:rsid w:val="06947318"/>
    <w:rsid w:val="06B37A81"/>
    <w:rsid w:val="07596C7E"/>
    <w:rsid w:val="075C1E82"/>
    <w:rsid w:val="078816F4"/>
    <w:rsid w:val="07CE49B4"/>
    <w:rsid w:val="07D45565"/>
    <w:rsid w:val="081215AD"/>
    <w:rsid w:val="08267F45"/>
    <w:rsid w:val="082721FE"/>
    <w:rsid w:val="08316AA1"/>
    <w:rsid w:val="085156EE"/>
    <w:rsid w:val="08903180"/>
    <w:rsid w:val="08C843DF"/>
    <w:rsid w:val="08F8708D"/>
    <w:rsid w:val="09175EBC"/>
    <w:rsid w:val="091F768D"/>
    <w:rsid w:val="092E677B"/>
    <w:rsid w:val="09644CC5"/>
    <w:rsid w:val="09A561D9"/>
    <w:rsid w:val="09A82FA2"/>
    <w:rsid w:val="09C66129"/>
    <w:rsid w:val="09E86664"/>
    <w:rsid w:val="09F00CB1"/>
    <w:rsid w:val="09FE206E"/>
    <w:rsid w:val="0A275C0B"/>
    <w:rsid w:val="0A4831AC"/>
    <w:rsid w:val="0A49551F"/>
    <w:rsid w:val="0A651C78"/>
    <w:rsid w:val="0A855400"/>
    <w:rsid w:val="0A90450D"/>
    <w:rsid w:val="0AA30E42"/>
    <w:rsid w:val="0AA718FA"/>
    <w:rsid w:val="0B3F5548"/>
    <w:rsid w:val="0B541D8A"/>
    <w:rsid w:val="0B5C1EA3"/>
    <w:rsid w:val="0B741CF1"/>
    <w:rsid w:val="0B7A075E"/>
    <w:rsid w:val="0BBE40EC"/>
    <w:rsid w:val="0BF46102"/>
    <w:rsid w:val="0C023E93"/>
    <w:rsid w:val="0C0B1D31"/>
    <w:rsid w:val="0C185102"/>
    <w:rsid w:val="0C4565E2"/>
    <w:rsid w:val="0CAE3EFA"/>
    <w:rsid w:val="0CAF0B87"/>
    <w:rsid w:val="0CF72E3E"/>
    <w:rsid w:val="0D214838"/>
    <w:rsid w:val="0D43122D"/>
    <w:rsid w:val="0D4804C0"/>
    <w:rsid w:val="0D80427F"/>
    <w:rsid w:val="0D8F626C"/>
    <w:rsid w:val="0DD37C93"/>
    <w:rsid w:val="0DE46E6B"/>
    <w:rsid w:val="0DED6C1B"/>
    <w:rsid w:val="0DF562CC"/>
    <w:rsid w:val="0E10439C"/>
    <w:rsid w:val="0E1E6CCE"/>
    <w:rsid w:val="0E42379E"/>
    <w:rsid w:val="0E4A167A"/>
    <w:rsid w:val="0E4A67AA"/>
    <w:rsid w:val="0E9107B8"/>
    <w:rsid w:val="0E971CE4"/>
    <w:rsid w:val="0EC06C29"/>
    <w:rsid w:val="0EC32FD1"/>
    <w:rsid w:val="0EC51B61"/>
    <w:rsid w:val="0F2C2DD1"/>
    <w:rsid w:val="0F3348D2"/>
    <w:rsid w:val="0F74548B"/>
    <w:rsid w:val="0F895414"/>
    <w:rsid w:val="0F8F0A2F"/>
    <w:rsid w:val="0FBC09E9"/>
    <w:rsid w:val="0FE16FFE"/>
    <w:rsid w:val="101E69CE"/>
    <w:rsid w:val="10784749"/>
    <w:rsid w:val="107D1D2C"/>
    <w:rsid w:val="107F5456"/>
    <w:rsid w:val="10E943BC"/>
    <w:rsid w:val="10EF1D98"/>
    <w:rsid w:val="10FF200B"/>
    <w:rsid w:val="118626B3"/>
    <w:rsid w:val="11951362"/>
    <w:rsid w:val="11DC371C"/>
    <w:rsid w:val="121430C0"/>
    <w:rsid w:val="121C350D"/>
    <w:rsid w:val="121F218A"/>
    <w:rsid w:val="12315972"/>
    <w:rsid w:val="123649A0"/>
    <w:rsid w:val="12B34524"/>
    <w:rsid w:val="12CB4B71"/>
    <w:rsid w:val="12D65F80"/>
    <w:rsid w:val="12EB59BB"/>
    <w:rsid w:val="13361CC2"/>
    <w:rsid w:val="13586406"/>
    <w:rsid w:val="13784F32"/>
    <w:rsid w:val="13843DD6"/>
    <w:rsid w:val="139541BC"/>
    <w:rsid w:val="13CC7E46"/>
    <w:rsid w:val="13D0174E"/>
    <w:rsid w:val="13D63160"/>
    <w:rsid w:val="1402490B"/>
    <w:rsid w:val="14050274"/>
    <w:rsid w:val="141F37D5"/>
    <w:rsid w:val="14435C8C"/>
    <w:rsid w:val="144979FE"/>
    <w:rsid w:val="145160DE"/>
    <w:rsid w:val="14601411"/>
    <w:rsid w:val="14721AB2"/>
    <w:rsid w:val="14822B3B"/>
    <w:rsid w:val="14CC35E5"/>
    <w:rsid w:val="151F50FD"/>
    <w:rsid w:val="154C5494"/>
    <w:rsid w:val="15A82FDE"/>
    <w:rsid w:val="15C83593"/>
    <w:rsid w:val="16B44DAE"/>
    <w:rsid w:val="16C7096A"/>
    <w:rsid w:val="16EF44CF"/>
    <w:rsid w:val="16FA25A9"/>
    <w:rsid w:val="16FE3F0F"/>
    <w:rsid w:val="1714045E"/>
    <w:rsid w:val="17555E87"/>
    <w:rsid w:val="177D5929"/>
    <w:rsid w:val="17845BC0"/>
    <w:rsid w:val="178536D0"/>
    <w:rsid w:val="17A0674C"/>
    <w:rsid w:val="17A17E10"/>
    <w:rsid w:val="17A76C6A"/>
    <w:rsid w:val="17CC2931"/>
    <w:rsid w:val="17EA0FA5"/>
    <w:rsid w:val="17F665A1"/>
    <w:rsid w:val="181217B7"/>
    <w:rsid w:val="18153083"/>
    <w:rsid w:val="182248AF"/>
    <w:rsid w:val="182A0BDE"/>
    <w:rsid w:val="18330A20"/>
    <w:rsid w:val="183A36A3"/>
    <w:rsid w:val="18464D42"/>
    <w:rsid w:val="184864CC"/>
    <w:rsid w:val="18B3544C"/>
    <w:rsid w:val="18D47700"/>
    <w:rsid w:val="18E25248"/>
    <w:rsid w:val="192F331B"/>
    <w:rsid w:val="1953483C"/>
    <w:rsid w:val="196B6690"/>
    <w:rsid w:val="196E46B5"/>
    <w:rsid w:val="19AE2CC9"/>
    <w:rsid w:val="19C057F9"/>
    <w:rsid w:val="19C15948"/>
    <w:rsid w:val="19C912F7"/>
    <w:rsid w:val="19F067B6"/>
    <w:rsid w:val="19FF01A1"/>
    <w:rsid w:val="1A0773EA"/>
    <w:rsid w:val="1A351389"/>
    <w:rsid w:val="1A5604F4"/>
    <w:rsid w:val="1A627060"/>
    <w:rsid w:val="1A692E08"/>
    <w:rsid w:val="1A6E2873"/>
    <w:rsid w:val="1ABA5061"/>
    <w:rsid w:val="1AD63AE7"/>
    <w:rsid w:val="1AF93E21"/>
    <w:rsid w:val="1B3A4E08"/>
    <w:rsid w:val="1B790AAA"/>
    <w:rsid w:val="1B9023E9"/>
    <w:rsid w:val="1B922286"/>
    <w:rsid w:val="1B9A2D22"/>
    <w:rsid w:val="1BB672E8"/>
    <w:rsid w:val="1BF76F39"/>
    <w:rsid w:val="1C247F1E"/>
    <w:rsid w:val="1C456CA1"/>
    <w:rsid w:val="1CAA17B2"/>
    <w:rsid w:val="1CE9045B"/>
    <w:rsid w:val="1CED4A71"/>
    <w:rsid w:val="1CFD7115"/>
    <w:rsid w:val="1D106487"/>
    <w:rsid w:val="1D78220B"/>
    <w:rsid w:val="1DC117D3"/>
    <w:rsid w:val="1DC419F5"/>
    <w:rsid w:val="1DE06F40"/>
    <w:rsid w:val="1DE81D7F"/>
    <w:rsid w:val="1DE902F8"/>
    <w:rsid w:val="1E223302"/>
    <w:rsid w:val="1E6C734E"/>
    <w:rsid w:val="1E8644A0"/>
    <w:rsid w:val="1E914953"/>
    <w:rsid w:val="1E9F4B7F"/>
    <w:rsid w:val="1ECA5705"/>
    <w:rsid w:val="1F26058A"/>
    <w:rsid w:val="1F260DEF"/>
    <w:rsid w:val="1F290719"/>
    <w:rsid w:val="1F296553"/>
    <w:rsid w:val="1F602EEA"/>
    <w:rsid w:val="1F827722"/>
    <w:rsid w:val="1F98431B"/>
    <w:rsid w:val="1F9D410E"/>
    <w:rsid w:val="1FA57344"/>
    <w:rsid w:val="202D3C5E"/>
    <w:rsid w:val="2065167F"/>
    <w:rsid w:val="206B3374"/>
    <w:rsid w:val="20763DE8"/>
    <w:rsid w:val="207B6E09"/>
    <w:rsid w:val="208F4035"/>
    <w:rsid w:val="20931778"/>
    <w:rsid w:val="209371E8"/>
    <w:rsid w:val="20BE3A5A"/>
    <w:rsid w:val="20C019C4"/>
    <w:rsid w:val="20CA0711"/>
    <w:rsid w:val="20CD580D"/>
    <w:rsid w:val="20F02A3C"/>
    <w:rsid w:val="210105AF"/>
    <w:rsid w:val="21582E94"/>
    <w:rsid w:val="21697970"/>
    <w:rsid w:val="21816E56"/>
    <w:rsid w:val="21A01BF4"/>
    <w:rsid w:val="21A052B0"/>
    <w:rsid w:val="21AD48BF"/>
    <w:rsid w:val="21B77906"/>
    <w:rsid w:val="21EB33F7"/>
    <w:rsid w:val="220333B6"/>
    <w:rsid w:val="22057786"/>
    <w:rsid w:val="2222028E"/>
    <w:rsid w:val="2228707A"/>
    <w:rsid w:val="22347BF8"/>
    <w:rsid w:val="22446596"/>
    <w:rsid w:val="2246417A"/>
    <w:rsid w:val="225A28C6"/>
    <w:rsid w:val="22825B1B"/>
    <w:rsid w:val="22A60DAB"/>
    <w:rsid w:val="22B807BC"/>
    <w:rsid w:val="230226ED"/>
    <w:rsid w:val="2325034F"/>
    <w:rsid w:val="23272D01"/>
    <w:rsid w:val="23281093"/>
    <w:rsid w:val="23732FC4"/>
    <w:rsid w:val="237B5324"/>
    <w:rsid w:val="23F76D4A"/>
    <w:rsid w:val="24545D2D"/>
    <w:rsid w:val="24816C7D"/>
    <w:rsid w:val="24D72A24"/>
    <w:rsid w:val="24DC7964"/>
    <w:rsid w:val="24DD348C"/>
    <w:rsid w:val="253B6CCB"/>
    <w:rsid w:val="25927652"/>
    <w:rsid w:val="2598550B"/>
    <w:rsid w:val="25B94F67"/>
    <w:rsid w:val="262465AA"/>
    <w:rsid w:val="2632268E"/>
    <w:rsid w:val="27052B41"/>
    <w:rsid w:val="272F507C"/>
    <w:rsid w:val="27486AA3"/>
    <w:rsid w:val="27615A03"/>
    <w:rsid w:val="280D3FFC"/>
    <w:rsid w:val="281807C2"/>
    <w:rsid w:val="286510F5"/>
    <w:rsid w:val="28962C39"/>
    <w:rsid w:val="28E41DD1"/>
    <w:rsid w:val="28F11C08"/>
    <w:rsid w:val="29035D7C"/>
    <w:rsid w:val="290638B7"/>
    <w:rsid w:val="2943358B"/>
    <w:rsid w:val="29446BFB"/>
    <w:rsid w:val="294C6F33"/>
    <w:rsid w:val="29641360"/>
    <w:rsid w:val="298629EA"/>
    <w:rsid w:val="29B75950"/>
    <w:rsid w:val="29CE0416"/>
    <w:rsid w:val="29EF3E27"/>
    <w:rsid w:val="2A061BD1"/>
    <w:rsid w:val="2A246F1B"/>
    <w:rsid w:val="2A27749F"/>
    <w:rsid w:val="2A327D79"/>
    <w:rsid w:val="2A621403"/>
    <w:rsid w:val="2AA16D1F"/>
    <w:rsid w:val="2AD15EE1"/>
    <w:rsid w:val="2AD15F5B"/>
    <w:rsid w:val="2AE67407"/>
    <w:rsid w:val="2AEF0D09"/>
    <w:rsid w:val="2B160A13"/>
    <w:rsid w:val="2B6462AA"/>
    <w:rsid w:val="2B7C6611"/>
    <w:rsid w:val="2B89158B"/>
    <w:rsid w:val="2BA77577"/>
    <w:rsid w:val="2BB63A55"/>
    <w:rsid w:val="2BC12856"/>
    <w:rsid w:val="2BDA43B6"/>
    <w:rsid w:val="2C2308F5"/>
    <w:rsid w:val="2C245848"/>
    <w:rsid w:val="2C2A7105"/>
    <w:rsid w:val="2C4D5776"/>
    <w:rsid w:val="2C8059D3"/>
    <w:rsid w:val="2C8205B2"/>
    <w:rsid w:val="2CAE50C0"/>
    <w:rsid w:val="2CB116C5"/>
    <w:rsid w:val="2CC07558"/>
    <w:rsid w:val="2CDB52BC"/>
    <w:rsid w:val="2CDC6606"/>
    <w:rsid w:val="2CE347F5"/>
    <w:rsid w:val="2CE76DBB"/>
    <w:rsid w:val="2D5272CE"/>
    <w:rsid w:val="2D7A094C"/>
    <w:rsid w:val="2D7F5826"/>
    <w:rsid w:val="2D8675D5"/>
    <w:rsid w:val="2DAC340C"/>
    <w:rsid w:val="2DD05402"/>
    <w:rsid w:val="2DD079F0"/>
    <w:rsid w:val="2DE01AC1"/>
    <w:rsid w:val="2DE8482B"/>
    <w:rsid w:val="2E073416"/>
    <w:rsid w:val="2E1714BA"/>
    <w:rsid w:val="2E2B69FA"/>
    <w:rsid w:val="2E483841"/>
    <w:rsid w:val="2E970597"/>
    <w:rsid w:val="2EC1610B"/>
    <w:rsid w:val="2EE2439A"/>
    <w:rsid w:val="2EEE6269"/>
    <w:rsid w:val="2F1B19A7"/>
    <w:rsid w:val="2F456376"/>
    <w:rsid w:val="2FA977B8"/>
    <w:rsid w:val="2FE2715D"/>
    <w:rsid w:val="300602BD"/>
    <w:rsid w:val="304453D7"/>
    <w:rsid w:val="30763737"/>
    <w:rsid w:val="30845264"/>
    <w:rsid w:val="309551FF"/>
    <w:rsid w:val="30A52762"/>
    <w:rsid w:val="30A63DA2"/>
    <w:rsid w:val="30D95398"/>
    <w:rsid w:val="30FD3154"/>
    <w:rsid w:val="31251676"/>
    <w:rsid w:val="313E277B"/>
    <w:rsid w:val="31762874"/>
    <w:rsid w:val="318E1D05"/>
    <w:rsid w:val="319A222E"/>
    <w:rsid w:val="31BF7178"/>
    <w:rsid w:val="31DC4F99"/>
    <w:rsid w:val="31F07B98"/>
    <w:rsid w:val="31FB3AF8"/>
    <w:rsid w:val="31FE0FED"/>
    <w:rsid w:val="32253026"/>
    <w:rsid w:val="32327494"/>
    <w:rsid w:val="325B2E67"/>
    <w:rsid w:val="33194891"/>
    <w:rsid w:val="331F1145"/>
    <w:rsid w:val="332600F7"/>
    <w:rsid w:val="332B1911"/>
    <w:rsid w:val="33716027"/>
    <w:rsid w:val="338875CD"/>
    <w:rsid w:val="33BD2CB3"/>
    <w:rsid w:val="33FF63C1"/>
    <w:rsid w:val="34391547"/>
    <w:rsid w:val="3445421B"/>
    <w:rsid w:val="344A752A"/>
    <w:rsid w:val="345948A7"/>
    <w:rsid w:val="34BF1939"/>
    <w:rsid w:val="35077242"/>
    <w:rsid w:val="35414F9A"/>
    <w:rsid w:val="35791A7E"/>
    <w:rsid w:val="35B76938"/>
    <w:rsid w:val="36022050"/>
    <w:rsid w:val="362238B9"/>
    <w:rsid w:val="36351658"/>
    <w:rsid w:val="3672131D"/>
    <w:rsid w:val="36962041"/>
    <w:rsid w:val="369B7545"/>
    <w:rsid w:val="36AA1B4B"/>
    <w:rsid w:val="36AC2507"/>
    <w:rsid w:val="36ED415B"/>
    <w:rsid w:val="371364A9"/>
    <w:rsid w:val="37367540"/>
    <w:rsid w:val="375776A8"/>
    <w:rsid w:val="379D3D3F"/>
    <w:rsid w:val="37AD4BEF"/>
    <w:rsid w:val="37AD7F10"/>
    <w:rsid w:val="37D9234D"/>
    <w:rsid w:val="380513F6"/>
    <w:rsid w:val="384224AB"/>
    <w:rsid w:val="385B1AFB"/>
    <w:rsid w:val="387E77DD"/>
    <w:rsid w:val="38855FEC"/>
    <w:rsid w:val="38CA2F0B"/>
    <w:rsid w:val="38CB562D"/>
    <w:rsid w:val="38E5268F"/>
    <w:rsid w:val="38EA7F64"/>
    <w:rsid w:val="38F17836"/>
    <w:rsid w:val="38FE02D6"/>
    <w:rsid w:val="390A73BB"/>
    <w:rsid w:val="393B0D9E"/>
    <w:rsid w:val="394605EB"/>
    <w:rsid w:val="398655A7"/>
    <w:rsid w:val="398B2875"/>
    <w:rsid w:val="399E4764"/>
    <w:rsid w:val="399F44F5"/>
    <w:rsid w:val="3A1A1132"/>
    <w:rsid w:val="3A2A32A7"/>
    <w:rsid w:val="3A3B421A"/>
    <w:rsid w:val="3A472C3A"/>
    <w:rsid w:val="3A623DA1"/>
    <w:rsid w:val="3A6A5A3D"/>
    <w:rsid w:val="3A73241D"/>
    <w:rsid w:val="3AE44D19"/>
    <w:rsid w:val="3B137A06"/>
    <w:rsid w:val="3B5A0A98"/>
    <w:rsid w:val="3B71083F"/>
    <w:rsid w:val="3BAA7714"/>
    <w:rsid w:val="3BDA518D"/>
    <w:rsid w:val="3BDD6D01"/>
    <w:rsid w:val="3BEF2764"/>
    <w:rsid w:val="3BF20122"/>
    <w:rsid w:val="3BF6170B"/>
    <w:rsid w:val="3C11610B"/>
    <w:rsid w:val="3C1B6D5E"/>
    <w:rsid w:val="3C426D4A"/>
    <w:rsid w:val="3C543388"/>
    <w:rsid w:val="3C660A70"/>
    <w:rsid w:val="3C7714F9"/>
    <w:rsid w:val="3CA03CA4"/>
    <w:rsid w:val="3CA43541"/>
    <w:rsid w:val="3D0948EA"/>
    <w:rsid w:val="3D1427E9"/>
    <w:rsid w:val="3D2D459D"/>
    <w:rsid w:val="3D7C2580"/>
    <w:rsid w:val="3DA3174C"/>
    <w:rsid w:val="3DB0167A"/>
    <w:rsid w:val="3DB63789"/>
    <w:rsid w:val="3DE06FAD"/>
    <w:rsid w:val="3E0C0CF0"/>
    <w:rsid w:val="3E383104"/>
    <w:rsid w:val="3E4511E4"/>
    <w:rsid w:val="3E4722F6"/>
    <w:rsid w:val="3E4C47C4"/>
    <w:rsid w:val="3E5475F4"/>
    <w:rsid w:val="3E8E2314"/>
    <w:rsid w:val="3E8F3327"/>
    <w:rsid w:val="3E934A0A"/>
    <w:rsid w:val="3EB63280"/>
    <w:rsid w:val="3EB76CCE"/>
    <w:rsid w:val="3ED426DC"/>
    <w:rsid w:val="3EF13CF2"/>
    <w:rsid w:val="3F294320"/>
    <w:rsid w:val="3F3D70C5"/>
    <w:rsid w:val="3F4D7388"/>
    <w:rsid w:val="3F4E079C"/>
    <w:rsid w:val="3F7955A4"/>
    <w:rsid w:val="3F7C3A8E"/>
    <w:rsid w:val="3FEE614F"/>
    <w:rsid w:val="40000966"/>
    <w:rsid w:val="40333953"/>
    <w:rsid w:val="406A7541"/>
    <w:rsid w:val="40786630"/>
    <w:rsid w:val="40B544E7"/>
    <w:rsid w:val="40FB3A0E"/>
    <w:rsid w:val="41241B65"/>
    <w:rsid w:val="41294CB0"/>
    <w:rsid w:val="41296DE8"/>
    <w:rsid w:val="413720E7"/>
    <w:rsid w:val="41395454"/>
    <w:rsid w:val="41BA53FC"/>
    <w:rsid w:val="41D675B5"/>
    <w:rsid w:val="41EC07ED"/>
    <w:rsid w:val="42A72268"/>
    <w:rsid w:val="42E155FC"/>
    <w:rsid w:val="42FB1C04"/>
    <w:rsid w:val="430C2195"/>
    <w:rsid w:val="43113F8B"/>
    <w:rsid w:val="4349187D"/>
    <w:rsid w:val="434B4E17"/>
    <w:rsid w:val="4371611C"/>
    <w:rsid w:val="439E3EE9"/>
    <w:rsid w:val="43A574AD"/>
    <w:rsid w:val="43B67074"/>
    <w:rsid w:val="43D73B85"/>
    <w:rsid w:val="44012E1F"/>
    <w:rsid w:val="443722AE"/>
    <w:rsid w:val="443E7D96"/>
    <w:rsid w:val="44621B35"/>
    <w:rsid w:val="446320AB"/>
    <w:rsid w:val="449568C5"/>
    <w:rsid w:val="44CD1BA7"/>
    <w:rsid w:val="44E17626"/>
    <w:rsid w:val="450166FC"/>
    <w:rsid w:val="452423FC"/>
    <w:rsid w:val="4528067B"/>
    <w:rsid w:val="45403A5A"/>
    <w:rsid w:val="45554D42"/>
    <w:rsid w:val="455B67EF"/>
    <w:rsid w:val="456274BC"/>
    <w:rsid w:val="45A02AD8"/>
    <w:rsid w:val="45B174B7"/>
    <w:rsid w:val="45E43DC5"/>
    <w:rsid w:val="45EE2578"/>
    <w:rsid w:val="45FA28B4"/>
    <w:rsid w:val="45FE7BF1"/>
    <w:rsid w:val="45FF1044"/>
    <w:rsid w:val="46242068"/>
    <w:rsid w:val="46282CE4"/>
    <w:rsid w:val="462E2050"/>
    <w:rsid w:val="46342994"/>
    <w:rsid w:val="4649064D"/>
    <w:rsid w:val="465324B9"/>
    <w:rsid w:val="466138D3"/>
    <w:rsid w:val="467D62CC"/>
    <w:rsid w:val="471219E9"/>
    <w:rsid w:val="473763C2"/>
    <w:rsid w:val="47411EF9"/>
    <w:rsid w:val="475F2A78"/>
    <w:rsid w:val="47671CAC"/>
    <w:rsid w:val="47767431"/>
    <w:rsid w:val="48157D9D"/>
    <w:rsid w:val="48556AEC"/>
    <w:rsid w:val="4862714D"/>
    <w:rsid w:val="488508FA"/>
    <w:rsid w:val="488806A5"/>
    <w:rsid w:val="48B120CB"/>
    <w:rsid w:val="48B15B50"/>
    <w:rsid w:val="48BD08D0"/>
    <w:rsid w:val="493947C7"/>
    <w:rsid w:val="49725D12"/>
    <w:rsid w:val="4A083E1D"/>
    <w:rsid w:val="4A2A5695"/>
    <w:rsid w:val="4A38723F"/>
    <w:rsid w:val="4A4F46B5"/>
    <w:rsid w:val="4A5600FF"/>
    <w:rsid w:val="4A662EB7"/>
    <w:rsid w:val="4AAD6EE0"/>
    <w:rsid w:val="4AE00499"/>
    <w:rsid w:val="4B0667C4"/>
    <w:rsid w:val="4B175199"/>
    <w:rsid w:val="4B202C78"/>
    <w:rsid w:val="4B630CA2"/>
    <w:rsid w:val="4B77497C"/>
    <w:rsid w:val="4BA45B14"/>
    <w:rsid w:val="4C05528C"/>
    <w:rsid w:val="4C090E76"/>
    <w:rsid w:val="4C1E359C"/>
    <w:rsid w:val="4C365945"/>
    <w:rsid w:val="4C5A12C5"/>
    <w:rsid w:val="4C703E5C"/>
    <w:rsid w:val="4C7D343A"/>
    <w:rsid w:val="4CBB7E29"/>
    <w:rsid w:val="4CBF4FB5"/>
    <w:rsid w:val="4CDF341A"/>
    <w:rsid w:val="4CE971A0"/>
    <w:rsid w:val="4D9A1304"/>
    <w:rsid w:val="4DE92791"/>
    <w:rsid w:val="4DEA5895"/>
    <w:rsid w:val="4DEE2CE8"/>
    <w:rsid w:val="4E1824CF"/>
    <w:rsid w:val="4E3D0B25"/>
    <w:rsid w:val="4E3F4403"/>
    <w:rsid w:val="4E50463A"/>
    <w:rsid w:val="4E505B1B"/>
    <w:rsid w:val="4E6C5F5A"/>
    <w:rsid w:val="4EB53514"/>
    <w:rsid w:val="4EBC235D"/>
    <w:rsid w:val="4ED445D2"/>
    <w:rsid w:val="4EF51B60"/>
    <w:rsid w:val="4F717EA3"/>
    <w:rsid w:val="4F7842BD"/>
    <w:rsid w:val="4F8E07CA"/>
    <w:rsid w:val="4F91541F"/>
    <w:rsid w:val="4FA53864"/>
    <w:rsid w:val="4FA632B7"/>
    <w:rsid w:val="4FBB4908"/>
    <w:rsid w:val="502A4485"/>
    <w:rsid w:val="506A6AEA"/>
    <w:rsid w:val="50725AFF"/>
    <w:rsid w:val="50B310AE"/>
    <w:rsid w:val="50BE2293"/>
    <w:rsid w:val="50C05020"/>
    <w:rsid w:val="50F45007"/>
    <w:rsid w:val="50FE66C7"/>
    <w:rsid w:val="513804D2"/>
    <w:rsid w:val="513A54E5"/>
    <w:rsid w:val="515521CF"/>
    <w:rsid w:val="51693876"/>
    <w:rsid w:val="51780579"/>
    <w:rsid w:val="51AC1067"/>
    <w:rsid w:val="51DB16D8"/>
    <w:rsid w:val="522003B6"/>
    <w:rsid w:val="522E4CDB"/>
    <w:rsid w:val="525F6C24"/>
    <w:rsid w:val="527A30F7"/>
    <w:rsid w:val="5294218F"/>
    <w:rsid w:val="52A3043D"/>
    <w:rsid w:val="52BA2875"/>
    <w:rsid w:val="52EA46CB"/>
    <w:rsid w:val="52F96D4A"/>
    <w:rsid w:val="53132E1C"/>
    <w:rsid w:val="531A3256"/>
    <w:rsid w:val="531C70A2"/>
    <w:rsid w:val="534D5126"/>
    <w:rsid w:val="539F000E"/>
    <w:rsid w:val="53A36685"/>
    <w:rsid w:val="53A52AEF"/>
    <w:rsid w:val="53C81FD1"/>
    <w:rsid w:val="53D25318"/>
    <w:rsid w:val="5425280A"/>
    <w:rsid w:val="543F42DB"/>
    <w:rsid w:val="545510F6"/>
    <w:rsid w:val="54BD7CE5"/>
    <w:rsid w:val="54D863CB"/>
    <w:rsid w:val="55566F8F"/>
    <w:rsid w:val="55663208"/>
    <w:rsid w:val="55AC22F1"/>
    <w:rsid w:val="56475021"/>
    <w:rsid w:val="564C772B"/>
    <w:rsid w:val="56891622"/>
    <w:rsid w:val="573524BC"/>
    <w:rsid w:val="576B413F"/>
    <w:rsid w:val="5774331A"/>
    <w:rsid w:val="57AA030B"/>
    <w:rsid w:val="57BF283F"/>
    <w:rsid w:val="57C37F22"/>
    <w:rsid w:val="57E840BB"/>
    <w:rsid w:val="581174EA"/>
    <w:rsid w:val="58130651"/>
    <w:rsid w:val="582006BF"/>
    <w:rsid w:val="582435F4"/>
    <w:rsid w:val="584D546B"/>
    <w:rsid w:val="585D0F6F"/>
    <w:rsid w:val="58B65F11"/>
    <w:rsid w:val="58EE5FE6"/>
    <w:rsid w:val="590F093A"/>
    <w:rsid w:val="59582820"/>
    <w:rsid w:val="59B542B7"/>
    <w:rsid w:val="59C83A10"/>
    <w:rsid w:val="5A183B58"/>
    <w:rsid w:val="5A3F5DF7"/>
    <w:rsid w:val="5A902807"/>
    <w:rsid w:val="5AB00998"/>
    <w:rsid w:val="5AE27512"/>
    <w:rsid w:val="5AE358C3"/>
    <w:rsid w:val="5B146992"/>
    <w:rsid w:val="5B165559"/>
    <w:rsid w:val="5B177971"/>
    <w:rsid w:val="5B31264D"/>
    <w:rsid w:val="5B71350E"/>
    <w:rsid w:val="5B790314"/>
    <w:rsid w:val="5B86309B"/>
    <w:rsid w:val="5BA75E2F"/>
    <w:rsid w:val="5BD70C4F"/>
    <w:rsid w:val="5BD803CA"/>
    <w:rsid w:val="5BE10E76"/>
    <w:rsid w:val="5BF52C82"/>
    <w:rsid w:val="5C1421DE"/>
    <w:rsid w:val="5C4C05B4"/>
    <w:rsid w:val="5C5A6408"/>
    <w:rsid w:val="5C5C2ADA"/>
    <w:rsid w:val="5C7663BD"/>
    <w:rsid w:val="5C9B4AE5"/>
    <w:rsid w:val="5CC7301F"/>
    <w:rsid w:val="5CF0151F"/>
    <w:rsid w:val="5CF14735"/>
    <w:rsid w:val="5CFA7110"/>
    <w:rsid w:val="5CFE7B41"/>
    <w:rsid w:val="5D470717"/>
    <w:rsid w:val="5D781B0C"/>
    <w:rsid w:val="5D884EE5"/>
    <w:rsid w:val="5D95420B"/>
    <w:rsid w:val="5DB94A07"/>
    <w:rsid w:val="5DBE3603"/>
    <w:rsid w:val="5DC3371A"/>
    <w:rsid w:val="5DED11A0"/>
    <w:rsid w:val="5DF83945"/>
    <w:rsid w:val="5E0953DB"/>
    <w:rsid w:val="5E1227FB"/>
    <w:rsid w:val="5E5436F9"/>
    <w:rsid w:val="5E5F0DE7"/>
    <w:rsid w:val="5E673B8F"/>
    <w:rsid w:val="5E9C25F4"/>
    <w:rsid w:val="5EB44F2C"/>
    <w:rsid w:val="5EC57AB9"/>
    <w:rsid w:val="5EC92704"/>
    <w:rsid w:val="5EE935D6"/>
    <w:rsid w:val="5F4A3B3C"/>
    <w:rsid w:val="5F4B0233"/>
    <w:rsid w:val="5F6D0154"/>
    <w:rsid w:val="5FEB5675"/>
    <w:rsid w:val="604F6C31"/>
    <w:rsid w:val="60716A87"/>
    <w:rsid w:val="60810078"/>
    <w:rsid w:val="609C066B"/>
    <w:rsid w:val="60AE7E03"/>
    <w:rsid w:val="60D8045B"/>
    <w:rsid w:val="61054B84"/>
    <w:rsid w:val="61196409"/>
    <w:rsid w:val="61287E34"/>
    <w:rsid w:val="61313A5A"/>
    <w:rsid w:val="61394B83"/>
    <w:rsid w:val="615D2A65"/>
    <w:rsid w:val="61667F37"/>
    <w:rsid w:val="61731635"/>
    <w:rsid w:val="61987448"/>
    <w:rsid w:val="61B7344E"/>
    <w:rsid w:val="61CD6428"/>
    <w:rsid w:val="61D932AC"/>
    <w:rsid w:val="61E46A00"/>
    <w:rsid w:val="62671222"/>
    <w:rsid w:val="62695172"/>
    <w:rsid w:val="62A74400"/>
    <w:rsid w:val="62BC6150"/>
    <w:rsid w:val="639E6289"/>
    <w:rsid w:val="63A07722"/>
    <w:rsid w:val="63C455CB"/>
    <w:rsid w:val="63CA47DB"/>
    <w:rsid w:val="641075C1"/>
    <w:rsid w:val="64451838"/>
    <w:rsid w:val="64534E30"/>
    <w:rsid w:val="64551A48"/>
    <w:rsid w:val="64593FA5"/>
    <w:rsid w:val="646E5F9F"/>
    <w:rsid w:val="64732B14"/>
    <w:rsid w:val="64991B6C"/>
    <w:rsid w:val="651E7E23"/>
    <w:rsid w:val="65230D39"/>
    <w:rsid w:val="65517366"/>
    <w:rsid w:val="65677293"/>
    <w:rsid w:val="6575720B"/>
    <w:rsid w:val="659D3498"/>
    <w:rsid w:val="65D33609"/>
    <w:rsid w:val="661D5F35"/>
    <w:rsid w:val="6644761E"/>
    <w:rsid w:val="66545865"/>
    <w:rsid w:val="6659390C"/>
    <w:rsid w:val="66653DF9"/>
    <w:rsid w:val="667B183C"/>
    <w:rsid w:val="66BD15C5"/>
    <w:rsid w:val="66F74B25"/>
    <w:rsid w:val="670275C3"/>
    <w:rsid w:val="673D0766"/>
    <w:rsid w:val="674555AD"/>
    <w:rsid w:val="675A4F8F"/>
    <w:rsid w:val="67A47296"/>
    <w:rsid w:val="67C13549"/>
    <w:rsid w:val="67FF5BC1"/>
    <w:rsid w:val="681B4B95"/>
    <w:rsid w:val="68440A0A"/>
    <w:rsid w:val="68AA66A2"/>
    <w:rsid w:val="68B643D1"/>
    <w:rsid w:val="68CB5C0E"/>
    <w:rsid w:val="68E64859"/>
    <w:rsid w:val="68FD1527"/>
    <w:rsid w:val="694A1A3C"/>
    <w:rsid w:val="69535DA5"/>
    <w:rsid w:val="69B10B4D"/>
    <w:rsid w:val="69E62759"/>
    <w:rsid w:val="6A4F2D58"/>
    <w:rsid w:val="6A517271"/>
    <w:rsid w:val="6A814161"/>
    <w:rsid w:val="6A83080E"/>
    <w:rsid w:val="6A830F86"/>
    <w:rsid w:val="6A876038"/>
    <w:rsid w:val="6A925D24"/>
    <w:rsid w:val="6A9A31A7"/>
    <w:rsid w:val="6ABB7C61"/>
    <w:rsid w:val="6AD40CDD"/>
    <w:rsid w:val="6AF07FDA"/>
    <w:rsid w:val="6AFB52FA"/>
    <w:rsid w:val="6B0E6078"/>
    <w:rsid w:val="6B2F7D93"/>
    <w:rsid w:val="6B3502F7"/>
    <w:rsid w:val="6B7C15C1"/>
    <w:rsid w:val="6B7E3999"/>
    <w:rsid w:val="6B832E51"/>
    <w:rsid w:val="6BFA4D8F"/>
    <w:rsid w:val="6C0A2388"/>
    <w:rsid w:val="6C220C64"/>
    <w:rsid w:val="6C2F1FA9"/>
    <w:rsid w:val="6C8A6E15"/>
    <w:rsid w:val="6C9F0260"/>
    <w:rsid w:val="6CA75330"/>
    <w:rsid w:val="6CB37E7F"/>
    <w:rsid w:val="6CC3791E"/>
    <w:rsid w:val="6CF33429"/>
    <w:rsid w:val="6CFD033C"/>
    <w:rsid w:val="6D167C9F"/>
    <w:rsid w:val="6D177915"/>
    <w:rsid w:val="6D484A7B"/>
    <w:rsid w:val="6D836174"/>
    <w:rsid w:val="6D8D2B4F"/>
    <w:rsid w:val="6DBE4F48"/>
    <w:rsid w:val="6E100008"/>
    <w:rsid w:val="6E1E05ED"/>
    <w:rsid w:val="6E2A1941"/>
    <w:rsid w:val="6E9E1726"/>
    <w:rsid w:val="6EB46BF2"/>
    <w:rsid w:val="6EB50EF9"/>
    <w:rsid w:val="6EC3568F"/>
    <w:rsid w:val="6EEC1D7E"/>
    <w:rsid w:val="6EF203BC"/>
    <w:rsid w:val="6F02148F"/>
    <w:rsid w:val="6F2165D1"/>
    <w:rsid w:val="6F38376B"/>
    <w:rsid w:val="6F6C3363"/>
    <w:rsid w:val="70003F9E"/>
    <w:rsid w:val="706527A7"/>
    <w:rsid w:val="708100FB"/>
    <w:rsid w:val="70930294"/>
    <w:rsid w:val="70A85EA2"/>
    <w:rsid w:val="70FA0021"/>
    <w:rsid w:val="71253504"/>
    <w:rsid w:val="7148395C"/>
    <w:rsid w:val="71723291"/>
    <w:rsid w:val="71C57072"/>
    <w:rsid w:val="71F335F5"/>
    <w:rsid w:val="71FD0351"/>
    <w:rsid w:val="72001B41"/>
    <w:rsid w:val="720B416D"/>
    <w:rsid w:val="724216C1"/>
    <w:rsid w:val="72424ECB"/>
    <w:rsid w:val="724B069B"/>
    <w:rsid w:val="727950D7"/>
    <w:rsid w:val="72A9701C"/>
    <w:rsid w:val="72F32D7A"/>
    <w:rsid w:val="72FD2365"/>
    <w:rsid w:val="73194CD7"/>
    <w:rsid w:val="732037E1"/>
    <w:rsid w:val="73637761"/>
    <w:rsid w:val="738C16E3"/>
    <w:rsid w:val="7396188C"/>
    <w:rsid w:val="73AE6EDF"/>
    <w:rsid w:val="73C5619C"/>
    <w:rsid w:val="73DD4C8C"/>
    <w:rsid w:val="74211C16"/>
    <w:rsid w:val="742A08C1"/>
    <w:rsid w:val="743477D0"/>
    <w:rsid w:val="743626A9"/>
    <w:rsid w:val="743E7E29"/>
    <w:rsid w:val="74CA256A"/>
    <w:rsid w:val="74DD0860"/>
    <w:rsid w:val="75236F19"/>
    <w:rsid w:val="7566773A"/>
    <w:rsid w:val="759E18A1"/>
    <w:rsid w:val="759F4541"/>
    <w:rsid w:val="75C95F53"/>
    <w:rsid w:val="75CB0B4B"/>
    <w:rsid w:val="762937A7"/>
    <w:rsid w:val="76EA1328"/>
    <w:rsid w:val="76F53351"/>
    <w:rsid w:val="774C7F2C"/>
    <w:rsid w:val="77811976"/>
    <w:rsid w:val="77A05F86"/>
    <w:rsid w:val="77E60304"/>
    <w:rsid w:val="78460573"/>
    <w:rsid w:val="7894184E"/>
    <w:rsid w:val="78AB74D9"/>
    <w:rsid w:val="78EB6256"/>
    <w:rsid w:val="792773D3"/>
    <w:rsid w:val="79683E50"/>
    <w:rsid w:val="79A21E87"/>
    <w:rsid w:val="79A712C6"/>
    <w:rsid w:val="79F37750"/>
    <w:rsid w:val="7A141C26"/>
    <w:rsid w:val="7A386114"/>
    <w:rsid w:val="7A4975F7"/>
    <w:rsid w:val="7A89324A"/>
    <w:rsid w:val="7A9F22D9"/>
    <w:rsid w:val="7AEF5872"/>
    <w:rsid w:val="7AFF41CC"/>
    <w:rsid w:val="7B1513CC"/>
    <w:rsid w:val="7B5542F2"/>
    <w:rsid w:val="7B593E70"/>
    <w:rsid w:val="7B6044B0"/>
    <w:rsid w:val="7B7B6819"/>
    <w:rsid w:val="7B9879CD"/>
    <w:rsid w:val="7BDB444A"/>
    <w:rsid w:val="7BE163D0"/>
    <w:rsid w:val="7C144223"/>
    <w:rsid w:val="7C1A22F7"/>
    <w:rsid w:val="7C2958E9"/>
    <w:rsid w:val="7C427E84"/>
    <w:rsid w:val="7C4D491C"/>
    <w:rsid w:val="7C677009"/>
    <w:rsid w:val="7C6B2957"/>
    <w:rsid w:val="7C922F1F"/>
    <w:rsid w:val="7CC94FD5"/>
    <w:rsid w:val="7CE210CD"/>
    <w:rsid w:val="7CF1659C"/>
    <w:rsid w:val="7CF51201"/>
    <w:rsid w:val="7CFC51A0"/>
    <w:rsid w:val="7D2734BF"/>
    <w:rsid w:val="7D2F6EB0"/>
    <w:rsid w:val="7D5529BC"/>
    <w:rsid w:val="7D5D2E11"/>
    <w:rsid w:val="7D996D3C"/>
    <w:rsid w:val="7DAE7110"/>
    <w:rsid w:val="7DEF4917"/>
    <w:rsid w:val="7E015AF4"/>
    <w:rsid w:val="7E2E248A"/>
    <w:rsid w:val="7E2F11FB"/>
    <w:rsid w:val="7E381253"/>
    <w:rsid w:val="7E492F4B"/>
    <w:rsid w:val="7E4C0545"/>
    <w:rsid w:val="7E5B1F2E"/>
    <w:rsid w:val="7E7669A6"/>
    <w:rsid w:val="7E7B67D9"/>
    <w:rsid w:val="7E977422"/>
    <w:rsid w:val="7EE00FF6"/>
    <w:rsid w:val="7F4C4509"/>
    <w:rsid w:val="7F8B63CA"/>
    <w:rsid w:val="7F9A6B00"/>
    <w:rsid w:val="7FB1346E"/>
    <w:rsid w:val="7FE90BE9"/>
    <w:rsid w:val="7FEB6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58"/>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15"/>
    <w:qFormat/>
    <w:uiPriority w:val="0"/>
    <w:pPr>
      <w:keepNext/>
      <w:keepLines/>
      <w:spacing w:before="260" w:after="260" w:line="416" w:lineRule="auto"/>
      <w:outlineLvl w:val="1"/>
    </w:pPr>
    <w:rPr>
      <w:rFonts w:ascii="Wingdings" w:hAnsi="Wingdings" w:eastAsia="文鼎CS中黑"/>
      <w:b/>
      <w:bCs/>
      <w:sz w:val="32"/>
      <w:szCs w:val="32"/>
    </w:rPr>
  </w:style>
  <w:style w:type="paragraph" w:styleId="4">
    <w:name w:val="heading 3"/>
    <w:basedOn w:val="1"/>
    <w:next w:val="5"/>
    <w:link w:val="60"/>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5"/>
    <w:qFormat/>
    <w:uiPriority w:val="0"/>
    <w:pPr>
      <w:keepNext/>
      <w:keepLines/>
      <w:spacing w:before="280" w:after="290" w:line="376" w:lineRule="auto"/>
      <w:outlineLvl w:val="3"/>
    </w:pPr>
    <w:rPr>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73"/>
    <w:qFormat/>
    <w:uiPriority w:val="0"/>
    <w:pPr>
      <w:autoSpaceDE w:val="0"/>
      <w:autoSpaceDN w:val="0"/>
      <w:adjustRightInd w:val="0"/>
      <w:ind w:firstLine="420"/>
    </w:pPr>
    <w:rPr>
      <w:rFonts w:hAnsi="Times New Roman" w:cs="Times New Roman"/>
    </w:rPr>
  </w:style>
  <w:style w:type="paragraph" w:styleId="6">
    <w:name w:val="toc 4"/>
    <w:basedOn w:val="1"/>
    <w:next w:val="1"/>
    <w:semiHidden/>
    <w:unhideWhenUsed/>
    <w:qFormat/>
    <w:uiPriority w:val="39"/>
    <w:pPr>
      <w:ind w:left="720"/>
    </w:pPr>
    <w:rPr>
      <w:rFonts w:asciiTheme="minorHAnsi" w:hAnsiTheme="minorHAnsi" w:cstheme="minorHAnsi"/>
      <w:sz w:val="20"/>
      <w:szCs w:val="20"/>
    </w:rPr>
  </w:style>
  <w:style w:type="paragraph" w:styleId="8">
    <w:name w:val="toc 7"/>
    <w:basedOn w:val="1"/>
    <w:next w:val="1"/>
    <w:semiHidden/>
    <w:unhideWhenUsed/>
    <w:qFormat/>
    <w:uiPriority w:val="39"/>
    <w:pPr>
      <w:ind w:left="1440"/>
    </w:pPr>
    <w:rPr>
      <w:rFonts w:asciiTheme="minorHAnsi" w:hAnsiTheme="minorHAnsi" w:cstheme="minorHAnsi"/>
      <w:sz w:val="20"/>
      <w:szCs w:val="20"/>
    </w:rPr>
  </w:style>
  <w:style w:type="paragraph" w:styleId="9">
    <w:name w:val="annotation text"/>
    <w:basedOn w:val="1"/>
    <w:link w:val="57"/>
    <w:qFormat/>
    <w:uiPriority w:val="0"/>
    <w:rPr>
      <w:rFonts w:ascii="Arial" w:hAnsi="Arial" w:eastAsia="黑体" w:cs="Arial"/>
    </w:rPr>
  </w:style>
  <w:style w:type="paragraph" w:styleId="10">
    <w:name w:val="Salutation"/>
    <w:basedOn w:val="1"/>
    <w:next w:val="1"/>
    <w:link w:val="116"/>
    <w:qFormat/>
    <w:uiPriority w:val="0"/>
  </w:style>
  <w:style w:type="paragraph" w:styleId="11">
    <w:name w:val="Body Text"/>
    <w:basedOn w:val="1"/>
    <w:next w:val="1"/>
    <w:link w:val="117"/>
    <w:qFormat/>
    <w:uiPriority w:val="0"/>
    <w:pPr>
      <w:spacing w:line="360" w:lineRule="auto"/>
    </w:pPr>
    <w:rPr>
      <w:sz w:val="28"/>
    </w:rPr>
  </w:style>
  <w:style w:type="paragraph" w:styleId="12">
    <w:name w:val="Body Text Indent"/>
    <w:basedOn w:val="1"/>
    <w:link w:val="118"/>
    <w:qFormat/>
    <w:uiPriority w:val="0"/>
    <w:pPr>
      <w:adjustRightInd w:val="0"/>
      <w:snapToGrid w:val="0"/>
      <w:spacing w:line="360" w:lineRule="auto"/>
      <w:ind w:firstLine="420" w:firstLineChars="200"/>
    </w:pPr>
  </w:style>
  <w:style w:type="paragraph" w:styleId="13">
    <w:name w:val="toc 5"/>
    <w:basedOn w:val="1"/>
    <w:next w:val="1"/>
    <w:semiHidden/>
    <w:unhideWhenUsed/>
    <w:qFormat/>
    <w:uiPriority w:val="39"/>
    <w:pPr>
      <w:ind w:left="960"/>
    </w:pPr>
    <w:rPr>
      <w:rFonts w:asciiTheme="minorHAnsi" w:hAnsiTheme="minorHAnsi" w:cstheme="minorHAnsi"/>
      <w:sz w:val="20"/>
      <w:szCs w:val="20"/>
    </w:rPr>
  </w:style>
  <w:style w:type="paragraph" w:styleId="14">
    <w:name w:val="toc 3"/>
    <w:basedOn w:val="1"/>
    <w:next w:val="1"/>
    <w:unhideWhenUsed/>
    <w:qFormat/>
    <w:uiPriority w:val="39"/>
    <w:pPr>
      <w:ind w:left="480"/>
    </w:pPr>
    <w:rPr>
      <w:rFonts w:asciiTheme="minorHAnsi" w:hAnsiTheme="minorHAnsi" w:cstheme="minorHAnsi"/>
      <w:sz w:val="20"/>
      <w:szCs w:val="20"/>
    </w:rPr>
  </w:style>
  <w:style w:type="paragraph" w:styleId="15">
    <w:name w:val="Plain Text"/>
    <w:basedOn w:val="1"/>
    <w:link w:val="48"/>
    <w:qFormat/>
    <w:uiPriority w:val="99"/>
    <w:rPr>
      <w:rFonts w:hAnsi="Courier New" w:eastAsiaTheme="minorEastAsia" w:cstheme="minorBidi"/>
      <w:szCs w:val="22"/>
    </w:rPr>
  </w:style>
  <w:style w:type="paragraph" w:styleId="16">
    <w:name w:val="toc 8"/>
    <w:basedOn w:val="1"/>
    <w:next w:val="1"/>
    <w:semiHidden/>
    <w:unhideWhenUsed/>
    <w:qFormat/>
    <w:uiPriority w:val="39"/>
    <w:pPr>
      <w:ind w:left="1680"/>
    </w:pPr>
    <w:rPr>
      <w:rFonts w:asciiTheme="minorHAnsi" w:hAnsiTheme="minorHAnsi" w:cstheme="minorHAnsi"/>
      <w:sz w:val="20"/>
      <w:szCs w:val="20"/>
    </w:rPr>
  </w:style>
  <w:style w:type="paragraph" w:styleId="17">
    <w:name w:val="Date"/>
    <w:basedOn w:val="1"/>
    <w:next w:val="1"/>
    <w:link w:val="54"/>
    <w:qFormat/>
    <w:uiPriority w:val="0"/>
    <w:rPr>
      <w:rFonts w:ascii="Arial" w:hAnsi="Arial" w:cs="Arial"/>
      <w:b/>
      <w:sz w:val="28"/>
    </w:rPr>
  </w:style>
  <w:style w:type="paragraph" w:styleId="18">
    <w:name w:val="Balloon Text"/>
    <w:basedOn w:val="1"/>
    <w:link w:val="42"/>
    <w:semiHidden/>
    <w:unhideWhenUsed/>
    <w:qFormat/>
    <w:uiPriority w:val="99"/>
    <w:rPr>
      <w:sz w:val="18"/>
      <w:szCs w:val="18"/>
    </w:rPr>
  </w:style>
  <w:style w:type="paragraph" w:styleId="19">
    <w:name w:val="footer"/>
    <w:basedOn w:val="1"/>
    <w:link w:val="47"/>
    <w:unhideWhenUsed/>
    <w:qFormat/>
    <w:uiPriority w:val="99"/>
    <w:pPr>
      <w:tabs>
        <w:tab w:val="center" w:pos="4153"/>
        <w:tab w:val="right" w:pos="8306"/>
      </w:tabs>
      <w:snapToGrid w:val="0"/>
    </w:pPr>
    <w:rPr>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240" w:after="120"/>
    </w:pPr>
    <w:rPr>
      <w:rFonts w:asciiTheme="minorHAnsi" w:hAnsiTheme="minorHAnsi" w:cstheme="minorHAnsi"/>
      <w:b/>
      <w:bCs/>
      <w:sz w:val="20"/>
      <w:szCs w:val="20"/>
    </w:rPr>
  </w:style>
  <w:style w:type="paragraph" w:styleId="22">
    <w:name w:val="toc 6"/>
    <w:basedOn w:val="1"/>
    <w:next w:val="1"/>
    <w:semiHidden/>
    <w:unhideWhenUsed/>
    <w:qFormat/>
    <w:uiPriority w:val="39"/>
    <w:pPr>
      <w:ind w:left="1200"/>
    </w:pPr>
    <w:rPr>
      <w:rFonts w:asciiTheme="minorHAnsi" w:hAnsiTheme="minorHAnsi" w:cstheme="minorHAnsi"/>
      <w:sz w:val="20"/>
      <w:szCs w:val="20"/>
    </w:rPr>
  </w:style>
  <w:style w:type="paragraph" w:styleId="23">
    <w:name w:val="Body Text Indent 3"/>
    <w:basedOn w:val="1"/>
    <w:link w:val="119"/>
    <w:qFormat/>
    <w:uiPriority w:val="99"/>
    <w:pPr>
      <w:adjustRightInd w:val="0"/>
      <w:snapToGrid w:val="0"/>
      <w:spacing w:line="360" w:lineRule="auto"/>
      <w:ind w:firstLine="560" w:firstLineChars="200"/>
    </w:pPr>
    <w:rPr>
      <w:rFonts w:ascii="Courier New" w:hAnsi="Courier New"/>
      <w:sz w:val="28"/>
    </w:rPr>
  </w:style>
  <w:style w:type="paragraph" w:styleId="24">
    <w:name w:val="toc 2"/>
    <w:basedOn w:val="1"/>
    <w:next w:val="1"/>
    <w:unhideWhenUsed/>
    <w:qFormat/>
    <w:uiPriority w:val="39"/>
    <w:pPr>
      <w:spacing w:before="120"/>
      <w:ind w:left="240"/>
    </w:pPr>
    <w:rPr>
      <w:rFonts w:asciiTheme="minorHAnsi" w:hAnsiTheme="minorHAnsi" w:cstheme="minorHAnsi"/>
      <w:i/>
      <w:iCs/>
      <w:sz w:val="20"/>
      <w:szCs w:val="20"/>
    </w:rPr>
  </w:style>
  <w:style w:type="paragraph" w:styleId="25">
    <w:name w:val="toc 9"/>
    <w:basedOn w:val="1"/>
    <w:next w:val="1"/>
    <w:semiHidden/>
    <w:unhideWhenUsed/>
    <w:qFormat/>
    <w:uiPriority w:val="39"/>
    <w:pPr>
      <w:ind w:left="1920"/>
    </w:pPr>
    <w:rPr>
      <w:rFonts w:asciiTheme="minorHAnsi" w:hAnsiTheme="minorHAnsi" w:cstheme="minorHAnsi"/>
      <w:sz w:val="20"/>
      <w:szCs w:val="20"/>
    </w:rPr>
  </w:style>
  <w:style w:type="paragraph" w:styleId="26">
    <w:name w:val="Body Text 2"/>
    <w:basedOn w:val="1"/>
    <w:link w:val="120"/>
    <w:qFormat/>
    <w:uiPriority w:val="0"/>
    <w:pPr>
      <w:spacing w:after="120" w:line="480" w:lineRule="auto"/>
    </w:p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8">
    <w:name w:val="Normal (Web)"/>
    <w:basedOn w:val="1"/>
    <w:qFormat/>
    <w:uiPriority w:val="99"/>
    <w:pPr>
      <w:spacing w:before="100" w:beforeAutospacing="1" w:after="100" w:afterAutospacing="1"/>
    </w:pPr>
    <w:rPr>
      <w:rFonts w:ascii="Courier New" w:hAnsi="Courier New"/>
      <w:color w:val="000000"/>
    </w:rPr>
  </w:style>
  <w:style w:type="paragraph" w:styleId="29">
    <w:name w:val="index 1"/>
    <w:basedOn w:val="1"/>
    <w:next w:val="1"/>
    <w:qFormat/>
    <w:uiPriority w:val="0"/>
    <w:pPr>
      <w:jc w:val="center"/>
    </w:pPr>
    <w:rPr>
      <w:rFonts w:ascii="Arial" w:hAnsi="Arial" w:eastAsia="Arial" w:cs="Arial"/>
      <w:b/>
      <w:bCs/>
      <w:sz w:val="28"/>
    </w:rPr>
  </w:style>
  <w:style w:type="paragraph" w:styleId="30">
    <w:name w:val="annotation subject"/>
    <w:basedOn w:val="9"/>
    <w:next w:val="9"/>
    <w:link w:val="75"/>
    <w:semiHidden/>
    <w:unhideWhenUsed/>
    <w:qFormat/>
    <w:uiPriority w:val="99"/>
    <w:rPr>
      <w:rFonts w:ascii="@仿宋_GB2312" w:hAnsi="@仿宋_GB2312" w:eastAsia="@仿宋_GB2312" w:cs="@仿宋_GB2312"/>
      <w:b/>
      <w:bCs/>
    </w:rPr>
  </w:style>
  <w:style w:type="paragraph" w:styleId="31">
    <w:name w:val="Body Text First Indent"/>
    <w:basedOn w:val="11"/>
    <w:link w:val="121"/>
    <w:qFormat/>
    <w:uiPriority w:val="0"/>
    <w:pPr>
      <w:spacing w:after="120" w:line="240" w:lineRule="auto"/>
      <w:ind w:firstLine="420" w:firstLineChars="100"/>
    </w:pPr>
    <w:rPr>
      <w:rFonts w:ascii="Times New Roman" w:hAnsi="Times New Roman"/>
      <w:sz w:val="21"/>
    </w:rPr>
  </w:style>
  <w:style w:type="paragraph" w:styleId="32">
    <w:name w:val="Body Text First Indent 2"/>
    <w:basedOn w:val="12"/>
    <w:link w:val="122"/>
    <w:qFormat/>
    <w:uiPriority w:val="0"/>
    <w:pPr>
      <w:adjustRightInd/>
      <w:snapToGrid/>
      <w:spacing w:after="120" w:line="240" w:lineRule="auto"/>
      <w:ind w:left="420" w:leftChars="200"/>
    </w:pPr>
  </w:style>
  <w:style w:type="table" w:styleId="34">
    <w:name w:val="Table Grid"/>
    <w:basedOn w:val="3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rPr>
  </w:style>
  <w:style w:type="character" w:styleId="37">
    <w:name w:val="FollowedHyperlink"/>
    <w:basedOn w:val="35"/>
    <w:semiHidden/>
    <w:unhideWhenUsed/>
    <w:qFormat/>
    <w:uiPriority w:val="99"/>
    <w:rPr>
      <w:color w:val="800080"/>
      <w:u w:val="single"/>
    </w:rPr>
  </w:style>
  <w:style w:type="character" w:styleId="38">
    <w:name w:val="Hyperlink"/>
    <w:basedOn w:val="35"/>
    <w:unhideWhenUsed/>
    <w:qFormat/>
    <w:uiPriority w:val="99"/>
    <w:rPr>
      <w:color w:val="0000FF" w:themeColor="hyperlink"/>
      <w:u w:val="single"/>
    </w:rPr>
  </w:style>
  <w:style w:type="character" w:styleId="39">
    <w:name w:val="annotation reference"/>
    <w:qFormat/>
    <w:uiPriority w:val="0"/>
    <w:rPr>
      <w:sz w:val="21"/>
      <w:szCs w:val="21"/>
    </w:rPr>
  </w:style>
  <w:style w:type="paragraph" w:customStyle="1" w:styleId="40">
    <w:name w:val="Plain Text1"/>
    <w:basedOn w:val="1"/>
    <w:qFormat/>
    <w:uiPriority w:val="99"/>
    <w:rPr>
      <w:rFonts w:hAnsi="Courier New" w:cs="Courier New"/>
      <w:szCs w:val="21"/>
    </w:rPr>
  </w:style>
  <w:style w:type="paragraph" w:styleId="41">
    <w:name w:val="List Paragraph"/>
    <w:basedOn w:val="1"/>
    <w:qFormat/>
    <w:uiPriority w:val="34"/>
    <w:pPr>
      <w:ind w:firstLine="420" w:firstLineChars="200"/>
    </w:pPr>
  </w:style>
  <w:style w:type="character" w:customStyle="1" w:styleId="42">
    <w:name w:val="批注框文本 Char"/>
    <w:basedOn w:val="35"/>
    <w:link w:val="18"/>
    <w:semiHidden/>
    <w:qFormat/>
    <w:uiPriority w:val="99"/>
    <w:rPr>
      <w:rFonts w:ascii="@仿宋_GB2312" w:hAnsi="@仿宋_GB2312" w:eastAsia="@仿宋_GB2312" w:cs="@仿宋_GB2312"/>
      <w:sz w:val="18"/>
      <w:szCs w:val="18"/>
    </w:rPr>
  </w:style>
  <w:style w:type="paragraph" w:customStyle="1" w:styleId="43">
    <w:name w:val="正文（缩进）"/>
    <w:basedOn w:val="1"/>
    <w:qFormat/>
    <w:uiPriority w:val="0"/>
    <w:pPr>
      <w:spacing w:before="156" w:after="156"/>
      <w:ind w:firstLine="480" w:firstLineChars="200"/>
    </w:pPr>
  </w:style>
  <w:style w:type="paragraph" w:customStyle="1" w:styleId="44">
    <w:name w:val="xl31"/>
    <w:basedOn w:val="1"/>
    <w:qFormat/>
    <w:uiPriority w:val="0"/>
    <w:pPr>
      <w:spacing w:before="100" w:beforeAutospacing="1" w:after="100" w:afterAutospacing="1"/>
      <w:jc w:val="center"/>
    </w:pPr>
    <w:rPr>
      <w:b/>
      <w:bCs/>
      <w:sz w:val="28"/>
      <w:szCs w:val="28"/>
    </w:rPr>
  </w:style>
  <w:style w:type="paragraph" w:customStyle="1" w:styleId="45">
    <w:name w:val="D&amp;L"/>
    <w:basedOn w:val="20"/>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46">
    <w:name w:val="页眉 Char"/>
    <w:basedOn w:val="35"/>
    <w:link w:val="20"/>
    <w:qFormat/>
    <w:uiPriority w:val="99"/>
    <w:rPr>
      <w:rFonts w:ascii="@仿宋_GB2312" w:hAnsi="@仿宋_GB2312" w:eastAsia="@仿宋_GB2312" w:cs="@仿宋_GB2312"/>
      <w:sz w:val="18"/>
      <w:szCs w:val="18"/>
    </w:rPr>
  </w:style>
  <w:style w:type="character" w:customStyle="1" w:styleId="47">
    <w:name w:val="页脚 Char"/>
    <w:basedOn w:val="35"/>
    <w:link w:val="19"/>
    <w:qFormat/>
    <w:uiPriority w:val="99"/>
    <w:rPr>
      <w:rFonts w:ascii="@仿宋_GB2312" w:hAnsi="@仿宋_GB2312" w:eastAsia="@仿宋_GB2312" w:cs="@仿宋_GB2312"/>
      <w:sz w:val="18"/>
      <w:szCs w:val="18"/>
    </w:rPr>
  </w:style>
  <w:style w:type="character" w:customStyle="1" w:styleId="48">
    <w:name w:val="纯文本 Char"/>
    <w:link w:val="15"/>
    <w:qFormat/>
    <w:uiPriority w:val="99"/>
    <w:rPr>
      <w:rFonts w:ascii="宋体" w:hAnsi="Courier New"/>
    </w:rPr>
  </w:style>
  <w:style w:type="character" w:customStyle="1" w:styleId="49">
    <w:name w:val="纯文本 字符1"/>
    <w:basedOn w:val="35"/>
    <w:semiHidden/>
    <w:qFormat/>
    <w:uiPriority w:val="99"/>
    <w:rPr>
      <w:rFonts w:hAnsi="Courier New" w:cs="Courier New" w:asciiTheme="minorEastAsia"/>
      <w:szCs w:val="20"/>
    </w:rPr>
  </w:style>
  <w:style w:type="character" w:customStyle="1" w:styleId="50">
    <w:name w:val="未处理的提及1"/>
    <w:basedOn w:val="35"/>
    <w:semiHidden/>
    <w:unhideWhenUsed/>
    <w:qFormat/>
    <w:uiPriority w:val="99"/>
    <w:rPr>
      <w:color w:val="605E5C"/>
      <w:shd w:val="clear" w:color="auto" w:fill="E1DFDD"/>
    </w:rPr>
  </w:style>
  <w:style w:type="paragraph" w:customStyle="1" w:styleId="51">
    <w:name w:val="Char Char Char Char Char Char Char1 Char"/>
    <w:basedOn w:val="1"/>
    <w:qFormat/>
    <w:uiPriority w:val="0"/>
    <w:rPr>
      <w:rFonts w:ascii="Arial" w:hAnsi="Arial" w:cs="Arial"/>
    </w:rPr>
  </w:style>
  <w:style w:type="table" w:customStyle="1" w:styleId="52">
    <w:name w:val="网格表 1 浅色1"/>
    <w:basedOn w:val="3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35"/>
    <w:semiHidden/>
    <w:qFormat/>
    <w:uiPriority w:val="99"/>
    <w:rPr>
      <w:rFonts w:ascii="@仿宋_GB2312" w:hAnsi="@仿宋_GB2312" w:eastAsia="@仿宋_GB2312" w:cs="@仿宋_GB2312"/>
      <w:szCs w:val="20"/>
    </w:rPr>
  </w:style>
  <w:style w:type="character" w:customStyle="1" w:styleId="54">
    <w:name w:val="日期 Char"/>
    <w:link w:val="17"/>
    <w:qFormat/>
    <w:uiPriority w:val="0"/>
    <w:rPr>
      <w:rFonts w:ascii="Arial" w:hAnsi="Arial" w:eastAsia="宋体" w:cs="Arial"/>
      <w:b/>
      <w:sz w:val="28"/>
      <w:szCs w:val="20"/>
    </w:rPr>
  </w:style>
  <w:style w:type="character" w:customStyle="1" w:styleId="55">
    <w:name w:val="纯文本 Char1"/>
    <w:qFormat/>
    <w:locked/>
    <w:uiPriority w:val="99"/>
    <w:rPr>
      <w:rFonts w:ascii="Arial" w:hAnsi="Arial" w:eastAsia="Arial"/>
      <w:kern w:val="2"/>
      <w:sz w:val="21"/>
      <w:lang w:val="en-US" w:eastAsia="zh-CN" w:bidi="ar-SA"/>
    </w:rPr>
  </w:style>
  <w:style w:type="character" w:customStyle="1" w:styleId="56">
    <w:name w:val="批注文字 Char"/>
    <w:basedOn w:val="35"/>
    <w:semiHidden/>
    <w:qFormat/>
    <w:uiPriority w:val="99"/>
    <w:rPr>
      <w:rFonts w:ascii="@仿宋_GB2312" w:hAnsi="@仿宋_GB2312" w:eastAsia="@仿宋_GB2312" w:cs="@仿宋_GB2312"/>
      <w:szCs w:val="20"/>
    </w:rPr>
  </w:style>
  <w:style w:type="character" w:customStyle="1" w:styleId="57">
    <w:name w:val="批注文字 Char1"/>
    <w:link w:val="9"/>
    <w:qFormat/>
    <w:uiPriority w:val="0"/>
    <w:rPr>
      <w:rFonts w:ascii="Arial" w:hAnsi="Arial" w:eastAsia="黑体" w:cs="Arial"/>
      <w:szCs w:val="20"/>
    </w:rPr>
  </w:style>
  <w:style w:type="character" w:customStyle="1" w:styleId="58">
    <w:name w:val="标题 1 Char"/>
    <w:basedOn w:val="35"/>
    <w:link w:val="3"/>
    <w:qFormat/>
    <w:uiPriority w:val="9"/>
    <w:rPr>
      <w:rFonts w:ascii="@仿宋_GB2312" w:hAnsi="@仿宋_GB2312" w:eastAsia="@仿宋_GB2312" w:cs="@仿宋_GB2312"/>
      <w:b/>
      <w:bCs/>
      <w:kern w:val="44"/>
      <w:sz w:val="44"/>
      <w:szCs w:val="44"/>
    </w:rPr>
  </w:style>
  <w:style w:type="paragraph" w:customStyle="1" w:styleId="59">
    <w:name w:val="TOC 标题1"/>
    <w:basedOn w:val="3"/>
    <w:next w:val="1"/>
    <w:semiHidden/>
    <w:unhideWhenUsed/>
    <w:qFormat/>
    <w:uiPriority w:val="39"/>
    <w:pPr>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character" w:customStyle="1" w:styleId="60">
    <w:name w:val="标题 3 Char"/>
    <w:basedOn w:val="35"/>
    <w:link w:val="4"/>
    <w:qFormat/>
    <w:uiPriority w:val="9"/>
    <w:rPr>
      <w:rFonts w:ascii="@仿宋_GB2312" w:hAnsi="@仿宋_GB2312" w:eastAsia="@仿宋_GB2312" w:cs="@仿宋_GB2312"/>
      <w:b/>
      <w:bCs/>
      <w:sz w:val="32"/>
      <w:szCs w:val="32"/>
    </w:rPr>
  </w:style>
  <w:style w:type="character" w:customStyle="1" w:styleId="61">
    <w:name w:val="fontstyle01"/>
    <w:basedOn w:val="35"/>
    <w:qFormat/>
    <w:uiPriority w:val="0"/>
    <w:rPr>
      <w:rFonts w:hint="eastAsia" w:ascii="宋体" w:hAnsi="宋体" w:eastAsia="宋体"/>
      <w:color w:val="000000"/>
      <w:sz w:val="22"/>
      <w:szCs w:val="22"/>
    </w:rPr>
  </w:style>
  <w:style w:type="character" w:customStyle="1" w:styleId="62">
    <w:name w:val="fontstyle21"/>
    <w:basedOn w:val="35"/>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35"/>
    <w:semiHidden/>
    <w:qFormat/>
    <w:uiPriority w:val="9"/>
    <w:rPr>
      <w:rFonts w:asciiTheme="majorHAnsi" w:hAnsiTheme="majorHAnsi" w:eastAsiaTheme="majorEastAsia" w:cstheme="majorBidi"/>
      <w:b/>
      <w:bCs/>
      <w:sz w:val="28"/>
      <w:szCs w:val="28"/>
    </w:rPr>
  </w:style>
  <w:style w:type="character" w:customStyle="1" w:styleId="65">
    <w:name w:val="标题 4 Char1"/>
    <w:link w:val="7"/>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序号 字符"/>
    <w:link w:val="69"/>
    <w:qFormat/>
    <w:uiPriority w:val="0"/>
    <w:rPr>
      <w:rFonts w:eastAsia="黑体"/>
      <w:b/>
    </w:rPr>
  </w:style>
  <w:style w:type="paragraph" w:customStyle="1" w:styleId="69">
    <w:name w:val="序号"/>
    <w:basedOn w:val="70"/>
    <w:link w:val="68"/>
    <w:qFormat/>
    <w:uiPriority w:val="0"/>
    <w:rPr>
      <w:rFonts w:eastAsia="黑体"/>
      <w:b/>
    </w:rPr>
  </w:style>
  <w:style w:type="paragraph" w:customStyle="1" w:styleId="70">
    <w:name w:val="章节内容"/>
    <w:basedOn w:val="1"/>
    <w:qFormat/>
    <w:uiPriority w:val="0"/>
    <w:pPr>
      <w:shd w:val="clear" w:color="auto" w:fill="FFFFFF"/>
    </w:pPr>
  </w:style>
  <w:style w:type="paragraph" w:customStyle="1" w:styleId="71">
    <w:name w:val="表格文字"/>
    <w:basedOn w:val="1"/>
    <w:qFormat/>
    <w:uiPriority w:val="0"/>
    <w:pPr>
      <w:spacing w:before="25" w:after="25"/>
    </w:pPr>
    <w:rPr>
      <w:bCs/>
      <w:spacing w:val="10"/>
    </w:rPr>
  </w:style>
  <w:style w:type="paragraph" w:customStyle="1" w:styleId="72">
    <w:name w:val="图"/>
    <w:basedOn w:val="1"/>
    <w:qFormat/>
    <w:uiPriority w:val="0"/>
    <w:pPr>
      <w:keepNext/>
      <w:adjustRightInd w:val="0"/>
      <w:spacing w:before="60" w:after="60" w:line="300" w:lineRule="auto"/>
      <w:jc w:val="center"/>
      <w:textAlignment w:val="center"/>
    </w:pPr>
    <w:rPr>
      <w:snapToGrid w:val="0"/>
      <w:spacing w:val="20"/>
    </w:rPr>
  </w:style>
  <w:style w:type="character" w:customStyle="1" w:styleId="73">
    <w:name w:val="正文缩进 Char"/>
    <w:link w:val="5"/>
    <w:qFormat/>
    <w:uiPriority w:val="0"/>
    <w:rPr>
      <w:rFonts w:ascii="宋体"/>
      <w:sz w:val="24"/>
    </w:rPr>
  </w:style>
  <w:style w:type="character" w:customStyle="1" w:styleId="74">
    <w:name w:val="Unresolved Mention"/>
    <w:basedOn w:val="35"/>
    <w:semiHidden/>
    <w:unhideWhenUsed/>
    <w:qFormat/>
    <w:uiPriority w:val="99"/>
    <w:rPr>
      <w:color w:val="605E5C"/>
      <w:shd w:val="clear" w:color="auto" w:fill="E1DFDD"/>
    </w:rPr>
  </w:style>
  <w:style w:type="character" w:customStyle="1" w:styleId="75">
    <w:name w:val="批注主题 Char"/>
    <w:basedOn w:val="57"/>
    <w:link w:val="30"/>
    <w:semiHidden/>
    <w:qFormat/>
    <w:uiPriority w:val="99"/>
    <w:rPr>
      <w:rFonts w:ascii="@仿宋_GB2312" w:hAnsi="@仿宋_GB2312" w:eastAsia="@仿宋_GB2312" w:cs="@仿宋_GB2312"/>
      <w:b/>
      <w:bCs/>
      <w:kern w:val="2"/>
      <w:sz w:val="21"/>
      <w:szCs w:val="20"/>
    </w:rPr>
  </w:style>
  <w:style w:type="paragraph" w:customStyle="1" w:styleId="76">
    <w:name w:val="修订1"/>
    <w:hidden/>
    <w:semiHidden/>
    <w:qFormat/>
    <w:uiPriority w:val="99"/>
    <w:rPr>
      <w:rFonts w:ascii="@仿宋_GB2312" w:hAnsi="@仿宋_GB2312" w:eastAsia="@仿宋_GB2312" w:cs="@仿宋_GB2312"/>
      <w:kern w:val="2"/>
      <w:sz w:val="21"/>
      <w:lang w:val="en-US" w:eastAsia="zh-CN" w:bidi="ar-SA"/>
    </w:rPr>
  </w:style>
  <w:style w:type="table" w:customStyle="1" w:styleId="77">
    <w:name w:val="网格型2"/>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TableGrid"/>
    <w:qFormat/>
    <w:uiPriority w:val="0"/>
    <w:rPr>
      <w:rFonts w:asciiTheme="minorHAnsi" w:hAnsiTheme="minorHAnsi" w:eastAsiaTheme="minorEastAsia" w:cstheme="minorBidi"/>
      <w:kern w:val="2"/>
      <w:sz w:val="21"/>
      <w:szCs w:val="24"/>
    </w:rPr>
    <w:tblPr>
      <w:tblCellMar>
        <w:top w:w="0" w:type="dxa"/>
        <w:left w:w="0" w:type="dxa"/>
        <w:bottom w:w="0" w:type="dxa"/>
        <w:right w:w="0" w:type="dxa"/>
      </w:tblCellMar>
    </w:tblPr>
  </w:style>
  <w:style w:type="paragraph" w:customStyle="1" w:styleId="79">
    <w:name w:val="Default"/>
    <w:next w:val="8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Char Char10 Char Char Char Char"/>
    <w:basedOn w:val="1"/>
    <w:next w:val="1"/>
    <w:qFormat/>
    <w:uiPriority w:val="0"/>
    <w:rPr>
      <w:rFonts w:ascii="Calibri" w:hAnsi="Calibri"/>
    </w:rPr>
  </w:style>
  <w:style w:type="paragraph" w:customStyle="1" w:styleId="81">
    <w:name w:val="msonormal"/>
    <w:basedOn w:val="1"/>
    <w:qFormat/>
    <w:uiPriority w:val="0"/>
    <w:pPr>
      <w:spacing w:before="100" w:beforeAutospacing="1" w:after="100" w:afterAutospacing="1"/>
    </w:pPr>
  </w:style>
  <w:style w:type="paragraph" w:customStyle="1" w:styleId="82">
    <w:name w:val="font5"/>
    <w:basedOn w:val="1"/>
    <w:qFormat/>
    <w:uiPriority w:val="0"/>
    <w:pPr>
      <w:spacing w:before="100" w:beforeAutospacing="1" w:after="100" w:afterAutospacing="1"/>
    </w:pPr>
    <w:rPr>
      <w:sz w:val="18"/>
      <w:szCs w:val="18"/>
    </w:rPr>
  </w:style>
  <w:style w:type="paragraph" w:customStyle="1" w:styleId="8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84">
    <w:name w:val="xl6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style>
  <w:style w:type="paragraph" w:customStyle="1" w:styleId="8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sz w:val="20"/>
      <w:szCs w:val="20"/>
    </w:rPr>
  </w:style>
  <w:style w:type="paragraph" w:customStyle="1" w:styleId="8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sz w:val="20"/>
      <w:szCs w:val="20"/>
    </w:rPr>
  </w:style>
  <w:style w:type="paragraph" w:customStyle="1" w:styleId="8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88">
    <w:name w:val="xl6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style>
  <w:style w:type="paragraph" w:customStyle="1" w:styleId="89">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90">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0"/>
      <w:szCs w:val="20"/>
    </w:rPr>
  </w:style>
  <w:style w:type="paragraph" w:customStyle="1" w:styleId="91">
    <w:name w:val="xl7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sz w:val="20"/>
      <w:szCs w:val="20"/>
    </w:rPr>
  </w:style>
  <w:style w:type="paragraph" w:customStyle="1" w:styleId="92">
    <w:name w:val="xl72"/>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bottom"/>
    </w:pPr>
    <w:rPr>
      <w:sz w:val="28"/>
      <w:szCs w:val="28"/>
    </w:rPr>
  </w:style>
  <w:style w:type="paragraph" w:customStyle="1" w:styleId="93">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sz w:val="20"/>
      <w:szCs w:val="20"/>
    </w:rPr>
  </w:style>
  <w:style w:type="paragraph" w:customStyle="1" w:styleId="94">
    <w:name w:val="xl7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bottom"/>
    </w:pPr>
    <w:rPr>
      <w:sz w:val="20"/>
      <w:szCs w:val="20"/>
    </w:rPr>
  </w:style>
  <w:style w:type="paragraph" w:customStyle="1" w:styleId="95">
    <w:name w:val="xl75"/>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bottom"/>
    </w:pPr>
    <w:rPr>
      <w:sz w:val="20"/>
      <w:szCs w:val="20"/>
    </w:rPr>
  </w:style>
  <w:style w:type="paragraph" w:customStyle="1" w:styleId="96">
    <w:name w:val="xl76"/>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style>
  <w:style w:type="paragraph" w:customStyle="1" w:styleId="97">
    <w:name w:val="xl77"/>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bottom"/>
    </w:pPr>
    <w:rPr>
      <w:sz w:val="20"/>
      <w:szCs w:val="20"/>
    </w:rPr>
  </w:style>
  <w:style w:type="paragraph" w:customStyle="1" w:styleId="98">
    <w:name w:val="xl78"/>
    <w:basedOn w:val="1"/>
    <w:qFormat/>
    <w:uiPriority w:val="0"/>
    <w:pPr>
      <w:pBdr>
        <w:top w:val="single" w:color="auto" w:sz="4" w:space="0"/>
        <w:left w:val="single" w:color="auto" w:sz="4" w:space="0"/>
        <w:bottom w:val="single" w:color="auto" w:sz="4" w:space="0"/>
      </w:pBdr>
      <w:spacing w:before="100" w:beforeAutospacing="1" w:after="100" w:afterAutospacing="1"/>
      <w:textAlignment w:val="bottom"/>
    </w:pPr>
    <w:rPr>
      <w:sz w:val="20"/>
      <w:szCs w:val="20"/>
    </w:rPr>
  </w:style>
  <w:style w:type="paragraph" w:customStyle="1" w:styleId="99">
    <w:name w:val="xl79"/>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textAlignment w:val="bottom"/>
    </w:pPr>
    <w:rPr>
      <w:sz w:val="20"/>
      <w:szCs w:val="20"/>
    </w:rPr>
  </w:style>
  <w:style w:type="paragraph" w:customStyle="1" w:styleId="100">
    <w:name w:val="xl80"/>
    <w:basedOn w:val="1"/>
    <w:qFormat/>
    <w:uiPriority w:val="0"/>
    <w:pPr>
      <w:pBdr>
        <w:top w:val="single" w:color="auto" w:sz="4" w:space="0"/>
        <w:bottom w:val="single" w:color="auto" w:sz="4" w:space="0"/>
        <w:right w:val="single" w:color="auto" w:sz="8" w:space="0"/>
      </w:pBdr>
      <w:spacing w:before="100" w:beforeAutospacing="1" w:after="100" w:afterAutospacing="1"/>
      <w:textAlignment w:val="bottom"/>
    </w:pPr>
    <w:rPr>
      <w:sz w:val="20"/>
      <w:szCs w:val="20"/>
    </w:rPr>
  </w:style>
  <w:style w:type="paragraph" w:customStyle="1" w:styleId="101">
    <w:name w:val="xl8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bottom"/>
    </w:pPr>
    <w:rPr>
      <w:sz w:val="20"/>
      <w:szCs w:val="20"/>
    </w:rPr>
  </w:style>
  <w:style w:type="paragraph" w:customStyle="1" w:styleId="102">
    <w:name w:val="xl8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bottom"/>
    </w:pPr>
    <w:rPr>
      <w:sz w:val="20"/>
      <w:szCs w:val="20"/>
    </w:rPr>
  </w:style>
  <w:style w:type="paragraph" w:customStyle="1" w:styleId="103">
    <w:name w:val="xl8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style>
  <w:style w:type="paragraph" w:customStyle="1" w:styleId="104">
    <w:name w:val="xl84"/>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style>
  <w:style w:type="paragraph" w:customStyle="1" w:styleId="105">
    <w:name w:val="xl85"/>
    <w:basedOn w:val="1"/>
    <w:qFormat/>
    <w:uiPriority w:val="0"/>
    <w:pPr>
      <w:pBdr>
        <w:top w:val="single" w:color="auto" w:sz="4" w:space="0"/>
        <w:left w:val="single" w:color="auto" w:sz="4" w:space="0"/>
        <w:bottom w:val="single" w:color="auto" w:sz="4" w:space="0"/>
      </w:pBdr>
      <w:spacing w:before="100" w:beforeAutospacing="1" w:after="100" w:afterAutospacing="1"/>
    </w:pPr>
  </w:style>
  <w:style w:type="paragraph" w:customStyle="1" w:styleId="106">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sz w:val="20"/>
      <w:szCs w:val="20"/>
    </w:rPr>
  </w:style>
  <w:style w:type="paragraph" w:customStyle="1" w:styleId="107">
    <w:name w:val="xl87"/>
    <w:basedOn w:val="1"/>
    <w:qFormat/>
    <w:uiPriority w:val="0"/>
    <w:pPr>
      <w:spacing w:before="100" w:beforeAutospacing="1" w:after="100" w:afterAutospacing="1"/>
      <w:jc w:val="center"/>
    </w:pPr>
    <w:rPr>
      <w:b/>
      <w:bCs/>
      <w:sz w:val="40"/>
      <w:szCs w:val="40"/>
    </w:rPr>
  </w:style>
  <w:style w:type="paragraph" w:customStyle="1" w:styleId="108">
    <w:name w:val="xl88"/>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109">
    <w:name w:val="xl89"/>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bottom"/>
    </w:pPr>
    <w:rPr>
      <w:sz w:val="28"/>
      <w:szCs w:val="28"/>
    </w:rPr>
  </w:style>
  <w:style w:type="paragraph" w:customStyle="1" w:styleId="110">
    <w:name w:val="xl90"/>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bottom"/>
    </w:pPr>
    <w:rPr>
      <w:sz w:val="28"/>
      <w:szCs w:val="28"/>
    </w:rPr>
  </w:style>
  <w:style w:type="paragraph" w:customStyle="1" w:styleId="111">
    <w:name w:val="xl91"/>
    <w:basedOn w:val="1"/>
    <w:qFormat/>
    <w:uiPriority w:val="0"/>
    <w:pPr>
      <w:spacing w:before="100" w:beforeAutospacing="1" w:after="100" w:afterAutospacing="1"/>
      <w:textAlignment w:val="top"/>
    </w:pPr>
  </w:style>
  <w:style w:type="paragraph" w:customStyle="1" w:styleId="112">
    <w:name w:val="xl92"/>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style>
  <w:style w:type="paragraph" w:customStyle="1" w:styleId="113">
    <w:name w:val="TOC 标题2"/>
    <w:basedOn w:val="3"/>
    <w:next w:val="1"/>
    <w:unhideWhenUsed/>
    <w:qFormat/>
    <w:uiPriority w:val="39"/>
    <w:pPr>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paragraph" w:customStyle="1" w:styleId="114">
    <w:name w:val="Default Text"/>
    <w:basedOn w:val="1"/>
    <w:qFormat/>
    <w:uiPriority w:val="0"/>
    <w:pPr>
      <w:overflowPunct w:val="0"/>
      <w:autoSpaceDE w:val="0"/>
      <w:autoSpaceDN w:val="0"/>
      <w:adjustRightInd w:val="0"/>
      <w:textAlignment w:val="baseline"/>
    </w:pPr>
    <w:rPr>
      <w:rFonts w:ascii="Times New Roman" w:hAnsi="Times New Roman" w:cs="Times New Roman"/>
      <w:szCs w:val="20"/>
    </w:rPr>
  </w:style>
  <w:style w:type="character" w:customStyle="1" w:styleId="115">
    <w:name w:val="标题 2 Char"/>
    <w:basedOn w:val="35"/>
    <w:link w:val="2"/>
    <w:qFormat/>
    <w:uiPriority w:val="0"/>
    <w:rPr>
      <w:rFonts w:ascii="Wingdings" w:hAnsi="Wingdings" w:eastAsia="文鼎CS中黑" w:cs="宋体"/>
      <w:b/>
      <w:bCs/>
      <w:sz w:val="32"/>
      <w:szCs w:val="32"/>
    </w:rPr>
  </w:style>
  <w:style w:type="character" w:customStyle="1" w:styleId="116">
    <w:name w:val="称呼 Char"/>
    <w:basedOn w:val="35"/>
    <w:link w:val="10"/>
    <w:qFormat/>
    <w:uiPriority w:val="0"/>
    <w:rPr>
      <w:rFonts w:ascii="宋体" w:hAnsi="宋体" w:cs="宋体"/>
      <w:sz w:val="24"/>
      <w:szCs w:val="24"/>
    </w:rPr>
  </w:style>
  <w:style w:type="character" w:customStyle="1" w:styleId="117">
    <w:name w:val="正文文本 Char"/>
    <w:basedOn w:val="35"/>
    <w:link w:val="11"/>
    <w:qFormat/>
    <w:uiPriority w:val="0"/>
    <w:rPr>
      <w:rFonts w:ascii="宋体" w:hAnsi="宋体" w:cs="宋体"/>
      <w:sz w:val="28"/>
      <w:szCs w:val="24"/>
    </w:rPr>
  </w:style>
  <w:style w:type="character" w:customStyle="1" w:styleId="118">
    <w:name w:val="正文文本缩进 Char"/>
    <w:basedOn w:val="35"/>
    <w:link w:val="12"/>
    <w:qFormat/>
    <w:uiPriority w:val="0"/>
    <w:rPr>
      <w:rFonts w:ascii="宋体" w:hAnsi="宋体" w:cs="宋体"/>
      <w:sz w:val="24"/>
      <w:szCs w:val="24"/>
    </w:rPr>
  </w:style>
  <w:style w:type="character" w:customStyle="1" w:styleId="119">
    <w:name w:val="正文文本缩进 3 Char"/>
    <w:basedOn w:val="35"/>
    <w:link w:val="23"/>
    <w:qFormat/>
    <w:uiPriority w:val="99"/>
    <w:rPr>
      <w:rFonts w:ascii="Courier New" w:hAnsi="Courier New" w:cs="宋体"/>
      <w:sz w:val="28"/>
      <w:szCs w:val="24"/>
    </w:rPr>
  </w:style>
  <w:style w:type="character" w:customStyle="1" w:styleId="120">
    <w:name w:val="正文文本 2 Char"/>
    <w:basedOn w:val="35"/>
    <w:link w:val="26"/>
    <w:qFormat/>
    <w:uiPriority w:val="0"/>
    <w:rPr>
      <w:rFonts w:ascii="宋体" w:hAnsi="宋体" w:cs="宋体"/>
      <w:sz w:val="24"/>
      <w:szCs w:val="24"/>
    </w:rPr>
  </w:style>
  <w:style w:type="character" w:customStyle="1" w:styleId="121">
    <w:name w:val="正文首行缩进 Char"/>
    <w:basedOn w:val="117"/>
    <w:link w:val="31"/>
    <w:qFormat/>
    <w:uiPriority w:val="0"/>
    <w:rPr>
      <w:rFonts w:ascii="宋体" w:hAnsi="宋体" w:cs="宋体"/>
      <w:sz w:val="21"/>
      <w:szCs w:val="24"/>
    </w:rPr>
  </w:style>
  <w:style w:type="character" w:customStyle="1" w:styleId="122">
    <w:name w:val="正文首行缩进 2 Char"/>
    <w:basedOn w:val="118"/>
    <w:link w:val="32"/>
    <w:qFormat/>
    <w:uiPriority w:val="0"/>
    <w:rPr>
      <w:rFonts w:ascii="宋体" w:hAnsi="宋体" w:cs="宋体"/>
      <w:sz w:val="24"/>
      <w:szCs w:val="24"/>
    </w:rPr>
  </w:style>
  <w:style w:type="character" w:customStyle="1" w:styleId="123">
    <w:name w:val="font01"/>
    <w:basedOn w:val="35"/>
    <w:qFormat/>
    <w:uiPriority w:val="0"/>
    <w:rPr>
      <w:rFonts w:hint="eastAsia" w:ascii="宋体" w:hAnsi="宋体" w:eastAsia="宋体" w:cs="宋体"/>
      <w:color w:val="000000"/>
      <w:sz w:val="18"/>
      <w:szCs w:val="18"/>
      <w:u w:val="none"/>
    </w:rPr>
  </w:style>
  <w:style w:type="paragraph" w:customStyle="1" w:styleId="124">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 w:type="paragraph" w:customStyle="1" w:styleId="12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F4A387-EA9C-4DEF-B1AC-AFB8AB18841B}">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82</Pages>
  <Words>42038</Words>
  <Characters>44619</Characters>
  <Lines>54</Lines>
  <Paragraphs>100</Paragraphs>
  <TotalTime>1</TotalTime>
  <ScaleCrop>false</ScaleCrop>
  <LinksUpToDate>false</LinksUpToDate>
  <CharactersWithSpaces>45294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2020-06-30T11:16:00Z</dcterms:created>
  <dc:creator>Anakin</dc:creator>
  <cp:lastModifiedBy>Administrator</cp:lastModifiedBy>
  <cp:lastPrinted>2022-01-11T11:45:00Z</cp:lastPrinted>
  <dcterms:modified xsi:type="dcterms:W3CDTF">2022-10-06T08:03:27Z</dcterms:modified>
  <cp:revision>2042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260BC0243C6246EA84C8919B6B5DC13C</vt:lpwstr>
  </property>
</Properties>
</file>