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sz w:val="32"/>
          <w:szCs w:val="32"/>
          <w:highlight w:val="none"/>
        </w:rPr>
      </w:pPr>
    </w:p>
    <w:p>
      <w:pPr>
        <w:pStyle w:val="8"/>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Theme="majorEastAsia" w:hAnsiTheme="majorEastAsia" w:eastAsiaTheme="majorEastAsia" w:cstheme="majorEastAsia"/>
          <w:b/>
          <w:bCs/>
          <w:sz w:val="52"/>
          <w:szCs w:val="52"/>
          <w:highlight w:val="none"/>
          <w:lang w:eastAsia="zh-CN"/>
        </w:rPr>
        <w:t>新疆智慧旅游一期建设项目网络安全等保测评采购项目</w:t>
      </w:r>
    </w:p>
    <w:p>
      <w:pPr>
        <w:pStyle w:val="19"/>
        <w:rPr>
          <w:rFonts w:hint="eastAsia" w:asciiTheme="majorEastAsia" w:hAnsiTheme="majorEastAsia" w:eastAsiaTheme="majorEastAsia" w:cstheme="majorEastAsia"/>
          <w:b/>
          <w:bCs/>
          <w:sz w:val="56"/>
          <w:szCs w:val="56"/>
          <w:highlight w:val="none"/>
        </w:rPr>
      </w:pPr>
    </w:p>
    <w:p>
      <w:pPr>
        <w:pStyle w:val="19"/>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19"/>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pStyle w:val="7"/>
        <w:ind w:left="0" w:leftChars="0" w:firstLine="0" w:firstLineChars="0"/>
        <w:jc w:val="center"/>
        <w:rPr>
          <w:rFonts w:hint="eastAsia" w:ascii="宋体" w:hAnsi="宋体" w:eastAsia="宋体" w:cs="宋体"/>
          <w:highlight w:val="none"/>
          <w:lang w:eastAsia="zh-CN"/>
        </w:rPr>
      </w:pPr>
      <w:r>
        <w:rPr>
          <w:rFonts w:hint="eastAsia"/>
          <w:sz w:val="28"/>
          <w:szCs w:val="28"/>
          <w:highlight w:val="none"/>
        </w:rPr>
        <w:t>项目编号：</w:t>
      </w:r>
      <w:r>
        <w:rPr>
          <w:rFonts w:hint="eastAsia"/>
          <w:sz w:val="28"/>
          <w:szCs w:val="28"/>
          <w:highlight w:val="none"/>
          <w:lang w:eastAsia="zh-CN"/>
        </w:rPr>
        <w:t>XJTZY2022-1-C0050</w:t>
      </w: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1056" w:leftChars="503" w:firstLine="0" w:firstLineChars="0"/>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lang w:eastAsia="zh-CN"/>
        </w:rPr>
        <w:t>采</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购</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人</w:t>
      </w:r>
      <w:r>
        <w:rPr>
          <w:rFonts w:hint="eastAsia" w:ascii="宋体" w:hAnsi="宋体" w:eastAsia="宋体" w:cs="宋体"/>
          <w:b/>
          <w:bCs/>
          <w:sz w:val="28"/>
          <w:szCs w:val="28"/>
          <w:highlight w:val="none"/>
        </w:rPr>
        <w:t>：</w:t>
      </w:r>
      <w:r>
        <w:rPr>
          <w:rFonts w:hint="eastAsia" w:ascii="宋体" w:hAnsi="宋体" w:cs="宋体"/>
          <w:b/>
          <w:bCs/>
          <w:color w:val="000000"/>
          <w:sz w:val="32"/>
          <w:szCs w:val="32"/>
          <w:highlight w:val="none"/>
          <w:u w:val="none"/>
          <w:lang w:eastAsia="zh-CN"/>
        </w:rPr>
        <w:t>新疆维吾尔自治区旅游宣传推广中心</w:t>
      </w:r>
      <w:r>
        <w:rPr>
          <w:rFonts w:hint="eastAsia" w:ascii="宋体" w:hAnsi="宋体" w:eastAsia="宋体" w:cs="宋体"/>
          <w:b/>
          <w:bCs/>
          <w:sz w:val="28"/>
          <w:szCs w:val="28"/>
          <w:highlight w:val="none"/>
          <w:u w:val="none"/>
          <w:lang w:val="en-US" w:eastAsia="zh-CN"/>
        </w:rPr>
        <w:t xml:space="preserve"> </w:t>
      </w:r>
    </w:p>
    <w:p>
      <w:pPr>
        <w:pStyle w:val="7"/>
        <w:ind w:left="1056" w:leftChars="503" w:firstLine="0" w:firstLineChars="0"/>
        <w:rPr>
          <w:rFonts w:hint="default"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人：郭俊儒</w:t>
      </w:r>
    </w:p>
    <w:p>
      <w:pPr>
        <w:ind w:left="1056" w:leftChars="503" w:firstLine="0" w:firstLineChars="0"/>
        <w:outlineLvl w:val="9"/>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地        址：乌鲁木齐市金银路143号</w:t>
      </w:r>
    </w:p>
    <w:p>
      <w:pPr>
        <w:ind w:left="1056" w:leftChars="503" w:firstLine="0" w:firstLineChars="0"/>
        <w:outlineLvl w:val="9"/>
        <w:rPr>
          <w:rFonts w:hint="default"/>
          <w:sz w:val="20"/>
          <w:szCs w:val="21"/>
          <w:lang w:val="en-US" w:eastAsia="zh-CN"/>
        </w:rPr>
      </w:pPr>
    </w:p>
    <w:p>
      <w:pPr>
        <w:outlineLvl w:val="9"/>
        <w:rPr>
          <w:rFonts w:hint="default"/>
          <w:lang w:val="en-US" w:eastAsia="zh-CN"/>
        </w:rPr>
      </w:pPr>
    </w:p>
    <w:p>
      <w:pPr>
        <w:spacing w:line="360" w:lineRule="auto"/>
        <w:ind w:left="1056" w:leftChars="503" w:firstLine="0" w:firstLineChars="0"/>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eastAsia="zh-CN"/>
        </w:rPr>
        <w:t>采购</w:t>
      </w:r>
      <w:r>
        <w:rPr>
          <w:rFonts w:hint="eastAsia" w:ascii="宋体" w:hAnsi="宋体" w:eastAsia="宋体" w:cs="宋体"/>
          <w:b/>
          <w:bCs/>
          <w:sz w:val="28"/>
          <w:szCs w:val="28"/>
          <w:highlight w:val="none"/>
          <w:u w:val="none"/>
        </w:rPr>
        <w:t>代理机构：</w:t>
      </w:r>
      <w:r>
        <w:rPr>
          <w:rFonts w:hint="eastAsia" w:ascii="宋体" w:hAnsi="宋体" w:cs="宋体"/>
          <w:b/>
          <w:bCs/>
          <w:sz w:val="28"/>
          <w:szCs w:val="28"/>
          <w:highlight w:val="none"/>
          <w:u w:val="none"/>
          <w:lang w:eastAsia="zh-CN"/>
        </w:rPr>
        <w:t>新疆天之源项目管理集团有限公司</w:t>
      </w:r>
      <w:r>
        <w:rPr>
          <w:rFonts w:hint="eastAsia" w:ascii="宋体" w:hAnsi="宋体" w:eastAsia="宋体" w:cs="宋体"/>
          <w:b/>
          <w:bCs/>
          <w:sz w:val="28"/>
          <w:szCs w:val="28"/>
          <w:highlight w:val="none"/>
          <w:u w:val="none"/>
        </w:rPr>
        <w:t xml:space="preserve">  </w:t>
      </w:r>
    </w:p>
    <w:p>
      <w:pPr>
        <w:pStyle w:val="7"/>
        <w:ind w:left="1056" w:leftChars="503" w:firstLine="0" w:firstLineChars="0"/>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人：李飞</w:t>
      </w:r>
    </w:p>
    <w:p>
      <w:pPr>
        <w:ind w:left="1056" w:leftChars="503" w:firstLine="0" w:firstLineChars="0"/>
        <w:outlineLvl w:val="9"/>
        <w:rPr>
          <w:rFonts w:hint="eastAsia"/>
          <w:sz w:val="20"/>
          <w:szCs w:val="21"/>
        </w:rPr>
      </w:pPr>
      <w:r>
        <w:rPr>
          <w:rFonts w:hint="eastAsia" w:ascii="宋体" w:hAnsi="宋体" w:cs="宋体"/>
          <w:b/>
          <w:bCs/>
          <w:sz w:val="28"/>
          <w:szCs w:val="28"/>
          <w:highlight w:val="none"/>
          <w:u w:val="none"/>
          <w:lang w:val="en-US" w:eastAsia="zh-CN"/>
        </w:rPr>
        <w:t>地        址：乌鲁木齐市水磨沟区龙盛街2799号浙商大厦11楼</w:t>
      </w:r>
    </w:p>
    <w:p>
      <w:pPr>
        <w:spacing w:line="360" w:lineRule="auto"/>
        <w:ind w:left="1056" w:leftChars="503" w:firstLine="0" w:firstLineChars="0"/>
        <w:jc w:val="center"/>
        <w:rPr>
          <w:rFonts w:hint="eastAsia" w:ascii="宋体" w:hAnsi="宋体" w:eastAsia="宋体" w:cs="宋体"/>
          <w:b/>
          <w:bCs/>
          <w:sz w:val="28"/>
          <w:szCs w:val="28"/>
          <w:highlight w:val="none"/>
          <w:u w:val="none"/>
          <w:lang w:val="en-US" w:eastAsia="zh-CN"/>
        </w:rPr>
      </w:pPr>
    </w:p>
    <w:p>
      <w:pPr>
        <w:spacing w:line="360" w:lineRule="auto"/>
        <w:ind w:left="1056" w:leftChars="503" w:firstLine="0" w:firstLineChars="0"/>
        <w:jc w:val="center"/>
        <w:rPr>
          <w:rFonts w:hint="eastAsia" w:ascii="宋体" w:hAnsi="宋体" w:eastAsia="宋体" w:cs="宋体"/>
          <w:szCs w:val="21"/>
          <w:highlight w:val="none"/>
          <w:u w:val="none"/>
        </w:rPr>
      </w:pPr>
      <w:r>
        <w:rPr>
          <w:rFonts w:hint="eastAsia" w:ascii="宋体" w:hAnsi="宋体" w:eastAsia="宋体" w:cs="宋体"/>
          <w:b/>
          <w:bCs/>
          <w:sz w:val="28"/>
          <w:szCs w:val="28"/>
          <w:highlight w:val="none"/>
          <w:u w:val="none"/>
          <w:lang w:val="en-US" w:eastAsia="zh-CN"/>
        </w:rPr>
        <w:t>202</w:t>
      </w:r>
      <w:r>
        <w:rPr>
          <w:rFonts w:hint="eastAsia" w:ascii="宋体" w:hAnsi="宋体" w:cs="宋体"/>
          <w:b/>
          <w:bCs/>
          <w:sz w:val="28"/>
          <w:szCs w:val="28"/>
          <w:highlight w:val="none"/>
          <w:u w:val="none"/>
          <w:lang w:val="en-US" w:eastAsia="zh-CN"/>
        </w:rPr>
        <w:t>2</w:t>
      </w:r>
      <w:r>
        <w:rPr>
          <w:rFonts w:hint="eastAsia" w:ascii="宋体" w:hAnsi="宋体" w:eastAsia="宋体" w:cs="宋体"/>
          <w:b/>
          <w:bCs/>
          <w:sz w:val="28"/>
          <w:szCs w:val="28"/>
          <w:highlight w:val="none"/>
          <w:u w:val="none"/>
          <w:lang w:val="en-US" w:eastAsia="zh-CN"/>
        </w:rPr>
        <w:t>年</w:t>
      </w:r>
      <w:r>
        <w:rPr>
          <w:rFonts w:hint="eastAsia" w:ascii="宋体" w:hAnsi="宋体" w:cs="宋体"/>
          <w:b/>
          <w:bCs/>
          <w:sz w:val="28"/>
          <w:szCs w:val="28"/>
          <w:highlight w:val="none"/>
          <w:u w:val="none"/>
          <w:lang w:val="en-US" w:eastAsia="zh-CN"/>
        </w:rPr>
        <w:t>9</w:t>
      </w:r>
      <w:r>
        <w:rPr>
          <w:rFonts w:hint="eastAsia" w:ascii="宋体" w:hAnsi="宋体" w:eastAsia="宋体" w:cs="宋体"/>
          <w:b/>
          <w:bCs/>
          <w:sz w:val="28"/>
          <w:szCs w:val="28"/>
          <w:highlight w:val="none"/>
          <w:u w:val="none"/>
          <w:lang w:val="en-US" w:eastAsia="zh-CN"/>
        </w:rPr>
        <w:t>月</w:t>
      </w:r>
      <w:bookmarkStart w:id="0" w:name="_Toc363119275"/>
      <w:bookmarkStart w:id="1" w:name="_Toc179632527"/>
    </w:p>
    <w:bookmarkEnd w:id="0"/>
    <w:bookmarkEnd w:id="1"/>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5" w:type="first"/>
          <w:headerReference r:id="rId3" w:type="default"/>
          <w:footerReference r:id="rId4"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w w:val="95"/>
          <w:highlight w:val="none"/>
        </w:rPr>
        <w:t>第一章</w:t>
      </w:r>
      <w:r>
        <w:rPr>
          <w:rFonts w:hint="eastAsia" w:ascii="宋体" w:hAnsi="宋体" w:cs="宋体"/>
          <w:w w:val="95"/>
          <w:highlight w:val="none"/>
          <w:lang w:val="en-US" w:eastAsia="zh-CN"/>
        </w:rPr>
        <w:t xml:space="preserve"> </w:t>
      </w:r>
      <w:r>
        <w:rPr>
          <w:rFonts w:hint="eastAsia" w:ascii="宋体" w:hAnsi="宋体" w:eastAsia="宋体" w:cs="宋体"/>
          <w:highlight w:val="none"/>
        </w:rPr>
        <w:t>投标邀请书</w:t>
      </w:r>
      <w:r>
        <w:rPr>
          <w:highlight w:val="none"/>
        </w:rPr>
        <w:tab/>
      </w:r>
      <w:r>
        <w:rPr>
          <w:highlight w:val="none"/>
        </w:rPr>
        <w:fldChar w:fldCharType="begin"/>
      </w:r>
      <w:r>
        <w:rPr>
          <w:highlight w:val="none"/>
        </w:rPr>
        <w:instrText xml:space="preserve"> PAGEREF _Toc6155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宋体" w:hAnsi="宋体" w:eastAsia="宋体" w:cs="宋体"/>
          <w:w w:val="95"/>
          <w:highlight w:val="none"/>
        </w:rPr>
        <w:t>第二章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13</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19</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w w:val="95"/>
          <w:highlight w:val="none"/>
        </w:rPr>
        <w:t>第三章</w:t>
      </w:r>
      <w:r>
        <w:rPr>
          <w:rFonts w:hint="eastAsia" w:ascii="宋体" w:hAnsi="宋体" w:cs="宋体"/>
          <w:w w:val="95"/>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31</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w w:val="95"/>
          <w:highlight w:val="none"/>
        </w:rPr>
        <w:t>第六章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bookmarkEnd w:id="2"/>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15730"/>
      <w:bookmarkStart w:id="4" w:name="_Toc35393797"/>
      <w:bookmarkStart w:id="5" w:name="_Toc28359011"/>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新疆智慧旅游一期建设项目网络安全等保测评采购项目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lang w:eastAsia="zh-CN"/>
        </w:rPr>
        <w:t>乌鲁木齐市水磨沟区龙盛街2799号浙商大厦11楼</w:t>
      </w:r>
      <w:r>
        <w:rPr>
          <w:rFonts w:hint="eastAsia" w:ascii="宋体" w:hAnsi="宋体" w:eastAsia="宋体" w:cs="宋体"/>
          <w:sz w:val="28"/>
          <w:szCs w:val="28"/>
          <w:highlight w:val="none"/>
          <w:lang w:val="en-US" w:eastAsia="zh-CN"/>
        </w:rPr>
        <w:t>招标一部</w:t>
      </w:r>
      <w:r>
        <w:rPr>
          <w:rFonts w:hint="eastAsia" w:ascii="宋体" w:hAnsi="宋体" w:eastAsia="宋体" w:cs="宋体"/>
          <w:sz w:val="28"/>
          <w:szCs w:val="28"/>
          <w:highlight w:val="none"/>
        </w:rPr>
        <w:t>）获取采购文件，并于</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18</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6</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28359012"/>
      <w:bookmarkStart w:id="7" w:name="_Toc35393798"/>
      <w:bookmarkStart w:id="8" w:name="_Toc35393629"/>
      <w:bookmarkStart w:id="9" w:name="_Toc2835908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yellow"/>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none"/>
          <w:lang w:val="en-US" w:eastAsia="zh-CN"/>
        </w:rPr>
        <w:t>XJTZY2022-1-C0050</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eastAsia="宋体" w:cs="宋体"/>
          <w:b w:val="0"/>
          <w:bCs w:val="0"/>
          <w:i w:val="0"/>
          <w:iCs w:val="0"/>
          <w:sz w:val="24"/>
          <w:szCs w:val="24"/>
          <w:highlight w:val="none"/>
          <w:lang w:val="en-US" w:eastAsia="zh-CN"/>
        </w:rPr>
        <w:t>新疆智慧旅游一期建设项目网络安全等保测评采购项目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竞争性磋商</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60万元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kern w:val="0"/>
          <w:sz w:val="24"/>
          <w:szCs w:val="24"/>
          <w:highlight w:val="none"/>
          <w:lang w:val="en-US" w:eastAsia="zh-CN" w:bidi="ar-SA"/>
        </w:rPr>
        <w:t>根据《</w:t>
      </w:r>
      <w:r>
        <w:rPr>
          <w:rFonts w:hint="eastAsia" w:ascii="宋体" w:hAnsi="宋体" w:eastAsia="宋体" w:cs="宋体"/>
          <w:kern w:val="0"/>
          <w:sz w:val="24"/>
          <w:szCs w:val="24"/>
          <w:highlight w:val="none"/>
          <w:lang w:val="en-US" w:eastAsia="zh-CN" w:bidi="ar-SA"/>
        </w:rPr>
        <w:t>网络安全法</w:t>
      </w:r>
      <w:r>
        <w:rPr>
          <w:rFonts w:hint="eastAsia" w:ascii="宋体" w:hAnsi="宋体" w:cs="宋体"/>
          <w:kern w:val="0"/>
          <w:sz w:val="24"/>
          <w:szCs w:val="24"/>
          <w:highlight w:val="none"/>
          <w:lang w:val="en-US" w:eastAsia="zh-CN" w:bidi="ar-SA"/>
        </w:rPr>
        <w:t>》第二十一条国家实行网络安全等级保护制度、《信息安全等级保护管理办法》第十四条第三级信息系统应当每年至少进行一次等级测评的要求。</w:t>
      </w:r>
      <w:r>
        <w:rPr>
          <w:rFonts w:hint="eastAsia" w:ascii="宋体" w:hAnsi="宋体" w:eastAsia="宋体" w:cs="宋体"/>
          <w:kern w:val="0"/>
          <w:sz w:val="24"/>
          <w:szCs w:val="24"/>
          <w:highlight w:val="none"/>
          <w:lang w:val="en-US" w:eastAsia="zh-CN" w:bidi="ar-SA"/>
        </w:rPr>
        <w:t>按照关于印发《信息安全等级保护管理办法》的通知和自治区人民政府《关于进一步加强网络信息安全工作的意见》文件，对新疆智慧旅游一期建设</w:t>
      </w:r>
      <w:r>
        <w:rPr>
          <w:rFonts w:hint="eastAsia" w:ascii="宋体" w:hAnsi="宋体" w:cs="宋体"/>
          <w:kern w:val="0"/>
          <w:sz w:val="24"/>
          <w:szCs w:val="24"/>
          <w:highlight w:val="none"/>
          <w:lang w:val="en-US" w:eastAsia="zh-CN" w:bidi="ar-SA"/>
        </w:rPr>
        <w:t>“一中心三平台”</w:t>
      </w:r>
      <w:r>
        <w:rPr>
          <w:rFonts w:hint="eastAsia" w:ascii="宋体" w:hAnsi="宋体" w:eastAsia="宋体" w:cs="宋体"/>
          <w:kern w:val="0"/>
          <w:sz w:val="24"/>
          <w:szCs w:val="24"/>
          <w:highlight w:val="none"/>
          <w:lang w:val="en-US" w:eastAsia="zh-CN" w:bidi="ar-SA"/>
        </w:rPr>
        <w:t>进行网络安全等级保护测评和信息系统安全风险评估工作。</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cs="宋体"/>
          <w:b/>
          <w:bCs/>
          <w:i w:val="0"/>
          <w:iCs w:val="0"/>
          <w:sz w:val="24"/>
          <w:szCs w:val="24"/>
          <w:highlight w:val="none"/>
          <w:lang w:val="en-US" w:eastAsia="zh-CN"/>
        </w:rPr>
        <w:t>项目服务</w:t>
      </w:r>
      <w:r>
        <w:rPr>
          <w:rFonts w:hint="eastAsia" w:ascii="宋体" w:hAnsi="宋体" w:eastAsia="宋体" w:cs="宋体"/>
          <w:b/>
          <w:bCs/>
          <w:i w:val="0"/>
          <w:iCs w:val="0"/>
          <w:sz w:val="24"/>
          <w:szCs w:val="24"/>
          <w:highlight w:val="none"/>
          <w:lang w:val="en-US" w:eastAsia="zh-CN"/>
        </w:rPr>
        <w:t>期</w:t>
      </w:r>
      <w:r>
        <w:rPr>
          <w:rFonts w:hint="eastAsia" w:ascii="宋体" w:hAnsi="宋体" w:cs="宋体"/>
          <w:b/>
          <w:bCs/>
          <w:i w:val="0"/>
          <w:iCs w:val="0"/>
          <w:sz w:val="24"/>
          <w:szCs w:val="24"/>
          <w:highlight w:val="none"/>
          <w:lang w:val="en-US" w:eastAsia="zh-CN"/>
        </w:rPr>
        <w:t>：</w:t>
      </w:r>
      <w:r>
        <w:rPr>
          <w:rFonts w:hint="eastAsia" w:ascii="宋体" w:hAnsi="宋体" w:cs="宋体"/>
          <w:b w:val="0"/>
          <w:bCs w:val="0"/>
          <w:i w:val="0"/>
          <w:iCs w:val="0"/>
          <w:sz w:val="24"/>
          <w:szCs w:val="24"/>
          <w:highlight w:val="none"/>
          <w:lang w:val="en-US" w:eastAsia="zh-CN"/>
        </w:rPr>
        <w:t>合同签订完成30日内完成</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35393799"/>
      <w:bookmarkStart w:id="11" w:name="_Toc35393630"/>
      <w:bookmarkStart w:id="12" w:name="_Toc28359090"/>
      <w:bookmarkStart w:id="13" w:name="_Toc28359013"/>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35393800"/>
      <w:bookmarkStart w:id="15" w:name="_Toc28359091"/>
      <w:bookmarkStart w:id="16" w:name="_Toc28359014"/>
      <w:bookmarkStart w:id="17" w:name="_Toc35393631"/>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eastAsia="zh-CN"/>
        </w:rPr>
        <w:t>）</w:t>
      </w:r>
      <w:r>
        <w:rPr>
          <w:rFonts w:hint="eastAsia" w:ascii="宋体" w:hAnsi="宋体" w:cs="宋体"/>
          <w:i w:val="0"/>
          <w:iCs w:val="0"/>
          <w:sz w:val="24"/>
          <w:szCs w:val="24"/>
          <w:highlight w:val="none"/>
          <w:u w:val="none"/>
          <w:lang w:eastAsia="zh-CN"/>
        </w:rPr>
        <w:t>根据《政府采购促进中小企业发展管理办法》要求，本项目应当专门面向中小企业采购（提供中小微企业声明函）。</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 xml:space="preserve"> 09</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30</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12</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w:t>
      </w:r>
      <w:r>
        <w:rPr>
          <w:rFonts w:hint="eastAsia" w:ascii="宋体" w:hAnsi="宋体" w:cs="宋体"/>
          <w:i w:val="0"/>
          <w:iCs w:val="0"/>
          <w:sz w:val="24"/>
          <w:szCs w:val="24"/>
          <w:highlight w:val="none"/>
          <w:u w:val="single"/>
          <w:lang w:val="en-US" w:eastAsia="zh-CN"/>
        </w:rPr>
        <w:t>3</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w:t>
      </w:r>
      <w:r>
        <w:rPr>
          <w:rFonts w:hint="eastAsia" w:ascii="宋体" w:hAnsi="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w:t>
      </w:r>
      <w:r>
        <w:rPr>
          <w:rFonts w:hint="eastAsia" w:ascii="宋体" w:hAnsi="宋体" w:cs="宋体"/>
          <w:i w:val="0"/>
          <w:iCs w:val="0"/>
          <w:sz w:val="24"/>
          <w:szCs w:val="24"/>
          <w:highlight w:val="none"/>
          <w:lang w:val="en-US" w:eastAsia="zh-CN"/>
        </w:rPr>
        <w:t>8</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cs="宋体"/>
          <w:i w:val="0"/>
          <w:iCs w:val="0"/>
          <w:sz w:val="24"/>
          <w:szCs w:val="24"/>
          <w:highlight w:val="none"/>
          <w:lang w:eastAsia="zh-CN"/>
        </w:rPr>
        <w:t>新疆天之源项目管理集团有限公司（乌鲁木齐市水磨沟区龙盛街2799号浙商大厦11楼招标一部）</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并携带</w:t>
      </w:r>
      <w:r>
        <w:rPr>
          <w:rFonts w:hint="eastAsia" w:ascii="宋体" w:hAnsi="宋体" w:eastAsia="宋体" w:cs="宋体"/>
          <w:i w:val="0"/>
          <w:iCs w:val="0"/>
          <w:color w:val="auto"/>
          <w:sz w:val="24"/>
          <w:szCs w:val="24"/>
          <w:highlight w:val="none"/>
        </w:rPr>
        <w:t>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lang w:eastAsia="zh-CN"/>
        </w:rPr>
        <w:t>根据《政府采购促进中小企业发展管理办法》要求，本项目应当专门面向中小企业采购</w:t>
      </w: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提供中小微企业声明函</w:t>
      </w:r>
      <w:r>
        <w:rPr>
          <w:rFonts w:hint="eastAsia" w:ascii="宋体" w:hAnsi="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8" w:name="_Toc35393632"/>
      <w:bookmarkStart w:id="19" w:name="_Toc35393801"/>
      <w:bookmarkStart w:id="20" w:name="_Toc28359092"/>
      <w:bookmarkStart w:id="21" w:name="_Toc28359015"/>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18</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yellow"/>
          <w:u w:val="single"/>
          <w:lang w:val="en-US" w:eastAsia="zh-CN"/>
        </w:rPr>
        <w:t>16</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9"/>
        <w:rPr>
          <w:rFonts w:ascii="黑体" w:hAnsi="黑体" w:cs="宋体"/>
          <w:b/>
          <w:bCs w:val="0"/>
          <w:sz w:val="28"/>
          <w:szCs w:val="28"/>
          <w:highlight w:val="none"/>
        </w:rPr>
      </w:pPr>
      <w:bookmarkStart w:id="22" w:name="_Toc35393633"/>
      <w:bookmarkStart w:id="23" w:name="_Toc28359016"/>
      <w:bookmarkStart w:id="24" w:name="_Toc35393802"/>
      <w:bookmarkStart w:id="25" w:name="_Toc28359093"/>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28359094"/>
      <w:bookmarkStart w:id="27" w:name="_Toc35393803"/>
      <w:bookmarkStart w:id="28" w:name="_Toc28359017"/>
      <w:bookmarkStart w:id="29" w:name="_Toc35393634"/>
      <w:r>
        <w:rPr>
          <w:rFonts w:hint="eastAsia" w:ascii="宋体" w:hAnsi="宋体" w:eastAsia="宋体" w:cs="宋体"/>
          <w:b/>
          <w:bCs/>
          <w:i w:val="0"/>
          <w:iCs w:val="0"/>
          <w:sz w:val="24"/>
          <w:szCs w:val="24"/>
          <w:highlight w:val="none"/>
        </w:rPr>
        <w:t>时间：</w:t>
      </w:r>
      <w:r>
        <w:rPr>
          <w:rFonts w:hint="eastAsia" w:ascii="宋体" w:hAnsi="宋体" w:cs="宋体"/>
          <w:i w:val="0"/>
          <w:iCs w:val="0"/>
          <w:sz w:val="24"/>
          <w:szCs w:val="24"/>
          <w:highlight w:val="none"/>
          <w:u w:val="single"/>
          <w:lang w:val="en-US" w:eastAsia="zh-CN"/>
        </w:rPr>
        <w:t>2022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18</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6</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yellow"/>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635"/>
      <w:bookmarkStart w:id="31" w:name="_Toc35393804"/>
      <w:r>
        <w:rPr>
          <w:rFonts w:hint="eastAsia" w:ascii="黑体" w:hAnsi="黑体" w:cs="宋体"/>
          <w:b/>
          <w:bCs w:val="0"/>
          <w:sz w:val="28"/>
          <w:szCs w:val="28"/>
          <w:highlight w:val="none"/>
          <w:lang w:val="en-US" w:eastAsia="zh-CN"/>
        </w:rPr>
        <w:t>七、其他补充事宜</w:t>
      </w:r>
      <w:bookmarkEnd w:id="30"/>
      <w:bookmarkEnd w:id="31"/>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35393636"/>
      <w:bookmarkStart w:id="33" w:name="_Toc35393805"/>
      <w:bookmarkStart w:id="34" w:name="_Toc28359095"/>
      <w:bookmarkStart w:id="35" w:name="_Toc28359018"/>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35393637"/>
      <w:bookmarkStart w:id="37" w:name="_Toc35393806"/>
      <w:bookmarkStart w:id="38" w:name="_Toc28359019"/>
      <w:bookmarkStart w:id="39" w:name="_Toc2835909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新疆维吾尔自治区旅游宣传推广中心</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郭俊儒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18299191674</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35393638"/>
      <w:bookmarkStart w:id="41" w:name="_Toc35393807"/>
      <w:bookmarkStart w:id="42" w:name="_Toc28359097"/>
      <w:bookmarkStart w:id="43" w:name="_Toc28359020"/>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新疆天之源项目管理集团有限公司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eastAsia="zh-CN"/>
        </w:rPr>
        <w:t>（乌鲁木齐市水磨沟区龙盛街2799号浙商大厦11楼招标一部）</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李  飞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lang w:eastAsia="zh-CN"/>
        </w:rPr>
        <w:t>18699146324</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3"/>
        <w:rPr>
          <w:rFonts w:hint="eastAsia" w:ascii="宋体" w:hAnsi="宋体" w:eastAsia="宋体" w:cs="宋体"/>
          <w:highlight w:val="none"/>
        </w:rPr>
      </w:pPr>
      <w:r>
        <w:rPr>
          <w:rFonts w:hint="eastAsia" w:ascii="宋体" w:hAnsi="宋体" w:eastAsia="宋体" w:cs="宋体"/>
          <w:w w:val="95"/>
          <w:highlight w:val="none"/>
        </w:rPr>
        <w:t>第</w:t>
      </w:r>
      <w:bookmarkStart w:id="45" w:name="（一）供应商须知前附表"/>
      <w:bookmarkEnd w:id="45"/>
      <w:bookmarkStart w:id="46" w:name="bookmark2"/>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4"/>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0"/>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0"/>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0"/>
              <w:kinsoku w:val="0"/>
              <w:overflowPunct w:val="0"/>
              <w:spacing w:before="57"/>
              <w:ind w:left="102"/>
              <w:rPr>
                <w:rFonts w:hint="eastAsia" w:ascii="宋体" w:hAnsi="宋体" w:eastAsia="宋体" w:cs="宋体"/>
                <w:b/>
                <w:bCs/>
                <w:highlight w:val="none"/>
                <w:u w:val="none"/>
                <w:lang w:eastAsia="zh-CN"/>
              </w:rPr>
            </w:pPr>
            <w:r>
              <w:rPr>
                <w:rFonts w:hint="eastAsia" w:ascii="宋体" w:hAnsi="宋体" w:eastAsia="宋体" w:cs="宋体"/>
                <w:b/>
                <w:bCs/>
                <w:highlight w:val="none"/>
                <w:u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新疆维吾尔自治区旅游宣传推广中心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0"/>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rPr>
              <w:t>乌鲁木齐市金银路143号</w:t>
            </w:r>
          </w:p>
          <w:p>
            <w:pPr>
              <w:pStyle w:val="20"/>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郭俊儒</w:t>
            </w:r>
          </w:p>
          <w:p>
            <w:pPr>
              <w:pStyle w:val="20"/>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0"/>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0"/>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rPr>
              <w:t>18299191674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0"/>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代理机构：</w:t>
            </w:r>
            <w:r>
              <w:rPr>
                <w:rFonts w:hint="eastAsia" w:ascii="宋体" w:hAnsi="宋体" w:cs="宋体"/>
                <w:highlight w:val="none"/>
                <w:lang w:eastAsia="zh-CN"/>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noWrap w:val="0"/>
            <w:vAlign w:val="center"/>
          </w:tcPr>
          <w:p>
            <w:pPr>
              <w:pStyle w:val="20"/>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cs="宋体"/>
                <w:highlight w:val="none"/>
                <w:lang w:eastAsia="zh-CN"/>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0"/>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0"/>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0"/>
              <w:kinsoku w:val="0"/>
              <w:overflowPunct w:val="0"/>
              <w:spacing w:before="56"/>
              <w:ind w:left="102"/>
              <w:rPr>
                <w:rFonts w:hint="eastAsia"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eastAsia="zh-CN"/>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672" w:type="dxa"/>
            <w:vMerge w:val="restart"/>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0"/>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exact"/>
          <w:jc w:val="center"/>
        </w:trPr>
        <w:tc>
          <w:tcPr>
            <w:tcW w:w="672" w:type="dxa"/>
            <w:vMerge w:val="continue"/>
            <w:noWrap w:val="0"/>
            <w:vAlign w:val="center"/>
          </w:tcPr>
          <w:p>
            <w:pPr>
              <w:pStyle w:val="20"/>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shd w:val="clear" w:color="auto" w:fill="auto"/>
            <w:noWrap w:val="0"/>
            <w:vAlign w:val="top"/>
          </w:tcPr>
          <w:p>
            <w:pPr>
              <w:pStyle w:val="20"/>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eastAsia="宋体" w:cs="宋体"/>
                <w:b w:val="0"/>
                <w:bCs w:val="0"/>
                <w:i w:val="0"/>
                <w:iCs w:val="0"/>
                <w:sz w:val="24"/>
                <w:szCs w:val="24"/>
                <w:highlight w:val="none"/>
                <w:lang w:val="en-US" w:eastAsia="zh-CN"/>
              </w:rPr>
              <w:t>新疆智慧旅游一期建设项目网络安全等保测评采购项目</w:t>
            </w:r>
            <w:r>
              <w:rPr>
                <w:rFonts w:hint="eastAsia" w:ascii="宋体" w:hAnsi="宋体" w:eastAsia="宋体" w:cs="宋体"/>
                <w:b w:val="0"/>
                <w:bCs w:val="0"/>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0"/>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shd w:val="clear" w:color="auto" w:fill="auto"/>
            <w:noWrap w:val="0"/>
            <w:vAlign w:val="top"/>
          </w:tcPr>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eastAsia="宋体" w:cs="宋体"/>
                <w:b/>
                <w:bCs/>
                <w:highlight w:val="yellow"/>
              </w:rPr>
              <w:t>：</w:t>
            </w:r>
            <w:r>
              <w:rPr>
                <w:rFonts w:hint="eastAsia" w:ascii="宋体" w:hAnsi="宋体" w:cs="宋体"/>
                <w:b w:val="0"/>
                <w:bCs w:val="0"/>
                <w:i w:val="0"/>
                <w:iCs w:val="0"/>
                <w:sz w:val="24"/>
                <w:szCs w:val="24"/>
                <w:highlight w:val="yellow"/>
                <w:lang w:val="en-US" w:eastAsia="zh-CN"/>
              </w:rPr>
              <w:t>XJTZY2022-1-C0050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0"/>
              <w:kinsoku w:val="0"/>
              <w:overflowPunct w:val="0"/>
              <w:spacing w:before="8"/>
              <w:ind w:left="102"/>
              <w:rPr>
                <w:rFonts w:hint="eastAsia" w:ascii="宋体" w:hAnsi="宋体" w:eastAsia="宋体" w:cs="宋体"/>
                <w:b/>
                <w:bCs/>
                <w:highlight w:val="yellow"/>
              </w:rPr>
            </w:pPr>
            <w:r>
              <w:rPr>
                <w:rFonts w:hint="eastAsia" w:ascii="宋体" w:hAnsi="宋体" w:eastAsia="宋体" w:cs="宋体"/>
                <w:b/>
                <w:bCs/>
                <w:highlight w:val="none"/>
              </w:rPr>
              <w:t>4</w:t>
            </w:r>
          </w:p>
        </w:tc>
        <w:tc>
          <w:tcPr>
            <w:tcW w:w="8475" w:type="dxa"/>
            <w:shd w:val="clear" w:color="auto" w:fill="auto"/>
            <w:noWrap w:val="0"/>
            <w:vAlign w:val="top"/>
          </w:tcPr>
          <w:p>
            <w:pPr>
              <w:pStyle w:val="20"/>
              <w:kinsoku w:val="0"/>
              <w:overflowPunct w:val="0"/>
              <w:spacing w:before="8"/>
              <w:ind w:left="102"/>
              <w:rPr>
                <w:rFonts w:hint="eastAsia" w:ascii="宋体" w:hAnsi="宋体" w:eastAsia="宋体" w:cs="宋体"/>
                <w:b/>
                <w:bCs/>
                <w:highlight w:val="none"/>
              </w:rPr>
            </w:pPr>
            <w:r>
              <w:rPr>
                <w:rFonts w:hint="eastAsia" w:ascii="宋体" w:hAnsi="宋体" w:eastAsia="宋体" w:cs="宋体"/>
                <w:b/>
                <w:bCs/>
                <w:highlight w:val="none"/>
              </w:rPr>
              <w:t>磋商内容：</w:t>
            </w:r>
          </w:p>
          <w:p>
            <w:pPr>
              <w:pStyle w:val="20"/>
              <w:kinsoku w:val="0"/>
              <w:overflowPunct w:val="0"/>
              <w:spacing w:before="8"/>
              <w:ind w:left="102"/>
              <w:rPr>
                <w:rFonts w:hint="eastAsia" w:ascii="宋体" w:hAnsi="宋体" w:eastAsia="宋体" w:cs="宋体"/>
                <w:b/>
                <w:bCs/>
                <w:highlight w:val="yellow"/>
                <w:lang w:val="en-US" w:eastAsia="zh-CN"/>
              </w:rPr>
            </w:pPr>
            <w:r>
              <w:rPr>
                <w:rFonts w:hint="eastAsia" w:ascii="宋体" w:hAnsi="宋体" w:eastAsia="宋体" w:cs="宋体"/>
                <w:b/>
                <w:bCs/>
                <w:highlight w:val="none"/>
              </w:rPr>
              <w:t>1、主要磋商内容：</w:t>
            </w:r>
            <w:r>
              <w:rPr>
                <w:rFonts w:hint="eastAsia" w:ascii="宋体" w:hAnsi="宋体" w:cs="宋体"/>
                <w:kern w:val="0"/>
                <w:sz w:val="24"/>
                <w:szCs w:val="24"/>
                <w:highlight w:val="none"/>
                <w:lang w:val="en-US" w:eastAsia="zh-CN" w:bidi="ar-SA"/>
              </w:rPr>
              <w:t>根据《</w:t>
            </w:r>
            <w:r>
              <w:rPr>
                <w:rFonts w:hint="eastAsia" w:ascii="宋体" w:hAnsi="宋体" w:eastAsia="宋体" w:cs="宋体"/>
                <w:kern w:val="0"/>
                <w:sz w:val="24"/>
                <w:szCs w:val="24"/>
                <w:highlight w:val="none"/>
                <w:lang w:val="en-US" w:eastAsia="zh-CN" w:bidi="ar-SA"/>
              </w:rPr>
              <w:t>网络安全法</w:t>
            </w:r>
            <w:r>
              <w:rPr>
                <w:rFonts w:hint="eastAsia" w:ascii="宋体" w:hAnsi="宋体" w:cs="宋体"/>
                <w:kern w:val="0"/>
                <w:sz w:val="24"/>
                <w:szCs w:val="24"/>
                <w:highlight w:val="none"/>
                <w:lang w:val="en-US" w:eastAsia="zh-CN" w:bidi="ar-SA"/>
              </w:rPr>
              <w:t>》第二十一条国家实行网络安全等级保护制度、《信息安全等级保护管理办法》第十四条第三级信息系统应当每年至少进行一次等级测评的要求。</w:t>
            </w:r>
            <w:r>
              <w:rPr>
                <w:rFonts w:hint="eastAsia" w:ascii="宋体" w:hAnsi="宋体" w:eastAsia="宋体" w:cs="宋体"/>
                <w:kern w:val="0"/>
                <w:sz w:val="24"/>
                <w:szCs w:val="24"/>
                <w:highlight w:val="none"/>
                <w:lang w:val="en-US" w:eastAsia="zh-CN" w:bidi="ar-SA"/>
              </w:rPr>
              <w:t>按照关于印发《信息安全等级保护管理办法》的通知和自治区人民政府《关于进一步加强网络信息安全工作的意见》文件，对新疆智慧旅游一期建设</w:t>
            </w:r>
            <w:r>
              <w:rPr>
                <w:rFonts w:hint="eastAsia" w:ascii="宋体" w:hAnsi="宋体" w:cs="宋体"/>
                <w:kern w:val="0"/>
                <w:sz w:val="24"/>
                <w:szCs w:val="24"/>
                <w:highlight w:val="none"/>
                <w:lang w:val="en-US" w:eastAsia="zh-CN" w:bidi="ar-SA"/>
              </w:rPr>
              <w:t>“一中心三平台”</w:t>
            </w:r>
            <w:r>
              <w:rPr>
                <w:rFonts w:hint="eastAsia" w:ascii="宋体" w:hAnsi="宋体" w:eastAsia="宋体" w:cs="宋体"/>
                <w:kern w:val="0"/>
                <w:sz w:val="24"/>
                <w:szCs w:val="24"/>
                <w:highlight w:val="none"/>
                <w:lang w:val="en-US" w:eastAsia="zh-CN" w:bidi="ar-SA"/>
              </w:rPr>
              <w:t>进行网络安全等级保护测评和信息系统安全风险评估工作。</w:t>
            </w:r>
          </w:p>
          <w:p>
            <w:pPr>
              <w:pStyle w:val="20"/>
              <w:kinsoku w:val="0"/>
              <w:overflowPunct w:val="0"/>
              <w:spacing w:before="8"/>
              <w:ind w:left="102"/>
              <w:rPr>
                <w:rFonts w:hint="default" w:ascii="宋体" w:hAnsi="宋体" w:eastAsia="宋体" w:cs="宋体"/>
                <w:b/>
                <w:bCs/>
                <w:highlight w:val="yellow"/>
                <w:lang w:val="en-US"/>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项目服务期：</w:t>
            </w:r>
            <w:r>
              <w:rPr>
                <w:rFonts w:hint="eastAsia"/>
              </w:rPr>
              <w:t>合同签订完成30日内完成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shd w:val="clear" w:color="auto" w:fill="auto"/>
            <w:noWrap w:val="0"/>
            <w:vAlign w:val="top"/>
          </w:tcPr>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b w:val="0"/>
                <w:bCs w:val="0"/>
                <w:highlight w:val="none"/>
                <w:lang w:val="en-US" w:eastAsia="zh-CN"/>
              </w:rPr>
              <w:t>600000</w:t>
            </w:r>
            <w:r>
              <w:rPr>
                <w:rFonts w:hint="eastAsia" w:ascii="宋体" w:hAnsi="宋体" w:eastAsia="宋体" w:cs="宋体"/>
                <w:highlight w:val="none"/>
              </w:rPr>
              <w:t>元（大写：</w:t>
            </w:r>
            <w:r>
              <w:rPr>
                <w:rFonts w:hint="eastAsia" w:ascii="宋体" w:hAnsi="宋体" w:cs="宋体"/>
                <w:highlight w:val="none"/>
                <w:lang w:val="en-US" w:eastAsia="zh-CN"/>
              </w:rPr>
              <w:t>陆拾万元</w:t>
            </w:r>
            <w:r>
              <w:rPr>
                <w:rFonts w:hint="eastAsia" w:ascii="宋体" w:hAnsi="宋体" w:eastAsia="宋体" w:cs="宋体"/>
                <w:highlight w:val="none"/>
              </w:rPr>
              <w:t>整）</w:t>
            </w:r>
          </w:p>
          <w:p>
            <w:pPr>
              <w:pStyle w:val="20"/>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0"/>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0"/>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w:t>
            </w:r>
            <w:r>
              <w:rPr>
                <w:rFonts w:hint="eastAsia" w:ascii="宋体" w:hAnsi="宋体" w:cs="宋体"/>
                <w:highlight w:val="none"/>
                <w:lang w:eastAsia="zh-CN"/>
              </w:rPr>
              <w:t>重大税收违法失信主体记录</w:t>
            </w:r>
            <w:r>
              <w:rPr>
                <w:rFonts w:hint="eastAsia" w:ascii="宋体" w:hAnsi="宋体" w:eastAsia="宋体" w:cs="宋体"/>
                <w:highlight w:val="none"/>
              </w:rPr>
              <w:t>、政府采购严重违法失信行为记录名单的，取消投标资格。（提供“信用中国”网站无任何不良记录的查询截图并加盖公章）；</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0"/>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ageBreakBefore w:val="0"/>
              <w:widowControl w:val="0"/>
              <w:kinsoku/>
              <w:wordWrap/>
              <w:overflowPunct/>
              <w:topLinePunct w:val="0"/>
              <w:bidi w:val="0"/>
              <w:snapToGrid/>
              <w:spacing w:line="360" w:lineRule="auto"/>
              <w:textAlignment w:val="auto"/>
              <w:rPr>
                <w:rFonts w:hint="eastAsia" w:ascii="宋体" w:hAnsi="宋体" w:cs="宋体"/>
                <w:b/>
                <w:bCs/>
                <w:i w:val="0"/>
                <w:iCs w:val="0"/>
                <w:sz w:val="24"/>
                <w:szCs w:val="24"/>
                <w:highlight w:val="none"/>
                <w:u w:val="none"/>
                <w:lang w:eastAsia="zh-CN"/>
              </w:rPr>
            </w:pPr>
            <w:r>
              <w:rPr>
                <w:rFonts w:hint="eastAsia" w:ascii="宋体" w:hAnsi="宋体" w:cs="宋体"/>
                <w:b/>
                <w:bCs/>
                <w:kern w:val="0"/>
                <w:sz w:val="24"/>
                <w:szCs w:val="24"/>
                <w:highlight w:val="none"/>
                <w:lang w:val="en-US" w:eastAsia="zh-CN" w:bidi="ar-SA"/>
              </w:rPr>
              <w:t>8、</w:t>
            </w:r>
            <w:r>
              <w:rPr>
                <w:rFonts w:hint="eastAsia" w:ascii="宋体" w:hAnsi="宋体" w:cs="宋体"/>
                <w:b/>
                <w:bCs/>
                <w:i w:val="0"/>
                <w:iCs w:val="0"/>
                <w:sz w:val="24"/>
                <w:szCs w:val="24"/>
                <w:highlight w:val="none"/>
                <w:u w:val="none"/>
                <w:lang w:eastAsia="zh-CN"/>
              </w:rPr>
              <w:t>根据《政府采购促进中小企业发展管理办法》要求，本项目应当专门面向中小企业采购（提供中小微企业声明函）。</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0"/>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0"/>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10月</w:t>
            </w:r>
            <w:r>
              <w:rPr>
                <w:rFonts w:hint="eastAsia" w:ascii="宋体" w:hAnsi="宋体" w:cs="宋体"/>
                <w:highlight w:val="yellow"/>
                <w:lang w:val="en-US" w:eastAsia="zh-CN"/>
              </w:rPr>
              <w:t>18</w:t>
            </w:r>
            <w:r>
              <w:rPr>
                <w:rFonts w:hint="eastAsia" w:ascii="宋体" w:hAnsi="宋体" w:eastAsia="宋体" w:cs="宋体"/>
                <w:highlight w:val="none"/>
              </w:rPr>
              <w:t>日</w:t>
            </w:r>
            <w:r>
              <w:rPr>
                <w:rFonts w:hint="eastAsia" w:ascii="宋体" w:hAnsi="宋体" w:eastAsia="宋体" w:cs="宋体"/>
                <w:highlight w:val="yellow"/>
              </w:rPr>
              <w:t>1</w:t>
            </w:r>
            <w:r>
              <w:rPr>
                <w:rFonts w:hint="eastAsia" w:ascii="宋体" w:hAnsi="宋体" w:cs="宋体"/>
                <w:highlight w:val="yellow"/>
                <w:lang w:val="en-US" w:eastAsia="zh-CN"/>
              </w:rPr>
              <w:t>6</w:t>
            </w:r>
            <w:r>
              <w:rPr>
                <w:rFonts w:hint="eastAsia" w:ascii="宋体" w:hAnsi="宋体" w:eastAsia="宋体" w:cs="宋体"/>
                <w:highlight w:val="yellow"/>
              </w:rPr>
              <w:t>:</w:t>
            </w:r>
            <w:r>
              <w:rPr>
                <w:rFonts w:hint="eastAsia" w:ascii="宋体" w:hAnsi="宋体" w:cs="宋体"/>
                <w:highlight w:val="yellow"/>
                <w:lang w:val="en-US" w:eastAsia="zh-CN"/>
              </w:rPr>
              <w:t>0</w:t>
            </w:r>
            <w:r>
              <w:rPr>
                <w:rFonts w:hint="eastAsia" w:ascii="宋体" w:hAnsi="宋体" w:eastAsia="宋体" w:cs="宋体"/>
                <w:highlight w:val="yellow"/>
              </w:rPr>
              <w:t>0</w:t>
            </w:r>
            <w:r>
              <w:rPr>
                <w:rFonts w:hint="eastAsia" w:ascii="宋体" w:hAnsi="宋体" w:eastAsia="宋体" w:cs="宋体"/>
                <w:spacing w:val="-62"/>
                <w:highlight w:val="yellow"/>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0"/>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0"/>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0"/>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0"/>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踏勘现场、磋商前答疑会：</w:t>
            </w:r>
            <w:r>
              <w:rPr>
                <w:rFonts w:hint="eastAsia" w:ascii="宋体" w:hAnsi="宋体" w:cs="宋体"/>
                <w:b/>
                <w:bCs/>
                <w:highlight w:val="none"/>
                <w:lang w:val="en-US" w:eastAsia="zh-CN"/>
              </w:rPr>
              <w:t>不组织</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0"/>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6000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陆仟元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新疆天之源项目管理集团有限公司</w:t>
            </w:r>
          </w:p>
          <w:p>
            <w:pPr>
              <w:pStyle w:val="20"/>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color w:val="auto"/>
                <w:sz w:val="24"/>
                <w:szCs w:val="24"/>
                <w:highlight w:val="none"/>
              </w:rPr>
              <w:t>招商银行股份有限公司乌鲁木齐人民路支行</w:t>
            </w:r>
          </w:p>
          <w:p>
            <w:pPr>
              <w:pStyle w:val="20"/>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银行账号：991902337110201 行号：308881029059</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0"/>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0"/>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0"/>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0"/>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0"/>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0"/>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10月</w:t>
            </w:r>
            <w:r>
              <w:rPr>
                <w:rFonts w:hint="eastAsia" w:ascii="宋体" w:hAnsi="宋体" w:cs="宋体"/>
                <w:highlight w:val="yellow"/>
                <w:lang w:val="en-US" w:eastAsia="zh-CN"/>
              </w:rPr>
              <w:t>18</w:t>
            </w:r>
            <w:bookmarkStart w:id="74" w:name="_GoBack"/>
            <w:bookmarkEnd w:id="74"/>
            <w:r>
              <w:rPr>
                <w:rFonts w:hint="eastAsia" w:ascii="宋体" w:hAnsi="宋体" w:eastAsia="宋体" w:cs="宋体"/>
                <w:highlight w:val="none"/>
              </w:rPr>
              <w:t>日</w:t>
            </w:r>
            <w:r>
              <w:rPr>
                <w:rFonts w:hint="eastAsia" w:ascii="宋体" w:hAnsi="宋体" w:cs="宋体"/>
                <w:highlight w:val="yellow"/>
                <w:lang w:val="en-US" w:eastAsia="zh-CN"/>
              </w:rPr>
              <w:t>16</w:t>
            </w:r>
            <w:r>
              <w:rPr>
                <w:rFonts w:hint="eastAsia" w:ascii="宋体" w:hAnsi="宋体" w:eastAsia="宋体" w:cs="宋体"/>
                <w:highlight w:val="yellow"/>
              </w:rPr>
              <w:t>:</w:t>
            </w:r>
            <w:r>
              <w:rPr>
                <w:rFonts w:hint="eastAsia" w:ascii="宋体" w:hAnsi="宋体" w:cs="宋体"/>
                <w:highlight w:val="yellow"/>
                <w:lang w:val="en-US" w:eastAsia="zh-CN"/>
              </w:rPr>
              <w:t>0</w:t>
            </w:r>
            <w:r>
              <w:rPr>
                <w:rFonts w:hint="eastAsia" w:ascii="宋体" w:hAnsi="宋体" w:eastAsia="宋体" w:cs="宋体"/>
                <w:highlight w:val="yellow"/>
              </w:rPr>
              <w:t xml:space="preserve">0 </w:t>
            </w:r>
            <w:r>
              <w:rPr>
                <w:rFonts w:hint="eastAsia" w:ascii="宋体" w:hAnsi="宋体" w:eastAsia="宋体" w:cs="宋体"/>
                <w:highlight w:val="none"/>
              </w:rPr>
              <w:t>（北京时间）</w:t>
            </w:r>
          </w:p>
          <w:p>
            <w:pPr>
              <w:pStyle w:val="20"/>
              <w:kinsoku w:val="0"/>
              <w:overflowPunct w:val="0"/>
              <w:spacing w:before="16"/>
              <w:ind w:left="582"/>
              <w:rPr>
                <w:rFonts w:hint="eastAsia" w:ascii="宋体" w:hAnsi="宋体" w:eastAsia="宋体" w:cs="宋体"/>
                <w:b/>
                <w:bCs/>
                <w:highlight w:val="none"/>
              </w:rPr>
            </w:pPr>
            <w:r>
              <w:rPr>
                <w:rFonts w:hint="eastAsia" w:ascii="宋体" w:hAnsi="宋体" w:eastAsia="宋体" w:cs="宋体"/>
                <w:b/>
                <w:bCs/>
                <w:highlight w:val="none"/>
              </w:rPr>
              <w:t>3、递交地点：</w:t>
            </w:r>
            <w:r>
              <w:rPr>
                <w:rFonts w:hint="eastAsia" w:asciiTheme="minorEastAsia" w:hAnsiTheme="minorEastAsia" w:eastAsiaTheme="minorEastAsia" w:cstheme="minorEastAsia"/>
                <w:color w:val="auto"/>
                <w:sz w:val="24"/>
                <w:szCs w:val="24"/>
                <w:highlight w:val="none"/>
                <w:lang w:eastAsia="zh-CN"/>
              </w:rPr>
              <w:t>新疆天之源项目管理集团有限公司（乌鲁木齐市水磨沟区龙盛街2799号浙商大厦11楼招标一部）</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0"/>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0"/>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0"/>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20"/>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20"/>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p>
            <w:pPr>
              <w:pStyle w:val="20"/>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4、未按本章第 1 项</w:t>
            </w:r>
            <w:r>
              <w:rPr>
                <w:rFonts w:hint="eastAsia" w:ascii="宋体" w:hAnsi="宋体" w:cs="宋体"/>
                <w:spacing w:val="-2"/>
                <w:highlight w:val="none"/>
                <w:lang w:val="en-US" w:eastAsia="zh-CN"/>
              </w:rPr>
              <w:t>到</w:t>
            </w:r>
            <w:r>
              <w:rPr>
                <w:rFonts w:hint="eastAsia" w:ascii="宋体" w:hAnsi="宋体" w:eastAsia="宋体" w:cs="宋体"/>
                <w:spacing w:val="-2"/>
                <w:highlight w:val="none"/>
              </w:rPr>
              <w:t xml:space="preserve"> </w:t>
            </w:r>
            <w:r>
              <w:rPr>
                <w:rFonts w:hint="eastAsia" w:ascii="宋体" w:hAnsi="宋体" w:cs="宋体"/>
                <w:spacing w:val="-2"/>
                <w:highlight w:val="none"/>
                <w:lang w:val="en-US" w:eastAsia="zh-CN"/>
              </w:rPr>
              <w:t xml:space="preserve">3 </w:t>
            </w:r>
            <w:r>
              <w:rPr>
                <w:rFonts w:hint="eastAsia" w:ascii="宋体" w:hAnsi="宋体" w:eastAsia="宋体" w:cs="宋体"/>
                <w:spacing w:val="-2"/>
                <w:highlight w:val="none"/>
              </w:rPr>
              <w:t>项密封和加写标记的磋商响应性文件, 造成磋商响应性文件被拒收的不利后果由供应商自行承担。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0"/>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0"/>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0"/>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0"/>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0"/>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0"/>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0"/>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0"/>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0"/>
              <w:kinsoku w:val="0"/>
              <w:overflowPunct w:val="0"/>
              <w:spacing w:before="38"/>
              <w:ind w:left="102" w:firstLine="472" w:firstLineChars="200"/>
              <w:rPr>
                <w:rFonts w:ascii="宋体" w:hAnsi="宋体" w:cs="宋体"/>
                <w:spacing w:val="-2"/>
                <w:highlight w:val="none"/>
              </w:rPr>
            </w:pPr>
            <w:r>
              <w:rPr>
                <w:rFonts w:hint="eastAsia" w:ascii="宋体" w:hAnsi="宋体" w:cs="宋体"/>
                <w:spacing w:val="-2"/>
                <w:highlight w:val="none"/>
              </w:rPr>
              <w:t>1、根据</w:t>
            </w:r>
            <w:r>
              <w:rPr>
                <w:rFonts w:hint="eastAsia" w:ascii="宋体" w:hAnsi="宋体" w:cs="宋体"/>
                <w:highlight w:val="none"/>
              </w:rPr>
              <w:t>《新财购〔2022〕22</w:t>
            </w:r>
            <w:r>
              <w:rPr>
                <w:rFonts w:hint="eastAsia" w:ascii="宋体" w:hAnsi="宋体" w:cs="宋体"/>
                <w:spacing w:val="-2"/>
                <w:highlight w:val="none"/>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20"/>
              <w:kinsoku w:val="0"/>
              <w:overflowPunct w:val="0"/>
              <w:spacing w:before="38"/>
              <w:ind w:left="102" w:firstLine="472" w:firstLineChars="200"/>
              <w:rPr>
                <w:rFonts w:ascii="宋体" w:hAnsi="宋体" w:cs="宋体"/>
                <w:spacing w:val="-2"/>
                <w:highlight w:val="none"/>
              </w:rPr>
            </w:pPr>
            <w:r>
              <w:rPr>
                <w:rFonts w:hint="eastAsia" w:ascii="宋体" w:hAnsi="宋体" w:cs="宋体"/>
                <w:spacing w:val="-2"/>
                <w:highlight w:val="none"/>
              </w:rPr>
              <w:t>适用招标投标法的政府采购工程建设项目，采用综合评估法但未采用低价优先法计算价格分的，评标时应当在采用原报价进行评分的基础上阶段性增加其价格得分的6%-10%作为其价格分。</w:t>
            </w:r>
          </w:p>
          <w:p>
            <w:pPr>
              <w:pStyle w:val="20"/>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cs="宋体"/>
                <w:spacing w:val="-2"/>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0"/>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0"/>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二）供应商须知"/>
            <w:bookmarkEnd w:id="48"/>
            <w:bookmarkStart w:id="49" w:name="bookmark3"/>
            <w:bookmarkEnd w:id="49"/>
            <w:r>
              <w:rPr>
                <w:rFonts w:hint="eastAsia" w:ascii="宋体" w:hAnsi="宋体" w:eastAsia="宋体" w:cs="宋体"/>
                <w:b/>
                <w:bCs/>
                <w:highlight w:val="none"/>
              </w:rPr>
              <w:t xml:space="preserve">要求： </w:t>
            </w:r>
          </w:p>
          <w:p>
            <w:pPr>
              <w:pStyle w:val="20"/>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0"/>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8"/>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eastAsia="zh-CN"/>
        </w:rPr>
        <w:t>新疆维吾尔自治区旅游宣传推广中心</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lang w:eastAsia="zh-CN"/>
        </w:rPr>
        <w:t>新疆天之源项目管理集团有限公司</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8"/>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8"/>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8"/>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8"/>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8"/>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3.4 供应商在应当领取竞争性磋商文件的 </w:t>
      </w:r>
      <w:r>
        <w:rPr>
          <w:rFonts w:hint="eastAsia" w:ascii="宋体" w:hAnsi="宋体" w:eastAsia="宋体" w:cs="宋体"/>
          <w:spacing w:val="4"/>
          <w:highlight w:val="none"/>
          <w:lang w:val="en-US" w:eastAsia="zh-CN"/>
        </w:rPr>
        <w:t>5</w:t>
      </w:r>
      <w:r>
        <w:rPr>
          <w:rFonts w:hint="eastAsia" w:ascii="宋体" w:hAnsi="宋体" w:eastAsia="宋体" w:cs="宋体"/>
          <w:spacing w:val="4"/>
          <w:highlight w:val="none"/>
        </w:rPr>
        <w:t xml:space="preserve"> 日内可对竞争性磋商文件的内容提出质疑，招标采购单位按规定时间答复，超过时间的质疑将不予接受。</w:t>
      </w:r>
    </w:p>
    <w:p>
      <w:pPr>
        <w:pStyle w:val="4"/>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8"/>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8"/>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8"/>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6000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陆仟元</w:t>
      </w:r>
      <w:r>
        <w:rPr>
          <w:rFonts w:hint="eastAsia" w:ascii="宋体" w:hAnsi="宋体" w:eastAsia="宋体" w:cs="宋体"/>
          <w:kern w:val="0"/>
          <w:sz w:val="24"/>
          <w:szCs w:val="24"/>
          <w:highlight w:val="none"/>
        </w:rPr>
        <w:t>整）</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w:t>
      </w:r>
      <w:r>
        <w:rPr>
          <w:rFonts w:hint="eastAsia" w:ascii="宋体" w:hAnsi="宋体" w:eastAsia="宋体" w:cs="宋体"/>
          <w:kern w:val="0"/>
          <w:sz w:val="24"/>
          <w:szCs w:val="24"/>
          <w:highlight w:val="none"/>
          <w:lang w:val="en-US" w:eastAsia="zh-CN"/>
        </w:rPr>
        <w:t>至少</w:t>
      </w:r>
      <w:r>
        <w:rPr>
          <w:rFonts w:hint="eastAsia" w:ascii="宋体" w:hAnsi="宋体" w:eastAsia="宋体" w:cs="宋体"/>
          <w:kern w:val="0"/>
          <w:sz w:val="24"/>
          <w:szCs w:val="24"/>
          <w:highlight w:val="none"/>
        </w:rPr>
        <w:t>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新疆天之源项目管理集团有限公司</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开户银行：招商银行股份有限公司乌鲁木齐人民路支行</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银行账号：991902337110201</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 行号：</w:t>
      </w:r>
      <w:r>
        <w:rPr>
          <w:rFonts w:hint="eastAsia" w:ascii="宋体" w:hAnsi="宋体" w:eastAsia="宋体" w:cs="宋体"/>
          <w:kern w:val="0"/>
          <w:sz w:val="24"/>
          <w:szCs w:val="24"/>
          <w:highlight w:val="none"/>
          <w:lang w:eastAsia="zh-CN"/>
        </w:rPr>
        <w:t>308881029059</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8"/>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8"/>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8"/>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val="en-US" w:eastAsia="zh-CN"/>
        </w:rPr>
        <w:t>一</w:t>
      </w:r>
      <w:r>
        <w:rPr>
          <w:rFonts w:hint="eastAsia" w:ascii="宋体" w:hAnsi="宋体" w:eastAsia="宋体" w:cs="宋体"/>
          <w:highlight w:val="none"/>
        </w:rPr>
        <w:t>份。</w:t>
      </w:r>
    </w:p>
    <w:p>
      <w:pPr>
        <w:pStyle w:val="8"/>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8"/>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8"/>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val="en-US" w:eastAsia="zh-CN"/>
        </w:rPr>
        <w:t>分别</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1.4未按本章第1.1项</w:t>
      </w:r>
      <w:r>
        <w:rPr>
          <w:rFonts w:hint="eastAsia" w:ascii="宋体" w:hAnsi="宋体" w:eastAsia="宋体" w:cs="宋体"/>
          <w:highlight w:val="none"/>
          <w:lang w:val="en-US" w:eastAsia="zh-CN"/>
        </w:rPr>
        <w:t>到</w:t>
      </w:r>
      <w:r>
        <w:rPr>
          <w:rFonts w:hint="eastAsia" w:ascii="宋体" w:hAnsi="宋体" w:eastAsia="宋体" w:cs="宋体"/>
          <w:highlight w:val="none"/>
        </w:rPr>
        <w:t>1.</w:t>
      </w:r>
      <w:r>
        <w:rPr>
          <w:rFonts w:hint="eastAsia" w:ascii="宋体" w:hAnsi="宋体" w:eastAsia="宋体" w:cs="宋体"/>
          <w:highlight w:val="none"/>
          <w:lang w:val="en-US" w:eastAsia="zh-CN"/>
        </w:rPr>
        <w:t>3</w:t>
      </w:r>
      <w:r>
        <w:rPr>
          <w:rFonts w:hint="eastAsia" w:ascii="宋体" w:hAnsi="宋体" w:eastAsia="宋体" w:cs="宋体"/>
          <w:highlight w:val="none"/>
        </w:rPr>
        <w:t>项密封和加写标记的磋商响应性文件, 造成磋商响应性文件被拒收的不利后果由供应商自行承担。</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8"/>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8"/>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8"/>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8"/>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8"/>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8"/>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8"/>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8"/>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8"/>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8"/>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8"/>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8"/>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4"/>
      <w:bookmarkEnd w:id="63"/>
      <w:bookmarkStart w:id="64" w:name="bookmark13"/>
      <w:bookmarkEnd w:id="64"/>
      <w:bookmarkStart w:id="65" w:name="（十二）无效投标"/>
      <w:bookmarkEnd w:id="65"/>
      <w:bookmarkStart w:id="66" w:name="（十三）废标"/>
      <w:bookmarkEnd w:id="66"/>
      <w:r>
        <w:rPr>
          <w:rFonts w:hint="eastAsia" w:ascii="宋体" w:hAnsi="宋体" w:eastAsia="宋体" w:cs="宋体"/>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w w:val="95"/>
          <w:highlight w:val="none"/>
          <w:lang w:val="en-US" w:eastAsia="zh-CN"/>
        </w:rPr>
        <w:t xml:space="preserve"> </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8"/>
        <w:kinsoku w:val="0"/>
        <w:overflowPunct w:val="0"/>
        <w:spacing w:before="34" w:line="357" w:lineRule="auto"/>
        <w:ind w:right="126"/>
        <w:rPr>
          <w:rFonts w:hint="eastAsia" w:ascii="宋体" w:hAnsi="宋体" w:cs="宋体"/>
          <w:b/>
          <w:bCs/>
          <w:i w:val="0"/>
          <w:iCs w:val="0"/>
          <w:sz w:val="24"/>
          <w:szCs w:val="24"/>
          <w:highlight w:val="none"/>
          <w:u w:val="none"/>
          <w:lang w:eastAsia="zh-CN"/>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i w:val="0"/>
          <w:iCs w:val="0"/>
          <w:sz w:val="24"/>
          <w:szCs w:val="24"/>
          <w:highlight w:val="none"/>
          <w:u w:val="none"/>
          <w:lang w:eastAsia="zh-CN"/>
        </w:rPr>
        <w:t>根据《政府采购促进中小企业发展管理办法》要求，本项目应当专门面向中小企业采购（提供中小微企业声明函）</w:t>
      </w:r>
      <w:r>
        <w:rPr>
          <w:rFonts w:hint="eastAsia" w:ascii="宋体" w:hAnsi="宋体" w:cs="宋体"/>
          <w:b/>
          <w:bCs/>
          <w:i w:val="0"/>
          <w:iCs w:val="0"/>
          <w:sz w:val="24"/>
          <w:szCs w:val="24"/>
          <w:highlight w:val="none"/>
          <w:u w:val="none"/>
          <w:lang w:eastAsia="zh-CN"/>
        </w:rPr>
        <w:t>。</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outlineLvl w:val="9"/>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8"/>
        <w:kinsoku w:val="0"/>
        <w:overflowPunct w:val="0"/>
        <w:spacing w:before="34"/>
        <w:jc w:val="both"/>
        <w:outlineLvl w:val="2"/>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tbl>
      <w:tblPr>
        <w:tblStyle w:val="32"/>
        <w:tblW w:w="9027" w:type="dxa"/>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5"/>
        <w:gridCol w:w="1202"/>
        <w:gridCol w:w="818"/>
        <w:gridCol w:w="630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705" w:type="dxa"/>
            <w:tcBorders>
              <w:top w:val="single" w:color="auto" w:sz="4" w:space="0"/>
              <w:left w:val="single" w:color="auto" w:sz="4" w:space="0"/>
              <w:bottom w:val="single" w:color="auto" w:sz="4" w:space="0"/>
              <w:right w:val="single" w:color="auto" w:sz="4" w:space="0"/>
            </w:tcBorders>
          </w:tcPr>
          <w:p>
            <w:pPr>
              <w:autoSpaceDE w:val="0"/>
              <w:autoSpaceDN w:val="0"/>
              <w:ind w:left="9"/>
              <w:jc w:val="center"/>
              <w:rPr>
                <w:sz w:val="24"/>
                <w:lang w:eastAsia="en-US"/>
              </w:rPr>
            </w:pPr>
            <w:r>
              <w:rPr>
                <w:sz w:val="24"/>
                <w:lang w:eastAsia="en-US"/>
              </w:rPr>
              <w:t>序号</w:t>
            </w:r>
          </w:p>
        </w:tc>
        <w:tc>
          <w:tcPr>
            <w:tcW w:w="1202" w:type="dxa"/>
            <w:tcBorders>
              <w:top w:val="single" w:color="auto" w:sz="4" w:space="0"/>
              <w:left w:val="single" w:color="auto" w:sz="4" w:space="0"/>
              <w:bottom w:val="single" w:color="auto" w:sz="4" w:space="0"/>
              <w:right w:val="single" w:color="auto" w:sz="4" w:space="0"/>
            </w:tcBorders>
          </w:tcPr>
          <w:p>
            <w:pPr>
              <w:autoSpaceDE w:val="0"/>
              <w:autoSpaceDN w:val="0"/>
              <w:ind w:left="12" w:right="4"/>
              <w:jc w:val="center"/>
              <w:rPr>
                <w:sz w:val="24"/>
                <w:lang w:eastAsia="en-US"/>
              </w:rPr>
            </w:pPr>
            <w:r>
              <w:rPr>
                <w:sz w:val="24"/>
                <w:lang w:eastAsia="en-US"/>
              </w:rPr>
              <w:t>评分项目</w:t>
            </w:r>
          </w:p>
        </w:tc>
        <w:tc>
          <w:tcPr>
            <w:tcW w:w="818" w:type="dxa"/>
            <w:tcBorders>
              <w:top w:val="single" w:color="auto" w:sz="4" w:space="0"/>
              <w:left w:val="single" w:color="auto" w:sz="4" w:space="0"/>
              <w:bottom w:val="single" w:color="auto" w:sz="4" w:space="0"/>
              <w:right w:val="single" w:color="auto" w:sz="4" w:space="0"/>
            </w:tcBorders>
          </w:tcPr>
          <w:p>
            <w:pPr>
              <w:autoSpaceDE w:val="0"/>
              <w:autoSpaceDN w:val="0"/>
              <w:ind w:left="9"/>
              <w:jc w:val="center"/>
              <w:rPr>
                <w:sz w:val="24"/>
                <w:lang w:eastAsia="en-US"/>
              </w:rPr>
            </w:pPr>
            <w:r>
              <w:rPr>
                <w:sz w:val="24"/>
                <w:lang w:eastAsia="en-US"/>
              </w:rPr>
              <w:t>分值</w:t>
            </w:r>
          </w:p>
        </w:tc>
        <w:tc>
          <w:tcPr>
            <w:tcW w:w="6302" w:type="dxa"/>
            <w:tcBorders>
              <w:top w:val="single" w:color="auto" w:sz="4" w:space="0"/>
              <w:left w:val="single" w:color="auto" w:sz="4" w:space="0"/>
              <w:bottom w:val="single" w:color="auto" w:sz="4" w:space="0"/>
              <w:right w:val="single" w:color="auto" w:sz="4" w:space="0"/>
            </w:tcBorders>
          </w:tcPr>
          <w:p>
            <w:pPr>
              <w:autoSpaceDE w:val="0"/>
              <w:autoSpaceDN w:val="0"/>
              <w:spacing w:before="5"/>
              <w:ind w:left="15"/>
              <w:jc w:val="center"/>
              <w:rPr>
                <w:sz w:val="24"/>
                <w:lang w:eastAsia="en-US"/>
              </w:rPr>
            </w:pPr>
            <w:r>
              <w:rPr>
                <w:sz w:val="24"/>
                <w:lang w:eastAsia="en-US"/>
              </w:rPr>
              <w:t>评分</w:t>
            </w:r>
            <w:r>
              <w:rPr>
                <w:rFonts w:hint="eastAsia"/>
                <w:sz w:val="24"/>
                <w:lang w:eastAsia="en-US"/>
              </w:rPr>
              <w:t>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902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before="5"/>
              <w:ind w:left="15"/>
              <w:jc w:val="both"/>
              <w:rPr>
                <w:sz w:val="24"/>
                <w:lang w:eastAsia="en-US"/>
              </w:rPr>
            </w:pPr>
            <w:r>
              <w:rPr>
                <w:rFonts w:hint="eastAsia"/>
                <w:b/>
                <w:sz w:val="24"/>
                <w:lang w:eastAsia="en-US"/>
              </w:rPr>
              <w:t>一、</w:t>
            </w:r>
            <w:r>
              <w:rPr>
                <w:b/>
                <w:sz w:val="24"/>
                <w:lang w:eastAsia="en-US"/>
              </w:rPr>
              <w:t>报价部分（</w:t>
            </w:r>
            <w:r>
              <w:rPr>
                <w:rFonts w:hint="eastAsia"/>
                <w:b/>
                <w:sz w:val="24"/>
                <w:lang w:eastAsia="en-US"/>
              </w:rPr>
              <w:t>2</w:t>
            </w:r>
            <w:r>
              <w:rPr>
                <w:b/>
                <w:sz w:val="24"/>
                <w:lang w:eastAsia="en-US"/>
              </w:rPr>
              <w:t>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tcBorders>
              <w:top w:val="single" w:color="auto" w:sz="4" w:space="0"/>
              <w:left w:val="single" w:color="000000" w:sz="4" w:space="0"/>
              <w:bottom w:val="single" w:color="000000" w:sz="4" w:space="0"/>
              <w:right w:val="single" w:color="000000" w:sz="4" w:space="0"/>
            </w:tcBorders>
          </w:tcPr>
          <w:p>
            <w:pPr>
              <w:autoSpaceDE w:val="0"/>
              <w:autoSpaceDN w:val="0"/>
              <w:rPr>
                <w:sz w:val="24"/>
                <w:lang w:eastAsia="en-US"/>
              </w:rPr>
            </w:pPr>
          </w:p>
          <w:p>
            <w:pPr>
              <w:autoSpaceDE w:val="0"/>
              <w:autoSpaceDN w:val="0"/>
              <w:rPr>
                <w:sz w:val="24"/>
                <w:lang w:eastAsia="en-US"/>
              </w:rPr>
            </w:pPr>
          </w:p>
          <w:p>
            <w:pPr>
              <w:autoSpaceDE w:val="0"/>
              <w:autoSpaceDN w:val="0"/>
              <w:rPr>
                <w:sz w:val="23"/>
                <w:lang w:eastAsia="en-US"/>
              </w:rPr>
            </w:pPr>
          </w:p>
          <w:p>
            <w:pPr>
              <w:autoSpaceDE w:val="0"/>
              <w:autoSpaceDN w:val="0"/>
              <w:ind w:left="9"/>
              <w:jc w:val="center"/>
              <w:rPr>
                <w:sz w:val="24"/>
                <w:lang w:eastAsia="en-US"/>
              </w:rPr>
            </w:pPr>
            <w:r>
              <w:rPr>
                <w:sz w:val="24"/>
                <w:lang w:eastAsia="en-US"/>
              </w:rPr>
              <w:t>1</w:t>
            </w:r>
          </w:p>
        </w:tc>
        <w:tc>
          <w:tcPr>
            <w:tcW w:w="1202" w:type="dxa"/>
            <w:tcBorders>
              <w:top w:val="single" w:color="auto" w:sz="4" w:space="0"/>
              <w:left w:val="single" w:color="000000" w:sz="4" w:space="0"/>
              <w:bottom w:val="single" w:color="000000" w:sz="4" w:space="0"/>
              <w:right w:val="single" w:color="000000" w:sz="4" w:space="0"/>
            </w:tcBorders>
          </w:tcPr>
          <w:p>
            <w:pPr>
              <w:autoSpaceDE w:val="0"/>
              <w:autoSpaceDN w:val="0"/>
              <w:rPr>
                <w:sz w:val="24"/>
                <w:lang w:eastAsia="en-US"/>
              </w:rPr>
            </w:pPr>
          </w:p>
          <w:p>
            <w:pPr>
              <w:autoSpaceDE w:val="0"/>
              <w:autoSpaceDN w:val="0"/>
              <w:rPr>
                <w:sz w:val="23"/>
                <w:lang w:eastAsia="en-US"/>
              </w:rPr>
            </w:pPr>
          </w:p>
          <w:p>
            <w:pPr>
              <w:autoSpaceDE w:val="0"/>
              <w:autoSpaceDN w:val="0"/>
              <w:ind w:left="12" w:right="4"/>
              <w:jc w:val="center"/>
              <w:rPr>
                <w:sz w:val="24"/>
                <w:lang w:eastAsia="en-US"/>
              </w:rPr>
            </w:pPr>
            <w:r>
              <w:rPr>
                <w:sz w:val="24"/>
                <w:lang w:eastAsia="en-US"/>
              </w:rPr>
              <w:t>报价</w:t>
            </w:r>
          </w:p>
        </w:tc>
        <w:tc>
          <w:tcPr>
            <w:tcW w:w="818" w:type="dxa"/>
            <w:tcBorders>
              <w:top w:val="single" w:color="auto" w:sz="4" w:space="0"/>
              <w:left w:val="single" w:color="000000" w:sz="4" w:space="0"/>
              <w:bottom w:val="single" w:color="000000" w:sz="4" w:space="0"/>
              <w:right w:val="single" w:color="000000" w:sz="4" w:space="0"/>
            </w:tcBorders>
          </w:tcPr>
          <w:p>
            <w:pPr>
              <w:autoSpaceDE w:val="0"/>
              <w:autoSpaceDN w:val="0"/>
              <w:rPr>
                <w:sz w:val="24"/>
                <w:lang w:eastAsia="en-US"/>
              </w:rPr>
            </w:pPr>
          </w:p>
          <w:p>
            <w:pPr>
              <w:autoSpaceDE w:val="0"/>
              <w:autoSpaceDN w:val="0"/>
              <w:rPr>
                <w:sz w:val="23"/>
                <w:lang w:eastAsia="en-US"/>
              </w:rPr>
            </w:pPr>
          </w:p>
          <w:p>
            <w:pPr>
              <w:autoSpaceDE w:val="0"/>
              <w:autoSpaceDN w:val="0"/>
              <w:ind w:left="9"/>
              <w:jc w:val="center"/>
              <w:rPr>
                <w:sz w:val="24"/>
                <w:lang w:eastAsia="en-US"/>
              </w:rPr>
            </w:pPr>
            <w:r>
              <w:rPr>
                <w:rFonts w:hint="eastAsia"/>
                <w:sz w:val="24"/>
                <w:lang w:eastAsia="en-US"/>
              </w:rPr>
              <w:t>2</w:t>
            </w:r>
            <w:r>
              <w:rPr>
                <w:sz w:val="24"/>
                <w:lang w:eastAsia="en-US"/>
              </w:rPr>
              <w:t>0</w:t>
            </w:r>
          </w:p>
        </w:tc>
        <w:tc>
          <w:tcPr>
            <w:tcW w:w="6302" w:type="dxa"/>
            <w:tcBorders>
              <w:top w:val="single" w:color="auto" w:sz="4" w:space="0"/>
              <w:left w:val="single" w:color="000000" w:sz="4" w:space="0"/>
              <w:bottom w:val="single" w:color="000000" w:sz="4" w:space="0"/>
              <w:right w:val="single" w:color="000000" w:sz="4" w:space="0"/>
            </w:tcBorders>
          </w:tcPr>
          <w:p>
            <w:pPr>
              <w:autoSpaceDE w:val="0"/>
              <w:autoSpaceDN w:val="0"/>
              <w:spacing w:before="99"/>
              <w:ind w:left="15" w:right="68"/>
              <w:jc w:val="both"/>
              <w:rPr>
                <w:sz w:val="24"/>
                <w:lang w:eastAsia="en-US"/>
              </w:rPr>
            </w:pPr>
            <w:r>
              <w:rPr>
                <w:sz w:val="24"/>
                <w:lang w:eastAsia="en-US"/>
              </w:rPr>
              <w:t>经评委会审核，满足招标文件要求且</w:t>
            </w:r>
            <w:r>
              <w:rPr>
                <w:rFonts w:hint="eastAsia"/>
                <w:sz w:val="24"/>
                <w:lang w:eastAsia="en-US"/>
              </w:rPr>
              <w:t>最终</w:t>
            </w:r>
            <w:r>
              <w:rPr>
                <w:sz w:val="24"/>
                <w:lang w:eastAsia="en-US"/>
              </w:rPr>
              <w:t>报价最低的投标人的价格为基准价，其价格分为满分。其他投标人的价格分统一按下列公式折算递减。即：</w:t>
            </w:r>
          </w:p>
          <w:p>
            <w:pPr>
              <w:autoSpaceDE w:val="0"/>
              <w:autoSpaceDN w:val="0"/>
              <w:ind w:left="15"/>
              <w:rPr>
                <w:sz w:val="24"/>
                <w:lang w:eastAsia="en-US"/>
              </w:rPr>
            </w:pPr>
            <w:r>
              <w:rPr>
                <w:sz w:val="24"/>
                <w:lang w:eastAsia="en-US"/>
              </w:rPr>
              <w:t>报价得分=（</w:t>
            </w:r>
            <w:r>
              <w:rPr>
                <w:rFonts w:hint="eastAsia"/>
                <w:sz w:val="24"/>
                <w:lang w:eastAsia="en-US"/>
              </w:rPr>
              <w:t>评标基准价</w:t>
            </w:r>
            <w:r>
              <w:rPr>
                <w:sz w:val="24"/>
                <w:lang w:eastAsia="en-US"/>
              </w:rPr>
              <w:t>/投标报价）×</w:t>
            </w:r>
            <w:r>
              <w:rPr>
                <w:rFonts w:hint="eastAsia"/>
                <w:sz w:val="24"/>
                <w:lang w:eastAsia="en-US"/>
              </w:rPr>
              <w:t>2</w:t>
            </w:r>
            <w:r>
              <w:rPr>
                <w:sz w:val="24"/>
                <w:lang w:eastAsia="en-US"/>
              </w:rPr>
              <w:t>0</w:t>
            </w:r>
          </w:p>
          <w:p>
            <w:pPr>
              <w:autoSpaceDE w:val="0"/>
              <w:autoSpaceDN w:val="0"/>
              <w:spacing w:before="5"/>
              <w:ind w:left="15"/>
              <w:jc w:val="both"/>
              <w:rPr>
                <w:sz w:val="24"/>
                <w:lang w:eastAsia="en-US"/>
              </w:rPr>
            </w:pPr>
            <w:r>
              <w:rPr>
                <w:sz w:val="24"/>
                <w:lang w:eastAsia="en-US"/>
              </w:rPr>
              <w:t>（</w:t>
            </w:r>
            <w:r>
              <w:rPr>
                <w:rFonts w:hint="eastAsia"/>
                <w:sz w:val="24"/>
                <w:lang w:eastAsia="en-US"/>
              </w:rPr>
              <w:t>以投标人最终报价为准）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9027" w:type="dxa"/>
            <w:gridSpan w:val="4"/>
            <w:tcBorders>
              <w:left w:val="single" w:color="000000" w:sz="4" w:space="0"/>
              <w:bottom w:val="single" w:color="000000" w:sz="4" w:space="0"/>
              <w:right w:val="single" w:color="000000" w:sz="4" w:space="0"/>
            </w:tcBorders>
            <w:vAlign w:val="center"/>
          </w:tcPr>
          <w:p>
            <w:pPr>
              <w:autoSpaceDE w:val="0"/>
              <w:autoSpaceDN w:val="0"/>
              <w:spacing w:before="5"/>
              <w:ind w:left="15"/>
              <w:jc w:val="both"/>
              <w:rPr>
                <w:sz w:val="24"/>
                <w:lang w:eastAsia="en-US"/>
              </w:rPr>
            </w:pPr>
            <w:r>
              <w:rPr>
                <w:rFonts w:hint="eastAsia"/>
                <w:sz w:val="24"/>
                <w:lang w:eastAsia="en-US"/>
              </w:rPr>
              <w:t>二、</w:t>
            </w:r>
            <w:r>
              <w:rPr>
                <w:sz w:val="24"/>
                <w:lang w:eastAsia="en-US"/>
              </w:rPr>
              <w:t>商务部分（30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restart"/>
            <w:tcBorders>
              <w:left w:val="single" w:color="000000" w:sz="4" w:space="0"/>
              <w:right w:val="single" w:color="000000" w:sz="4" w:space="0"/>
            </w:tcBorders>
            <w:vAlign w:val="center"/>
          </w:tcPr>
          <w:p>
            <w:pPr>
              <w:autoSpaceDE w:val="0"/>
              <w:autoSpaceDN w:val="0"/>
              <w:ind w:left="9"/>
              <w:jc w:val="center"/>
              <w:rPr>
                <w:sz w:val="24"/>
                <w:lang w:eastAsia="en-US"/>
              </w:rPr>
            </w:pPr>
            <w:r>
              <w:rPr>
                <w:sz w:val="24"/>
                <w:lang w:eastAsia="en-US"/>
              </w:rPr>
              <w:t>1</w:t>
            </w:r>
          </w:p>
        </w:tc>
        <w:tc>
          <w:tcPr>
            <w:tcW w:w="1202" w:type="dxa"/>
            <w:vMerge w:val="restart"/>
            <w:tcBorders>
              <w:left w:val="single" w:color="000000" w:sz="4" w:space="0"/>
              <w:right w:val="single" w:color="000000" w:sz="4" w:space="0"/>
            </w:tcBorders>
            <w:vAlign w:val="center"/>
          </w:tcPr>
          <w:p>
            <w:pPr>
              <w:autoSpaceDE w:val="0"/>
              <w:autoSpaceDN w:val="0"/>
              <w:ind w:left="12" w:right="4"/>
              <w:jc w:val="center"/>
              <w:rPr>
                <w:sz w:val="24"/>
                <w:highlight w:val="none"/>
                <w:lang w:eastAsia="en-US"/>
              </w:rPr>
            </w:pPr>
            <w:r>
              <w:rPr>
                <w:rFonts w:hint="eastAsia"/>
                <w:sz w:val="24"/>
                <w:highlight w:val="none"/>
                <w:lang w:eastAsia="en-US"/>
              </w:rPr>
              <w:t>综合实力</w:t>
            </w:r>
          </w:p>
        </w:tc>
        <w:tc>
          <w:tcPr>
            <w:tcW w:w="818" w:type="dxa"/>
            <w:vMerge w:val="restart"/>
            <w:tcBorders>
              <w:left w:val="single" w:color="000000" w:sz="4" w:space="0"/>
              <w:right w:val="single" w:color="000000" w:sz="4" w:space="0"/>
            </w:tcBorders>
            <w:vAlign w:val="center"/>
          </w:tcPr>
          <w:p>
            <w:pPr>
              <w:autoSpaceDE w:val="0"/>
              <w:autoSpaceDN w:val="0"/>
              <w:ind w:left="9"/>
              <w:jc w:val="center"/>
              <w:rPr>
                <w:rFonts w:hint="default" w:eastAsia="宋体"/>
                <w:sz w:val="24"/>
                <w:highlight w:val="none"/>
                <w:lang w:val="en-US" w:eastAsia="zh-CN"/>
              </w:rPr>
            </w:pPr>
            <w:r>
              <w:rPr>
                <w:rFonts w:hint="eastAsia"/>
                <w:sz w:val="24"/>
                <w:highlight w:val="none"/>
                <w:lang w:val="en-US" w:eastAsia="zh-CN"/>
              </w:rPr>
              <w:t>20</w:t>
            </w: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获得</w:t>
            </w:r>
            <w:r>
              <w:rPr>
                <w:sz w:val="24"/>
                <w:highlight w:val="none"/>
                <w:lang w:eastAsia="en-US"/>
              </w:rPr>
              <w:t>CNNVD</w:t>
            </w:r>
            <w:r>
              <w:rPr>
                <w:rFonts w:hint="eastAsia"/>
                <w:sz w:val="24"/>
                <w:highlight w:val="none"/>
                <w:lang w:eastAsia="en-US"/>
              </w:rPr>
              <w:t>二</w:t>
            </w:r>
            <w:r>
              <w:rPr>
                <w:sz w:val="24"/>
                <w:highlight w:val="none"/>
                <w:lang w:eastAsia="en-US"/>
              </w:rPr>
              <w:t>级技术支撑单位</w:t>
            </w:r>
            <w:r>
              <w:rPr>
                <w:rFonts w:hint="eastAsia"/>
                <w:sz w:val="24"/>
                <w:highlight w:val="none"/>
                <w:lang w:eastAsia="en-US"/>
              </w:rPr>
              <w:t>得</w:t>
            </w:r>
            <w:r>
              <w:rPr>
                <w:sz w:val="24"/>
                <w:highlight w:val="none"/>
                <w:lang w:eastAsia="en-US"/>
              </w:rPr>
              <w:t>1</w:t>
            </w:r>
            <w:r>
              <w:rPr>
                <w:rFonts w:hint="eastAsia"/>
                <w:sz w:val="24"/>
                <w:highlight w:val="none"/>
                <w:lang w:eastAsia="en-US"/>
              </w:rPr>
              <w:t>分，一</w:t>
            </w:r>
            <w:r>
              <w:rPr>
                <w:sz w:val="24"/>
                <w:highlight w:val="none"/>
                <w:lang w:eastAsia="en-US"/>
              </w:rPr>
              <w:t>级技术支撑单位</w:t>
            </w:r>
            <w:r>
              <w:rPr>
                <w:rFonts w:hint="eastAsia"/>
                <w:sz w:val="24"/>
                <w:highlight w:val="none"/>
                <w:lang w:eastAsia="en-US"/>
              </w:rPr>
              <w:t>得</w:t>
            </w:r>
            <w:r>
              <w:rPr>
                <w:sz w:val="24"/>
                <w:highlight w:val="none"/>
                <w:lang w:eastAsia="en-US"/>
              </w:rPr>
              <w:t>2</w:t>
            </w:r>
            <w:r>
              <w:rPr>
                <w:rFonts w:hint="eastAsia"/>
                <w:sz w:val="24"/>
                <w:highlight w:val="none"/>
                <w:lang w:eastAsia="en-US"/>
              </w:rPr>
              <w:t>分；（须提供证书扫描件并加盖公章）。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continue"/>
            <w:tcBorders>
              <w:left w:val="single" w:color="000000" w:sz="4" w:space="0"/>
              <w:right w:val="single" w:color="000000" w:sz="4" w:space="0"/>
            </w:tcBorders>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tcPr>
          <w:p>
            <w:pPr>
              <w:autoSpaceDE w:val="0"/>
              <w:autoSpaceDN w:val="0"/>
              <w:ind w:left="9"/>
              <w:jc w:val="center"/>
              <w:rPr>
                <w:sz w:val="24"/>
                <w:lang w:eastAsia="en-US"/>
              </w:rPr>
            </w:pP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企业通过具有</w:t>
            </w:r>
            <w:r>
              <w:rPr>
                <w:sz w:val="24"/>
                <w:lang w:eastAsia="en-US"/>
              </w:rPr>
              <w:t>ISO9001质量管理体系认证得</w:t>
            </w:r>
            <w:r>
              <w:rPr>
                <w:rFonts w:hint="eastAsia"/>
                <w:sz w:val="24"/>
                <w:lang w:eastAsia="en-US"/>
              </w:rPr>
              <w:t>2</w:t>
            </w:r>
            <w:r>
              <w:rPr>
                <w:sz w:val="24"/>
                <w:lang w:eastAsia="en-US"/>
              </w:rPr>
              <w:t xml:space="preserve">分， </w:t>
            </w:r>
            <w:r>
              <w:rPr>
                <w:rFonts w:hint="eastAsia"/>
                <w:sz w:val="24"/>
                <w:lang w:eastAsia="en-US"/>
              </w:rPr>
              <w:t>ISO/IEC 20000-1:201</w:t>
            </w:r>
            <w:r>
              <w:rPr>
                <w:sz w:val="24"/>
                <w:lang w:eastAsia="en-US"/>
              </w:rPr>
              <w:t>8</w:t>
            </w:r>
            <w:r>
              <w:rPr>
                <w:rFonts w:hint="eastAsia"/>
                <w:sz w:val="24"/>
                <w:lang w:eastAsia="en-US"/>
              </w:rPr>
              <w:t>信息技术服务管理体系</w:t>
            </w:r>
            <w:r>
              <w:rPr>
                <w:sz w:val="24"/>
                <w:lang w:eastAsia="en-US"/>
              </w:rPr>
              <w:t>认证得</w:t>
            </w:r>
            <w:r>
              <w:rPr>
                <w:rFonts w:hint="eastAsia"/>
                <w:sz w:val="24"/>
                <w:lang w:eastAsia="en-US"/>
              </w:rPr>
              <w:t>2</w:t>
            </w:r>
            <w:r>
              <w:rPr>
                <w:sz w:val="24"/>
                <w:lang w:eastAsia="en-US"/>
              </w:rPr>
              <w:t>分，具备ISO14001环境管理体系认证得</w:t>
            </w:r>
            <w:r>
              <w:rPr>
                <w:rFonts w:hint="eastAsia"/>
                <w:sz w:val="24"/>
                <w:lang w:eastAsia="en-US"/>
              </w:rPr>
              <w:t>2</w:t>
            </w:r>
            <w:r>
              <w:rPr>
                <w:sz w:val="24"/>
                <w:lang w:eastAsia="en-US"/>
              </w:rPr>
              <w:t>分</w:t>
            </w:r>
            <w:r>
              <w:rPr>
                <w:rFonts w:hint="eastAsia"/>
                <w:sz w:val="24"/>
                <w:lang w:eastAsia="en-US"/>
              </w:rPr>
              <w:t>，共6分。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705"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vAlign w:val="center"/>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具有中国网络安全审查技术与认证中心颁发的信息安全风险评估服务资质一级得1分，二级得</w:t>
            </w:r>
            <w:r>
              <w:rPr>
                <w:sz w:val="24"/>
                <w:lang w:eastAsia="en-US"/>
              </w:rPr>
              <w:t>2</w:t>
            </w:r>
            <w:r>
              <w:rPr>
                <w:rFonts w:hint="eastAsia"/>
                <w:sz w:val="24"/>
                <w:lang w:eastAsia="en-US"/>
              </w:rPr>
              <w:t>分，三级得</w:t>
            </w:r>
            <w:r>
              <w:rPr>
                <w:sz w:val="24"/>
                <w:lang w:eastAsia="en-US"/>
              </w:rPr>
              <w:t>3</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05"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vAlign w:val="center"/>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提供工业信息安全测试评估机构能力认定证书得</w:t>
            </w:r>
            <w:r>
              <w:rPr>
                <w:sz w:val="24"/>
                <w:lang w:eastAsia="en-US"/>
              </w:rPr>
              <w:t>2</w:t>
            </w:r>
            <w:r>
              <w:rPr>
                <w:rFonts w:hint="eastAsia"/>
                <w:sz w:val="24"/>
                <w:lang w:eastAsia="en-US"/>
              </w:rPr>
              <w:t>分，否则不得分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vAlign w:val="center"/>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sz w:val="24"/>
                <w:lang w:eastAsia="en-US"/>
              </w:rPr>
              <w:t>提供测评机构 CNAS 等级保护测评能力认证 2017 年</w:t>
            </w:r>
            <w:r>
              <w:rPr>
                <w:rFonts w:hint="eastAsia"/>
                <w:sz w:val="24"/>
                <w:lang w:eastAsia="en-US"/>
              </w:rPr>
              <w:t>至今（含201</w:t>
            </w:r>
            <w:r>
              <w:rPr>
                <w:sz w:val="24"/>
                <w:lang w:eastAsia="en-US"/>
              </w:rPr>
              <w:t>7</w:t>
            </w:r>
            <w:r>
              <w:rPr>
                <w:rFonts w:hint="eastAsia"/>
                <w:sz w:val="24"/>
                <w:lang w:eastAsia="en-US"/>
              </w:rPr>
              <w:t>年）</w:t>
            </w:r>
            <w:r>
              <w:rPr>
                <w:sz w:val="24"/>
                <w:lang w:eastAsia="en-US"/>
              </w:rPr>
              <w:t>认证结果为满意的证明文件</w:t>
            </w:r>
            <w:r>
              <w:rPr>
                <w:rFonts w:hint="eastAsia"/>
                <w:sz w:val="24"/>
                <w:lang w:eastAsia="en-US"/>
              </w:rPr>
              <w:t>，提供两年得</w:t>
            </w:r>
            <w:r>
              <w:rPr>
                <w:sz w:val="24"/>
                <w:lang w:eastAsia="en-US"/>
              </w:rPr>
              <w:t>1</w:t>
            </w:r>
            <w:r>
              <w:rPr>
                <w:rFonts w:hint="eastAsia"/>
                <w:sz w:val="24"/>
                <w:lang w:eastAsia="en-US"/>
              </w:rPr>
              <w:t>分，连续三年得</w:t>
            </w:r>
            <w:r>
              <w:rPr>
                <w:sz w:val="24"/>
                <w:lang w:eastAsia="en-US"/>
              </w:rPr>
              <w:t>3</w:t>
            </w:r>
            <w:r>
              <w:rPr>
                <w:rFonts w:hint="eastAsia"/>
                <w:sz w:val="24"/>
                <w:lang w:eastAsia="en-US"/>
              </w:rPr>
              <w:t>分，连续五年以上得</w:t>
            </w:r>
            <w:r>
              <w:rPr>
                <w:sz w:val="24"/>
                <w:lang w:eastAsia="en-US"/>
              </w:rPr>
              <w:t>5</w:t>
            </w:r>
            <w:r>
              <w:rPr>
                <w:rFonts w:hint="eastAsia"/>
                <w:sz w:val="24"/>
                <w:lang w:eastAsia="en-US"/>
              </w:rPr>
              <w:t>分；（须提供证书扫描件并加盖投标人公章）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continue"/>
            <w:tcBorders>
              <w:left w:val="single" w:color="000000" w:sz="4" w:space="0"/>
              <w:bottom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bottom w:val="single" w:color="000000" w:sz="4" w:space="0"/>
              <w:right w:val="single" w:color="000000" w:sz="4" w:space="0"/>
            </w:tcBorders>
            <w:vAlign w:val="center"/>
          </w:tcPr>
          <w:p>
            <w:pPr>
              <w:autoSpaceDE w:val="0"/>
              <w:autoSpaceDN w:val="0"/>
              <w:ind w:left="12" w:right="4"/>
              <w:jc w:val="center"/>
              <w:rPr>
                <w:sz w:val="24"/>
                <w:highlight w:val="none"/>
                <w:lang w:eastAsia="en-US"/>
              </w:rPr>
            </w:pPr>
          </w:p>
        </w:tc>
        <w:tc>
          <w:tcPr>
            <w:tcW w:w="818" w:type="dxa"/>
            <w:vMerge w:val="continue"/>
            <w:tcBorders>
              <w:left w:val="single" w:color="000000" w:sz="4" w:space="0"/>
              <w:bottom w:val="single" w:color="000000" w:sz="4" w:space="0"/>
              <w:right w:val="single" w:color="000000" w:sz="4" w:space="0"/>
            </w:tcBorders>
            <w:vAlign w:val="center"/>
          </w:tcPr>
          <w:p>
            <w:pPr>
              <w:autoSpaceDE w:val="0"/>
              <w:autoSpaceDN w:val="0"/>
              <w:ind w:left="9"/>
              <w:jc w:val="center"/>
              <w:rPr>
                <w:sz w:val="24"/>
                <w:highlight w:val="none"/>
                <w:lang w:eastAsia="en-US"/>
              </w:rPr>
            </w:pP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rFonts w:hint="default" w:eastAsia="宋体"/>
                <w:sz w:val="24"/>
                <w:highlight w:val="none"/>
                <w:lang w:val="en-US" w:eastAsia="zh-CN"/>
              </w:rPr>
            </w:pPr>
            <w:r>
              <w:rPr>
                <w:rFonts w:hint="eastAsia" w:ascii="Arial" w:hAnsi="Arial" w:cs="Arial"/>
                <w:i w:val="0"/>
                <w:caps w:val="0"/>
                <w:color w:val="333333"/>
                <w:spacing w:val="0"/>
                <w:sz w:val="21"/>
                <w:szCs w:val="21"/>
                <w:highlight w:val="none"/>
                <w:shd w:val="clear" w:fill="FFFFFF"/>
                <w:lang w:val="en-US" w:eastAsia="zh-CN"/>
              </w:rPr>
              <w:t>具有</w:t>
            </w:r>
            <w:r>
              <w:rPr>
                <w:rFonts w:ascii="Arial" w:hAnsi="Arial" w:eastAsia="宋体" w:cs="Arial"/>
                <w:i w:val="0"/>
                <w:caps w:val="0"/>
                <w:color w:val="333333"/>
                <w:spacing w:val="0"/>
                <w:sz w:val="21"/>
                <w:szCs w:val="21"/>
                <w:highlight w:val="none"/>
                <w:shd w:val="clear" w:fill="FFFFFF"/>
              </w:rPr>
              <w:t>《网络安全等级测评与检测评估机构服务认证证书》</w:t>
            </w:r>
            <w:r>
              <w:rPr>
                <w:rFonts w:hint="eastAsia" w:ascii="Arial" w:hAnsi="Arial" w:cs="Arial"/>
                <w:i w:val="0"/>
                <w:caps w:val="0"/>
                <w:color w:val="333333"/>
                <w:spacing w:val="0"/>
                <w:sz w:val="21"/>
                <w:szCs w:val="21"/>
                <w:highlight w:val="none"/>
                <w:shd w:val="clear" w:fill="FFFFFF"/>
                <w:lang w:eastAsia="zh-CN"/>
              </w:rPr>
              <w:t>，</w:t>
            </w:r>
            <w:r>
              <w:rPr>
                <w:rFonts w:hint="eastAsia" w:ascii="Arial" w:hAnsi="Arial" w:cs="Arial"/>
                <w:i w:val="0"/>
                <w:caps w:val="0"/>
                <w:color w:val="333333"/>
                <w:spacing w:val="0"/>
                <w:sz w:val="21"/>
                <w:szCs w:val="21"/>
                <w:highlight w:val="none"/>
                <w:shd w:val="clear" w:fill="FFFFFF"/>
                <w:lang w:val="en-US" w:eastAsia="zh-CN"/>
              </w:rPr>
              <w:t>得2分，没有不得分。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restart"/>
            <w:tcBorders>
              <w:left w:val="single" w:color="000000" w:sz="4" w:space="0"/>
              <w:right w:val="single" w:color="000000" w:sz="4" w:space="0"/>
            </w:tcBorders>
            <w:vAlign w:val="center"/>
          </w:tcPr>
          <w:p>
            <w:pPr>
              <w:autoSpaceDE w:val="0"/>
              <w:autoSpaceDN w:val="0"/>
              <w:spacing w:before="1"/>
              <w:ind w:left="9"/>
              <w:jc w:val="center"/>
              <w:rPr>
                <w:sz w:val="24"/>
                <w:lang w:eastAsia="en-US"/>
              </w:rPr>
            </w:pPr>
            <w:r>
              <w:rPr>
                <w:sz w:val="24"/>
                <w:lang w:eastAsia="en-US"/>
              </w:rPr>
              <w:t>2</w:t>
            </w:r>
          </w:p>
        </w:tc>
        <w:tc>
          <w:tcPr>
            <w:tcW w:w="1202" w:type="dxa"/>
            <w:vMerge w:val="restart"/>
            <w:tcBorders>
              <w:left w:val="single" w:color="000000" w:sz="4" w:space="0"/>
              <w:right w:val="single" w:color="000000" w:sz="4" w:space="0"/>
            </w:tcBorders>
            <w:vAlign w:val="center"/>
          </w:tcPr>
          <w:p>
            <w:pPr>
              <w:autoSpaceDE w:val="0"/>
              <w:autoSpaceDN w:val="0"/>
              <w:ind w:left="12" w:right="4"/>
              <w:jc w:val="center"/>
              <w:rPr>
                <w:sz w:val="24"/>
                <w:highlight w:val="none"/>
                <w:lang w:eastAsia="en-US"/>
              </w:rPr>
            </w:pPr>
          </w:p>
          <w:p>
            <w:pPr>
              <w:autoSpaceDE w:val="0"/>
              <w:autoSpaceDN w:val="0"/>
              <w:ind w:left="12" w:right="4"/>
              <w:jc w:val="center"/>
              <w:rPr>
                <w:sz w:val="24"/>
                <w:highlight w:val="none"/>
                <w:lang w:eastAsia="en-US"/>
              </w:rPr>
            </w:pPr>
            <w:r>
              <w:rPr>
                <w:sz w:val="24"/>
                <w:highlight w:val="none"/>
                <w:lang w:eastAsia="en-US"/>
              </w:rPr>
              <w:t>业绩</w:t>
            </w:r>
            <w:r>
              <w:rPr>
                <w:rFonts w:hint="eastAsia"/>
                <w:sz w:val="24"/>
                <w:highlight w:val="none"/>
                <w:lang w:eastAsia="en-US"/>
              </w:rPr>
              <w:t>奖项</w:t>
            </w:r>
          </w:p>
          <w:p>
            <w:pPr>
              <w:autoSpaceDE w:val="0"/>
              <w:autoSpaceDN w:val="0"/>
              <w:spacing w:before="1"/>
              <w:ind w:left="12" w:right="4"/>
              <w:jc w:val="center"/>
              <w:rPr>
                <w:sz w:val="24"/>
                <w:highlight w:val="none"/>
                <w:lang w:eastAsia="en-US"/>
              </w:rPr>
            </w:pPr>
          </w:p>
        </w:tc>
        <w:tc>
          <w:tcPr>
            <w:tcW w:w="818" w:type="dxa"/>
            <w:vMerge w:val="restart"/>
            <w:tcBorders>
              <w:left w:val="single" w:color="000000" w:sz="4" w:space="0"/>
              <w:right w:val="single" w:color="000000" w:sz="4" w:space="0"/>
            </w:tcBorders>
            <w:vAlign w:val="center"/>
          </w:tcPr>
          <w:p>
            <w:pPr>
              <w:autoSpaceDE w:val="0"/>
              <w:autoSpaceDN w:val="0"/>
              <w:spacing w:before="1"/>
              <w:ind w:left="9"/>
              <w:jc w:val="center"/>
              <w:rPr>
                <w:rFonts w:hint="eastAsia" w:eastAsia="宋体"/>
                <w:sz w:val="24"/>
                <w:highlight w:val="none"/>
                <w:lang w:eastAsia="zh-CN"/>
              </w:rPr>
            </w:pPr>
            <w:r>
              <w:rPr>
                <w:rFonts w:hint="eastAsia"/>
                <w:sz w:val="24"/>
                <w:highlight w:val="none"/>
                <w:lang w:val="en-US" w:eastAsia="zh-CN"/>
              </w:rPr>
              <w:t>5</w:t>
            </w:r>
          </w:p>
        </w:tc>
        <w:tc>
          <w:tcPr>
            <w:tcW w:w="6302"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测评机构提供五年内完成相关业绩，具有二级系统测评业绩</w:t>
            </w:r>
            <w:r>
              <w:rPr>
                <w:sz w:val="24"/>
                <w:highlight w:val="none"/>
                <w:lang w:eastAsia="en-US"/>
              </w:rPr>
              <w:t>得1分，</w:t>
            </w:r>
            <w:r>
              <w:rPr>
                <w:rFonts w:hint="eastAsia"/>
                <w:sz w:val="24"/>
                <w:highlight w:val="none"/>
                <w:lang w:eastAsia="en-US"/>
              </w:rPr>
              <w:t>三级系统测评业绩</w:t>
            </w:r>
            <w:r>
              <w:rPr>
                <w:sz w:val="24"/>
                <w:highlight w:val="none"/>
                <w:lang w:eastAsia="en-US"/>
              </w:rPr>
              <w:t>得</w:t>
            </w:r>
            <w:r>
              <w:rPr>
                <w:rFonts w:hint="eastAsia"/>
                <w:sz w:val="24"/>
                <w:highlight w:val="none"/>
                <w:lang w:val="en-US" w:eastAsia="zh-CN"/>
              </w:rPr>
              <w:t>2</w:t>
            </w:r>
            <w:r>
              <w:rPr>
                <w:sz w:val="24"/>
                <w:highlight w:val="none"/>
                <w:lang w:eastAsia="en-US"/>
              </w:rPr>
              <w:t>分，</w:t>
            </w:r>
            <w:r>
              <w:rPr>
                <w:rFonts w:hint="eastAsia"/>
                <w:sz w:val="24"/>
                <w:highlight w:val="none"/>
                <w:lang w:eastAsia="en-US"/>
              </w:rPr>
              <w:t>四级系统测评业绩得</w:t>
            </w:r>
            <w:r>
              <w:rPr>
                <w:rFonts w:hint="eastAsia"/>
                <w:sz w:val="24"/>
                <w:highlight w:val="none"/>
                <w:lang w:val="en-US" w:eastAsia="zh-CN"/>
              </w:rPr>
              <w:t>3</w:t>
            </w:r>
            <w:r>
              <w:rPr>
                <w:sz w:val="24"/>
                <w:highlight w:val="none"/>
                <w:lang w:eastAsia="en-US"/>
              </w:rPr>
              <w:t>分</w:t>
            </w:r>
            <w:r>
              <w:rPr>
                <w:rFonts w:hint="eastAsia"/>
                <w:sz w:val="24"/>
                <w:highlight w:val="none"/>
                <w:lang w:eastAsia="en-US"/>
              </w:rPr>
              <w:t>（</w:t>
            </w:r>
            <w:r>
              <w:rPr>
                <w:sz w:val="24"/>
                <w:highlight w:val="none"/>
                <w:lang w:eastAsia="en-US"/>
              </w:rPr>
              <w:t>以合同或中标通知书为准</w:t>
            </w:r>
            <w:r>
              <w:rPr>
                <w:rFonts w:hint="eastAsia"/>
                <w:sz w:val="24"/>
                <w:highlight w:val="none"/>
                <w:lang w:eastAsia="zh-CN"/>
              </w:rPr>
              <w:t>，</w:t>
            </w:r>
            <w:r>
              <w:rPr>
                <w:rFonts w:hint="eastAsia"/>
                <w:sz w:val="24"/>
                <w:highlight w:val="none"/>
                <w:lang w:eastAsia="en-US"/>
              </w:rPr>
              <w:t>附合同扫描件或中标通知书扫描件加盖单位公章，须携带原件备查，弄虚作假者取消其投标资格））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705"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1202" w:type="dxa"/>
            <w:vMerge w:val="continue"/>
            <w:tcBorders>
              <w:left w:val="single" w:color="000000" w:sz="4" w:space="0"/>
              <w:bottom w:val="single" w:color="000000" w:sz="4" w:space="0"/>
              <w:right w:val="single" w:color="000000" w:sz="4" w:space="0"/>
            </w:tcBorders>
          </w:tcPr>
          <w:p>
            <w:pPr>
              <w:autoSpaceDE w:val="0"/>
              <w:autoSpaceDN w:val="0"/>
              <w:spacing w:before="1"/>
              <w:ind w:left="12" w:right="4"/>
              <w:jc w:val="center"/>
              <w:rPr>
                <w:sz w:val="24"/>
                <w:lang w:eastAsia="en-US"/>
              </w:rPr>
            </w:pPr>
          </w:p>
        </w:tc>
        <w:tc>
          <w:tcPr>
            <w:tcW w:w="818"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6302"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获得国家级网络安全应急支撑单位的得</w:t>
            </w:r>
            <w:r>
              <w:rPr>
                <w:rFonts w:hint="eastAsia"/>
                <w:sz w:val="24"/>
                <w:lang w:val="en-US" w:eastAsia="zh-CN"/>
              </w:rPr>
              <w:t>2</w:t>
            </w:r>
            <w:r>
              <w:rPr>
                <w:rFonts w:hint="eastAsia"/>
                <w:sz w:val="24"/>
                <w:lang w:eastAsia="en-US"/>
              </w:rPr>
              <w:t>分，没有不得分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8" w:hRule="atLeast"/>
        </w:trPr>
        <w:tc>
          <w:tcPr>
            <w:tcW w:w="705" w:type="dxa"/>
            <w:vMerge w:val="restart"/>
            <w:tcBorders>
              <w:left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rFonts w:hint="eastAsia"/>
                <w:sz w:val="24"/>
                <w:lang w:eastAsia="en-US"/>
              </w:rPr>
              <w:t>3</w:t>
            </w:r>
          </w:p>
        </w:tc>
        <w:tc>
          <w:tcPr>
            <w:tcW w:w="1202" w:type="dxa"/>
            <w:vMerge w:val="restart"/>
            <w:tcBorders>
              <w:left w:val="single" w:color="000000" w:sz="4" w:space="0"/>
              <w:right w:val="single" w:color="000000" w:sz="4" w:space="0"/>
            </w:tcBorders>
          </w:tcPr>
          <w:p>
            <w:pPr>
              <w:autoSpaceDE w:val="0"/>
              <w:autoSpaceDN w:val="0"/>
              <w:spacing w:before="1"/>
              <w:ind w:left="12" w:right="4"/>
              <w:jc w:val="center"/>
              <w:rPr>
                <w:sz w:val="24"/>
                <w:lang w:eastAsia="en-US"/>
              </w:rPr>
            </w:pPr>
          </w:p>
          <w:p>
            <w:pPr>
              <w:autoSpaceDE w:val="0"/>
              <w:autoSpaceDN w:val="0"/>
              <w:spacing w:before="1"/>
              <w:ind w:left="12" w:right="4"/>
              <w:jc w:val="center"/>
              <w:rPr>
                <w:sz w:val="24"/>
                <w:lang w:eastAsia="en-US"/>
              </w:rPr>
            </w:pPr>
          </w:p>
          <w:p>
            <w:pPr>
              <w:autoSpaceDE w:val="0"/>
              <w:autoSpaceDN w:val="0"/>
              <w:spacing w:before="1"/>
              <w:ind w:left="12" w:right="4"/>
              <w:jc w:val="center"/>
              <w:rPr>
                <w:sz w:val="24"/>
                <w:lang w:eastAsia="en-US"/>
              </w:rPr>
            </w:pPr>
            <w:r>
              <w:rPr>
                <w:rFonts w:hint="eastAsia"/>
                <w:sz w:val="24"/>
                <w:lang w:eastAsia="en-US"/>
              </w:rPr>
              <w:t>优惠承诺</w:t>
            </w:r>
          </w:p>
        </w:tc>
        <w:tc>
          <w:tcPr>
            <w:tcW w:w="818" w:type="dxa"/>
            <w:vMerge w:val="restart"/>
            <w:tcBorders>
              <w:left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sz w:val="24"/>
                <w:lang w:eastAsia="en-US"/>
              </w:rPr>
              <w:t>4</w:t>
            </w:r>
          </w:p>
        </w:tc>
        <w:tc>
          <w:tcPr>
            <w:tcW w:w="6302"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除所要求服务内容外，是否提供具有实质性的其他优惠条件，且丰富、合理，横向对比</w:t>
            </w:r>
            <w:r>
              <w:rPr>
                <w:rFonts w:hint="eastAsia"/>
                <w:sz w:val="24"/>
                <w:lang w:eastAsia="zh-CN"/>
              </w:rPr>
              <w:t>，</w:t>
            </w:r>
            <w:r>
              <w:rPr>
                <w:sz w:val="24"/>
                <w:lang w:eastAsia="en-US"/>
              </w:rPr>
              <w:t>0-2分；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3" w:hRule="atLeast"/>
        </w:trPr>
        <w:tc>
          <w:tcPr>
            <w:tcW w:w="705"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1202" w:type="dxa"/>
            <w:vMerge w:val="continue"/>
            <w:tcBorders>
              <w:left w:val="single" w:color="000000" w:sz="4" w:space="0"/>
              <w:bottom w:val="single" w:color="000000" w:sz="4" w:space="0"/>
              <w:right w:val="single" w:color="000000" w:sz="4" w:space="0"/>
            </w:tcBorders>
          </w:tcPr>
          <w:p>
            <w:pPr>
              <w:autoSpaceDE w:val="0"/>
              <w:autoSpaceDN w:val="0"/>
              <w:spacing w:before="1"/>
              <w:ind w:left="12" w:right="4"/>
              <w:jc w:val="center"/>
              <w:rPr>
                <w:sz w:val="24"/>
                <w:lang w:eastAsia="en-US"/>
              </w:rPr>
            </w:pPr>
          </w:p>
        </w:tc>
        <w:tc>
          <w:tcPr>
            <w:tcW w:w="818"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6302"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sz w:val="24"/>
                <w:lang w:eastAsia="en-US"/>
              </w:rPr>
              <w:t>投标人制定服务响应时间、响应方式等承诺，</w:t>
            </w:r>
            <w:r>
              <w:rPr>
                <w:rFonts w:hint="eastAsia"/>
                <w:sz w:val="24"/>
                <w:lang w:eastAsia="en-US"/>
              </w:rPr>
              <w:t>根据响应时间快慢，横向对比（0-</w:t>
            </w:r>
            <w:r>
              <w:rPr>
                <w:sz w:val="24"/>
                <w:lang w:eastAsia="en-US"/>
              </w:rPr>
              <w:t>2</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705" w:type="dxa"/>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rFonts w:hint="eastAsia"/>
                <w:sz w:val="24"/>
                <w:lang w:eastAsia="en-US"/>
              </w:rPr>
              <w:t>4</w:t>
            </w:r>
          </w:p>
        </w:tc>
        <w:tc>
          <w:tcPr>
            <w:tcW w:w="1202" w:type="dxa"/>
            <w:tcBorders>
              <w:left w:val="single" w:color="000000" w:sz="4" w:space="0"/>
              <w:bottom w:val="single" w:color="000000" w:sz="4" w:space="0"/>
              <w:right w:val="single" w:color="000000" w:sz="4" w:space="0"/>
            </w:tcBorders>
          </w:tcPr>
          <w:p>
            <w:pPr>
              <w:autoSpaceDE w:val="0"/>
              <w:autoSpaceDN w:val="0"/>
              <w:spacing w:before="1"/>
              <w:ind w:left="12" w:right="4"/>
              <w:jc w:val="center"/>
              <w:rPr>
                <w:sz w:val="24"/>
                <w:lang w:eastAsia="en-US"/>
              </w:rPr>
            </w:pPr>
          </w:p>
          <w:p>
            <w:pPr>
              <w:autoSpaceDE w:val="0"/>
              <w:autoSpaceDN w:val="0"/>
              <w:spacing w:before="1"/>
              <w:ind w:left="12" w:right="4"/>
              <w:jc w:val="center"/>
              <w:rPr>
                <w:sz w:val="24"/>
                <w:lang w:eastAsia="en-US"/>
              </w:rPr>
            </w:pPr>
            <w:r>
              <w:rPr>
                <w:rFonts w:hint="eastAsia"/>
                <w:sz w:val="24"/>
                <w:lang w:eastAsia="en-US"/>
              </w:rPr>
              <w:t>标函质量</w:t>
            </w:r>
          </w:p>
        </w:tc>
        <w:tc>
          <w:tcPr>
            <w:tcW w:w="818" w:type="dxa"/>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rFonts w:hint="eastAsia"/>
                <w:sz w:val="24"/>
                <w:lang w:eastAsia="en-US"/>
              </w:rPr>
              <w:t>1</w:t>
            </w:r>
          </w:p>
        </w:tc>
        <w:tc>
          <w:tcPr>
            <w:tcW w:w="6302"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投标人提交的投标文件中编制内容是否完整，齐全，叙述严谨，标书是否存在涂改、错页、漏页等现象。投标文件中提供的扫描件、图片中字迹清晰、可辨认。横向对比，优秀得1分，一般0.</w:t>
            </w:r>
            <w:r>
              <w:rPr>
                <w:sz w:val="24"/>
                <w:lang w:eastAsia="en-US"/>
              </w:rPr>
              <w:t>5</w:t>
            </w:r>
            <w:r>
              <w:rPr>
                <w:rFonts w:hint="eastAsia"/>
                <w:sz w:val="24"/>
                <w:lang w:eastAsia="en-US"/>
              </w:rPr>
              <w:t>分，较差得0分。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7" w:hRule="atLeast"/>
        </w:trPr>
        <w:tc>
          <w:tcPr>
            <w:tcW w:w="9027" w:type="dxa"/>
            <w:gridSpan w:val="4"/>
            <w:tcBorders>
              <w:top w:val="single" w:color="000000" w:sz="4" w:space="0"/>
              <w:left w:val="single" w:color="000000" w:sz="4" w:space="0"/>
              <w:bottom w:val="single" w:color="auto" w:sz="4" w:space="0"/>
              <w:right w:val="single" w:color="000000" w:sz="4" w:space="0"/>
            </w:tcBorders>
            <w:vAlign w:val="center"/>
          </w:tcPr>
          <w:p>
            <w:pPr>
              <w:autoSpaceDE w:val="0"/>
              <w:autoSpaceDN w:val="0"/>
              <w:spacing w:before="5"/>
              <w:ind w:left="15"/>
              <w:jc w:val="both"/>
              <w:rPr>
                <w:sz w:val="24"/>
                <w:lang w:eastAsia="en-US"/>
              </w:rPr>
            </w:pPr>
            <w:r>
              <w:rPr>
                <w:rFonts w:hint="eastAsia"/>
                <w:sz w:val="24"/>
                <w:lang w:eastAsia="en-US"/>
              </w:rPr>
              <w:t>三、技术及人员配备</w:t>
            </w:r>
            <w:r>
              <w:rPr>
                <w:sz w:val="24"/>
                <w:lang w:eastAsia="en-US"/>
              </w:rPr>
              <w:t>（50分）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5"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ind w:left="9"/>
              <w:jc w:val="center"/>
              <w:rPr>
                <w:sz w:val="24"/>
                <w:lang w:eastAsia="en-US"/>
              </w:rPr>
            </w:pPr>
            <w:r>
              <w:rPr>
                <w:rFonts w:hint="eastAsia"/>
                <w:sz w:val="24"/>
                <w:lang w:eastAsia="en-US"/>
              </w:rPr>
              <w:t>1</w:t>
            </w:r>
          </w:p>
        </w:tc>
        <w:tc>
          <w:tcPr>
            <w:tcW w:w="12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before="185"/>
              <w:ind w:left="120"/>
              <w:jc w:val="center"/>
              <w:rPr>
                <w:sz w:val="24"/>
                <w:lang w:eastAsia="en-US"/>
              </w:rPr>
            </w:pPr>
            <w:r>
              <w:rPr>
                <w:rFonts w:hint="eastAsia"/>
                <w:sz w:val="24"/>
                <w:lang w:eastAsia="en-US"/>
              </w:rPr>
              <w:t>技术方案</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before="185"/>
              <w:ind w:left="148" w:right="139"/>
              <w:jc w:val="center"/>
              <w:rPr>
                <w:sz w:val="24"/>
                <w:lang w:eastAsia="en-US"/>
              </w:rPr>
            </w:pPr>
            <w:r>
              <w:rPr>
                <w:sz w:val="24"/>
                <w:lang w:eastAsia="en-US"/>
              </w:rPr>
              <w:t>16</w:t>
            </w:r>
          </w:p>
        </w:tc>
        <w:tc>
          <w:tcPr>
            <w:tcW w:w="630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5"/>
              <w:ind w:left="15"/>
              <w:jc w:val="both"/>
              <w:rPr>
                <w:sz w:val="24"/>
                <w:lang w:eastAsia="en-US"/>
              </w:rPr>
            </w:pPr>
            <w:r>
              <w:rPr>
                <w:rFonts w:hint="eastAsia"/>
                <w:sz w:val="24"/>
                <w:lang w:eastAsia="en-US"/>
              </w:rPr>
              <w:t>投标文件中对等级保护测评项目的流程详细描述，制定项目实施计划，流程详细全面且可操作性强得4分，一般得</w:t>
            </w:r>
            <w:r>
              <w:rPr>
                <w:sz w:val="24"/>
                <w:lang w:eastAsia="en-US"/>
              </w:rPr>
              <w:t>2</w:t>
            </w:r>
            <w:r>
              <w:rPr>
                <w:rFonts w:hint="eastAsia"/>
                <w:sz w:val="24"/>
                <w:lang w:eastAsia="en-US"/>
              </w:rPr>
              <w:t>-</w:t>
            </w:r>
            <w:r>
              <w:rPr>
                <w:sz w:val="24"/>
                <w:lang w:eastAsia="en-US"/>
              </w:rPr>
              <w:t>3</w:t>
            </w:r>
            <w:r>
              <w:rPr>
                <w:rFonts w:hint="eastAsia"/>
                <w:sz w:val="24"/>
                <w:lang w:eastAsia="en-US"/>
              </w:rPr>
              <w:t>分，较差得</w:t>
            </w:r>
            <w:r>
              <w:rPr>
                <w:sz w:val="24"/>
                <w:lang w:eastAsia="en-US"/>
              </w:rPr>
              <w:t>0</w:t>
            </w:r>
            <w:r>
              <w:rPr>
                <w:rFonts w:hint="eastAsia"/>
                <w:sz w:val="24"/>
                <w:lang w:eastAsia="en-US"/>
              </w:rPr>
              <w:t>-</w:t>
            </w:r>
            <w:r>
              <w:rPr>
                <w:sz w:val="24"/>
                <w:lang w:eastAsia="en-US"/>
              </w:rPr>
              <w:t>1</w:t>
            </w:r>
            <w:r>
              <w:rPr>
                <w:rFonts w:hint="eastAsia"/>
                <w:sz w:val="24"/>
                <w:lang w:eastAsia="en-US"/>
              </w:rPr>
              <w:t>分</w:t>
            </w:r>
            <w:r>
              <w:rPr>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5" w:hRule="atLeast"/>
        </w:trPr>
        <w:tc>
          <w:tcPr>
            <w:tcW w:w="705"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1202"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818"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630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5"/>
              <w:ind w:left="15"/>
              <w:jc w:val="both"/>
              <w:rPr>
                <w:sz w:val="24"/>
                <w:lang w:eastAsia="en-US"/>
              </w:rPr>
            </w:pPr>
            <w:r>
              <w:rPr>
                <w:sz w:val="24"/>
                <w:lang w:eastAsia="en-US"/>
              </w:rPr>
              <w:t>根据投标人提出</w:t>
            </w:r>
            <w:r>
              <w:rPr>
                <w:rFonts w:hint="eastAsia"/>
                <w:sz w:val="24"/>
                <w:lang w:eastAsia="en-US"/>
              </w:rPr>
              <w:t>的方案有效性，横向对比。（</w:t>
            </w:r>
            <w:r>
              <w:rPr>
                <w:sz w:val="24"/>
                <w:lang w:eastAsia="en-US"/>
              </w:rPr>
              <w:t>0-4分）深化招标项目的内容，项目计划完整，方案适用于</w:t>
            </w:r>
            <w:r>
              <w:rPr>
                <w:rFonts w:hint="eastAsia"/>
                <w:sz w:val="24"/>
                <w:lang w:eastAsia="en-US"/>
              </w:rPr>
              <w:t>本项目</w:t>
            </w:r>
            <w:r>
              <w:rPr>
                <w:sz w:val="24"/>
                <w:lang w:eastAsia="en-US"/>
              </w:rPr>
              <w:t>实际情况。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4" w:hRule="atLeast"/>
        </w:trPr>
        <w:tc>
          <w:tcPr>
            <w:tcW w:w="705"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1202"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818"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6302" w:type="dxa"/>
            <w:tcBorders>
              <w:top w:val="single" w:color="auto" w:sz="4" w:space="0"/>
              <w:left w:val="single" w:color="auto" w:sz="4" w:space="0"/>
              <w:bottom w:val="single" w:color="auto" w:sz="4" w:space="0"/>
              <w:right w:val="single" w:color="auto" w:sz="4" w:space="0"/>
            </w:tcBorders>
          </w:tcPr>
          <w:p>
            <w:pPr>
              <w:autoSpaceDE w:val="0"/>
              <w:autoSpaceDN w:val="0"/>
              <w:spacing w:before="15"/>
              <w:ind w:left="15"/>
              <w:rPr>
                <w:sz w:val="24"/>
                <w:lang w:eastAsia="en-US"/>
              </w:rPr>
            </w:pPr>
            <w:r>
              <w:rPr>
                <w:sz w:val="24"/>
                <w:lang w:eastAsia="en-US"/>
              </w:rPr>
              <w:t>根据投标人提出</w:t>
            </w:r>
            <w:r>
              <w:rPr>
                <w:rFonts w:hint="eastAsia"/>
                <w:sz w:val="24"/>
                <w:lang w:eastAsia="en-US"/>
              </w:rPr>
              <w:t>的测评手段</w:t>
            </w:r>
            <w:r>
              <w:rPr>
                <w:sz w:val="24"/>
                <w:lang w:eastAsia="en-US"/>
              </w:rPr>
              <w:t>先进</w:t>
            </w:r>
            <w:r>
              <w:rPr>
                <w:rFonts w:hint="eastAsia"/>
                <w:sz w:val="24"/>
                <w:lang w:eastAsia="en-US"/>
              </w:rPr>
              <w:t>性，横向对比，可提供自主知识产权的等级保护测评工具，每提供一个得1分，最高得</w:t>
            </w:r>
            <w:r>
              <w:rPr>
                <w:sz w:val="24"/>
                <w:lang w:eastAsia="en-US"/>
              </w:rPr>
              <w:t>4</w:t>
            </w:r>
            <w:r>
              <w:rPr>
                <w:rFonts w:hint="eastAsia"/>
                <w:sz w:val="24"/>
                <w:lang w:eastAsia="en-US"/>
              </w:rPr>
              <w:t>分，否则不得分</w:t>
            </w:r>
            <w:r>
              <w:rPr>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705"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1202"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818"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6302" w:type="dxa"/>
            <w:tcBorders>
              <w:top w:val="single" w:color="auto" w:sz="4" w:space="0"/>
              <w:left w:val="single" w:color="auto" w:sz="4" w:space="0"/>
              <w:bottom w:val="single" w:color="auto" w:sz="4" w:space="0"/>
              <w:right w:val="single" w:color="auto" w:sz="4" w:space="0"/>
            </w:tcBorders>
          </w:tcPr>
          <w:p>
            <w:pPr>
              <w:autoSpaceDE w:val="0"/>
              <w:autoSpaceDN w:val="0"/>
              <w:spacing w:before="15"/>
              <w:ind w:left="15"/>
              <w:rPr>
                <w:sz w:val="24"/>
                <w:lang w:eastAsia="en-US"/>
              </w:rPr>
            </w:pPr>
            <w:r>
              <w:rPr>
                <w:rFonts w:hint="eastAsia"/>
                <w:sz w:val="24"/>
                <w:lang w:eastAsia="en-US"/>
              </w:rPr>
              <w:t>提供符合项目需求的测评方法描述，测试保障手段，有多种不同的测评方法，根据测评方法的多样性进行评分，优4分，一般得</w:t>
            </w:r>
            <w:r>
              <w:rPr>
                <w:sz w:val="24"/>
                <w:lang w:eastAsia="en-US"/>
              </w:rPr>
              <w:t>2</w:t>
            </w:r>
            <w:r>
              <w:rPr>
                <w:rFonts w:hint="eastAsia"/>
                <w:sz w:val="24"/>
                <w:lang w:eastAsia="en-US"/>
              </w:rPr>
              <w:t>-</w:t>
            </w:r>
            <w:r>
              <w:rPr>
                <w:sz w:val="24"/>
                <w:lang w:eastAsia="en-US"/>
              </w:rPr>
              <w:t>3</w:t>
            </w:r>
            <w:r>
              <w:rPr>
                <w:rFonts w:hint="eastAsia"/>
                <w:sz w:val="24"/>
                <w:lang w:eastAsia="en-US"/>
              </w:rPr>
              <w:t>分，较差得</w:t>
            </w:r>
            <w:r>
              <w:rPr>
                <w:sz w:val="24"/>
                <w:lang w:eastAsia="en-US"/>
              </w:rPr>
              <w:t>0</w:t>
            </w:r>
            <w:r>
              <w:rPr>
                <w:rFonts w:hint="eastAsia"/>
                <w:sz w:val="24"/>
                <w:lang w:eastAsia="en-US"/>
              </w:rPr>
              <w:t>-</w:t>
            </w:r>
            <w:r>
              <w:rPr>
                <w:sz w:val="24"/>
                <w:lang w:eastAsia="en-US"/>
              </w:rPr>
              <w:t>1</w:t>
            </w:r>
            <w:r>
              <w:rPr>
                <w:rFonts w:hint="eastAsia"/>
                <w:sz w:val="24"/>
                <w:lang w:eastAsia="en-US"/>
              </w:rPr>
              <w:t>分</w:t>
            </w:r>
            <w:r>
              <w:rPr>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0" w:hRule="atLeast"/>
        </w:trPr>
        <w:tc>
          <w:tcPr>
            <w:tcW w:w="705" w:type="dxa"/>
            <w:tcBorders>
              <w:top w:val="single" w:color="auto" w:sz="4" w:space="0"/>
              <w:left w:val="single" w:color="000000" w:sz="4" w:space="0"/>
              <w:bottom w:val="single" w:color="000000" w:sz="4" w:space="0"/>
              <w:right w:val="single" w:color="000000" w:sz="4" w:space="0"/>
            </w:tcBorders>
          </w:tcPr>
          <w:p>
            <w:pPr>
              <w:autoSpaceDE w:val="0"/>
              <w:autoSpaceDN w:val="0"/>
              <w:spacing w:before="2"/>
              <w:rPr>
                <w:sz w:val="26"/>
                <w:lang w:eastAsia="en-US"/>
              </w:rPr>
            </w:pPr>
          </w:p>
          <w:p>
            <w:pPr>
              <w:autoSpaceDE w:val="0"/>
              <w:autoSpaceDN w:val="0"/>
              <w:ind w:left="9"/>
              <w:jc w:val="center"/>
              <w:rPr>
                <w:sz w:val="24"/>
                <w:lang w:eastAsia="en-US"/>
              </w:rPr>
            </w:pPr>
            <w:r>
              <w:rPr>
                <w:rFonts w:hint="eastAsia"/>
                <w:sz w:val="24"/>
                <w:lang w:eastAsia="en-US"/>
              </w:rPr>
              <w:t>2</w:t>
            </w:r>
          </w:p>
        </w:tc>
        <w:tc>
          <w:tcPr>
            <w:tcW w:w="1202" w:type="dxa"/>
            <w:tcBorders>
              <w:top w:val="single" w:color="auto" w:sz="4" w:space="0"/>
              <w:left w:val="single" w:color="000000" w:sz="4" w:space="0"/>
              <w:bottom w:val="single" w:color="000000" w:sz="4" w:space="0"/>
              <w:right w:val="single" w:color="000000" w:sz="4" w:space="0"/>
            </w:tcBorders>
          </w:tcPr>
          <w:p>
            <w:pPr>
              <w:autoSpaceDE w:val="0"/>
              <w:autoSpaceDN w:val="0"/>
              <w:spacing w:before="23" w:line="362" w:lineRule="auto"/>
              <w:ind w:left="360" w:right="109" w:hanging="240"/>
              <w:rPr>
                <w:sz w:val="24"/>
                <w:lang w:eastAsia="en-US"/>
              </w:rPr>
            </w:pPr>
            <w:r>
              <w:rPr>
                <w:sz w:val="24"/>
                <w:lang w:eastAsia="en-US"/>
              </w:rPr>
              <w:t>风险规避措施</w:t>
            </w:r>
          </w:p>
        </w:tc>
        <w:tc>
          <w:tcPr>
            <w:tcW w:w="818" w:type="dxa"/>
            <w:tcBorders>
              <w:top w:val="single" w:color="auto" w:sz="4" w:space="0"/>
              <w:left w:val="single" w:color="000000" w:sz="4" w:space="0"/>
              <w:bottom w:val="single" w:color="000000" w:sz="4" w:space="0"/>
              <w:right w:val="single" w:color="000000" w:sz="4" w:space="0"/>
            </w:tcBorders>
          </w:tcPr>
          <w:p>
            <w:pPr>
              <w:autoSpaceDE w:val="0"/>
              <w:autoSpaceDN w:val="0"/>
              <w:spacing w:before="2"/>
              <w:rPr>
                <w:sz w:val="26"/>
                <w:lang w:eastAsia="en-US"/>
              </w:rPr>
            </w:pPr>
          </w:p>
          <w:p>
            <w:pPr>
              <w:autoSpaceDE w:val="0"/>
              <w:autoSpaceDN w:val="0"/>
              <w:ind w:left="9"/>
              <w:jc w:val="center"/>
              <w:rPr>
                <w:sz w:val="24"/>
                <w:lang w:eastAsia="en-US"/>
              </w:rPr>
            </w:pPr>
            <w:r>
              <w:rPr>
                <w:sz w:val="24"/>
                <w:lang w:eastAsia="en-US"/>
              </w:rPr>
              <w:t>2</w:t>
            </w:r>
          </w:p>
        </w:tc>
        <w:tc>
          <w:tcPr>
            <w:tcW w:w="6302" w:type="dxa"/>
            <w:tcBorders>
              <w:top w:val="single" w:color="auto" w:sz="4" w:space="0"/>
              <w:left w:val="single" w:color="000000" w:sz="4" w:space="0"/>
              <w:bottom w:val="single" w:color="000000" w:sz="4" w:space="0"/>
              <w:right w:val="single" w:color="000000" w:sz="4" w:space="0"/>
            </w:tcBorders>
          </w:tcPr>
          <w:p>
            <w:pPr>
              <w:autoSpaceDE w:val="0"/>
              <w:autoSpaceDN w:val="0"/>
              <w:spacing w:before="98"/>
              <w:ind w:left="15"/>
              <w:rPr>
                <w:sz w:val="24"/>
                <w:lang w:eastAsia="en-US"/>
              </w:rPr>
            </w:pPr>
            <w:r>
              <w:rPr>
                <w:sz w:val="24"/>
                <w:lang w:eastAsia="en-US"/>
              </w:rPr>
              <w:t>根据投标人提出拟定对测评中出现的风险的规避措施完整、论述充分、</w:t>
            </w:r>
            <w:r>
              <w:rPr>
                <w:rFonts w:hint="eastAsia"/>
                <w:sz w:val="24"/>
                <w:lang w:eastAsia="en-US"/>
              </w:rPr>
              <w:t>横向对比，</w:t>
            </w:r>
            <w:r>
              <w:rPr>
                <w:sz w:val="24"/>
                <w:lang w:eastAsia="en-US"/>
              </w:rPr>
              <w:t>详细者得 2 分；较好得 1分，一般得 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1" w:hRule="atLeast"/>
        </w:trPr>
        <w:tc>
          <w:tcPr>
            <w:tcW w:w="705" w:type="dxa"/>
            <w:tcBorders>
              <w:top w:val="single" w:color="000000" w:sz="4" w:space="0"/>
              <w:left w:val="single" w:color="000000" w:sz="4" w:space="0"/>
              <w:bottom w:val="single" w:color="000000" w:sz="4" w:space="0"/>
              <w:right w:val="single" w:color="000000" w:sz="4" w:space="0"/>
            </w:tcBorders>
          </w:tcPr>
          <w:p>
            <w:pPr>
              <w:autoSpaceDE w:val="0"/>
              <w:autoSpaceDN w:val="0"/>
              <w:spacing w:before="2"/>
              <w:rPr>
                <w:sz w:val="26"/>
                <w:lang w:eastAsia="en-US"/>
              </w:rPr>
            </w:pPr>
          </w:p>
          <w:p>
            <w:pPr>
              <w:autoSpaceDE w:val="0"/>
              <w:autoSpaceDN w:val="0"/>
              <w:ind w:left="9"/>
              <w:jc w:val="center"/>
              <w:rPr>
                <w:sz w:val="24"/>
                <w:lang w:eastAsia="en-US"/>
              </w:rPr>
            </w:pPr>
            <w:r>
              <w:rPr>
                <w:rFonts w:hint="eastAsia"/>
                <w:sz w:val="24"/>
                <w:lang w:eastAsia="en-US"/>
              </w:rPr>
              <w:t>3</w:t>
            </w:r>
          </w:p>
        </w:tc>
        <w:tc>
          <w:tcPr>
            <w:tcW w:w="1202" w:type="dxa"/>
            <w:tcBorders>
              <w:top w:val="single" w:color="000000" w:sz="4" w:space="0"/>
              <w:left w:val="single" w:color="000000" w:sz="4" w:space="0"/>
              <w:bottom w:val="single" w:color="000000" w:sz="4" w:space="0"/>
              <w:right w:val="single" w:color="000000" w:sz="4" w:space="0"/>
            </w:tcBorders>
          </w:tcPr>
          <w:p>
            <w:pPr>
              <w:autoSpaceDE w:val="0"/>
              <w:autoSpaceDN w:val="0"/>
              <w:spacing w:before="2"/>
              <w:rPr>
                <w:sz w:val="20"/>
                <w:lang w:eastAsia="en-US"/>
              </w:rPr>
            </w:pPr>
          </w:p>
          <w:p>
            <w:pPr>
              <w:autoSpaceDE w:val="0"/>
              <w:autoSpaceDN w:val="0"/>
              <w:ind w:left="12" w:right="4"/>
              <w:jc w:val="center"/>
              <w:rPr>
                <w:sz w:val="24"/>
                <w:lang w:eastAsia="en-US"/>
              </w:rPr>
            </w:pPr>
            <w:r>
              <w:rPr>
                <w:sz w:val="24"/>
                <w:lang w:eastAsia="en-US"/>
              </w:rPr>
              <w:t>培训方案</w:t>
            </w:r>
          </w:p>
        </w:tc>
        <w:tc>
          <w:tcPr>
            <w:tcW w:w="818" w:type="dxa"/>
            <w:tcBorders>
              <w:top w:val="single" w:color="000000" w:sz="4" w:space="0"/>
              <w:left w:val="single" w:color="000000" w:sz="4" w:space="0"/>
              <w:bottom w:val="single" w:color="000000" w:sz="4" w:space="0"/>
              <w:right w:val="single" w:color="000000" w:sz="4" w:space="0"/>
            </w:tcBorders>
          </w:tcPr>
          <w:p>
            <w:pPr>
              <w:autoSpaceDE w:val="0"/>
              <w:autoSpaceDN w:val="0"/>
              <w:ind w:left="9"/>
              <w:jc w:val="center"/>
              <w:rPr>
                <w:sz w:val="24"/>
                <w:lang w:eastAsia="en-US"/>
              </w:rPr>
            </w:pPr>
          </w:p>
          <w:p>
            <w:pPr>
              <w:autoSpaceDE w:val="0"/>
              <w:autoSpaceDN w:val="0"/>
              <w:ind w:left="9"/>
              <w:jc w:val="center"/>
              <w:rPr>
                <w:sz w:val="24"/>
                <w:lang w:eastAsia="en-US"/>
              </w:rPr>
            </w:pPr>
            <w:r>
              <w:rPr>
                <w:sz w:val="24"/>
                <w:lang w:eastAsia="en-US"/>
              </w:rPr>
              <w:t>2</w:t>
            </w:r>
          </w:p>
        </w:tc>
        <w:tc>
          <w:tcPr>
            <w:tcW w:w="6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8"/>
              <w:ind w:left="15"/>
              <w:jc w:val="both"/>
              <w:rPr>
                <w:sz w:val="24"/>
                <w:lang w:eastAsia="en-US"/>
              </w:rPr>
            </w:pPr>
            <w:r>
              <w:rPr>
                <w:sz w:val="24"/>
                <w:lang w:eastAsia="en-US"/>
              </w:rPr>
              <w:t>根据投标人提出拟定的培训方案完整、论述充分、</w:t>
            </w:r>
            <w:r>
              <w:rPr>
                <w:rFonts w:hint="eastAsia"/>
                <w:sz w:val="24"/>
                <w:lang w:eastAsia="en-US"/>
              </w:rPr>
              <w:t>横向对比，</w:t>
            </w:r>
            <w:r>
              <w:rPr>
                <w:sz w:val="24"/>
                <w:lang w:eastAsia="en-US"/>
              </w:rPr>
              <w:t>详细者得2 分；较好得 1 分，一般得 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6" w:hRule="atLeast"/>
        </w:trPr>
        <w:tc>
          <w:tcPr>
            <w:tcW w:w="705" w:type="dxa"/>
            <w:vMerge w:val="restart"/>
            <w:tcBorders>
              <w:top w:val="single" w:color="000000" w:sz="4" w:space="0"/>
              <w:left w:val="single" w:color="000000" w:sz="4" w:space="0"/>
              <w:right w:val="single" w:color="000000" w:sz="4" w:space="0"/>
            </w:tcBorders>
            <w:vAlign w:val="center"/>
          </w:tcPr>
          <w:p>
            <w:pPr>
              <w:autoSpaceDE w:val="0"/>
              <w:autoSpaceDN w:val="0"/>
              <w:ind w:left="9"/>
              <w:jc w:val="center"/>
              <w:rPr>
                <w:sz w:val="24"/>
                <w:lang w:eastAsia="en-US"/>
              </w:rPr>
            </w:pPr>
            <w:r>
              <w:rPr>
                <w:rFonts w:hint="eastAsia"/>
                <w:sz w:val="24"/>
                <w:lang w:eastAsia="en-US"/>
              </w:rPr>
              <w:t>4</w:t>
            </w:r>
          </w:p>
        </w:tc>
        <w:tc>
          <w:tcPr>
            <w:tcW w:w="1202" w:type="dxa"/>
            <w:tcBorders>
              <w:top w:val="single" w:color="000000" w:sz="4" w:space="0"/>
              <w:left w:val="single" w:color="000000" w:sz="4" w:space="0"/>
              <w:bottom w:val="single" w:color="auto" w:sz="4" w:space="0"/>
              <w:right w:val="single" w:color="000000" w:sz="4" w:space="0"/>
            </w:tcBorders>
          </w:tcPr>
          <w:p>
            <w:pPr>
              <w:autoSpaceDE w:val="0"/>
              <w:autoSpaceDN w:val="0"/>
              <w:ind w:left="12" w:right="4"/>
              <w:jc w:val="center"/>
              <w:rPr>
                <w:sz w:val="24"/>
                <w:lang w:eastAsia="en-US"/>
              </w:rPr>
            </w:pPr>
          </w:p>
          <w:p>
            <w:pPr>
              <w:autoSpaceDE w:val="0"/>
              <w:autoSpaceDN w:val="0"/>
              <w:ind w:left="12" w:right="4"/>
              <w:jc w:val="center"/>
              <w:rPr>
                <w:sz w:val="24"/>
                <w:lang w:eastAsia="en-US"/>
              </w:rPr>
            </w:pPr>
          </w:p>
          <w:p>
            <w:pPr>
              <w:autoSpaceDE w:val="0"/>
              <w:autoSpaceDN w:val="0"/>
              <w:ind w:left="12" w:right="4"/>
              <w:jc w:val="center"/>
              <w:rPr>
                <w:sz w:val="24"/>
                <w:lang w:eastAsia="en-US"/>
              </w:rPr>
            </w:pPr>
          </w:p>
          <w:p>
            <w:pPr>
              <w:autoSpaceDE w:val="0"/>
              <w:autoSpaceDN w:val="0"/>
              <w:ind w:left="12" w:right="4"/>
              <w:jc w:val="center"/>
              <w:rPr>
                <w:sz w:val="24"/>
                <w:lang w:eastAsia="en-US"/>
              </w:rPr>
            </w:pPr>
          </w:p>
          <w:p>
            <w:pPr>
              <w:autoSpaceDE w:val="0"/>
              <w:autoSpaceDN w:val="0"/>
              <w:ind w:left="12" w:right="4"/>
              <w:jc w:val="center"/>
              <w:rPr>
                <w:lang w:eastAsia="en-US"/>
              </w:rPr>
            </w:pPr>
            <w:r>
              <w:rPr>
                <w:sz w:val="24"/>
                <w:lang w:eastAsia="en-US"/>
              </w:rPr>
              <w:t>项目</w:t>
            </w:r>
            <w:r>
              <w:rPr>
                <w:rFonts w:hint="eastAsia"/>
                <w:sz w:val="24"/>
                <w:lang w:eastAsia="en-US"/>
              </w:rPr>
              <w:t>经理</w:t>
            </w:r>
          </w:p>
        </w:tc>
        <w:tc>
          <w:tcPr>
            <w:tcW w:w="818" w:type="dxa"/>
            <w:tcBorders>
              <w:top w:val="single" w:color="000000" w:sz="4" w:space="0"/>
              <w:left w:val="single" w:color="000000" w:sz="4" w:space="0"/>
              <w:bottom w:val="single" w:color="auto" w:sz="4" w:space="0"/>
              <w:right w:val="single" w:color="000000" w:sz="4" w:space="0"/>
            </w:tcBorders>
          </w:tcPr>
          <w:p>
            <w:pPr>
              <w:autoSpaceDE w:val="0"/>
              <w:autoSpaceDN w:val="0"/>
              <w:rPr>
                <w:sz w:val="24"/>
                <w:lang w:eastAsia="en-US"/>
              </w:rPr>
            </w:pPr>
          </w:p>
          <w:p>
            <w:pPr>
              <w:autoSpaceDE w:val="0"/>
              <w:autoSpaceDN w:val="0"/>
              <w:rPr>
                <w:sz w:val="24"/>
                <w:lang w:eastAsia="en-US"/>
              </w:rPr>
            </w:pPr>
          </w:p>
          <w:p>
            <w:pPr>
              <w:autoSpaceDE w:val="0"/>
              <w:autoSpaceDN w:val="0"/>
              <w:rPr>
                <w:sz w:val="24"/>
                <w:lang w:eastAsia="en-US"/>
              </w:rPr>
            </w:pPr>
          </w:p>
          <w:p>
            <w:pPr>
              <w:autoSpaceDE w:val="0"/>
              <w:autoSpaceDN w:val="0"/>
              <w:ind w:left="9"/>
              <w:jc w:val="center"/>
              <w:rPr>
                <w:sz w:val="24"/>
                <w:lang w:eastAsia="en-US"/>
              </w:rPr>
            </w:pPr>
            <w:r>
              <w:rPr>
                <w:sz w:val="24"/>
                <w:lang w:eastAsia="en-US"/>
              </w:rPr>
              <w:t>12</w:t>
            </w:r>
          </w:p>
        </w:tc>
        <w:tc>
          <w:tcPr>
            <w:tcW w:w="6302" w:type="dxa"/>
            <w:tcBorders>
              <w:top w:val="single" w:color="000000" w:sz="4" w:space="0"/>
              <w:left w:val="single" w:color="000000" w:sz="4" w:space="0"/>
              <w:bottom w:val="single" w:color="auto" w:sz="4" w:space="0"/>
              <w:right w:val="single" w:color="000000" w:sz="4" w:space="0"/>
            </w:tcBorders>
          </w:tcPr>
          <w:p>
            <w:pPr>
              <w:autoSpaceDE w:val="0"/>
              <w:autoSpaceDN w:val="0"/>
              <w:spacing w:before="98"/>
              <w:ind w:left="15"/>
              <w:jc w:val="both"/>
              <w:rPr>
                <w:sz w:val="24"/>
                <w:lang w:eastAsia="en-US"/>
              </w:rPr>
            </w:pPr>
            <w:r>
              <w:rPr>
                <w:sz w:val="24"/>
                <w:lang w:eastAsia="en-US"/>
              </w:rPr>
              <w:t>1、</w:t>
            </w:r>
            <w:r>
              <w:rPr>
                <w:rFonts w:hint="eastAsia"/>
                <w:sz w:val="24"/>
                <w:lang w:eastAsia="en-US"/>
              </w:rPr>
              <w:t>项目经理</w:t>
            </w:r>
            <w:r>
              <w:rPr>
                <w:sz w:val="24"/>
                <w:lang w:eastAsia="en-US"/>
              </w:rPr>
              <w:t xml:space="preserve">获得公安部信息安全等级保护评估中心颁发的信息安全等级测评师证书（高级测评师 4 分）； </w:t>
            </w:r>
          </w:p>
          <w:p>
            <w:pPr>
              <w:autoSpaceDE w:val="0"/>
              <w:autoSpaceDN w:val="0"/>
              <w:spacing w:before="98"/>
              <w:ind w:left="15"/>
              <w:jc w:val="both"/>
              <w:rPr>
                <w:sz w:val="24"/>
                <w:lang w:eastAsia="en-US"/>
              </w:rPr>
            </w:pPr>
            <w:r>
              <w:rPr>
                <w:sz w:val="24"/>
                <w:lang w:eastAsia="en-US"/>
              </w:rPr>
              <w:t>2、</w:t>
            </w:r>
            <w:r>
              <w:rPr>
                <w:rFonts w:hint="eastAsia"/>
                <w:sz w:val="24"/>
                <w:lang w:eastAsia="en-US"/>
              </w:rPr>
              <w:t>项目经理获得信息系统项目管理师（高级）证书的得3分；</w:t>
            </w:r>
          </w:p>
          <w:p>
            <w:pPr>
              <w:autoSpaceDE w:val="0"/>
              <w:autoSpaceDN w:val="0"/>
              <w:ind w:left="12" w:right="4"/>
              <w:jc w:val="left"/>
              <w:rPr>
                <w:sz w:val="24"/>
                <w:lang w:eastAsia="en-US"/>
              </w:rPr>
            </w:pPr>
            <w:r>
              <w:rPr>
                <w:sz w:val="24"/>
                <w:lang w:eastAsia="en-US"/>
              </w:rPr>
              <w:t>3、</w:t>
            </w:r>
            <w:r>
              <w:rPr>
                <w:rFonts w:hint="eastAsia"/>
                <w:sz w:val="24"/>
                <w:lang w:eastAsia="en-US"/>
              </w:rPr>
              <w:t>项目经理同时获得中国信息安全测评中心颁发的注册信息安全专业人员证书（即CISP证书）资质证书、信息安全保障人员认证证书（即CISAW证书）、渗透测试证书（即CISP-PTE证书）、应用检测专业测评人员（即NSATP-A证书）</w:t>
            </w:r>
            <w:r>
              <w:rPr>
                <w:sz w:val="24"/>
                <w:lang w:eastAsia="en-US"/>
              </w:rPr>
              <w:t>、</w:t>
            </w:r>
            <w:r>
              <w:rPr>
                <w:rFonts w:hint="eastAsia"/>
                <w:sz w:val="24"/>
                <w:lang w:eastAsia="en-US"/>
              </w:rPr>
              <w:t>CISP注册电子数据取证专业人员，每项得</w:t>
            </w:r>
            <w:r>
              <w:rPr>
                <w:sz w:val="24"/>
                <w:lang w:eastAsia="en-US"/>
              </w:rPr>
              <w:t>1</w:t>
            </w:r>
            <w:r>
              <w:rPr>
                <w:rFonts w:hint="eastAsia"/>
                <w:sz w:val="24"/>
                <w:lang w:eastAsia="en-US"/>
              </w:rPr>
              <w:t>分，本项5分；</w:t>
            </w:r>
            <w:r>
              <w:rPr>
                <w:rFonts w:hint="eastAsia"/>
                <w:b/>
                <w:bCs/>
                <w:sz w:val="24"/>
                <w:lang w:val="en-US" w:eastAsia="zh-CN"/>
              </w:rPr>
              <w:t>备注：</w:t>
            </w:r>
            <w:r>
              <w:rPr>
                <w:b/>
                <w:bCs/>
                <w:spacing w:val="-8"/>
                <w:sz w:val="24"/>
                <w:lang w:eastAsia="en-US"/>
              </w:rPr>
              <w:t>（</w:t>
            </w:r>
            <w:r>
              <w:rPr>
                <w:b/>
                <w:bCs/>
                <w:sz w:val="24"/>
                <w:lang w:eastAsia="en-US"/>
              </w:rPr>
              <w:t>提供证书复印件并加</w:t>
            </w:r>
            <w:r>
              <w:rPr>
                <w:b/>
                <w:bCs/>
                <w:spacing w:val="-7"/>
                <w:sz w:val="24"/>
                <w:lang w:eastAsia="en-US"/>
              </w:rPr>
              <w:t>盖公章，原</w:t>
            </w:r>
            <w:r>
              <w:rPr>
                <w:b/>
                <w:bCs/>
                <w:sz w:val="24"/>
                <w:lang w:eastAsia="en-US"/>
              </w:rPr>
              <w:t>件备查</w:t>
            </w:r>
            <w:r>
              <w:rPr>
                <w:rFonts w:hint="eastAsia"/>
                <w:b/>
                <w:bCs/>
                <w:sz w:val="24"/>
                <w:lang w:eastAsia="en-US"/>
              </w:rPr>
              <w:t>，</w:t>
            </w:r>
            <w:r>
              <w:rPr>
                <w:b/>
                <w:bCs/>
                <w:spacing w:val="-2"/>
                <w:sz w:val="24"/>
                <w:lang w:eastAsia="en-US"/>
              </w:rPr>
              <w:t>需提供人员近六个月的社保缴纳证明</w:t>
            </w:r>
            <w:r>
              <w:rPr>
                <w:rFonts w:hint="eastAsia"/>
                <w:b/>
                <w:bCs/>
                <w:spacing w:val="-2"/>
                <w:sz w:val="24"/>
                <w:lang w:eastAsia="zh-CN"/>
              </w:rPr>
              <w:t>，</w:t>
            </w:r>
            <w:r>
              <w:rPr>
                <w:rFonts w:hint="eastAsia"/>
                <w:b/>
                <w:bCs/>
                <w:spacing w:val="-2"/>
                <w:sz w:val="24"/>
                <w:lang w:val="en-US" w:eastAsia="zh-CN"/>
              </w:rPr>
              <w:t>不提供的不得分</w:t>
            </w:r>
            <w:r>
              <w:rPr>
                <w:b/>
                <w:bCs/>
                <w:spacing w:val="-2"/>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restart"/>
            <w:tcBorders>
              <w:top w:val="single" w:color="auto" w:sz="4" w:space="0"/>
              <w:left w:val="single" w:color="000000" w:sz="4" w:space="0"/>
              <w:right w:val="single" w:color="000000" w:sz="4" w:space="0"/>
            </w:tcBorders>
          </w:tcPr>
          <w:p>
            <w:pPr>
              <w:autoSpaceDE w:val="0"/>
              <w:autoSpaceDN w:val="0"/>
              <w:spacing w:before="6"/>
              <w:jc w:val="center"/>
              <w:rPr>
                <w:sz w:val="24"/>
                <w:lang w:eastAsia="en-US"/>
              </w:rPr>
            </w:pPr>
          </w:p>
          <w:p>
            <w:pPr>
              <w:autoSpaceDE w:val="0"/>
              <w:autoSpaceDN w:val="0"/>
              <w:spacing w:before="6"/>
              <w:jc w:val="center"/>
              <w:rPr>
                <w:sz w:val="24"/>
                <w:lang w:eastAsia="en-US"/>
              </w:rPr>
            </w:pPr>
          </w:p>
          <w:p>
            <w:pPr>
              <w:autoSpaceDE w:val="0"/>
              <w:autoSpaceDN w:val="0"/>
              <w:spacing w:before="6"/>
              <w:jc w:val="center"/>
              <w:rPr>
                <w:sz w:val="24"/>
                <w:lang w:eastAsia="en-US"/>
              </w:rPr>
            </w:pPr>
          </w:p>
          <w:p>
            <w:pPr>
              <w:autoSpaceDE w:val="0"/>
              <w:autoSpaceDN w:val="0"/>
              <w:spacing w:before="6"/>
              <w:jc w:val="center"/>
              <w:rPr>
                <w:sz w:val="24"/>
                <w:lang w:eastAsia="en-US"/>
              </w:rPr>
            </w:pPr>
          </w:p>
          <w:p>
            <w:pPr>
              <w:autoSpaceDE w:val="0"/>
              <w:autoSpaceDN w:val="0"/>
              <w:spacing w:before="6"/>
              <w:jc w:val="center"/>
              <w:rPr>
                <w:sz w:val="21"/>
                <w:lang w:eastAsia="en-US"/>
              </w:rPr>
            </w:pPr>
            <w:r>
              <w:rPr>
                <w:sz w:val="24"/>
                <w:lang w:eastAsia="en-US"/>
              </w:rPr>
              <w:t>项目团队</w:t>
            </w:r>
            <w:r>
              <w:rPr>
                <w:spacing w:val="-8"/>
                <w:sz w:val="24"/>
                <w:lang w:eastAsia="en-US"/>
              </w:rPr>
              <w:t>人员</w:t>
            </w:r>
          </w:p>
        </w:tc>
        <w:tc>
          <w:tcPr>
            <w:tcW w:w="818" w:type="dxa"/>
            <w:vMerge w:val="restart"/>
            <w:tcBorders>
              <w:top w:val="single" w:color="auto" w:sz="4" w:space="0"/>
              <w:left w:val="single" w:color="000000" w:sz="4" w:space="0"/>
              <w:right w:val="single" w:color="000000" w:sz="4" w:space="0"/>
            </w:tcBorders>
            <w:vAlign w:val="center"/>
          </w:tcPr>
          <w:p>
            <w:pPr>
              <w:autoSpaceDE w:val="0"/>
              <w:autoSpaceDN w:val="0"/>
              <w:jc w:val="center"/>
              <w:rPr>
                <w:sz w:val="24"/>
                <w:lang w:eastAsia="en-US"/>
              </w:rPr>
            </w:pPr>
            <w:r>
              <w:rPr>
                <w:sz w:val="24"/>
                <w:lang w:eastAsia="en-US"/>
              </w:rPr>
              <w:t>18</w:t>
            </w:r>
          </w:p>
        </w:tc>
        <w:tc>
          <w:tcPr>
            <w:tcW w:w="6302"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项目成员具有中级及以上测评师资质，且同时具有中国信息安全测评中心颁发的注册渗透测试工程师（即CISP-PTE证书），每增加1人得</w:t>
            </w:r>
            <w:r>
              <w:rPr>
                <w:sz w:val="24"/>
                <w:lang w:eastAsia="en-US"/>
              </w:rPr>
              <w:t>2</w:t>
            </w:r>
            <w:r>
              <w:rPr>
                <w:rFonts w:hint="eastAsia"/>
                <w:sz w:val="24"/>
                <w:lang w:eastAsia="en-US"/>
              </w:rPr>
              <w:t>分，本项最高</w:t>
            </w:r>
            <w:r>
              <w:rPr>
                <w:sz w:val="24"/>
                <w:lang w:eastAsia="en-US"/>
              </w:rPr>
              <w:t>6</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jc w:val="center"/>
              <w:rPr>
                <w:sz w:val="24"/>
                <w:lang w:eastAsia="en-US"/>
              </w:rPr>
            </w:pPr>
          </w:p>
        </w:tc>
        <w:tc>
          <w:tcPr>
            <w:tcW w:w="6302"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项目成员具有中级及以上测评师资质同时具有工信部颁发的项目管理师证书（高级）得</w:t>
            </w:r>
            <w:r>
              <w:rPr>
                <w:sz w:val="24"/>
                <w:lang w:eastAsia="en-US"/>
              </w:rPr>
              <w:t>3</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4"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jc w:val="center"/>
              <w:rPr>
                <w:sz w:val="24"/>
                <w:lang w:eastAsia="en-US"/>
              </w:rPr>
            </w:pPr>
          </w:p>
        </w:tc>
        <w:tc>
          <w:tcPr>
            <w:tcW w:w="6302"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具有测评师资质同时具有信息安全保障人员认证证书（风险管理CISAW) 1人得1分，最高</w:t>
            </w:r>
            <w:r>
              <w:rPr>
                <w:sz w:val="24"/>
                <w:lang w:eastAsia="en-US"/>
              </w:rPr>
              <w:t>5</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jc w:val="center"/>
              <w:rPr>
                <w:sz w:val="24"/>
                <w:lang w:eastAsia="en-US"/>
              </w:rPr>
            </w:pPr>
          </w:p>
        </w:tc>
        <w:tc>
          <w:tcPr>
            <w:tcW w:w="6302"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项目成员具有测评师资质同时具有国家重要信息系统保护人员培训证书（即CIIP-I证书）的得</w:t>
            </w:r>
            <w:r>
              <w:rPr>
                <w:sz w:val="24"/>
                <w:lang w:eastAsia="en-US"/>
              </w:rPr>
              <w:t>2</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8"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tcPr>
          <w:p>
            <w:pPr>
              <w:autoSpaceDE w:val="0"/>
              <w:autoSpaceDN w:val="0"/>
              <w:rPr>
                <w:sz w:val="24"/>
                <w:lang w:eastAsia="en-US"/>
              </w:rPr>
            </w:pPr>
          </w:p>
        </w:tc>
        <w:tc>
          <w:tcPr>
            <w:tcW w:w="6302"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right="3"/>
              <w:rPr>
                <w:sz w:val="24"/>
                <w:lang w:eastAsia="en-US"/>
              </w:rPr>
            </w:pPr>
            <w:r>
              <w:rPr>
                <w:rFonts w:hint="eastAsia"/>
                <w:sz w:val="24"/>
                <w:lang w:eastAsia="en-US"/>
              </w:rPr>
              <w:t>具有测评师资质同时具有CIIP-A（云计算安全）证书的得</w:t>
            </w:r>
            <w:r>
              <w:rPr>
                <w:sz w:val="24"/>
                <w:lang w:eastAsia="en-US"/>
              </w:rPr>
              <w:t>2</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8" w:hRule="atLeast"/>
        </w:trPr>
        <w:tc>
          <w:tcPr>
            <w:tcW w:w="705" w:type="dxa"/>
            <w:vMerge w:val="continue"/>
            <w:tcBorders>
              <w:left w:val="single" w:color="000000" w:sz="4" w:space="0"/>
              <w:bottom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bottom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bottom w:val="single" w:color="000000" w:sz="4" w:space="0"/>
              <w:right w:val="single" w:color="000000" w:sz="4" w:space="0"/>
            </w:tcBorders>
          </w:tcPr>
          <w:p>
            <w:pPr>
              <w:autoSpaceDE w:val="0"/>
              <w:autoSpaceDN w:val="0"/>
              <w:rPr>
                <w:sz w:val="24"/>
                <w:lang w:eastAsia="en-US"/>
              </w:rPr>
            </w:pPr>
          </w:p>
        </w:tc>
        <w:tc>
          <w:tcPr>
            <w:tcW w:w="6302" w:type="dxa"/>
            <w:tcBorders>
              <w:top w:val="single" w:color="auto" w:sz="4" w:space="0"/>
              <w:left w:val="single" w:color="000000" w:sz="4" w:space="0"/>
              <w:bottom w:val="single" w:color="000000" w:sz="4" w:space="0"/>
              <w:right w:val="single" w:color="000000" w:sz="4" w:space="0"/>
            </w:tcBorders>
          </w:tcPr>
          <w:p>
            <w:pPr>
              <w:autoSpaceDE w:val="0"/>
              <w:autoSpaceDN w:val="0"/>
              <w:spacing w:before="159" w:line="310" w:lineRule="atLeast"/>
              <w:ind w:right="3"/>
              <w:rPr>
                <w:rFonts w:hint="eastAsia"/>
                <w:sz w:val="24"/>
                <w:lang w:eastAsia="en-US"/>
              </w:rPr>
            </w:pPr>
            <w:r>
              <w:rPr>
                <w:rFonts w:hint="eastAsia"/>
                <w:b/>
                <w:bCs/>
                <w:sz w:val="24"/>
                <w:lang w:val="en-US" w:eastAsia="zh-CN"/>
              </w:rPr>
              <w:t>备注：</w:t>
            </w:r>
            <w:r>
              <w:rPr>
                <w:b/>
                <w:bCs/>
                <w:spacing w:val="-8"/>
                <w:sz w:val="24"/>
                <w:lang w:eastAsia="en-US"/>
              </w:rPr>
              <w:t>（</w:t>
            </w:r>
            <w:r>
              <w:rPr>
                <w:b/>
                <w:bCs/>
                <w:sz w:val="24"/>
                <w:lang w:eastAsia="en-US"/>
              </w:rPr>
              <w:t>提供证书复印件并加</w:t>
            </w:r>
            <w:r>
              <w:rPr>
                <w:b/>
                <w:bCs/>
                <w:spacing w:val="-7"/>
                <w:sz w:val="24"/>
                <w:lang w:eastAsia="en-US"/>
              </w:rPr>
              <w:t>盖公章，原</w:t>
            </w:r>
            <w:r>
              <w:rPr>
                <w:b/>
                <w:bCs/>
                <w:sz w:val="24"/>
                <w:lang w:eastAsia="en-US"/>
              </w:rPr>
              <w:t>件备查</w:t>
            </w:r>
            <w:r>
              <w:rPr>
                <w:rFonts w:hint="eastAsia"/>
                <w:b/>
                <w:bCs/>
                <w:sz w:val="24"/>
                <w:lang w:eastAsia="en-US"/>
              </w:rPr>
              <w:t>，</w:t>
            </w:r>
            <w:r>
              <w:rPr>
                <w:b/>
                <w:bCs/>
                <w:spacing w:val="-2"/>
                <w:sz w:val="24"/>
                <w:lang w:eastAsia="en-US"/>
              </w:rPr>
              <w:t>需提供人员近六个月的社保缴纳证明</w:t>
            </w:r>
            <w:r>
              <w:rPr>
                <w:rFonts w:hint="eastAsia"/>
                <w:b/>
                <w:bCs/>
                <w:spacing w:val="-2"/>
                <w:sz w:val="24"/>
                <w:lang w:eastAsia="zh-CN"/>
              </w:rPr>
              <w:t>，</w:t>
            </w:r>
            <w:r>
              <w:rPr>
                <w:rFonts w:hint="eastAsia"/>
                <w:b/>
                <w:bCs/>
                <w:spacing w:val="-2"/>
                <w:sz w:val="24"/>
                <w:lang w:val="en-US" w:eastAsia="zh-CN"/>
              </w:rPr>
              <w:t>不提供的不得分</w:t>
            </w:r>
            <w:r>
              <w:rPr>
                <w:b/>
                <w:bCs/>
                <w:spacing w:val="-2"/>
                <w:sz w:val="24"/>
                <w:lang w:eastAsia="en-US"/>
              </w:rPr>
              <w:t>）</w:t>
            </w:r>
          </w:p>
        </w:tc>
      </w:tr>
    </w:tbl>
    <w:p>
      <w:pPr>
        <w:pStyle w:val="8"/>
        <w:kinsoku w:val="0"/>
        <w:overflowPunct w:val="0"/>
        <w:spacing w:before="34"/>
        <w:ind w:left="0"/>
        <w:jc w:val="both"/>
        <w:rPr>
          <w:rFonts w:hint="eastAsia" w:ascii="宋体" w:hAnsi="宋体" w:eastAsia="宋体" w:cs="宋体"/>
          <w:b/>
          <w:bCs/>
          <w:highlight w:val="none"/>
        </w:rPr>
      </w:pPr>
    </w:p>
    <w:p>
      <w:pPr>
        <w:pStyle w:val="8"/>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适用招标投标法的政府采购工程建设项目，采用综合评估法但未采用低价优先法计算价格分的，评标时应当在采用原报价进行评分的基础上阶段性增加其价格得分的6%-10%作为其价格分。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8"/>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w:t>
      </w:r>
      <w:r>
        <w:rPr>
          <w:rFonts w:hint="eastAsia" w:ascii="宋体" w:hAnsi="宋体" w:eastAsia="宋体" w:cs="宋体"/>
          <w:highlight w:val="none"/>
          <w:lang w:val="en-US" w:eastAsia="zh-CN"/>
        </w:rPr>
        <w:t>10</w:t>
      </w:r>
      <w:r>
        <w:rPr>
          <w:rFonts w:hint="eastAsia" w:ascii="宋体" w:hAnsi="宋体" w:eastAsia="宋体" w:cs="宋体"/>
          <w:highlight w:val="none"/>
        </w:rPr>
        <w:t>%后参与评审，不与第1条叠加。</w:t>
      </w:r>
    </w:p>
    <w:p>
      <w:pPr>
        <w:pStyle w:val="8"/>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8"/>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1"/>
        </w:numPr>
        <w:rPr>
          <w:rFonts w:hint="eastAsia" w:ascii="方正小标宋_GBK" w:hAnsi="方正小标宋_GBK" w:eastAsia="方正小标宋_GBK" w:cs="方正小标宋_GBK"/>
          <w:sz w:val="28"/>
          <w:szCs w:val="28"/>
        </w:rPr>
      </w:pPr>
      <w:r>
        <w:rPr>
          <w:rFonts w:hint="eastAsia" w:ascii="宋体" w:hAnsi="宋体" w:eastAsia="宋体" w:cs="宋体"/>
          <w:highlight w:val="none"/>
        </w:rPr>
        <w:br w:type="page"/>
      </w:r>
      <w:bookmarkStart w:id="71" w:name="_Toc14707"/>
      <w:r>
        <w:rPr>
          <w:rFonts w:hint="eastAsia" w:ascii="宋体" w:hAnsi="宋体" w:eastAsia="宋体" w:cs="宋体"/>
          <w:highlight w:val="none"/>
          <w:lang w:val="en-US" w:eastAsia="zh-CN"/>
        </w:rPr>
        <w:t xml:space="preserve"> </w:t>
      </w:r>
      <w:r>
        <w:rPr>
          <w:rFonts w:hint="eastAsia" w:ascii="宋体" w:hAnsi="宋体" w:eastAsia="宋体" w:cs="宋体"/>
          <w:spacing w:val="1"/>
          <w:highlight w:val="none"/>
        </w:rPr>
        <w:t>磋商内容</w:t>
      </w:r>
      <w:bookmarkEnd w:id="71"/>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 项目背景</w:t>
      </w:r>
    </w:p>
    <w:p>
      <w:pPr>
        <w:spacing w:line="560" w:lineRule="exact"/>
        <w:ind w:left="0" w:leftChars="0" w:firstLine="480" w:firstLineChars="200"/>
        <w:jc w:val="left"/>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根据《</w:t>
      </w:r>
      <w:r>
        <w:rPr>
          <w:rFonts w:hint="eastAsia" w:ascii="宋体" w:hAnsi="宋体" w:eastAsia="宋体" w:cs="宋体"/>
          <w:kern w:val="0"/>
          <w:sz w:val="24"/>
          <w:szCs w:val="24"/>
          <w:highlight w:val="none"/>
          <w:lang w:val="en-US" w:eastAsia="zh-CN" w:bidi="ar-SA"/>
        </w:rPr>
        <w:t>网络安全法</w:t>
      </w:r>
      <w:r>
        <w:rPr>
          <w:rFonts w:hint="eastAsia" w:ascii="宋体" w:hAnsi="宋体" w:cs="宋体"/>
          <w:kern w:val="0"/>
          <w:sz w:val="24"/>
          <w:szCs w:val="24"/>
          <w:highlight w:val="none"/>
          <w:lang w:val="en-US" w:eastAsia="zh-CN" w:bidi="ar-SA"/>
        </w:rPr>
        <w:t>》第二十一条国家实行网络安全等级保护制度、《信息安全等级保护管理办法》第十四条第三级信息系统应当每年至少进行一次等级测评的要求。</w:t>
      </w:r>
      <w:r>
        <w:rPr>
          <w:rFonts w:hint="eastAsia" w:ascii="宋体" w:hAnsi="宋体" w:eastAsia="宋体" w:cs="宋体"/>
          <w:kern w:val="0"/>
          <w:sz w:val="24"/>
          <w:szCs w:val="24"/>
          <w:highlight w:val="none"/>
          <w:lang w:val="en-US" w:eastAsia="zh-CN" w:bidi="ar-SA"/>
        </w:rPr>
        <w:t>按照关于印发《信息安全等级保护管理办法》的通知和自治区人民政府《关于进一步加强网络信息安全工作的意见》文件，对新疆智慧旅游一期建设</w:t>
      </w:r>
      <w:r>
        <w:rPr>
          <w:rFonts w:hint="eastAsia" w:ascii="宋体" w:hAnsi="宋体" w:cs="宋体"/>
          <w:kern w:val="0"/>
          <w:sz w:val="24"/>
          <w:szCs w:val="24"/>
          <w:highlight w:val="none"/>
          <w:lang w:val="en-US" w:eastAsia="zh-CN" w:bidi="ar-SA"/>
        </w:rPr>
        <w:t>“一中心三平台”</w:t>
      </w:r>
      <w:r>
        <w:rPr>
          <w:rFonts w:hint="eastAsia" w:ascii="宋体" w:hAnsi="宋体" w:eastAsia="宋体" w:cs="宋体"/>
          <w:kern w:val="0"/>
          <w:sz w:val="24"/>
          <w:szCs w:val="24"/>
          <w:highlight w:val="none"/>
          <w:lang w:val="en-US" w:eastAsia="zh-CN" w:bidi="ar-SA"/>
        </w:rPr>
        <w:t>进行网络安全等级保护测评和信息系统安全风险评估工作。</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 项目内容</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（一）测评目的</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按照网络安全等级保护与国家信息系统安全等级保护有关标准规范，针对新疆智慧旅游一期建设“一中心三平台”进行实施</w:t>
      </w:r>
      <w:r>
        <w:rPr>
          <w:rFonts w:hint="eastAsia" w:ascii="宋体" w:hAnsi="宋体" w:cs="宋体"/>
          <w:kern w:val="0"/>
          <w:sz w:val="24"/>
          <w:szCs w:val="24"/>
          <w:highlight w:val="none"/>
          <w:lang w:val="en-US" w:eastAsia="zh-CN" w:bidi="ar-SA"/>
        </w:rPr>
        <w:t>安全测评</w:t>
      </w:r>
      <w:r>
        <w:rPr>
          <w:rFonts w:hint="eastAsia" w:ascii="宋体" w:hAnsi="宋体" w:eastAsia="宋体" w:cs="宋体"/>
          <w:kern w:val="0"/>
          <w:sz w:val="24"/>
          <w:szCs w:val="24"/>
          <w:highlight w:val="none"/>
          <w:lang w:val="en-US" w:eastAsia="zh-CN" w:bidi="ar-SA"/>
        </w:rPr>
        <w:t>和</w:t>
      </w:r>
      <w:r>
        <w:rPr>
          <w:rFonts w:hint="eastAsia" w:ascii="宋体" w:hAnsi="宋体" w:cs="宋体"/>
          <w:kern w:val="0"/>
          <w:sz w:val="24"/>
          <w:szCs w:val="24"/>
          <w:highlight w:val="none"/>
          <w:lang w:val="en-US" w:eastAsia="zh-CN" w:bidi="ar-SA"/>
        </w:rPr>
        <w:t>指导</w:t>
      </w:r>
      <w:r>
        <w:rPr>
          <w:rFonts w:hint="eastAsia" w:ascii="宋体" w:hAnsi="宋体" w:eastAsia="宋体" w:cs="宋体"/>
          <w:kern w:val="0"/>
          <w:sz w:val="24"/>
          <w:szCs w:val="24"/>
          <w:highlight w:val="none"/>
          <w:lang w:val="en-US" w:eastAsia="zh-CN" w:bidi="ar-SA"/>
        </w:rPr>
        <w:t>整改，综合提升信息系统的安全保障能力和防护水平，确保信息系统的安全稳定运行。</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（二）测评依据</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[本次项目参考的政策文件]</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《中华人民共和国网络安全法》</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《国家信息化领导小组关于加强信息安全保障工作的意见》（中办发[2003]27 号）</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[本次项目依据的国家标准规范]</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《计算机信息系统安全保护等级划分准则》（GB 17859—1999）</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《信息系统安全等级保护基本要求》（GB/T 22239—2008）</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《网络安全等级保护定级指南》（GA/T 1389—2017）</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《信息系统安全等级保护实施指南》</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《信息系统安全等级保护测评准则》</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《信息系统安全风险评估实施指南》</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[其他参考资料]</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信息系统通用安全技术要求》（GB/T20271-2006）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网络基础安全技术要求》（GB/T20270-2006）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操作系统安全技术要求》（GB/T20272-2006）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数据库管理系统安全技术要求》（GB/T20273-2006）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终端计算机系统安全等级技术要求》（GA/T671）</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《信息技术安全技术信息安全管理体系要求》（GB/T 22080—2008）</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《信息技术安全技术信息安全管理实用规则》（GB/T 22081—2008）</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《信息系统安全安全管理要求》（GB/T20269）</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《信息系统安全工程管理要求》（GB/T20282）</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服务器技术要求》（GB/T21082）</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 测评对象</w:t>
      </w:r>
    </w:p>
    <w:p>
      <w:pPr>
        <w:spacing w:line="560" w:lineRule="exact"/>
        <w:ind w:left="0" w:leftChars="0" w:firstLine="0" w:firstLineChars="0"/>
        <w:jc w:val="center"/>
        <w:outlineLvl w:val="9"/>
        <w:rPr>
          <w:rFonts w:hint="eastAsia" w:ascii="宋体" w:hAnsi="宋体" w:eastAsia="宋体" w:cs="宋体"/>
          <w:kern w:val="0"/>
          <w:sz w:val="24"/>
          <w:szCs w:val="24"/>
          <w:highlight w:val="none"/>
          <w:lang w:val="en-US" w:eastAsia="zh-CN" w:bidi="ar-SA"/>
        </w:rPr>
      </w:pP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序号</w:t>
      </w:r>
      <w:r>
        <w:rPr>
          <w:rFonts w:hint="eastAsia" w:ascii="宋体" w:hAnsi="宋体" w:eastAsia="宋体" w:cs="宋体"/>
          <w:kern w:val="0"/>
          <w:sz w:val="24"/>
          <w:szCs w:val="24"/>
          <w:highlight w:val="none"/>
          <w:lang w:val="en-US" w:eastAsia="zh-CN" w:bidi="ar-SA"/>
        </w:rPr>
        <w:tab/>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信息系统名称</w:t>
      </w:r>
      <w:r>
        <w:rPr>
          <w:rFonts w:hint="eastAsia" w:ascii="宋体" w:hAnsi="宋体" w:eastAsia="宋体" w:cs="宋体"/>
          <w:kern w:val="0"/>
          <w:sz w:val="24"/>
          <w:szCs w:val="24"/>
          <w:highlight w:val="none"/>
          <w:lang w:val="en-US" w:eastAsia="zh-CN" w:bidi="ar-SA"/>
        </w:rPr>
        <w:tab/>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安全保护等级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新疆旅游大数据中心</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三级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智慧旅游管理平台</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三级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智慧旅游营销及服务平台</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三级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ab/>
      </w:r>
      <w:r>
        <w:rPr>
          <w:rFonts w:hint="eastAsia" w:ascii="宋体" w:hAnsi="宋体" w:cs="宋体"/>
          <w:kern w:val="0"/>
          <w:sz w:val="24"/>
          <w:szCs w:val="24"/>
          <w:highlight w:val="none"/>
          <w:lang w:val="en-US" w:eastAsia="zh-CN" w:bidi="ar-SA"/>
        </w:rPr>
        <w:t>新疆文物综合信息管理服务平台</w:t>
      </w:r>
      <w:r>
        <w:rPr>
          <w:rFonts w:hint="eastAsia" w:ascii="宋体" w:hAnsi="宋体" w:eastAsia="宋体" w:cs="宋体"/>
          <w:kern w:val="0"/>
          <w:sz w:val="24"/>
          <w:szCs w:val="24"/>
          <w:highlight w:val="none"/>
          <w:lang w:val="en-US" w:eastAsia="zh-CN" w:bidi="ar-SA"/>
        </w:rPr>
        <w:tab/>
      </w:r>
      <w:r>
        <w:rPr>
          <w:rFonts w:hint="eastAsia" w:ascii="宋体" w:hAnsi="宋体" w:eastAsia="宋体" w:cs="宋体"/>
          <w:kern w:val="0"/>
          <w:sz w:val="24"/>
          <w:szCs w:val="24"/>
          <w:highlight w:val="none"/>
          <w:lang w:val="en-US" w:eastAsia="zh-CN" w:bidi="ar-SA"/>
        </w:rPr>
        <w:t>三级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（四）信息系统安全等级测评服务内容</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依据国家相关信息安全标准和规范，严格遵循《信息安全技术信息系统安全等级保护测评要求》和《信息安全技术信息系统安全等级保护测评过程指南》文件，根据本项目信息系统已完成的定级备案安全等级，开展相应级别的安全等级测评工作，测评工作包括技术测评和管理测评两部分，分别为：</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1、技术测评</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（1）物理和环境安全：物理位置的选择、物理访问控制、防盗窃和防破坏、防雷击、防火、防水和防潮、防静电、温湿度控制、电力供应、电磁防护。</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网络和通信安全：通过访谈、检查和测试的方式评测信息系统的网络安全保障情况。主要涉及对象为信息系统的网络拓扑结构、网络设备以及网络安全设备等三大类，具体的测评内容如下所示：网络架构、通信传输、边界防护、访问控制、入侵防范、恶意代码防范、安全审计、集中管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设备和计算安全：通过访谈、检查和测试的方式，测评信息系统主要服务器操作系统和主要数据库管理系统安全保障情况。具体测评内容包括：身份鉴别、访问控制、安全审计、入侵防范、恶意代码防范、资源控制。</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应用和数据安全：通过访谈、检查和测试的方式评测生产系统的应用安全保障情况。主要涉及的对象为应用软件系统，具体测评内容包括：身份鉴别、访问控制、安全审计、软件容错、资源控制、数据完整性、数据保密性、数据备份恢复、剩余信息保护、个人信息保护。</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2、管理测评</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安全策略和管理制度：通过访谈和检查的形式评估安全管理制度的制定、发布、评审和修订等情况。主要涉及的对象为安全主管人员、安全管理人员、其他人员、管理制度、操作规程文件等，具体测评内容包括：安全策略、管理制度、制定和发布、评审和修订。</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安全管理机构和人员：通过访谈和检查的形式评估安全管理机构的组成情况和机构人员安全控制方面的情况。主要涉及的对象为安全主管人员、安全管理人员、相关的文件资料和工作记录等，具体测评内容包括：岗位设置、人员配备、授权和审批、沟通和合作、审核和检查、人员录用、人员离岗、安全意识教育和培训、外部人员访问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安全建设管理：通过访谈和检查的形式评估系统建设管理过程中的安全控制情况。主要涉及对象为安全主管人员、系统建设负责人、管理制度、操作规程文件、执行过程记录等，具体测评内容包括：定级和备案、安全方案设计、产品采购和使用、自行软件开发、外包软件开发、工程实施、测试验收、系统交付、等级测评、服务供应商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安全运维管理：通过访谈和检查的形式评测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维护管理、漏洞和风险管理、网络与系统安全管理、恶意代码防范管理、配置管理、密码管理、变更管理、备份与恢复管理、安全事件处置、应急预案管理、外包运维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根据以上 8 个层面的现场测评结果出具《网络安全等级测评报告》，并到当地公安完成备案。</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（五）保密要求</w:t>
      </w:r>
    </w:p>
    <w:p>
      <w:pPr>
        <w:spacing w:line="560" w:lineRule="exact"/>
        <w:ind w:left="0" w:leftChars="0" w:firstLine="0" w:firstLineChars="0"/>
        <w:jc w:val="center"/>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服务商有义务对项目实施过程中所收集、产生的所有与本项目相关文档、资料，包括文字、图片、表格、数字等各种形式的内容保密，应按照要求签署保密协议。</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（六） 项目工期</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服务商需在合同签订后，根据业主时限要求完成项目测评，并于 30 日内完成测评并提交项目测评报告。</w:t>
      </w:r>
    </w:p>
    <w:p>
      <w:pPr>
        <w:spacing w:line="560" w:lineRule="exact"/>
        <w:ind w:left="0" w:leftChars="0" w:firstLine="0" w:firstLineChars="0"/>
        <w:jc w:val="center"/>
        <w:outlineLvl w:val="0"/>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SA"/>
        </w:rPr>
        <w:br w:type="page"/>
      </w:r>
      <w:bookmarkStart w:id="72" w:name="_Toc14342"/>
      <w:r>
        <w:rPr>
          <w:rFonts w:hint="eastAsia" w:ascii="宋体" w:hAnsi="宋体" w:eastAsia="宋体" w:cs="宋体"/>
          <w:b/>
          <w:bCs/>
          <w:w w:val="95"/>
          <w:kern w:val="0"/>
          <w:sz w:val="32"/>
          <w:szCs w:val="32"/>
          <w:highlight w:val="none"/>
          <w:lang w:val="en-US" w:eastAsia="zh-CN" w:bidi="ar-SA"/>
        </w:rPr>
        <w:t>第五章</w:t>
      </w:r>
      <w:r>
        <w:rPr>
          <w:rFonts w:hint="eastAsia" w:ascii="宋体" w:hAnsi="宋体" w:eastAsia="宋体" w:cs="宋体"/>
          <w:b/>
          <w:bCs/>
          <w:w w:val="95"/>
          <w:kern w:val="0"/>
          <w:sz w:val="32"/>
          <w:szCs w:val="32"/>
          <w:highlight w:val="none"/>
          <w:lang w:val="en-US" w:eastAsia="zh-CN" w:bidi="ar-SA"/>
        </w:rPr>
        <w:tab/>
      </w:r>
      <w:r>
        <w:rPr>
          <w:rFonts w:hint="eastAsia" w:ascii="宋体" w:hAnsi="宋体" w:eastAsia="宋体" w:cs="宋体"/>
          <w:b/>
          <w:bCs/>
          <w:w w:val="95"/>
          <w:kern w:val="0"/>
          <w:sz w:val="32"/>
          <w:szCs w:val="32"/>
          <w:highlight w:val="none"/>
          <w:lang w:val="en-US" w:eastAsia="zh-CN" w:bidi="ar-SA"/>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19"/>
        <w:rPr>
          <w:rFonts w:hint="eastAsia" w:ascii="宋体" w:hAnsi="宋体" w:cs="宋体"/>
          <w:highlight w:val="none"/>
          <w:lang w:eastAsia="zh-CN"/>
        </w:rPr>
      </w:pPr>
    </w:p>
    <w:p>
      <w:pPr>
        <w:pStyle w:val="19"/>
        <w:rPr>
          <w:rFonts w:hint="eastAsia" w:ascii="宋体" w:hAnsi="宋体" w:cs="宋体"/>
          <w:highlight w:val="none"/>
          <w:lang w:eastAsia="zh-CN"/>
        </w:rPr>
      </w:pPr>
    </w:p>
    <w:p>
      <w:pPr>
        <w:pStyle w:val="8"/>
        <w:pageBreakBefore w:val="0"/>
        <w:widowControl w:val="0"/>
        <w:kinsoku/>
        <w:wordWrap/>
        <w:overflowPunct/>
        <w:topLinePunct w:val="0"/>
        <w:bidi w:val="0"/>
        <w:snapToGrid/>
        <w:spacing w:before="0"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本合同条款将作为中标合同的基础，具体合同内容在签订合同时由甲乙双方协商</w:t>
      </w:r>
      <w:r>
        <w:rPr>
          <w:rFonts w:hint="eastAsia" w:asciiTheme="minorEastAsia" w:hAnsiTheme="minorEastAsia" w:eastAsiaTheme="minorEastAsia" w:cstheme="minorEastAsia"/>
          <w:sz w:val="24"/>
          <w:szCs w:val="24"/>
        </w:rPr>
        <w:t xml:space="preserve">确定。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firstLine="44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根据《中华人民共和国合同法》及相关法律法规的规定，经甲、乙双方协商</w:t>
      </w:r>
      <w:r>
        <w:rPr>
          <w:rFonts w:hint="eastAsia" w:asciiTheme="minorEastAsia" w:hAnsiTheme="minorEastAsia" w:eastAsiaTheme="minorEastAsia" w:cstheme="minorEastAsia"/>
          <w:spacing w:val="-5"/>
          <w:sz w:val="24"/>
          <w:szCs w:val="24"/>
        </w:rPr>
        <w:t xml:space="preserve">一致，就甲方委托乙方承担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8"/>
          <w:sz w:val="24"/>
          <w:szCs w:val="24"/>
        </w:rPr>
        <w:t>事宜达成如下协议，共同遵守。</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甲方委托乙方全面承担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，具体包括：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本项目服务期限为：</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 xml:space="preserve">日起至 </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pStyle w:val="8"/>
        <w:pageBreakBefore w:val="0"/>
        <w:widowControl w:val="0"/>
        <w:kinsoku/>
        <w:wordWrap/>
        <w:overflowPunct/>
        <w:topLinePunct w:val="0"/>
        <w:bidi w:val="0"/>
        <w:snapToGrid/>
        <w:spacing w:before="0" w:line="360" w:lineRule="auto"/>
        <w:ind w:left="0" w:leftChars="0" w:right="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合同价款</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经甲乙双方协商确定合同总价为人民币（大写）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，计人民币（小写）￥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元，最终支付费用以实际结算金额为准。 </w:t>
      </w:r>
    </w:p>
    <w:p>
      <w:pPr>
        <w:pStyle w:val="4"/>
        <w:pageBreakBefore w:val="0"/>
        <w:widowControl w:val="0"/>
        <w:tabs>
          <w:tab w:val="left" w:pos="396"/>
          <w:tab w:val="center" w:pos="5319"/>
        </w:tabs>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（一）合同项下所有款额应通过甲乙双方指定的银行用人民币支付。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（二）甲方付款后，乙方应向甲方交付与本合同价款等额且符合合同性质的中华人民共和国法定国税通用机打发票。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（三）合同第三条中确定的合同总价由甲方向乙方按如下方式及比例支付： </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20"/>
              <w:spacing w:before="21"/>
              <w:ind w:left="695" w:right="557"/>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r>
              <w:rPr>
                <w:rFonts w:hint="eastAsia" w:asciiTheme="minorEastAsia" w:hAnsiTheme="minorEastAsia" w:eastAsiaTheme="minorEastAsia" w:cstheme="minorEastAsia"/>
                <w:b/>
                <w:w w:val="99"/>
                <w:sz w:val="24"/>
                <w:szCs w:val="24"/>
              </w:rPr>
              <w:t xml:space="preserve"> </w:t>
            </w:r>
          </w:p>
        </w:tc>
        <w:tc>
          <w:tcPr>
            <w:tcW w:w="1505" w:type="dxa"/>
          </w:tcPr>
          <w:p>
            <w:pPr>
              <w:pStyle w:val="20"/>
              <w:spacing w:before="21"/>
              <w:ind w:left="308" w:right="17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付款比例</w:t>
            </w:r>
            <w:r>
              <w:rPr>
                <w:rFonts w:hint="eastAsia" w:asciiTheme="minorEastAsia" w:hAnsiTheme="minorEastAsia" w:eastAsiaTheme="minorEastAsia" w:cstheme="minorEastAsia"/>
                <w:b/>
                <w:w w:val="99"/>
                <w:sz w:val="24"/>
                <w:szCs w:val="24"/>
              </w:rPr>
              <w:t xml:space="preserve"> </w:t>
            </w:r>
          </w:p>
        </w:tc>
        <w:tc>
          <w:tcPr>
            <w:tcW w:w="1681" w:type="dxa"/>
          </w:tcPr>
          <w:p>
            <w:pPr>
              <w:pStyle w:val="20"/>
              <w:spacing w:before="21"/>
              <w:ind w:left="154" w:right="3"/>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26"/>
                <w:sz w:val="24"/>
                <w:szCs w:val="24"/>
              </w:rPr>
              <w:t>付款金额</w:t>
            </w:r>
            <w:r>
              <w:rPr>
                <w:rFonts w:hint="eastAsia" w:asciiTheme="minorEastAsia" w:hAnsiTheme="minorEastAsia" w:eastAsiaTheme="minorEastAsia" w:cstheme="minorEastAsia"/>
                <w:b/>
                <w:sz w:val="24"/>
                <w:szCs w:val="24"/>
              </w:rPr>
              <w:t>（元</w:t>
            </w:r>
            <w:r>
              <w:rPr>
                <w:rFonts w:hint="eastAsia" w:asciiTheme="minorEastAsia" w:hAnsiTheme="minorEastAsia" w:eastAsiaTheme="minorEastAsia" w:cstheme="minorEastAsia"/>
                <w:b/>
                <w:spacing w:val="-119"/>
                <w:sz w:val="24"/>
                <w:szCs w:val="24"/>
              </w:rPr>
              <w:t>）</w:t>
            </w:r>
            <w:r>
              <w:rPr>
                <w:rFonts w:hint="eastAsia" w:asciiTheme="minorEastAsia" w:hAnsiTheme="minorEastAsia" w:eastAsiaTheme="minorEastAsia" w:cstheme="minorEastAsia"/>
                <w:b/>
                <w:w w:val="99"/>
                <w:sz w:val="24"/>
                <w:szCs w:val="24"/>
              </w:rPr>
              <w:t xml:space="preserve"> </w:t>
            </w:r>
          </w:p>
        </w:tc>
        <w:tc>
          <w:tcPr>
            <w:tcW w:w="2963" w:type="dxa"/>
          </w:tcPr>
          <w:p>
            <w:pPr>
              <w:pStyle w:val="20"/>
              <w:spacing w:before="21"/>
              <w:ind w:left="1035" w:right="904"/>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付款条件</w:t>
            </w:r>
            <w:r>
              <w:rPr>
                <w:rFonts w:hint="eastAsia" w:asciiTheme="minorEastAsia" w:hAnsiTheme="minorEastAsia" w:eastAsiaTheme="minorEastAsia" w:cstheme="minorEastAsia"/>
                <w:b/>
                <w:w w:val="99"/>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0"/>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0"/>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0"/>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0"/>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0"/>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0"/>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692" w:right="557"/>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w w:val="99"/>
                <w:sz w:val="24"/>
                <w:szCs w:val="24"/>
              </w:rPr>
              <w:t xml:space="preserve"> </w:t>
            </w:r>
          </w:p>
        </w:tc>
        <w:tc>
          <w:tcPr>
            <w:tcW w:w="1505" w:type="dxa"/>
          </w:tcPr>
          <w:p>
            <w:pPr>
              <w:pStyle w:val="20"/>
              <w:spacing w:line="291" w:lineRule="exact"/>
              <w:ind w:left="136"/>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1681" w:type="dxa"/>
          </w:tcPr>
          <w:p>
            <w:pPr>
              <w:pStyle w:val="20"/>
              <w:spacing w:line="291" w:lineRule="exact"/>
              <w:ind w:left="13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2963" w:type="dxa"/>
          </w:tcPr>
          <w:p>
            <w:pPr>
              <w:pStyle w:val="20"/>
              <w:spacing w:line="291" w:lineRule="exact"/>
              <w:ind w:left="13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r>
    </w:tbl>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在合同签订后，若甲方要求增加的服务，协商一致后，以书面形式约定，并由甲方追加相应的服务费，计入合同总价。</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（五）若甲方中途变更委托要求，甲乙双方在平等协商的基础上，调整因变更引起的费用项目金额。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（六）乙方指定的银行帐户信息：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账号：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8"/>
        <w:pageBreakBefore w:val="0"/>
        <w:widowControl w:val="0"/>
        <w:kinsoku/>
        <w:wordWrap/>
        <w:overflowPunct/>
        <w:topLinePunct w:val="0"/>
        <w:bidi w:val="0"/>
        <w:snapToGrid/>
        <w:spacing w:before="0"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（一）甲方权利和义务 </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甲方应当按照本合同约定向乙方支付费用。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其他：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（二）乙方权利和义务 </w:t>
      </w:r>
    </w:p>
    <w:p>
      <w:pPr>
        <w:pStyle w:val="21"/>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z w:val="24"/>
          <w:szCs w:val="24"/>
        </w:rPr>
        <w:t xml:space="preserve">%的赔偿。 </w:t>
      </w:r>
    </w:p>
    <w:p>
      <w:pPr>
        <w:pStyle w:val="21"/>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1"/>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1"/>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1"/>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8"/>
        <w:pageBreakBefore w:val="0"/>
        <w:widowControl w:val="0"/>
        <w:kinsoku/>
        <w:wordWrap/>
        <w:overflowPunct/>
        <w:topLinePunct w:val="0"/>
        <w:bidi w:val="0"/>
        <w:snapToGrid/>
        <w:spacing w:before="0" w:line="360" w:lineRule="auto"/>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乙方应保证为甲方提供服务的员工具备提供本合同项下服务所需的相应</w:t>
      </w:r>
      <w:r>
        <w:rPr>
          <w:rFonts w:hint="eastAsia" w:asciiTheme="minorEastAsia" w:hAnsiTheme="minorEastAsia" w:eastAsiaTheme="minorEastAsia" w:cstheme="minorEastAsia"/>
          <w:spacing w:val="-5"/>
          <w:sz w:val="24"/>
          <w:szCs w:val="24"/>
        </w:rPr>
        <w:t>资质和许可，并保证乙方人员在为甲方提供服务的过程中，严格遵守甲方的</w:t>
      </w:r>
      <w:r>
        <w:rPr>
          <w:rFonts w:hint="eastAsia" w:asciiTheme="minorEastAsia" w:hAnsiTheme="minorEastAsia" w:eastAsiaTheme="minorEastAsia" w:cstheme="minorEastAsia"/>
          <w:spacing w:val="-6"/>
          <w:sz w:val="24"/>
          <w:szCs w:val="24"/>
        </w:rPr>
        <w:t>各项规定、服从甲方安排。如因乙方人员原因，给甲方或第三方造成人员人</w:t>
      </w:r>
      <w:r>
        <w:rPr>
          <w:rFonts w:hint="eastAsia" w:asciiTheme="minorEastAsia" w:hAnsiTheme="minorEastAsia" w:eastAsiaTheme="minorEastAsia" w:cstheme="minorEastAsia"/>
          <w:sz w:val="24"/>
          <w:szCs w:val="24"/>
        </w:rPr>
        <w:t xml:space="preserve">身伤害或财产损失的，乙方应承担赔偿责任。 </w:t>
      </w:r>
    </w:p>
    <w:p>
      <w:pPr>
        <w:pageBreakBefore w:val="0"/>
        <w:widowControl w:val="0"/>
        <w:numPr>
          <w:ilvl w:val="0"/>
          <w:numId w:val="0"/>
        </w:numPr>
        <w:kinsoku/>
        <w:wordWrap/>
        <w:overflowPunct/>
        <w:topLinePunct w:val="0"/>
        <w:bidi w:val="0"/>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其他：                                    </w:t>
      </w:r>
    </w:p>
    <w:p>
      <w:pPr>
        <w:pageBreakBefore w:val="0"/>
        <w:widowControl w:val="0"/>
        <w:numPr>
          <w:ilvl w:val="0"/>
          <w:numId w:val="0"/>
        </w:numPr>
        <w:kinsoku/>
        <w:wordWrap/>
        <w:overflowPunct/>
        <w:topLinePunct w:val="0"/>
        <w:bidi w:val="0"/>
        <w:snapToGrid/>
        <w:spacing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（一）本合同的变更或补充必须由双方协商一致，并以书面形式确定。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0"/>
          <w:sz w:val="24"/>
          <w:szCs w:val="24"/>
        </w:rPr>
        <w:t xml:space="preserve">双方确定，出现下列情形，致使本合同的履行成为不必要或不可能的， </w:t>
      </w:r>
      <w:r>
        <w:rPr>
          <w:rFonts w:hint="eastAsia" w:asciiTheme="minorEastAsia" w:hAnsiTheme="minorEastAsia" w:eastAsiaTheme="minorEastAsia" w:cstheme="minorEastAsia"/>
          <w:sz w:val="24"/>
          <w:szCs w:val="24"/>
        </w:rPr>
        <w:t xml:space="preserve">可以解除本合同： </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发生不可抗力。 </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一方严重违约。</w:t>
      </w:r>
    </w:p>
    <w:p>
      <w:pPr>
        <w:pStyle w:val="21"/>
        <w:pageBreakBefore w:val="0"/>
        <w:widowControl w:val="0"/>
        <w:numPr>
          <w:ilvl w:val="0"/>
          <w:numId w:val="0"/>
        </w:numPr>
        <w:tabs>
          <w:tab w:val="left" w:pos="1182"/>
        </w:tabs>
        <w:kinsoku/>
        <w:wordWrap/>
        <w:overflowPunct/>
        <w:topLinePunct w:val="0"/>
        <w:bidi w:val="0"/>
        <w:snapToGrid/>
        <w:spacing w:before="0" w:after="0"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（一）甲方未按约定的期限向乙方支付服务费，应在最后付款日的次日起每日按照服务费总额的千分之一向乙方支付违约金，乙方并有权顺延相应工作期限。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6"/>
          <w:sz w:val="24"/>
          <w:szCs w:val="24"/>
        </w:rPr>
        <w:t>乙方未按合同约定完成委托工作，每逾期一日，按照服务费总额的千</w:t>
      </w:r>
      <w:r>
        <w:rPr>
          <w:rFonts w:hint="eastAsia" w:asciiTheme="minorEastAsia" w:hAnsiTheme="minorEastAsia" w:eastAsiaTheme="minorEastAsia" w:cstheme="minorEastAsia"/>
          <w:spacing w:val="-9"/>
          <w:sz w:val="24"/>
          <w:szCs w:val="24"/>
        </w:rPr>
        <w:t>分之一向甲方支付违约金，但因甲方未按期提供资料或资金等甲方或第三方原因</w:t>
      </w:r>
      <w:r>
        <w:rPr>
          <w:rFonts w:hint="eastAsia" w:asciiTheme="minorEastAsia" w:hAnsiTheme="minorEastAsia" w:eastAsiaTheme="minorEastAsia" w:cstheme="minorEastAsia"/>
          <w:sz w:val="24"/>
          <w:szCs w:val="24"/>
        </w:rPr>
        <w:t xml:space="preserve">而导致延误的，不视为乙方违约，可以顺延相应期限。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val="0"/>
          <w:kern w:val="0"/>
          <w:sz w:val="24"/>
          <w:szCs w:val="24"/>
          <w:lang w:val="zh-CN" w:eastAsia="zh-CN" w:bidi="ar-SA"/>
        </w:rPr>
      </w:pPr>
      <w:r>
        <w:rPr>
          <w:rFonts w:hint="eastAsia" w:asciiTheme="minorEastAsia" w:hAnsiTheme="minorEastAsia" w:eastAsiaTheme="minorEastAsia" w:cstheme="minorEastAsia"/>
          <w:b/>
          <w:bCs w:val="0"/>
          <w:kern w:val="0"/>
          <w:sz w:val="24"/>
          <w:szCs w:val="24"/>
          <w:lang w:val="zh-CN" w:eastAsia="zh-CN" w:bidi="ar-SA"/>
        </w:rPr>
        <w:t xml:space="preserve">第八条 争议解决和法律适用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4"/>
          <w:sz w:val="24"/>
          <w:szCs w:val="24"/>
        </w:rPr>
        <w:t>所有与合同有关的争议将通过各方友好协商解决。如果不能通过友好</w:t>
      </w:r>
      <w:r>
        <w:rPr>
          <w:rFonts w:hint="eastAsia" w:asciiTheme="minorEastAsia" w:hAnsiTheme="minorEastAsia" w:eastAsiaTheme="minorEastAsia" w:cstheme="minorEastAsia"/>
          <w:spacing w:val="-10"/>
          <w:sz w:val="24"/>
          <w:szCs w:val="24"/>
        </w:rPr>
        <w:t>协商解决争议，则该争议应提交北京仲裁委员会进行仲裁。仲裁应依据该委员会</w:t>
      </w:r>
      <w:r>
        <w:rPr>
          <w:rFonts w:hint="eastAsia" w:asciiTheme="minorEastAsia" w:hAnsiTheme="minorEastAsia" w:eastAsiaTheme="minorEastAsia" w:cstheme="minorEastAsia"/>
          <w:sz w:val="24"/>
          <w:szCs w:val="24"/>
        </w:rPr>
        <w:t xml:space="preserve">的仲裁规则和程序进行。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（三）仲裁为终局，对双方均有约束力，仲裁费用由败诉方承担。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（四）仲裁进行过程中，双方将继续执行仲裁部分以外的合同其他部分。 </w:t>
      </w:r>
    </w:p>
    <w:p>
      <w:pPr>
        <w:pageBreakBefore w:val="0"/>
        <w:widowControl w:val="0"/>
        <w:kinsoku/>
        <w:wordWrap/>
        <w:overflowPunct/>
        <w:topLinePunct w:val="0"/>
        <w:bidi w:val="0"/>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b/>
          <w:w w:val="99"/>
          <w:sz w:val="24"/>
          <w:szCs w:val="24"/>
        </w:rPr>
      </w:pPr>
      <w:r>
        <w:rPr>
          <w:rFonts w:hint="eastAsia" w:asciiTheme="minorEastAsia" w:hAnsiTheme="minorEastAsia" w:eastAsiaTheme="minorEastAsia" w:cstheme="minorEastAsia"/>
          <w:b/>
          <w:sz w:val="24"/>
          <w:szCs w:val="24"/>
        </w:rPr>
        <w:t>第九条 合同的生效、终止及其他</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（一）本合同由双方代表签字盖章后生效。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
          <w:sz w:val="24"/>
          <w:szCs w:val="24"/>
        </w:rPr>
        <w:t>合同双方同意所有附件是合同不可分割的一部分，与合同正文具有同</w:t>
      </w:r>
      <w:r>
        <w:rPr>
          <w:rFonts w:hint="eastAsia" w:asciiTheme="minorEastAsia" w:hAnsiTheme="minorEastAsia" w:eastAsiaTheme="minorEastAsia" w:cstheme="minorEastAsia"/>
          <w:sz w:val="24"/>
          <w:szCs w:val="24"/>
        </w:rPr>
        <w:t xml:space="preserve">等效力。若附件与合同正文有任何不一致，以合同正文为准。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（三）本合同及其附件为中文文本，一式四份，甲乙双方各执两份。 </w:t>
      </w:r>
    </w:p>
    <w:p>
      <w:pPr>
        <w:pStyle w:val="8"/>
        <w:pageBreakBefore w:val="0"/>
        <w:widowControl w:val="0"/>
        <w:tabs>
          <w:tab w:val="left" w:pos="7980"/>
        </w:tabs>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pacing w:val="-4"/>
          <w:sz w:val="24"/>
          <w:szCs w:val="24"/>
        </w:rPr>
        <w:t>对合同内容做出的任何修改和补充应为书面形式，由双方授权代表签</w:t>
      </w:r>
      <w:r>
        <w:rPr>
          <w:rFonts w:hint="eastAsia" w:asciiTheme="minorEastAsia" w:hAnsiTheme="minorEastAsia" w:eastAsiaTheme="minorEastAsia" w:cstheme="minorEastAsia"/>
          <w:sz w:val="24"/>
          <w:szCs w:val="24"/>
        </w:rPr>
        <w:t xml:space="preserve">字后成为合同不可分割的部分。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pacing w:val="-1"/>
          <w:sz w:val="24"/>
          <w:szCs w:val="24"/>
        </w:rPr>
        <w:t>任何与合同相关但未在合同中明确规定的事项将由双方友好协商并以</w:t>
      </w:r>
      <w:r>
        <w:rPr>
          <w:rFonts w:hint="eastAsia" w:asciiTheme="minorEastAsia" w:hAnsiTheme="minorEastAsia" w:eastAsiaTheme="minorEastAsia" w:cstheme="minorEastAsia"/>
          <w:sz w:val="24"/>
          <w:szCs w:val="24"/>
        </w:rPr>
        <w:t xml:space="preserve">补充协议予以解决。 </w:t>
      </w:r>
    </w:p>
    <w:p>
      <w:pPr>
        <w:pStyle w:val="8"/>
        <w:spacing w:before="2"/>
        <w:ind w:left="9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[以下无正文，供双方签字盖章]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
          <w:sz w:val="24"/>
          <w:szCs w:val="24"/>
        </w:rPr>
        <w:t xml:space="preserve">                             乙方</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 定 代 表 人 ：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(或授权代表人)签字：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(或授权代表)签字：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z w:val="24"/>
          <w:szCs w:val="24"/>
        </w:rPr>
        <w:t>月    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 月</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日</w:t>
      </w:r>
      <w:r>
        <w:rPr>
          <w:rFonts w:hint="eastAsia" w:ascii="宋体" w:hAnsi="宋体" w:eastAsia="宋体" w:cs="宋体"/>
          <w:kern w:val="0"/>
          <w:sz w:val="24"/>
          <w:szCs w:val="24"/>
          <w:highlight w:val="none"/>
        </w:rPr>
        <w:br w:type="page"/>
      </w:r>
      <w:bookmarkStart w:id="73" w:name="_Toc8733"/>
    </w:p>
    <w:p>
      <w:pPr>
        <w:pStyle w:val="8"/>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w w:val="95"/>
          <w:sz w:val="32"/>
          <w:szCs w:val="32"/>
          <w:highlight w:val="none"/>
          <w:lang w:val="en-US" w:eastAsia="zh-CN"/>
        </w:rPr>
        <w:t xml:space="preserve"> </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2"/>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2"/>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8"/>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8"/>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eastAsia="en-US"/>
        </w:rPr>
        <w:t>综合实力</w:t>
      </w:r>
      <w:r>
        <w:rPr>
          <w:rFonts w:hint="eastAsia" w:ascii="宋体" w:hAnsi="宋体" w:eastAsia="宋体" w:cs="宋体"/>
          <w:highlight w:val="none"/>
        </w:rPr>
        <w:t>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8"/>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8"/>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注：1.请投标供应商按照以下文件的要求格式、内容，顺序制作投标文件，并请编制目录及页码，否则可能将影响对投标文件的评价。</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2.按以下顺序装订：</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 xml:space="preserve">2.1 </w:t>
      </w:r>
      <w:r>
        <w:rPr>
          <w:rFonts w:hint="eastAsia" w:ascii="宋体" w:hAnsi="宋体" w:eastAsia="宋体" w:cs="宋体"/>
          <w:highlight w:val="none"/>
          <w:lang w:eastAsia="zh-CN"/>
        </w:rPr>
        <w:t>报价</w:t>
      </w:r>
      <w:r>
        <w:rPr>
          <w:rFonts w:hint="eastAsia" w:ascii="宋体" w:hAnsi="宋体" w:eastAsia="宋体" w:cs="宋体"/>
          <w:highlight w:val="none"/>
        </w:rPr>
        <w:t>一览表</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2.2 投标保证金交纳凭证</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2.3 法定代表人/负责人资格证明书及身份证复印件</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2.4 委托授权书及被授权人身份证复印件</w:t>
      </w:r>
    </w:p>
    <w:p>
      <w:pPr>
        <w:pStyle w:val="8"/>
        <w:kinsoku w:val="0"/>
        <w:overflowPunct w:val="0"/>
        <w:spacing w:before="130" w:line="360" w:lineRule="exact"/>
        <w:ind w:left="119" w:right="6" w:firstLine="480"/>
        <w:rPr>
          <w:rFonts w:hint="eastAsia" w:ascii="宋体" w:hAnsi="宋体" w:eastAsia="宋体" w:cs="宋体"/>
          <w:spacing w:val="4"/>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8"/>
        <w:kinsoku w:val="0"/>
        <w:overflowPunct w:val="0"/>
        <w:spacing w:before="130" w:line="355" w:lineRule="auto"/>
        <w:ind w:left="0" w:leftChars="0" w:right="7" w:firstLine="0" w:firstLineChars="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5"/>
          <w:szCs w:val="25"/>
          <w:highlight w:val="none"/>
        </w:rPr>
      </w:pPr>
    </w:p>
    <w:p>
      <w:pPr>
        <w:pStyle w:val="8"/>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8"/>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sz w:val="4"/>
          <w:szCs w:val="4"/>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1"/>
        <w:ind w:left="0"/>
        <w:rPr>
          <w:rFonts w:hint="eastAsia" w:ascii="宋体" w:hAnsi="宋体" w:eastAsia="宋体" w:cs="宋体"/>
          <w:sz w:val="19"/>
          <w:szCs w:val="19"/>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0"/>
          <w:szCs w:val="20"/>
          <w:highlight w:val="none"/>
        </w:rPr>
      </w:pPr>
    </w:p>
    <w:p>
      <w:pPr>
        <w:pStyle w:val="8"/>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8"/>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8"/>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8"/>
        <w:kinsoku w:val="0"/>
        <w:overflowPunct w:val="0"/>
        <w:spacing w:before="7"/>
        <w:ind w:left="0"/>
        <w:rPr>
          <w:rFonts w:hint="eastAsia" w:ascii="宋体" w:hAnsi="宋体" w:eastAsia="宋体" w:cs="宋体"/>
          <w:sz w:val="22"/>
          <w:szCs w:val="22"/>
          <w:highlight w:val="none"/>
        </w:rPr>
      </w:pPr>
    </w:p>
    <w:p>
      <w:pPr>
        <w:pStyle w:val="8"/>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5"/>
        <w:ind w:left="0"/>
        <w:rPr>
          <w:rFonts w:hint="eastAsia" w:ascii="宋体" w:hAnsi="宋体" w:eastAsia="宋体" w:cs="宋体"/>
          <w:sz w:val="25"/>
          <w:szCs w:val="25"/>
          <w:highlight w:val="none"/>
        </w:rPr>
      </w:pPr>
    </w:p>
    <w:p>
      <w:pPr>
        <w:pStyle w:val="8"/>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spacing w:val="1"/>
          <w:sz w:val="21"/>
          <w:szCs w:val="21"/>
          <w:highlight w:val="none"/>
        </w:rPr>
      </w:pPr>
    </w:p>
    <w:p>
      <w:pPr>
        <w:pStyle w:val="8"/>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8"/>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8"/>
        <w:rPr>
          <w:rFonts w:hint="eastAsia"/>
          <w:highlight w:val="none"/>
        </w:rPr>
      </w:pPr>
    </w:p>
    <w:tbl>
      <w:tblPr>
        <w:tblStyle w:val="17"/>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b/>
                <w:bCs/>
                <w:sz w:val="24"/>
                <w:highlight w:val="none"/>
                <w:lang w:val="en-US" w:eastAsia="zh-CN"/>
              </w:rPr>
              <w:t>项目服务期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（大写）人民币                      元整（￥           ）</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auto"/>
          <w:kern w:val="0"/>
          <w:sz w:val="24"/>
          <w:szCs w:val="24"/>
          <w:highlight w:val="none"/>
        </w:rPr>
        <w:t>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11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（签字） </w:t>
      </w:r>
    </w:p>
    <w:p>
      <w:pPr>
        <w:spacing w:line="420" w:lineRule="exact"/>
        <w:ind w:right="110" w:rightChars="0" w:firstLine="5280" w:firstLineChars="2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firstLine="4080" w:firstLineChars="17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8"/>
        <w:tabs>
          <w:tab w:val="left" w:pos="8227"/>
        </w:tabs>
        <w:kinsoku w:val="0"/>
        <w:overflowPunct w:val="0"/>
        <w:spacing w:before="0" w:line="381" w:lineRule="auto"/>
        <w:ind w:right="118" w:firstLine="4080" w:firstLineChars="1700"/>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8"/>
        <w:tabs>
          <w:tab w:val="left" w:pos="5551"/>
          <w:tab w:val="left" w:pos="6511"/>
          <w:tab w:val="left" w:pos="7111"/>
          <w:tab w:val="left" w:pos="7711"/>
        </w:tabs>
        <w:kinsoku w:val="0"/>
        <w:overflowPunct w:val="0"/>
        <w:spacing w:before="46"/>
        <w:ind w:firstLine="4080" w:firstLineChars="17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8"/>
        <w:tabs>
          <w:tab w:val="left" w:pos="8227"/>
        </w:tabs>
        <w:kinsoku w:val="0"/>
        <w:overflowPunct w:val="0"/>
        <w:spacing w:before="0" w:line="381" w:lineRule="auto"/>
        <w:ind w:left="4027" w:right="118"/>
        <w:rPr>
          <w:rFonts w:hint="eastAsia" w:ascii="宋体" w:hAnsi="宋体" w:eastAsia="宋体" w:cs="宋体"/>
          <w:b/>
          <w:bCs/>
          <w:highlight w:val="none"/>
        </w:rPr>
      </w:pPr>
    </w:p>
    <w:p>
      <w:pPr>
        <w:pStyle w:val="8"/>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8"/>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8"/>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8"/>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8"/>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8"/>
        <w:kinsoku w:val="0"/>
        <w:overflowPunct w:val="0"/>
        <w:spacing w:before="5"/>
        <w:ind w:left="0"/>
        <w:rPr>
          <w:rFonts w:hint="eastAsia" w:ascii="宋体" w:hAnsi="宋体" w:eastAsia="宋体" w:cs="宋体"/>
          <w:b/>
          <w:bCs/>
          <w:sz w:val="6"/>
          <w:szCs w:val="6"/>
          <w:highlight w:val="none"/>
        </w:rPr>
      </w:pPr>
    </w:p>
    <w:tbl>
      <w:tblPr>
        <w:tblStyle w:val="17"/>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宋体" w:hAnsi="宋体" w:eastAsia="宋体" w:cs="宋体"/>
                <w:b/>
                <w:bCs/>
                <w:sz w:val="20"/>
                <w:szCs w:val="20"/>
                <w:highlight w:val="none"/>
              </w:rPr>
            </w:pPr>
          </w:p>
          <w:p>
            <w:pPr>
              <w:pStyle w:val="20"/>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宋体" w:hAnsi="宋体" w:eastAsia="宋体" w:cs="宋体"/>
                <w:b/>
                <w:bCs/>
                <w:sz w:val="20"/>
                <w:szCs w:val="20"/>
                <w:highlight w:val="none"/>
              </w:rPr>
            </w:pPr>
          </w:p>
          <w:p>
            <w:pPr>
              <w:pStyle w:val="20"/>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宋体" w:hAnsi="宋体" w:eastAsia="宋体" w:cs="宋体"/>
                <w:b/>
                <w:bCs/>
                <w:highlight w:val="none"/>
              </w:rPr>
            </w:pPr>
          </w:p>
          <w:p>
            <w:pPr>
              <w:pStyle w:val="20"/>
              <w:kinsoku w:val="0"/>
              <w:overflowPunct w:val="0"/>
              <w:rPr>
                <w:rFonts w:hint="eastAsia" w:ascii="宋体" w:hAnsi="宋体" w:eastAsia="宋体" w:cs="宋体"/>
                <w:b/>
                <w:bCs/>
                <w:highlight w:val="none"/>
              </w:rPr>
            </w:pPr>
          </w:p>
          <w:p>
            <w:pPr>
              <w:pStyle w:val="20"/>
              <w:kinsoku w:val="0"/>
              <w:overflowPunct w:val="0"/>
              <w:rPr>
                <w:rFonts w:hint="eastAsia" w:ascii="宋体" w:hAnsi="宋体" w:eastAsia="宋体" w:cs="宋体"/>
                <w:b/>
                <w:bCs/>
                <w:highlight w:val="none"/>
              </w:rPr>
            </w:pPr>
          </w:p>
          <w:p>
            <w:pPr>
              <w:pStyle w:val="20"/>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宋体" w:hAnsi="宋体" w:eastAsia="宋体" w:cs="宋体"/>
                <w:b/>
                <w:bCs/>
                <w:highlight w:val="none"/>
              </w:rPr>
            </w:pPr>
          </w:p>
          <w:p>
            <w:pPr>
              <w:pStyle w:val="20"/>
              <w:kinsoku w:val="0"/>
              <w:overflowPunct w:val="0"/>
              <w:spacing w:before="1"/>
              <w:rPr>
                <w:rFonts w:hint="eastAsia" w:ascii="宋体" w:hAnsi="宋体" w:eastAsia="宋体" w:cs="宋体"/>
                <w:b/>
                <w:bCs/>
                <w:sz w:val="23"/>
                <w:szCs w:val="23"/>
                <w:highlight w:val="none"/>
              </w:rPr>
            </w:pPr>
          </w:p>
          <w:p>
            <w:pPr>
              <w:pStyle w:val="20"/>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8"/>
        <w:kinsoku w:val="0"/>
        <w:overflowPunct w:val="0"/>
        <w:spacing w:before="26" w:line="320" w:lineRule="auto"/>
        <w:ind w:left="1772" w:hanging="1640"/>
        <w:rPr>
          <w:rFonts w:hint="eastAsia" w:ascii="宋体" w:hAnsi="宋体" w:eastAsia="宋体" w:cs="宋体"/>
          <w:b/>
          <w:bCs/>
          <w:w w:val="95"/>
          <w:highlight w:val="none"/>
        </w:rPr>
      </w:pPr>
    </w:p>
    <w:p>
      <w:pPr>
        <w:pStyle w:val="8"/>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highlight w:val="none"/>
        </w:rPr>
        <w:t>（二）营业执照副本、税务登记证、组织机构代码证、（三证合一的提供统一社会信用代码的营业执照）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（4）自然人投标提供有效的身份证复印件</w:t>
      </w:r>
      <w:r>
        <w:rPr>
          <w:rFonts w:hint="eastAsia" w:ascii="宋体" w:hAnsi="宋体" w:cs="宋体"/>
          <w:color w:val="000000"/>
          <w:kern w:val="0"/>
          <w:sz w:val="24"/>
          <w:highlight w:val="none"/>
          <w:lang w:eastAsia="zh-CN"/>
        </w:rPr>
        <w:t>。</w:t>
      </w:r>
    </w:p>
    <w:p>
      <w:pPr>
        <w:pStyle w:val="8"/>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20</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或2021年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9"/>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9"/>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9"/>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（六）综合实力证明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9"/>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19"/>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19"/>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w:t>
      </w:r>
      <w:r>
        <w:rPr>
          <w:rFonts w:hint="eastAsia" w:ascii="宋体" w:hAnsi="宋体" w:cs="宋体"/>
          <w:color w:val="000000"/>
          <w:kern w:val="0"/>
          <w:sz w:val="24"/>
          <w:szCs w:val="24"/>
          <w:highlight w:val="none"/>
          <w:lang w:eastAsia="zh-CN"/>
        </w:rPr>
        <w:t>重大税收违法失信主体记录</w:t>
      </w:r>
      <w:r>
        <w:rPr>
          <w:rFonts w:hint="eastAsia" w:ascii="宋体" w:hAnsi="宋体" w:eastAsia="宋体" w:cs="宋体"/>
          <w:color w:val="000000"/>
          <w:kern w:val="0"/>
          <w:sz w:val="24"/>
          <w:szCs w:val="24"/>
          <w:highlight w:val="none"/>
        </w:rPr>
        <w:t>的供应商，不得为中国政府采购网（www.ccgp.gov.cn）政府采购严重违法失信行为记录名单中被财政部门禁止参加政府采购活动的供应商。（网站查询的截图，加盖供应商公章）</w:t>
      </w:r>
    </w:p>
    <w:p>
      <w:pPr>
        <w:pStyle w:val="19"/>
        <w:ind w:firstLine="480"/>
        <w:rPr>
          <w:rFonts w:hint="eastAsia" w:ascii="宋体" w:hAnsi="宋体" w:eastAsia="宋体" w:cs="宋体"/>
          <w:color w:val="000000"/>
          <w:kern w:val="0"/>
          <w:sz w:val="24"/>
          <w:szCs w:val="24"/>
          <w:highlight w:val="none"/>
          <w:lang w:eastAsia="zh-CN"/>
        </w:rPr>
      </w:pPr>
    </w:p>
    <w:p>
      <w:pPr>
        <w:pStyle w:val="19"/>
        <w:ind w:firstLine="480"/>
        <w:rPr>
          <w:rFonts w:hint="eastAsia" w:ascii="宋体" w:hAnsi="宋体" w:eastAsia="宋体" w:cs="宋体"/>
          <w:color w:val="000000"/>
          <w:kern w:val="0"/>
          <w:sz w:val="24"/>
          <w:szCs w:val="24"/>
          <w:highlight w:val="none"/>
          <w:lang w:eastAsia="zh-CN"/>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1"/>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26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51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282"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8"/>
        <w:kinsoku w:val="0"/>
        <w:overflowPunct w:val="0"/>
        <w:spacing w:before="34" w:line="357" w:lineRule="auto"/>
        <w:ind w:right="126" w:firstLine="480"/>
        <w:jc w:val="center"/>
        <w:rPr>
          <w:rFonts w:hint="eastAsia" w:ascii="宋体" w:hAnsi="宋体" w:eastAsia="宋体" w:cs="宋体"/>
          <w:sz w:val="18"/>
          <w:szCs w:val="18"/>
          <w:highlight w:val="none"/>
        </w:rPr>
      </w:pPr>
    </w:p>
    <w:p>
      <w:pPr>
        <w:pStyle w:val="8"/>
        <w:tabs>
          <w:tab w:val="left" w:pos="6736"/>
        </w:tabs>
        <w:kinsoku w:val="0"/>
        <w:overflowPunct w:val="0"/>
        <w:spacing w:before="26" w:line="337" w:lineRule="auto"/>
        <w:ind w:right="33" w:rightChars="0" w:firstLine="4760" w:firstLineChars="20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6736"/>
        </w:tabs>
        <w:kinsoku w:val="0"/>
        <w:overflowPunct w:val="0"/>
        <w:spacing w:before="26" w:line="337" w:lineRule="auto"/>
        <w:ind w:right="33" w:rightChars="0" w:firstLine="3451" w:firstLineChars="14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418"/>
          <w:tab w:val="left" w:pos="6258"/>
          <w:tab w:val="left" w:pos="7098"/>
        </w:tabs>
        <w:kinsoku w:val="0"/>
        <w:overflowPunct w:val="0"/>
        <w:spacing w:before="26"/>
        <w:ind w:firstLine="6240" w:firstLineChars="2600"/>
        <w:rPr>
          <w:rFonts w:hint="eastAsia" w:ascii="宋体" w:hAnsi="宋体" w:eastAsia="宋体" w:cs="宋体"/>
          <w:highlight w:val="none"/>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highlight w:val="none"/>
        </w:rPr>
        <w:t>日</w:t>
      </w:r>
    </w:p>
    <w:p>
      <w:pPr>
        <w:pStyle w:val="8"/>
        <w:numPr>
          <w:ilvl w:val="0"/>
          <w:numId w:val="2"/>
        </w:numPr>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6</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sz w:val="20"/>
          <w:szCs w:val="2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1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372"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7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10"/>
        <w:ind w:left="0"/>
        <w:rPr>
          <w:rFonts w:hint="eastAsia" w:ascii="宋体" w:hAnsi="宋体" w:eastAsia="宋体" w:cs="宋体"/>
          <w:sz w:val="29"/>
          <w:szCs w:val="29"/>
          <w:highlight w:val="none"/>
        </w:rPr>
      </w:pPr>
    </w:p>
    <w:p>
      <w:pPr>
        <w:pStyle w:val="8"/>
        <w:tabs>
          <w:tab w:val="left" w:pos="7078"/>
        </w:tabs>
        <w:kinsoku w:val="0"/>
        <w:overflowPunct w:val="0"/>
        <w:spacing w:before="0" w:line="337" w:lineRule="auto"/>
        <w:ind w:right="1266" w:firstLine="3570" w:firstLineChars="15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8"/>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8"/>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8"/>
        <w:kinsoku w:val="0"/>
        <w:overflowPunct w:val="0"/>
        <w:spacing w:before="71" w:line="475" w:lineRule="auto"/>
        <w:ind w:right="234" w:firstLine="480"/>
        <w:jc w:val="both"/>
        <w:rPr>
          <w:rFonts w:hint="eastAsia" w:ascii="宋体" w:hAnsi="宋体" w:eastAsia="宋体" w:cs="宋体"/>
          <w:highlight w:val="none"/>
        </w:rPr>
      </w:pPr>
    </w:p>
    <w:p>
      <w:pPr>
        <w:pStyle w:val="8"/>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9"/>
        <w:ind w:left="0"/>
        <w:rPr>
          <w:rFonts w:hint="eastAsia" w:ascii="宋体" w:hAnsi="宋体" w:eastAsia="宋体" w:cs="宋体"/>
          <w:sz w:val="19"/>
          <w:szCs w:val="19"/>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11"/>
        <w:ind w:left="0"/>
        <w:rPr>
          <w:rFonts w:hint="eastAsia" w:ascii="宋体" w:hAnsi="宋体" w:eastAsia="宋体" w:cs="宋体"/>
          <w:sz w:val="9"/>
          <w:szCs w:val="9"/>
          <w:highlight w:val="none"/>
        </w:rPr>
      </w:pPr>
    </w:p>
    <w:p>
      <w:pPr>
        <w:pStyle w:val="8"/>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highlight w:val="none"/>
        </w:rPr>
        <w:t>化部关于印发《政府采购促进中小企业发展管理办法》（财库﹝2020﹞46 号）相关规定。</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8"/>
        <w:kinsoku w:val="0"/>
        <w:overflowPunct w:val="0"/>
        <w:spacing w:before="133" w:line="356" w:lineRule="auto"/>
        <w:ind w:right="248" w:firstLine="420"/>
        <w:jc w:val="both"/>
        <w:outlineLvl w:val="1"/>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rPr>
        <w:t>2.残疾人福利性单位应在本声明函后提供相关证明材料。</w:t>
      </w:r>
    </w:p>
    <w:p>
      <w:pPr>
        <w:pStyle w:val="8"/>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8"/>
        <w:kinsoku w:val="0"/>
        <w:overflowPunct w:val="0"/>
        <w:spacing w:before="6"/>
        <w:ind w:left="0"/>
        <w:rPr>
          <w:rFonts w:hint="eastAsia" w:ascii="宋体" w:hAnsi="宋体" w:eastAsia="宋体" w:cs="宋体"/>
          <w:b/>
          <w:bCs/>
          <w:sz w:val="26"/>
          <w:szCs w:val="26"/>
          <w:highlight w:val="none"/>
        </w:rPr>
      </w:pPr>
    </w:p>
    <w:p>
      <w:pPr>
        <w:pStyle w:val="24"/>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pStyle w:val="8"/>
        <w:kinsoku w:val="0"/>
        <w:overflowPunct w:val="0"/>
        <w:spacing w:before="10"/>
        <w:ind w:left="0"/>
        <w:rPr>
          <w:rFonts w:hint="eastAsia" w:ascii="宋体" w:hAnsi="宋体" w:eastAsia="宋体" w:cs="宋体"/>
          <w:b/>
          <w:bCs/>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新疆天之源项目管理集团有限公司</w:t>
      </w:r>
      <w:r>
        <w:rPr>
          <w:rFonts w:hint="eastAsia" w:ascii="宋体" w:hAnsi="宋体" w:eastAsia="宋体" w:cs="宋体"/>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8"/>
        <w:kinsoku w:val="0"/>
        <w:overflowPunct w:val="0"/>
        <w:spacing w:before="6"/>
        <w:ind w:left="0"/>
        <w:rPr>
          <w:rFonts w:hint="eastAsia" w:ascii="宋体" w:hAnsi="宋体" w:eastAsia="宋体" w:cs="宋体"/>
          <w:b/>
          <w:bCs/>
          <w:sz w:val="26"/>
          <w:szCs w:val="26"/>
          <w:highlight w:val="none"/>
        </w:rPr>
      </w:pPr>
    </w:p>
    <w:p>
      <w:pPr>
        <w:pStyle w:val="24"/>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9"/>
        <w:spacing w:line="360" w:lineRule="auto"/>
        <w:rPr>
          <w:rFonts w:hint="eastAsia" w:ascii="宋体" w:hAnsi="宋体" w:eastAsia="宋体" w:cs="宋体"/>
          <w:kern w:val="0"/>
          <w:sz w:val="24"/>
          <w:highlight w:val="none"/>
        </w:rPr>
      </w:pPr>
    </w:p>
    <w:p>
      <w:pPr>
        <w:pStyle w:val="9"/>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5"/>
        <w:tabs>
          <w:tab w:val="left" w:pos="2763"/>
        </w:tabs>
        <w:kinsoku w:val="0"/>
        <w:overflowPunct w:val="0"/>
        <w:spacing w:before="143"/>
        <w:jc w:val="center"/>
        <w:outlineLvl w:val="9"/>
        <w:rPr>
          <w:rFonts w:hint="eastAsia" w:ascii="宋体" w:hAnsi="宋体" w:eastAsia="宋体" w:cs="宋体"/>
          <w:b w:val="0"/>
          <w:bCs w:val="0"/>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8"/>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19"/>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19"/>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02"/>
        <w:gridCol w:w="3423"/>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90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23"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技术</w:t>
      </w:r>
      <w:r>
        <w:rPr>
          <w:rFonts w:hint="eastAsia" w:ascii="宋体" w:hAnsi="宋体" w:eastAsia="宋体" w:cs="宋体"/>
          <w:b/>
          <w:kern w:val="0"/>
          <w:sz w:val="24"/>
          <w:szCs w:val="24"/>
          <w:highlight w:val="none"/>
        </w:rPr>
        <w:t>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0"/>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 xml:space="preserve">4  </w:t>
      </w:r>
      <w:r>
        <w:rPr>
          <w:b/>
          <w:bCs/>
          <w:sz w:val="24"/>
          <w:lang w:eastAsia="en-US"/>
        </w:rPr>
        <w:t>风险规避措施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0"/>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 xml:space="preserve">1.5  </w:t>
      </w:r>
      <w:r>
        <w:rPr>
          <w:b/>
          <w:bCs/>
          <w:sz w:val="24"/>
          <w:lang w:eastAsia="en-US"/>
        </w:rPr>
        <w:t>培训方案</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0"/>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1.6  项目经理及项目团队人员证书及社保证明：</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1.7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7"/>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5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21"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567" w:type="dxa"/>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cs="宋体"/>
          <w:b/>
          <w:kern w:val="0"/>
          <w:sz w:val="24"/>
          <w:szCs w:val="24"/>
          <w:highlight w:val="none"/>
          <w:lang w:val="en-US" w:eastAsia="zh-CN"/>
        </w:rPr>
        <w:t>服务</w:t>
      </w:r>
      <w:r>
        <w:rPr>
          <w:rFonts w:hint="eastAsia" w:ascii="宋体" w:hAnsi="宋体" w:eastAsia="宋体" w:cs="宋体"/>
          <w:b/>
          <w:kern w:val="0"/>
          <w:sz w:val="24"/>
          <w:szCs w:val="24"/>
          <w:highlight w:val="none"/>
        </w:rPr>
        <w:t>进度计划表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w:t>
      </w:r>
    </w:p>
    <w:p>
      <w:pPr>
        <w:tabs>
          <w:tab w:val="left" w:pos="361"/>
        </w:tabs>
        <w:bidi w:val="0"/>
        <w:jc w:val="both"/>
        <w:rPr>
          <w:rFonts w:hint="eastAsia"/>
        </w:rPr>
      </w:pPr>
      <w:r>
        <w:rPr>
          <w:rFonts w:hint="eastAsia"/>
        </w:rPr>
        <w:t>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8"/>
        <w:kinsoku w:val="0"/>
        <w:overflowPunct w:val="0"/>
        <w:spacing w:before="34" w:line="357" w:lineRule="auto"/>
        <w:ind w:left="0" w:right="126" w:firstLine="120" w:firstLineChars="5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p>
  <w:p>
    <w:pPr>
      <w:pStyle w:val="11"/>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ZmZkMzkyZmU5Mzg2MjAwNTk5OTQ1N2FlOWRjMTAifQ=="/>
  </w:docVars>
  <w:rsids>
    <w:rsidRoot w:val="4EF27C74"/>
    <w:rsid w:val="00D13B9B"/>
    <w:rsid w:val="027D016B"/>
    <w:rsid w:val="03AF4BD2"/>
    <w:rsid w:val="05F40ACF"/>
    <w:rsid w:val="060E0879"/>
    <w:rsid w:val="089D6A3E"/>
    <w:rsid w:val="0A466E03"/>
    <w:rsid w:val="0AB63B45"/>
    <w:rsid w:val="0B4F663E"/>
    <w:rsid w:val="12FF5BBA"/>
    <w:rsid w:val="137B26DA"/>
    <w:rsid w:val="14AD594A"/>
    <w:rsid w:val="15B2526A"/>
    <w:rsid w:val="18E658E0"/>
    <w:rsid w:val="1B700D17"/>
    <w:rsid w:val="1C841001"/>
    <w:rsid w:val="1CBE5469"/>
    <w:rsid w:val="1F0E216E"/>
    <w:rsid w:val="1F1213D9"/>
    <w:rsid w:val="22F2421E"/>
    <w:rsid w:val="23D566BE"/>
    <w:rsid w:val="248B003B"/>
    <w:rsid w:val="25590AE1"/>
    <w:rsid w:val="257A1BD3"/>
    <w:rsid w:val="27E6196C"/>
    <w:rsid w:val="2A6A6CB3"/>
    <w:rsid w:val="2AEC08F3"/>
    <w:rsid w:val="31053F3C"/>
    <w:rsid w:val="374C4D14"/>
    <w:rsid w:val="3A321A0F"/>
    <w:rsid w:val="3F48271F"/>
    <w:rsid w:val="3F8156AD"/>
    <w:rsid w:val="3F9C52B9"/>
    <w:rsid w:val="41A15149"/>
    <w:rsid w:val="43420D03"/>
    <w:rsid w:val="43B738C1"/>
    <w:rsid w:val="43EF7E53"/>
    <w:rsid w:val="457F455D"/>
    <w:rsid w:val="4EF27C74"/>
    <w:rsid w:val="552C03DB"/>
    <w:rsid w:val="59CA169C"/>
    <w:rsid w:val="5CA924D4"/>
    <w:rsid w:val="5CE2312B"/>
    <w:rsid w:val="6179161D"/>
    <w:rsid w:val="6487465D"/>
    <w:rsid w:val="64AC0E61"/>
    <w:rsid w:val="65E526B2"/>
    <w:rsid w:val="68C94CCB"/>
    <w:rsid w:val="6BBD3BC6"/>
    <w:rsid w:val="6CBC3367"/>
    <w:rsid w:val="6FCF5641"/>
    <w:rsid w:val="71B12952"/>
    <w:rsid w:val="726A110E"/>
    <w:rsid w:val="750431F9"/>
    <w:rsid w:val="7942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ascii="Calibri" w:hAnsi="Calibri" w:eastAsia="黑体" w:cs="Times New Roman"/>
      <w:b/>
      <w:bCs/>
      <w:kern w:val="2"/>
      <w:sz w:val="32"/>
      <w:szCs w:val="32"/>
      <w:lang w:val="en-US" w:eastAsia="zh-CN" w:bidi="ar-SA"/>
    </w:r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Body Text Indent 2"/>
    <w:basedOn w:val="1"/>
    <w:qFormat/>
    <w:uiPriority w:val="99"/>
    <w:pPr>
      <w:ind w:firstLine="480"/>
    </w:pPr>
    <w:rPr>
      <w:rFonts w:asciiTheme="minorHAnsi" w:hAnsiTheme="minorHAnsi" w:eastAsiaTheme="minorEastAsia" w:cstheme="minorBidi"/>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Body Text Indent 3"/>
    <w:basedOn w:val="1"/>
    <w:qFormat/>
    <w:uiPriority w:val="0"/>
    <w:pPr>
      <w:spacing w:line="410" w:lineRule="exact"/>
      <w:ind w:left="619" w:leftChars="295" w:firstLine="390" w:firstLineChars="179"/>
    </w:pPr>
    <w:rPr>
      <w:rFonts w:ascii="宋体" w:hAnsi="宋体"/>
      <w:spacing w:val="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正文缩进1"/>
    <w:basedOn w:val="1"/>
    <w:qFormat/>
    <w:uiPriority w:val="0"/>
    <w:pPr>
      <w:ind w:firstLine="420" w:firstLineChars="200"/>
    </w:pPr>
  </w:style>
  <w:style w:type="paragraph" w:customStyle="1" w:styleId="20">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21">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4">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5">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6">
    <w:name w:val="Body text|1"/>
    <w:basedOn w:val="1"/>
    <w:qFormat/>
    <w:uiPriority w:val="0"/>
    <w:pPr>
      <w:widowControl w:val="0"/>
      <w:shd w:val="clear" w:color="auto" w:fill="auto"/>
      <w:spacing w:line="334" w:lineRule="auto"/>
      <w:ind w:firstLine="400"/>
    </w:pPr>
    <w:rPr>
      <w:rFonts w:ascii="宋体" w:hAnsi="宋体" w:eastAsia="宋体" w:cs="宋体"/>
      <w:u w:val="none"/>
      <w:shd w:val="clear" w:color="auto" w:fill="auto"/>
      <w:lang w:val="zh-TW" w:eastAsia="zh-TW" w:bidi="zh-TW"/>
    </w:rPr>
  </w:style>
  <w:style w:type="paragraph" w:customStyle="1" w:styleId="27">
    <w:name w:val="*正文"/>
    <w:basedOn w:val="1"/>
    <w:qFormat/>
    <w:uiPriority w:val="0"/>
    <w:pPr>
      <w:widowControl/>
      <w:spacing w:line="360" w:lineRule="auto"/>
      <w:ind w:firstLine="200" w:firstLineChars="200"/>
      <w:jc w:val="left"/>
    </w:pPr>
    <w:rPr>
      <w:rFonts w:ascii="仿宋_GB2312" w:hAnsi="Calibri" w:eastAsia="仿宋_GB2312"/>
      <w:szCs w:val="28"/>
    </w:rPr>
  </w:style>
  <w:style w:type="character" w:customStyle="1" w:styleId="28">
    <w:name w:val="fontstyle01"/>
    <w:basedOn w:val="18"/>
    <w:qFormat/>
    <w:uiPriority w:val="0"/>
    <w:rPr>
      <w:rFonts w:hint="eastAsia" w:ascii="宋体" w:hAnsi="宋体" w:eastAsia="宋体"/>
      <w:color w:val="000000"/>
      <w:sz w:val="24"/>
      <w:szCs w:val="24"/>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列出段落"/>
    <w:basedOn w:val="1"/>
    <w:qFormat/>
    <w:uiPriority w:val="34"/>
    <w:pPr>
      <w:ind w:firstLine="420" w:firstLineChars="200"/>
    </w:pPr>
  </w:style>
  <w:style w:type="table" w:customStyle="1" w:styleId="31">
    <w:name w:val="Table Normal"/>
    <w:semiHidden/>
    <w:unhideWhenUsed/>
    <w:qFormat/>
    <w:uiPriority w:val="2"/>
    <w:tblPr>
      <w:tblCellMar>
        <w:top w:w="0" w:type="dxa"/>
        <w:left w:w="0" w:type="dxa"/>
        <w:bottom w:w="0" w:type="dxa"/>
        <w:right w:w="0" w:type="dxa"/>
      </w:tblCellMar>
    </w:tblPr>
  </w:style>
  <w:style w:type="table" w:customStyle="1" w:styleId="32">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38067</Words>
  <Characters>39695</Characters>
  <Lines>0</Lines>
  <Paragraphs>0</Paragraphs>
  <TotalTime>24</TotalTime>
  <ScaleCrop>false</ScaleCrop>
  <LinksUpToDate>false</LinksUpToDate>
  <CharactersWithSpaces>41935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Administrator</cp:lastModifiedBy>
  <dcterms:modified xsi:type="dcterms:W3CDTF">2022-09-30T08:13:38Z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54E86B55D34C4EE29C270DEC3261A3AE</vt:lpwstr>
  </property>
</Properties>
</file>