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360" w:lineRule="auto"/>
        <w:jc w:val="right"/>
        <w:rPr>
          <w:rFonts w:hint="eastAsia" w:ascii="仿宋" w:hAnsi="仿宋" w:eastAsia="仿宋" w:cs="仿宋"/>
          <w:b/>
          <w:sz w:val="60"/>
          <w:szCs w:val="60"/>
          <w:lang w:val="en-US" w:eastAsia="zh-CN"/>
        </w:rPr>
      </w:pPr>
      <w:r>
        <w:rPr>
          <w:rFonts w:hint="eastAsia" w:ascii="仿宋" w:hAnsi="仿宋" w:eastAsia="仿宋" w:cs="仿宋"/>
          <w:b/>
          <w:sz w:val="24"/>
          <w:szCs w:val="24"/>
        </w:rPr>
        <w:t>编号：ZHJ-JZX</w:t>
      </w:r>
      <w:r>
        <w:rPr>
          <w:rFonts w:hint="eastAsia" w:ascii="仿宋" w:hAnsi="仿宋" w:eastAsia="仿宋" w:cs="仿宋"/>
          <w:b/>
          <w:sz w:val="24"/>
          <w:szCs w:val="24"/>
          <w:lang w:val="en-US" w:eastAsia="zh-CN"/>
        </w:rPr>
        <w:t>CS</w:t>
      </w:r>
      <w:r>
        <w:rPr>
          <w:rFonts w:hint="eastAsia" w:ascii="仿宋" w:hAnsi="仿宋" w:eastAsia="仿宋" w:cs="仿宋"/>
          <w:b/>
          <w:sz w:val="24"/>
          <w:szCs w:val="24"/>
        </w:rPr>
        <w:t>-202</w:t>
      </w:r>
      <w:r>
        <w:rPr>
          <w:rFonts w:hint="eastAsia" w:ascii="仿宋" w:hAnsi="仿宋" w:eastAsia="仿宋" w:cs="仿宋"/>
          <w:b/>
          <w:sz w:val="24"/>
          <w:szCs w:val="24"/>
          <w:lang w:val="en-US" w:eastAsia="zh-CN"/>
        </w:rPr>
        <w:t>2-26</w:t>
      </w:r>
    </w:p>
    <w:p>
      <w:pPr>
        <w:pStyle w:val="18"/>
        <w:spacing w:line="360" w:lineRule="auto"/>
        <w:ind w:left="0" w:leftChars="0" w:firstLine="0" w:firstLineChars="0"/>
        <w:jc w:val="center"/>
        <w:rPr>
          <w:rFonts w:hint="eastAsia" w:ascii="仿宋" w:hAnsi="仿宋" w:eastAsia="仿宋" w:cs="仿宋"/>
          <w:b/>
          <w:bCs/>
          <w:sz w:val="44"/>
          <w:szCs w:val="44"/>
          <w:lang w:val="en-US" w:eastAsia="zh-CN"/>
        </w:rPr>
      </w:pPr>
    </w:p>
    <w:p>
      <w:pPr>
        <w:pStyle w:val="18"/>
        <w:spacing w:line="360" w:lineRule="auto"/>
        <w:ind w:left="0" w:leftChars="0" w:firstLine="0" w:firstLineChars="0"/>
        <w:jc w:val="center"/>
        <w:rPr>
          <w:rFonts w:hint="eastAsia" w:ascii="仿宋" w:hAnsi="仿宋" w:eastAsia="仿宋" w:cs="仿宋"/>
          <w:b/>
          <w:bCs/>
          <w:sz w:val="44"/>
          <w:szCs w:val="44"/>
          <w:lang w:eastAsia="zh-CN"/>
        </w:rPr>
      </w:pPr>
      <w:r>
        <w:rPr>
          <w:rFonts w:hint="eastAsia" w:ascii="仿宋" w:hAnsi="仿宋" w:eastAsia="仿宋" w:cs="仿宋"/>
          <w:b/>
          <w:bCs/>
          <w:sz w:val="44"/>
          <w:szCs w:val="44"/>
          <w:lang w:val="en-US" w:eastAsia="zh-CN"/>
        </w:rPr>
        <w:t>伊犁州伊宁市校园运动场、足球场建设项目</w:t>
      </w:r>
    </w:p>
    <w:p>
      <w:pPr>
        <w:pStyle w:val="18"/>
        <w:spacing w:line="360" w:lineRule="auto"/>
        <w:ind w:left="0" w:leftChars="0" w:firstLine="0" w:firstLineChars="0"/>
        <w:jc w:val="center"/>
        <w:rPr>
          <w:rFonts w:hint="eastAsia" w:ascii="仿宋" w:hAnsi="仿宋" w:eastAsia="仿宋" w:cs="仿宋"/>
          <w:b/>
          <w:bCs/>
          <w:sz w:val="44"/>
          <w:szCs w:val="44"/>
          <w:lang w:eastAsia="zh-CN"/>
        </w:rPr>
      </w:pPr>
    </w:p>
    <w:p>
      <w:pPr>
        <w:pStyle w:val="18"/>
        <w:spacing w:line="360" w:lineRule="auto"/>
        <w:ind w:left="0" w:leftChars="0" w:firstLine="0" w:firstLineChars="0"/>
        <w:jc w:val="center"/>
        <w:rPr>
          <w:rFonts w:hint="eastAsia" w:ascii="仿宋" w:hAnsi="仿宋" w:eastAsia="仿宋" w:cs="仿宋"/>
          <w:b/>
          <w:bCs/>
          <w:sz w:val="44"/>
          <w:szCs w:val="44"/>
        </w:rPr>
      </w:pPr>
      <w:r>
        <w:rPr>
          <w:rFonts w:hint="eastAsia" w:ascii="仿宋" w:hAnsi="仿宋" w:eastAsia="仿宋" w:cs="仿宋"/>
          <w:b/>
          <w:bCs/>
          <w:sz w:val="44"/>
          <w:szCs w:val="44"/>
          <w:lang w:val="en-US" w:eastAsia="zh-CN"/>
        </w:rPr>
        <w:t>（英也尔镇界梁子小学）</w:t>
      </w:r>
      <w:r>
        <w:rPr>
          <w:rFonts w:hint="eastAsia" w:ascii="仿宋" w:hAnsi="仿宋" w:eastAsia="仿宋" w:cs="仿宋"/>
          <w:b/>
          <w:bCs/>
          <w:sz w:val="44"/>
          <w:szCs w:val="44"/>
        </w:rPr>
        <w:t>竞争性磋商文件</w:t>
      </w:r>
    </w:p>
    <w:p>
      <w:pPr>
        <w:spacing w:line="360" w:lineRule="auto"/>
        <w:jc w:val="center"/>
        <w:rPr>
          <w:rFonts w:hint="eastAsia" w:ascii="仿宋" w:hAnsi="仿宋" w:eastAsia="仿宋" w:cs="仿宋"/>
          <w:b/>
          <w:bCs/>
          <w:sz w:val="52"/>
          <w:szCs w:val="52"/>
        </w:rPr>
      </w:pPr>
    </w:p>
    <w:p>
      <w:pPr>
        <w:pStyle w:val="14"/>
        <w:spacing w:line="360" w:lineRule="auto"/>
        <w:rPr>
          <w:rFonts w:hint="eastAsia" w:ascii="仿宋" w:hAnsi="仿宋" w:eastAsia="仿宋" w:cs="仿宋"/>
          <w:b/>
          <w:bCs/>
          <w:sz w:val="52"/>
          <w:szCs w:val="52"/>
        </w:rPr>
      </w:pPr>
    </w:p>
    <w:p>
      <w:pPr>
        <w:pStyle w:val="14"/>
        <w:spacing w:line="360" w:lineRule="auto"/>
        <w:rPr>
          <w:rFonts w:hint="eastAsia" w:ascii="仿宋" w:hAnsi="仿宋" w:eastAsia="仿宋" w:cs="仿宋"/>
          <w:b/>
          <w:bCs/>
          <w:sz w:val="52"/>
          <w:szCs w:val="52"/>
        </w:rPr>
      </w:pPr>
    </w:p>
    <w:p>
      <w:pPr>
        <w:pStyle w:val="14"/>
        <w:spacing w:line="360" w:lineRule="auto"/>
        <w:rPr>
          <w:rFonts w:hint="eastAsia" w:ascii="仿宋" w:hAnsi="仿宋" w:eastAsia="仿宋" w:cs="仿宋"/>
          <w:b/>
          <w:bCs/>
          <w:sz w:val="52"/>
          <w:szCs w:val="52"/>
        </w:rPr>
      </w:pPr>
    </w:p>
    <w:p>
      <w:pPr>
        <w:spacing w:line="360" w:lineRule="auto"/>
        <w:rPr>
          <w:rFonts w:hint="eastAsia" w:ascii="仿宋" w:hAnsi="仿宋" w:eastAsia="仿宋" w:cs="仿宋"/>
          <w:b/>
          <w:kern w:val="0"/>
          <w:sz w:val="32"/>
          <w:szCs w:val="32"/>
        </w:rPr>
      </w:pPr>
    </w:p>
    <w:p>
      <w:pPr>
        <w:spacing w:line="360" w:lineRule="auto"/>
        <w:rPr>
          <w:rFonts w:hint="eastAsia" w:ascii="仿宋" w:hAnsi="仿宋" w:eastAsia="仿宋" w:cs="仿宋"/>
          <w:b/>
          <w:kern w:val="0"/>
          <w:sz w:val="32"/>
          <w:szCs w:val="32"/>
          <w:lang w:eastAsia="zh-CN"/>
        </w:rPr>
      </w:pPr>
      <w:r>
        <w:rPr>
          <w:rFonts w:hint="eastAsia" w:ascii="仿宋" w:hAnsi="仿宋" w:eastAsia="仿宋" w:cs="仿宋"/>
          <w:b/>
          <w:kern w:val="0"/>
          <w:sz w:val="32"/>
          <w:szCs w:val="32"/>
        </w:rPr>
        <w:t>招   标  人：</w:t>
      </w:r>
      <w:r>
        <w:rPr>
          <w:rFonts w:hint="eastAsia" w:ascii="仿宋" w:hAnsi="仿宋" w:eastAsia="仿宋" w:cs="仿宋"/>
          <w:b/>
          <w:kern w:val="0"/>
          <w:sz w:val="32"/>
          <w:szCs w:val="32"/>
          <w:lang w:val="en-US" w:eastAsia="zh-CN"/>
        </w:rPr>
        <w:t xml:space="preserve">伊宁市教育局  </w:t>
      </w:r>
      <w:r>
        <w:rPr>
          <w:rFonts w:hint="eastAsia" w:ascii="仿宋" w:hAnsi="仿宋" w:eastAsia="仿宋" w:cs="仿宋"/>
          <w:b/>
          <w:kern w:val="0"/>
          <w:sz w:val="32"/>
          <w:szCs w:val="32"/>
        </w:rPr>
        <w:t>（盖章）</w:t>
      </w:r>
    </w:p>
    <w:p>
      <w:pPr>
        <w:spacing w:line="360" w:lineRule="auto"/>
        <w:ind w:firstLine="321" w:firstLineChars="100"/>
        <w:rPr>
          <w:rFonts w:hint="eastAsia" w:ascii="仿宋" w:hAnsi="仿宋" w:eastAsia="仿宋" w:cs="仿宋"/>
          <w:b/>
          <w:kern w:val="0"/>
          <w:sz w:val="32"/>
          <w:szCs w:val="32"/>
        </w:rPr>
      </w:pPr>
      <w:r>
        <w:rPr>
          <w:rFonts w:hint="eastAsia" w:ascii="仿宋" w:hAnsi="仿宋" w:eastAsia="仿宋" w:cs="仿宋"/>
          <w:b/>
          <w:kern w:val="0"/>
          <w:sz w:val="32"/>
          <w:szCs w:val="32"/>
        </w:rPr>
        <w:t xml:space="preserve"> </w:t>
      </w:r>
      <w:r>
        <w:rPr>
          <w:rFonts w:hint="eastAsia" w:ascii="仿宋" w:hAnsi="仿宋" w:eastAsia="仿宋" w:cs="仿宋"/>
          <w:b/>
          <w:kern w:val="0"/>
          <w:sz w:val="32"/>
          <w:szCs w:val="32"/>
          <w:lang w:val="en-US" w:eastAsia="zh-CN"/>
        </w:rPr>
        <w:t xml:space="preserve">                                     </w:t>
      </w:r>
    </w:p>
    <w:p>
      <w:pPr>
        <w:autoSpaceDE w:val="0"/>
        <w:autoSpaceDN w:val="0"/>
        <w:adjustRightInd w:val="0"/>
        <w:spacing w:line="360" w:lineRule="auto"/>
        <w:rPr>
          <w:rFonts w:hint="eastAsia" w:ascii="仿宋" w:hAnsi="仿宋" w:eastAsia="仿宋" w:cs="仿宋"/>
          <w:b/>
          <w:sz w:val="32"/>
          <w:szCs w:val="32"/>
        </w:rPr>
      </w:pPr>
      <w:r>
        <w:rPr>
          <w:rFonts w:hint="eastAsia" w:ascii="仿宋" w:hAnsi="仿宋" w:eastAsia="仿宋" w:cs="仿宋"/>
          <w:b/>
          <w:kern w:val="0"/>
          <w:sz w:val="32"/>
          <w:szCs w:val="32"/>
        </w:rPr>
        <w:t>联系人</w:t>
      </w:r>
      <w:r>
        <w:rPr>
          <w:rFonts w:hint="eastAsia" w:ascii="仿宋" w:hAnsi="仿宋" w:eastAsia="仿宋" w:cs="仿宋"/>
          <w:b/>
          <w:kern w:val="0"/>
          <w:sz w:val="32"/>
          <w:szCs w:val="32"/>
          <w:lang w:eastAsia="zh-CN"/>
        </w:rPr>
        <w:t>：</w:t>
      </w:r>
      <w:r>
        <w:rPr>
          <w:rFonts w:hint="eastAsia" w:ascii="仿宋" w:hAnsi="仿宋" w:eastAsia="仿宋" w:cs="仿宋"/>
          <w:b/>
          <w:kern w:val="0"/>
          <w:sz w:val="32"/>
          <w:szCs w:val="32"/>
          <w:lang w:val="en-US" w:eastAsia="zh-CN"/>
        </w:rPr>
        <w:t xml:space="preserve">万斌                </w:t>
      </w:r>
      <w:r>
        <w:rPr>
          <w:rFonts w:hint="eastAsia" w:ascii="仿宋" w:hAnsi="仿宋" w:eastAsia="仿宋" w:cs="仿宋"/>
          <w:b/>
          <w:kern w:val="0"/>
          <w:sz w:val="32"/>
          <w:szCs w:val="32"/>
        </w:rPr>
        <w:t>联系电</w:t>
      </w:r>
      <w:r>
        <w:rPr>
          <w:rFonts w:hint="eastAsia" w:ascii="仿宋" w:hAnsi="仿宋" w:eastAsia="仿宋" w:cs="仿宋"/>
          <w:b/>
          <w:sz w:val="32"/>
          <w:szCs w:val="32"/>
        </w:rPr>
        <w:t>话：</w:t>
      </w:r>
      <w:r>
        <w:rPr>
          <w:rFonts w:hint="eastAsia" w:ascii="仿宋" w:hAnsi="仿宋" w:eastAsia="仿宋" w:cs="仿宋"/>
          <w:b/>
          <w:sz w:val="32"/>
          <w:szCs w:val="32"/>
          <w:lang w:val="en-US" w:eastAsia="zh-CN"/>
        </w:rPr>
        <w:t xml:space="preserve">18999572926 </w:t>
      </w:r>
    </w:p>
    <w:p>
      <w:pPr>
        <w:autoSpaceDE w:val="0"/>
        <w:autoSpaceDN w:val="0"/>
        <w:adjustRightInd w:val="0"/>
        <w:spacing w:line="360" w:lineRule="auto"/>
        <w:rPr>
          <w:rFonts w:hint="default" w:ascii="仿宋" w:hAnsi="仿宋" w:eastAsia="仿宋" w:cs="仿宋"/>
          <w:b/>
          <w:sz w:val="32"/>
          <w:szCs w:val="32"/>
          <w:lang w:val="en-US" w:eastAsia="zh-CN"/>
        </w:rPr>
      </w:pPr>
    </w:p>
    <w:p>
      <w:pPr>
        <w:autoSpaceDE w:val="0"/>
        <w:autoSpaceDN w:val="0"/>
        <w:adjustRightInd w:val="0"/>
        <w:spacing w:line="360" w:lineRule="auto"/>
        <w:rPr>
          <w:rFonts w:hint="eastAsia" w:ascii="仿宋" w:hAnsi="仿宋" w:eastAsia="仿宋" w:cs="仿宋"/>
          <w:b/>
          <w:sz w:val="32"/>
          <w:szCs w:val="32"/>
        </w:rPr>
      </w:pPr>
    </w:p>
    <w:p>
      <w:pPr>
        <w:autoSpaceDE w:val="0"/>
        <w:autoSpaceDN w:val="0"/>
        <w:adjustRightInd w:val="0"/>
        <w:spacing w:line="360" w:lineRule="auto"/>
        <w:rPr>
          <w:rFonts w:hint="eastAsia" w:ascii="仿宋" w:hAnsi="仿宋" w:eastAsia="仿宋" w:cs="仿宋"/>
          <w:b/>
          <w:sz w:val="32"/>
          <w:szCs w:val="32"/>
        </w:rPr>
      </w:pPr>
      <w:r>
        <w:rPr>
          <w:rFonts w:hint="eastAsia" w:ascii="仿宋" w:hAnsi="仿宋" w:eastAsia="仿宋" w:cs="仿宋"/>
          <w:b/>
          <w:sz w:val="32"/>
          <w:szCs w:val="32"/>
        </w:rPr>
        <w:t>招标代理机构：</w:t>
      </w:r>
      <w:r>
        <w:rPr>
          <w:rFonts w:hint="eastAsia" w:ascii="仿宋" w:hAnsi="仿宋" w:eastAsia="仿宋" w:cs="仿宋"/>
          <w:b/>
          <w:sz w:val="32"/>
          <w:szCs w:val="32"/>
          <w:lang w:val="zh-CN" w:eastAsia="zh-CN"/>
        </w:rPr>
        <w:t>中环建（北京）工程管理</w:t>
      </w:r>
      <w:r>
        <w:rPr>
          <w:rFonts w:hint="eastAsia" w:ascii="仿宋" w:hAnsi="仿宋" w:eastAsia="仿宋" w:cs="仿宋"/>
          <w:b/>
          <w:sz w:val="32"/>
          <w:szCs w:val="32"/>
          <w:lang w:val="zh-CN"/>
        </w:rPr>
        <w:t>有限公司</w:t>
      </w:r>
      <w:r>
        <w:rPr>
          <w:rFonts w:hint="eastAsia" w:ascii="仿宋" w:hAnsi="仿宋" w:eastAsia="仿宋" w:cs="仿宋"/>
          <w:b/>
          <w:sz w:val="32"/>
          <w:szCs w:val="32"/>
        </w:rPr>
        <w:t>（公章)</w:t>
      </w:r>
    </w:p>
    <w:p>
      <w:pPr>
        <w:spacing w:line="360" w:lineRule="auto"/>
        <w:rPr>
          <w:rFonts w:hint="eastAsia" w:ascii="仿宋" w:hAnsi="仿宋" w:eastAsia="仿宋" w:cs="仿宋"/>
          <w:b/>
          <w:sz w:val="32"/>
          <w:szCs w:val="32"/>
        </w:rPr>
      </w:pPr>
    </w:p>
    <w:p>
      <w:pPr>
        <w:spacing w:line="360" w:lineRule="auto"/>
        <w:rPr>
          <w:rFonts w:hint="eastAsia" w:ascii="仿宋" w:hAnsi="仿宋" w:eastAsia="仿宋" w:cs="仿宋"/>
          <w:b/>
          <w:sz w:val="48"/>
        </w:rPr>
      </w:pPr>
      <w:r>
        <w:rPr>
          <w:rFonts w:hint="eastAsia" w:ascii="仿宋" w:hAnsi="仿宋" w:eastAsia="仿宋" w:cs="仿宋"/>
          <w:b/>
          <w:sz w:val="32"/>
          <w:szCs w:val="32"/>
        </w:rPr>
        <w:t>联系人：</w:t>
      </w:r>
      <w:r>
        <w:rPr>
          <w:rFonts w:hint="eastAsia" w:ascii="仿宋" w:hAnsi="仿宋" w:eastAsia="仿宋" w:cs="仿宋"/>
          <w:b/>
          <w:sz w:val="32"/>
          <w:szCs w:val="32"/>
          <w:lang w:eastAsia="zh-CN"/>
        </w:rPr>
        <w:t>张磊</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联系电话</w:t>
      </w:r>
      <w:r>
        <w:rPr>
          <w:rFonts w:hint="eastAsia" w:ascii="仿宋" w:hAnsi="仿宋" w:eastAsia="仿宋" w:cs="仿宋"/>
          <w:b/>
          <w:sz w:val="32"/>
          <w:szCs w:val="32"/>
          <w:lang w:eastAsia="zh-CN"/>
        </w:rPr>
        <w:t>：</w:t>
      </w:r>
      <w:r>
        <w:rPr>
          <w:rFonts w:hint="eastAsia" w:ascii="仿宋" w:hAnsi="仿宋" w:eastAsia="仿宋" w:cs="仿宋"/>
          <w:b/>
          <w:sz w:val="32"/>
          <w:szCs w:val="32"/>
          <w:lang w:val="zh-CN" w:eastAsia="zh-CN"/>
        </w:rPr>
        <w:t>0</w:t>
      </w:r>
      <w:r>
        <w:rPr>
          <w:rFonts w:hint="eastAsia" w:ascii="仿宋" w:hAnsi="仿宋" w:eastAsia="仿宋" w:cs="仿宋"/>
          <w:b/>
          <w:sz w:val="32"/>
          <w:szCs w:val="32"/>
          <w:lang w:val="en-US" w:eastAsia="zh-CN"/>
        </w:rPr>
        <w:t>999</w:t>
      </w:r>
      <w:r>
        <w:rPr>
          <w:rFonts w:hint="eastAsia" w:ascii="仿宋" w:hAnsi="仿宋" w:eastAsia="仿宋" w:cs="仿宋"/>
          <w:b/>
          <w:sz w:val="32"/>
          <w:szCs w:val="32"/>
          <w:lang w:val="zh-CN" w:eastAsia="zh-CN"/>
        </w:rPr>
        <w:t>-</w:t>
      </w:r>
      <w:r>
        <w:rPr>
          <w:rFonts w:hint="eastAsia" w:ascii="仿宋" w:hAnsi="仿宋" w:eastAsia="仿宋" w:cs="仿宋"/>
          <w:b/>
          <w:sz w:val="32"/>
          <w:szCs w:val="32"/>
          <w:lang w:val="en-US" w:eastAsia="zh-CN"/>
        </w:rPr>
        <w:t>8988</w:t>
      </w:r>
      <w:r>
        <w:rPr>
          <w:rFonts w:hint="eastAsia" w:ascii="仿宋" w:hAnsi="仿宋" w:eastAsia="仿宋" w:cs="仿宋"/>
          <w:b/>
          <w:sz w:val="32"/>
          <w:szCs w:val="32"/>
          <w:lang w:val="zh-CN" w:eastAsia="zh-CN"/>
        </w:rPr>
        <w:t>77</w:t>
      </w:r>
      <w:r>
        <w:rPr>
          <w:rFonts w:hint="eastAsia" w:ascii="仿宋" w:hAnsi="仿宋" w:eastAsia="仿宋" w:cs="仿宋"/>
          <w:b/>
          <w:sz w:val="32"/>
          <w:szCs w:val="32"/>
          <w:lang w:val="en-US" w:eastAsia="zh-CN"/>
        </w:rPr>
        <w:t>7</w:t>
      </w:r>
    </w:p>
    <w:p>
      <w:pPr>
        <w:pStyle w:val="10"/>
        <w:spacing w:line="360" w:lineRule="auto"/>
        <w:rPr>
          <w:rFonts w:asciiTheme="minorEastAsia" w:hAnsiTheme="minorEastAsia" w:eastAsiaTheme="minorEastAsia" w:cstheme="minorEastAsia"/>
          <w:b/>
        </w:rPr>
      </w:pPr>
    </w:p>
    <w:p>
      <w:pPr>
        <w:spacing w:line="360" w:lineRule="auto"/>
        <w:jc w:val="center"/>
        <w:rPr>
          <w:rFonts w:asciiTheme="minorEastAsia" w:hAnsiTheme="minorEastAsia" w:eastAsiaTheme="minorEastAsia" w:cstheme="minorEastAsia"/>
          <w:b/>
          <w:sz w:val="36"/>
        </w:rPr>
        <w:sectPr>
          <w:footerReference r:id="rId3" w:type="first"/>
          <w:pgSz w:w="11906" w:h="16838"/>
          <w:pgMar w:top="1440" w:right="1797" w:bottom="1440" w:left="1797" w:header="851" w:footer="992" w:gutter="0"/>
          <w:pgNumType w:start="1"/>
          <w:cols w:space="720" w:num="1"/>
          <w:docGrid w:type="lines" w:linePitch="312" w:charSpace="0"/>
        </w:sectPr>
      </w:pPr>
    </w:p>
    <w:p>
      <w:pPr>
        <w:spacing w:line="360" w:lineRule="auto"/>
        <w:jc w:val="center"/>
        <w:rPr>
          <w:rFonts w:asciiTheme="minorEastAsia" w:hAnsiTheme="minorEastAsia" w:eastAsiaTheme="minorEastAsia" w:cstheme="minorEastAsia"/>
          <w:b/>
          <w:sz w:val="36"/>
        </w:rPr>
      </w:pPr>
      <w:r>
        <w:rPr>
          <w:rFonts w:hint="eastAsia" w:asciiTheme="minorEastAsia" w:hAnsiTheme="minorEastAsia" w:eastAsiaTheme="minorEastAsia" w:cstheme="minorEastAsia"/>
          <w:b/>
          <w:sz w:val="36"/>
        </w:rPr>
        <w:t>目     录</w:t>
      </w:r>
    </w:p>
    <w:p>
      <w:pPr>
        <w:pStyle w:val="13"/>
        <w:tabs>
          <w:tab w:val="right" w:leader="dot" w:pos="8400"/>
          <w:tab w:val="right" w:leader="dot" w:pos="9737"/>
        </w:tabs>
        <w:spacing w:line="360" w:lineRule="auto"/>
        <w:rPr>
          <w:rFonts w:asciiTheme="minorEastAsia" w:hAnsiTheme="minorEastAsia" w:eastAsiaTheme="minorEastAsia" w:cstheme="minorEastAsia"/>
          <w:szCs w:val="22"/>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TOC \o "1-2" \h \z \u </w:instrText>
      </w:r>
      <w:r>
        <w:rPr>
          <w:rFonts w:hint="eastAsia" w:asciiTheme="minorEastAsia" w:hAnsiTheme="minorEastAsia" w:eastAsiaTheme="minorEastAsia" w:cstheme="minorEastAsia"/>
          <w:b/>
          <w:sz w:val="24"/>
          <w:szCs w:val="24"/>
        </w:rPr>
        <w:fldChar w:fldCharType="separate"/>
      </w:r>
      <w:r>
        <w:fldChar w:fldCharType="begin"/>
      </w:r>
      <w:r>
        <w:instrText xml:space="preserve"> HYPERLINK \l "_Toc527642949" </w:instrText>
      </w:r>
      <w:r>
        <w:fldChar w:fldCharType="separate"/>
      </w:r>
      <w:r>
        <w:rPr>
          <w:rStyle w:val="22"/>
          <w:rFonts w:hint="eastAsia" w:asciiTheme="minorEastAsia" w:hAnsiTheme="minorEastAsia" w:eastAsiaTheme="minorEastAsia" w:cstheme="minorEastAsia"/>
          <w:color w:val="auto"/>
        </w:rPr>
        <w:t>第一部分 竞争性磋商公告</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fldChar w:fldCharType="end"/>
      </w:r>
    </w:p>
    <w:p>
      <w:pPr>
        <w:pStyle w:val="13"/>
        <w:tabs>
          <w:tab w:val="right" w:leader="dot" w:pos="8400"/>
          <w:tab w:val="right" w:leader="dot" w:pos="9737"/>
        </w:tabs>
        <w:spacing w:line="360" w:lineRule="auto"/>
        <w:rPr>
          <w:rFonts w:asciiTheme="minorEastAsia" w:hAnsiTheme="minorEastAsia" w:eastAsiaTheme="minorEastAsia" w:cstheme="minorEastAsia"/>
          <w:szCs w:val="22"/>
        </w:rPr>
      </w:pPr>
      <w:r>
        <w:fldChar w:fldCharType="begin"/>
      </w:r>
      <w:r>
        <w:instrText xml:space="preserve"> HYPERLINK \l "_Toc527642950" </w:instrText>
      </w:r>
      <w:r>
        <w:fldChar w:fldCharType="separate"/>
      </w:r>
      <w:r>
        <w:rPr>
          <w:rStyle w:val="22"/>
          <w:rFonts w:hint="eastAsia" w:asciiTheme="minorEastAsia" w:hAnsiTheme="minorEastAsia" w:eastAsiaTheme="minorEastAsia" w:cstheme="minorEastAsia"/>
          <w:color w:val="auto"/>
        </w:rPr>
        <w:t>第二部分  供应商须知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fldChar w:fldCharType="end"/>
      </w:r>
    </w:p>
    <w:p>
      <w:pPr>
        <w:pStyle w:val="15"/>
        <w:tabs>
          <w:tab w:val="right" w:leader="dot" w:pos="8400"/>
        </w:tabs>
        <w:spacing w:line="360" w:lineRule="auto"/>
        <w:rPr>
          <w:rFonts w:asciiTheme="minorEastAsia" w:hAnsiTheme="minorEastAsia" w:eastAsiaTheme="minorEastAsia" w:cstheme="minorEastAsia"/>
          <w:szCs w:val="22"/>
        </w:rPr>
      </w:pPr>
      <w:r>
        <w:fldChar w:fldCharType="begin"/>
      </w:r>
      <w:r>
        <w:instrText xml:space="preserve"> HYPERLINK \l "_Toc527642951" </w:instrText>
      </w:r>
      <w:r>
        <w:fldChar w:fldCharType="separate"/>
      </w:r>
      <w:r>
        <w:rPr>
          <w:rStyle w:val="22"/>
          <w:rFonts w:hint="eastAsia" w:asciiTheme="minorEastAsia" w:hAnsiTheme="minorEastAsia" w:eastAsiaTheme="minorEastAsia" w:cstheme="minorEastAsia"/>
          <w:color w:val="auto"/>
        </w:rPr>
        <w:t>供应商须知附表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fldChar w:fldCharType="end"/>
      </w:r>
    </w:p>
    <w:p>
      <w:pPr>
        <w:pStyle w:val="15"/>
        <w:tabs>
          <w:tab w:val="right" w:leader="dot" w:pos="8400"/>
        </w:tabs>
        <w:spacing w:line="360" w:lineRule="auto"/>
        <w:rPr>
          <w:rFonts w:asciiTheme="minorEastAsia" w:hAnsiTheme="minorEastAsia" w:eastAsiaTheme="minorEastAsia" w:cstheme="minorEastAsia"/>
          <w:szCs w:val="22"/>
        </w:rPr>
      </w:pPr>
      <w:r>
        <w:fldChar w:fldCharType="begin"/>
      </w:r>
      <w:r>
        <w:instrText xml:space="preserve"> HYPERLINK \l "_Toc527642952" </w:instrText>
      </w:r>
      <w:r>
        <w:fldChar w:fldCharType="separate"/>
      </w:r>
      <w:r>
        <w:rPr>
          <w:rStyle w:val="22"/>
          <w:rFonts w:hint="eastAsia" w:asciiTheme="minorEastAsia" w:hAnsiTheme="minorEastAsia" w:eastAsiaTheme="minorEastAsia" w:cstheme="minorEastAsia"/>
          <w:color w:val="auto"/>
        </w:rPr>
        <w:t>A  说　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fldChar w:fldCharType="end"/>
      </w:r>
    </w:p>
    <w:p>
      <w:pPr>
        <w:pStyle w:val="15"/>
        <w:tabs>
          <w:tab w:val="right" w:leader="dot" w:pos="8400"/>
        </w:tabs>
        <w:spacing w:line="360" w:lineRule="auto"/>
        <w:rPr>
          <w:rFonts w:asciiTheme="minorEastAsia" w:hAnsiTheme="minorEastAsia" w:eastAsiaTheme="minorEastAsia" w:cstheme="minorEastAsia"/>
          <w:szCs w:val="22"/>
        </w:rPr>
      </w:pPr>
      <w:r>
        <w:fldChar w:fldCharType="begin"/>
      </w:r>
      <w:r>
        <w:instrText xml:space="preserve"> HYPERLINK \l "_Toc527642953" </w:instrText>
      </w:r>
      <w:r>
        <w:fldChar w:fldCharType="separate"/>
      </w:r>
      <w:r>
        <w:rPr>
          <w:rStyle w:val="22"/>
          <w:rFonts w:hint="eastAsia" w:asciiTheme="minorEastAsia" w:hAnsiTheme="minorEastAsia" w:eastAsiaTheme="minorEastAsia" w:cstheme="minorEastAsia"/>
          <w:color w:val="auto"/>
        </w:rPr>
        <w:t>B  磋商文件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fldChar w:fldCharType="end"/>
      </w:r>
    </w:p>
    <w:p>
      <w:pPr>
        <w:pStyle w:val="15"/>
        <w:tabs>
          <w:tab w:val="right" w:leader="dot" w:pos="8400"/>
        </w:tabs>
        <w:spacing w:line="360" w:lineRule="auto"/>
        <w:rPr>
          <w:rFonts w:asciiTheme="minorEastAsia" w:hAnsiTheme="minorEastAsia" w:eastAsiaTheme="minorEastAsia" w:cstheme="minorEastAsia"/>
          <w:szCs w:val="22"/>
        </w:rPr>
      </w:pPr>
      <w:r>
        <w:fldChar w:fldCharType="begin"/>
      </w:r>
      <w:r>
        <w:instrText xml:space="preserve"> HYPERLINK \l "_Toc527642954" </w:instrText>
      </w:r>
      <w:r>
        <w:fldChar w:fldCharType="separate"/>
      </w:r>
      <w:r>
        <w:rPr>
          <w:rStyle w:val="22"/>
          <w:rFonts w:hint="eastAsia" w:asciiTheme="minorEastAsia" w:hAnsiTheme="minorEastAsia" w:eastAsiaTheme="minorEastAsia" w:cstheme="minorEastAsia"/>
          <w:color w:val="auto"/>
        </w:rPr>
        <w:t>C  磋商响应文件的编写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fldChar w:fldCharType="end"/>
      </w:r>
    </w:p>
    <w:p>
      <w:pPr>
        <w:pStyle w:val="15"/>
        <w:tabs>
          <w:tab w:val="right" w:leader="dot" w:pos="8400"/>
        </w:tabs>
        <w:spacing w:line="360" w:lineRule="auto"/>
        <w:rPr>
          <w:rFonts w:hint="eastAsia" w:asciiTheme="minorEastAsia" w:hAnsiTheme="minorEastAsia" w:eastAsiaTheme="minorEastAsia" w:cstheme="minorEastAsia"/>
          <w:szCs w:val="22"/>
          <w:lang w:val="en-US" w:eastAsia="zh-CN"/>
        </w:rPr>
      </w:pPr>
      <w:r>
        <w:fldChar w:fldCharType="begin"/>
      </w:r>
      <w:r>
        <w:instrText xml:space="preserve"> HYPERLINK \l "_Toc527642955" </w:instrText>
      </w:r>
      <w:r>
        <w:fldChar w:fldCharType="separate"/>
      </w:r>
      <w:r>
        <w:rPr>
          <w:rStyle w:val="22"/>
          <w:rFonts w:hint="eastAsia" w:asciiTheme="minorEastAsia" w:hAnsiTheme="minorEastAsia" w:eastAsiaTheme="minorEastAsia" w:cstheme="minorEastAsia"/>
          <w:color w:val="auto"/>
        </w:rPr>
        <w:t>D  磋商响应文件的递交</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2</w:t>
      </w:r>
    </w:p>
    <w:p>
      <w:pPr>
        <w:pStyle w:val="15"/>
        <w:tabs>
          <w:tab w:val="right" w:leader="dot" w:pos="8400"/>
        </w:tabs>
        <w:spacing w:line="360" w:lineRule="auto"/>
        <w:rPr>
          <w:rFonts w:hint="eastAsia" w:asciiTheme="minorEastAsia" w:hAnsiTheme="minorEastAsia" w:eastAsiaTheme="minorEastAsia" w:cstheme="minorEastAsia"/>
          <w:szCs w:val="22"/>
          <w:lang w:eastAsia="zh-CN"/>
        </w:rPr>
      </w:pPr>
      <w:r>
        <w:fldChar w:fldCharType="begin"/>
      </w:r>
      <w:r>
        <w:instrText xml:space="preserve"> HYPERLINK \l "_Toc527642956" </w:instrText>
      </w:r>
      <w:r>
        <w:fldChar w:fldCharType="separate"/>
      </w:r>
      <w:r>
        <w:rPr>
          <w:rStyle w:val="22"/>
          <w:rFonts w:hint="eastAsia" w:asciiTheme="minorEastAsia" w:hAnsiTheme="minorEastAsia" w:eastAsiaTheme="minorEastAsia" w:cstheme="minorEastAsia"/>
          <w:color w:val="auto"/>
        </w:rPr>
        <w:t>E  磋商程序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2</w:t>
      </w:r>
    </w:p>
    <w:p>
      <w:pPr>
        <w:pStyle w:val="15"/>
        <w:tabs>
          <w:tab w:val="right" w:leader="dot" w:pos="8400"/>
        </w:tabs>
        <w:spacing w:line="360" w:lineRule="auto"/>
        <w:rPr>
          <w:rFonts w:hint="eastAsia" w:asciiTheme="minorEastAsia" w:hAnsiTheme="minorEastAsia" w:eastAsiaTheme="minorEastAsia" w:cstheme="minorEastAsia"/>
          <w:szCs w:val="22"/>
          <w:lang w:val="en-US" w:eastAsia="zh-CN"/>
        </w:rPr>
      </w:pPr>
      <w:r>
        <w:fldChar w:fldCharType="begin"/>
      </w:r>
      <w:r>
        <w:instrText xml:space="preserve"> HYPERLINK \l "_Toc527642957" </w:instrText>
      </w:r>
      <w:r>
        <w:fldChar w:fldCharType="separate"/>
      </w:r>
      <w:r>
        <w:rPr>
          <w:rStyle w:val="22"/>
          <w:rFonts w:hint="eastAsia" w:asciiTheme="minorEastAsia" w:hAnsiTheme="minorEastAsia" w:eastAsiaTheme="minorEastAsia" w:cstheme="minorEastAsia"/>
          <w:color w:val="auto"/>
        </w:rPr>
        <w:t>F  授予合同</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0</w:t>
      </w:r>
    </w:p>
    <w:p>
      <w:pPr>
        <w:pStyle w:val="15"/>
        <w:tabs>
          <w:tab w:val="right" w:leader="dot" w:pos="8400"/>
        </w:tabs>
        <w:spacing w:line="360" w:lineRule="auto"/>
        <w:rPr>
          <w:rFonts w:hint="default" w:asciiTheme="minorEastAsia" w:hAnsiTheme="minorEastAsia" w:eastAsiaTheme="minorEastAsia" w:cstheme="minorEastAsia"/>
          <w:szCs w:val="22"/>
          <w:lang w:val="en-US" w:eastAsia="zh-CN"/>
        </w:rPr>
      </w:pPr>
      <w:r>
        <w:fldChar w:fldCharType="begin"/>
      </w:r>
      <w:r>
        <w:instrText xml:space="preserve"> HYPERLINK \l "_Toc527642958" </w:instrText>
      </w:r>
      <w:r>
        <w:fldChar w:fldCharType="separate"/>
      </w:r>
      <w:r>
        <w:rPr>
          <w:rStyle w:val="22"/>
          <w:rFonts w:hint="eastAsia" w:asciiTheme="minorEastAsia" w:hAnsiTheme="minorEastAsia" w:eastAsiaTheme="minorEastAsia" w:cstheme="minorEastAsia"/>
          <w:color w:val="auto"/>
        </w:rPr>
        <w:t>G  磋商失败条件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1</w:t>
      </w:r>
    </w:p>
    <w:p>
      <w:pPr>
        <w:pStyle w:val="13"/>
        <w:tabs>
          <w:tab w:val="right" w:leader="dot" w:pos="8400"/>
        </w:tabs>
        <w:spacing w:line="360" w:lineRule="auto"/>
        <w:rPr>
          <w:rFonts w:hint="eastAsia" w:asciiTheme="minorEastAsia" w:hAnsiTheme="minorEastAsia" w:eastAsiaTheme="minorEastAsia" w:cstheme="minorEastAsia"/>
          <w:szCs w:val="22"/>
          <w:lang w:val="en-US" w:eastAsia="zh-CN"/>
        </w:rPr>
      </w:pPr>
      <w:r>
        <w:fldChar w:fldCharType="begin"/>
      </w:r>
      <w:r>
        <w:instrText xml:space="preserve"> HYPERLINK \l "_Toc527642959" </w:instrText>
      </w:r>
      <w:r>
        <w:fldChar w:fldCharType="separate"/>
      </w:r>
      <w:r>
        <w:rPr>
          <w:rStyle w:val="22"/>
          <w:rFonts w:hint="eastAsia" w:asciiTheme="minorEastAsia" w:hAnsiTheme="minorEastAsia" w:eastAsiaTheme="minorEastAsia" w:cstheme="minorEastAsia"/>
          <w:color w:val="auto"/>
        </w:rPr>
        <w:t>第三部分  技术要求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2</w:t>
      </w:r>
    </w:p>
    <w:p>
      <w:pPr>
        <w:pStyle w:val="13"/>
        <w:tabs>
          <w:tab w:val="right" w:leader="dot" w:pos="8400"/>
        </w:tabs>
        <w:spacing w:line="360" w:lineRule="auto"/>
        <w:rPr>
          <w:rFonts w:hint="eastAsia" w:asciiTheme="minorEastAsia" w:hAnsiTheme="minorEastAsia" w:eastAsiaTheme="minorEastAsia" w:cstheme="minorEastAsia"/>
          <w:szCs w:val="22"/>
          <w:lang w:val="en-US" w:eastAsia="zh-CN"/>
        </w:rPr>
      </w:pPr>
      <w:r>
        <w:fldChar w:fldCharType="begin"/>
      </w:r>
      <w:r>
        <w:instrText xml:space="preserve"> HYPERLINK \l "_Toc527642960" </w:instrText>
      </w:r>
      <w:r>
        <w:fldChar w:fldCharType="separate"/>
      </w:r>
      <w:r>
        <w:rPr>
          <w:rStyle w:val="22"/>
          <w:rFonts w:hint="eastAsia" w:asciiTheme="minorEastAsia" w:hAnsiTheme="minorEastAsia" w:eastAsiaTheme="minorEastAsia" w:cstheme="minorEastAsia"/>
          <w:color w:val="auto"/>
        </w:rPr>
        <w:t>第四部分 合同条</w:t>
      </w:r>
      <w:r>
        <w:rPr>
          <w:rStyle w:val="22"/>
          <w:rFonts w:hint="eastAsia" w:asciiTheme="minorEastAsia" w:hAnsiTheme="minorEastAsia" w:eastAsiaTheme="minorEastAsia" w:cstheme="minorEastAsia"/>
          <w:color w:val="auto"/>
          <w:lang w:val="en-US" w:eastAsia="zh-CN"/>
        </w:rPr>
        <w:t>款</w:t>
      </w:r>
      <w:r>
        <w:rPr>
          <w:rStyle w:val="22"/>
          <w:rFonts w:hint="eastAsia" w:asciiTheme="minorEastAsia" w:hAnsiTheme="minorEastAsia" w:eastAsiaTheme="minorEastAsia" w:cstheme="minorEastAsia"/>
          <w:color w:val="auto"/>
        </w:rPr>
        <w:t>及格式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4</w:t>
      </w:r>
    </w:p>
    <w:p>
      <w:pPr>
        <w:pStyle w:val="13"/>
        <w:tabs>
          <w:tab w:val="right" w:leader="dot" w:pos="8400"/>
        </w:tabs>
        <w:spacing w:line="360" w:lineRule="auto"/>
        <w:rPr>
          <w:rFonts w:hint="eastAsia" w:asciiTheme="minorEastAsia" w:hAnsiTheme="minorEastAsia" w:eastAsiaTheme="minorEastAsia" w:cstheme="minorEastAsia"/>
          <w:szCs w:val="22"/>
          <w:lang w:val="en-US" w:eastAsia="zh-CN"/>
        </w:rPr>
      </w:pPr>
      <w:r>
        <w:fldChar w:fldCharType="begin"/>
      </w:r>
      <w:r>
        <w:instrText xml:space="preserve"> HYPERLINK \l "_Toc527642969" </w:instrText>
      </w:r>
      <w:r>
        <w:fldChar w:fldCharType="separate"/>
      </w:r>
      <w:r>
        <w:rPr>
          <w:rStyle w:val="22"/>
          <w:rFonts w:hint="eastAsia" w:asciiTheme="minorEastAsia" w:hAnsiTheme="minorEastAsia" w:eastAsiaTheme="minorEastAsia" w:cstheme="minorEastAsia"/>
          <w:color w:val="auto"/>
        </w:rPr>
        <w:t>第五部分 响应文件格式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8</w:t>
      </w:r>
    </w:p>
    <w:p>
      <w:pPr>
        <w:pStyle w:val="13"/>
        <w:tabs>
          <w:tab w:val="right" w:leader="dot" w:pos="8541"/>
        </w:tabs>
        <w:spacing w:line="360" w:lineRule="auto"/>
        <w:rPr>
          <w:rFonts w:hint="default"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szCs w:val="22"/>
        </w:rPr>
        <w:t>第六部分 补充条款</w:t>
      </w:r>
      <w:r>
        <w:rPr>
          <w:rFonts w:hint="eastAsia" w:asciiTheme="minorEastAsia" w:hAnsiTheme="minorEastAsia" w:eastAsiaTheme="minorEastAsia" w:cstheme="minorEastAsia"/>
          <w:szCs w:val="22"/>
          <w:lang w:val="en-US" w:eastAsia="zh-CN"/>
        </w:rPr>
        <w:t>.............................................................72</w:t>
      </w:r>
    </w:p>
    <w:p>
      <w:pPr>
        <w:pStyle w:val="16"/>
        <w:spacing w:before="75" w:beforeAutospacing="0" w:after="75" w:afterAutospacing="0" w:line="360" w:lineRule="auto"/>
        <w:jc w:val="both"/>
        <w:rPr>
          <w:rFonts w:asciiTheme="minorEastAsia" w:hAnsiTheme="minorEastAsia" w:eastAsiaTheme="minorEastAsia" w:cstheme="minorEastAsia"/>
          <w:sz w:val="32"/>
          <w:szCs w:val="32"/>
        </w:rPr>
      </w:pPr>
      <w:bookmarkStart w:id="0" w:name="_Toc349573118"/>
      <w:bookmarkStart w:id="1" w:name="_Toc527642949"/>
      <w:bookmarkStart w:id="2" w:name="_Toc349637917"/>
      <w:bookmarkStart w:id="3" w:name="_Toc298240402"/>
    </w:p>
    <w:p>
      <w:pPr>
        <w:pStyle w:val="16"/>
        <w:spacing w:before="75" w:beforeAutospacing="0" w:after="75" w:afterAutospacing="0" w:line="360" w:lineRule="auto"/>
        <w:jc w:val="both"/>
        <w:rPr>
          <w:rFonts w:asciiTheme="minorEastAsia" w:hAnsiTheme="minorEastAsia" w:eastAsiaTheme="minorEastAsia" w:cstheme="minorEastAsia"/>
          <w:sz w:val="32"/>
          <w:szCs w:val="32"/>
        </w:rPr>
      </w:pPr>
    </w:p>
    <w:p>
      <w:pPr>
        <w:pStyle w:val="16"/>
        <w:spacing w:before="75" w:beforeAutospacing="0" w:after="75" w:afterAutospacing="0" w:line="360" w:lineRule="auto"/>
        <w:jc w:val="both"/>
        <w:rPr>
          <w:rFonts w:asciiTheme="minorEastAsia" w:hAnsiTheme="minorEastAsia" w:eastAsiaTheme="minorEastAsia" w:cstheme="minorEastAsia"/>
          <w:sz w:val="32"/>
          <w:szCs w:val="32"/>
        </w:rPr>
      </w:pPr>
    </w:p>
    <w:p>
      <w:pPr>
        <w:pStyle w:val="16"/>
        <w:spacing w:before="75" w:beforeAutospacing="0" w:after="75" w:afterAutospacing="0" w:line="360" w:lineRule="auto"/>
        <w:jc w:val="both"/>
        <w:rPr>
          <w:rFonts w:asciiTheme="minorEastAsia" w:hAnsiTheme="minorEastAsia" w:eastAsiaTheme="minorEastAsia" w:cstheme="minorEastAsia"/>
          <w:sz w:val="32"/>
          <w:szCs w:val="32"/>
        </w:rPr>
      </w:pPr>
    </w:p>
    <w:p>
      <w:pPr>
        <w:pStyle w:val="16"/>
        <w:spacing w:before="75" w:beforeAutospacing="0" w:after="75" w:afterAutospacing="0" w:line="360" w:lineRule="auto"/>
        <w:jc w:val="both"/>
        <w:rPr>
          <w:rFonts w:asciiTheme="minorEastAsia" w:hAnsiTheme="minorEastAsia" w:eastAsiaTheme="minorEastAsia" w:cstheme="minorEastAsia"/>
          <w:sz w:val="32"/>
          <w:szCs w:val="32"/>
        </w:rPr>
      </w:pPr>
    </w:p>
    <w:bookmarkEnd w:id="0"/>
    <w:bookmarkEnd w:id="1"/>
    <w:bookmarkEnd w:id="2"/>
    <w:bookmarkEnd w:id="3"/>
    <w:p>
      <w:pPr>
        <w:pStyle w:val="24"/>
        <w:numPr>
          <w:ilvl w:val="0"/>
          <w:numId w:val="0"/>
        </w:numPr>
        <w:tabs>
          <w:tab w:val="left" w:pos="4980"/>
        </w:tabs>
        <w:spacing w:line="480" w:lineRule="exact"/>
        <w:jc w:val="center"/>
        <w:rPr>
          <w:rFonts w:hint="eastAsia"/>
          <w:b/>
          <w:sz w:val="32"/>
          <w:szCs w:val="32"/>
          <w:lang w:val="en-US" w:eastAsia="zh-CN"/>
        </w:rPr>
        <w:sectPr>
          <w:footerReference r:id="rId6" w:type="first"/>
          <w:headerReference r:id="rId4" w:type="default"/>
          <w:footerReference r:id="rId5" w:type="default"/>
          <w:pgSz w:w="11907" w:h="16840"/>
          <w:pgMar w:top="1440" w:right="1080" w:bottom="1440" w:left="1080" w:header="851" w:footer="68" w:gutter="0"/>
          <w:pgNumType w:start="1"/>
          <w:cols w:space="720" w:num="1"/>
          <w:titlePg/>
          <w:docGrid w:type="lines" w:linePitch="409" w:charSpace="0"/>
        </w:sectPr>
      </w:pPr>
      <w:bookmarkStart w:id="4" w:name="_Toc298240403"/>
      <w:bookmarkStart w:id="5" w:name="_Toc349573119"/>
      <w:bookmarkStart w:id="6" w:name="_Toc527642950"/>
      <w:bookmarkStart w:id="7" w:name="_Toc349637918"/>
      <w:bookmarkStart w:id="8" w:name="_Toc267301280"/>
    </w:p>
    <w:p>
      <w:pPr>
        <w:pStyle w:val="24"/>
        <w:numPr>
          <w:ilvl w:val="0"/>
          <w:numId w:val="0"/>
        </w:numPr>
        <w:tabs>
          <w:tab w:val="left" w:pos="4980"/>
        </w:tabs>
        <w:spacing w:line="480" w:lineRule="exact"/>
        <w:jc w:val="center"/>
        <w:rPr>
          <w:b/>
          <w:sz w:val="32"/>
          <w:szCs w:val="32"/>
        </w:rPr>
      </w:pPr>
      <w:r>
        <w:rPr>
          <w:rFonts w:hint="eastAsia"/>
          <w:b/>
          <w:sz w:val="32"/>
          <w:szCs w:val="32"/>
          <w:lang w:val="en-US" w:eastAsia="zh-CN"/>
        </w:rPr>
        <w:t xml:space="preserve">第一部分      </w:t>
      </w:r>
      <w:r>
        <w:rPr>
          <w:rFonts w:hint="eastAsia"/>
          <w:b/>
          <w:sz w:val="32"/>
          <w:szCs w:val="32"/>
        </w:rPr>
        <w:t>竞争性磋商</w:t>
      </w:r>
      <w:r>
        <w:rPr>
          <w:b/>
          <w:sz w:val="32"/>
          <w:szCs w:val="32"/>
        </w:rPr>
        <w:t>公告</w:t>
      </w:r>
    </w:p>
    <w:p>
      <w:pPr>
        <w:widowControl/>
        <w:spacing w:line="360" w:lineRule="auto"/>
        <w:jc w:val="center"/>
        <w:rPr>
          <w:rFonts w:hint="eastAsia" w:ascii="宋体" w:hAnsi="宋体" w:eastAsia="宋体" w:cs="宋体"/>
          <w:b/>
          <w:kern w:val="0"/>
          <w:sz w:val="36"/>
          <w:szCs w:val="36"/>
        </w:rPr>
      </w:pPr>
      <w:r>
        <w:rPr>
          <w:rFonts w:hint="eastAsia" w:ascii="宋体" w:hAnsi="宋体" w:eastAsia="宋体" w:cs="宋体"/>
          <w:b/>
          <w:kern w:val="0"/>
          <w:sz w:val="36"/>
          <w:szCs w:val="36"/>
          <w:lang w:val="en-US" w:eastAsia="zh-CN"/>
        </w:rPr>
        <w:t>伊犁州伊宁市校园运动场、足球场建设项目</w:t>
      </w:r>
    </w:p>
    <w:p>
      <w:pPr>
        <w:widowControl/>
        <w:spacing w:line="360" w:lineRule="auto"/>
        <w:jc w:val="center"/>
        <w:rPr>
          <w:rFonts w:hint="eastAsia" w:ascii="宋体" w:hAnsi="宋体" w:eastAsia="宋体" w:cs="宋体"/>
          <w:b/>
          <w:kern w:val="0"/>
          <w:sz w:val="36"/>
          <w:szCs w:val="36"/>
        </w:rPr>
      </w:pPr>
      <w:r>
        <w:rPr>
          <w:rFonts w:hint="eastAsia" w:ascii="宋体" w:hAnsi="宋体" w:cs="宋体"/>
          <w:b/>
          <w:kern w:val="0"/>
          <w:sz w:val="36"/>
          <w:szCs w:val="36"/>
          <w:lang w:val="en-US" w:eastAsia="zh-CN"/>
        </w:rPr>
        <w:t>（英也尔镇界梁子小学）</w:t>
      </w:r>
      <w:r>
        <w:rPr>
          <w:rFonts w:hint="eastAsia" w:ascii="宋体" w:hAnsi="宋体" w:eastAsia="宋体" w:cs="宋体"/>
          <w:b/>
          <w:kern w:val="0"/>
          <w:sz w:val="36"/>
          <w:szCs w:val="36"/>
        </w:rPr>
        <w:t>竞争性磋商公告</w:t>
      </w:r>
    </w:p>
    <w:tbl>
      <w:tblPr>
        <w:tblStyle w:val="20"/>
        <w:tblpPr w:leftFromText="180" w:rightFromText="180" w:vertAnchor="text" w:horzAnchor="page" w:tblpX="1105" w:tblpY="150"/>
        <w:tblOverlap w:val="never"/>
        <w:tblW w:w="10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0" w:hRule="atLeast"/>
        </w:trPr>
        <w:tc>
          <w:tcPr>
            <w:tcW w:w="10055" w:type="dxa"/>
            <w:noWrap w:val="0"/>
            <w:vAlign w:val="top"/>
          </w:tcPr>
          <w:p>
            <w:pPr>
              <w:keepNext w:val="0"/>
              <w:keepLines w:val="0"/>
              <w:pageBreakBefore w:val="0"/>
              <w:widowControl w:val="0"/>
              <w:kinsoku/>
              <w:wordWrap/>
              <w:overflowPunct/>
              <w:topLinePunct w:val="0"/>
              <w:autoSpaceDE/>
              <w:autoSpaceDN/>
              <w:bidi w:val="0"/>
              <w:adjustRightInd/>
              <w:snapToGrid/>
              <w:spacing w:before="75" w:after="150" w:line="414" w:lineRule="exact"/>
              <w:textAlignment w:val="auto"/>
              <w:rPr>
                <w:rFonts w:ascii="仿宋" w:hAnsi="仿宋" w:eastAsia="仿宋" w:cs="Arial"/>
                <w:color w:val="auto"/>
                <w:sz w:val="24"/>
                <w:szCs w:val="24"/>
                <w:highlight w:val="none"/>
              </w:rPr>
            </w:pPr>
            <w:r>
              <w:rPr>
                <w:rFonts w:ascii="仿宋" w:hAnsi="仿宋" w:eastAsia="仿宋" w:cs="Arial"/>
                <w:color w:val="auto"/>
                <w:sz w:val="27"/>
                <w:szCs w:val="27"/>
                <w:highlight w:val="none"/>
              </w:rPr>
              <w:t>项目概况</w:t>
            </w:r>
            <w:r>
              <w:rPr>
                <w:rFonts w:ascii="仿宋" w:hAnsi="仿宋" w:eastAsia="仿宋" w:cs="Arial"/>
                <w:color w:val="auto"/>
                <w:sz w:val="24"/>
                <w:szCs w:val="24"/>
                <w:highlight w:val="none"/>
              </w:rPr>
              <w:t>                                                    </w:t>
            </w:r>
          </w:p>
          <w:p>
            <w:pPr>
              <w:keepNext w:val="0"/>
              <w:keepLines w:val="0"/>
              <w:pageBreakBefore w:val="0"/>
              <w:widowControl w:val="0"/>
              <w:kinsoku/>
              <w:wordWrap/>
              <w:overflowPunct/>
              <w:topLinePunct w:val="0"/>
              <w:autoSpaceDE/>
              <w:autoSpaceDN/>
              <w:bidi w:val="0"/>
              <w:adjustRightInd/>
              <w:snapToGrid/>
              <w:spacing w:before="75" w:after="150" w:line="414" w:lineRule="exact"/>
              <w:textAlignment w:val="auto"/>
              <w:rPr>
                <w:rFonts w:ascii="仿宋" w:hAnsi="仿宋" w:eastAsia="仿宋" w:cs="Arial"/>
                <w:color w:val="auto"/>
                <w:sz w:val="27"/>
                <w:szCs w:val="27"/>
                <w:highlight w:val="none"/>
              </w:rPr>
            </w:pPr>
            <w:r>
              <w:rPr>
                <w:rFonts w:ascii="仿宋" w:hAnsi="仿宋" w:eastAsia="仿宋" w:cs="Arial"/>
                <w:color w:val="auto"/>
                <w:sz w:val="27"/>
                <w:szCs w:val="27"/>
                <w:highlight w:val="none"/>
              </w:rPr>
              <w:t>    </w:t>
            </w:r>
            <w:r>
              <w:rPr>
                <w:rFonts w:hint="eastAsia" w:ascii="仿宋" w:hAnsi="仿宋" w:eastAsia="仿宋" w:cs="Arial"/>
                <w:color w:val="auto"/>
                <w:sz w:val="27"/>
                <w:szCs w:val="27"/>
                <w:highlight w:val="none"/>
                <w:lang w:val="en-US" w:eastAsia="zh-CN"/>
              </w:rPr>
              <w:t xml:space="preserve"> 伊犁州伊宁市校园运动场、足球场建设项目（英也尔镇界梁子小学）的潜在投标人应在中环建（北京）工程管理有限公司（线下领取地点：伊宁市开发区辽宁路105号，线上领取请联系招标代理公司0999-8988777）获取招标文件，并于2022年12月06日 16:00（北京时间）前提交响应文件。</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255" w:after="255" w:line="400" w:lineRule="exact"/>
        <w:textAlignment w:val="auto"/>
        <w:rPr>
          <w:rFonts w:cs="宋体"/>
          <w:bCs/>
          <w:kern w:val="0"/>
          <w:sz w:val="28"/>
          <w:szCs w:val="28"/>
        </w:rPr>
      </w:pPr>
      <w:r>
        <w:rPr>
          <w:rFonts w:hint="eastAsia" w:ascii="仿宋" w:hAnsi="仿宋" w:eastAsia="仿宋" w:cs="宋体"/>
          <w:b/>
          <w:bCs/>
          <w:color w:val="auto"/>
          <w:sz w:val="28"/>
          <w:szCs w:val="28"/>
          <w:highlight w:val="none"/>
          <w:lang w:val="en-US" w:eastAsia="zh-CN"/>
        </w:rPr>
        <w:t>一、</w:t>
      </w:r>
      <w:r>
        <w:rPr>
          <w:rFonts w:hint="eastAsia" w:ascii="仿宋" w:hAnsi="仿宋" w:eastAsia="仿宋" w:cs="宋体"/>
          <w:b/>
          <w:bCs/>
          <w:color w:val="auto"/>
          <w:sz w:val="28"/>
          <w:szCs w:val="28"/>
          <w:highlight w:val="none"/>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before="255" w:after="255" w:line="400" w:lineRule="exact"/>
        <w:textAlignment w:val="auto"/>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rPr>
        <w:t>项目名称：</w:t>
      </w:r>
      <w:r>
        <w:rPr>
          <w:rFonts w:hint="eastAsia" w:ascii="仿宋" w:hAnsi="仿宋" w:eastAsia="仿宋" w:cs="仿宋"/>
          <w:b w:val="0"/>
          <w:bCs/>
          <w:kern w:val="0"/>
          <w:sz w:val="28"/>
          <w:szCs w:val="28"/>
          <w:lang w:val="en-US" w:eastAsia="zh-CN"/>
        </w:rPr>
        <w:t>伊犁州伊宁市校园运动场、足球场建设项目（英也尔镇界梁子小学）</w:t>
      </w:r>
    </w:p>
    <w:p>
      <w:pPr>
        <w:keepNext w:val="0"/>
        <w:keepLines w:val="0"/>
        <w:pageBreakBefore w:val="0"/>
        <w:widowControl w:val="0"/>
        <w:numPr>
          <w:ilvl w:val="0"/>
          <w:numId w:val="0"/>
        </w:numPr>
        <w:kinsoku/>
        <w:wordWrap/>
        <w:overflowPunct/>
        <w:topLinePunct w:val="0"/>
        <w:autoSpaceDE/>
        <w:autoSpaceDN/>
        <w:bidi w:val="0"/>
        <w:adjustRightInd/>
        <w:snapToGrid/>
        <w:spacing w:before="255" w:after="255" w:line="400" w:lineRule="exact"/>
        <w:textAlignment w:val="auto"/>
        <w:rPr>
          <w:rFonts w:hint="default" w:ascii="仿宋" w:hAnsi="仿宋" w:eastAsia="仿宋" w:cs="仿宋"/>
          <w:b w:val="0"/>
          <w:bCs/>
          <w:kern w:val="0"/>
          <w:sz w:val="28"/>
          <w:szCs w:val="28"/>
          <w:lang w:val="en-US" w:eastAsia="zh-CN"/>
        </w:rPr>
      </w:pPr>
      <w:r>
        <w:rPr>
          <w:rFonts w:hint="eastAsia" w:ascii="仿宋" w:hAnsi="仿宋" w:eastAsia="仿宋" w:cs="仿宋"/>
          <w:b w:val="0"/>
          <w:bCs/>
          <w:kern w:val="0"/>
          <w:sz w:val="28"/>
          <w:szCs w:val="28"/>
        </w:rPr>
        <w:t>项目编</w:t>
      </w:r>
      <w:r>
        <w:rPr>
          <w:rFonts w:hint="eastAsia" w:ascii="仿宋" w:hAnsi="仿宋" w:eastAsia="仿宋" w:cs="仿宋"/>
          <w:b w:val="0"/>
          <w:bCs/>
          <w:kern w:val="0"/>
          <w:sz w:val="28"/>
          <w:szCs w:val="28"/>
          <w:lang w:val="en-US" w:eastAsia="zh-CN"/>
        </w:rPr>
        <w:t>号</w:t>
      </w:r>
      <w:r>
        <w:rPr>
          <w:rFonts w:hint="eastAsia" w:ascii="仿宋" w:hAnsi="仿宋" w:eastAsia="仿宋" w:cs="仿宋"/>
          <w:b w:val="0"/>
          <w:bCs/>
          <w:kern w:val="0"/>
          <w:sz w:val="28"/>
          <w:szCs w:val="28"/>
        </w:rPr>
        <w:t>：ZHJ-JZX</w:t>
      </w:r>
      <w:r>
        <w:rPr>
          <w:rFonts w:hint="eastAsia" w:ascii="仿宋" w:hAnsi="仿宋" w:eastAsia="仿宋" w:cs="仿宋"/>
          <w:b w:val="0"/>
          <w:bCs/>
          <w:kern w:val="0"/>
          <w:sz w:val="28"/>
          <w:szCs w:val="28"/>
          <w:lang w:val="en-US" w:eastAsia="zh-CN"/>
        </w:rPr>
        <w:t>CS</w:t>
      </w:r>
      <w:r>
        <w:rPr>
          <w:rFonts w:hint="eastAsia" w:ascii="仿宋" w:hAnsi="仿宋" w:eastAsia="仿宋" w:cs="仿宋"/>
          <w:b w:val="0"/>
          <w:bCs/>
          <w:kern w:val="0"/>
          <w:sz w:val="28"/>
          <w:szCs w:val="28"/>
        </w:rPr>
        <w:t>-202</w:t>
      </w:r>
      <w:r>
        <w:rPr>
          <w:rFonts w:hint="eastAsia" w:ascii="仿宋" w:hAnsi="仿宋" w:eastAsia="仿宋" w:cs="仿宋"/>
          <w:b w:val="0"/>
          <w:bCs/>
          <w:kern w:val="0"/>
          <w:sz w:val="28"/>
          <w:szCs w:val="28"/>
          <w:lang w:val="en-US" w:eastAsia="zh-CN"/>
        </w:rPr>
        <w:t>2-26</w:t>
      </w:r>
    </w:p>
    <w:p>
      <w:pPr>
        <w:keepNext w:val="0"/>
        <w:keepLines w:val="0"/>
        <w:pageBreakBefore w:val="0"/>
        <w:widowControl w:val="0"/>
        <w:numPr>
          <w:ilvl w:val="0"/>
          <w:numId w:val="0"/>
        </w:numPr>
        <w:kinsoku/>
        <w:wordWrap/>
        <w:overflowPunct/>
        <w:topLinePunct w:val="0"/>
        <w:autoSpaceDE/>
        <w:autoSpaceDN/>
        <w:bidi w:val="0"/>
        <w:adjustRightInd/>
        <w:snapToGrid/>
        <w:spacing w:before="255" w:after="255" w:line="400" w:lineRule="exact"/>
        <w:textAlignment w:val="auto"/>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采购方式：竞争性磋商</w:t>
      </w:r>
    </w:p>
    <w:p>
      <w:pPr>
        <w:pStyle w:val="2"/>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预算金额（元）：1780000.00</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最高限价（元）：1780000.00</w:t>
      </w:r>
    </w:p>
    <w:p>
      <w:pPr>
        <w:pStyle w:val="2"/>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采购需求：</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数量：1批</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单位：批</w:t>
      </w:r>
    </w:p>
    <w:p>
      <w:pPr>
        <w:pStyle w:val="2"/>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简要规格描述：新建伊宁市英也尔镇界梁子小学运动场、足球场。详见工程量清单。</w:t>
      </w:r>
    </w:p>
    <w:p>
      <w:pPr>
        <w:pStyle w:val="2"/>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lang w:val="en-US" w:eastAsia="zh-CN"/>
        </w:rPr>
      </w:pPr>
      <w:r>
        <w:rPr>
          <w:rFonts w:hint="eastAsia" w:ascii="仿宋" w:hAnsi="仿宋" w:eastAsia="仿宋" w:cs="仿宋"/>
          <w:b w:val="0"/>
          <w:bCs/>
          <w:kern w:val="0"/>
          <w:sz w:val="28"/>
          <w:szCs w:val="28"/>
          <w:lang w:val="en-US" w:eastAsia="zh-CN"/>
        </w:rPr>
        <w:t>计划工期：计划2022年12月08日开工，2023年03月07日竣工，总工期：90天。</w:t>
      </w:r>
    </w:p>
    <w:p>
      <w:pPr>
        <w:pStyle w:val="2"/>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lang w:val="en-US" w:eastAsia="zh-CN"/>
        </w:rPr>
      </w:pPr>
      <w:r>
        <w:rPr>
          <w:rFonts w:hint="eastAsia" w:ascii="仿宋" w:hAnsi="仿宋" w:eastAsia="仿宋" w:cs="仿宋"/>
          <w:b w:val="0"/>
          <w:bCs/>
          <w:kern w:val="0"/>
          <w:sz w:val="28"/>
          <w:szCs w:val="28"/>
          <w:lang w:val="en-US" w:eastAsia="zh-CN"/>
        </w:rPr>
        <w:t>备注：</w:t>
      </w:r>
    </w:p>
    <w:p>
      <w:pPr>
        <w:pageBreakBefore w:val="0"/>
        <w:widowControl w:val="0"/>
        <w:kinsoku/>
        <w:wordWrap/>
        <w:overflowPunct/>
        <w:topLinePunct w:val="0"/>
        <w:autoSpaceDE/>
        <w:autoSpaceDN/>
        <w:bidi w:val="0"/>
        <w:adjustRightInd/>
        <w:snapToGrid/>
        <w:spacing w:before="75" w:after="75" w:line="400" w:lineRule="exact"/>
        <w:textAlignment w:val="auto"/>
        <w:rPr>
          <w:rFonts w:ascii="仿宋" w:hAnsi="仿宋" w:eastAsia="仿宋" w:cs="宋体"/>
          <w:color w:val="auto"/>
          <w:sz w:val="27"/>
          <w:szCs w:val="27"/>
          <w:highlight w:val="none"/>
        </w:rPr>
      </w:pPr>
      <w:r>
        <w:rPr>
          <w:rFonts w:ascii="仿宋" w:hAnsi="仿宋" w:eastAsia="仿宋" w:cs="宋体"/>
          <w:color w:val="auto"/>
          <w:sz w:val="27"/>
          <w:szCs w:val="27"/>
          <w:highlight w:val="none"/>
        </w:rPr>
        <w:t>本项目（</w:t>
      </w:r>
      <w:r>
        <w:rPr>
          <w:rFonts w:ascii="仿宋" w:hAnsi="仿宋" w:eastAsia="仿宋" w:cs="宋体"/>
          <w:color w:val="auto"/>
          <w:sz w:val="27"/>
          <w:highlight w:val="none"/>
        </w:rPr>
        <w:t>否</w:t>
      </w:r>
      <w:r>
        <w:rPr>
          <w:rFonts w:ascii="仿宋" w:hAnsi="仿宋" w:eastAsia="仿宋" w:cs="宋体"/>
          <w:color w:val="auto"/>
          <w:sz w:val="27"/>
          <w:szCs w:val="27"/>
          <w:highlight w:val="none"/>
        </w:rPr>
        <w:t>）接受联合体投标。</w:t>
      </w:r>
    </w:p>
    <w:p>
      <w:pPr>
        <w:pStyle w:val="2"/>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宋体"/>
          <w:b/>
          <w:bCs w:val="0"/>
          <w:color w:val="auto"/>
          <w:sz w:val="28"/>
          <w:szCs w:val="28"/>
          <w:highlight w:val="none"/>
          <w:lang w:val="en-US" w:eastAsia="zh-CN"/>
        </w:rPr>
      </w:pPr>
      <w:r>
        <w:rPr>
          <w:rFonts w:hint="eastAsia" w:ascii="仿宋" w:hAnsi="仿宋" w:eastAsia="仿宋" w:cs="宋体"/>
          <w:b/>
          <w:bCs w:val="0"/>
          <w:color w:val="auto"/>
          <w:sz w:val="28"/>
          <w:szCs w:val="28"/>
          <w:highlight w:val="none"/>
          <w:lang w:val="en-US" w:eastAsia="zh-CN"/>
        </w:rPr>
        <w:t>二、</w:t>
      </w:r>
      <w:r>
        <w:rPr>
          <w:rFonts w:hint="eastAsia" w:ascii="仿宋" w:hAnsi="仿宋" w:eastAsia="仿宋" w:cs="宋体"/>
          <w:b/>
          <w:bCs w:val="0"/>
          <w:color w:val="auto"/>
          <w:sz w:val="28"/>
          <w:szCs w:val="28"/>
          <w:highlight w:val="none"/>
        </w:rPr>
        <w:t>申请人的资格要求</w:t>
      </w:r>
    </w:p>
    <w:p>
      <w:pPr>
        <w:pStyle w:val="2"/>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ascii="仿宋" w:hAnsi="仿宋" w:eastAsia="仿宋" w:cs="宋体"/>
          <w:b w:val="0"/>
          <w:bCs/>
          <w:color w:val="auto"/>
          <w:sz w:val="28"/>
          <w:szCs w:val="28"/>
          <w:highlight w:val="none"/>
        </w:rPr>
      </w:pPr>
      <w:r>
        <w:rPr>
          <w:rFonts w:hint="eastAsia" w:ascii="仿宋" w:hAnsi="仿宋" w:eastAsia="仿宋" w:cs="宋体"/>
          <w:b w:val="0"/>
          <w:bCs/>
          <w:color w:val="auto"/>
          <w:sz w:val="28"/>
          <w:szCs w:val="28"/>
          <w:highlight w:val="none"/>
          <w:lang w:val="en-US" w:eastAsia="zh-CN"/>
        </w:rPr>
        <w:t>1、</w:t>
      </w:r>
      <w:r>
        <w:rPr>
          <w:rFonts w:ascii="仿宋" w:hAnsi="仿宋" w:eastAsia="仿宋" w:cs="宋体"/>
          <w:b w:val="0"/>
          <w:bCs/>
          <w:color w:val="auto"/>
          <w:sz w:val="28"/>
          <w:szCs w:val="28"/>
          <w:highlight w:val="none"/>
        </w:rPr>
        <w:t>满足《中华人民共和国政府采购法》第二十二条规定；</w:t>
      </w:r>
    </w:p>
    <w:p>
      <w:pPr>
        <w:pageBreakBefore w:val="0"/>
        <w:widowControl w:val="0"/>
        <w:kinsoku/>
        <w:wordWrap/>
        <w:overflowPunct/>
        <w:topLinePunct w:val="0"/>
        <w:autoSpaceDE/>
        <w:autoSpaceDN/>
        <w:bidi w:val="0"/>
        <w:adjustRightInd/>
        <w:snapToGrid/>
        <w:spacing w:before="255" w:after="255" w:line="400" w:lineRule="exact"/>
        <w:ind w:firstLine="560" w:firstLineChars="200"/>
        <w:jc w:val="both"/>
        <w:textAlignment w:val="auto"/>
        <w:rPr>
          <w:rFonts w:hint="eastAsia" w:ascii="仿宋" w:hAnsi="仿宋" w:eastAsia="仿宋" w:cs="宋体"/>
          <w:b w:val="0"/>
          <w:bCs/>
          <w:color w:val="auto"/>
          <w:sz w:val="28"/>
          <w:szCs w:val="28"/>
          <w:highlight w:val="none"/>
          <w:lang w:eastAsia="zh-CN"/>
        </w:rPr>
      </w:pPr>
      <w:r>
        <w:rPr>
          <w:rFonts w:ascii="仿宋" w:hAnsi="仿宋" w:eastAsia="仿宋" w:cs="宋体"/>
          <w:b w:val="0"/>
          <w:bCs/>
          <w:color w:val="auto"/>
          <w:sz w:val="28"/>
          <w:szCs w:val="28"/>
          <w:highlight w:val="none"/>
        </w:rPr>
        <w:t>2</w:t>
      </w:r>
      <w:r>
        <w:rPr>
          <w:rFonts w:hint="eastAsia" w:ascii="仿宋" w:hAnsi="仿宋" w:eastAsia="仿宋" w:cs="宋体"/>
          <w:b w:val="0"/>
          <w:bCs/>
          <w:color w:val="auto"/>
          <w:sz w:val="28"/>
          <w:szCs w:val="28"/>
          <w:highlight w:val="none"/>
          <w:lang w:eastAsia="zh-CN"/>
        </w:rPr>
        <w:t>、落实政府采购政策需满足的资格要求：标项1：供应商为中小企业/小微企业,供应商应为监狱企业,供应商应为残疾人福利企业；</w:t>
      </w:r>
    </w:p>
    <w:p>
      <w:pPr>
        <w:pageBreakBefore w:val="0"/>
        <w:widowControl w:val="0"/>
        <w:kinsoku/>
        <w:wordWrap/>
        <w:overflowPunct/>
        <w:topLinePunct w:val="0"/>
        <w:autoSpaceDE/>
        <w:autoSpaceDN/>
        <w:bidi w:val="0"/>
        <w:adjustRightInd/>
        <w:snapToGrid/>
        <w:spacing w:before="255" w:after="255" w:line="400" w:lineRule="exact"/>
        <w:ind w:firstLine="560" w:firstLineChars="200"/>
        <w:jc w:val="both"/>
        <w:textAlignment w:val="auto"/>
        <w:rPr>
          <w:rFonts w:hint="eastAsia" w:ascii="仿宋" w:hAnsi="仿宋" w:eastAsia="仿宋" w:cs="宋体"/>
          <w:b w:val="0"/>
          <w:bCs/>
          <w:color w:val="auto"/>
          <w:sz w:val="28"/>
          <w:szCs w:val="28"/>
          <w:highlight w:val="none"/>
          <w:lang w:val="en-US" w:eastAsia="zh-CN"/>
        </w:rPr>
      </w:pPr>
      <w:r>
        <w:rPr>
          <w:rFonts w:hint="eastAsia" w:ascii="仿宋" w:hAnsi="仿宋" w:eastAsia="仿宋" w:cs="宋体"/>
          <w:b w:val="0"/>
          <w:bCs/>
          <w:color w:val="auto"/>
          <w:sz w:val="28"/>
          <w:szCs w:val="28"/>
          <w:highlight w:val="none"/>
          <w:lang w:val="en-US" w:eastAsia="zh-CN"/>
        </w:rPr>
        <w:t>3、本项目特定资格要求：本次招标要求投标人须具备[施工总承包·市政公用工程·市政公用工程叁级] （含）以上资质，并在人员、设备、资金等方面具有相应的施工能力，有安全生产许可证，区外企业已进行进疆建筑企业信息报送。项目负责人须具备市政公用工程专业二级注册建造师执业资格，具备有效的安全生产考核合格证书，且未担任其他在建工程。 </w:t>
      </w:r>
    </w:p>
    <w:p>
      <w:pPr>
        <w:pageBreakBefore w:val="0"/>
        <w:widowControl w:val="0"/>
        <w:kinsoku/>
        <w:wordWrap/>
        <w:overflowPunct/>
        <w:topLinePunct w:val="0"/>
        <w:autoSpaceDE/>
        <w:autoSpaceDN/>
        <w:bidi w:val="0"/>
        <w:adjustRightInd/>
        <w:snapToGrid/>
        <w:spacing w:before="255" w:after="255" w:line="400" w:lineRule="exact"/>
        <w:jc w:val="both"/>
        <w:textAlignment w:val="auto"/>
        <w:rPr>
          <w:rFonts w:hint="eastAsia" w:ascii="仿宋" w:hAnsi="仿宋" w:eastAsia="仿宋" w:cs="宋体"/>
          <w:b/>
          <w:bCs/>
          <w:color w:val="auto"/>
          <w:sz w:val="28"/>
          <w:szCs w:val="28"/>
          <w:highlight w:val="none"/>
        </w:rPr>
      </w:pPr>
      <w:r>
        <w:rPr>
          <w:rFonts w:hint="eastAsia" w:ascii="仿宋" w:hAnsi="仿宋" w:eastAsia="仿宋" w:cs="宋体"/>
          <w:b/>
          <w:bCs/>
          <w:color w:val="auto"/>
          <w:sz w:val="28"/>
          <w:szCs w:val="28"/>
          <w:highlight w:val="none"/>
        </w:rPr>
        <w:t>三、获取采购文件</w:t>
      </w:r>
    </w:p>
    <w:p>
      <w:pPr>
        <w:pageBreakBefore w:val="0"/>
        <w:widowControl w:val="0"/>
        <w:kinsoku/>
        <w:wordWrap/>
        <w:overflowPunct/>
        <w:topLinePunct w:val="0"/>
        <w:autoSpaceDE/>
        <w:autoSpaceDN/>
        <w:bidi w:val="0"/>
        <w:adjustRightInd/>
        <w:snapToGrid/>
        <w:spacing w:before="255" w:after="255" w:line="400" w:lineRule="exact"/>
        <w:ind w:firstLine="560" w:firstLineChars="200"/>
        <w:jc w:val="both"/>
        <w:textAlignment w:val="auto"/>
        <w:rPr>
          <w:rFonts w:ascii="仿宋" w:hAnsi="仿宋" w:eastAsia="仿宋" w:cs="宋体"/>
          <w:color w:val="0000FF"/>
          <w:sz w:val="28"/>
          <w:szCs w:val="28"/>
          <w:highlight w:val="none"/>
        </w:rPr>
      </w:pPr>
      <w:r>
        <w:rPr>
          <w:rFonts w:ascii="仿宋" w:hAnsi="仿宋" w:eastAsia="仿宋" w:cs="宋体"/>
          <w:color w:val="0000FF"/>
          <w:sz w:val="28"/>
          <w:szCs w:val="28"/>
          <w:highlight w:val="none"/>
        </w:rPr>
        <w:t>时间：202</w:t>
      </w:r>
      <w:r>
        <w:rPr>
          <w:rFonts w:hint="eastAsia" w:ascii="仿宋" w:hAnsi="仿宋" w:eastAsia="仿宋" w:cs="宋体"/>
          <w:color w:val="0000FF"/>
          <w:sz w:val="28"/>
          <w:szCs w:val="28"/>
          <w:highlight w:val="none"/>
          <w:lang w:val="en-US" w:eastAsia="zh-CN"/>
        </w:rPr>
        <w:t>2</w:t>
      </w:r>
      <w:r>
        <w:rPr>
          <w:rFonts w:ascii="仿宋" w:hAnsi="仿宋" w:eastAsia="仿宋" w:cs="宋体"/>
          <w:color w:val="0000FF"/>
          <w:sz w:val="28"/>
          <w:szCs w:val="28"/>
          <w:highlight w:val="none"/>
        </w:rPr>
        <w:t>年</w:t>
      </w:r>
      <w:r>
        <w:rPr>
          <w:rFonts w:hint="eastAsia" w:ascii="仿宋" w:hAnsi="仿宋" w:eastAsia="仿宋" w:cs="宋体"/>
          <w:color w:val="0000FF"/>
          <w:sz w:val="28"/>
          <w:szCs w:val="28"/>
          <w:highlight w:val="none"/>
          <w:lang w:val="en-US" w:eastAsia="zh-CN"/>
        </w:rPr>
        <w:t>11</w:t>
      </w:r>
      <w:r>
        <w:rPr>
          <w:rFonts w:ascii="仿宋" w:hAnsi="仿宋" w:eastAsia="仿宋" w:cs="宋体"/>
          <w:color w:val="0000FF"/>
          <w:sz w:val="28"/>
          <w:szCs w:val="28"/>
          <w:highlight w:val="none"/>
        </w:rPr>
        <w:t>月</w:t>
      </w:r>
      <w:r>
        <w:rPr>
          <w:rFonts w:hint="eastAsia" w:ascii="仿宋" w:hAnsi="仿宋" w:eastAsia="仿宋" w:cs="宋体"/>
          <w:color w:val="0000FF"/>
          <w:sz w:val="28"/>
          <w:szCs w:val="28"/>
          <w:highlight w:val="none"/>
          <w:lang w:val="en-US" w:eastAsia="zh-CN"/>
        </w:rPr>
        <w:t>28</w:t>
      </w:r>
      <w:r>
        <w:rPr>
          <w:rFonts w:ascii="仿宋" w:hAnsi="仿宋" w:eastAsia="仿宋" w:cs="宋体"/>
          <w:color w:val="0000FF"/>
          <w:sz w:val="28"/>
          <w:szCs w:val="28"/>
          <w:highlight w:val="none"/>
        </w:rPr>
        <w:t>日至202</w:t>
      </w:r>
      <w:r>
        <w:rPr>
          <w:rFonts w:hint="eastAsia" w:ascii="仿宋" w:hAnsi="仿宋" w:eastAsia="仿宋" w:cs="宋体"/>
          <w:color w:val="0000FF"/>
          <w:sz w:val="28"/>
          <w:szCs w:val="28"/>
          <w:highlight w:val="none"/>
          <w:lang w:val="en-US" w:eastAsia="zh-CN"/>
        </w:rPr>
        <w:t>2</w:t>
      </w:r>
      <w:r>
        <w:rPr>
          <w:rFonts w:ascii="仿宋" w:hAnsi="仿宋" w:eastAsia="仿宋" w:cs="宋体"/>
          <w:color w:val="0000FF"/>
          <w:sz w:val="28"/>
          <w:szCs w:val="28"/>
          <w:highlight w:val="none"/>
        </w:rPr>
        <w:t>年</w:t>
      </w:r>
      <w:r>
        <w:rPr>
          <w:rFonts w:hint="eastAsia" w:ascii="仿宋" w:hAnsi="仿宋" w:eastAsia="仿宋" w:cs="宋体"/>
          <w:color w:val="0000FF"/>
          <w:sz w:val="28"/>
          <w:szCs w:val="28"/>
          <w:highlight w:val="none"/>
          <w:lang w:val="en-US" w:eastAsia="zh-CN"/>
        </w:rPr>
        <w:t>12</w:t>
      </w:r>
      <w:r>
        <w:rPr>
          <w:rFonts w:ascii="仿宋" w:hAnsi="仿宋" w:eastAsia="仿宋" w:cs="宋体"/>
          <w:color w:val="0000FF"/>
          <w:sz w:val="28"/>
          <w:szCs w:val="28"/>
          <w:highlight w:val="none"/>
        </w:rPr>
        <w:t>月</w:t>
      </w:r>
      <w:r>
        <w:rPr>
          <w:rFonts w:hint="eastAsia" w:ascii="仿宋" w:hAnsi="仿宋" w:eastAsia="仿宋" w:cs="宋体"/>
          <w:color w:val="0000FF"/>
          <w:sz w:val="28"/>
          <w:szCs w:val="28"/>
          <w:highlight w:val="none"/>
          <w:lang w:val="en-US" w:eastAsia="zh-CN"/>
        </w:rPr>
        <w:t>02</w:t>
      </w:r>
      <w:r>
        <w:rPr>
          <w:rFonts w:ascii="仿宋" w:hAnsi="仿宋" w:eastAsia="仿宋" w:cs="宋体"/>
          <w:color w:val="0000FF"/>
          <w:sz w:val="28"/>
          <w:szCs w:val="28"/>
          <w:highlight w:val="none"/>
        </w:rPr>
        <w:t>日，每天上午10:00至14:00，下午</w:t>
      </w:r>
      <w:r>
        <w:rPr>
          <w:rFonts w:hint="eastAsia" w:ascii="仿宋" w:hAnsi="仿宋" w:eastAsia="仿宋" w:cs="宋体"/>
          <w:color w:val="0000FF"/>
          <w:sz w:val="28"/>
          <w:szCs w:val="28"/>
          <w:highlight w:val="none"/>
          <w:lang w:val="en-US" w:eastAsia="zh-CN"/>
        </w:rPr>
        <w:t>15</w:t>
      </w:r>
      <w:r>
        <w:rPr>
          <w:rFonts w:ascii="仿宋" w:hAnsi="仿宋" w:eastAsia="仿宋" w:cs="宋体"/>
          <w:color w:val="0000FF"/>
          <w:sz w:val="28"/>
          <w:szCs w:val="28"/>
          <w:highlight w:val="none"/>
        </w:rPr>
        <w:t>:</w:t>
      </w:r>
      <w:r>
        <w:rPr>
          <w:rFonts w:hint="eastAsia" w:ascii="仿宋" w:hAnsi="仿宋" w:eastAsia="仿宋" w:cs="宋体"/>
          <w:color w:val="0000FF"/>
          <w:sz w:val="28"/>
          <w:szCs w:val="28"/>
          <w:highlight w:val="none"/>
          <w:lang w:val="en-US" w:eastAsia="zh-CN"/>
        </w:rPr>
        <w:t>30</w:t>
      </w:r>
      <w:r>
        <w:rPr>
          <w:rFonts w:ascii="仿宋" w:hAnsi="仿宋" w:eastAsia="仿宋" w:cs="宋体"/>
          <w:color w:val="0000FF"/>
          <w:sz w:val="28"/>
          <w:szCs w:val="28"/>
          <w:highlight w:val="none"/>
        </w:rPr>
        <w:t>至</w:t>
      </w:r>
      <w:r>
        <w:rPr>
          <w:rFonts w:hint="eastAsia" w:ascii="仿宋" w:hAnsi="仿宋" w:eastAsia="仿宋" w:cs="宋体"/>
          <w:color w:val="0000FF"/>
          <w:sz w:val="28"/>
          <w:szCs w:val="28"/>
          <w:highlight w:val="none"/>
          <w:lang w:val="en-US" w:eastAsia="zh-CN"/>
        </w:rPr>
        <w:t>19</w:t>
      </w:r>
      <w:r>
        <w:rPr>
          <w:rFonts w:ascii="仿宋" w:hAnsi="仿宋" w:eastAsia="仿宋" w:cs="宋体"/>
          <w:color w:val="0000FF"/>
          <w:sz w:val="28"/>
          <w:szCs w:val="28"/>
          <w:highlight w:val="none"/>
        </w:rPr>
        <w:t>:</w:t>
      </w:r>
      <w:r>
        <w:rPr>
          <w:rFonts w:hint="eastAsia" w:ascii="仿宋" w:hAnsi="仿宋" w:eastAsia="仿宋" w:cs="宋体"/>
          <w:color w:val="0000FF"/>
          <w:sz w:val="28"/>
          <w:szCs w:val="28"/>
          <w:highlight w:val="none"/>
          <w:lang w:val="en-US" w:eastAsia="zh-CN"/>
        </w:rPr>
        <w:t>30</w:t>
      </w:r>
      <w:r>
        <w:rPr>
          <w:rFonts w:ascii="仿宋" w:hAnsi="仿宋" w:eastAsia="仿宋" w:cs="宋体"/>
          <w:color w:val="0000FF"/>
          <w:sz w:val="28"/>
          <w:szCs w:val="28"/>
          <w:highlight w:val="none"/>
        </w:rPr>
        <w:t>（北京时间，法定节假日除外）</w:t>
      </w:r>
    </w:p>
    <w:p>
      <w:pPr>
        <w:pageBreakBefore w:val="0"/>
        <w:widowControl w:val="0"/>
        <w:kinsoku/>
        <w:wordWrap/>
        <w:overflowPunct/>
        <w:topLinePunct w:val="0"/>
        <w:autoSpaceDE/>
        <w:autoSpaceDN/>
        <w:bidi w:val="0"/>
        <w:adjustRightInd/>
        <w:snapToGrid/>
        <w:spacing w:before="75" w:after="75" w:line="400" w:lineRule="exact"/>
        <w:textAlignment w:val="auto"/>
        <w:rPr>
          <w:rFonts w:ascii="仿宋" w:hAnsi="仿宋" w:eastAsia="仿宋" w:cs="宋体"/>
          <w:color w:val="auto"/>
          <w:sz w:val="28"/>
          <w:szCs w:val="28"/>
          <w:highlight w:val="none"/>
        </w:rPr>
      </w:pPr>
      <w:r>
        <w:rPr>
          <w:rFonts w:ascii="仿宋" w:hAnsi="仿宋" w:eastAsia="仿宋" w:cs="宋体"/>
          <w:color w:val="auto"/>
          <w:sz w:val="28"/>
          <w:szCs w:val="28"/>
          <w:highlight w:val="none"/>
        </w:rPr>
        <w:t>    地点：伊宁市开发区辽宁路105号（人防办旁）   </w:t>
      </w:r>
    </w:p>
    <w:p>
      <w:pPr>
        <w:pageBreakBefore w:val="0"/>
        <w:widowControl w:val="0"/>
        <w:kinsoku/>
        <w:wordWrap/>
        <w:overflowPunct/>
        <w:topLinePunct w:val="0"/>
        <w:autoSpaceDE/>
        <w:autoSpaceDN/>
        <w:bidi w:val="0"/>
        <w:adjustRightInd/>
        <w:snapToGrid/>
        <w:spacing w:before="75" w:after="75" w:line="400" w:lineRule="exact"/>
        <w:ind w:firstLine="439"/>
        <w:textAlignment w:val="auto"/>
        <w:rPr>
          <w:rFonts w:ascii="仿宋" w:hAnsi="仿宋" w:eastAsia="仿宋" w:cs="宋体"/>
          <w:color w:val="auto"/>
          <w:sz w:val="28"/>
          <w:szCs w:val="28"/>
          <w:highlight w:val="none"/>
        </w:rPr>
      </w:pPr>
      <w:r>
        <w:rPr>
          <w:rFonts w:ascii="仿宋" w:hAnsi="仿宋" w:eastAsia="仿宋" w:cs="宋体"/>
          <w:color w:val="auto"/>
          <w:sz w:val="28"/>
          <w:szCs w:val="28"/>
          <w:highlight w:val="none"/>
        </w:rPr>
        <w:t>方式</w:t>
      </w:r>
      <w:r>
        <w:rPr>
          <w:rFonts w:hint="eastAsia" w:ascii="仿宋" w:hAnsi="仿宋" w:eastAsia="仿宋" w:cs="宋体"/>
          <w:color w:val="auto"/>
          <w:sz w:val="28"/>
          <w:szCs w:val="28"/>
          <w:highlight w:val="none"/>
          <w:lang w:val="zh-CN" w:eastAsia="zh-CN"/>
        </w:rPr>
        <w:t>：</w:t>
      </w:r>
      <w:r>
        <w:rPr>
          <w:rFonts w:hint="eastAsia" w:ascii="仿宋" w:hAnsi="仿宋" w:eastAsia="仿宋" w:cs="宋体"/>
          <w:color w:val="auto"/>
          <w:sz w:val="28"/>
          <w:szCs w:val="28"/>
          <w:highlight w:val="none"/>
          <w:lang w:val="zh-CN" w:eastAsia="zh-CN"/>
        </w:rPr>
        <w:fldChar w:fldCharType="begin"/>
      </w:r>
      <w:r>
        <w:rPr>
          <w:rFonts w:hint="eastAsia" w:ascii="仿宋" w:hAnsi="仿宋" w:eastAsia="仿宋" w:cs="宋体"/>
          <w:color w:val="auto"/>
          <w:sz w:val="28"/>
          <w:szCs w:val="28"/>
          <w:highlight w:val="none"/>
          <w:lang w:val="zh-CN" w:eastAsia="zh-CN"/>
        </w:rPr>
        <w:instrText xml:space="preserve"> HYPERLINK "mailto:现场获取或电子邮箱获取（采用电子邮箱获取，所需提供证件及资料的扫描件发至邮箱345035339@qq.com" </w:instrText>
      </w:r>
      <w:r>
        <w:rPr>
          <w:rFonts w:hint="eastAsia" w:ascii="仿宋" w:hAnsi="仿宋" w:eastAsia="仿宋" w:cs="宋体"/>
          <w:color w:val="auto"/>
          <w:sz w:val="28"/>
          <w:szCs w:val="28"/>
          <w:highlight w:val="none"/>
          <w:lang w:val="zh-CN" w:eastAsia="zh-CN"/>
        </w:rPr>
        <w:fldChar w:fldCharType="separate"/>
      </w:r>
      <w:r>
        <w:rPr>
          <w:rFonts w:hint="eastAsia" w:ascii="仿宋" w:hAnsi="仿宋" w:eastAsia="仿宋" w:cs="宋体"/>
          <w:color w:val="auto"/>
          <w:sz w:val="28"/>
          <w:szCs w:val="28"/>
          <w:highlight w:val="none"/>
          <w:lang w:val="zh-CN" w:eastAsia="zh-CN"/>
        </w:rPr>
        <w:t>现场获取或电子邮箱获取（采用电子邮箱获取，所需提供证件及资料的扫描件发至邮箱</w:t>
      </w:r>
      <w:r>
        <w:rPr>
          <w:rFonts w:hint="eastAsia" w:ascii="仿宋" w:hAnsi="仿宋" w:eastAsia="仿宋" w:cs="宋体"/>
          <w:color w:val="auto"/>
          <w:sz w:val="28"/>
          <w:szCs w:val="28"/>
          <w:highlight w:val="none"/>
          <w:lang w:val="en-US" w:eastAsia="zh-CN"/>
        </w:rPr>
        <w:t>504839670</w:t>
      </w:r>
      <w:r>
        <w:rPr>
          <w:rFonts w:hint="eastAsia" w:ascii="仿宋" w:hAnsi="仿宋" w:eastAsia="仿宋" w:cs="宋体"/>
          <w:color w:val="auto"/>
          <w:sz w:val="28"/>
          <w:szCs w:val="28"/>
          <w:highlight w:val="none"/>
          <w:lang w:val="zh-CN" w:eastAsia="zh-CN"/>
        </w:rPr>
        <w:t>@qq.com</w:t>
      </w:r>
      <w:r>
        <w:rPr>
          <w:rFonts w:hint="eastAsia" w:ascii="仿宋" w:hAnsi="仿宋" w:eastAsia="仿宋" w:cs="宋体"/>
          <w:color w:val="auto"/>
          <w:sz w:val="28"/>
          <w:szCs w:val="28"/>
          <w:highlight w:val="none"/>
          <w:lang w:val="zh-CN" w:eastAsia="zh-CN"/>
        </w:rPr>
        <w:fldChar w:fldCharType="end"/>
      </w:r>
      <w:r>
        <w:rPr>
          <w:rFonts w:hint="eastAsia" w:ascii="仿宋" w:hAnsi="仿宋" w:eastAsia="仿宋" w:cs="宋体"/>
          <w:color w:val="auto"/>
          <w:sz w:val="28"/>
          <w:szCs w:val="28"/>
          <w:highlight w:val="none"/>
          <w:lang w:val="zh-CN" w:eastAsia="zh-CN"/>
        </w:rPr>
        <w:t>①资料为加盖公章的PDF格式，邮件标题格式为“xx公司xx项目xx联系人xx联系电话”；②联系代理机构确认资料是否合格；③代理机构对投标人信息进行登记后，以电子邮件的形式向投标人发送招标文件。</w:t>
      </w:r>
      <w:r>
        <w:rPr>
          <w:rFonts w:ascii="仿宋" w:hAnsi="仿宋" w:eastAsia="仿宋" w:cs="宋体"/>
          <w:color w:val="auto"/>
          <w:sz w:val="28"/>
          <w:szCs w:val="28"/>
          <w:highlight w:val="none"/>
        </w:rPr>
        <w:t xml:space="preserve">    </w:t>
      </w:r>
    </w:p>
    <w:p>
      <w:pPr>
        <w:pageBreakBefore w:val="0"/>
        <w:widowControl w:val="0"/>
        <w:kinsoku/>
        <w:wordWrap/>
        <w:overflowPunct/>
        <w:topLinePunct w:val="0"/>
        <w:autoSpaceDE/>
        <w:autoSpaceDN/>
        <w:bidi w:val="0"/>
        <w:adjustRightInd/>
        <w:snapToGrid/>
        <w:spacing w:before="75" w:after="75" w:line="400" w:lineRule="exact"/>
        <w:ind w:firstLine="439"/>
        <w:textAlignment w:val="auto"/>
        <w:rPr>
          <w:rFonts w:ascii="仿宋" w:hAnsi="仿宋" w:eastAsia="仿宋" w:cs="宋体"/>
          <w:color w:val="auto"/>
          <w:sz w:val="28"/>
          <w:szCs w:val="28"/>
          <w:highlight w:val="none"/>
        </w:rPr>
      </w:pPr>
      <w:r>
        <w:rPr>
          <w:rFonts w:ascii="仿宋" w:hAnsi="仿宋" w:eastAsia="仿宋" w:cs="宋体"/>
          <w:color w:val="auto"/>
          <w:sz w:val="28"/>
          <w:szCs w:val="28"/>
          <w:highlight w:val="none"/>
        </w:rPr>
        <w:t>售价（元）：</w:t>
      </w:r>
      <w:r>
        <w:rPr>
          <w:rFonts w:hint="eastAsia" w:ascii="仿宋" w:hAnsi="仿宋" w:eastAsia="仿宋" w:cs="宋体"/>
          <w:color w:val="auto"/>
          <w:sz w:val="28"/>
          <w:szCs w:val="28"/>
          <w:highlight w:val="none"/>
          <w:lang w:val="en-US" w:eastAsia="zh-CN"/>
        </w:rPr>
        <w:t>2</w:t>
      </w:r>
      <w:r>
        <w:rPr>
          <w:rFonts w:ascii="仿宋" w:hAnsi="仿宋" w:eastAsia="仿宋" w:cs="宋体"/>
          <w:color w:val="auto"/>
          <w:sz w:val="28"/>
          <w:szCs w:val="28"/>
          <w:highlight w:val="none"/>
        </w:rPr>
        <w:t>00 </w:t>
      </w:r>
    </w:p>
    <w:p>
      <w:pPr>
        <w:pageBreakBefore w:val="0"/>
        <w:widowControl w:val="0"/>
        <w:kinsoku/>
        <w:wordWrap/>
        <w:overflowPunct/>
        <w:topLinePunct w:val="0"/>
        <w:autoSpaceDE/>
        <w:autoSpaceDN/>
        <w:bidi w:val="0"/>
        <w:adjustRightInd/>
        <w:snapToGrid/>
        <w:spacing w:before="255" w:after="255" w:line="400" w:lineRule="exact"/>
        <w:jc w:val="both"/>
        <w:textAlignment w:val="auto"/>
        <w:rPr>
          <w:rFonts w:ascii="仿宋" w:hAnsi="仿宋" w:eastAsia="仿宋" w:cs="宋体"/>
          <w:color w:val="auto"/>
          <w:sz w:val="28"/>
          <w:szCs w:val="28"/>
          <w:highlight w:val="none"/>
        </w:rPr>
      </w:pPr>
      <w:r>
        <w:rPr>
          <w:rFonts w:hint="eastAsia" w:ascii="仿宋" w:hAnsi="仿宋" w:eastAsia="仿宋" w:cs="宋体"/>
          <w:b/>
          <w:bCs/>
          <w:color w:val="auto"/>
          <w:sz w:val="28"/>
          <w:szCs w:val="28"/>
          <w:highlight w:val="none"/>
        </w:rPr>
        <w:t>四、响应文件提交</w:t>
      </w:r>
    </w:p>
    <w:p>
      <w:pPr>
        <w:pageBreakBefore w:val="0"/>
        <w:widowControl w:val="0"/>
        <w:kinsoku/>
        <w:wordWrap/>
        <w:overflowPunct/>
        <w:topLinePunct w:val="0"/>
        <w:autoSpaceDE/>
        <w:autoSpaceDN/>
        <w:bidi w:val="0"/>
        <w:adjustRightInd/>
        <w:snapToGrid/>
        <w:spacing w:before="75" w:after="75" w:line="400" w:lineRule="exact"/>
        <w:textAlignment w:val="auto"/>
        <w:rPr>
          <w:rFonts w:ascii="仿宋" w:hAnsi="仿宋" w:eastAsia="仿宋" w:cs="宋体"/>
          <w:color w:val="auto"/>
          <w:sz w:val="28"/>
          <w:szCs w:val="28"/>
          <w:highlight w:val="none"/>
        </w:rPr>
      </w:pPr>
      <w:r>
        <w:rPr>
          <w:rFonts w:ascii="仿宋" w:hAnsi="仿宋" w:eastAsia="仿宋" w:cs="宋体"/>
          <w:color w:val="auto"/>
          <w:sz w:val="28"/>
          <w:szCs w:val="28"/>
          <w:highlight w:val="none"/>
        </w:rPr>
        <w:t>    截止时间：</w:t>
      </w:r>
      <w:r>
        <w:rPr>
          <w:rFonts w:ascii="仿宋" w:hAnsi="仿宋" w:eastAsia="仿宋" w:cs="宋体"/>
          <w:color w:val="0000FF"/>
          <w:sz w:val="28"/>
          <w:szCs w:val="28"/>
          <w:highlight w:val="none"/>
        </w:rPr>
        <w:t>202</w:t>
      </w:r>
      <w:r>
        <w:rPr>
          <w:rFonts w:hint="eastAsia" w:ascii="仿宋" w:hAnsi="仿宋" w:eastAsia="仿宋" w:cs="宋体"/>
          <w:color w:val="0000FF"/>
          <w:sz w:val="28"/>
          <w:szCs w:val="28"/>
          <w:highlight w:val="none"/>
          <w:lang w:val="en-US" w:eastAsia="zh-CN"/>
        </w:rPr>
        <w:t>2</w:t>
      </w:r>
      <w:r>
        <w:rPr>
          <w:rFonts w:ascii="仿宋" w:hAnsi="仿宋" w:eastAsia="仿宋" w:cs="宋体"/>
          <w:color w:val="0000FF"/>
          <w:sz w:val="28"/>
          <w:szCs w:val="28"/>
          <w:highlight w:val="none"/>
        </w:rPr>
        <w:t>年</w:t>
      </w:r>
      <w:r>
        <w:rPr>
          <w:rFonts w:hint="eastAsia" w:ascii="仿宋" w:hAnsi="仿宋" w:eastAsia="仿宋" w:cs="宋体"/>
          <w:color w:val="0000FF"/>
          <w:sz w:val="28"/>
          <w:szCs w:val="28"/>
          <w:highlight w:val="none"/>
          <w:lang w:val="en-US" w:eastAsia="zh-CN"/>
        </w:rPr>
        <w:t>12</w:t>
      </w:r>
      <w:r>
        <w:rPr>
          <w:rFonts w:ascii="仿宋" w:hAnsi="仿宋" w:eastAsia="仿宋" w:cs="宋体"/>
          <w:color w:val="0000FF"/>
          <w:sz w:val="28"/>
          <w:szCs w:val="28"/>
          <w:highlight w:val="none"/>
        </w:rPr>
        <w:t>月</w:t>
      </w:r>
      <w:r>
        <w:rPr>
          <w:rFonts w:hint="eastAsia" w:ascii="仿宋" w:hAnsi="仿宋" w:eastAsia="仿宋" w:cs="宋体"/>
          <w:color w:val="0000FF"/>
          <w:sz w:val="28"/>
          <w:szCs w:val="28"/>
          <w:highlight w:val="none"/>
          <w:lang w:val="en-US" w:eastAsia="zh-CN"/>
        </w:rPr>
        <w:t>06</w:t>
      </w:r>
      <w:r>
        <w:rPr>
          <w:rFonts w:ascii="仿宋" w:hAnsi="仿宋" w:eastAsia="仿宋" w:cs="宋体"/>
          <w:color w:val="0000FF"/>
          <w:sz w:val="28"/>
          <w:szCs w:val="28"/>
          <w:highlight w:val="none"/>
        </w:rPr>
        <w:t xml:space="preserve">日 </w:t>
      </w:r>
      <w:r>
        <w:rPr>
          <w:rFonts w:hint="eastAsia" w:ascii="仿宋" w:hAnsi="仿宋" w:eastAsia="仿宋" w:cs="宋体"/>
          <w:color w:val="0000FF"/>
          <w:sz w:val="28"/>
          <w:szCs w:val="28"/>
          <w:highlight w:val="none"/>
          <w:lang w:val="en-US" w:eastAsia="zh-CN"/>
        </w:rPr>
        <w:t>16</w:t>
      </w:r>
      <w:r>
        <w:rPr>
          <w:rFonts w:ascii="仿宋" w:hAnsi="仿宋" w:eastAsia="仿宋" w:cs="宋体"/>
          <w:color w:val="0000FF"/>
          <w:sz w:val="28"/>
          <w:szCs w:val="28"/>
          <w:highlight w:val="none"/>
        </w:rPr>
        <w:t>:</w:t>
      </w:r>
      <w:r>
        <w:rPr>
          <w:rFonts w:hint="eastAsia" w:ascii="仿宋" w:hAnsi="仿宋" w:eastAsia="仿宋" w:cs="宋体"/>
          <w:color w:val="0000FF"/>
          <w:sz w:val="28"/>
          <w:szCs w:val="28"/>
          <w:highlight w:val="none"/>
          <w:lang w:val="en-US" w:eastAsia="zh-CN"/>
        </w:rPr>
        <w:t>0</w:t>
      </w:r>
      <w:r>
        <w:rPr>
          <w:rFonts w:ascii="仿宋" w:hAnsi="仿宋" w:eastAsia="仿宋" w:cs="宋体"/>
          <w:color w:val="0000FF"/>
          <w:sz w:val="28"/>
          <w:szCs w:val="28"/>
          <w:highlight w:val="none"/>
        </w:rPr>
        <w:t>0（北京时间）</w:t>
      </w:r>
    </w:p>
    <w:p>
      <w:pPr>
        <w:pageBreakBefore w:val="0"/>
        <w:widowControl w:val="0"/>
        <w:kinsoku/>
        <w:wordWrap/>
        <w:overflowPunct/>
        <w:topLinePunct w:val="0"/>
        <w:autoSpaceDE/>
        <w:autoSpaceDN/>
        <w:bidi w:val="0"/>
        <w:adjustRightInd/>
        <w:snapToGrid/>
        <w:spacing w:before="75" w:after="75" w:line="400" w:lineRule="exact"/>
        <w:textAlignment w:val="auto"/>
        <w:rPr>
          <w:rFonts w:ascii="仿宋" w:hAnsi="仿宋" w:eastAsia="仿宋" w:cs="宋体"/>
          <w:color w:val="auto"/>
          <w:sz w:val="28"/>
          <w:szCs w:val="28"/>
          <w:highlight w:val="none"/>
        </w:rPr>
      </w:pPr>
      <w:r>
        <w:rPr>
          <w:rFonts w:ascii="仿宋" w:hAnsi="仿宋" w:eastAsia="仿宋" w:cs="宋体"/>
          <w:color w:val="auto"/>
          <w:sz w:val="28"/>
          <w:szCs w:val="28"/>
          <w:highlight w:val="none"/>
        </w:rPr>
        <w:t>    地点：</w:t>
      </w:r>
      <w:r>
        <w:rPr>
          <w:rFonts w:hint="eastAsia" w:ascii="仿宋" w:hAnsi="仿宋" w:eastAsia="仿宋" w:cs="宋体"/>
          <w:color w:val="auto"/>
          <w:sz w:val="28"/>
          <w:szCs w:val="28"/>
          <w:highlight w:val="none"/>
        </w:rPr>
        <w:t>伊宁市政务服务中心5楼开标室</w:t>
      </w:r>
      <w:r>
        <w:rPr>
          <w:rFonts w:ascii="仿宋" w:hAnsi="仿宋" w:eastAsia="仿宋" w:cs="宋体"/>
          <w:color w:val="auto"/>
          <w:sz w:val="28"/>
          <w:szCs w:val="28"/>
          <w:highlight w:val="none"/>
        </w:rPr>
        <w:t>  </w:t>
      </w:r>
    </w:p>
    <w:p>
      <w:pPr>
        <w:pageBreakBefore w:val="0"/>
        <w:widowControl w:val="0"/>
        <w:kinsoku/>
        <w:wordWrap/>
        <w:overflowPunct/>
        <w:topLinePunct w:val="0"/>
        <w:autoSpaceDE/>
        <w:autoSpaceDN/>
        <w:bidi w:val="0"/>
        <w:adjustRightInd/>
        <w:snapToGrid/>
        <w:spacing w:before="255" w:after="255" w:line="400" w:lineRule="exact"/>
        <w:jc w:val="both"/>
        <w:textAlignment w:val="auto"/>
        <w:rPr>
          <w:rFonts w:ascii="仿宋" w:hAnsi="仿宋" w:eastAsia="仿宋" w:cs="宋体"/>
          <w:color w:val="auto"/>
          <w:sz w:val="28"/>
          <w:szCs w:val="28"/>
          <w:highlight w:val="none"/>
        </w:rPr>
      </w:pPr>
      <w:r>
        <w:rPr>
          <w:rFonts w:hint="eastAsia" w:ascii="仿宋" w:hAnsi="仿宋" w:eastAsia="仿宋" w:cs="宋体"/>
          <w:b/>
          <w:bCs/>
          <w:color w:val="auto"/>
          <w:sz w:val="28"/>
          <w:szCs w:val="28"/>
          <w:highlight w:val="none"/>
        </w:rPr>
        <w:t>五、响应文件开启</w:t>
      </w:r>
      <w:r>
        <w:rPr>
          <w:rFonts w:hint="eastAsia" w:ascii="宋体" w:hAnsi="宋体" w:eastAsia="仿宋" w:cs="宋体"/>
          <w:color w:val="auto"/>
          <w:sz w:val="28"/>
          <w:szCs w:val="28"/>
          <w:highlight w:val="none"/>
        </w:rPr>
        <w:t> </w:t>
      </w:r>
    </w:p>
    <w:p>
      <w:pPr>
        <w:pageBreakBefore w:val="0"/>
        <w:widowControl w:val="0"/>
        <w:kinsoku/>
        <w:wordWrap/>
        <w:overflowPunct/>
        <w:topLinePunct w:val="0"/>
        <w:autoSpaceDE/>
        <w:autoSpaceDN/>
        <w:bidi w:val="0"/>
        <w:adjustRightInd/>
        <w:snapToGrid/>
        <w:spacing w:before="75" w:after="75" w:line="400" w:lineRule="exact"/>
        <w:textAlignment w:val="auto"/>
        <w:rPr>
          <w:rFonts w:ascii="仿宋" w:hAnsi="仿宋" w:eastAsia="仿宋" w:cs="宋体"/>
          <w:color w:val="auto"/>
          <w:sz w:val="28"/>
          <w:szCs w:val="28"/>
          <w:highlight w:val="none"/>
        </w:rPr>
      </w:pPr>
      <w:r>
        <w:rPr>
          <w:rFonts w:ascii="仿宋" w:hAnsi="仿宋" w:eastAsia="仿宋" w:cs="宋体"/>
          <w:color w:val="auto"/>
          <w:sz w:val="28"/>
          <w:szCs w:val="28"/>
          <w:highlight w:val="none"/>
        </w:rPr>
        <w:t>    开启时间：</w:t>
      </w:r>
      <w:r>
        <w:rPr>
          <w:rFonts w:ascii="仿宋" w:hAnsi="仿宋" w:eastAsia="仿宋" w:cs="宋体"/>
          <w:color w:val="0000FF"/>
          <w:sz w:val="28"/>
          <w:szCs w:val="28"/>
          <w:highlight w:val="none"/>
        </w:rPr>
        <w:t>202</w:t>
      </w:r>
      <w:r>
        <w:rPr>
          <w:rFonts w:hint="eastAsia" w:ascii="仿宋" w:hAnsi="仿宋" w:eastAsia="仿宋" w:cs="宋体"/>
          <w:color w:val="0000FF"/>
          <w:sz w:val="28"/>
          <w:szCs w:val="28"/>
          <w:highlight w:val="none"/>
          <w:lang w:val="en-US" w:eastAsia="zh-CN"/>
        </w:rPr>
        <w:t>2</w:t>
      </w:r>
      <w:r>
        <w:rPr>
          <w:rFonts w:ascii="仿宋" w:hAnsi="仿宋" w:eastAsia="仿宋" w:cs="宋体"/>
          <w:color w:val="0000FF"/>
          <w:sz w:val="28"/>
          <w:szCs w:val="28"/>
          <w:highlight w:val="none"/>
        </w:rPr>
        <w:t>年</w:t>
      </w:r>
      <w:r>
        <w:rPr>
          <w:rFonts w:hint="eastAsia" w:ascii="仿宋" w:hAnsi="仿宋" w:eastAsia="仿宋" w:cs="宋体"/>
          <w:color w:val="0000FF"/>
          <w:sz w:val="28"/>
          <w:szCs w:val="28"/>
          <w:highlight w:val="none"/>
          <w:lang w:val="en-US" w:eastAsia="zh-CN"/>
        </w:rPr>
        <w:t>12</w:t>
      </w:r>
      <w:r>
        <w:rPr>
          <w:rFonts w:ascii="仿宋" w:hAnsi="仿宋" w:eastAsia="仿宋" w:cs="宋体"/>
          <w:color w:val="0000FF"/>
          <w:sz w:val="28"/>
          <w:szCs w:val="28"/>
          <w:highlight w:val="none"/>
        </w:rPr>
        <w:t>月</w:t>
      </w:r>
      <w:r>
        <w:rPr>
          <w:rFonts w:hint="eastAsia" w:ascii="仿宋" w:hAnsi="仿宋" w:eastAsia="仿宋" w:cs="宋体"/>
          <w:color w:val="0000FF"/>
          <w:sz w:val="28"/>
          <w:szCs w:val="28"/>
          <w:highlight w:val="none"/>
          <w:lang w:val="en-US" w:eastAsia="zh-CN"/>
        </w:rPr>
        <w:t>06</w:t>
      </w:r>
      <w:r>
        <w:rPr>
          <w:rFonts w:ascii="仿宋" w:hAnsi="仿宋" w:eastAsia="仿宋" w:cs="宋体"/>
          <w:color w:val="0000FF"/>
          <w:sz w:val="28"/>
          <w:szCs w:val="28"/>
          <w:highlight w:val="none"/>
        </w:rPr>
        <w:t xml:space="preserve">日 </w:t>
      </w:r>
      <w:r>
        <w:rPr>
          <w:rFonts w:hint="eastAsia" w:ascii="仿宋" w:hAnsi="仿宋" w:eastAsia="仿宋" w:cs="宋体"/>
          <w:color w:val="0000FF"/>
          <w:sz w:val="28"/>
          <w:szCs w:val="28"/>
          <w:highlight w:val="none"/>
          <w:lang w:val="en-US" w:eastAsia="zh-CN"/>
        </w:rPr>
        <w:t>16</w:t>
      </w:r>
      <w:r>
        <w:rPr>
          <w:rFonts w:ascii="仿宋" w:hAnsi="仿宋" w:eastAsia="仿宋" w:cs="宋体"/>
          <w:color w:val="0000FF"/>
          <w:sz w:val="28"/>
          <w:szCs w:val="28"/>
          <w:highlight w:val="none"/>
        </w:rPr>
        <w:t>:</w:t>
      </w:r>
      <w:r>
        <w:rPr>
          <w:rFonts w:hint="eastAsia" w:ascii="仿宋" w:hAnsi="仿宋" w:eastAsia="仿宋" w:cs="宋体"/>
          <w:color w:val="0000FF"/>
          <w:sz w:val="28"/>
          <w:szCs w:val="28"/>
          <w:highlight w:val="none"/>
          <w:lang w:val="en-US" w:eastAsia="zh-CN"/>
        </w:rPr>
        <w:t>0</w:t>
      </w:r>
      <w:r>
        <w:rPr>
          <w:rFonts w:ascii="仿宋" w:hAnsi="仿宋" w:eastAsia="仿宋" w:cs="宋体"/>
          <w:color w:val="0000FF"/>
          <w:sz w:val="28"/>
          <w:szCs w:val="28"/>
          <w:highlight w:val="none"/>
        </w:rPr>
        <w:t>0（北京时间）</w:t>
      </w:r>
    </w:p>
    <w:p>
      <w:pPr>
        <w:pageBreakBefore w:val="0"/>
        <w:widowControl w:val="0"/>
        <w:kinsoku/>
        <w:wordWrap/>
        <w:overflowPunct/>
        <w:topLinePunct w:val="0"/>
        <w:autoSpaceDE/>
        <w:autoSpaceDN/>
        <w:bidi w:val="0"/>
        <w:adjustRightInd/>
        <w:snapToGrid/>
        <w:spacing w:before="75" w:after="75" w:line="400" w:lineRule="exact"/>
        <w:textAlignment w:val="auto"/>
        <w:rPr>
          <w:rFonts w:ascii="仿宋" w:hAnsi="仿宋" w:eastAsia="仿宋" w:cs="宋体"/>
          <w:color w:val="auto"/>
          <w:sz w:val="28"/>
          <w:szCs w:val="28"/>
          <w:highlight w:val="none"/>
        </w:rPr>
      </w:pPr>
      <w:r>
        <w:rPr>
          <w:rFonts w:ascii="仿宋" w:hAnsi="仿宋" w:eastAsia="仿宋" w:cs="宋体"/>
          <w:color w:val="auto"/>
          <w:sz w:val="28"/>
          <w:szCs w:val="28"/>
          <w:highlight w:val="none"/>
        </w:rPr>
        <w:t>    地点：</w:t>
      </w:r>
      <w:r>
        <w:rPr>
          <w:rFonts w:hint="eastAsia" w:ascii="仿宋" w:hAnsi="仿宋" w:eastAsia="仿宋" w:cs="宋体"/>
          <w:color w:val="auto"/>
          <w:sz w:val="28"/>
          <w:szCs w:val="28"/>
          <w:highlight w:val="none"/>
        </w:rPr>
        <w:t>伊宁市政务服务中心5楼开标室</w:t>
      </w:r>
      <w:r>
        <w:rPr>
          <w:rFonts w:ascii="仿宋" w:hAnsi="仿宋" w:eastAsia="仿宋" w:cs="宋体"/>
          <w:color w:val="auto"/>
          <w:sz w:val="28"/>
          <w:szCs w:val="28"/>
          <w:highlight w:val="none"/>
        </w:rPr>
        <w:t> </w:t>
      </w:r>
    </w:p>
    <w:p>
      <w:pPr>
        <w:pageBreakBefore w:val="0"/>
        <w:widowControl w:val="0"/>
        <w:kinsoku/>
        <w:wordWrap/>
        <w:overflowPunct/>
        <w:topLinePunct w:val="0"/>
        <w:autoSpaceDE/>
        <w:autoSpaceDN/>
        <w:bidi w:val="0"/>
        <w:adjustRightInd/>
        <w:snapToGrid/>
        <w:spacing w:before="255" w:after="255" w:line="400" w:lineRule="exact"/>
        <w:jc w:val="both"/>
        <w:textAlignment w:val="auto"/>
        <w:rPr>
          <w:rFonts w:ascii="仿宋" w:hAnsi="仿宋" w:eastAsia="仿宋" w:cs="宋体"/>
          <w:color w:val="auto"/>
          <w:sz w:val="28"/>
          <w:szCs w:val="28"/>
          <w:highlight w:val="none"/>
        </w:rPr>
      </w:pPr>
      <w:r>
        <w:rPr>
          <w:rFonts w:hint="eastAsia" w:ascii="仿宋" w:hAnsi="仿宋" w:eastAsia="仿宋" w:cs="宋体"/>
          <w:b/>
          <w:bCs/>
          <w:color w:val="auto"/>
          <w:sz w:val="28"/>
          <w:szCs w:val="28"/>
          <w:highlight w:val="none"/>
        </w:rPr>
        <w:t>六、公告期限</w:t>
      </w:r>
      <w:r>
        <w:rPr>
          <w:rFonts w:hint="eastAsia" w:ascii="宋体" w:hAnsi="宋体" w:eastAsia="仿宋" w:cs="宋体"/>
          <w:color w:val="auto"/>
          <w:sz w:val="28"/>
          <w:szCs w:val="28"/>
          <w:highlight w:val="none"/>
        </w:rPr>
        <w:t> </w:t>
      </w:r>
    </w:p>
    <w:p>
      <w:pPr>
        <w:pageBreakBefore w:val="0"/>
        <w:widowControl w:val="0"/>
        <w:kinsoku/>
        <w:wordWrap/>
        <w:overflowPunct/>
        <w:topLinePunct w:val="0"/>
        <w:autoSpaceDE/>
        <w:autoSpaceDN/>
        <w:bidi w:val="0"/>
        <w:adjustRightInd/>
        <w:snapToGrid/>
        <w:spacing w:before="75" w:after="75" w:line="400" w:lineRule="exact"/>
        <w:textAlignment w:val="auto"/>
        <w:rPr>
          <w:rFonts w:ascii="仿宋" w:hAnsi="仿宋" w:eastAsia="仿宋" w:cs="Arial"/>
          <w:color w:val="auto"/>
          <w:sz w:val="28"/>
          <w:szCs w:val="28"/>
          <w:highlight w:val="none"/>
        </w:rPr>
      </w:pPr>
      <w:r>
        <w:rPr>
          <w:rFonts w:ascii="仿宋" w:hAnsi="仿宋" w:eastAsia="仿宋" w:cs="Arial"/>
          <w:color w:val="auto"/>
          <w:sz w:val="28"/>
          <w:szCs w:val="28"/>
          <w:highlight w:val="none"/>
        </w:rPr>
        <w:t>    自本公告发布之日起</w:t>
      </w:r>
      <w:r>
        <w:rPr>
          <w:rFonts w:hint="eastAsia" w:ascii="仿宋" w:hAnsi="仿宋" w:eastAsia="仿宋" w:cs="Arial"/>
          <w:color w:val="auto"/>
          <w:sz w:val="28"/>
          <w:szCs w:val="28"/>
          <w:highlight w:val="none"/>
          <w:lang w:val="en-US" w:eastAsia="zh-CN"/>
        </w:rPr>
        <w:t>5</w:t>
      </w:r>
      <w:r>
        <w:rPr>
          <w:rFonts w:ascii="仿宋" w:hAnsi="仿宋" w:eastAsia="仿宋" w:cs="Arial"/>
          <w:color w:val="auto"/>
          <w:sz w:val="28"/>
          <w:szCs w:val="28"/>
          <w:highlight w:val="none"/>
        </w:rPr>
        <w:t>个工作日。</w:t>
      </w:r>
    </w:p>
    <w:p>
      <w:pPr>
        <w:pageBreakBefore w:val="0"/>
        <w:widowControl w:val="0"/>
        <w:numPr>
          <w:ilvl w:val="0"/>
          <w:numId w:val="0"/>
        </w:numPr>
        <w:kinsoku/>
        <w:wordWrap/>
        <w:overflowPunct/>
        <w:topLinePunct w:val="0"/>
        <w:autoSpaceDE/>
        <w:autoSpaceDN/>
        <w:bidi w:val="0"/>
        <w:adjustRightInd/>
        <w:snapToGrid/>
        <w:spacing w:before="255" w:after="255" w:line="400" w:lineRule="exact"/>
        <w:jc w:val="both"/>
        <w:textAlignment w:val="auto"/>
        <w:rPr>
          <w:rFonts w:hint="eastAsia" w:ascii="宋体" w:hAnsi="宋体" w:eastAsia="仿宋" w:cs="宋体"/>
          <w:color w:val="auto"/>
          <w:sz w:val="28"/>
          <w:szCs w:val="28"/>
          <w:highlight w:val="none"/>
        </w:rPr>
      </w:pPr>
      <w:r>
        <w:rPr>
          <w:rFonts w:hint="eastAsia" w:ascii="仿宋" w:hAnsi="仿宋" w:eastAsia="仿宋" w:cs="宋体"/>
          <w:b/>
          <w:bCs/>
          <w:color w:val="auto"/>
          <w:sz w:val="28"/>
          <w:szCs w:val="28"/>
          <w:highlight w:val="none"/>
          <w:lang w:val="en-US" w:eastAsia="zh-CN"/>
        </w:rPr>
        <w:t>七、</w:t>
      </w:r>
      <w:r>
        <w:rPr>
          <w:rFonts w:hint="eastAsia" w:ascii="仿宋" w:hAnsi="仿宋" w:eastAsia="仿宋" w:cs="宋体"/>
          <w:b/>
          <w:bCs/>
          <w:color w:val="auto"/>
          <w:sz w:val="28"/>
          <w:szCs w:val="28"/>
          <w:highlight w:val="none"/>
        </w:rPr>
        <w:t>其他补充事宜</w:t>
      </w:r>
      <w:r>
        <w:rPr>
          <w:rFonts w:hint="eastAsia" w:ascii="宋体" w:hAnsi="宋体" w:eastAsia="仿宋" w:cs="宋体"/>
          <w:color w:val="auto"/>
          <w:sz w:val="28"/>
          <w:szCs w:val="28"/>
          <w:highlight w:val="none"/>
        </w:rPr>
        <w:t> </w:t>
      </w:r>
    </w:p>
    <w:p>
      <w:pPr>
        <w:pageBreakBefore w:val="0"/>
        <w:widowControl w:val="0"/>
        <w:numPr>
          <w:ilvl w:val="0"/>
          <w:numId w:val="0"/>
        </w:numPr>
        <w:kinsoku/>
        <w:wordWrap/>
        <w:overflowPunct/>
        <w:topLinePunct w:val="0"/>
        <w:autoSpaceDE/>
        <w:autoSpaceDN/>
        <w:bidi w:val="0"/>
        <w:adjustRightInd/>
        <w:snapToGrid/>
        <w:spacing w:before="255" w:after="255" w:line="400" w:lineRule="exact"/>
        <w:ind w:firstLine="560" w:firstLineChars="200"/>
        <w:jc w:val="both"/>
        <w:textAlignment w:val="auto"/>
        <w:rPr>
          <w:rFonts w:hint="eastAsia" w:ascii="仿宋" w:hAnsi="仿宋" w:eastAsia="仿宋" w:cs="仿宋"/>
          <w:sz w:val="28"/>
          <w:szCs w:val="28"/>
        </w:rPr>
      </w:pPr>
      <w:r>
        <w:rPr>
          <w:rFonts w:ascii="仿宋" w:hAnsi="仿宋" w:eastAsia="仿宋" w:cs="仿宋"/>
          <w:i w:val="0"/>
          <w:iCs w:val="0"/>
          <w:caps w:val="0"/>
          <w:color w:val="auto"/>
          <w:spacing w:val="0"/>
          <w:sz w:val="28"/>
          <w:szCs w:val="28"/>
        </w:rPr>
        <w:t>获取文件需携带的资料：</w:t>
      </w:r>
      <w:r>
        <w:rPr>
          <w:rFonts w:ascii="仿宋" w:hAnsi="仿宋" w:eastAsia="仿宋" w:cs="Arial"/>
          <w:color w:val="auto"/>
          <w:sz w:val="28"/>
          <w:szCs w:val="28"/>
          <w:highlight w:val="none"/>
        </w:rPr>
        <w:t>需携带</w:t>
      </w:r>
      <w:r>
        <w:rPr>
          <w:rFonts w:ascii="仿宋" w:hAnsi="仿宋" w:eastAsia="仿宋" w:cs="仿宋"/>
          <w:sz w:val="28"/>
          <w:szCs w:val="28"/>
        </w:rPr>
        <w:t>法定代表人身份证明或法定代表人授权委托书原件、法定代表人或授权委托人身份证原件、营业执照副本、</w:t>
      </w:r>
      <w:r>
        <w:rPr>
          <w:rFonts w:ascii="仿宋" w:hAnsi="仿宋" w:eastAsia="仿宋" w:cs="仿宋"/>
          <w:sz w:val="27"/>
          <w:szCs w:val="27"/>
        </w:rPr>
        <w:t>企业资质证书副本原件、项目负责人职称证书原件(二级建造师)及安全生产考核证、拟派建造师及上述项目班子人员在本单位近半年的社保证明（202</w:t>
      </w:r>
      <w:r>
        <w:rPr>
          <w:rFonts w:hint="eastAsia" w:ascii="仿宋" w:hAnsi="仿宋" w:eastAsia="仿宋" w:cs="仿宋"/>
          <w:sz w:val="27"/>
          <w:szCs w:val="27"/>
          <w:lang w:val="en-US" w:eastAsia="zh-CN"/>
        </w:rPr>
        <w:t>2</w:t>
      </w:r>
      <w:r>
        <w:rPr>
          <w:rFonts w:ascii="仿宋" w:hAnsi="仿宋" w:eastAsia="仿宋" w:cs="仿宋"/>
          <w:sz w:val="27"/>
          <w:szCs w:val="27"/>
        </w:rPr>
        <w:t>年</w:t>
      </w:r>
      <w:r>
        <w:rPr>
          <w:rFonts w:hint="eastAsia" w:ascii="仿宋" w:hAnsi="仿宋" w:eastAsia="仿宋" w:cs="仿宋"/>
          <w:sz w:val="27"/>
          <w:szCs w:val="27"/>
          <w:lang w:val="en-US" w:eastAsia="zh-CN"/>
        </w:rPr>
        <w:t>6</w:t>
      </w:r>
      <w:r>
        <w:rPr>
          <w:rFonts w:ascii="仿宋" w:hAnsi="仿宋" w:eastAsia="仿宋" w:cs="仿宋"/>
          <w:sz w:val="27"/>
          <w:szCs w:val="27"/>
        </w:rPr>
        <w:t>月至2022年</w:t>
      </w:r>
      <w:r>
        <w:rPr>
          <w:rFonts w:hint="eastAsia" w:ascii="仿宋" w:hAnsi="仿宋" w:eastAsia="仿宋" w:cs="仿宋"/>
          <w:sz w:val="27"/>
          <w:szCs w:val="27"/>
          <w:lang w:val="en-US" w:eastAsia="zh-CN"/>
        </w:rPr>
        <w:t>11</w:t>
      </w:r>
      <w:r>
        <w:rPr>
          <w:rFonts w:ascii="仿宋" w:hAnsi="仿宋" w:eastAsia="仿宋" w:cs="仿宋"/>
          <w:sz w:val="27"/>
          <w:szCs w:val="27"/>
        </w:rPr>
        <w:t>月）、疆外企业提供进疆备案信息推送手续、项目所在地劳动部门出具的无拖欠农民工工资证明、</w:t>
      </w:r>
      <w:r>
        <w:rPr>
          <w:rFonts w:ascii="仿宋" w:hAnsi="仿宋" w:eastAsia="仿宋" w:cs="仿宋"/>
          <w:sz w:val="28"/>
          <w:szCs w:val="28"/>
        </w:rPr>
        <w:t>网上信用记录证明打印件加盖公章原件，报名时携带原件审核；含“信用中国”网站（www.creditchina.gov.cn）中企业信用信息查询结果；“中国政府采购网”（ 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 （上述证件资料须带原件及加盖公章复印件三套，不接受公证件）。</w:t>
      </w:r>
      <w:r>
        <w:rPr>
          <w:rFonts w:hint="eastAsia" w:ascii="仿宋" w:hAnsi="仿宋" w:eastAsia="仿宋" w:cs="仿宋"/>
          <w:sz w:val="28"/>
          <w:szCs w:val="28"/>
        </w:rPr>
        <w:t>  </w:t>
      </w:r>
    </w:p>
    <w:p>
      <w:pPr>
        <w:pageBreakBefore w:val="0"/>
        <w:widowControl w:val="0"/>
        <w:kinsoku/>
        <w:wordWrap/>
        <w:overflowPunct/>
        <w:topLinePunct w:val="0"/>
        <w:autoSpaceDE/>
        <w:autoSpaceDN/>
        <w:bidi w:val="0"/>
        <w:adjustRightInd/>
        <w:snapToGrid/>
        <w:spacing w:before="75" w:after="75" w:line="400" w:lineRule="exact"/>
        <w:textAlignment w:val="auto"/>
        <w:rPr>
          <w:rFonts w:ascii="仿宋" w:hAnsi="仿宋" w:eastAsia="仿宋" w:cs="宋体"/>
          <w:color w:val="auto"/>
          <w:sz w:val="28"/>
          <w:szCs w:val="28"/>
        </w:rPr>
      </w:pPr>
      <w:r>
        <w:rPr>
          <w:rFonts w:hint="eastAsia" w:ascii="仿宋" w:hAnsi="仿宋" w:eastAsia="仿宋" w:cs="宋体"/>
          <w:b/>
          <w:bCs/>
          <w:color w:val="auto"/>
          <w:sz w:val="28"/>
          <w:szCs w:val="28"/>
        </w:rPr>
        <w:t>八、凡对本次招标提出询问，请按以下方式联系</w:t>
      </w:r>
    </w:p>
    <w:p>
      <w:pPr>
        <w:keepNext w:val="0"/>
        <w:keepLines w:val="0"/>
        <w:pageBreakBefore w:val="0"/>
        <w:widowControl w:val="0"/>
        <w:kinsoku/>
        <w:wordWrap/>
        <w:overflowPunct/>
        <w:topLinePunct w:val="0"/>
        <w:autoSpaceDE/>
        <w:autoSpaceDN/>
        <w:bidi w:val="0"/>
        <w:adjustRightInd/>
        <w:snapToGrid/>
        <w:spacing w:before="75" w:after="75" w:line="400" w:lineRule="exact"/>
        <w:ind w:firstLine="480"/>
        <w:textAlignment w:val="auto"/>
        <w:rPr>
          <w:rFonts w:ascii="仿宋" w:hAnsi="仿宋" w:eastAsia="仿宋" w:cs="宋体"/>
          <w:color w:val="auto"/>
          <w:sz w:val="28"/>
          <w:szCs w:val="28"/>
        </w:rPr>
      </w:pPr>
      <w:r>
        <w:rPr>
          <w:rFonts w:ascii="仿宋" w:hAnsi="仿宋" w:eastAsia="仿宋" w:cs="宋体"/>
          <w:color w:val="auto"/>
          <w:sz w:val="28"/>
          <w:szCs w:val="28"/>
        </w:rPr>
        <w:t>1.采购人信息</w:t>
      </w:r>
    </w:p>
    <w:p>
      <w:pPr>
        <w:keepNext w:val="0"/>
        <w:keepLines w:val="0"/>
        <w:pageBreakBefore w:val="0"/>
        <w:widowControl w:val="0"/>
        <w:kinsoku/>
        <w:wordWrap/>
        <w:overflowPunct/>
        <w:topLinePunct w:val="0"/>
        <w:autoSpaceDE/>
        <w:autoSpaceDN/>
        <w:bidi w:val="0"/>
        <w:adjustRightInd/>
        <w:snapToGrid/>
        <w:spacing w:before="75" w:after="75" w:line="400" w:lineRule="exact"/>
        <w:ind w:firstLine="480"/>
        <w:textAlignment w:val="auto"/>
        <w:rPr>
          <w:rFonts w:hint="default" w:ascii="仿宋" w:hAnsi="仿宋" w:eastAsia="仿宋" w:cs="宋体"/>
          <w:color w:val="auto"/>
          <w:sz w:val="28"/>
          <w:szCs w:val="28"/>
          <w:lang w:val="en-US" w:eastAsia="zh-CN"/>
        </w:rPr>
      </w:pPr>
      <w:r>
        <w:rPr>
          <w:rFonts w:ascii="仿宋" w:hAnsi="仿宋" w:eastAsia="仿宋" w:cs="宋体"/>
          <w:color w:val="auto"/>
          <w:sz w:val="28"/>
          <w:szCs w:val="28"/>
        </w:rPr>
        <w:t>名 称：</w:t>
      </w:r>
      <w:r>
        <w:rPr>
          <w:rFonts w:hint="eastAsia" w:ascii="仿宋" w:hAnsi="仿宋" w:eastAsia="仿宋" w:cs="宋体"/>
          <w:color w:val="auto"/>
          <w:sz w:val="28"/>
          <w:szCs w:val="28"/>
          <w:lang w:val="en-US" w:eastAsia="zh-CN"/>
        </w:rPr>
        <w:t>伊宁市教育局</w:t>
      </w:r>
    </w:p>
    <w:p>
      <w:pPr>
        <w:keepNext w:val="0"/>
        <w:keepLines w:val="0"/>
        <w:pageBreakBefore w:val="0"/>
        <w:widowControl w:val="0"/>
        <w:kinsoku/>
        <w:wordWrap/>
        <w:overflowPunct/>
        <w:topLinePunct w:val="0"/>
        <w:autoSpaceDE/>
        <w:autoSpaceDN/>
        <w:bidi w:val="0"/>
        <w:adjustRightInd/>
        <w:snapToGrid/>
        <w:spacing w:before="75" w:after="75" w:line="400" w:lineRule="exact"/>
        <w:ind w:firstLine="480"/>
        <w:textAlignment w:val="auto"/>
        <w:rPr>
          <w:rFonts w:hint="default" w:ascii="仿宋" w:hAnsi="仿宋" w:eastAsia="仿宋" w:cs="宋体"/>
          <w:color w:val="auto"/>
          <w:sz w:val="28"/>
          <w:szCs w:val="28"/>
          <w:lang w:val="en-US" w:eastAsia="zh-CN"/>
        </w:rPr>
      </w:pPr>
      <w:r>
        <w:rPr>
          <w:rFonts w:ascii="仿宋" w:hAnsi="仿宋" w:eastAsia="仿宋" w:cs="宋体"/>
          <w:color w:val="auto"/>
          <w:sz w:val="28"/>
          <w:szCs w:val="28"/>
        </w:rPr>
        <w:t>地 址：</w:t>
      </w:r>
      <w:r>
        <w:rPr>
          <w:rFonts w:hint="eastAsia" w:ascii="仿宋" w:hAnsi="仿宋" w:eastAsia="仿宋" w:cs="宋体"/>
          <w:color w:val="auto"/>
          <w:sz w:val="28"/>
          <w:szCs w:val="28"/>
          <w:lang w:val="en-US" w:eastAsia="zh-CN"/>
        </w:rPr>
        <w:t>伊宁市海棠路</w:t>
      </w:r>
    </w:p>
    <w:p>
      <w:pPr>
        <w:keepNext w:val="0"/>
        <w:keepLines w:val="0"/>
        <w:pageBreakBefore w:val="0"/>
        <w:widowControl w:val="0"/>
        <w:kinsoku/>
        <w:wordWrap/>
        <w:overflowPunct/>
        <w:topLinePunct w:val="0"/>
        <w:autoSpaceDE/>
        <w:autoSpaceDN/>
        <w:bidi w:val="0"/>
        <w:adjustRightInd/>
        <w:snapToGrid/>
        <w:spacing w:before="75" w:after="75" w:line="400" w:lineRule="exact"/>
        <w:ind w:firstLine="480"/>
        <w:textAlignment w:val="auto"/>
        <w:rPr>
          <w:rFonts w:ascii="仿宋" w:hAnsi="仿宋" w:eastAsia="仿宋" w:cs="宋体"/>
          <w:color w:val="auto"/>
          <w:sz w:val="28"/>
          <w:szCs w:val="28"/>
        </w:rPr>
      </w:pPr>
      <w:r>
        <w:rPr>
          <w:rFonts w:ascii="仿宋" w:hAnsi="仿宋" w:eastAsia="仿宋" w:cs="宋体"/>
          <w:color w:val="auto"/>
          <w:sz w:val="28"/>
          <w:szCs w:val="28"/>
        </w:rPr>
        <w:t>联系方式：</w:t>
      </w:r>
      <w:r>
        <w:rPr>
          <w:rFonts w:hint="eastAsia" w:ascii="仿宋" w:hAnsi="仿宋" w:eastAsia="仿宋" w:cs="宋体"/>
          <w:color w:val="auto"/>
          <w:sz w:val="28"/>
          <w:szCs w:val="28"/>
          <w:lang w:val="en-US" w:eastAsia="zh-CN"/>
        </w:rPr>
        <w:t xml:space="preserve">18999572926 </w:t>
      </w:r>
    </w:p>
    <w:p>
      <w:pPr>
        <w:keepNext w:val="0"/>
        <w:keepLines w:val="0"/>
        <w:pageBreakBefore w:val="0"/>
        <w:widowControl w:val="0"/>
        <w:kinsoku/>
        <w:wordWrap/>
        <w:overflowPunct/>
        <w:topLinePunct w:val="0"/>
        <w:autoSpaceDE/>
        <w:autoSpaceDN/>
        <w:bidi w:val="0"/>
        <w:adjustRightInd/>
        <w:snapToGrid/>
        <w:spacing w:before="75" w:after="75" w:line="400" w:lineRule="exact"/>
        <w:ind w:firstLine="560" w:firstLineChars="200"/>
        <w:textAlignment w:val="auto"/>
        <w:rPr>
          <w:rFonts w:ascii="仿宋" w:hAnsi="仿宋" w:eastAsia="仿宋" w:cs="宋体"/>
          <w:color w:val="auto"/>
          <w:sz w:val="28"/>
          <w:szCs w:val="28"/>
        </w:rPr>
      </w:pPr>
      <w:r>
        <w:rPr>
          <w:rFonts w:ascii="仿宋" w:hAnsi="仿宋" w:eastAsia="仿宋" w:cs="宋体"/>
          <w:color w:val="auto"/>
          <w:sz w:val="28"/>
          <w:szCs w:val="28"/>
        </w:rPr>
        <w:t>2.采购代理机构信息</w:t>
      </w:r>
    </w:p>
    <w:p>
      <w:pPr>
        <w:pStyle w:val="16"/>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420"/>
        <w:textAlignment w:val="auto"/>
        <w:rPr>
          <w:rFonts w:ascii="仿宋" w:hAnsi="仿宋" w:eastAsia="仿宋" w:cs="仿宋"/>
          <w:color w:val="auto"/>
          <w:sz w:val="28"/>
          <w:szCs w:val="28"/>
        </w:rPr>
      </w:pPr>
      <w:r>
        <w:rPr>
          <w:rFonts w:hint="eastAsia" w:ascii="仿宋" w:hAnsi="仿宋" w:eastAsia="仿宋" w:cs="仿宋"/>
          <w:color w:val="auto"/>
          <w:sz w:val="28"/>
          <w:szCs w:val="28"/>
        </w:rPr>
        <w:t>名 称：中环建（北京）工程管理有限公司</w:t>
      </w:r>
    </w:p>
    <w:p>
      <w:pPr>
        <w:pStyle w:val="16"/>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420"/>
        <w:textAlignment w:val="auto"/>
        <w:rPr>
          <w:rFonts w:ascii="仿宋" w:hAnsi="仿宋" w:eastAsia="仿宋" w:cs="仿宋"/>
          <w:color w:val="auto"/>
          <w:sz w:val="28"/>
          <w:szCs w:val="28"/>
        </w:rPr>
      </w:pPr>
      <w:r>
        <w:rPr>
          <w:rFonts w:hint="eastAsia" w:ascii="仿宋" w:hAnsi="仿宋" w:eastAsia="仿宋" w:cs="仿宋"/>
          <w:color w:val="auto"/>
          <w:sz w:val="28"/>
          <w:szCs w:val="28"/>
        </w:rPr>
        <w:t>联系方式：0999-8988777</w:t>
      </w:r>
    </w:p>
    <w:p>
      <w:pPr>
        <w:pStyle w:val="16"/>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3.项目联系方式</w:t>
      </w:r>
    </w:p>
    <w:p>
      <w:pPr>
        <w:pStyle w:val="16"/>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420"/>
        <w:textAlignment w:val="auto"/>
        <w:rPr>
          <w:rStyle w:val="23"/>
          <w:rFonts w:hint="eastAsia" w:ascii="仿宋" w:hAnsi="仿宋" w:eastAsia="仿宋" w:cs="仿宋"/>
          <w:color w:val="auto"/>
          <w:sz w:val="28"/>
          <w:szCs w:val="28"/>
          <w:lang w:eastAsia="zh-CN"/>
        </w:rPr>
      </w:pPr>
      <w:r>
        <w:rPr>
          <w:rFonts w:hint="eastAsia" w:ascii="仿宋" w:hAnsi="仿宋" w:eastAsia="仿宋" w:cs="仿宋"/>
          <w:color w:val="auto"/>
          <w:sz w:val="28"/>
          <w:szCs w:val="28"/>
        </w:rPr>
        <w:t>项目联系人：</w:t>
      </w:r>
      <w:r>
        <w:rPr>
          <w:rStyle w:val="23"/>
          <w:rFonts w:hint="eastAsia" w:ascii="仿宋" w:hAnsi="仿宋" w:eastAsia="仿宋" w:cs="仿宋"/>
          <w:color w:val="auto"/>
          <w:sz w:val="28"/>
          <w:szCs w:val="28"/>
          <w:lang w:eastAsia="zh-CN"/>
        </w:rPr>
        <w:t>张磊</w:t>
      </w:r>
    </w:p>
    <w:p>
      <w:pPr>
        <w:pStyle w:val="16"/>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420"/>
        <w:textAlignment w:val="auto"/>
        <w:rPr>
          <w:rFonts w:hint="eastAsia" w:asciiTheme="minorEastAsia" w:hAnsiTheme="minorEastAsia" w:eastAsiaTheme="minorEastAsia" w:cstheme="minorEastAsia"/>
          <w:sz w:val="32"/>
          <w:szCs w:val="32"/>
        </w:rPr>
      </w:pPr>
      <w:r>
        <w:rPr>
          <w:rStyle w:val="23"/>
          <w:rFonts w:hint="eastAsia" w:ascii="仿宋" w:hAnsi="仿宋" w:eastAsia="仿宋" w:cs="仿宋"/>
          <w:color w:val="auto"/>
          <w:sz w:val="28"/>
          <w:szCs w:val="28"/>
          <w:lang w:val="en-US" w:eastAsia="zh-CN"/>
        </w:rPr>
        <w:t>电话：</w:t>
      </w:r>
      <w:r>
        <w:rPr>
          <w:rStyle w:val="23"/>
          <w:rFonts w:hint="eastAsia" w:ascii="仿宋" w:hAnsi="仿宋" w:eastAsia="仿宋" w:cs="仿宋"/>
          <w:color w:val="auto"/>
          <w:sz w:val="28"/>
          <w:szCs w:val="28"/>
        </w:rPr>
        <w:t>0999-8988777</w:t>
      </w:r>
    </w:p>
    <w:p>
      <w:pPr>
        <w:pStyle w:val="3"/>
        <w:keepNext/>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第二部分  供应商须知</w:t>
      </w:r>
    </w:p>
    <w:p>
      <w:pPr>
        <w:pStyle w:val="4"/>
        <w:keepNext/>
        <w:pageBreakBefore w:val="0"/>
        <w:widowControl w:val="0"/>
        <w:kinsoku/>
        <w:wordWrap/>
        <w:overflowPunct/>
        <w:topLinePunct w:val="0"/>
        <w:autoSpaceDE/>
        <w:autoSpaceDN/>
        <w:bidi w:val="0"/>
        <w:adjustRightInd/>
        <w:snapToGrid/>
        <w:spacing w:before="0" w:after="100" w:afterAutospacing="1" w:line="240" w:lineRule="auto"/>
        <w:ind w:firstLine="3935" w:firstLineChars="1400"/>
        <w:jc w:val="both"/>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供应商须知附表</w:t>
      </w:r>
    </w:p>
    <w:bookmarkEnd w:id="4"/>
    <w:bookmarkEnd w:id="5"/>
    <w:bookmarkEnd w:id="6"/>
    <w:bookmarkEnd w:id="7"/>
    <w:bookmarkEnd w:id="8"/>
    <w:p>
      <w:pPr>
        <w:pStyle w:val="4"/>
        <w:keepNext/>
        <w:pageBreakBefore w:val="0"/>
        <w:widowControl w:val="0"/>
        <w:kinsoku/>
        <w:wordWrap/>
        <w:overflowPunct/>
        <w:topLinePunct w:val="0"/>
        <w:autoSpaceDE/>
        <w:autoSpaceDN/>
        <w:bidi w:val="0"/>
        <w:adjustRightInd/>
        <w:snapToGrid/>
        <w:spacing w:before="0" w:after="100" w:afterAutospacing="1" w:line="240" w:lineRule="auto"/>
        <w:jc w:val="both"/>
        <w:textAlignment w:val="auto"/>
        <w:rPr>
          <w:rFonts w:asciiTheme="minorEastAsia" w:hAnsiTheme="minorEastAsia" w:eastAsiaTheme="minorEastAsia" w:cstheme="minorEastAsia"/>
          <w:sz w:val="28"/>
          <w:szCs w:val="28"/>
        </w:rPr>
      </w:pPr>
    </w:p>
    <w:tbl>
      <w:tblPr>
        <w:tblStyle w:val="20"/>
        <w:tblW w:w="10485" w:type="dxa"/>
        <w:tblInd w:w="-2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755"/>
        <w:gridCol w:w="7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b/>
                <w:szCs w:val="21"/>
              </w:rPr>
              <w:t>条款号</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b/>
                <w:szCs w:val="21"/>
              </w:rPr>
              <w:t>条款名称</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b/>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第1.1款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招标项目</w:t>
            </w:r>
          </w:p>
        </w:tc>
        <w:tc>
          <w:tcPr>
            <w:tcW w:w="7500" w:type="dxa"/>
            <w:vAlign w:val="center"/>
          </w:tcPr>
          <w:p>
            <w:pPr>
              <w:pStyle w:val="18"/>
              <w:keepNext w:val="0"/>
              <w:keepLines w:val="0"/>
              <w:pageBreakBefore w:val="0"/>
              <w:kinsoku/>
              <w:wordWrap/>
              <w:overflowPunct/>
              <w:topLinePunct w:val="0"/>
              <w:autoSpaceDE/>
              <w:autoSpaceDN/>
              <w:bidi w:val="0"/>
              <w:spacing w:line="320" w:lineRule="exact"/>
              <w:ind w:firstLine="0" w:firstLineChars="0"/>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项目名称：伊犁州伊宁市校园运动场、足球场建设项目（英也尔镇界梁子小学）</w:t>
            </w:r>
          </w:p>
          <w:p>
            <w:pPr>
              <w:pStyle w:val="18"/>
              <w:keepNext w:val="0"/>
              <w:keepLines w:val="0"/>
              <w:pageBreakBefore w:val="0"/>
              <w:kinsoku/>
              <w:wordWrap/>
              <w:overflowPunct/>
              <w:topLinePunct w:val="0"/>
              <w:autoSpaceDE/>
              <w:autoSpaceDN/>
              <w:bidi w:val="0"/>
              <w:spacing w:line="320" w:lineRule="exact"/>
              <w:ind w:firstLine="0" w:firstLineChars="0"/>
              <w:textAlignment w:val="auto"/>
              <w:rPr>
                <w:rFonts w:hint="default" w:ascii="Times New Roman" w:hAnsi="Times New Roman"/>
                <w:lang w:val="en-US"/>
              </w:rPr>
            </w:pPr>
            <w:r>
              <w:rPr>
                <w:rFonts w:hint="eastAsia" w:ascii="Times New Roman" w:hAnsi="Times New Roman" w:eastAsiaTheme="minorEastAsia"/>
                <w:sz w:val="21"/>
                <w:szCs w:val="21"/>
                <w:lang w:val="en-US" w:eastAsia="zh-CN"/>
              </w:rPr>
              <w:t>项目</w:t>
            </w:r>
            <w:r>
              <w:rPr>
                <w:rFonts w:ascii="Times New Roman" w:hAnsi="Times New Roman" w:eastAsiaTheme="minorEastAsia"/>
                <w:sz w:val="21"/>
                <w:szCs w:val="21"/>
              </w:rPr>
              <w:t>编号</w:t>
            </w:r>
            <w:r>
              <w:rPr>
                <w:rFonts w:ascii="Times New Roman" w:hAnsi="Times New Roman"/>
                <w:sz w:val="21"/>
                <w:szCs w:val="22"/>
              </w:rPr>
              <w:t>：</w:t>
            </w:r>
            <w:r>
              <w:rPr>
                <w:rFonts w:hint="eastAsia" w:ascii="Times New Roman" w:hAnsi="Times New Roman"/>
                <w:sz w:val="21"/>
                <w:szCs w:val="22"/>
              </w:rPr>
              <w:t>ZHJ-JZX</w:t>
            </w:r>
            <w:r>
              <w:rPr>
                <w:rFonts w:hint="eastAsia" w:ascii="Times New Roman" w:hAnsi="Times New Roman"/>
                <w:sz w:val="21"/>
                <w:szCs w:val="22"/>
                <w:lang w:val="en-US" w:eastAsia="zh-CN"/>
              </w:rPr>
              <w:t>CS</w:t>
            </w:r>
            <w:r>
              <w:rPr>
                <w:rFonts w:hint="eastAsia" w:ascii="Times New Roman" w:hAnsi="Times New Roman"/>
                <w:sz w:val="21"/>
                <w:szCs w:val="22"/>
              </w:rPr>
              <w:t>-202</w:t>
            </w:r>
            <w:r>
              <w:rPr>
                <w:rFonts w:hint="eastAsia" w:ascii="Times New Roman" w:hAnsi="Times New Roman"/>
                <w:sz w:val="21"/>
                <w:szCs w:val="22"/>
                <w:lang w:val="en-US" w:eastAsia="zh-CN"/>
              </w:rP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第1.2款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招标范围</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sz w:val="24"/>
              </w:rPr>
            </w:pPr>
            <w:r>
              <w:rPr>
                <w:rFonts w:eastAsiaTheme="minorEastAsia"/>
                <w:szCs w:val="21"/>
              </w:rPr>
              <w:t>招标文件、施工图纸、工程量清单、答疑所示范围内全部内容。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第1.3款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项目地点</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eastAsia" w:eastAsiaTheme="minorEastAsia"/>
                <w:szCs w:val="21"/>
                <w:lang w:val="en-US" w:eastAsia="zh-CN"/>
              </w:rPr>
            </w:pPr>
            <w:r>
              <w:rPr>
                <w:rFonts w:hint="eastAsia" w:eastAsiaTheme="minorEastAsia"/>
                <w:szCs w:val="21"/>
                <w:lang w:val="en-US" w:eastAsia="zh-CN"/>
              </w:rPr>
              <w:t>伊宁市</w:t>
            </w:r>
            <w:r>
              <w:rPr>
                <w:rFonts w:hint="eastAsia" w:ascii="Times New Roman" w:hAnsi="Times New Roman" w:cs="Times New Roman" w:eastAsiaTheme="minorEastAsia"/>
                <w:kern w:val="2"/>
                <w:sz w:val="21"/>
                <w:szCs w:val="21"/>
                <w:lang w:val="en-US" w:eastAsia="zh-CN" w:bidi="ar-SA"/>
              </w:rPr>
              <w:t>英也尔镇界梁子小学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第1.4款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招标方式</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第1.5款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工期、质量等级</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eastAsia" w:eastAsiaTheme="minorEastAsia"/>
                <w:szCs w:val="21"/>
              </w:rPr>
            </w:pPr>
            <w:r>
              <w:rPr>
                <w:rFonts w:hint="eastAsia" w:eastAsiaTheme="minorEastAsia"/>
                <w:szCs w:val="21"/>
              </w:rPr>
              <w:t>计划开竣工工期：</w:t>
            </w:r>
            <w:r>
              <w:rPr>
                <w:rFonts w:hint="eastAsia" w:eastAsiaTheme="minorEastAsia"/>
                <w:szCs w:val="21"/>
                <w:lang w:val="en-US" w:eastAsia="zh-CN"/>
              </w:rPr>
              <w:t>2022年12月08日—2023年03月07日，总工期：90（日历日）</w:t>
            </w:r>
            <w:r>
              <w:rPr>
                <w:rFonts w:hint="eastAsia" w:eastAsiaTheme="minorEastAsia"/>
                <w:szCs w:val="21"/>
                <w:lang w:eastAsia="zh-CN"/>
              </w:rPr>
              <w:t>。</w:t>
            </w:r>
          </w:p>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质量等级：合格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第2.1款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招标人</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default" w:eastAsiaTheme="minorEastAsia"/>
                <w:szCs w:val="21"/>
                <w:lang w:val="en-US" w:eastAsia="zh-CN"/>
              </w:rPr>
            </w:pPr>
            <w:r>
              <w:rPr>
                <w:rFonts w:eastAsiaTheme="minorEastAsia"/>
                <w:szCs w:val="21"/>
              </w:rPr>
              <w:t>名称：</w:t>
            </w:r>
            <w:r>
              <w:rPr>
                <w:rFonts w:hint="eastAsia" w:eastAsiaTheme="minorEastAsia"/>
                <w:szCs w:val="21"/>
                <w:lang w:val="en-US" w:eastAsia="zh-CN"/>
              </w:rPr>
              <w:t>伊宁市教育局</w:t>
            </w:r>
          </w:p>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eastAsia" w:eastAsiaTheme="minorEastAsia"/>
                <w:szCs w:val="21"/>
                <w:lang w:val="en-US" w:eastAsia="zh-CN"/>
              </w:rPr>
            </w:pPr>
            <w:r>
              <w:rPr>
                <w:rFonts w:eastAsiaTheme="minorEastAsia"/>
                <w:szCs w:val="21"/>
              </w:rPr>
              <w:t>联系人：</w:t>
            </w:r>
            <w:r>
              <w:rPr>
                <w:rFonts w:hint="eastAsia" w:eastAsiaTheme="minorEastAsia"/>
                <w:szCs w:val="21"/>
                <w:lang w:val="en-US" w:eastAsia="zh-CN"/>
              </w:rPr>
              <w:t xml:space="preserve">万斌           </w:t>
            </w:r>
          </w:p>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default" w:eastAsiaTheme="minorEastAsia"/>
                <w:szCs w:val="21"/>
                <w:lang w:val="en-US" w:eastAsia="zh-CN"/>
              </w:rPr>
            </w:pPr>
            <w:r>
              <w:rPr>
                <w:rFonts w:eastAsiaTheme="minorEastAsia"/>
                <w:szCs w:val="21"/>
              </w:rPr>
              <w:t>联系电话：</w:t>
            </w:r>
            <w:r>
              <w:rPr>
                <w:rFonts w:hint="eastAsia" w:eastAsiaTheme="minorEastAsia"/>
                <w:szCs w:val="21"/>
                <w:lang w:val="en-US" w:eastAsia="zh-CN"/>
              </w:rPr>
              <w:t xml:space="preserve">18999572926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第2.2款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招标代理机构</w:t>
            </w:r>
          </w:p>
        </w:tc>
        <w:tc>
          <w:tcPr>
            <w:tcW w:w="7500" w:type="dxa"/>
            <w:vAlign w:val="center"/>
          </w:tcPr>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名称：</w:t>
            </w:r>
            <w:r>
              <w:rPr>
                <w:rFonts w:hint="eastAsia" w:ascii="Times New Roman" w:hAnsi="Times New Roman" w:cs="Times New Roman" w:eastAsiaTheme="minorEastAsia"/>
                <w:kern w:val="2"/>
                <w:sz w:val="21"/>
                <w:szCs w:val="21"/>
                <w:lang w:val="zh-CN" w:eastAsia="zh-CN"/>
              </w:rPr>
              <w:t>中环建（北京）工程管理</w:t>
            </w:r>
            <w:r>
              <w:rPr>
                <w:rFonts w:hint="eastAsia" w:ascii="Times New Roman" w:hAnsi="Times New Roman" w:cs="Times New Roman" w:eastAsiaTheme="minorEastAsia"/>
                <w:kern w:val="2"/>
                <w:sz w:val="21"/>
                <w:szCs w:val="21"/>
                <w:lang w:val="zh-CN"/>
              </w:rPr>
              <w:t>有限公司</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地址：</w:t>
            </w:r>
            <w:r>
              <w:rPr>
                <w:rFonts w:hint="eastAsia" w:ascii="Times New Roman" w:hAnsi="Times New Roman" w:cs="Times New Roman" w:eastAsiaTheme="minorEastAsia"/>
                <w:kern w:val="2"/>
                <w:sz w:val="21"/>
                <w:szCs w:val="21"/>
              </w:rPr>
              <w:t>伊宁市开发区辽宁路105号</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联 系 人：</w:t>
            </w:r>
            <w:r>
              <w:rPr>
                <w:rFonts w:hint="eastAsia" w:ascii="Times New Roman" w:hAnsi="Times New Roman" w:cs="Times New Roman" w:eastAsiaTheme="minorEastAsia"/>
                <w:kern w:val="2"/>
                <w:sz w:val="21"/>
                <w:szCs w:val="21"/>
                <w:lang w:eastAsia="zh-CN"/>
              </w:rPr>
              <w:t>张磊</w:t>
            </w:r>
            <w:r>
              <w:rPr>
                <w:rFonts w:hint="eastAsia" w:ascii="Times New Roman" w:hAnsi="Times New Roman" w:cs="Times New Roman" w:eastAsiaTheme="minorEastAsia"/>
                <w:kern w:val="2"/>
                <w:sz w:val="21"/>
                <w:szCs w:val="21"/>
                <w:lang w:val="en-US" w:eastAsia="zh-CN"/>
              </w:rPr>
              <w:t xml:space="preserve">      联系</w:t>
            </w:r>
            <w:r>
              <w:rPr>
                <w:rFonts w:ascii="Times New Roman" w:hAnsi="Times New Roman" w:cs="Times New Roman" w:eastAsiaTheme="minorEastAsia"/>
                <w:kern w:val="2"/>
                <w:sz w:val="21"/>
                <w:szCs w:val="21"/>
              </w:rPr>
              <w:t>电 话：</w:t>
            </w:r>
            <w:r>
              <w:rPr>
                <w:rFonts w:hint="eastAsia" w:ascii="Times New Roman" w:hAnsi="Times New Roman" w:cs="Times New Roman" w:eastAsiaTheme="minorEastAsia"/>
                <w:kern w:val="2"/>
                <w:sz w:val="21"/>
                <w:szCs w:val="21"/>
                <w:lang w:val="zh-CN"/>
              </w:rPr>
              <w:t>0</w:t>
            </w:r>
            <w:r>
              <w:rPr>
                <w:rFonts w:hint="eastAsia" w:ascii="Times New Roman" w:hAnsi="Times New Roman" w:cs="Times New Roman" w:eastAsiaTheme="minorEastAsia"/>
                <w:kern w:val="2"/>
                <w:sz w:val="21"/>
                <w:szCs w:val="21"/>
                <w:lang w:val="en-US" w:eastAsia="zh-CN"/>
              </w:rPr>
              <w:t>999</w:t>
            </w:r>
            <w:r>
              <w:rPr>
                <w:rFonts w:hint="eastAsia" w:ascii="Times New Roman" w:hAnsi="Times New Roman" w:cs="Times New Roman" w:eastAsiaTheme="minorEastAsia"/>
                <w:kern w:val="2"/>
                <w:sz w:val="21"/>
                <w:szCs w:val="21"/>
                <w:lang w:val="zh-CN"/>
              </w:rPr>
              <w:t>-</w:t>
            </w:r>
            <w:r>
              <w:rPr>
                <w:rFonts w:hint="eastAsia" w:ascii="Times New Roman" w:hAnsi="Times New Roman" w:cs="Times New Roman" w:eastAsiaTheme="minorEastAsia"/>
                <w:kern w:val="2"/>
                <w:sz w:val="21"/>
                <w:szCs w:val="21"/>
                <w:lang w:val="en-US" w:eastAsia="zh-CN"/>
              </w:rPr>
              <w:t>8988</w:t>
            </w:r>
            <w:r>
              <w:rPr>
                <w:rFonts w:hint="eastAsia" w:ascii="Times New Roman" w:hAnsi="Times New Roman" w:cs="Times New Roman" w:eastAsiaTheme="minorEastAsia"/>
                <w:kern w:val="2"/>
                <w:sz w:val="21"/>
                <w:szCs w:val="21"/>
                <w:lang w:val="zh-CN"/>
              </w:rPr>
              <w:t>77</w:t>
            </w:r>
            <w:r>
              <w:rPr>
                <w:rFonts w:hint="eastAsia" w:ascii="Times New Roman" w:hAnsi="Times New Roman" w:cs="Times New Roman" w:eastAsiaTheme="minorEastAsia"/>
                <w:kern w:val="2"/>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第3.1款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bCs/>
                <w:szCs w:val="21"/>
              </w:rPr>
              <w:t>参谈单位</w:t>
            </w:r>
            <w:r>
              <w:rPr>
                <w:rFonts w:eastAsiaTheme="minorEastAsia"/>
                <w:szCs w:val="21"/>
              </w:rPr>
              <w:t>资格条件</w:t>
            </w:r>
          </w:p>
        </w:tc>
        <w:tc>
          <w:tcPr>
            <w:tcW w:w="7500" w:type="dxa"/>
            <w:vAlign w:val="center"/>
          </w:tcPr>
          <w:p>
            <w:pPr>
              <w:pStyle w:val="16"/>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zh-CN"/>
              </w:rPr>
            </w:pPr>
            <w:r>
              <w:rPr>
                <w:rFonts w:hint="eastAsia" w:ascii="Times New Roman" w:hAnsi="Times New Roman" w:cs="Times New Roman" w:eastAsiaTheme="minorEastAsia"/>
                <w:bCs/>
                <w:kern w:val="2"/>
                <w:sz w:val="21"/>
                <w:szCs w:val="21"/>
                <w:lang w:val="zh-CN"/>
              </w:rPr>
              <w:t>1、投标</w:t>
            </w:r>
            <w:r>
              <w:rPr>
                <w:rFonts w:hint="eastAsia" w:ascii="Times New Roman" w:hAnsi="Times New Roman" w:cs="Times New Roman" w:eastAsiaTheme="minorEastAsia"/>
                <w:bCs/>
                <w:kern w:val="2"/>
                <w:sz w:val="21"/>
                <w:szCs w:val="21"/>
                <w:lang w:val="zh-CN" w:eastAsia="zh-CN"/>
              </w:rPr>
              <w:t>人</w:t>
            </w:r>
            <w:r>
              <w:rPr>
                <w:rFonts w:hint="eastAsia" w:ascii="Times New Roman" w:hAnsi="Times New Roman" w:cs="Times New Roman" w:eastAsiaTheme="minorEastAsia"/>
                <w:bCs/>
                <w:kern w:val="2"/>
                <w:sz w:val="21"/>
                <w:szCs w:val="21"/>
                <w:lang w:val="zh-CN"/>
              </w:rPr>
              <w:t>必须符合《政府采购法》第22条规定；</w:t>
            </w:r>
          </w:p>
          <w:p>
            <w:pPr>
              <w:pStyle w:val="16"/>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zh-CN" w:eastAsia="zh-CN"/>
              </w:rPr>
            </w:pPr>
            <w:r>
              <w:rPr>
                <w:rFonts w:hint="eastAsia" w:ascii="Times New Roman" w:hAnsi="Times New Roman" w:cs="Times New Roman" w:eastAsiaTheme="minorEastAsia"/>
                <w:bCs/>
                <w:kern w:val="2"/>
                <w:sz w:val="21"/>
                <w:szCs w:val="21"/>
                <w:lang w:val="zh-CN"/>
              </w:rPr>
              <w:t>2、具备独立企业法人资格</w:t>
            </w:r>
            <w:r>
              <w:rPr>
                <w:rFonts w:hint="eastAsia" w:ascii="Times New Roman" w:hAnsi="Times New Roman" w:cs="Times New Roman" w:eastAsiaTheme="minorEastAsia"/>
                <w:bCs/>
                <w:kern w:val="2"/>
                <w:sz w:val="21"/>
                <w:szCs w:val="21"/>
                <w:lang w:val="zh-CN" w:eastAsia="zh-CN"/>
              </w:rPr>
              <w:t>；</w:t>
            </w:r>
          </w:p>
          <w:p>
            <w:pPr>
              <w:pStyle w:val="16"/>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zh-CN" w:eastAsia="zh-CN"/>
              </w:rPr>
            </w:pPr>
            <w:r>
              <w:rPr>
                <w:rFonts w:hint="eastAsia" w:ascii="Times New Roman" w:hAnsi="Times New Roman" w:cs="Times New Roman" w:eastAsiaTheme="minorEastAsia"/>
                <w:bCs/>
                <w:kern w:val="2"/>
                <w:sz w:val="21"/>
                <w:szCs w:val="21"/>
                <w:lang w:val="en-US" w:eastAsia="zh-CN"/>
              </w:rPr>
              <w:t>3、</w:t>
            </w:r>
            <w:r>
              <w:rPr>
                <w:rFonts w:hint="eastAsia" w:ascii="Times New Roman" w:hAnsi="Times New Roman" w:cs="Times New Roman" w:eastAsiaTheme="minorEastAsia"/>
                <w:bCs/>
                <w:kern w:val="2"/>
                <w:sz w:val="21"/>
                <w:szCs w:val="21"/>
              </w:rPr>
              <w:t>投标企业须具备</w:t>
            </w:r>
            <w:r>
              <w:rPr>
                <w:rFonts w:hint="eastAsia" w:ascii="Times New Roman" w:hAnsi="Times New Roman" w:cs="Times New Roman" w:eastAsiaTheme="minorEastAsia"/>
                <w:bCs/>
                <w:kern w:val="2"/>
                <w:sz w:val="21"/>
                <w:szCs w:val="21"/>
                <w:lang w:val="en-US" w:eastAsia="zh-CN"/>
              </w:rPr>
              <w:t>[施工总承包·市政公用工程·市政公用工程叁级] （含叁级）以上资质；</w:t>
            </w:r>
          </w:p>
          <w:p>
            <w:pPr>
              <w:pStyle w:val="16"/>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zh-CN" w:eastAsia="zh-CN"/>
              </w:rPr>
            </w:pPr>
            <w:r>
              <w:rPr>
                <w:rFonts w:hint="eastAsia" w:ascii="Times New Roman" w:hAnsi="Times New Roman" w:cs="Times New Roman" w:eastAsiaTheme="minorEastAsia"/>
                <w:bCs/>
                <w:kern w:val="2"/>
                <w:sz w:val="21"/>
                <w:szCs w:val="21"/>
                <w:lang w:val="en-US" w:eastAsia="zh-CN"/>
              </w:rPr>
              <w:t>4、项目负责人：须具备市政公用工程专业二级注册建造师执业资格，具备有效的安全生产考核合格证书，且未担任其他在建工程。</w:t>
            </w:r>
          </w:p>
          <w:p>
            <w:pPr>
              <w:pStyle w:val="16"/>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en-US" w:eastAsia="zh-CN"/>
              </w:rPr>
            </w:pPr>
            <w:r>
              <w:rPr>
                <w:rFonts w:hint="eastAsia" w:ascii="Times New Roman" w:hAnsi="Times New Roman" w:cs="Times New Roman" w:eastAsiaTheme="minorEastAsia"/>
                <w:bCs/>
                <w:kern w:val="2"/>
                <w:sz w:val="21"/>
                <w:szCs w:val="21"/>
                <w:lang w:val="en-US" w:eastAsia="zh-CN"/>
              </w:rPr>
              <w:t>5、参加本次活动前三年内，在经营活动中没有重大违法违规记录和安全事故记录；</w:t>
            </w:r>
          </w:p>
          <w:p>
            <w:pPr>
              <w:pStyle w:val="16"/>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en-US" w:eastAsia="zh-CN"/>
              </w:rPr>
            </w:pPr>
            <w:r>
              <w:rPr>
                <w:rFonts w:hint="eastAsia" w:ascii="Times New Roman" w:hAnsi="Times New Roman" w:cs="Times New Roman" w:eastAsiaTheme="minorEastAsia"/>
                <w:bCs/>
                <w:kern w:val="2"/>
                <w:sz w:val="21"/>
                <w:szCs w:val="21"/>
                <w:lang w:val="en-US" w:eastAsia="zh-CN"/>
              </w:rPr>
              <w:t>6、在“信用中国”及“中国政府采购网”上未被列入失信被执行人、重大税收违法案件当事人名单以及政府采购严重违法失信行为记录名单；</w:t>
            </w:r>
          </w:p>
          <w:p>
            <w:pPr>
              <w:pStyle w:val="16"/>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en-US" w:eastAsia="zh-CN"/>
              </w:rPr>
            </w:pPr>
            <w:r>
              <w:rPr>
                <w:rFonts w:hint="eastAsia" w:ascii="Times New Roman" w:hAnsi="Times New Roman" w:cs="Times New Roman" w:eastAsiaTheme="minorEastAsia"/>
                <w:bCs/>
                <w:kern w:val="2"/>
                <w:sz w:val="21"/>
                <w:szCs w:val="21"/>
                <w:lang w:val="en-US" w:eastAsia="zh-CN"/>
              </w:rPr>
              <w:t>7、单位负责人为同一人或者存在直接控股、管理关系的不同供应商，不得参加同一合同项下的政府采购活动；</w:t>
            </w:r>
          </w:p>
          <w:p>
            <w:pPr>
              <w:pStyle w:val="16"/>
              <w:keepNext w:val="0"/>
              <w:keepLines w:val="0"/>
              <w:pageBreakBefore w:val="0"/>
              <w:kinsoku/>
              <w:wordWrap/>
              <w:overflowPunct/>
              <w:topLinePunct w:val="0"/>
              <w:autoSpaceDE/>
              <w:autoSpaceDN/>
              <w:bidi w:val="0"/>
              <w:spacing w:before="0" w:beforeAutospacing="0" w:after="0" w:afterAutospacing="0" w:line="320" w:lineRule="exact"/>
              <w:textAlignment w:val="auto"/>
              <w:rPr>
                <w:rFonts w:ascii="Times New Roman" w:hAnsi="Times New Roman" w:cs="Times New Roman" w:eastAsiaTheme="minorEastAsia"/>
                <w:bCs/>
                <w:kern w:val="2"/>
                <w:sz w:val="21"/>
                <w:szCs w:val="21"/>
              </w:rPr>
            </w:pPr>
            <w:r>
              <w:rPr>
                <w:rFonts w:hint="eastAsia" w:ascii="Times New Roman" w:hAnsi="Times New Roman" w:cs="Times New Roman" w:eastAsiaTheme="minorEastAsia"/>
                <w:bCs/>
                <w:kern w:val="2"/>
                <w:sz w:val="21"/>
                <w:szCs w:val="21"/>
                <w:lang w:val="en-US" w:eastAsia="zh-CN"/>
              </w:rPr>
              <w:t>8、</w:t>
            </w:r>
            <w:r>
              <w:rPr>
                <w:rFonts w:hint="eastAsia" w:ascii="Times New Roman" w:hAnsi="Times New Roman" w:cs="Times New Roman" w:eastAsiaTheme="minorEastAsia"/>
                <w:bCs/>
                <w:kern w:val="2"/>
                <w:sz w:val="21"/>
                <w:szCs w:val="21"/>
                <w:lang w:val="zh-CN"/>
              </w:rPr>
              <w:t>外省</w:t>
            </w:r>
            <w:r>
              <w:rPr>
                <w:rFonts w:hint="eastAsia" w:ascii="Times New Roman" w:hAnsi="Times New Roman" w:cs="Times New Roman" w:eastAsiaTheme="minorEastAsia"/>
                <w:bCs/>
                <w:kern w:val="2"/>
                <w:sz w:val="21"/>
                <w:szCs w:val="21"/>
                <w:lang w:val="en-US" w:eastAsia="zh-CN"/>
              </w:rPr>
              <w:t>施工</w:t>
            </w:r>
            <w:r>
              <w:rPr>
                <w:rFonts w:hint="eastAsia" w:ascii="Times New Roman" w:hAnsi="Times New Roman" w:cs="Times New Roman" w:eastAsiaTheme="minorEastAsia"/>
                <w:bCs/>
                <w:kern w:val="2"/>
                <w:sz w:val="21"/>
                <w:szCs w:val="21"/>
                <w:lang w:val="zh-CN"/>
              </w:rPr>
              <w:t>企业已办理进疆备案</w:t>
            </w:r>
            <w:r>
              <w:rPr>
                <w:rFonts w:hint="eastAsia" w:ascii="Times New Roman" w:hAnsi="Times New Roman" w:cs="Times New Roman" w:eastAsiaTheme="minorEastAsia"/>
                <w:bCs/>
                <w:kern w:val="2"/>
                <w:sz w:val="21"/>
                <w:szCs w:val="21"/>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第4.1款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联合体形式</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第4.1.1款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对联合体各方的要求</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第5.1款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现场勘察</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第6.1款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分包</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第10.3款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hint="eastAsia" w:eastAsiaTheme="minorEastAsia"/>
                <w:szCs w:val="21"/>
                <w:lang w:val="en-US" w:eastAsia="zh-CN"/>
              </w:rPr>
              <w:t>磋商</w:t>
            </w:r>
            <w:r>
              <w:rPr>
                <w:rFonts w:eastAsiaTheme="minorEastAsia"/>
                <w:szCs w:val="21"/>
              </w:rPr>
              <w:t>文件的可能实质性变动内容</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eastAsiaTheme="minorEastAsia"/>
                <w:szCs w:val="21"/>
              </w:rPr>
            </w:pPr>
            <w:r>
              <w:rPr>
                <w:rFonts w:eastAsiaTheme="minorEastAsia"/>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第17.1款</w:t>
            </w:r>
          </w:p>
        </w:tc>
        <w:tc>
          <w:tcPr>
            <w:tcW w:w="1755" w:type="dxa"/>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rPr>
            </w:pPr>
            <w:r>
              <w:rPr>
                <w:rFonts w:hint="eastAsia" w:ascii="Times New Roman" w:hAnsi="Times New Roman" w:cs="Times New Roman"/>
              </w:rPr>
              <w:t>投标保证金</w:t>
            </w:r>
          </w:p>
        </w:tc>
        <w:tc>
          <w:tcPr>
            <w:tcW w:w="7500" w:type="dxa"/>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default" w:ascii="Times New Roman" w:hAnsi="Times New Roman" w:cs="Times New Roman"/>
                <w:lang w:val="en-US" w:eastAsia="zh-CN"/>
              </w:rPr>
            </w:pPr>
            <w:r>
              <w:rPr>
                <w:rFonts w:hint="eastAsia" w:ascii="Times New Roman" w:hAnsi="Times New Roman" w:cs="Times New Roman"/>
              </w:rPr>
              <w:t>投标保证金的形式：保险保函或从投标人基本账户以银行电汇或网银形式汇至</w:t>
            </w:r>
            <w:r>
              <w:rPr>
                <w:rFonts w:hint="eastAsia" w:ascii="Times New Roman" w:hAnsi="Times New Roman" w:cs="Times New Roman"/>
                <w:lang w:val="en-US" w:eastAsia="zh-CN"/>
              </w:rPr>
              <w:t>以下基本账户</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lang w:eastAsia="zh-CN"/>
              </w:rPr>
            </w:pPr>
            <w:r>
              <w:rPr>
                <w:rFonts w:hint="eastAsia" w:ascii="Times New Roman" w:hAnsi="Times New Roman" w:cs="Times New Roman"/>
              </w:rPr>
              <w:t>1、投标人以</w:t>
            </w:r>
            <w:r>
              <w:rPr>
                <w:rFonts w:hint="eastAsia" w:ascii="Times New Roman" w:hAnsi="Times New Roman" w:cs="Times New Roman"/>
                <w:lang w:val="en-US" w:eastAsia="zh-CN"/>
              </w:rPr>
              <w:t>网银</w:t>
            </w:r>
            <w:r>
              <w:rPr>
                <w:rFonts w:hint="eastAsia" w:ascii="Times New Roman" w:hAnsi="Times New Roman" w:cs="Times New Roman"/>
                <w:lang w:eastAsia="zh-CN"/>
              </w:rPr>
              <w:t>转账或</w:t>
            </w:r>
            <w:r>
              <w:rPr>
                <w:rFonts w:hint="eastAsia" w:ascii="Times New Roman" w:hAnsi="Times New Roman" w:cs="Times New Roman"/>
              </w:rPr>
              <w:t>电汇形式从其基本账户转至招标人指定账户（不得为个人账户）。投标保证金必须以投标人名义交纳。金额以到帐为准。</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lang w:eastAsia="zh-CN"/>
              </w:rPr>
            </w:pPr>
            <w:r>
              <w:rPr>
                <w:rFonts w:hint="eastAsia" w:ascii="Times New Roman" w:hAnsi="Times New Roman" w:cs="Times New Roman"/>
              </w:rPr>
              <w:t>投标保证金的金额：</w:t>
            </w:r>
            <w:r>
              <w:rPr>
                <w:rFonts w:hint="eastAsia" w:cs="Times New Roman"/>
                <w:b/>
                <w:bCs/>
                <w:highlight w:val="none"/>
                <w:lang w:val="en-US" w:eastAsia="zh-CN"/>
              </w:rPr>
              <w:t>20000</w:t>
            </w:r>
            <w:r>
              <w:rPr>
                <w:rFonts w:hint="eastAsia" w:ascii="Times New Roman" w:hAnsi="Times New Roman" w:cs="Times New Roman"/>
                <w:b/>
                <w:bCs/>
                <w:highlight w:val="none"/>
              </w:rPr>
              <w:t>.00元人民币（</w:t>
            </w:r>
            <w:r>
              <w:rPr>
                <w:rFonts w:hint="eastAsia" w:cs="Times New Roman"/>
                <w:b/>
                <w:bCs/>
                <w:highlight w:val="none"/>
                <w:lang w:val="en-US" w:eastAsia="zh-CN"/>
              </w:rPr>
              <w:t>贰</w:t>
            </w:r>
            <w:r>
              <w:rPr>
                <w:rFonts w:hint="eastAsia" w:ascii="Times New Roman" w:hAnsi="Times New Roman" w:cs="Times New Roman"/>
                <w:b/>
                <w:bCs/>
                <w:highlight w:val="none"/>
                <w:lang w:eastAsia="zh-CN"/>
              </w:rPr>
              <w:t>万</w:t>
            </w:r>
            <w:r>
              <w:rPr>
                <w:rFonts w:hint="eastAsia" w:ascii="Times New Roman" w:hAnsi="Times New Roman" w:cs="Times New Roman"/>
                <w:b/>
                <w:bCs/>
                <w:highlight w:val="none"/>
              </w:rPr>
              <w:t>元整）</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lang w:eastAsia="zh-CN"/>
              </w:rPr>
            </w:pPr>
            <w:r>
              <w:rPr>
                <w:rFonts w:hint="eastAsia" w:ascii="Times New Roman" w:hAnsi="Times New Roman" w:cs="Times New Roman"/>
              </w:rPr>
              <w:t>递交方式：投标人将投标保证金从企业基本帐户汇至以下账户</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lang w:eastAsia="zh-CN"/>
              </w:rPr>
            </w:pPr>
            <w:r>
              <w:rPr>
                <w:rFonts w:hint="eastAsia" w:ascii="Times New Roman" w:hAnsi="Times New Roman" w:cs="Times New Roman"/>
              </w:rPr>
              <w:t>账户名称：</w:t>
            </w:r>
            <w:r>
              <w:rPr>
                <w:rFonts w:hint="eastAsia" w:ascii="Times New Roman" w:hAnsi="Times New Roman" w:cs="Times New Roman"/>
                <w:lang w:eastAsia="zh-CN"/>
              </w:rPr>
              <w:t>中环建（北京）工程管理有限公司伊犁分公司</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rPr>
            </w:pPr>
            <w:r>
              <w:rPr>
                <w:rFonts w:hint="eastAsia" w:ascii="Times New Roman" w:hAnsi="Times New Roman" w:cs="Times New Roman"/>
              </w:rPr>
              <w:t>开户行号：313898000015</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rPr>
            </w:pPr>
            <w:r>
              <w:rPr>
                <w:rFonts w:hint="eastAsia" w:ascii="Times New Roman" w:hAnsi="Times New Roman" w:cs="Times New Roman"/>
              </w:rPr>
              <w:t>开户行：乌鲁木齐银行伊犁分行营业部</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rPr>
            </w:pPr>
            <w:r>
              <w:rPr>
                <w:rFonts w:hint="eastAsia" w:ascii="Times New Roman" w:hAnsi="Times New Roman" w:cs="Times New Roman"/>
              </w:rPr>
              <w:t>账  号：0000020070110091342698</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lang w:val="en-US" w:eastAsia="zh-CN"/>
              </w:rPr>
            </w:pPr>
            <w:r>
              <w:rPr>
                <w:rFonts w:hint="eastAsia" w:cs="Times New Roman"/>
                <w:lang w:val="en-US" w:eastAsia="zh-CN"/>
              </w:rPr>
              <w:t>2、</w:t>
            </w:r>
            <w:r>
              <w:rPr>
                <w:rFonts w:hint="eastAsia" w:ascii="Times New Roman" w:hAnsi="Times New Roman" w:cs="Times New Roman"/>
                <w:lang w:val="en-US" w:eastAsia="zh-CN"/>
              </w:rPr>
              <w:t>依据伊州建招函[2019]1 号文件规定，投标人采用纸质保险保函方式作为投标保证金的，须在投标截止时间前将所投项目对应的“中国人民财产保险股份有限公司投标保证保险保函”密封随投标文件一起提交。</w:t>
            </w:r>
          </w:p>
          <w:p>
            <w:pPr>
              <w:keepNext w:val="0"/>
              <w:keepLines w:val="0"/>
              <w:pageBreakBefore w:val="0"/>
              <w:widowControl/>
              <w:kinsoku/>
              <w:wordWrap/>
              <w:overflowPunct/>
              <w:topLinePunct w:val="0"/>
              <w:autoSpaceDE/>
              <w:autoSpaceDN/>
              <w:bidi w:val="0"/>
              <w:spacing w:line="300" w:lineRule="exact"/>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3、投标人提交投标保证金应充分考虑资金在途时间。各投标单位缴纳投标保证金时须在附加信息及用途栏内注明“投标保证金、工程名称及标段”（以投标保证金接收方银行到账信息为准）</w:t>
            </w:r>
            <w:r>
              <w:rPr>
                <w:rFonts w:hint="eastAsia"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第17.1款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bCs/>
                <w:szCs w:val="21"/>
              </w:rPr>
              <w:t>响应文件有效期</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u w:val="single"/>
              </w:rPr>
            </w:pPr>
            <w:r>
              <w:rPr>
                <w:rFonts w:eastAsiaTheme="minorEastAsia"/>
                <w:szCs w:val="21"/>
                <w:u w:val="single"/>
              </w:rPr>
              <w:t>60</w:t>
            </w:r>
            <w:r>
              <w:rPr>
                <w:rFonts w:eastAsiaTheme="minorEastAsia"/>
                <w:szCs w:val="21"/>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第19.1款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bCs/>
                <w:szCs w:val="21"/>
              </w:rPr>
              <w:t>响应</w:t>
            </w:r>
            <w:r>
              <w:rPr>
                <w:rFonts w:eastAsiaTheme="minorEastAsia"/>
                <w:szCs w:val="21"/>
              </w:rPr>
              <w:t>文件份数</w:t>
            </w:r>
          </w:p>
        </w:tc>
        <w:tc>
          <w:tcPr>
            <w:tcW w:w="750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eastAsiaTheme="minorEastAsia"/>
                <w:szCs w:val="21"/>
                <w:u w:val="single"/>
              </w:rPr>
            </w:pPr>
            <w:r>
              <w:rPr>
                <w:szCs w:val="21"/>
              </w:rPr>
              <w:t>叁份（壹正贰副），投标文件不退还；并提交电子版投标文件贰份（U盘壹个、光盘</w:t>
            </w:r>
            <w:r>
              <w:rPr>
                <w:rFonts w:hint="eastAsia"/>
                <w:szCs w:val="21"/>
                <w:lang w:eastAsia="zh-CN"/>
              </w:rPr>
              <w:t>壹</w:t>
            </w:r>
            <w:r>
              <w:rPr>
                <w:szCs w:val="21"/>
              </w:rPr>
              <w:t>个，电子版投标文件为加盖公章的正本扫描件，格式为PDF格式）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第20.2款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szCs w:val="21"/>
              </w:rPr>
            </w:pPr>
            <w:r>
              <w:rPr>
                <w:szCs w:val="21"/>
              </w:rPr>
              <w:t>响应性文件</w:t>
            </w:r>
          </w:p>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szCs w:val="21"/>
              </w:rPr>
              <w:t>密封</w:t>
            </w:r>
          </w:p>
        </w:tc>
        <w:tc>
          <w:tcPr>
            <w:tcW w:w="7500" w:type="dxa"/>
            <w:vAlign w:val="center"/>
          </w:tcPr>
          <w:p>
            <w:pPr>
              <w:keepNext w:val="0"/>
              <w:keepLines w:val="0"/>
              <w:pageBreakBefore w:val="0"/>
              <w:widowControl/>
              <w:kinsoku/>
              <w:wordWrap/>
              <w:overflowPunct/>
              <w:topLinePunct w:val="0"/>
              <w:autoSpaceDE/>
              <w:autoSpaceDN/>
              <w:bidi w:val="0"/>
              <w:spacing w:line="300" w:lineRule="exact"/>
              <w:jc w:val="left"/>
              <w:textAlignment w:val="auto"/>
              <w:rPr>
                <w:szCs w:val="21"/>
              </w:rPr>
            </w:pPr>
            <w:r>
              <w:rPr>
                <w:szCs w:val="21"/>
              </w:rPr>
              <w:t>1、投标人必须按谈判文件规定制作响应性文件，</w:t>
            </w:r>
            <w:r>
              <w:rPr>
                <w:b/>
                <w:szCs w:val="21"/>
              </w:rPr>
              <w:t>正副本</w:t>
            </w:r>
            <w:r>
              <w:rPr>
                <w:szCs w:val="21"/>
              </w:rPr>
              <w:t xml:space="preserve">可以密封在同一响应性文件袋中。密封袋封口处加盖单位公章，并注明“开标时才能启封”字样。 </w:t>
            </w:r>
          </w:p>
          <w:p>
            <w:pPr>
              <w:keepNext w:val="0"/>
              <w:keepLines w:val="0"/>
              <w:pageBreakBefore w:val="0"/>
              <w:widowControl/>
              <w:kinsoku/>
              <w:wordWrap/>
              <w:overflowPunct/>
              <w:topLinePunct w:val="0"/>
              <w:autoSpaceDE/>
              <w:autoSpaceDN/>
              <w:bidi w:val="0"/>
              <w:spacing w:line="300" w:lineRule="exact"/>
              <w:jc w:val="left"/>
              <w:textAlignment w:val="auto"/>
              <w:rPr>
                <w:kern w:val="0"/>
                <w:szCs w:val="21"/>
              </w:rPr>
            </w:pPr>
            <w:r>
              <w:rPr>
                <w:szCs w:val="21"/>
              </w:rPr>
              <w:t>2、</w:t>
            </w:r>
            <w:r>
              <w:rPr>
                <w:rFonts w:hint="eastAsia"/>
                <w:kern w:val="0"/>
                <w:szCs w:val="21"/>
                <w:lang w:val="en-US" w:eastAsia="zh-CN"/>
              </w:rPr>
              <w:t>磋商</w:t>
            </w:r>
            <w:r>
              <w:rPr>
                <w:kern w:val="0"/>
                <w:szCs w:val="21"/>
              </w:rPr>
              <w:t>文件袋上应写明：</w:t>
            </w:r>
          </w:p>
          <w:p>
            <w:pPr>
              <w:keepNext w:val="0"/>
              <w:keepLines w:val="0"/>
              <w:pageBreakBefore w:val="0"/>
              <w:widowControl/>
              <w:kinsoku/>
              <w:wordWrap/>
              <w:overflowPunct/>
              <w:topLinePunct w:val="0"/>
              <w:autoSpaceDE/>
              <w:autoSpaceDN/>
              <w:bidi w:val="0"/>
              <w:spacing w:line="300" w:lineRule="exact"/>
              <w:jc w:val="left"/>
              <w:textAlignment w:val="auto"/>
              <w:rPr>
                <w:kern w:val="0"/>
                <w:szCs w:val="21"/>
              </w:rPr>
            </w:pPr>
            <w:r>
              <w:rPr>
                <w:szCs w:val="21"/>
              </w:rPr>
              <w:t>“竞争性磋商响应性文件”</w:t>
            </w:r>
          </w:p>
          <w:p>
            <w:pPr>
              <w:keepNext w:val="0"/>
              <w:keepLines w:val="0"/>
              <w:pageBreakBefore w:val="0"/>
              <w:widowControl/>
              <w:kinsoku/>
              <w:wordWrap/>
              <w:overflowPunct/>
              <w:topLinePunct w:val="0"/>
              <w:autoSpaceDE/>
              <w:autoSpaceDN/>
              <w:bidi w:val="0"/>
              <w:spacing w:line="300" w:lineRule="exact"/>
              <w:ind w:firstLine="210" w:firstLineChars="100"/>
              <w:jc w:val="left"/>
              <w:textAlignment w:val="auto"/>
              <w:rPr>
                <w:spacing w:val="-6"/>
                <w:szCs w:val="21"/>
              </w:rPr>
            </w:pPr>
            <w:r>
              <w:rPr>
                <w:kern w:val="0"/>
                <w:szCs w:val="21"/>
              </w:rPr>
              <w:t>招标单位：</w:t>
            </w:r>
          </w:p>
          <w:p>
            <w:pPr>
              <w:keepNext w:val="0"/>
              <w:keepLines w:val="0"/>
              <w:pageBreakBefore w:val="0"/>
              <w:widowControl/>
              <w:kinsoku/>
              <w:wordWrap/>
              <w:overflowPunct/>
              <w:topLinePunct w:val="0"/>
              <w:autoSpaceDE/>
              <w:autoSpaceDN/>
              <w:bidi w:val="0"/>
              <w:spacing w:line="300" w:lineRule="exact"/>
              <w:ind w:firstLine="210" w:firstLineChars="100"/>
              <w:jc w:val="left"/>
              <w:textAlignment w:val="auto"/>
              <w:rPr>
                <w:szCs w:val="21"/>
                <w:u w:val="single"/>
              </w:rPr>
            </w:pPr>
            <w:r>
              <w:rPr>
                <w:kern w:val="0"/>
                <w:szCs w:val="21"/>
              </w:rPr>
              <w:t>项目名称：</w:t>
            </w:r>
          </w:p>
          <w:p>
            <w:pPr>
              <w:keepNext w:val="0"/>
              <w:keepLines w:val="0"/>
              <w:pageBreakBefore w:val="0"/>
              <w:widowControl/>
              <w:kinsoku/>
              <w:wordWrap/>
              <w:overflowPunct/>
              <w:topLinePunct w:val="0"/>
              <w:autoSpaceDE/>
              <w:autoSpaceDN/>
              <w:bidi w:val="0"/>
              <w:spacing w:line="300" w:lineRule="exact"/>
              <w:ind w:firstLine="210" w:firstLineChars="100"/>
              <w:jc w:val="left"/>
              <w:textAlignment w:val="auto"/>
              <w:rPr>
                <w:kern w:val="0"/>
                <w:szCs w:val="21"/>
              </w:rPr>
            </w:pPr>
            <w:r>
              <w:rPr>
                <w:kern w:val="0"/>
                <w:szCs w:val="21"/>
              </w:rPr>
              <w:t>投标单位名称：</w:t>
            </w:r>
          </w:p>
          <w:p>
            <w:pPr>
              <w:keepNext w:val="0"/>
              <w:keepLines w:val="0"/>
              <w:pageBreakBefore w:val="0"/>
              <w:widowControl/>
              <w:kinsoku/>
              <w:wordWrap/>
              <w:overflowPunct/>
              <w:topLinePunct w:val="0"/>
              <w:autoSpaceDE/>
              <w:autoSpaceDN/>
              <w:bidi w:val="0"/>
              <w:spacing w:line="300" w:lineRule="exact"/>
              <w:ind w:firstLine="210" w:firstLineChars="100"/>
              <w:jc w:val="left"/>
              <w:textAlignment w:val="auto"/>
              <w:rPr>
                <w:szCs w:val="21"/>
              </w:rPr>
            </w:pPr>
            <w:r>
              <w:rPr>
                <w:kern w:val="0"/>
                <w:szCs w:val="21"/>
              </w:rPr>
              <w:t>联系人及联系方式：</w:t>
            </w:r>
          </w:p>
          <w:p>
            <w:pPr>
              <w:keepNext w:val="0"/>
              <w:keepLines w:val="0"/>
              <w:pageBreakBefore w:val="0"/>
              <w:kinsoku/>
              <w:wordWrap/>
              <w:overflowPunct/>
              <w:topLinePunct w:val="0"/>
              <w:autoSpaceDE/>
              <w:autoSpaceDN/>
              <w:bidi w:val="0"/>
              <w:adjustRightInd w:val="0"/>
              <w:snapToGrid w:val="0"/>
              <w:spacing w:line="300" w:lineRule="exact"/>
              <w:textAlignment w:val="auto"/>
              <w:rPr>
                <w:rFonts w:eastAsiaTheme="minorEastAsia"/>
                <w:szCs w:val="21"/>
                <w:u w:val="single"/>
              </w:rPr>
            </w:pPr>
            <w:r>
              <w:rPr>
                <w:kern w:val="0"/>
                <w:szCs w:val="21"/>
              </w:rPr>
              <w:t>备注：注明“开标时才能启封”字样等。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第21.1款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提交响应文件的截止时间（开启时间）</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eastAsiaTheme="minorEastAsia"/>
                <w:bCs/>
                <w:szCs w:val="21"/>
              </w:rPr>
            </w:pPr>
            <w:r>
              <w:rPr>
                <w:rFonts w:eastAsiaTheme="minorEastAsia"/>
                <w:b/>
                <w:bCs/>
                <w:color w:val="auto"/>
                <w:szCs w:val="21"/>
              </w:rPr>
              <w:t>202</w:t>
            </w:r>
            <w:r>
              <w:rPr>
                <w:rFonts w:hint="eastAsia" w:eastAsiaTheme="minorEastAsia"/>
                <w:b/>
                <w:bCs/>
                <w:color w:val="auto"/>
                <w:szCs w:val="21"/>
                <w:lang w:val="en-US" w:eastAsia="zh-CN"/>
              </w:rPr>
              <w:t>2</w:t>
            </w:r>
            <w:r>
              <w:rPr>
                <w:rFonts w:eastAsiaTheme="minorEastAsia"/>
                <w:b/>
                <w:bCs/>
                <w:color w:val="auto"/>
                <w:szCs w:val="21"/>
              </w:rPr>
              <w:t>年</w:t>
            </w:r>
            <w:r>
              <w:rPr>
                <w:rFonts w:hint="eastAsia" w:eastAsiaTheme="minorEastAsia"/>
                <w:b/>
                <w:bCs/>
                <w:color w:val="auto"/>
                <w:szCs w:val="21"/>
                <w:lang w:val="en-US" w:eastAsia="zh-CN"/>
              </w:rPr>
              <w:t>12</w:t>
            </w:r>
            <w:r>
              <w:rPr>
                <w:rFonts w:eastAsiaTheme="minorEastAsia"/>
                <w:b/>
                <w:bCs/>
                <w:color w:val="auto"/>
                <w:szCs w:val="21"/>
              </w:rPr>
              <w:t>月</w:t>
            </w:r>
            <w:r>
              <w:rPr>
                <w:rFonts w:hint="eastAsia" w:eastAsiaTheme="minorEastAsia"/>
                <w:b/>
                <w:bCs/>
                <w:color w:val="auto"/>
                <w:szCs w:val="21"/>
                <w:lang w:val="en-US" w:eastAsia="zh-CN"/>
              </w:rPr>
              <w:t>06</w:t>
            </w:r>
            <w:r>
              <w:rPr>
                <w:rFonts w:eastAsiaTheme="minorEastAsia"/>
                <w:b/>
                <w:bCs/>
                <w:color w:val="auto"/>
                <w:szCs w:val="21"/>
              </w:rPr>
              <w:t>日</w:t>
            </w:r>
            <w:r>
              <w:rPr>
                <w:rFonts w:hint="eastAsia" w:eastAsiaTheme="minorEastAsia"/>
                <w:b/>
                <w:bCs/>
                <w:color w:val="auto"/>
                <w:szCs w:val="21"/>
                <w:lang w:val="en-US" w:eastAsia="zh-CN"/>
              </w:rPr>
              <w:t>16</w:t>
            </w:r>
            <w:r>
              <w:rPr>
                <w:rFonts w:hint="eastAsia" w:eastAsiaTheme="minorEastAsia"/>
                <w:b/>
                <w:bCs/>
                <w:color w:val="auto"/>
                <w:szCs w:val="21"/>
              </w:rPr>
              <w:t>时</w:t>
            </w:r>
            <w:r>
              <w:rPr>
                <w:rFonts w:hint="eastAsia" w:eastAsiaTheme="minorEastAsia"/>
                <w:b/>
                <w:bCs/>
                <w:color w:val="auto"/>
                <w:szCs w:val="21"/>
                <w:lang w:val="en-US" w:eastAsia="zh-CN"/>
              </w:rPr>
              <w:t>00</w:t>
            </w:r>
            <w:r>
              <w:rPr>
                <w:rFonts w:hint="eastAsia" w:eastAsiaTheme="minorEastAsia"/>
                <w:b/>
                <w:bCs/>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第21.1 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响应文件的递交地点</w:t>
            </w:r>
          </w:p>
        </w:tc>
        <w:tc>
          <w:tcPr>
            <w:tcW w:w="7500" w:type="dxa"/>
            <w:vAlign w:val="center"/>
          </w:tcPr>
          <w:p>
            <w:pPr>
              <w:pStyle w:val="16"/>
              <w:keepNext w:val="0"/>
              <w:keepLines w:val="0"/>
              <w:pageBreakBefore w:val="0"/>
              <w:kinsoku/>
              <w:wordWrap/>
              <w:overflowPunct/>
              <w:topLinePunct w:val="0"/>
              <w:autoSpaceDE/>
              <w:autoSpaceDN/>
              <w:bidi w:val="0"/>
              <w:spacing w:before="75" w:beforeAutospacing="0" w:after="75" w:afterAutospacing="0" w:line="320" w:lineRule="exact"/>
              <w:textAlignment w:val="auto"/>
              <w:rPr>
                <w:rFonts w:ascii="Times New Roman" w:hAnsi="Times New Roman" w:cs="Times New Roman" w:eastAsiaTheme="minorEastAsia"/>
                <w:bCs/>
                <w:szCs w:val="21"/>
              </w:rPr>
            </w:pPr>
            <w:r>
              <w:rPr>
                <w:rFonts w:hint="eastAsia" w:ascii="Times New Roman" w:hAnsi="Times New Roman" w:cs="Times New Roman" w:eastAsiaTheme="minorEastAsia"/>
                <w:bCs/>
                <w:szCs w:val="21"/>
              </w:rPr>
              <w:t>伊宁市政务服务中心5楼开标室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第23.2.2款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rPr>
              <w:t>开标时参谈单位需提供下列证件原件备查</w:t>
            </w:r>
          </w:p>
        </w:tc>
        <w:tc>
          <w:tcPr>
            <w:tcW w:w="750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1" w:firstLineChars="100"/>
              <w:textAlignment w:val="auto"/>
              <w:rPr>
                <w:rFonts w:eastAsiaTheme="minorEastAsia"/>
                <w:b/>
                <w:bCs/>
                <w:szCs w:val="22"/>
              </w:rPr>
            </w:pPr>
            <w:r>
              <w:rPr>
                <w:rFonts w:eastAsiaTheme="minorEastAsia"/>
                <w:b/>
                <w:bCs/>
                <w:szCs w:val="22"/>
              </w:rPr>
              <w:t>企业法人授权委托书、委托人身份证、企业法人营业执照、资质证书、安全生产许可证、注册建造师证和安全生产考核证、无拖欠农民工工资的证明</w:t>
            </w:r>
            <w:r>
              <w:rPr>
                <w:rFonts w:hint="eastAsia" w:ascii="仿宋" w:hAnsi="仿宋" w:eastAsia="仿宋" w:cs="Arial"/>
                <w:color w:val="auto"/>
                <w:sz w:val="27"/>
                <w:szCs w:val="27"/>
                <w:highlight w:val="none"/>
                <w:lang w:eastAsia="zh-CN"/>
              </w:rPr>
              <w:t>、</w:t>
            </w:r>
            <w:r>
              <w:rPr>
                <w:rFonts w:eastAsiaTheme="minorEastAsia"/>
                <w:b/>
                <w:bCs/>
                <w:szCs w:val="22"/>
              </w:rPr>
              <w:t>保证金收据原件</w:t>
            </w:r>
            <w:r>
              <w:rPr>
                <w:rFonts w:hint="eastAsia" w:eastAsiaTheme="minorEastAsia"/>
                <w:b/>
                <w:bCs/>
                <w:szCs w:val="22"/>
                <w:lang w:eastAsia="zh-CN"/>
              </w:rPr>
              <w:t>、</w:t>
            </w:r>
            <w:r>
              <w:rPr>
                <w:rFonts w:hint="eastAsia" w:eastAsiaTheme="minorEastAsia"/>
                <w:b/>
                <w:bCs/>
                <w:szCs w:val="22"/>
                <w:lang w:val="zh-CN" w:eastAsia="zh-CN"/>
              </w:rPr>
              <w:t>未被“信用中国”网站(</w:t>
            </w:r>
            <w:r>
              <w:rPr>
                <w:rFonts w:hint="eastAsia" w:eastAsiaTheme="minorEastAsia"/>
                <w:b/>
                <w:bCs/>
                <w:szCs w:val="22"/>
                <w:lang w:val="zh-CN" w:eastAsia="zh-CN"/>
              </w:rPr>
              <w:fldChar w:fldCharType="begin"/>
            </w:r>
            <w:r>
              <w:rPr>
                <w:rFonts w:hint="eastAsia" w:eastAsiaTheme="minorEastAsia"/>
                <w:b/>
                <w:bCs/>
                <w:szCs w:val="22"/>
                <w:lang w:eastAsia="zh-CN"/>
              </w:rPr>
              <w:instrText xml:space="preserve"> INCLUDEPICTURE "H:\\开标项目\\2019年开标项目（部分）\\admin\\AppData\\Local\\Temp\\%25W@GJ$ACOF(TYDYECOKVDYB.png" \* MERGEFORMAT </w:instrText>
            </w:r>
            <w:r>
              <w:rPr>
                <w:rFonts w:hint="eastAsia" w:eastAsiaTheme="minorEastAsia"/>
                <w:b/>
                <w:bCs/>
                <w:szCs w:val="22"/>
                <w:lang w:val="zh-CN" w:eastAsia="zh-CN"/>
              </w:rPr>
              <w:fldChar w:fldCharType="separate"/>
            </w:r>
            <w:r>
              <w:rPr>
                <w:rFonts w:hint="eastAsia" w:eastAsiaTheme="minorEastAsia"/>
                <w:b/>
                <w:bCs/>
                <w:szCs w:val="22"/>
                <w:lang w:val="zh-CN" w:eastAsia="zh-CN"/>
              </w:rPr>
              <w:drawing>
                <wp:inline distT="0" distB="0" distL="114300" distR="114300">
                  <wp:extent cx="189230" cy="142875"/>
                  <wp:effectExtent l="0" t="0" r="1270" b="9525"/>
                  <wp:docPr id="2" name="图片 2"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GJ$ACOF(TYDYECOKVDYB"/>
                          <pic:cNvPicPr>
                            <a:picLocks noChangeAspect="1"/>
                          </pic:cNvPicPr>
                        </pic:nvPicPr>
                        <pic:blipFill>
                          <a:blip r:embed="rId10"/>
                          <a:stretch>
                            <a:fillRect/>
                          </a:stretch>
                        </pic:blipFill>
                        <pic:spPr>
                          <a:xfrm>
                            <a:off x="0" y="0"/>
                            <a:ext cx="189230" cy="142875"/>
                          </a:xfrm>
                          <a:prstGeom prst="rect">
                            <a:avLst/>
                          </a:prstGeom>
                          <a:noFill/>
                          <a:ln>
                            <a:noFill/>
                          </a:ln>
                        </pic:spPr>
                      </pic:pic>
                    </a:graphicData>
                  </a:graphic>
                </wp:inline>
              </w:drawing>
            </w:r>
            <w:r>
              <w:rPr>
                <w:rFonts w:hint="eastAsia" w:eastAsiaTheme="minorEastAsia"/>
                <w:b/>
                <w:bCs/>
                <w:szCs w:val="22"/>
                <w:lang w:val="zh-CN" w:eastAsia="zh-CN"/>
              </w:rPr>
              <w:fldChar w:fldCharType="end"/>
            </w:r>
            <w:r>
              <w:rPr>
                <w:rFonts w:hint="eastAsia" w:eastAsiaTheme="minorEastAsia"/>
                <w:b/>
                <w:bCs/>
                <w:szCs w:val="22"/>
                <w:lang w:val="zh-CN" w:eastAsia="zh-CN"/>
              </w:rPr>
              <w:t>www.creditchina.gov.cn )列入失信被执行人、重大税收违法案件当事人名单、政府采购严重违法失信行为记录名单，并提供该网站查询结果页面截图</w:t>
            </w:r>
            <w:r>
              <w:rPr>
                <w:rFonts w:eastAsiaTheme="minorEastAsia"/>
                <w:b/>
                <w:bCs/>
                <w:szCs w:val="22"/>
              </w:rPr>
              <w:t>。</w:t>
            </w:r>
          </w:p>
          <w:p>
            <w:pPr>
              <w:keepNext w:val="0"/>
              <w:keepLines w:val="0"/>
              <w:pageBreakBefore w:val="0"/>
              <w:widowControl w:val="0"/>
              <w:kinsoku/>
              <w:wordWrap/>
              <w:overflowPunct/>
              <w:topLinePunct w:val="0"/>
              <w:autoSpaceDE/>
              <w:autoSpaceDN/>
              <w:bidi w:val="0"/>
              <w:adjustRightInd/>
              <w:snapToGrid/>
              <w:spacing w:line="300" w:lineRule="exact"/>
              <w:ind w:firstLine="211" w:firstLineChars="100"/>
              <w:textAlignment w:val="auto"/>
              <w:rPr>
                <w:rFonts w:eastAsiaTheme="minorEastAsia"/>
                <w:bCs/>
                <w:szCs w:val="21"/>
              </w:rPr>
            </w:pPr>
            <w:r>
              <w:rPr>
                <w:rFonts w:eastAsiaTheme="minorEastAsia"/>
                <w:b/>
                <w:bCs/>
                <w:szCs w:val="22"/>
              </w:rPr>
              <w:t>注：</w:t>
            </w:r>
            <w:r>
              <w:rPr>
                <w:rFonts w:eastAsiaTheme="minorEastAsia"/>
                <w:b/>
                <w:bCs/>
                <w:szCs w:val="21"/>
              </w:rPr>
              <w:t>以上均满足要求的投标人为有效投标人。</w:t>
            </w:r>
            <w:r>
              <w:rPr>
                <w:rFonts w:eastAsiaTheme="minorEastAsia"/>
                <w:b/>
                <w:bCs/>
              </w:rPr>
              <w:t>证件提供不全或没有携带的，其投标将予以否决。</w:t>
            </w:r>
            <w:r>
              <w:rPr>
                <w:rFonts w:eastAsiaTheme="minorEastAsia"/>
                <w:b/>
                <w:bCs/>
                <w:szCs w:val="21"/>
              </w:rPr>
              <w:t>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第27.4 .3款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中标公示</w:t>
            </w:r>
          </w:p>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发布媒体</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eastAsiaTheme="minorEastAsia"/>
                <w:bCs/>
                <w:szCs w:val="21"/>
              </w:rPr>
            </w:pPr>
            <w:r>
              <w:rPr>
                <w:szCs w:val="21"/>
                <w:highlight w:val="none"/>
              </w:rPr>
              <w:t>中标结果公告将在</w:t>
            </w:r>
            <w:r>
              <w:rPr>
                <w:rFonts w:hint="eastAsia"/>
                <w:szCs w:val="21"/>
                <w:highlight w:val="none"/>
                <w:lang w:val="en-US" w:eastAsia="zh-CN"/>
              </w:rPr>
              <w:t>新疆政府采购网平台</w:t>
            </w:r>
            <w:r>
              <w:rPr>
                <w:szCs w:val="21"/>
                <w:highlight w:val="none"/>
              </w:rPr>
              <w:t>发布，公告期限为</w:t>
            </w:r>
            <w:r>
              <w:rPr>
                <w:rFonts w:hint="eastAsia"/>
                <w:szCs w:val="21"/>
                <w:highlight w:val="none"/>
                <w:lang w:val="en-US" w:eastAsia="zh-CN"/>
              </w:rPr>
              <w:t>1个工作</w:t>
            </w:r>
            <w:r>
              <w:rPr>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第32款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履约担保</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第33.1款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招标代理服务费</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szCs w:val="21"/>
              </w:rPr>
              <w:t>由中标方支付。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ind w:firstLine="210" w:firstLineChars="100"/>
              <w:jc w:val="left"/>
              <w:textAlignment w:val="auto"/>
              <w:rPr>
                <w:rFonts w:hint="eastAsia"/>
                <w:szCs w:val="21"/>
                <w:highlight w:val="none"/>
                <w:lang w:val="en-US" w:eastAsia="zh-CN"/>
              </w:rPr>
            </w:pPr>
            <w:r>
              <w:rPr>
                <w:rFonts w:hint="eastAsia"/>
                <w:szCs w:val="21"/>
                <w:highlight w:val="none"/>
                <w:lang w:val="en-US" w:eastAsia="zh-CN"/>
              </w:rPr>
              <w:t>第34款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ind w:firstLine="210" w:firstLineChars="100"/>
              <w:jc w:val="left"/>
              <w:textAlignment w:val="auto"/>
              <w:rPr>
                <w:rFonts w:hint="eastAsia"/>
                <w:szCs w:val="21"/>
                <w:highlight w:val="none"/>
                <w:lang w:val="en-US" w:eastAsia="zh-CN"/>
              </w:rPr>
            </w:pPr>
            <w:r>
              <w:rPr>
                <w:rFonts w:hint="eastAsia"/>
                <w:szCs w:val="21"/>
                <w:highlight w:val="none"/>
                <w:lang w:val="en-US" w:eastAsia="zh-CN"/>
              </w:rPr>
              <w:t>最高投标限价</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eastAsia"/>
                <w:b/>
                <w:bCs/>
                <w:szCs w:val="21"/>
                <w:highlight w:val="none"/>
                <w:lang w:val="en-US" w:eastAsia="zh-CN"/>
              </w:rPr>
            </w:pPr>
            <w:r>
              <w:rPr>
                <w:rFonts w:hint="eastAsia"/>
                <w:b/>
                <w:bCs/>
                <w:szCs w:val="21"/>
                <w:highlight w:val="none"/>
                <w:lang w:val="en-US" w:eastAsia="zh-CN"/>
              </w:rPr>
              <w:t>1780000.00元（大写：壹佰柒拾捌元整）</w:t>
            </w:r>
          </w:p>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eastAsia"/>
                <w:szCs w:val="21"/>
                <w:highlight w:val="none"/>
                <w:lang w:val="en-US" w:eastAsia="zh-CN"/>
              </w:rPr>
            </w:pPr>
            <w:r>
              <w:rPr>
                <w:rFonts w:hint="eastAsia"/>
                <w:b/>
                <w:bCs/>
                <w:szCs w:val="21"/>
                <w:highlight w:val="none"/>
                <w:lang w:val="en-US" w:eastAsia="zh-CN"/>
              </w:rPr>
              <w:t>(供应商报价均不得超过此限价，超过此限价视为无效投标)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30" w:type="dxa"/>
            <w:vAlign w:val="center"/>
          </w:tcPr>
          <w:p>
            <w:pPr>
              <w:keepNext w:val="0"/>
              <w:keepLines w:val="0"/>
              <w:pageBreakBefore w:val="0"/>
              <w:kinsoku/>
              <w:wordWrap/>
              <w:overflowPunct/>
              <w:topLinePunct w:val="0"/>
              <w:autoSpaceDE/>
              <w:autoSpaceDN/>
              <w:bidi w:val="0"/>
              <w:spacing w:line="320" w:lineRule="exact"/>
              <w:jc w:val="center"/>
              <w:textAlignment w:val="auto"/>
              <w:rPr>
                <w:rFonts w:ascii="宋体" w:hAnsi="宋体"/>
                <w:szCs w:val="21"/>
              </w:rPr>
            </w:pPr>
            <w:r>
              <w:rPr>
                <w:rFonts w:eastAsiaTheme="minorEastAsia"/>
                <w:szCs w:val="21"/>
              </w:rPr>
              <w:t>第3</w:t>
            </w:r>
            <w:r>
              <w:rPr>
                <w:rFonts w:hint="eastAsia" w:eastAsiaTheme="minorEastAsia"/>
                <w:szCs w:val="21"/>
              </w:rPr>
              <w:t>5</w:t>
            </w:r>
            <w:r>
              <w:rPr>
                <w:rFonts w:eastAsiaTheme="minorEastAsia"/>
                <w:szCs w:val="21"/>
              </w:rPr>
              <w:t>款</w:t>
            </w:r>
          </w:p>
        </w:tc>
        <w:tc>
          <w:tcPr>
            <w:tcW w:w="9255" w:type="dxa"/>
            <w:gridSpan w:val="2"/>
            <w:vAlign w:val="center"/>
          </w:tcPr>
          <w:p>
            <w:pPr>
              <w:keepNext w:val="0"/>
              <w:keepLines w:val="0"/>
              <w:pageBreakBefore w:val="0"/>
              <w:kinsoku/>
              <w:wordWrap/>
              <w:overflowPunct/>
              <w:topLinePunct w:val="0"/>
              <w:autoSpaceDE/>
              <w:autoSpaceDN/>
              <w:bidi w:val="0"/>
              <w:spacing w:line="320" w:lineRule="exact"/>
              <w:textAlignment w:val="auto"/>
              <w:rPr>
                <w:rFonts w:ascii="宋体" w:hAnsi="宋体"/>
                <w:szCs w:val="21"/>
              </w:rPr>
            </w:pPr>
            <w:r>
              <w:rPr>
                <w:rFonts w:hint="eastAsia" w:ascii="宋体" w:hAnsi="宋体"/>
                <w:szCs w:val="21"/>
              </w:rPr>
              <w:t>招标人补充的其他内容：</w:t>
            </w:r>
            <w:r>
              <w:rPr>
                <w:rFonts w:hint="eastAsia" w:ascii="宋体" w:hAnsi="宋体"/>
                <w:b/>
                <w:bCs/>
                <w:szCs w:val="21"/>
              </w:rPr>
              <w:t>《关于印发伊犁州直建设工程防治措施增加费用的通知》伊州住建建字【2019】76号</w:t>
            </w:r>
            <w:r>
              <w:rPr>
                <w:rFonts w:hint="eastAsia" w:ascii="宋体" w:hAnsi="宋体"/>
                <w:b/>
                <w:bCs/>
                <w:szCs w:val="21"/>
                <w:lang w:eastAsia="zh-CN"/>
              </w:rPr>
              <w:t>。</w:t>
            </w:r>
            <w:r>
              <w:rPr>
                <w:rFonts w:hint="eastAsia" w:ascii="宋体" w:hAnsi="宋体"/>
                <w:b/>
                <w:bCs/>
                <w:szCs w:val="21"/>
              </w:rPr>
              <w:t>建筑工人实名制管理，投标企业需自行承诺。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30" w:type="dxa"/>
            <w:vAlign w:val="center"/>
          </w:tcPr>
          <w:p>
            <w:pPr>
              <w:keepNext w:val="0"/>
              <w:keepLines w:val="0"/>
              <w:pageBreakBefore w:val="0"/>
              <w:kinsoku/>
              <w:wordWrap/>
              <w:overflowPunct/>
              <w:topLinePunct w:val="0"/>
              <w:autoSpaceDE/>
              <w:autoSpaceDN/>
              <w:bidi w:val="0"/>
              <w:spacing w:line="320" w:lineRule="exact"/>
              <w:jc w:val="center"/>
              <w:textAlignment w:val="auto"/>
              <w:rPr>
                <w:rFonts w:ascii="宋体" w:hAnsi="宋体"/>
                <w:szCs w:val="21"/>
              </w:rPr>
            </w:pPr>
            <w:r>
              <w:rPr>
                <w:rFonts w:eastAsiaTheme="minorEastAsia"/>
                <w:szCs w:val="21"/>
              </w:rPr>
              <w:t>第3</w:t>
            </w:r>
            <w:r>
              <w:rPr>
                <w:rFonts w:hint="eastAsia" w:eastAsiaTheme="minorEastAsia"/>
                <w:szCs w:val="21"/>
              </w:rPr>
              <w:t>6</w:t>
            </w:r>
            <w:r>
              <w:rPr>
                <w:rFonts w:eastAsiaTheme="minorEastAsia"/>
                <w:szCs w:val="21"/>
              </w:rPr>
              <w:t>款</w:t>
            </w:r>
          </w:p>
        </w:tc>
        <w:tc>
          <w:tcPr>
            <w:tcW w:w="9255" w:type="dxa"/>
            <w:gridSpan w:val="2"/>
            <w:vAlign w:val="center"/>
          </w:tcPr>
          <w:p>
            <w:pPr>
              <w:keepNext w:val="0"/>
              <w:keepLines w:val="0"/>
              <w:pageBreakBefore w:val="0"/>
              <w:kinsoku/>
              <w:wordWrap/>
              <w:overflowPunct/>
              <w:topLinePunct w:val="0"/>
              <w:autoSpaceDE/>
              <w:autoSpaceDN/>
              <w:bidi w:val="0"/>
              <w:spacing w:line="320" w:lineRule="exact"/>
              <w:textAlignment w:val="auto"/>
              <w:rPr>
                <w:rFonts w:ascii="宋体" w:hAnsi="宋体"/>
                <w:szCs w:val="21"/>
              </w:rPr>
            </w:pPr>
            <w:r>
              <w:rPr>
                <w:rFonts w:hint="eastAsia" w:ascii="宋体" w:hAnsi="宋体"/>
                <w:szCs w:val="21"/>
              </w:rPr>
              <w:t>场地服务费：</w:t>
            </w:r>
            <w:r>
              <w:rPr>
                <w:rFonts w:hint="eastAsia" w:ascii="宋体" w:hAnsi="宋体"/>
                <w:szCs w:val="21"/>
                <w:lang w:val="en-US" w:eastAsia="zh-CN"/>
              </w:rPr>
              <w:t>有</w:t>
            </w:r>
            <w:r>
              <w:rPr>
                <w:rFonts w:hint="eastAsia" w:ascii="宋体" w:hAnsi="宋体"/>
                <w:szCs w:val="21"/>
              </w:rPr>
              <w:t>。</w:t>
            </w:r>
          </w:p>
        </w:tc>
      </w:tr>
    </w:tbl>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bookmarkStart w:id="9" w:name="_Toc349637920"/>
      <w:bookmarkStart w:id="10" w:name="_Toc267301282"/>
      <w:bookmarkStart w:id="11" w:name="_Toc298240405"/>
      <w:bookmarkStart w:id="12" w:name="_Toc349573121"/>
      <w:bookmarkStart w:id="13" w:name="_Toc527642952"/>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both"/>
        <w:textAlignment w:val="auto"/>
        <w:rPr>
          <w:rFonts w:hint="eastAsia" w:asciiTheme="minorEastAsia" w:hAnsiTheme="minorEastAsia" w:eastAsiaTheme="minorEastAsia" w:cstheme="minorEastAsia"/>
          <w:sz w:val="28"/>
          <w:szCs w:val="28"/>
        </w:rPr>
      </w:pPr>
    </w:p>
    <w:p>
      <w:pPr>
        <w:pStyle w:val="4"/>
        <w:pageBreakBefore w:val="0"/>
        <w:kinsoku/>
        <w:wordWrap/>
        <w:overflowPunct/>
        <w:autoSpaceDE/>
        <w:autoSpaceDN/>
        <w:bidi w:val="0"/>
        <w:adjustRightInd/>
        <w:snapToGrid/>
        <w:spacing w:before="100" w:beforeAutospacing="1" w:after="100" w:afterAutospacing="1" w:line="240" w:lineRule="auto"/>
        <w:jc w:val="center"/>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  说　明</w:t>
      </w:r>
      <w:bookmarkEnd w:id="9"/>
      <w:bookmarkEnd w:id="10"/>
      <w:bookmarkEnd w:id="11"/>
      <w:bookmarkEnd w:id="12"/>
      <w:bookmarkEnd w:id="13"/>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适用范围</w:t>
      </w:r>
    </w:p>
    <w:p>
      <w:pPr>
        <w:pageBreakBefore w:val="0"/>
        <w:numPr>
          <w:ilvl w:val="1"/>
          <w:numId w:val="2"/>
        </w:numPr>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本磋商文件仅适用于本次投标中所叙述项目的工程项目招标。</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2．定义</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 “招标代理机构”系指</w:t>
      </w:r>
      <w:r>
        <w:rPr>
          <w:rFonts w:hint="eastAsia" w:asciiTheme="minorEastAsia" w:hAnsiTheme="minorEastAsia" w:eastAsiaTheme="minorEastAsia" w:cstheme="minorEastAsia"/>
          <w:sz w:val="24"/>
          <w:lang w:val="zh-CN" w:eastAsia="zh-CN"/>
        </w:rPr>
        <w:t>中环建（北京）工程管理</w:t>
      </w:r>
      <w:r>
        <w:rPr>
          <w:rFonts w:hint="eastAsia" w:asciiTheme="minorEastAsia" w:hAnsiTheme="minorEastAsia" w:eastAsiaTheme="minorEastAsia" w:cstheme="minorEastAsia"/>
          <w:sz w:val="24"/>
          <w:lang w:val="zh-CN"/>
        </w:rPr>
        <w:t>有限公司</w:t>
      </w:r>
      <w:r>
        <w:rPr>
          <w:rFonts w:hint="eastAsia" w:asciiTheme="minorEastAsia" w:hAnsiTheme="minorEastAsia" w:eastAsiaTheme="minorEastAsia" w:cstheme="minorEastAsia"/>
          <w:sz w:val="24"/>
        </w:rPr>
        <w:t>；</w:t>
      </w:r>
    </w:p>
    <w:p>
      <w:pPr>
        <w:pageBreakBefore w:val="0"/>
        <w:kinsoku/>
        <w:wordWrap/>
        <w:overflowPunct/>
        <w:autoSpaceDE/>
        <w:autoSpaceDN/>
        <w:bidi w:val="0"/>
        <w:adjustRightInd/>
        <w:snapToGrid/>
        <w:spacing w:line="240" w:lineRule="auto"/>
        <w:textAlignment w:val="auto"/>
        <w:rPr>
          <w:rFonts w:hint="eastAsia" w:asciiTheme="minorEastAsia" w:hAnsiTheme="minorEastAsia" w:eastAsiaTheme="minorEastAsia" w:cstheme="minorEastAsia"/>
          <w:b/>
          <w:bCs/>
          <w:sz w:val="24"/>
          <w:highlight w:val="none"/>
          <w:lang w:val="en-US" w:eastAsia="zh-CN"/>
        </w:rPr>
      </w:pPr>
      <w:r>
        <w:rPr>
          <w:rFonts w:hint="eastAsia" w:asciiTheme="minorEastAsia" w:hAnsiTheme="minorEastAsia" w:eastAsiaTheme="minorEastAsia" w:cstheme="minorEastAsia"/>
          <w:sz w:val="24"/>
        </w:rPr>
        <w:t xml:space="preserve">2.2 </w:t>
      </w:r>
      <w:r>
        <w:rPr>
          <w:rFonts w:hint="eastAsia" w:asciiTheme="minorEastAsia" w:hAnsiTheme="minorEastAsia" w:eastAsiaTheme="minorEastAsia" w:cstheme="minorEastAsia"/>
          <w:b/>
          <w:bCs/>
          <w:sz w:val="24"/>
          <w:highlight w:val="none"/>
        </w:rPr>
        <w:t>“买方”系指（名称）；</w:t>
      </w:r>
      <w:r>
        <w:rPr>
          <w:rFonts w:hint="eastAsia" w:asciiTheme="minorEastAsia" w:hAnsiTheme="minorEastAsia" w:eastAsiaTheme="minorEastAsia" w:cstheme="minorEastAsia"/>
          <w:b/>
          <w:bCs/>
          <w:sz w:val="24"/>
          <w:highlight w:val="none"/>
          <w:lang w:val="en-US" w:eastAsia="zh-CN"/>
        </w:rPr>
        <w:t>伊宁市教育局</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702" w:name="_GoBack"/>
      <w:bookmarkEnd w:id="702"/>
      <w:r>
        <w:rPr>
          <w:rFonts w:hint="eastAsia" w:asciiTheme="minorEastAsia" w:hAnsiTheme="minorEastAsia" w:eastAsiaTheme="minorEastAsia" w:cstheme="minorEastAsia"/>
          <w:sz w:val="24"/>
        </w:rPr>
        <w:t>2.3 “供应商”系指向招标代理机构提交磋商响应文件的制造商或代理商；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 “中标方”系指在本次项目中将被授予合同的供应商。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3．合格的供应商</w:t>
      </w:r>
    </w:p>
    <w:p>
      <w:pPr>
        <w:pageBreakBefore w:val="0"/>
        <w:kinsoku/>
        <w:wordWrap/>
        <w:overflowPunct/>
        <w:autoSpaceDE/>
        <w:autoSpaceDN/>
        <w:bidi w:val="0"/>
        <w:adjustRightInd/>
        <w:snapToGrid/>
        <w:spacing w:line="240" w:lineRule="auto"/>
        <w:ind w:left="480" w:hanging="480" w:hanging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 有能力提供磋商文件中所要求的服务、资格审查合格的供应商；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 供应商必须遵守有关的国内法律和规章条例。</w:t>
      </w:r>
    </w:p>
    <w:p>
      <w:pPr>
        <w:pageBreakBefore w:val="0"/>
        <w:kinsoku/>
        <w:wordWrap/>
        <w:overflowPunct/>
        <w:autoSpaceDE/>
        <w:autoSpaceDN/>
        <w:bidi w:val="0"/>
        <w:adjustRightInd/>
        <w:snapToGrid/>
        <w:spacing w:line="240" w:lineRule="auto"/>
        <w:ind w:left="480" w:hanging="480" w:hanging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4．供应商资格(废标因素)</w:t>
      </w:r>
    </w:p>
    <w:p>
      <w:pPr>
        <w:pageBreakBefore w:val="0"/>
        <w:kinsoku/>
        <w:wordWrap/>
        <w:overflowPunct/>
        <w:autoSpaceDE/>
        <w:autoSpaceDN/>
        <w:bidi w:val="0"/>
        <w:adjustRightInd/>
        <w:snapToGrid/>
        <w:spacing w:line="240" w:lineRule="auto"/>
        <w:ind w:left="480" w:hanging="480" w:hanging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w:t>
      </w:r>
      <w:r>
        <w:rPr>
          <w:rFonts w:hint="eastAsia" w:asciiTheme="minorEastAsia" w:hAnsiTheme="minorEastAsia" w:eastAsiaTheme="minorEastAsia" w:cstheme="minorEastAsia"/>
          <w:sz w:val="24"/>
          <w:szCs w:val="22"/>
        </w:rPr>
        <w:t>符合供应商须知前附表第3.1款。</w:t>
      </w:r>
    </w:p>
    <w:p>
      <w:pPr>
        <w:pageBreakBefore w:val="0"/>
        <w:tabs>
          <w:tab w:val="left" w:pos="252"/>
          <w:tab w:val="left" w:pos="671"/>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5．投标费用</w:t>
      </w:r>
    </w:p>
    <w:p>
      <w:pPr>
        <w:pageBreakBefore w:val="0"/>
        <w:kinsoku/>
        <w:wordWrap/>
        <w:overflowPunct/>
        <w:autoSpaceDE/>
        <w:autoSpaceDN/>
        <w:bidi w:val="0"/>
        <w:adjustRightInd/>
        <w:snapToGrid/>
        <w:spacing w:line="240" w:lineRule="auto"/>
        <w:ind w:left="480" w:hanging="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 供应商将自行承担所有与参加投标有关的全部费用。</w:t>
      </w:r>
    </w:p>
    <w:p>
      <w:pPr>
        <w:pStyle w:val="4"/>
        <w:pageBreakBefore w:val="0"/>
        <w:kinsoku/>
        <w:wordWrap/>
        <w:overflowPunct/>
        <w:autoSpaceDE/>
        <w:autoSpaceDN/>
        <w:bidi w:val="0"/>
        <w:adjustRightInd/>
        <w:snapToGrid/>
        <w:spacing w:before="100" w:beforeAutospacing="1" w:after="100" w:afterAutospacing="1" w:line="240" w:lineRule="auto"/>
        <w:jc w:val="center"/>
        <w:textAlignment w:val="auto"/>
        <w:rPr>
          <w:rFonts w:asciiTheme="minorEastAsia" w:hAnsiTheme="minorEastAsia" w:eastAsiaTheme="minorEastAsia" w:cstheme="minorEastAsia"/>
          <w:sz w:val="28"/>
          <w:szCs w:val="28"/>
        </w:rPr>
      </w:pPr>
      <w:bookmarkStart w:id="14" w:name="_Toc527642953"/>
      <w:bookmarkStart w:id="15" w:name="_Toc267301283"/>
      <w:bookmarkStart w:id="16" w:name="_Toc298240406"/>
      <w:bookmarkStart w:id="17" w:name="_Toc349637921"/>
      <w:bookmarkStart w:id="18" w:name="_Toc349573122"/>
      <w:r>
        <w:rPr>
          <w:rFonts w:hint="eastAsia" w:asciiTheme="minorEastAsia" w:hAnsiTheme="minorEastAsia" w:eastAsiaTheme="minorEastAsia" w:cstheme="minorEastAsia"/>
          <w:sz w:val="28"/>
          <w:szCs w:val="28"/>
        </w:rPr>
        <w:t>B  磋商文件</w:t>
      </w:r>
      <w:bookmarkEnd w:id="14"/>
      <w:bookmarkEnd w:id="15"/>
      <w:bookmarkEnd w:id="16"/>
      <w:bookmarkEnd w:id="17"/>
      <w:bookmarkEnd w:id="18"/>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6．磋商文件构成</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6.1磋商文件包括：</w:t>
      </w:r>
    </w:p>
    <w:p>
      <w:pPr>
        <w:pStyle w:val="13"/>
        <w:pageBreakBefore w:val="0"/>
        <w:tabs>
          <w:tab w:val="right" w:leader="dot" w:pos="8400"/>
          <w:tab w:val="right" w:leader="dot" w:pos="9737"/>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fldChar w:fldCharType="begin"/>
      </w:r>
      <w:r>
        <w:rPr>
          <w:rFonts w:hint="eastAsia" w:asciiTheme="minorEastAsia" w:hAnsiTheme="minorEastAsia" w:eastAsiaTheme="minorEastAsia" w:cstheme="minorEastAsia"/>
          <w:sz w:val="24"/>
          <w:szCs w:val="22"/>
        </w:rPr>
        <w:instrText xml:space="preserve"> TOC \o "1-2" \h \z \u </w:instrText>
      </w:r>
      <w:r>
        <w:rPr>
          <w:rFonts w:hint="eastAsia" w:asciiTheme="minorEastAsia" w:hAnsiTheme="minorEastAsia" w:eastAsiaTheme="minorEastAsia" w:cstheme="minorEastAsia"/>
          <w:sz w:val="24"/>
          <w:szCs w:val="22"/>
        </w:rPr>
        <w:fldChar w:fldCharType="separate"/>
      </w:r>
      <w:r>
        <w:fldChar w:fldCharType="begin"/>
      </w:r>
      <w:r>
        <w:instrText xml:space="preserve"> HYPERLINK \l "_Toc527642949" </w:instrText>
      </w:r>
      <w:r>
        <w:fldChar w:fldCharType="separate"/>
      </w:r>
      <w:r>
        <w:rPr>
          <w:rFonts w:hint="eastAsia" w:asciiTheme="minorEastAsia" w:hAnsiTheme="minorEastAsia" w:eastAsiaTheme="minorEastAsia" w:cstheme="minorEastAsia"/>
          <w:sz w:val="24"/>
          <w:szCs w:val="22"/>
        </w:rPr>
        <w:t>（1）竞争性磋商公告</w:t>
      </w:r>
      <w:r>
        <w:rPr>
          <w:rFonts w:hint="eastAsia" w:asciiTheme="minorEastAsia" w:hAnsiTheme="minorEastAsia" w:eastAsiaTheme="minorEastAsia" w:cstheme="minorEastAsia"/>
          <w:sz w:val="24"/>
          <w:szCs w:val="22"/>
        </w:rPr>
        <w:fldChar w:fldCharType="end"/>
      </w:r>
    </w:p>
    <w:p>
      <w:pPr>
        <w:pStyle w:val="13"/>
        <w:pageBreakBefore w:val="0"/>
        <w:tabs>
          <w:tab w:val="right" w:leader="dot" w:pos="8400"/>
          <w:tab w:val="right" w:leader="dot" w:pos="9737"/>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fldChar w:fldCharType="begin"/>
      </w:r>
      <w:r>
        <w:instrText xml:space="preserve"> HYPERLINK \l "_Toc527642950" </w:instrText>
      </w:r>
      <w:r>
        <w:fldChar w:fldCharType="separate"/>
      </w:r>
      <w:r>
        <w:rPr>
          <w:rFonts w:hint="eastAsia" w:asciiTheme="minorEastAsia" w:hAnsiTheme="minorEastAsia" w:eastAsiaTheme="minorEastAsia" w:cstheme="minorEastAsia"/>
          <w:sz w:val="24"/>
          <w:szCs w:val="22"/>
        </w:rPr>
        <w:t>（2） 供应商须知</w:t>
      </w:r>
      <w:r>
        <w:rPr>
          <w:rFonts w:hint="eastAsia" w:asciiTheme="minorEastAsia" w:hAnsiTheme="minorEastAsia" w:eastAsiaTheme="minorEastAsia" w:cstheme="minorEastAsia"/>
          <w:sz w:val="24"/>
          <w:szCs w:val="22"/>
        </w:rPr>
        <w:fldChar w:fldCharType="end"/>
      </w:r>
    </w:p>
    <w:p>
      <w:pPr>
        <w:pStyle w:val="13"/>
        <w:pageBreakBefore w:val="0"/>
        <w:tabs>
          <w:tab w:val="right" w:leader="dot" w:pos="9737"/>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fldChar w:fldCharType="begin"/>
      </w:r>
      <w:r>
        <w:instrText xml:space="preserve"> HYPERLINK \l "_Toc527642959" </w:instrText>
      </w:r>
      <w:r>
        <w:fldChar w:fldCharType="separate"/>
      </w:r>
      <w:r>
        <w:rPr>
          <w:rFonts w:hint="eastAsia" w:asciiTheme="minorEastAsia" w:hAnsiTheme="minorEastAsia" w:eastAsiaTheme="minorEastAsia" w:cstheme="minorEastAsia"/>
          <w:sz w:val="24"/>
          <w:szCs w:val="22"/>
        </w:rPr>
        <w:t>（3） 技术要求</w:t>
      </w:r>
      <w:r>
        <w:rPr>
          <w:rFonts w:hint="eastAsia" w:asciiTheme="minorEastAsia" w:hAnsiTheme="minorEastAsia" w:eastAsiaTheme="minorEastAsia" w:cstheme="minorEastAsia"/>
          <w:sz w:val="24"/>
          <w:szCs w:val="22"/>
        </w:rPr>
        <w:fldChar w:fldCharType="end"/>
      </w:r>
    </w:p>
    <w:p>
      <w:pPr>
        <w:pStyle w:val="13"/>
        <w:pageBreakBefore w:val="0"/>
        <w:tabs>
          <w:tab w:val="right" w:leader="dot" w:pos="9737"/>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fldChar w:fldCharType="begin"/>
      </w:r>
      <w:r>
        <w:instrText xml:space="preserve"> HYPERLINK \l "_Toc527642960" </w:instrText>
      </w:r>
      <w:r>
        <w:fldChar w:fldCharType="separate"/>
      </w:r>
      <w:r>
        <w:rPr>
          <w:rFonts w:hint="eastAsia" w:asciiTheme="minorEastAsia" w:hAnsiTheme="minorEastAsia" w:eastAsiaTheme="minorEastAsia" w:cstheme="minorEastAsia"/>
          <w:sz w:val="24"/>
          <w:szCs w:val="22"/>
        </w:rPr>
        <w:t>（3） 合同条款及格式</w:t>
      </w:r>
      <w:r>
        <w:rPr>
          <w:rFonts w:hint="eastAsia" w:asciiTheme="minorEastAsia" w:hAnsiTheme="minorEastAsia" w:eastAsiaTheme="minorEastAsia" w:cstheme="minorEastAsia"/>
          <w:sz w:val="24"/>
          <w:szCs w:val="22"/>
        </w:rPr>
        <w:fldChar w:fldCharType="end"/>
      </w:r>
    </w:p>
    <w:p>
      <w:pPr>
        <w:pStyle w:val="13"/>
        <w:pageBreakBefore w:val="0"/>
        <w:tabs>
          <w:tab w:val="right" w:leader="dot" w:pos="9737"/>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fldChar w:fldCharType="begin"/>
      </w:r>
      <w:r>
        <w:instrText xml:space="preserve"> HYPERLINK \l "_Toc527642969" </w:instrText>
      </w:r>
      <w:r>
        <w:fldChar w:fldCharType="separate"/>
      </w:r>
      <w:r>
        <w:rPr>
          <w:rFonts w:hint="eastAsia" w:asciiTheme="minorEastAsia" w:hAnsiTheme="minorEastAsia" w:eastAsiaTheme="minorEastAsia" w:cstheme="minorEastAsia"/>
          <w:sz w:val="24"/>
          <w:szCs w:val="22"/>
        </w:rPr>
        <w:t>（4） 响应文件格式</w:t>
      </w:r>
      <w:r>
        <w:rPr>
          <w:rFonts w:hint="eastAsia" w:asciiTheme="minorEastAsia" w:hAnsiTheme="minorEastAsia" w:eastAsiaTheme="minorEastAsia" w:cstheme="minorEastAsia"/>
          <w:sz w:val="24"/>
          <w:szCs w:val="22"/>
        </w:rPr>
        <w:fldChar w:fldCharType="end"/>
      </w:r>
    </w:p>
    <w:p>
      <w:pPr>
        <w:pStyle w:val="13"/>
        <w:pageBreakBefore w:val="0"/>
        <w:tabs>
          <w:tab w:val="right" w:leader="dot" w:pos="8541"/>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fldChar w:fldCharType="end"/>
      </w:r>
      <w:r>
        <w:rPr>
          <w:rFonts w:hint="eastAsia" w:asciiTheme="minorEastAsia" w:hAnsiTheme="minorEastAsia" w:eastAsiaTheme="minorEastAsia" w:cstheme="minorEastAsia"/>
          <w:sz w:val="24"/>
          <w:szCs w:val="22"/>
        </w:rPr>
        <w:t>（5） 补充条款</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6.2 磋商文件以中文编写。</w:t>
      </w:r>
    </w:p>
    <w:p>
      <w:pPr>
        <w:pageBreakBefore w:val="0"/>
        <w:kinsoku/>
        <w:wordWrap/>
        <w:overflowPunct/>
        <w:autoSpaceDE/>
        <w:autoSpaceDN/>
        <w:bidi w:val="0"/>
        <w:adjustRightInd/>
        <w:snapToGrid/>
        <w:spacing w:line="240" w:lineRule="auto"/>
        <w:ind w:left="600" w:hanging="600" w:hangingChars="25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6.3 供应商应认真阅读磋商文件中所有的事项、格式、条款和规范等要求，从而对磋商文件作</w:t>
      </w:r>
    </w:p>
    <w:p>
      <w:pPr>
        <w:pageBreakBefore w:val="0"/>
        <w:kinsoku/>
        <w:wordWrap/>
        <w:overflowPunct/>
        <w:autoSpaceDE/>
        <w:autoSpaceDN/>
        <w:bidi w:val="0"/>
        <w:adjustRightInd/>
        <w:snapToGrid/>
        <w:spacing w:line="240" w:lineRule="auto"/>
        <w:ind w:left="599" w:leftChars="228" w:hanging="120" w:hangingChars="5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出实质性响应。如果没有按照磋商文件要求提交全部磋商响应文件或资料，没有对磋商文</w:t>
      </w:r>
    </w:p>
    <w:p>
      <w:pPr>
        <w:pageBreakBefore w:val="0"/>
        <w:kinsoku/>
        <w:wordWrap/>
        <w:overflowPunct/>
        <w:autoSpaceDE/>
        <w:autoSpaceDN/>
        <w:bidi w:val="0"/>
        <w:adjustRightInd/>
        <w:snapToGrid/>
        <w:spacing w:line="240" w:lineRule="auto"/>
        <w:ind w:left="599" w:leftChars="228" w:hanging="120" w:hangingChars="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件作出实质性响应，其风险应由供应商自行承担。</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7．磋商文件澄清</w:t>
      </w:r>
    </w:p>
    <w:p>
      <w:pPr>
        <w:pageBreakBefore w:val="0"/>
        <w:kinsoku/>
        <w:wordWrap/>
        <w:overflowPunct/>
        <w:autoSpaceDE/>
        <w:autoSpaceDN/>
        <w:bidi w:val="0"/>
        <w:adjustRightInd/>
        <w:snapToGrid/>
        <w:spacing w:line="240" w:lineRule="auto"/>
        <w:ind w:left="480" w:hanging="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7.1 供应商对磋商文件有疑问的，可以向招标代理机构提出询问，招标代理机构将及时做出答复；</w:t>
      </w:r>
    </w:p>
    <w:p>
      <w:pPr>
        <w:pageBreakBefore w:val="0"/>
        <w:kinsoku/>
        <w:wordWrap/>
        <w:overflowPunct/>
        <w:autoSpaceDE/>
        <w:autoSpaceDN/>
        <w:bidi w:val="0"/>
        <w:adjustRightInd/>
        <w:snapToGrid/>
        <w:spacing w:line="240" w:lineRule="auto"/>
        <w:ind w:left="480" w:hanging="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7.2 供应商对磋商文件有质疑，须在得到磋商文件之日起至质疑截止时间止，以书面形式向招标机构提出质疑；招标机构在收到书面质疑后，在投标截止时间3个工作日前做出答复，并以书面形式通知质疑供应商。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  磋商文件的修改</w:t>
      </w:r>
    </w:p>
    <w:p>
      <w:pPr>
        <w:pageBreakBefore w:val="0"/>
        <w:kinsoku/>
        <w:wordWrap/>
        <w:overflowPunct/>
        <w:autoSpaceDE/>
        <w:autoSpaceDN/>
        <w:bidi w:val="0"/>
        <w:adjustRightInd/>
        <w:snapToGrid/>
        <w:spacing w:line="240" w:lineRule="auto"/>
        <w:ind w:left="480" w:hanging="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8.1 对磋商文件进行必要的修改，招标代理机构将在投标截止时间3个工作日前以书面形式通知所有购买磋商文件的供应商。该修改的内容为磋商文件的组成部分；</w:t>
      </w:r>
    </w:p>
    <w:p>
      <w:pPr>
        <w:pageBreakBefore w:val="0"/>
        <w:kinsoku/>
        <w:wordWrap/>
        <w:overflowPunct/>
        <w:autoSpaceDE/>
        <w:autoSpaceDN/>
        <w:bidi w:val="0"/>
        <w:adjustRightInd/>
        <w:snapToGrid/>
        <w:spacing w:line="240" w:lineRule="auto"/>
        <w:ind w:left="480" w:hanging="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8.2 在投标截止时间前，招标机构可视具体情况延长投标截止时间，并将变更时间书面通知所有购买磋商文件的供应商。</w:t>
      </w:r>
    </w:p>
    <w:p>
      <w:pPr>
        <w:pStyle w:val="4"/>
        <w:pageBreakBefore w:val="0"/>
        <w:kinsoku/>
        <w:wordWrap/>
        <w:overflowPunct/>
        <w:autoSpaceDE/>
        <w:autoSpaceDN/>
        <w:bidi w:val="0"/>
        <w:adjustRightInd/>
        <w:snapToGrid/>
        <w:spacing w:before="100" w:beforeAutospacing="1" w:after="100" w:afterAutospacing="1" w:line="240" w:lineRule="auto"/>
        <w:jc w:val="center"/>
        <w:textAlignment w:val="auto"/>
        <w:rPr>
          <w:rFonts w:asciiTheme="minorEastAsia" w:hAnsiTheme="minorEastAsia" w:eastAsiaTheme="minorEastAsia" w:cstheme="minorEastAsia"/>
          <w:sz w:val="28"/>
          <w:szCs w:val="28"/>
        </w:rPr>
      </w:pPr>
      <w:bookmarkStart w:id="19" w:name="_Toc349573123"/>
      <w:bookmarkStart w:id="20" w:name="_Toc527642954"/>
      <w:bookmarkStart w:id="21" w:name="_Toc267301284"/>
      <w:bookmarkStart w:id="22" w:name="_Toc349637922"/>
      <w:bookmarkStart w:id="23" w:name="_Toc298240407"/>
      <w:r>
        <w:rPr>
          <w:rFonts w:hint="eastAsia" w:asciiTheme="minorEastAsia" w:hAnsiTheme="minorEastAsia" w:eastAsiaTheme="minorEastAsia" w:cstheme="minorEastAsia"/>
          <w:sz w:val="28"/>
          <w:szCs w:val="28"/>
        </w:rPr>
        <w:t>C  磋商响应文件的编写</w:t>
      </w:r>
      <w:bookmarkEnd w:id="19"/>
      <w:bookmarkEnd w:id="20"/>
      <w:bookmarkEnd w:id="21"/>
      <w:bookmarkEnd w:id="22"/>
      <w:bookmarkEnd w:id="23"/>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9．要求</w:t>
      </w:r>
    </w:p>
    <w:p>
      <w:pPr>
        <w:pageBreakBefore w:val="0"/>
        <w:kinsoku/>
        <w:wordWrap/>
        <w:overflowPunct/>
        <w:autoSpaceDE/>
        <w:autoSpaceDN/>
        <w:bidi w:val="0"/>
        <w:adjustRightInd/>
        <w:snapToGrid/>
        <w:spacing w:line="240" w:lineRule="auto"/>
        <w:ind w:left="360" w:hanging="360" w:hangingChars="1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 供应商应仔细阅读磋商文件的所有内容，按磋商文件的要求提供磋商响应文件，并保证所提供的全部资料的真实性，以使其投标对磋商文件作出实质性响应，否则，其投标可能被拒绝。</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10．投标语言</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10.1磋商响应文件及供应商与招标代理机构就投标交换的文件和来往信件，应以中文书写。</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11．磋商响应文件的构成</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 供应商编写的磋商响应文件应包括下列内容：</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响应文件包含：商务标、经济标、技术标及响应文件电子文档（需单独密封提供，包含商务标、经济标、技术标）</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 w:val="24"/>
        </w:rPr>
        <w:t>11.1 .1</w:t>
      </w:r>
      <w:r>
        <w:rPr>
          <w:rFonts w:hint="eastAsia" w:asciiTheme="minorEastAsia" w:hAnsiTheme="minorEastAsia" w:eastAsiaTheme="minorEastAsia" w:cstheme="minorEastAsia"/>
          <w:b/>
          <w:bCs/>
          <w:color w:val="000000" w:themeColor="text1"/>
          <w:sz w:val="24"/>
          <w14:textFill>
            <w14:solidFill>
              <w14:schemeClr w14:val="tx1"/>
            </w14:solidFill>
          </w14:textFill>
        </w:rPr>
        <w:t>商务标内容：</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1、投标承诺书（一）</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2、投标承诺书（二）</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3、投标承诺书（三）</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4、法定代表人身份证明书</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5、法定代表人授权委托书</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6、供应商概况（企业营业执照副本复印件、资质证书副本复印件、安全生产许可证复印件、注册建造师证书和安全考核证复印件）</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7、项目管理人员</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8、</w:t>
      </w:r>
      <w:r>
        <w:rPr>
          <w:rFonts w:hint="eastAsia" w:asciiTheme="minorEastAsia" w:hAnsiTheme="minorEastAsia" w:eastAsiaTheme="minorEastAsia" w:cstheme="minorEastAsia"/>
          <w:sz w:val="24"/>
          <w:szCs w:val="22"/>
        </w:rPr>
        <w:t>参加政府采购活动前三年内在经营活动中没有重大违法记录的书面声明</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hint="default"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9、中小企业声明函 (工程、服务)、残疾人福利性单位声明函 、监狱企业证明</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10</w:t>
      </w:r>
      <w:r>
        <w:rPr>
          <w:rFonts w:hint="eastAsia" w:asciiTheme="minorEastAsia" w:hAnsiTheme="minorEastAsia" w:eastAsiaTheme="minorEastAsia" w:cstheme="minorEastAsia"/>
          <w:sz w:val="24"/>
          <w:szCs w:val="22"/>
        </w:rPr>
        <w:t>、投标保证金收据复印件</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11</w:t>
      </w:r>
      <w:r>
        <w:rPr>
          <w:rFonts w:hint="eastAsia" w:asciiTheme="minorEastAsia" w:hAnsiTheme="minorEastAsia" w:eastAsiaTheme="minorEastAsia" w:cstheme="minorEastAsia"/>
          <w:sz w:val="24"/>
          <w:szCs w:val="22"/>
        </w:rPr>
        <w:t>、磋商文件要求的其他证明材料</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sz w:val="24"/>
        </w:rPr>
        <w:t>11.</w:t>
      </w:r>
      <w:r>
        <w:rPr>
          <w:rFonts w:hint="eastAsia" w:asciiTheme="minorEastAsia" w:hAnsiTheme="minorEastAsia" w:eastAsiaTheme="minorEastAsia" w:cstheme="minorEastAsia"/>
          <w:b/>
          <w:bCs/>
          <w:color w:val="000000" w:themeColor="text1"/>
          <w:sz w:val="24"/>
          <w14:textFill>
            <w14:solidFill>
              <w14:schemeClr w14:val="tx1"/>
            </w14:solidFill>
          </w14:textFill>
        </w:rPr>
        <w:t>1 .2技术标内容：</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1、工程概况及特点</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2、施工准备计划</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3、施工方案</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4、施工进度计划</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5、施工平面图</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6、劳动力需用量计划</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7、质量保证措施和体系</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8、工期保证措施和体系</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9、安全保证措施和体系</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10、现场文明施工措施</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11、承诺</w:t>
      </w:r>
    </w:p>
    <w:p>
      <w:pPr>
        <w:pageBreakBefore w:val="0"/>
        <w:kinsoku/>
        <w:wordWrap/>
        <w:overflowPunct/>
        <w:topLinePunct/>
        <w:autoSpaceDE/>
        <w:autoSpaceDN/>
        <w:bidi w:val="0"/>
        <w:adjustRightInd/>
        <w:snapToGrid/>
        <w:spacing w:line="240" w:lineRule="auto"/>
        <w:textAlignment w:val="auto"/>
        <w:rPr>
          <w:rFonts w:asciiTheme="minorEastAsia" w:hAnsiTheme="minorEastAsia" w:eastAsiaTheme="minorEastAsia" w:cstheme="minorEastAsia"/>
          <w:color w:val="000000" w:themeColor="text1"/>
          <w:kern w:val="0"/>
          <w:sz w:val="24"/>
          <w:szCs w:val="28"/>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注：</w:t>
      </w:r>
      <w:r>
        <w:rPr>
          <w:rFonts w:hint="eastAsia" w:asciiTheme="minorEastAsia" w:hAnsiTheme="minorEastAsia" w:eastAsiaTheme="minorEastAsia" w:cstheme="minorEastAsia"/>
          <w:color w:val="000000" w:themeColor="text1"/>
          <w:kern w:val="0"/>
          <w:sz w:val="24"/>
          <w14:textFill>
            <w14:solidFill>
              <w14:schemeClr w14:val="tx1"/>
            </w14:solidFill>
          </w14:textFill>
        </w:rPr>
        <w:t>投标文件须按技术标格式目录顺序编写</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11.1 .3经济标内容：</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经济标内容（供应商以本工程的招标工程量清单为依据编制，需按正规经济标内容及磋商</w:t>
      </w:r>
    </w:p>
    <w:p>
      <w:pPr>
        <w:pageBreakBefore w:val="0"/>
        <w:tabs>
          <w:tab w:val="left" w:pos="540"/>
          <w:tab w:val="left" w:pos="900"/>
          <w:tab w:val="left" w:pos="1080"/>
        </w:tabs>
        <w:kinsoku/>
        <w:wordWrap/>
        <w:overflow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文件规定编制，）</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11.2、响应文件纸张要求</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11.21、</w:t>
      </w:r>
      <w:r>
        <w:rPr>
          <w:rFonts w:hint="eastAsia" w:asciiTheme="minorEastAsia" w:hAnsiTheme="minorEastAsia" w:eastAsiaTheme="minorEastAsia" w:cstheme="minorEastAsia"/>
          <w:bCs/>
          <w:sz w:val="24"/>
        </w:rPr>
        <w:t>商务标、技术标、经济标</w:t>
      </w:r>
      <w:r>
        <w:rPr>
          <w:rFonts w:hint="eastAsia" w:asciiTheme="minorEastAsia" w:hAnsiTheme="minorEastAsia" w:eastAsiaTheme="minorEastAsia" w:cstheme="minorEastAsia"/>
          <w:sz w:val="24"/>
        </w:rPr>
        <w:t>应采用A4打印纸。</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24" w:name="_Hlk64525193"/>
      <w:bookmarkEnd w:id="24"/>
      <w:bookmarkStart w:id="25" w:name="_Hlk64525192"/>
      <w:bookmarkEnd w:id="25"/>
      <w:bookmarkStart w:id="26" w:name="_Hlk54580125"/>
      <w:bookmarkEnd w:id="26"/>
      <w:bookmarkStart w:id="27" w:name="_Hlk40073498"/>
      <w:bookmarkEnd w:id="27"/>
      <w:bookmarkStart w:id="28" w:name="_Hlk54580126"/>
      <w:bookmarkEnd w:id="28"/>
      <w:bookmarkStart w:id="29" w:name="_Hlk40073500"/>
      <w:bookmarkEnd w:id="29"/>
      <w:bookmarkStart w:id="30" w:name="_Hlk64525194"/>
      <w:bookmarkEnd w:id="30"/>
      <w:bookmarkStart w:id="31" w:name="_Hlk40073499"/>
      <w:bookmarkEnd w:id="31"/>
      <w:bookmarkStart w:id="32" w:name="_Hlk54580127"/>
      <w:bookmarkEnd w:id="32"/>
      <w:r>
        <w:rPr>
          <w:rFonts w:hint="eastAsia" w:asciiTheme="minorEastAsia" w:hAnsiTheme="minorEastAsia" w:eastAsiaTheme="minorEastAsia" w:cstheme="minorEastAsia"/>
          <w:sz w:val="24"/>
        </w:rPr>
        <w:t>11.3、响应文件书写要求</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11.3.1、</w:t>
      </w:r>
      <w:r>
        <w:rPr>
          <w:rFonts w:hint="eastAsia" w:asciiTheme="minorEastAsia" w:hAnsiTheme="minorEastAsia" w:eastAsiaTheme="minorEastAsia" w:cstheme="minorEastAsia"/>
          <w:sz w:val="24"/>
          <w:szCs w:val="24"/>
        </w:rPr>
        <w:t>响应文件商务标、技术标、经济标采用打印方式书写。</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11.4、响应文件装订要求</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33" w:name="_Hlk64525276"/>
      <w:bookmarkEnd w:id="33"/>
      <w:bookmarkStart w:id="34" w:name="_Hlk64525274"/>
      <w:bookmarkEnd w:id="34"/>
      <w:bookmarkStart w:id="35" w:name="_Hlk54580193"/>
      <w:bookmarkEnd w:id="35"/>
      <w:bookmarkStart w:id="36" w:name="_Hlk54580195"/>
      <w:bookmarkEnd w:id="36"/>
      <w:bookmarkStart w:id="37" w:name="_Hlk64525275"/>
      <w:bookmarkEnd w:id="37"/>
      <w:bookmarkStart w:id="38" w:name="_Hlk54580194"/>
      <w:bookmarkEnd w:id="38"/>
      <w:r>
        <w:rPr>
          <w:rFonts w:hint="eastAsia" w:asciiTheme="minorEastAsia" w:hAnsiTheme="minorEastAsia" w:eastAsiaTheme="minorEastAsia" w:cstheme="minorEastAsia"/>
          <w:sz w:val="24"/>
        </w:rPr>
        <w:t>11.4.1、</w:t>
      </w:r>
      <w:r>
        <w:rPr>
          <w:rFonts w:hint="eastAsia" w:asciiTheme="minorEastAsia" w:hAnsiTheme="minorEastAsia" w:eastAsiaTheme="minorEastAsia" w:cstheme="minorEastAsia"/>
          <w:bCs/>
          <w:sz w:val="24"/>
        </w:rPr>
        <w:t>商务标、技术标、经济标必须分别装订成册。否则整个响应文件将被视为不响应磋商文件，而予以拒绝评审。</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39" w:name="_Hlk40073613"/>
      <w:bookmarkEnd w:id="39"/>
      <w:bookmarkStart w:id="40" w:name="_Hlk40073577"/>
      <w:bookmarkEnd w:id="40"/>
      <w:bookmarkStart w:id="41" w:name="_Hlk40073612"/>
      <w:bookmarkEnd w:id="41"/>
      <w:bookmarkStart w:id="42" w:name="_Hlk40073623"/>
      <w:bookmarkEnd w:id="42"/>
      <w:bookmarkStart w:id="43" w:name="_Hlk40073578"/>
      <w:bookmarkEnd w:id="43"/>
      <w:bookmarkStart w:id="44" w:name="_Hlk40073622"/>
      <w:bookmarkEnd w:id="44"/>
      <w:bookmarkStart w:id="45" w:name="_Hlk40073614"/>
      <w:bookmarkEnd w:id="45"/>
      <w:bookmarkStart w:id="46" w:name="_Hlk40073624"/>
      <w:bookmarkEnd w:id="46"/>
      <w:bookmarkStart w:id="47" w:name="_Hlk40073576"/>
      <w:bookmarkEnd w:id="47"/>
      <w:r>
        <w:rPr>
          <w:rFonts w:hint="eastAsia" w:asciiTheme="minorEastAsia" w:hAnsiTheme="minorEastAsia" w:eastAsiaTheme="minorEastAsia" w:cstheme="minorEastAsia"/>
          <w:sz w:val="24"/>
        </w:rPr>
        <w:t>11.4.2、商务标、经济标、技术标应按封面、目录、正文顺序装订。</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11.5、  响应文件字体要求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11.5.1、</w:t>
      </w:r>
      <w:r>
        <w:rPr>
          <w:rFonts w:hint="eastAsia" w:asciiTheme="minorEastAsia" w:hAnsiTheme="minorEastAsia" w:eastAsiaTheme="minorEastAsia" w:cstheme="minorEastAsia"/>
          <w:sz w:val="24"/>
          <w:szCs w:val="24"/>
        </w:rPr>
        <w:t>响应文件商务标、技术标、经济标所采用的字体，以能够供评委识别看清为准。</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11.6、响应文件封面要求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11.6.1、</w:t>
      </w:r>
      <w:r>
        <w:rPr>
          <w:rFonts w:hint="eastAsia" w:asciiTheme="minorEastAsia" w:hAnsiTheme="minorEastAsia" w:eastAsiaTheme="minorEastAsia" w:cstheme="minorEastAsia"/>
          <w:sz w:val="24"/>
          <w:szCs w:val="24"/>
        </w:rPr>
        <w:t>响应文件商务标、技术标、经济标封面宜按磋商文件规定格式编制。</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11.7、响应文件目录要求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11.7.1</w:t>
      </w:r>
      <w:r>
        <w:rPr>
          <w:rFonts w:hint="eastAsia" w:asciiTheme="minorEastAsia" w:hAnsiTheme="minorEastAsia" w:eastAsiaTheme="minorEastAsia" w:cstheme="minorEastAsia"/>
          <w:sz w:val="24"/>
          <w:szCs w:val="24"/>
        </w:rPr>
        <w:t>为便于评审，响应文件商务标、技术标、经济标目录宜按本磋商文件相关内容先后顺序编排。</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11.8、响应文件的份数和签署</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48" w:name="_Hlk39211640"/>
      <w:bookmarkEnd w:id="48"/>
      <w:bookmarkStart w:id="49" w:name="_Hlk64546848"/>
      <w:bookmarkEnd w:id="49"/>
      <w:bookmarkStart w:id="50" w:name="_Hlk39211638"/>
      <w:bookmarkEnd w:id="50"/>
      <w:bookmarkStart w:id="51" w:name="_Hlk56077600"/>
      <w:bookmarkEnd w:id="51"/>
      <w:bookmarkStart w:id="52" w:name="_Hlk39211639"/>
      <w:bookmarkEnd w:id="52"/>
      <w:bookmarkStart w:id="53" w:name="_Hlk64546847"/>
      <w:bookmarkEnd w:id="53"/>
      <w:bookmarkStart w:id="54" w:name="_Hlk64398585"/>
      <w:bookmarkEnd w:id="54"/>
      <w:bookmarkStart w:id="55" w:name="_Hlk56077599"/>
      <w:bookmarkEnd w:id="55"/>
      <w:bookmarkStart w:id="56" w:name="_Hlk64546849"/>
      <w:bookmarkEnd w:id="56"/>
      <w:bookmarkStart w:id="57" w:name="_Hlk64398587"/>
      <w:bookmarkEnd w:id="57"/>
      <w:bookmarkStart w:id="58" w:name="_Hlk56077598"/>
      <w:bookmarkEnd w:id="58"/>
      <w:bookmarkStart w:id="59" w:name="_Hlk64398586"/>
      <w:bookmarkEnd w:id="59"/>
      <w:r>
        <w:rPr>
          <w:rFonts w:hint="eastAsia" w:asciiTheme="minorEastAsia" w:hAnsiTheme="minorEastAsia" w:eastAsiaTheme="minorEastAsia" w:cstheme="minorEastAsia"/>
          <w:sz w:val="24"/>
        </w:rPr>
        <w:t>11.8.1、供应商应按</w:t>
      </w:r>
      <w:r>
        <w:rPr>
          <w:rFonts w:hint="eastAsia" w:asciiTheme="minorEastAsia" w:hAnsiTheme="minorEastAsia" w:eastAsiaTheme="minorEastAsia" w:cstheme="minorEastAsia"/>
          <w:bCs/>
          <w:sz w:val="24"/>
        </w:rPr>
        <w:t>供应商须知前附表</w:t>
      </w:r>
      <w:bookmarkStart w:id="60" w:name="_Hlt19071243"/>
      <w:bookmarkEnd w:id="60"/>
      <w:bookmarkStart w:id="61" w:name="_Hlt39573761"/>
      <w:bookmarkEnd w:id="61"/>
      <w:bookmarkStart w:id="62" w:name="_Hlt38281763"/>
      <w:bookmarkEnd w:id="62"/>
      <w:bookmarkStart w:id="63" w:name="_Hlt38090346"/>
      <w:bookmarkEnd w:id="63"/>
      <w:bookmarkStart w:id="64" w:name="_Hlt18988603"/>
      <w:bookmarkEnd w:id="64"/>
      <w:bookmarkStart w:id="65" w:name="_Hlt19040430"/>
      <w:bookmarkEnd w:id="65"/>
      <w:bookmarkStart w:id="66" w:name="_Hlt19040661"/>
      <w:bookmarkEnd w:id="66"/>
      <w:bookmarkStart w:id="67" w:name="_Hlt38090323"/>
      <w:bookmarkEnd w:id="67"/>
      <w:bookmarkStart w:id="68" w:name="_Hlt39211642"/>
      <w:bookmarkEnd w:id="68"/>
      <w:bookmarkStart w:id="69" w:name="_Hlt38090339"/>
      <w:bookmarkEnd w:id="69"/>
      <w:bookmarkStart w:id="70" w:name="_Hlt18988738"/>
      <w:bookmarkEnd w:id="70"/>
      <w:bookmarkStart w:id="71" w:name="_Hlt64546867"/>
      <w:bookmarkEnd w:id="71"/>
      <w:bookmarkStart w:id="72" w:name="_Hlt64398617"/>
      <w:bookmarkEnd w:id="72"/>
      <w:r>
        <w:rPr>
          <w:rFonts w:hint="eastAsia" w:asciiTheme="minorEastAsia" w:hAnsiTheme="minorEastAsia" w:eastAsiaTheme="minorEastAsia" w:cstheme="minorEastAsia"/>
          <w:sz w:val="24"/>
          <w:u w:val="single"/>
        </w:rPr>
        <w:fldChar w:fldCharType="begin"/>
      </w:r>
      <w:r>
        <w:rPr>
          <w:rFonts w:hint="eastAsia" w:asciiTheme="minorEastAsia" w:hAnsiTheme="minorEastAsia" w:eastAsiaTheme="minorEastAsia" w:cstheme="minorEastAsia"/>
          <w:sz w:val="24"/>
          <w:u w:val="single"/>
        </w:rPr>
        <w:instrText xml:space="preserve"> HYPERLINK \l "_Hlk18988600" </w:instrText>
      </w:r>
      <w:r>
        <w:rPr>
          <w:rFonts w:hint="eastAsia" w:asciiTheme="minorEastAsia" w:hAnsiTheme="minorEastAsia" w:eastAsiaTheme="minorEastAsia" w:cstheme="minorEastAsia"/>
          <w:sz w:val="24"/>
          <w:u w:val="single"/>
        </w:rPr>
        <w:fldChar w:fldCharType="separate"/>
      </w:r>
      <w:bookmarkStart w:id="73" w:name="_Hlt64398813"/>
      <w:bookmarkEnd w:id="73"/>
      <w:r>
        <w:rPr>
          <w:rStyle w:val="22"/>
          <w:rFonts w:hint="eastAsia" w:asciiTheme="minorEastAsia" w:hAnsiTheme="minorEastAsia" w:eastAsiaTheme="minorEastAsia" w:cstheme="minorEastAsia"/>
          <w:color w:val="auto"/>
          <w:sz w:val="24"/>
        </w:rPr>
        <w:t>第19.1款</w:t>
      </w:r>
      <w:r>
        <w:rPr>
          <w:rStyle w:val="22"/>
          <w:rFonts w:hint="eastAsia" w:asciiTheme="minorEastAsia" w:hAnsiTheme="minorEastAsia" w:eastAsiaTheme="minorEastAsia" w:cstheme="minorEastAsia"/>
          <w:bCs/>
          <w:color w:val="auto"/>
          <w:sz w:val="24"/>
        </w:rPr>
        <w:t>项</w:t>
      </w:r>
      <w:r>
        <w:rPr>
          <w:rStyle w:val="22"/>
          <w:rFonts w:hint="eastAsia" w:asciiTheme="minorEastAsia" w:hAnsiTheme="minorEastAsia" w:eastAsiaTheme="minorEastAsia" w:cstheme="minorEastAsia"/>
          <w:color w:val="auto"/>
          <w:sz w:val="24"/>
        </w:rPr>
        <w:t>规定，编制响应文件“正本”和“副本” 份数。</w:t>
      </w:r>
      <w:r>
        <w:rPr>
          <w:rFonts w:hint="eastAsia" w:asciiTheme="minorEastAsia" w:hAnsiTheme="minorEastAsia" w:eastAsiaTheme="minorEastAsia" w:cstheme="minorEastAsia"/>
          <w:sz w:val="24"/>
        </w:rPr>
        <w:fldChar w:fldCharType="end"/>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74" w:name="_Hlk72641070"/>
      <w:bookmarkEnd w:id="74"/>
      <w:bookmarkStart w:id="75" w:name="_Hlk40073911"/>
      <w:bookmarkEnd w:id="75"/>
      <w:bookmarkStart w:id="76" w:name="_Hlk40073910"/>
      <w:bookmarkEnd w:id="76"/>
      <w:bookmarkStart w:id="77" w:name="_Hlk64525471"/>
      <w:bookmarkEnd w:id="77"/>
      <w:bookmarkStart w:id="78" w:name="_Hlk54581277"/>
      <w:bookmarkEnd w:id="78"/>
      <w:bookmarkStart w:id="79" w:name="_Hlk72641331"/>
      <w:bookmarkEnd w:id="79"/>
      <w:bookmarkStart w:id="80" w:name="_Hlk54579898"/>
      <w:bookmarkEnd w:id="80"/>
      <w:bookmarkStart w:id="81" w:name="_Hlk64545793"/>
      <w:bookmarkEnd w:id="81"/>
      <w:bookmarkStart w:id="82" w:name="_Hlk72641068"/>
      <w:bookmarkEnd w:id="82"/>
      <w:bookmarkStart w:id="83" w:name="_Hlk64525473"/>
      <w:bookmarkEnd w:id="83"/>
      <w:bookmarkStart w:id="84" w:name="_Hlk54579899"/>
      <w:bookmarkEnd w:id="84"/>
      <w:bookmarkStart w:id="85" w:name="_Hlk72641332"/>
      <w:bookmarkEnd w:id="85"/>
      <w:bookmarkStart w:id="86" w:name="_Hlk54581279"/>
      <w:bookmarkEnd w:id="86"/>
      <w:bookmarkStart w:id="87" w:name="_Hlk54581278"/>
      <w:bookmarkEnd w:id="87"/>
      <w:bookmarkStart w:id="88" w:name="_Hlk72641069"/>
      <w:bookmarkEnd w:id="88"/>
      <w:bookmarkStart w:id="89" w:name="_Hlk64545794"/>
      <w:bookmarkEnd w:id="89"/>
      <w:bookmarkStart w:id="90" w:name="_Hlk64525472"/>
      <w:bookmarkEnd w:id="90"/>
      <w:bookmarkStart w:id="91" w:name="_Hlk40073912"/>
      <w:bookmarkEnd w:id="91"/>
      <w:bookmarkStart w:id="92" w:name="_Hlk64545795"/>
      <w:bookmarkEnd w:id="92"/>
      <w:bookmarkStart w:id="93" w:name="_Hlk72641330"/>
      <w:bookmarkEnd w:id="93"/>
      <w:bookmarkStart w:id="94" w:name="_Hlk54579900"/>
      <w:bookmarkEnd w:id="94"/>
      <w:r>
        <w:rPr>
          <w:rFonts w:hint="eastAsia" w:asciiTheme="minorEastAsia" w:hAnsiTheme="minorEastAsia" w:eastAsiaTheme="minorEastAsia" w:cstheme="minorEastAsia"/>
          <w:sz w:val="24"/>
        </w:rPr>
        <w:t>11.8.2、</w:t>
      </w:r>
      <w:r>
        <w:rPr>
          <w:rFonts w:hint="eastAsia" w:asciiTheme="minorEastAsia" w:hAnsiTheme="minorEastAsia" w:eastAsiaTheme="minorEastAsia" w:cstheme="minorEastAsia"/>
          <w:sz w:val="24"/>
          <w:szCs w:val="24"/>
        </w:rPr>
        <w:t>商务标、技术标、经济标</w:t>
      </w:r>
      <w:r>
        <w:rPr>
          <w:rFonts w:hint="eastAsia" w:asciiTheme="minorEastAsia" w:hAnsiTheme="minorEastAsia" w:eastAsiaTheme="minorEastAsia" w:cstheme="minorEastAsia"/>
          <w:sz w:val="24"/>
        </w:rPr>
        <w:t>封面右上角必须注明“正本”或“副本”字样。</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11.8.3、</w:t>
      </w:r>
      <w:r>
        <w:rPr>
          <w:rFonts w:hint="eastAsia" w:asciiTheme="minorEastAsia" w:hAnsiTheme="minorEastAsia" w:eastAsiaTheme="minorEastAsia" w:cstheme="minorEastAsia"/>
          <w:sz w:val="24"/>
          <w:szCs w:val="24"/>
        </w:rPr>
        <w:t>商务标、技术标、经济标</w:t>
      </w:r>
      <w:r>
        <w:rPr>
          <w:rFonts w:hint="eastAsia" w:asciiTheme="minorEastAsia" w:hAnsiTheme="minorEastAsia" w:eastAsiaTheme="minorEastAsia" w:cstheme="minorEastAsia"/>
          <w:sz w:val="24"/>
        </w:rPr>
        <w:t>凡是要求盖供应商章、法定代表人或授权代理人章处，供应商必须加盖。</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95" w:name="_Hlk64544612"/>
      <w:bookmarkEnd w:id="95"/>
      <w:bookmarkStart w:id="96" w:name="_Hlk131417274"/>
      <w:bookmarkEnd w:id="96"/>
      <w:bookmarkStart w:id="97" w:name="_Hlk64544613"/>
      <w:bookmarkEnd w:id="97"/>
      <w:bookmarkStart w:id="98" w:name="_Hlk40073787"/>
      <w:bookmarkEnd w:id="98"/>
      <w:bookmarkStart w:id="99" w:name="_Hlk131417275"/>
      <w:bookmarkEnd w:id="99"/>
      <w:bookmarkStart w:id="100" w:name="_Hlk131417276"/>
      <w:bookmarkEnd w:id="100"/>
      <w:bookmarkStart w:id="101" w:name="_Hlk54580744"/>
      <w:bookmarkEnd w:id="101"/>
      <w:bookmarkStart w:id="102" w:name="_Hlk64544614"/>
      <w:bookmarkEnd w:id="102"/>
      <w:bookmarkStart w:id="103" w:name="_Hlk54580743"/>
      <w:bookmarkEnd w:id="103"/>
      <w:bookmarkStart w:id="104" w:name="_Hlk54580742"/>
      <w:bookmarkEnd w:id="104"/>
      <w:bookmarkStart w:id="105" w:name="_Hlk40073789"/>
      <w:bookmarkEnd w:id="105"/>
      <w:bookmarkStart w:id="106" w:name="_Hlk40073788"/>
      <w:bookmarkEnd w:id="106"/>
      <w:r>
        <w:rPr>
          <w:rFonts w:hint="eastAsia" w:asciiTheme="minorEastAsia" w:hAnsiTheme="minorEastAsia" w:eastAsiaTheme="minorEastAsia" w:cstheme="minorEastAsia"/>
          <w:sz w:val="24"/>
        </w:rPr>
        <w:t>11.8.4、投标总价单凡是要求盖供应商章、法定代表人或授权代理人章、造价人员章处，供应商必须加盖。</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11.9、响应文件正本和副本如有不一致之处，以正本为准。</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sz w:val="24"/>
        </w:rPr>
      </w:pPr>
      <w:bookmarkStart w:id="107" w:name="_Hlk64544689"/>
      <w:bookmarkEnd w:id="107"/>
      <w:bookmarkStart w:id="108" w:name="_Hlk64544687"/>
      <w:bookmarkEnd w:id="108"/>
      <w:bookmarkStart w:id="109" w:name="_Hlk64544688"/>
      <w:bookmarkEnd w:id="109"/>
      <w:r>
        <w:rPr>
          <w:rFonts w:hint="eastAsia" w:asciiTheme="minorEastAsia" w:hAnsiTheme="minorEastAsia" w:eastAsiaTheme="minorEastAsia" w:cstheme="minorEastAsia"/>
          <w:sz w:val="24"/>
        </w:rPr>
        <w:t>11.9.1、全套响应文件应无涂改和行间插字，除非这些删改是根据采购人的指示进行的，或者是供应商造成的必须修改的错误。修改处应加盖法定代表人或授权代理人章。但技术标、经济标严禁涂改和行间插字。</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11.10、响应文件的密封与标志</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11.10.1、</w:t>
      </w:r>
      <w:r>
        <w:rPr>
          <w:rFonts w:hint="eastAsia" w:asciiTheme="minorEastAsia" w:hAnsiTheme="minorEastAsia" w:eastAsiaTheme="minorEastAsia" w:cstheme="minorEastAsia"/>
          <w:b/>
          <w:bCs/>
          <w:sz w:val="24"/>
        </w:rPr>
        <w:t>供应商必须将商务标、技术标、经济标及电子版投标文件分别密封装袋，并在封袋上正确表明“商务标”、“技术标”、“经济标”或“电子版投标文件”字样。否则整个投标文将被视为不响应磋商文件，而予以拒绝评审。</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11.10.2、商务标、技术标和经济标封袋必须在开启处密封，并加盖供应商章与法定代表人章。否则整个响应文件将被视为不响应磋商文件，而予以拒绝评审。</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11.10.3、商务标、技术标、经济标、电子版投标文件封袋上应写明采购人名称、供应商名称和工程名称。</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12．磋商响应文件格式</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12.1 供应商应按磋商文件的范本格式中提供的磋商响应文件格式填写响应文件。</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13．投标报价</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13.1除本磋商文件另有规定外，供应商应按磋商文件所附相应的投标一览表格式标明拟提供服务的单价和总价等内容。报价以人民币报价，不接受有任何选择性报价。</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13.2 投标报价应注意下列要求：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13.2.1投标报价应包括实施该项目涵盖的所有费用。</w:t>
      </w:r>
    </w:p>
    <w:p>
      <w:pPr>
        <w:pageBreakBefore w:val="0"/>
        <w:kinsoku/>
        <w:wordWrap/>
        <w:overflowPunct/>
        <w:autoSpaceDE/>
        <w:autoSpaceDN/>
        <w:bidi w:val="0"/>
        <w:adjustRightInd/>
        <w:snapToGrid/>
        <w:spacing w:line="240" w:lineRule="auto"/>
        <w:ind w:left="629" w:hanging="628" w:hangingChars="262"/>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 算术性修正。算术性修正是指对磋商响应文件的报价明细进行校核，并对其算术上和运算上的差错给予修正。修正的原则如下：</w:t>
      </w:r>
    </w:p>
    <w:p>
      <w:pPr>
        <w:pageBreakBefore w:val="0"/>
        <w:kinsoku/>
        <w:wordWrap/>
        <w:overflowPunct/>
        <w:autoSpaceDE/>
        <w:autoSpaceDN/>
        <w:bidi w:val="0"/>
        <w:adjustRightInd/>
        <w:snapToGrid/>
        <w:spacing w:line="240" w:lineRule="auto"/>
        <w:ind w:left="720" w:hanging="720" w:hangingChars="3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13.3.1 当以数字表示的金额与文字表示的金额有差异时，以文字表示的金额为准；</w:t>
      </w:r>
    </w:p>
    <w:p>
      <w:pPr>
        <w:pageBreakBefore w:val="0"/>
        <w:kinsoku/>
        <w:wordWrap/>
        <w:overflowPunct/>
        <w:autoSpaceDE/>
        <w:autoSpaceDN/>
        <w:bidi w:val="0"/>
        <w:adjustRightInd/>
        <w:snapToGrid/>
        <w:spacing w:line="240" w:lineRule="auto"/>
        <w:ind w:left="720" w:hanging="720" w:hangingChars="3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13.3.2 当单价与数量相乘不等于合价时，以单价计算为准。如果单价有明显的小数点位置差错，应以标出的合价为准，同时对单价予以修正；</w:t>
      </w:r>
    </w:p>
    <w:p>
      <w:pPr>
        <w:pageBreakBefore w:val="0"/>
        <w:kinsoku/>
        <w:wordWrap/>
        <w:overflowPunct/>
        <w:autoSpaceDE/>
        <w:autoSpaceDN/>
        <w:bidi w:val="0"/>
        <w:adjustRightInd/>
        <w:snapToGrid/>
        <w:spacing w:line="240" w:lineRule="auto"/>
        <w:ind w:left="720" w:hanging="720" w:hangingChars="3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13.3.3 当各明细部分的价格累计不等于合价时，应以各明细的累计计数为准，修正合价。</w:t>
      </w:r>
    </w:p>
    <w:p>
      <w:pPr>
        <w:pageBreakBefore w:val="0"/>
        <w:kinsoku/>
        <w:wordWrap/>
        <w:overflowPunct/>
        <w:autoSpaceDE/>
        <w:autoSpaceDN/>
        <w:bidi w:val="0"/>
        <w:adjustRightInd/>
        <w:snapToGrid/>
        <w:spacing w:line="240" w:lineRule="auto"/>
        <w:ind w:left="720" w:hanging="720" w:hangingChars="3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13.3.4 按以上原则对算术性差错修正，应取得供应商的同意，并确认修正后最终投标价。如果供应商拒绝确认，则其磋商响应文件将不予以评审并按废标处理，没收其投标担保。</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14．投标货币</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14.1人民币报价。</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15．</w:t>
      </w:r>
      <w:r>
        <w:rPr>
          <w:rFonts w:hint="eastAsia" w:asciiTheme="minorEastAsia" w:hAnsiTheme="minorEastAsia" w:eastAsiaTheme="minorEastAsia" w:cstheme="minorEastAsia"/>
          <w:bCs/>
          <w:sz w:val="24"/>
        </w:rPr>
        <w:t>供应商的证明文件：</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bCs/>
          <w:spacing w:val="8"/>
          <w:sz w:val="24"/>
          <w:szCs w:val="24"/>
        </w:rPr>
      </w:pPr>
      <w:r>
        <w:rPr>
          <w:rFonts w:hint="eastAsia" w:asciiTheme="minorEastAsia" w:hAnsiTheme="minorEastAsia" w:eastAsiaTheme="minorEastAsia" w:cstheme="minorEastAsia"/>
          <w:bCs/>
          <w:sz w:val="24"/>
        </w:rPr>
        <w:t>供应商必须提交证明其有资格进行投标和有能力履行合同的文件（范本格式），作为磋商响应文件的一部分。</w:t>
      </w:r>
    </w:p>
    <w:p>
      <w:pPr>
        <w:pageBreakBefore w:val="0"/>
        <w:kinsoku/>
        <w:wordWrap/>
        <w:overflowPunct/>
        <w:autoSpaceDE/>
        <w:autoSpaceDN/>
        <w:bidi w:val="0"/>
        <w:adjustRightInd/>
        <w:snapToGrid/>
        <w:spacing w:line="240" w:lineRule="auto"/>
        <w:ind w:left="73" w:leftChars="35"/>
        <w:textAlignment w:val="auto"/>
        <w:rPr>
          <w:rFonts w:asciiTheme="minorEastAsia" w:hAnsiTheme="minorEastAsia" w:eastAsiaTheme="minorEastAsia" w:cstheme="minorEastAsia"/>
          <w:b/>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b/>
          <w:spacing w:val="8"/>
          <w:sz w:val="24"/>
          <w:szCs w:val="24"/>
        </w:rPr>
        <w:t>注：</w:t>
      </w:r>
      <w:r>
        <w:rPr>
          <w:rFonts w:hint="eastAsia" w:asciiTheme="minorEastAsia" w:hAnsiTheme="minorEastAsia" w:eastAsiaTheme="minorEastAsia" w:cstheme="minorEastAsia"/>
          <w:b/>
          <w:color w:val="000000" w:themeColor="text1"/>
          <w:spacing w:val="8"/>
          <w:sz w:val="24"/>
          <w:szCs w:val="24"/>
          <w14:textFill>
            <w14:solidFill>
              <w14:schemeClr w14:val="tx1"/>
            </w14:solidFill>
          </w14:textFill>
        </w:rPr>
        <w:t>（1）磋商响应文件中，所有供应商签字、法人代表签字、法人代表授权人签字和其它签字处须同时加盖有关有法律效力的印章方为有效；</w:t>
      </w:r>
    </w:p>
    <w:p>
      <w:pPr>
        <w:pageBreakBefore w:val="0"/>
        <w:kinsoku/>
        <w:wordWrap/>
        <w:overflowPunct/>
        <w:autoSpaceDE/>
        <w:autoSpaceDN/>
        <w:bidi w:val="0"/>
        <w:adjustRightInd/>
        <w:snapToGrid/>
        <w:spacing w:line="240" w:lineRule="auto"/>
        <w:ind w:firstLine="482" w:firstLineChars="2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（2）所有资格证明文件必须满足磋商文件要求，否则将导致废标。</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 投标服务符合磋商文件规定的技术响应文件</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16.1供应商须提交证明拟供服务符合磋商文件规定的技术响应文件，作为磋商响应文件的一部分。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16.2上述文件可以是文字资料、图纸和数据，没有按要求提供资料或提供资料不完全，将是对本次招标没有作出实质性响应，其风险由供应商自行承担。</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17．投标的有效期</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17.1</w:t>
      </w:r>
      <w:r>
        <w:rPr>
          <w:rFonts w:hint="eastAsia" w:asciiTheme="minorEastAsia" w:hAnsiTheme="minorEastAsia" w:eastAsiaTheme="minorEastAsia" w:cstheme="minorEastAsia"/>
          <w:b/>
          <w:sz w:val="24"/>
        </w:rPr>
        <w:t xml:space="preserve"> 磋商响应文件从开标之日起，投标有效期为60天。（如不满足将导致废标）</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17.2 在特殊情况下，招标代理机构可与供应商商量延长磋商响应文件的有效期。</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18．磋商响应文件的书写要求。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18.1 磋商响应文件须打印。</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18.2 磋商响应文件应清楚工整，修改处应由投标全权代表签章。</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18.3磋商响应文件应由法人代表或法人授权代表在凡规定签章处逐一签署及加盖单位的公章。</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18.4电报、电话、传真形式的投标概不接受。</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18.5磋商响应文件的份数：按磋商文件规定提供。</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19．投标保证金</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19.1于投标截止时间前向招标代理机构交纳投标保证金。</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19.2 本次招标不接受现金作为投标保证金，</w:t>
      </w:r>
      <w:r>
        <w:rPr>
          <w:rFonts w:hint="eastAsia" w:asciiTheme="minorEastAsia" w:hAnsiTheme="minorEastAsia" w:eastAsiaTheme="minorEastAsia" w:cstheme="minorEastAsia"/>
          <w:sz w:val="24"/>
          <w:szCs w:val="24"/>
        </w:rPr>
        <w:t>投标保证金有效期应当与投标有效期一致</w:t>
      </w:r>
      <w:r>
        <w:rPr>
          <w:rFonts w:hint="eastAsia" w:asciiTheme="minorEastAsia" w:hAnsiTheme="minorEastAsia" w:eastAsiaTheme="minorEastAsia" w:cstheme="minorEastAsia"/>
          <w:sz w:val="24"/>
        </w:rPr>
        <w:t>。</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19.3投标保证金的退还时间：</w:t>
      </w:r>
    </w:p>
    <w:p>
      <w:pPr>
        <w:pageBreakBefore w:val="0"/>
        <w:kinsoku/>
        <w:wordWrap/>
        <w:overflowPunct/>
        <w:autoSpaceDE/>
        <w:autoSpaceDN/>
        <w:bidi w:val="0"/>
        <w:adjustRightInd/>
        <w:snapToGrid/>
        <w:spacing w:line="240" w:lineRule="auto"/>
        <w:ind w:left="708" w:hanging="708" w:hangingChars="295"/>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19.3.1 在成交通知书发出后5个工作日内退还未中标供应商的投标保证金，在采购合同签订后5个工作日内退还中标供应商的投标保证金。</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19.4</w:t>
      </w:r>
      <w:r>
        <w:rPr>
          <w:rFonts w:hint="eastAsia" w:asciiTheme="minorEastAsia" w:hAnsiTheme="minorEastAsia" w:eastAsiaTheme="minorEastAsia" w:cstheme="minorEastAsia"/>
          <w:b/>
          <w:sz w:val="24"/>
        </w:rPr>
        <w:t>未按规定提交投标保证金的投标，将被视为投标无效。</w:t>
      </w:r>
    </w:p>
    <w:p>
      <w:pPr>
        <w:pStyle w:val="10"/>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19.5下列任何情况发生时，投标保证金将被没收：</w:t>
      </w:r>
    </w:p>
    <w:p>
      <w:pPr>
        <w:pStyle w:val="10"/>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19.5.1供应商在磋商文件规定的投标有效期内撤回其投标；</w:t>
      </w:r>
    </w:p>
    <w:p>
      <w:pPr>
        <w:pStyle w:val="10"/>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19.5.2成交方在规定期限内未能：</w:t>
      </w:r>
    </w:p>
    <w:p>
      <w:pPr>
        <w:pStyle w:val="10"/>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19.5.2.1按本须知第31条规定签订合同； </w:t>
      </w:r>
    </w:p>
    <w:p>
      <w:pPr>
        <w:pStyle w:val="10"/>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19.5.2.2按须知第32条向采购人提交履约保证金；</w:t>
      </w:r>
    </w:p>
    <w:p>
      <w:pPr>
        <w:pStyle w:val="10"/>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19.5.2.3按本须知第33条规定向招标代理机构交纳招标代理服务费。</w:t>
      </w:r>
    </w:p>
    <w:p>
      <w:pPr>
        <w:pStyle w:val="4"/>
        <w:pageBreakBefore w:val="0"/>
        <w:kinsoku/>
        <w:wordWrap/>
        <w:overflowPunct/>
        <w:autoSpaceDE/>
        <w:autoSpaceDN/>
        <w:bidi w:val="0"/>
        <w:adjustRightInd/>
        <w:snapToGrid/>
        <w:spacing w:before="100" w:beforeAutospacing="1" w:after="100" w:afterAutospacing="1" w:line="240" w:lineRule="auto"/>
        <w:jc w:val="center"/>
        <w:textAlignment w:val="auto"/>
        <w:rPr>
          <w:rFonts w:asciiTheme="minorEastAsia" w:hAnsiTheme="minorEastAsia" w:eastAsiaTheme="minorEastAsia" w:cstheme="minorEastAsia"/>
          <w:sz w:val="28"/>
          <w:szCs w:val="28"/>
        </w:rPr>
      </w:pPr>
      <w:bookmarkStart w:id="110" w:name="_Toc527642955"/>
      <w:bookmarkStart w:id="111" w:name="_Toc298240408"/>
      <w:bookmarkStart w:id="112" w:name="_Toc267301285"/>
      <w:bookmarkStart w:id="113" w:name="_Toc349637923"/>
      <w:bookmarkStart w:id="114" w:name="_Toc349573124"/>
      <w:r>
        <w:rPr>
          <w:rFonts w:hint="eastAsia" w:asciiTheme="minorEastAsia" w:hAnsiTheme="minorEastAsia" w:eastAsiaTheme="minorEastAsia" w:cstheme="minorEastAsia"/>
          <w:sz w:val="28"/>
          <w:szCs w:val="28"/>
        </w:rPr>
        <w:t>D  磋商响应文件的递交</w:t>
      </w:r>
      <w:bookmarkEnd w:id="110"/>
      <w:bookmarkEnd w:id="111"/>
      <w:bookmarkEnd w:id="112"/>
      <w:bookmarkEnd w:id="113"/>
      <w:bookmarkEnd w:id="114"/>
    </w:p>
    <w:p>
      <w:pPr>
        <w:pageBreakBefore w:val="0"/>
        <w:numPr>
          <w:ilvl w:val="0"/>
          <w:numId w:val="3"/>
        </w:numPr>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磋商文件装订要求：磋商响应文件要求不得活页装订。</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 磋商响应文件递交截止时间</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b/>
          <w:bCs/>
          <w:color w:val="auto"/>
          <w:sz w:val="24"/>
          <w:szCs w:val="22"/>
        </w:rPr>
      </w:pPr>
      <w:r>
        <w:rPr>
          <w:rFonts w:hint="eastAsia" w:asciiTheme="minorEastAsia" w:hAnsiTheme="minorEastAsia" w:eastAsiaTheme="minorEastAsia" w:cstheme="minorEastAsia"/>
          <w:sz w:val="24"/>
          <w:szCs w:val="22"/>
        </w:rPr>
        <w:t>21.1 磋商响应文件递交得截止时间：</w:t>
      </w:r>
      <w:r>
        <w:rPr>
          <w:rFonts w:hint="eastAsia" w:asciiTheme="minorEastAsia" w:hAnsiTheme="minorEastAsia" w:eastAsiaTheme="minorEastAsia" w:cstheme="minorEastAsia"/>
          <w:b/>
          <w:bCs/>
          <w:color w:val="auto"/>
          <w:sz w:val="24"/>
          <w:szCs w:val="22"/>
          <w:lang w:val="en-US" w:eastAsia="zh-CN"/>
        </w:rPr>
        <w:t>2022</w:t>
      </w:r>
      <w:r>
        <w:rPr>
          <w:rFonts w:hint="eastAsia" w:asciiTheme="minorEastAsia" w:hAnsiTheme="minorEastAsia" w:eastAsiaTheme="minorEastAsia" w:cstheme="minorEastAsia"/>
          <w:b/>
          <w:bCs/>
          <w:color w:val="auto"/>
          <w:sz w:val="24"/>
          <w:szCs w:val="22"/>
        </w:rPr>
        <w:t>年</w:t>
      </w:r>
      <w:r>
        <w:rPr>
          <w:rFonts w:hint="eastAsia" w:asciiTheme="minorEastAsia" w:hAnsiTheme="minorEastAsia" w:eastAsiaTheme="minorEastAsia" w:cstheme="minorEastAsia"/>
          <w:b/>
          <w:bCs/>
          <w:color w:val="auto"/>
          <w:sz w:val="24"/>
          <w:szCs w:val="22"/>
          <w:lang w:val="en-US" w:eastAsia="zh-CN"/>
        </w:rPr>
        <w:t>12</w:t>
      </w:r>
      <w:r>
        <w:rPr>
          <w:rFonts w:hint="eastAsia" w:asciiTheme="minorEastAsia" w:hAnsiTheme="minorEastAsia" w:eastAsiaTheme="minorEastAsia" w:cstheme="minorEastAsia"/>
          <w:b/>
          <w:bCs/>
          <w:color w:val="auto"/>
          <w:sz w:val="24"/>
          <w:szCs w:val="22"/>
        </w:rPr>
        <w:t>月</w:t>
      </w:r>
      <w:r>
        <w:rPr>
          <w:rFonts w:hint="eastAsia" w:asciiTheme="minorEastAsia" w:hAnsiTheme="minorEastAsia" w:eastAsiaTheme="minorEastAsia" w:cstheme="minorEastAsia"/>
          <w:b/>
          <w:bCs/>
          <w:color w:val="auto"/>
          <w:sz w:val="24"/>
          <w:szCs w:val="22"/>
          <w:lang w:val="en-US" w:eastAsia="zh-CN"/>
        </w:rPr>
        <w:t>06</w:t>
      </w:r>
      <w:r>
        <w:rPr>
          <w:rFonts w:hint="eastAsia" w:asciiTheme="minorEastAsia" w:hAnsiTheme="minorEastAsia" w:eastAsiaTheme="minorEastAsia" w:cstheme="minorEastAsia"/>
          <w:b/>
          <w:bCs/>
          <w:color w:val="auto"/>
          <w:sz w:val="24"/>
          <w:szCs w:val="22"/>
        </w:rPr>
        <w:t>日</w:t>
      </w:r>
      <w:r>
        <w:rPr>
          <w:rFonts w:hint="eastAsia" w:asciiTheme="minorEastAsia" w:hAnsiTheme="minorEastAsia" w:eastAsiaTheme="minorEastAsia" w:cstheme="minorEastAsia"/>
          <w:b/>
          <w:bCs/>
          <w:color w:val="auto"/>
          <w:sz w:val="24"/>
          <w:szCs w:val="22"/>
          <w:lang w:val="en-US" w:eastAsia="zh-CN"/>
        </w:rPr>
        <w:t>16</w:t>
      </w:r>
      <w:r>
        <w:rPr>
          <w:rFonts w:hint="eastAsia" w:asciiTheme="minorEastAsia" w:hAnsiTheme="minorEastAsia" w:eastAsiaTheme="minorEastAsia" w:cstheme="minorEastAsia"/>
          <w:b/>
          <w:bCs/>
          <w:color w:val="auto"/>
          <w:sz w:val="24"/>
          <w:szCs w:val="22"/>
        </w:rPr>
        <w:t>时</w:t>
      </w:r>
      <w:r>
        <w:rPr>
          <w:rFonts w:hint="eastAsia" w:asciiTheme="minorEastAsia" w:hAnsiTheme="minorEastAsia" w:eastAsiaTheme="minorEastAsia" w:cstheme="minorEastAsia"/>
          <w:b/>
          <w:bCs/>
          <w:color w:val="auto"/>
          <w:sz w:val="24"/>
          <w:szCs w:val="22"/>
          <w:lang w:val="en-US" w:eastAsia="zh-CN"/>
        </w:rPr>
        <w:t>00</w:t>
      </w:r>
      <w:r>
        <w:rPr>
          <w:rFonts w:hint="eastAsia" w:asciiTheme="minorEastAsia" w:hAnsiTheme="minorEastAsia" w:eastAsiaTheme="minorEastAsia" w:cstheme="minorEastAsia"/>
          <w:b/>
          <w:bCs/>
          <w:color w:val="auto"/>
          <w:sz w:val="24"/>
          <w:szCs w:val="22"/>
        </w:rPr>
        <w:t>分</w:t>
      </w:r>
    </w:p>
    <w:p>
      <w:pPr>
        <w:pageBreakBefore w:val="0"/>
        <w:kinsoku/>
        <w:wordWrap/>
        <w:overflowPunct/>
        <w:autoSpaceDE/>
        <w:autoSpaceDN/>
        <w:bidi w:val="0"/>
        <w:adjustRightInd/>
        <w:snapToGrid/>
        <w:spacing w:line="240" w:lineRule="auto"/>
        <w:ind w:left="540" w:leftChars="257"/>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磋商响应文件以密封形式递交至：</w:t>
      </w:r>
      <w:r>
        <w:rPr>
          <w:rFonts w:hint="eastAsia" w:asciiTheme="minorEastAsia" w:hAnsiTheme="minorEastAsia" w:eastAsiaTheme="minorEastAsia" w:cstheme="minorEastAsia"/>
          <w:b/>
          <w:bCs/>
          <w:sz w:val="24"/>
        </w:rPr>
        <w:t>伊宁市政务服务中心5楼开标室</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所有磋商响应文件都必须按招标代理机构在磋商文件中规定的投标截止时间之前送到磋商文件规定的地点。</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 出现第8.2款因磋商文件的修改推迟投标截止时间时，则按招标代理机构修改通知规定的时间递交。</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22．磋商响应文件的修改和撤销</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22.1</w:t>
      </w:r>
      <w:r>
        <w:rPr>
          <w:rFonts w:hint="eastAsia" w:asciiTheme="minorEastAsia" w:hAnsiTheme="minorEastAsia" w:eastAsiaTheme="minorEastAsia" w:cstheme="minorEastAsia"/>
          <w:color w:val="FF0000"/>
          <w:sz w:val="24"/>
        </w:rPr>
        <w:t xml:space="preserve"> </w:t>
      </w:r>
      <w:r>
        <w:rPr>
          <w:rFonts w:hint="eastAsia" w:asciiTheme="minorEastAsia" w:hAnsiTheme="minorEastAsia" w:eastAsiaTheme="minorEastAsia" w:cstheme="minorEastAsia"/>
          <w:sz w:val="24"/>
        </w:rPr>
        <w:t>供应商在投标截止时间之前可对其磋商响应文件进行修改或撤销，但招标代理机构须在投标截止时间之前收到该修改或撤销的书面通知，该通知须有经正式授权的供应商代表签字。</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22.2 投标截止时间以后不得修改磋商响应文件。</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22.3 供应商不得在开标时间起至投标有效期期满前撤销磋商响应文件。否则其投标保证金将不予退还。</w:t>
      </w:r>
      <w:bookmarkStart w:id="115" w:name="_Toc298240409"/>
      <w:bookmarkStart w:id="116" w:name="_Toc349637924"/>
      <w:bookmarkStart w:id="117" w:name="_Toc267301286"/>
      <w:bookmarkStart w:id="118" w:name="_Toc349573125"/>
      <w:bookmarkStart w:id="119" w:name="_Toc527642956"/>
    </w:p>
    <w:p>
      <w:pPr>
        <w:pageBreakBefore w:val="0"/>
        <w:kinsoku/>
        <w:wordWrap/>
        <w:overflowPunct/>
        <w:autoSpaceDE/>
        <w:autoSpaceDN/>
        <w:bidi w:val="0"/>
        <w:adjustRightInd/>
        <w:snapToGrid/>
        <w:spacing w:line="240" w:lineRule="auto"/>
        <w:ind w:left="703" w:hanging="703" w:hangingChars="250"/>
        <w:jc w:val="center"/>
        <w:textAlignment w:val="auto"/>
        <w:rPr>
          <w:rFonts w:hint="eastAsia" w:asciiTheme="minorEastAsia" w:hAnsiTheme="minorEastAsia" w:eastAsiaTheme="minorEastAsia" w:cstheme="minorEastAsia"/>
          <w:b/>
          <w:bCs/>
          <w:sz w:val="28"/>
          <w:szCs w:val="28"/>
        </w:rPr>
      </w:pPr>
    </w:p>
    <w:p>
      <w:pPr>
        <w:pageBreakBefore w:val="0"/>
        <w:kinsoku/>
        <w:wordWrap/>
        <w:overflowPunct/>
        <w:autoSpaceDE/>
        <w:autoSpaceDN/>
        <w:bidi w:val="0"/>
        <w:adjustRightInd/>
        <w:snapToGrid/>
        <w:spacing w:line="240" w:lineRule="auto"/>
        <w:ind w:left="703" w:hanging="703" w:hangingChars="250"/>
        <w:jc w:val="center"/>
        <w:textAlignment w:val="auto"/>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E  磋商程序</w:t>
      </w:r>
      <w:bookmarkEnd w:id="115"/>
      <w:bookmarkEnd w:id="116"/>
      <w:bookmarkEnd w:id="117"/>
      <w:bookmarkEnd w:id="118"/>
      <w:bookmarkEnd w:id="119"/>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23．磋商小组组成及职责 </w:t>
      </w:r>
    </w:p>
    <w:p>
      <w:pPr>
        <w:pageBreakBefore w:val="0"/>
        <w:kinsoku/>
        <w:wordWrap/>
        <w:overflowPunct/>
        <w:autoSpaceDE/>
        <w:autoSpaceDN/>
        <w:bidi w:val="0"/>
        <w:adjustRightInd/>
        <w:snapToGrid/>
        <w:spacing w:line="240" w:lineRule="auto"/>
        <w:ind w:left="480" w:hanging="480" w:hangingChars="200"/>
        <w:textAlignment w:val="auto"/>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sz w:val="24"/>
        </w:rPr>
        <w:t>23.1、</w:t>
      </w:r>
      <w:r>
        <w:rPr>
          <w:rFonts w:hint="eastAsia" w:asciiTheme="minorEastAsia" w:hAnsiTheme="minorEastAsia" w:eastAsiaTheme="minorEastAsia" w:cstheme="minorEastAsia"/>
          <w:color w:val="000000" w:themeColor="text1"/>
          <w:sz w:val="24"/>
          <w14:textFill>
            <w14:solidFill>
              <w14:schemeClr w14:val="tx1"/>
            </w14:solidFill>
          </w14:textFill>
        </w:rPr>
        <w:t>磋商小组组成：在磋商开始前，组建磋商小组共3人组成，磋商小组成员由采购人代表及有关技术、经济等方面的专家组成，其中技术、经济类专家人数不少于总人数的 2/3。</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23.2、磋商小组职责</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23.2.1、准时参加磋商评审会议。</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23.2.2、确定合格的供应商参加磋商。</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供应商提供相应的资格审查证件资料原件由磋商小组核查（详见前附表）。满足要求的投标人为有效投标人。不满足要求的,其投标将予以拒绝。上述证件的公证件，本次招标不予认可。</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23.2.3、审查供应商的磋商响应文件并做出评价。</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23.2.4、要求供应商解释或者澄清其磋商响应文件。</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23.2.5、编写磋商评审报告。 </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24.磋商活动将按以下七个步骤进行：</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（1）标前会议；</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（2）初步评审；</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（3）澄清说明或补证；</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（4）磋商小组所有成员集中与单一供应商分别进行磋商；</w:t>
      </w:r>
    </w:p>
    <w:p>
      <w:pPr>
        <w:pStyle w:val="18"/>
        <w:pageBreakBefore w:val="0"/>
        <w:kinsoku/>
        <w:wordWrap/>
        <w:overflowPunct/>
        <w:autoSpaceDE/>
        <w:autoSpaceDN/>
        <w:bidi w:val="0"/>
        <w:adjustRightInd/>
        <w:snapToGrid/>
        <w:spacing w:line="240" w:lineRule="auto"/>
        <w:ind w:firstLine="0" w:firstLineChars="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（5）最后报价</w:t>
      </w:r>
    </w:p>
    <w:p>
      <w:pPr>
        <w:pStyle w:val="18"/>
        <w:pageBreakBefore w:val="0"/>
        <w:kinsoku/>
        <w:wordWrap/>
        <w:overflowPunct/>
        <w:autoSpaceDE/>
        <w:autoSpaceDN/>
        <w:bidi w:val="0"/>
        <w:adjustRightInd/>
        <w:snapToGrid/>
        <w:spacing w:line="240" w:lineRule="auto"/>
        <w:ind w:firstLine="0" w:firstLineChars="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（6）详细评审（包括技术标评定、商务标评定）；</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（7）按照评审得分由高到低顺序推荐3名以上成交候选供应商，并编写评</w:t>
      </w:r>
      <w:r>
        <w:rPr>
          <w:rFonts w:hint="eastAsia" w:asciiTheme="minorEastAsia" w:hAnsiTheme="minorEastAsia" w:eastAsiaTheme="minorEastAsia" w:cstheme="minorEastAsia"/>
          <w:sz w:val="24"/>
          <w:lang w:eastAsia="zh-CN"/>
        </w:rPr>
        <w:t>标</w:t>
      </w:r>
      <w:r>
        <w:rPr>
          <w:rFonts w:hint="eastAsia" w:asciiTheme="minorEastAsia" w:hAnsiTheme="minorEastAsia" w:eastAsiaTheme="minorEastAsia" w:cstheme="minorEastAsia"/>
          <w:sz w:val="24"/>
        </w:rPr>
        <w:t>报告。</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24.2 磋商时，供应商应在密封的磋商响应文件之外随身携带磋商代表授权委托书原件及其身份证原件及磋商文件规定的其他内容。本次磋商按磋商文件中磋商邀请规定的时间地点进行磋商，将邀请供应商的法定代表人或其授权委托人准时参加磋商会。</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24.3</w:t>
      </w:r>
      <w:r>
        <w:rPr>
          <w:rFonts w:hint="eastAsia" w:asciiTheme="minorEastAsia" w:hAnsiTheme="minorEastAsia" w:eastAsiaTheme="minorEastAsia" w:cstheme="minorEastAsia"/>
          <w:sz w:val="24"/>
          <w:szCs w:val="24"/>
        </w:rPr>
        <w:t>宣布磋商响应文件开启顺序</w:t>
      </w:r>
      <w:r>
        <w:rPr>
          <w:rFonts w:hint="eastAsia" w:asciiTheme="minorEastAsia" w:hAnsiTheme="minorEastAsia" w:eastAsiaTheme="minorEastAsia" w:cstheme="minorEastAsia"/>
          <w:sz w:val="30"/>
          <w:szCs w:val="30"/>
        </w:rPr>
        <w:t>。</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24.4 磋商时检查磋商响应文件密封情况。</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24.5 磋商原则在磋商会议上宣布。</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24.6 对采购方的纪律要求</w:t>
      </w:r>
    </w:p>
    <w:p>
      <w:pPr>
        <w:pageBreakBefore w:val="0"/>
        <w:kinsoku/>
        <w:wordWrap/>
        <w:overflowPunct/>
        <w:autoSpaceDE/>
        <w:autoSpaceDN/>
        <w:bidi w:val="0"/>
        <w:adjustRightInd/>
        <w:snapToGrid/>
        <w:spacing w:line="240" w:lineRule="auto"/>
        <w:ind w:left="720" w:hanging="720" w:hangingChars="3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采购方不得泄露磋商活动中应当保密的情况和资料，不得与供应商串通损害国家利益、</w:t>
      </w:r>
    </w:p>
    <w:p>
      <w:pPr>
        <w:pageBreakBefore w:val="0"/>
        <w:kinsoku/>
        <w:wordWrap/>
        <w:overflowPunct/>
        <w:autoSpaceDE/>
        <w:autoSpaceDN/>
        <w:bidi w:val="0"/>
        <w:adjustRightInd/>
        <w:snapToGrid/>
        <w:spacing w:line="240" w:lineRule="auto"/>
        <w:ind w:left="720" w:hanging="720" w:hangingChars="3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社会公共利益或者他人合法权益。</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24.7对供应商的纪律要求</w:t>
      </w:r>
    </w:p>
    <w:p>
      <w:pPr>
        <w:pageBreakBefore w:val="0"/>
        <w:kinsoku/>
        <w:wordWrap/>
        <w:overflow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供应商不得互相串通磋商或者与采购人串通磋商，不得向采购人或者磋商小组成员行贿</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谋取成交，不得以他人名义磋商或者以其他方式弄虚作假骗取成交；供应商不得以任何方式干扰、影响磋商工作。</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24.8 对与磋商活动有关的工作人员的纪律要求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24.9对磋商小组成员要求磋商纪律</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24.9.1磋商小组应当依照有关法律法规的规定，按照磋商文件确定的磋商标准和办法客观、公正的对磋商响应文件提出评审意见。磋商文件设有规定的磋商标准和方法不得作为磋商依据。</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24.9.2磋商小组成员不得私下接触供应商，不得收受供应商给予的财务或者其他好处，不得向采购方征询确定成交方意向。</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24.9.3不得接受任何单位或个人明示或暗示提出的倾向或排斥特定供应商的要求。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24.9.4不得有其他不客观，不公正履行职务的行为。</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25．磋商过程</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25.1 磋商的依据为磋商文件和磋商响应文件。</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25.2 磋商后磋商小组审查磋商响应文件是否完整，是否有计算错误，要求的保证金是否提供，文件是否恰当地签署。</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25.3 在对磋商响应文件进行详细评估之前，监督人员或招标代理机构将依据供应商提供的资格证明文件审查供应商的财务、技术和生产能力。如果确定供应商无资格履行合同，其投标将被拒绝。</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25.4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采购人的权利和供应商的义务的规定，而纠正这些偏离将影响到其他提交实质性响应投标的供应商的公平竞争地位。   </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26．磋商响应文件的澄清</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26.1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26.2 要澄清的答复应是书面的，但不得对磋商内容进行实质性修改。澄清文件须由供应商法人代表或法人授权代表签字和/或加盖公章并作为磋商响应文件的组成部分。</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26.3 磋商结束后，磋商小组要求所有参加磋商的供应商在规定的时间内进行</w:t>
      </w:r>
      <w:r>
        <w:rPr>
          <w:rFonts w:hint="eastAsia" w:asciiTheme="minorEastAsia" w:hAnsiTheme="minorEastAsia" w:eastAsiaTheme="minorEastAsia" w:cstheme="minorEastAsia"/>
          <w:sz w:val="24"/>
          <w:szCs w:val="24"/>
        </w:rPr>
        <w:t>最后报价</w:t>
      </w:r>
      <w:r>
        <w:rPr>
          <w:rFonts w:hint="eastAsia" w:asciiTheme="minorEastAsia" w:hAnsiTheme="minorEastAsia" w:eastAsiaTheme="minorEastAsia" w:cstheme="minorEastAsia"/>
          <w:sz w:val="24"/>
        </w:rPr>
        <w:t>。</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27．确定成交供应商的办法</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27</w:t>
      </w:r>
      <w:r>
        <w:rPr>
          <w:rFonts w:hint="eastAsia" w:asciiTheme="minorEastAsia" w:hAnsiTheme="minorEastAsia" w:eastAsiaTheme="minorEastAsia" w:cstheme="minorEastAsia"/>
          <w:bCs/>
          <w:sz w:val="24"/>
        </w:rPr>
        <w:t>.1磋商小组按照磋商文件要求对磋商响应文件中重要技术指标以及技术、经济和商务上要求的其它重要内容进行审核。</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27</w:t>
      </w:r>
      <w:r>
        <w:rPr>
          <w:rFonts w:hint="eastAsia" w:asciiTheme="minorEastAsia" w:hAnsiTheme="minorEastAsia" w:eastAsiaTheme="minorEastAsia" w:cstheme="minorEastAsia"/>
          <w:bCs/>
          <w:sz w:val="24"/>
        </w:rPr>
        <w:t>.2磋商小组和供应商磋商过程中作出的书面承诺是否符合磋商文件中对质量、技术、经济和服务的要求。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27</w:t>
      </w:r>
      <w:r>
        <w:rPr>
          <w:rFonts w:hint="eastAsia" w:asciiTheme="minorEastAsia" w:hAnsiTheme="minorEastAsia" w:eastAsiaTheme="minorEastAsia" w:cstheme="minorEastAsia"/>
          <w:bCs/>
          <w:sz w:val="24"/>
        </w:rPr>
        <w:t>.3</w:t>
      </w:r>
      <w:r>
        <w:rPr>
          <w:rFonts w:hint="eastAsia" w:asciiTheme="minorEastAsia" w:hAnsiTheme="minorEastAsia" w:eastAsiaTheme="minorEastAsia" w:cstheme="minorEastAsia"/>
          <w:sz w:val="24"/>
          <w:szCs w:val="24"/>
          <w:shd w:val="clear" w:color="auto" w:fill="FFFFFF"/>
        </w:rPr>
        <w:t>经磋商确定最终采购需求和提交最终报价的供应商后，由磋商小组采用综合评分法对提交最终报价的供应商的响应文件和最终报价进行综合评分。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2"/>
        </w:rPr>
        <w:t xml:space="preserve">27 </w:t>
      </w:r>
      <w:r>
        <w:rPr>
          <w:rFonts w:hint="eastAsia" w:asciiTheme="minorEastAsia" w:hAnsiTheme="minorEastAsia" w:eastAsiaTheme="minorEastAsia" w:cstheme="minorEastAsia"/>
          <w:sz w:val="24"/>
          <w:szCs w:val="24"/>
          <w:shd w:val="clear" w:color="auto" w:fill="FFFFFF"/>
        </w:rPr>
        <w:t>评审标准</w:t>
      </w:r>
    </w:p>
    <w:p>
      <w:pPr>
        <w:pStyle w:val="25"/>
        <w:pageBreakBefore w:val="0"/>
        <w:widowControl/>
        <w:kinsoku/>
        <w:wordWrap/>
        <w:overflowPunct/>
        <w:autoSpaceDE/>
        <w:autoSpaceDN/>
        <w:bidi w:val="0"/>
        <w:adjustRightInd/>
        <w:snapToGrid/>
        <w:spacing w:line="240" w:lineRule="auto"/>
        <w:ind w:firstLine="361" w:firstLineChars="150"/>
        <w:textAlignment w:val="auto"/>
        <w:rPr>
          <w:rFonts w:asciiTheme="minorEastAsia" w:hAnsiTheme="minorEastAsia" w:eastAsiaTheme="minorEastAsia" w:cstheme="minorEastAsia"/>
          <w:color w:val="000000" w:themeColor="text1"/>
          <w:szCs w:val="24"/>
          <w14:textFill>
            <w14:solidFill>
              <w14:schemeClr w14:val="tx1"/>
            </w14:solidFill>
          </w14:textFill>
        </w:rPr>
      </w:pPr>
      <w:bookmarkStart w:id="120" w:name="_Toc18339"/>
      <w:bookmarkStart w:id="121" w:name="_Toc7276"/>
      <w:r>
        <w:rPr>
          <w:rFonts w:hint="eastAsia" w:asciiTheme="minorEastAsia" w:hAnsiTheme="minorEastAsia" w:eastAsiaTheme="minorEastAsia" w:cstheme="minorEastAsia"/>
          <w:color w:val="000000" w:themeColor="text1"/>
          <w:szCs w:val="24"/>
          <w14:textFill>
            <w14:solidFill>
              <w14:schemeClr w14:val="tx1"/>
            </w14:solidFill>
          </w14:textFill>
        </w:rPr>
        <w:t>27.1 初步评审标准</w:t>
      </w:r>
      <w:bookmarkEnd w:id="120"/>
      <w:bookmarkEnd w:id="121"/>
    </w:p>
    <w:p>
      <w:pPr>
        <w:pageBreakBefore w:val="0"/>
        <w:kinsoku/>
        <w:wordWrap/>
        <w:overflowPunct/>
        <w:autoSpaceDE/>
        <w:autoSpaceDN/>
        <w:bidi w:val="0"/>
        <w:adjustRightInd/>
        <w:snapToGrid/>
        <w:spacing w:line="240" w:lineRule="auto"/>
        <w:ind w:firstLine="361" w:firstLineChars="150"/>
        <w:textAlignment w:val="auto"/>
        <w:rPr>
          <w:rFonts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2"/>
        </w:rPr>
        <w:t>27.1.1</w:t>
      </w:r>
      <w:r>
        <w:rPr>
          <w:rFonts w:hint="eastAsia" w:asciiTheme="minorEastAsia" w:hAnsiTheme="minorEastAsia" w:eastAsiaTheme="minorEastAsia" w:cstheme="minorEastAsia"/>
          <w:b/>
          <w:bCs w:val="0"/>
          <w:sz w:val="24"/>
          <w:szCs w:val="24"/>
        </w:rPr>
        <w:t>初步评审标准-形式评审：</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（1）投标保证金的缴纳主体与供应商不一致的，没有按照磋商文件要求提供投标担保，或者所提供的投标担保有瑕疵的；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（2）供应商的项目负责人不是供应商的注册执业人员，或者不具备项目负责人资格条件的；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（3）磋商响应文件没有投标单位法定代表人或其授权代表签字和加盖投标单位公章的；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投标工程的完成期限超过磋商文件规定期限的；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b/>
          <w:bCs/>
          <w:sz w:val="24"/>
          <w:szCs w:val="24"/>
          <w:highlight w:val="none"/>
        </w:rPr>
        <w:t>供应商项目负责人要求：注册建造师证（应具备</w:t>
      </w:r>
      <w:r>
        <w:rPr>
          <w:rFonts w:hint="eastAsia" w:asciiTheme="minorEastAsia" w:hAnsiTheme="minorEastAsia" w:eastAsiaTheme="minorEastAsia" w:cstheme="minorEastAsia"/>
          <w:b/>
          <w:bCs/>
          <w:sz w:val="24"/>
          <w:szCs w:val="24"/>
          <w:highlight w:val="none"/>
          <w:lang w:val="en-US" w:eastAsia="zh-CN"/>
        </w:rPr>
        <w:t>市政公用工程专业</w:t>
      </w:r>
      <w:r>
        <w:rPr>
          <w:rFonts w:hint="eastAsia" w:asciiTheme="minorEastAsia" w:hAnsiTheme="minorEastAsia" w:eastAsiaTheme="minorEastAsia" w:cstheme="minorEastAsia"/>
          <w:b/>
          <w:bCs/>
          <w:sz w:val="24"/>
          <w:szCs w:val="24"/>
          <w:highlight w:val="none"/>
        </w:rPr>
        <w:t>贰级及以上注册建造师执业资格）、具有有效的安全生产考核证，必须为本单位注册，且未担任其它在施建设工程项目的负责人</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不接受临时注册建造师；</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（6）磋商文件载明的技术规格、技术标准、货物包装方式、检验标准和方法等，不符合磋商文件要求的；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（7）磋商文件附有招标人不能接受条件的；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（8）不满足磋商文件实质性要求的其他情形。</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2"/>
          <w14:textFill>
            <w14:solidFill>
              <w14:schemeClr w14:val="tx1"/>
            </w14:solidFill>
          </w14:textFill>
        </w:rPr>
        <w:t>27.2</w:t>
      </w:r>
      <w:r>
        <w:rPr>
          <w:rFonts w:hint="eastAsia" w:asciiTheme="minorEastAsia" w:hAnsiTheme="minorEastAsia" w:eastAsiaTheme="minorEastAsia" w:cstheme="minorEastAsia"/>
          <w:b/>
          <w:color w:val="000000" w:themeColor="text1"/>
          <w:sz w:val="24"/>
          <w:szCs w:val="24"/>
          <w14:textFill>
            <w14:solidFill>
              <w14:schemeClr w14:val="tx1"/>
            </w14:solidFill>
          </w14:textFill>
        </w:rPr>
        <w:t>初步评审标准-响应性评审</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（1）投标报价高于设定的工程预算招标控制价（工程限额）的；</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（2）未按磋商文件规定的格式填写，内容不全或关键字迹模糊、无法辨认的；</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（3）改变磋商文件提供的工程量清单中的计量单位、工程量的；</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（4）将工程排污费、社会保障费、住房公积金、危险作业意外伤害保险等规费和营业税、城市维护建设税、教育费附加等税金，以及安全文明施工费列入招标投标竞争性费用的；</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（5）供应商名称、组织机构与资格预审时不符，涉嫌以他人名义投标的；</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（6）供应商之间或者供应商与采购人串通投标的；</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（7）履约担保、违约赔偿、变更工程结算等的承诺，不符合磋商文件要求的。</w:t>
      </w:r>
    </w:p>
    <w:p>
      <w:pPr>
        <w:pageBreakBefore w:val="0"/>
        <w:tabs>
          <w:tab w:val="left" w:pos="392"/>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27.3详细评审标准</w:t>
      </w:r>
    </w:p>
    <w:p>
      <w:pPr>
        <w:pageBreakBefore w:val="0"/>
        <w:kinsoku/>
        <w:wordWrap/>
        <w:overflowPunct/>
        <w:autoSpaceDE/>
        <w:autoSpaceDN/>
        <w:bidi w:val="0"/>
        <w:adjustRightInd/>
        <w:snapToGrid/>
        <w:spacing w:line="240" w:lineRule="auto"/>
        <w:ind w:left="691" w:leftChars="157" w:hanging="361" w:hanging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27.3.1技术标评定</w:t>
      </w:r>
    </w:p>
    <w:p>
      <w:pPr>
        <w:pStyle w:val="25"/>
        <w:pageBreakBefore w:val="0"/>
        <w:widowControl/>
        <w:kinsoku/>
        <w:wordWrap/>
        <w:overflowPunct/>
        <w:autoSpaceDE/>
        <w:autoSpaceDN/>
        <w:bidi w:val="0"/>
        <w:adjustRightInd/>
        <w:snapToGrid/>
        <w:spacing w:line="240" w:lineRule="auto"/>
        <w:ind w:firstLine="241" w:firstLineChars="100"/>
        <w:textAlignment w:val="auto"/>
        <w:rPr>
          <w:rFonts w:asciiTheme="minorEastAsia" w:hAnsiTheme="minorEastAsia" w:eastAsiaTheme="minorEastAsia" w:cstheme="minorEastAsia"/>
          <w:szCs w:val="24"/>
        </w:rPr>
      </w:pPr>
      <w:bookmarkStart w:id="122" w:name="_Toc18855"/>
      <w:bookmarkStart w:id="123" w:name="_Toc4220"/>
      <w:r>
        <w:rPr>
          <w:rFonts w:hint="eastAsia" w:asciiTheme="minorEastAsia" w:hAnsiTheme="minorEastAsia" w:eastAsiaTheme="minorEastAsia" w:cstheme="minorEastAsia"/>
          <w:szCs w:val="24"/>
        </w:rPr>
        <w:t>评委按照磋商文件要求，对技术标磋商响应文件进行评定，磋商小组对于认定不合格的技术标书，应具书面评标报告。评标报告由评委会组长拟稿，全体评标成员签字确认（评审标准详附表）。</w:t>
      </w:r>
      <w:bookmarkEnd w:id="122"/>
      <w:bookmarkEnd w:id="123"/>
    </w:p>
    <w:p>
      <w:pPr>
        <w:pStyle w:val="25"/>
        <w:pageBreakBefore w:val="0"/>
        <w:widowControl/>
        <w:kinsoku/>
        <w:wordWrap/>
        <w:overflowPunct/>
        <w:autoSpaceDE/>
        <w:autoSpaceDN/>
        <w:bidi w:val="0"/>
        <w:adjustRightInd/>
        <w:snapToGrid/>
        <w:spacing w:line="240" w:lineRule="auto"/>
        <w:ind w:firstLine="482" w:firstLineChars="200"/>
        <w:textAlignment w:val="auto"/>
        <w:rPr>
          <w:rFonts w:asciiTheme="minorEastAsia" w:hAnsiTheme="minorEastAsia" w:eastAsiaTheme="minorEastAsia" w:cstheme="minorEastAsia"/>
          <w:szCs w:val="24"/>
        </w:rPr>
      </w:pPr>
      <w:bookmarkStart w:id="124" w:name="_Toc671"/>
      <w:bookmarkStart w:id="125" w:name="_Toc19540"/>
      <w:r>
        <w:rPr>
          <w:rFonts w:hint="eastAsia" w:asciiTheme="minorEastAsia" w:hAnsiTheme="minorEastAsia" w:eastAsiaTheme="minorEastAsia" w:cstheme="minorEastAsia"/>
          <w:szCs w:val="24"/>
        </w:rPr>
        <w:t xml:space="preserve"> 27.3.2商务标评定</w:t>
      </w:r>
      <w:bookmarkEnd w:id="124"/>
      <w:bookmarkEnd w:id="125"/>
    </w:p>
    <w:p>
      <w:pPr>
        <w:pStyle w:val="25"/>
        <w:pageBreakBefore w:val="0"/>
        <w:widowControl/>
        <w:kinsoku/>
        <w:wordWrap/>
        <w:overflowPunct/>
        <w:autoSpaceDE/>
        <w:autoSpaceDN/>
        <w:bidi w:val="0"/>
        <w:adjustRightInd/>
        <w:snapToGrid/>
        <w:spacing w:line="240" w:lineRule="auto"/>
        <w:ind w:firstLine="482" w:firstLineChars="200"/>
        <w:textAlignment w:val="auto"/>
        <w:rPr>
          <w:rFonts w:asciiTheme="minorEastAsia" w:hAnsiTheme="minorEastAsia" w:eastAsiaTheme="minorEastAsia" w:cstheme="minorEastAsia"/>
          <w:szCs w:val="24"/>
        </w:rPr>
      </w:pPr>
      <w:bookmarkStart w:id="126" w:name="_Toc19117"/>
      <w:bookmarkStart w:id="127" w:name="_Toc11285"/>
      <w:r>
        <w:rPr>
          <w:rFonts w:hint="eastAsia" w:asciiTheme="minorEastAsia" w:hAnsiTheme="minorEastAsia" w:eastAsiaTheme="minorEastAsia" w:cstheme="minorEastAsia"/>
          <w:szCs w:val="24"/>
        </w:rPr>
        <w:t>商务标的评审标准详见附表。</w:t>
      </w:r>
      <w:bookmarkEnd w:id="126"/>
      <w:bookmarkEnd w:id="127"/>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27.4 </w:t>
      </w:r>
      <w:r>
        <w:rPr>
          <w:rFonts w:hint="eastAsia" w:asciiTheme="minorEastAsia" w:hAnsiTheme="minorEastAsia" w:eastAsiaTheme="minorEastAsia" w:cstheme="minorEastAsia"/>
          <w:sz w:val="24"/>
          <w:szCs w:val="24"/>
        </w:rPr>
        <w:t>评审结果</w:t>
      </w:r>
    </w:p>
    <w:p>
      <w:pPr>
        <w:pageBreakBefore w:val="0"/>
        <w:kinsoku/>
        <w:wordWrap/>
        <w:overflowPunct/>
        <w:autoSpaceDE/>
        <w:autoSpaceDN/>
        <w:bidi w:val="0"/>
        <w:adjustRightInd/>
        <w:snapToGrid/>
        <w:spacing w:line="240" w:lineRule="auto"/>
        <w:ind w:firstLine="435"/>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27.4 .1</w:t>
      </w:r>
      <w:r>
        <w:rPr>
          <w:rFonts w:hint="eastAsia" w:asciiTheme="minorEastAsia" w:hAnsiTheme="minorEastAsia" w:eastAsiaTheme="minorEastAsia" w:cstheme="minorEastAsia"/>
          <w:sz w:val="24"/>
          <w:szCs w:val="24"/>
        </w:rPr>
        <w:t xml:space="preserve"> 除第二章“供应商须知”前附表授权直接确定中标人外，磋商小组通过评标办法以得分由高到低确定出前三名作为中标候选人推荐给采购人。</w:t>
      </w:r>
    </w:p>
    <w:p>
      <w:pPr>
        <w:pageBreakBefore w:val="0"/>
        <w:kinsoku/>
        <w:wordWrap/>
        <w:overflowPunct/>
        <w:autoSpaceDE/>
        <w:autoSpaceDN/>
        <w:bidi w:val="0"/>
        <w:adjustRightInd/>
        <w:snapToGrid/>
        <w:spacing w:line="240" w:lineRule="auto"/>
        <w:ind w:firstLine="435"/>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必须招标的项目，采购人应当确定排名第一的中标候选人为中标人。排名第一的中标候选人放弃中标、因不可抗力提出不能履行合同、或者磋商文件规定应当提交履约保证金而在规定的期限内未能提交的，招标人可以确定排名第二的中标候选人为中标人。</w:t>
      </w:r>
    </w:p>
    <w:p>
      <w:pPr>
        <w:pageBreakBefore w:val="0"/>
        <w:kinsoku/>
        <w:wordWrap/>
        <w:overflowPunct/>
        <w:autoSpaceDE/>
        <w:autoSpaceDN/>
        <w:bidi w:val="0"/>
        <w:adjustRightInd/>
        <w:snapToGrid/>
        <w:spacing w:line="240" w:lineRule="auto"/>
        <w:ind w:firstLine="435"/>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排名第二的中标候选人因前款确定的同样原因不能签订合同的，采购人可以确定排名第三的中标候选人为中标人。</w:t>
      </w:r>
    </w:p>
    <w:p>
      <w:pPr>
        <w:pageBreakBefore w:val="0"/>
        <w:kinsoku/>
        <w:wordWrap/>
        <w:overflowPunct/>
        <w:autoSpaceDE/>
        <w:autoSpaceDN/>
        <w:bidi w:val="0"/>
        <w:adjustRightInd/>
        <w:snapToGrid/>
        <w:spacing w:line="240" w:lineRule="auto"/>
        <w:ind w:firstLine="435"/>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27.4 </w:t>
      </w: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sz w:val="24"/>
          <w:szCs w:val="24"/>
        </w:rPr>
        <w:t>磋商小组完成评审后，应当向采购人提交书面评审报告。</w:t>
      </w:r>
    </w:p>
    <w:p>
      <w:pPr>
        <w:pageBreakBefore w:val="0"/>
        <w:kinsoku/>
        <w:wordWrap/>
        <w:overflowPunct/>
        <w:autoSpaceDE/>
        <w:autoSpaceDN/>
        <w:bidi w:val="0"/>
        <w:adjustRightInd/>
        <w:snapToGrid/>
        <w:spacing w:line="240" w:lineRule="auto"/>
        <w:ind w:left="1" w:firstLine="426" w:firstLineChars="177"/>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 xml:space="preserve">27.4 </w:t>
      </w: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sz w:val="24"/>
          <w:szCs w:val="24"/>
        </w:rPr>
        <w:t>成交结果信息公布</w:t>
      </w:r>
    </w:p>
    <w:p>
      <w:pPr>
        <w:pageBreakBefore w:val="0"/>
        <w:kinsoku/>
        <w:wordWrap/>
        <w:overflowPunct/>
        <w:autoSpaceDE/>
        <w:autoSpaceDN/>
        <w:bidi w:val="0"/>
        <w:adjustRightInd/>
        <w:snapToGrid/>
        <w:spacing w:line="240" w:lineRule="auto"/>
        <w:ind w:left="1" w:firstLine="424" w:firstLineChars="177"/>
        <w:textAlignment w:val="auto"/>
        <w:rPr>
          <w:rFonts w:hint="default" w:asciiTheme="minorEastAsia" w:hAnsiTheme="minorEastAsia" w:eastAsiaTheme="minorEastAsia" w:cstheme="minorEastAsia"/>
          <w:szCs w:val="24"/>
        </w:rPr>
      </w:pPr>
      <w:r>
        <w:rPr>
          <w:rFonts w:hint="eastAsia" w:asciiTheme="minorEastAsia" w:hAnsiTheme="minorEastAsia" w:eastAsiaTheme="minorEastAsia" w:cstheme="minorEastAsia"/>
          <w:sz w:val="24"/>
          <w:szCs w:val="24"/>
          <w:shd w:val="clear" w:color="auto" w:fill="FFFFFF"/>
        </w:rPr>
        <w:t>磋商小组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总分为100分，其中经济标</w:t>
      </w:r>
      <w:r>
        <w:rPr>
          <w:rFonts w:hint="eastAsia" w:asciiTheme="minorEastAsia" w:hAnsiTheme="minorEastAsia" w:eastAsiaTheme="minorEastAsia" w:cstheme="minorEastAsia"/>
          <w:color w:val="000000" w:themeColor="text1"/>
          <w:sz w:val="24"/>
          <w:szCs w:val="24"/>
          <w:shd w:val="clear" w:color="auto" w:fill="FFFFFF"/>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0分，商务标</w:t>
      </w:r>
      <w:r>
        <w:rPr>
          <w:rFonts w:hint="eastAsia" w:asciiTheme="minorEastAsia" w:hAnsiTheme="minorEastAsia" w:eastAsiaTheme="minorEastAsia" w:cstheme="minorEastAsia"/>
          <w:color w:val="000000" w:themeColor="text1"/>
          <w:sz w:val="24"/>
          <w:szCs w:val="24"/>
          <w:shd w:val="clear" w:color="auto" w:fill="FFFFFF"/>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0分，技术标50分。将每位</w:t>
      </w:r>
      <w:r>
        <w:rPr>
          <w:rFonts w:hint="eastAsia" w:asciiTheme="minorEastAsia" w:hAnsiTheme="minorEastAsia" w:eastAsiaTheme="minorEastAsia" w:cstheme="minorEastAsia"/>
          <w:sz w:val="24"/>
          <w:szCs w:val="24"/>
          <w:shd w:val="clear" w:color="auto" w:fill="FFFFFF"/>
        </w:rPr>
        <w:t>供应商的所有得分相加即为该供应商的总得分。初步评审附表及详细评审内容标准如下：</w:t>
      </w:r>
    </w:p>
    <w:p>
      <w:pPr>
        <w:pStyle w:val="26"/>
        <w:spacing w:line="360" w:lineRule="auto"/>
        <w:rPr>
          <w:rFonts w:hint="default" w:asciiTheme="minorEastAsia" w:hAnsiTheme="minorEastAsia" w:eastAsiaTheme="minorEastAsia" w:cstheme="minorEastAsia"/>
          <w:szCs w:val="24"/>
        </w:rPr>
      </w:pPr>
      <w:r>
        <w:rPr>
          <w:rFonts w:asciiTheme="minorEastAsia" w:hAnsiTheme="minorEastAsia" w:eastAsiaTheme="minorEastAsia" w:cstheme="minorEastAsia"/>
          <w:szCs w:val="24"/>
        </w:rPr>
        <w:t>附表一：</w:t>
      </w:r>
    </w:p>
    <w:p>
      <w:pPr>
        <w:spacing w:line="360" w:lineRule="auto"/>
        <w:jc w:val="center"/>
        <w:rPr>
          <w:rFonts w:asciiTheme="minorEastAsia" w:hAnsiTheme="minorEastAsia" w:eastAsiaTheme="minorEastAsia" w:cstheme="minorEastAsia"/>
          <w:b/>
          <w:sz w:val="32"/>
          <w:szCs w:val="24"/>
        </w:rPr>
      </w:pPr>
      <w:bookmarkStart w:id="128" w:name="_Toc527642957"/>
      <w:bookmarkStart w:id="129" w:name="_Toc267301287"/>
      <w:bookmarkStart w:id="130" w:name="_Toc349573126"/>
      <w:bookmarkStart w:id="131" w:name="_Toc471489758"/>
      <w:bookmarkStart w:id="132" w:name="_Toc349637925"/>
      <w:bookmarkStart w:id="133" w:name="_Toc298240410"/>
      <w:bookmarkStart w:id="134" w:name="_Toc267301288"/>
      <w:r>
        <w:rPr>
          <w:rFonts w:hint="eastAsia" w:asciiTheme="minorEastAsia" w:hAnsiTheme="minorEastAsia" w:eastAsiaTheme="minorEastAsia" w:cstheme="minorEastAsia"/>
          <w:b/>
          <w:sz w:val="32"/>
          <w:szCs w:val="24"/>
          <w:lang w:val="zh-CN"/>
        </w:rPr>
        <w:t>（1）初步评审标准</w:t>
      </w:r>
      <w:r>
        <w:rPr>
          <w:rFonts w:hint="eastAsia" w:asciiTheme="minorEastAsia" w:hAnsiTheme="minorEastAsia" w:eastAsiaTheme="minorEastAsia" w:cstheme="minorEastAsia"/>
          <w:b/>
          <w:sz w:val="32"/>
          <w:szCs w:val="24"/>
        </w:rPr>
        <w:t>-形式评审</w:t>
      </w:r>
    </w:p>
    <w:tbl>
      <w:tblPr>
        <w:tblStyle w:val="19"/>
        <w:tblW w:w="9645" w:type="dxa"/>
        <w:tblInd w:w="1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0"/>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990"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序号</w:t>
            </w:r>
          </w:p>
        </w:tc>
        <w:tc>
          <w:tcPr>
            <w:tcW w:w="8655" w:type="dxa"/>
            <w:tcBorders>
              <w:top w:val="single" w:color="auto" w:sz="4" w:space="0"/>
              <w:left w:val="single" w:color="auto" w:sz="4" w:space="0"/>
              <w:bottom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sz w:val="24"/>
                <w:szCs w:val="24"/>
                <w:lang w:val="zh-CN"/>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990"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1</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sz w:val="24"/>
                <w:szCs w:val="24"/>
              </w:rPr>
              <w:t>投标保证金的缴纳主体与供应商不一致的，没有按照磋商文件要求提供投标担保，或者所提供的投标担保有瑕疵的；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90"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2</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sz w:val="24"/>
                <w:szCs w:val="24"/>
              </w:rPr>
              <w:t>供应商的项目负责人不是供应商的注册执业人员，或者不具备项目负责人资格条件的；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990"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3</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sz w:val="24"/>
                <w:szCs w:val="24"/>
              </w:rPr>
              <w:t>磋商响应文件没有投标单位法定代表人或其授权代表签字和加盖投标单位公章的；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990"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rPr>
              <w:t>4</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投标工程的完成期限超过磋商文件规定期限的；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990"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rPr>
              <w:t>5</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sz w:val="24"/>
                <w:szCs w:val="24"/>
              </w:rPr>
              <w:t>供应商项目负责人要求：注册建造师证（应具备</w:t>
            </w:r>
            <w:r>
              <w:rPr>
                <w:rFonts w:hint="eastAsia" w:asciiTheme="minorEastAsia" w:hAnsiTheme="minorEastAsia" w:eastAsiaTheme="minorEastAsia" w:cstheme="minorEastAsia"/>
                <w:sz w:val="24"/>
                <w:szCs w:val="24"/>
                <w:lang w:val="en-US" w:eastAsia="zh-CN"/>
              </w:rPr>
              <w:t>市政公用工程专业</w:t>
            </w:r>
            <w:r>
              <w:rPr>
                <w:rFonts w:hint="eastAsia" w:asciiTheme="minorEastAsia" w:hAnsiTheme="minorEastAsia" w:eastAsiaTheme="minorEastAsia" w:cstheme="minorEastAsia"/>
                <w:sz w:val="24"/>
                <w:szCs w:val="24"/>
              </w:rPr>
              <w:t>贰级及以上注册建造师执业资格）、具有有效的安全生产考核证，必须为本单位注册，且未担任其它在施建设工程项目的负责人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不接受临时注册建造师；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990"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6</w:t>
            </w:r>
          </w:p>
        </w:tc>
        <w:tc>
          <w:tcPr>
            <w:tcW w:w="8655" w:type="dxa"/>
            <w:tcBorders>
              <w:top w:val="single" w:color="auto" w:sz="4" w:space="0"/>
              <w:left w:val="single" w:color="auto" w:sz="4" w:space="0"/>
              <w:bottom w:val="single" w:color="auto" w:sz="4" w:space="0"/>
            </w:tcBorders>
            <w:vAlign w:val="center"/>
          </w:tcPr>
          <w:p>
            <w:pPr>
              <w:autoSpaceDE w:val="0"/>
              <w:autoSpaceDN w:val="0"/>
              <w:adjustRightInd w:val="0"/>
              <w:spacing w:line="360" w:lineRule="exact"/>
              <w:jc w:val="left"/>
              <w:rPr>
                <w:rFonts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sz w:val="24"/>
                <w:szCs w:val="24"/>
              </w:rPr>
              <w:t>磋商文件载明的技术规格、技术标准、货物包装方式、检验标准和方法等，不符合磋商文件要求的；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990"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7</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sz w:val="24"/>
                <w:szCs w:val="24"/>
              </w:rPr>
              <w:t>磋商文件附有招标人不能接受条件的；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990"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8</w:t>
            </w:r>
          </w:p>
        </w:tc>
        <w:tc>
          <w:tcPr>
            <w:tcW w:w="8655" w:type="dxa"/>
            <w:tcBorders>
              <w:top w:val="single" w:color="auto" w:sz="4" w:space="0"/>
              <w:left w:val="single" w:color="auto" w:sz="4" w:space="0"/>
              <w:bottom w:val="single" w:color="auto" w:sz="4" w:space="0"/>
            </w:tcBorders>
            <w:vAlign w:val="center"/>
          </w:tcPr>
          <w:p>
            <w:pPr>
              <w:autoSpaceDE w:val="0"/>
              <w:autoSpaceDN w:val="0"/>
              <w:adjustRightInd w:val="0"/>
              <w:spacing w:line="360" w:lineRule="exact"/>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sz w:val="24"/>
                <w:szCs w:val="24"/>
              </w:rPr>
              <w:t>不满足磋商文件实质性要求的其他情形。</w:t>
            </w:r>
          </w:p>
        </w:tc>
      </w:tr>
    </w:tbl>
    <w:p>
      <w:pPr>
        <w:spacing w:line="360" w:lineRule="auto"/>
        <w:rPr>
          <w:rFonts w:asciiTheme="minorEastAsia" w:hAnsiTheme="minorEastAsia" w:eastAsiaTheme="minorEastAsia" w:cstheme="minorEastAsia"/>
          <w:color w:val="000000"/>
          <w:sz w:val="24"/>
          <w:szCs w:val="24"/>
          <w:lang w:val="zh-CN"/>
        </w:rPr>
      </w:pPr>
    </w:p>
    <w:p>
      <w:pPr>
        <w:spacing w:line="360" w:lineRule="auto"/>
        <w:rPr>
          <w:rFonts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备注：1、如果资格评审中有一项不满足审查标准的，磋商小组将认定该供应商不通过资格审查，不得进入下一阶段评审。并且不允许供应商通过修改或撤销其不符合要求的差异或保留，使之成为具有响应性的投标。</w:t>
      </w:r>
    </w:p>
    <w:p>
      <w:pPr>
        <w:spacing w:line="360" w:lineRule="auto"/>
        <w:ind w:firstLine="480" w:firstLineChars="200"/>
        <w:jc w:val="center"/>
        <w:rPr>
          <w:rFonts w:asciiTheme="minorEastAsia" w:hAnsiTheme="minorEastAsia" w:eastAsiaTheme="minorEastAsia" w:cstheme="minorEastAsia"/>
          <w:color w:val="000000"/>
          <w:sz w:val="24"/>
          <w:szCs w:val="24"/>
          <w:lang w:val="zh-CN"/>
        </w:rPr>
      </w:pPr>
    </w:p>
    <w:p>
      <w:pPr>
        <w:pStyle w:val="18"/>
        <w:spacing w:line="360" w:lineRule="auto"/>
        <w:ind w:firstLine="480"/>
        <w:rPr>
          <w:rFonts w:asciiTheme="minorEastAsia" w:hAnsiTheme="minorEastAsia" w:eastAsiaTheme="minorEastAsia" w:cstheme="minorEastAsia"/>
          <w:color w:val="000000"/>
          <w:szCs w:val="24"/>
          <w:lang w:val="zh-CN"/>
        </w:rPr>
      </w:pPr>
    </w:p>
    <w:p>
      <w:pPr>
        <w:pStyle w:val="18"/>
        <w:spacing w:line="360" w:lineRule="auto"/>
        <w:ind w:firstLine="480"/>
        <w:rPr>
          <w:rFonts w:asciiTheme="minorEastAsia" w:hAnsiTheme="minorEastAsia" w:eastAsiaTheme="minorEastAsia" w:cstheme="minorEastAsia"/>
          <w:color w:val="000000"/>
          <w:szCs w:val="24"/>
          <w:lang w:val="zh-CN"/>
        </w:rPr>
      </w:pPr>
    </w:p>
    <w:p>
      <w:pPr>
        <w:pStyle w:val="26"/>
        <w:spacing w:line="360" w:lineRule="auto"/>
        <w:rPr>
          <w:rFonts w:hint="default" w:asciiTheme="minorEastAsia" w:hAnsiTheme="minorEastAsia" w:eastAsiaTheme="minorEastAsia" w:cstheme="minorEastAsia"/>
          <w:szCs w:val="24"/>
        </w:rPr>
      </w:pPr>
    </w:p>
    <w:p>
      <w:pPr>
        <w:pStyle w:val="26"/>
        <w:spacing w:line="360" w:lineRule="auto"/>
        <w:rPr>
          <w:rFonts w:hint="default" w:asciiTheme="minorEastAsia" w:hAnsiTheme="minorEastAsia" w:eastAsiaTheme="minorEastAsia" w:cstheme="minorEastAsia"/>
          <w:szCs w:val="24"/>
        </w:rPr>
      </w:pPr>
    </w:p>
    <w:p>
      <w:pPr>
        <w:pStyle w:val="26"/>
        <w:spacing w:line="360" w:lineRule="auto"/>
        <w:rPr>
          <w:rFonts w:hint="default" w:asciiTheme="minorEastAsia" w:hAnsiTheme="minorEastAsia" w:eastAsiaTheme="minorEastAsia" w:cstheme="minorEastAsia"/>
          <w:color w:val="auto"/>
          <w:szCs w:val="24"/>
          <w:lang w:val="zh-CN"/>
        </w:rPr>
      </w:pPr>
      <w:r>
        <w:rPr>
          <w:rFonts w:asciiTheme="minorEastAsia" w:hAnsiTheme="minorEastAsia" w:eastAsiaTheme="minorEastAsia" w:cstheme="minorEastAsia"/>
          <w:szCs w:val="24"/>
        </w:rPr>
        <w:t>附表二：</w:t>
      </w:r>
    </w:p>
    <w:p>
      <w:pPr>
        <w:spacing w:line="360" w:lineRule="auto"/>
        <w:jc w:val="center"/>
        <w:rPr>
          <w:rFonts w:asciiTheme="minorEastAsia" w:hAnsiTheme="minorEastAsia" w:eastAsiaTheme="minorEastAsia" w:cstheme="minorEastAsia"/>
          <w:b/>
          <w:sz w:val="32"/>
          <w:szCs w:val="24"/>
        </w:rPr>
      </w:pPr>
      <w:r>
        <w:rPr>
          <w:rFonts w:hint="eastAsia" w:asciiTheme="minorEastAsia" w:hAnsiTheme="minorEastAsia" w:eastAsiaTheme="minorEastAsia" w:cstheme="minorEastAsia"/>
          <w:b/>
          <w:sz w:val="32"/>
          <w:szCs w:val="24"/>
        </w:rPr>
        <w:t>（2）初步评审标准-响应性评审</w:t>
      </w:r>
    </w:p>
    <w:tbl>
      <w:tblPr>
        <w:tblStyle w:val="19"/>
        <w:tblpPr w:leftFromText="180" w:rightFromText="180" w:vertAnchor="text" w:horzAnchor="margin" w:tblpX="108" w:tblpY="158"/>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0"/>
        <w:gridCol w:w="690"/>
        <w:gridCol w:w="6296"/>
        <w:gridCol w:w="17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5" w:hRule="atLeast"/>
        </w:trPr>
        <w:tc>
          <w:tcPr>
            <w:tcW w:w="900" w:type="dxa"/>
            <w:vMerge w:val="restart"/>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6986" w:type="dxa"/>
            <w:gridSpan w:val="2"/>
            <w:vMerge w:val="restart"/>
            <w:tcBorders>
              <w:top w:val="single" w:color="auto" w:sz="12" w:space="0"/>
              <w:left w:val="single" w:color="auto" w:sz="6" w:space="0"/>
              <w:bottom w:val="single" w:color="auto" w:sz="4" w:space="0"/>
              <w:right w:val="single" w:color="auto" w:sz="6" w:space="0"/>
            </w:tcBorders>
            <w:vAlign w:val="center"/>
          </w:tcPr>
          <w:p>
            <w:pPr>
              <w:spacing w:line="360" w:lineRule="exact"/>
              <w:jc w:val="center"/>
              <w:rPr>
                <w:rFonts w:asciiTheme="minorEastAsia" w:hAnsiTheme="minorEastAsia" w:eastAsiaTheme="minorEastAsia" w:cstheme="minorEastAsia"/>
                <w:b/>
                <w:sz w:val="20"/>
                <w:szCs w:val="21"/>
              </w:rPr>
            </w:pPr>
            <w:r>
              <w:rPr>
                <w:rFonts w:hint="eastAsia" w:asciiTheme="minorEastAsia" w:hAnsiTheme="minorEastAsia" w:eastAsiaTheme="minorEastAsia" w:cstheme="minorEastAsia"/>
                <w:sz w:val="24"/>
                <w:szCs w:val="24"/>
              </w:rPr>
              <w:t>评审内容</w:t>
            </w:r>
          </w:p>
        </w:tc>
        <w:tc>
          <w:tcPr>
            <w:tcW w:w="1770"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w:t>
            </w:r>
          </w:p>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3" w:hRule="atLeast"/>
        </w:trPr>
        <w:tc>
          <w:tcPr>
            <w:tcW w:w="900" w:type="dxa"/>
            <w:vMerge w:val="continue"/>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6986" w:type="dxa"/>
            <w:gridSpan w:val="2"/>
            <w:vMerge w:val="continue"/>
            <w:tcBorders>
              <w:top w:val="single" w:color="auto" w:sz="12" w:space="0"/>
              <w:left w:val="single" w:color="auto" w:sz="6" w:space="0"/>
              <w:bottom w:val="single" w:color="auto" w:sz="4" w:space="0"/>
              <w:right w:val="single" w:color="auto" w:sz="6" w:space="0"/>
            </w:tcBorders>
            <w:vAlign w:val="center"/>
          </w:tcPr>
          <w:p>
            <w:pPr>
              <w:spacing w:line="360" w:lineRule="exact"/>
              <w:rPr>
                <w:rFonts w:asciiTheme="minorEastAsia" w:hAnsiTheme="minorEastAsia" w:eastAsiaTheme="minorEastAsia" w:cstheme="minorEastAsia"/>
                <w:sz w:val="20"/>
              </w:rPr>
            </w:pPr>
          </w:p>
        </w:tc>
        <w:tc>
          <w:tcPr>
            <w:tcW w:w="177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（通过打√、不通过打×）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4" w:hRule="atLeast"/>
        </w:trPr>
        <w:tc>
          <w:tcPr>
            <w:tcW w:w="900" w:type="dxa"/>
            <w:vMerge w:val="restart"/>
            <w:tcBorders>
              <w:top w:val="single" w:color="auto" w:sz="4" w:space="0"/>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w:t>
            </w:r>
          </w:p>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查</w:t>
            </w:r>
          </w:p>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w:t>
            </w:r>
          </w:p>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准</w:t>
            </w:r>
          </w:p>
        </w:tc>
        <w:tc>
          <w:tcPr>
            <w:tcW w:w="690"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296" w:type="dxa"/>
            <w:tcBorders>
              <w:top w:val="single" w:color="auto" w:sz="6" w:space="0"/>
              <w:left w:val="single" w:color="auto" w:sz="4" w:space="0"/>
              <w:bottom w:val="single" w:color="auto" w:sz="6" w:space="0"/>
              <w:right w:val="single" w:color="auto" w:sz="4" w:space="0"/>
            </w:tcBorders>
            <w:vAlign w:val="center"/>
          </w:tcPr>
          <w:p>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投标报价高于设定的工程预算招标控制价（工程限额）的；</w:t>
            </w:r>
          </w:p>
        </w:tc>
        <w:tc>
          <w:tcPr>
            <w:tcW w:w="1770" w:type="dxa"/>
            <w:tcBorders>
              <w:top w:val="single" w:color="auto" w:sz="6" w:space="0"/>
              <w:left w:val="single" w:color="auto" w:sz="4" w:space="0"/>
              <w:bottom w:val="single" w:color="auto" w:sz="6" w:space="0"/>
              <w:right w:val="single" w:color="auto" w:sz="12" w:space="0"/>
            </w:tcBorders>
          </w:tcPr>
          <w:p>
            <w:pPr>
              <w:autoSpaceDE w:val="0"/>
              <w:autoSpaceDN w:val="0"/>
              <w:adjustRightInd w:val="0"/>
              <w:spacing w:line="360" w:lineRule="exact"/>
              <w:jc w:val="left"/>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0" w:hRule="atLeast"/>
        </w:trPr>
        <w:tc>
          <w:tcPr>
            <w:tcW w:w="90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690" w:type="dxa"/>
            <w:tcBorders>
              <w:top w:val="nil"/>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6296" w:type="dxa"/>
            <w:tcBorders>
              <w:top w:val="nil"/>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未按磋商文件规定的格式填写，内容不全或关键字迹模糊、无法辨认的；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90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6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62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改变磋商文件提供的工程量清单中的计量单位、工程量的；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6" w:hRule="atLeast"/>
        </w:trPr>
        <w:tc>
          <w:tcPr>
            <w:tcW w:w="90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6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62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将工程排污费、社会保障费、住房公积金、危险作业意外伤害保险等规费和营业税、城市维护建设税、教育费附加等税金，以及安全文明施工费列入招标投标竞争性费用的；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trPr>
        <w:tc>
          <w:tcPr>
            <w:tcW w:w="90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6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62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供应商名称、组织机构与资格预审时不符，涉嫌以他人名义投标的；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2" w:hRule="atLeast"/>
        </w:trPr>
        <w:tc>
          <w:tcPr>
            <w:tcW w:w="90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6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62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供应商之间或者供应商与招标人串通投标的；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90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6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62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履约担保、违约赔偿、变更工程结算等的承诺，不符合磋商文件要求的。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trPr>
        <w:tc>
          <w:tcPr>
            <w:tcW w:w="900"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结论：</w:t>
            </w:r>
          </w:p>
        </w:tc>
        <w:tc>
          <w:tcPr>
            <w:tcW w:w="6986" w:type="dxa"/>
            <w:gridSpan w:val="2"/>
            <w:tcBorders>
              <w:top w:val="single" w:color="auto" w:sz="6" w:space="0"/>
              <w:left w:val="single" w:color="auto" w:sz="6" w:space="0"/>
              <w:bottom w:val="single" w:color="auto" w:sz="12" w:space="0"/>
              <w:right w:val="single" w:color="auto" w:sz="6" w:space="0"/>
            </w:tcBorders>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是否通过评审（通过打√、不通过打×）</w:t>
            </w:r>
          </w:p>
        </w:tc>
        <w:tc>
          <w:tcPr>
            <w:tcW w:w="1770" w:type="dxa"/>
            <w:tcBorders>
              <w:top w:val="single" w:color="auto" w:sz="6" w:space="0"/>
              <w:left w:val="single" w:color="auto" w:sz="6" w:space="0"/>
              <w:bottom w:val="single" w:color="auto" w:sz="12" w:space="0"/>
              <w:right w:val="single" w:color="auto" w:sz="12" w:space="0"/>
            </w:tcBorders>
          </w:tcPr>
          <w:p>
            <w:pPr>
              <w:spacing w:line="360" w:lineRule="exact"/>
              <w:rPr>
                <w:rFonts w:asciiTheme="minorEastAsia" w:hAnsiTheme="minorEastAsia" w:eastAsiaTheme="minorEastAsia" w:cstheme="minorEastAsia"/>
                <w:sz w:val="20"/>
                <w:szCs w:val="21"/>
              </w:rPr>
            </w:pPr>
          </w:p>
        </w:tc>
      </w:tr>
    </w:tbl>
    <w:p>
      <w:pPr>
        <w:tabs>
          <w:tab w:val="left" w:pos="900"/>
        </w:tabs>
        <w:spacing w:line="360" w:lineRule="auto"/>
        <w:rPr>
          <w:rFonts w:asciiTheme="minorEastAsia" w:hAnsiTheme="minorEastAsia" w:eastAsiaTheme="minorEastAsia" w:cstheme="minorEastAsia"/>
          <w:szCs w:val="21"/>
        </w:rPr>
      </w:pPr>
    </w:p>
    <w:p>
      <w:pPr>
        <w:pStyle w:val="18"/>
        <w:spacing w:line="360" w:lineRule="auto"/>
        <w:ind w:firstLine="480"/>
        <w:rPr>
          <w:rFonts w:asciiTheme="minorEastAsia" w:hAnsiTheme="minorEastAsia" w:eastAsiaTheme="minorEastAsia" w:cstheme="minorEastAsia"/>
          <w:color w:val="000000"/>
          <w:szCs w:val="24"/>
          <w:lang w:val="zh-CN"/>
        </w:rPr>
      </w:pPr>
    </w:p>
    <w:p>
      <w:pPr>
        <w:pStyle w:val="18"/>
        <w:spacing w:line="360" w:lineRule="auto"/>
        <w:ind w:left="0" w:leftChars="0" w:firstLine="0" w:firstLineChars="0"/>
        <w:rPr>
          <w:rFonts w:asciiTheme="minorEastAsia" w:hAnsiTheme="minorEastAsia" w:eastAsiaTheme="minorEastAsia" w:cstheme="minorEastAsia"/>
          <w:color w:val="000000"/>
          <w:szCs w:val="24"/>
          <w:lang w:val="zh-CN"/>
        </w:rPr>
      </w:pPr>
    </w:p>
    <w:p>
      <w:pPr>
        <w:pStyle w:val="1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heme="minorEastAsia" w:hAnsiTheme="minorEastAsia" w:eastAsiaTheme="minorEastAsia" w:cstheme="minorEastAsia"/>
          <w:b/>
          <w:sz w:val="32"/>
          <w:szCs w:val="24"/>
          <w:lang w:val="zh-CN"/>
        </w:rPr>
      </w:pPr>
      <w:r>
        <w:rPr>
          <w:rFonts w:hint="eastAsia" w:asciiTheme="minorEastAsia" w:hAnsiTheme="minorEastAsia" w:eastAsiaTheme="minorEastAsia" w:cstheme="minorEastAsia"/>
          <w:b/>
          <w:sz w:val="32"/>
          <w:szCs w:val="24"/>
          <w:lang w:val="zh-CN"/>
        </w:rPr>
        <w:t>详细评审内容标准</w:t>
      </w:r>
    </w:p>
    <w:tbl>
      <w:tblPr>
        <w:tblStyle w:val="19"/>
        <w:tblpPr w:leftFromText="180" w:rightFromText="180" w:vertAnchor="text" w:horzAnchor="page" w:tblpX="986" w:tblpY="208"/>
        <w:tblOverlap w:val="never"/>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241"/>
        <w:gridCol w:w="390"/>
        <w:gridCol w:w="675"/>
        <w:gridCol w:w="255"/>
        <w:gridCol w:w="236"/>
        <w:gridCol w:w="424"/>
        <w:gridCol w:w="311"/>
        <w:gridCol w:w="7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00" w:type="dxa"/>
            <w:gridSpan w:val="3"/>
            <w:vAlign w:val="center"/>
          </w:tcPr>
          <w:p>
            <w:pPr>
              <w:pageBreakBefore w:val="0"/>
              <w:kinsoku/>
              <w:wordWrap/>
              <w:overflowPunct/>
              <w:topLinePunct w:val="0"/>
              <w:autoSpaceDE/>
              <w:autoSpaceDN/>
              <w:bidi w:val="0"/>
              <w:adjustRightInd/>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评审项目</w:t>
            </w:r>
          </w:p>
        </w:tc>
        <w:tc>
          <w:tcPr>
            <w:tcW w:w="1166" w:type="dxa"/>
            <w:gridSpan w:val="3"/>
            <w:vAlign w:val="center"/>
          </w:tcPr>
          <w:p>
            <w:pPr>
              <w:pageBreakBefore w:val="0"/>
              <w:kinsoku/>
              <w:wordWrap/>
              <w:overflowPunct/>
              <w:topLinePunct w:val="0"/>
              <w:autoSpaceDE/>
              <w:autoSpaceDN/>
              <w:bidi w:val="0"/>
              <w:adjustRightInd/>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权重值%</w:t>
            </w:r>
          </w:p>
        </w:tc>
        <w:tc>
          <w:tcPr>
            <w:tcW w:w="7789" w:type="dxa"/>
            <w:gridSpan w:val="3"/>
            <w:vAlign w:val="center"/>
          </w:tcPr>
          <w:p>
            <w:pPr>
              <w:pageBreakBefore w:val="0"/>
              <w:kinsoku/>
              <w:wordWrap/>
              <w:overflowPunct/>
              <w:topLinePunct w:val="0"/>
              <w:autoSpaceDE/>
              <w:autoSpaceDN/>
              <w:bidi w:val="0"/>
              <w:adjustRightInd/>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0155" w:type="dxa"/>
            <w:gridSpan w:val="9"/>
            <w:vAlign w:val="center"/>
          </w:tcPr>
          <w:p>
            <w:pPr>
              <w:pageBreakBefore w:val="0"/>
              <w:numPr>
                <w:ilvl w:val="0"/>
                <w:numId w:val="4"/>
              </w:numPr>
              <w:kinsoku/>
              <w:wordWrap/>
              <w:overflowPunct/>
              <w:topLinePunct w:val="0"/>
              <w:autoSpaceDE/>
              <w:autoSpaceDN/>
              <w:bidi w:val="0"/>
              <w:adjustRightInd/>
              <w:snapToGrid w:val="0"/>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经济标报价部分权重K1=</w:t>
            </w:r>
            <w:r>
              <w:rPr>
                <w:rFonts w:hint="eastAsia" w:asciiTheme="minorEastAsia" w:hAnsiTheme="minorEastAsia" w:eastAsiaTheme="minorEastAsia" w:cstheme="minorEastAsia"/>
                <w:b/>
                <w:bCs/>
                <w:szCs w:val="21"/>
                <w:lang w:val="en-US" w:eastAsia="zh-CN"/>
              </w:rPr>
              <w:t>3</w:t>
            </w:r>
            <w:r>
              <w:rPr>
                <w:rFonts w:hint="eastAsia" w:asciiTheme="minorEastAsia" w:hAnsiTheme="minorEastAsia" w:eastAsiaTheme="minorEastAsia" w:cstheme="minorEastAsia"/>
                <w:b/>
                <w:bCs/>
                <w:szCs w:val="21"/>
              </w:rPr>
              <w:t>0%；2、商务标权重K2=</w:t>
            </w:r>
            <w:r>
              <w:rPr>
                <w:rFonts w:hint="eastAsia" w:asciiTheme="minorEastAsia" w:hAnsiTheme="minorEastAsia" w:eastAsiaTheme="minorEastAsia" w:cstheme="minorEastAsia"/>
                <w:b/>
                <w:bCs/>
                <w:szCs w:val="21"/>
                <w:lang w:val="en-US" w:eastAsia="zh-CN"/>
              </w:rPr>
              <w:t>2</w:t>
            </w:r>
            <w:r>
              <w:rPr>
                <w:rFonts w:hint="eastAsia" w:asciiTheme="minorEastAsia" w:hAnsiTheme="minorEastAsia" w:eastAsiaTheme="minorEastAsia" w:cstheme="minorEastAsia"/>
                <w:b/>
                <w:bCs/>
                <w:szCs w:val="21"/>
              </w:rPr>
              <w:t>0%；3、技术标权重K2=50%；  K1+K2+K3=100%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0155" w:type="dxa"/>
            <w:gridSpan w:val="9"/>
            <w:vAlign w:val="center"/>
          </w:tcPr>
          <w:p>
            <w:pPr>
              <w:pageBreakBefore w:val="0"/>
              <w:kinsoku/>
              <w:wordWrap/>
              <w:overflowPunct/>
              <w:topLinePunct w:val="0"/>
              <w:autoSpaceDE/>
              <w:autoSpaceDN/>
              <w:bidi w:val="0"/>
              <w:adjustRightInd/>
              <w:snapToGrid w:val="0"/>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一、经济标报价</w:t>
            </w:r>
            <w:r>
              <w:rPr>
                <w:rFonts w:hint="eastAsia" w:asciiTheme="minorEastAsia" w:hAnsiTheme="minorEastAsia" w:eastAsiaTheme="minorEastAsia" w:cstheme="minorEastAsia"/>
                <w:b/>
                <w:bCs/>
                <w:szCs w:val="21"/>
                <w:lang w:val="en-US" w:eastAsia="zh-CN"/>
              </w:rPr>
              <w:t>3</w:t>
            </w:r>
            <w:r>
              <w:rPr>
                <w:rFonts w:hint="eastAsia" w:asciiTheme="minorEastAsia" w:hAnsiTheme="minorEastAsia" w:eastAsiaTheme="minorEastAsia" w:cstheme="minorEastAsia"/>
                <w:b/>
                <w:bCs/>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atLeast"/>
        </w:trPr>
        <w:tc>
          <w:tcPr>
            <w:tcW w:w="810" w:type="dxa"/>
            <w:gridSpan w:val="2"/>
            <w:vAlign w:val="center"/>
          </w:tcPr>
          <w:p>
            <w:pPr>
              <w:pageBreakBefore w:val="0"/>
              <w:widowControl/>
              <w:kinsoku/>
              <w:wordWrap/>
              <w:overflowPunct/>
              <w:topLinePunct w:val="0"/>
              <w:autoSpaceDE/>
              <w:autoSpaceDN/>
              <w:bidi w:val="0"/>
              <w:adjustRightInd/>
              <w:spacing w:line="360" w:lineRule="exact"/>
              <w:ind w:left="630" w:hanging="630" w:hangingChars="300"/>
              <w:contextualSpacing/>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w:t>
            </w:r>
          </w:p>
        </w:tc>
        <w:tc>
          <w:tcPr>
            <w:tcW w:w="1065" w:type="dxa"/>
            <w:gridSpan w:val="2"/>
            <w:vAlign w:val="center"/>
          </w:tcPr>
          <w:p>
            <w:pPr>
              <w:pageBreakBefore w:val="0"/>
              <w:kinsoku/>
              <w:wordWrap/>
              <w:overflowPunct/>
              <w:topLinePunct w:val="0"/>
              <w:autoSpaceDE/>
              <w:autoSpaceDN/>
              <w:bidi w:val="0"/>
              <w:adjustRightInd/>
              <w:spacing w:line="360" w:lineRule="exact"/>
              <w:contextualSpacing/>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0 分</w:t>
            </w:r>
          </w:p>
        </w:tc>
        <w:tc>
          <w:tcPr>
            <w:tcW w:w="8280" w:type="dxa"/>
            <w:gridSpan w:val="5"/>
            <w:vAlign w:val="center"/>
          </w:tcPr>
          <w:p>
            <w:pPr>
              <w:pageBreakBefore w:val="0"/>
              <w:kinsoku/>
              <w:wordWrap/>
              <w:overflowPunct/>
              <w:topLinePunct w:val="0"/>
              <w:autoSpaceDE/>
              <w:autoSpaceDN/>
              <w:bidi w:val="0"/>
              <w:adjustRightInd/>
              <w:spacing w:line="360" w:lineRule="exact"/>
              <w:ind w:firstLine="420" w:firstLineChars="200"/>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按照财政部《政府采购竞争性磋商采购方式管理暂行办法》（财库[2014]214 </w:t>
            </w:r>
            <w:r>
              <w:rPr>
                <w:rFonts w:hint="eastAsia" w:asciiTheme="minorEastAsia" w:hAnsiTheme="minorEastAsia" w:eastAsiaTheme="minorEastAsia" w:cstheme="minorEastAsia"/>
                <w:spacing w:val="-4"/>
                <w:szCs w:val="21"/>
              </w:rPr>
              <w:t>号）的有关规定：价格分采用低价优先法计算，即满足竞争</w:t>
            </w:r>
            <w:r>
              <w:rPr>
                <w:rFonts w:hint="eastAsia" w:asciiTheme="minorEastAsia" w:hAnsiTheme="minorEastAsia" w:eastAsiaTheme="minorEastAsia" w:cstheme="minorEastAsia"/>
                <w:spacing w:val="-117"/>
                <w:szCs w:val="21"/>
              </w:rPr>
              <w:t xml:space="preserve"> </w:t>
            </w:r>
            <w:r>
              <w:rPr>
                <w:rFonts w:hint="eastAsia" w:asciiTheme="minorEastAsia" w:hAnsiTheme="minorEastAsia" w:eastAsiaTheme="minorEastAsia" w:cstheme="minorEastAsia"/>
                <w:szCs w:val="21"/>
              </w:rPr>
              <w:t xml:space="preserve">性磋商文件要求且最后报价最低的供应商的价格为磋商基准价，其价格分为满分。其他供应商的价格分统一按照下列公式计算： 磋商报价得分=（磋商基准价/最后磋商报价）×价格权值×100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0155" w:type="dxa"/>
            <w:gridSpan w:val="9"/>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val="0"/>
              <w:wordWrap/>
              <w:overflowPunct w:val="0"/>
              <w:topLinePunct w:val="0"/>
              <w:autoSpaceDE w:val="0"/>
              <w:autoSpaceDN w:val="0"/>
              <w:bidi w:val="0"/>
              <w:adjustRightInd/>
              <w:snapToGrid/>
              <w:spacing w:before="0" w:after="0" w:line="360" w:lineRule="exact"/>
              <w:textAlignment w:val="auto"/>
              <w:outlineLvl w:val="9"/>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kern w:val="2"/>
                <w:sz w:val="21"/>
                <w:szCs w:val="21"/>
                <w:lang w:val="en-US" w:eastAsia="zh-CN" w:bidi="ar-SA"/>
              </w:rPr>
              <w:t>二、商务标20分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569" w:type="dxa"/>
            <w:tcBorders>
              <w:left w:val="single" w:color="auto" w:sz="4" w:space="0"/>
              <w:right w:val="single" w:color="auto" w:sz="4" w:space="0"/>
            </w:tcBorders>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15"/>
                <w:szCs w:val="15"/>
              </w:rPr>
              <w:t>序号</w:t>
            </w:r>
          </w:p>
        </w:tc>
        <w:tc>
          <w:tcPr>
            <w:tcW w:w="1561" w:type="dxa"/>
            <w:gridSpan w:val="4"/>
            <w:tcBorders>
              <w:left w:val="single" w:color="auto" w:sz="4" w:space="0"/>
              <w:right w:val="single" w:color="auto" w:sz="4" w:space="0"/>
            </w:tcBorders>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ind w:left="227"/>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评审项目</w:t>
            </w:r>
          </w:p>
        </w:tc>
        <w:tc>
          <w:tcPr>
            <w:tcW w:w="660" w:type="dxa"/>
            <w:gridSpan w:val="2"/>
            <w:tcBorders>
              <w:top w:val="single" w:color="auto" w:sz="4" w:space="0"/>
              <w:left w:val="single" w:color="auto" w:sz="4" w:space="0"/>
              <w:bottom w:val="single" w:color="auto" w:sz="4" w:space="0"/>
              <w:right w:val="single" w:color="auto" w:sz="4" w:space="0"/>
            </w:tcBorders>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分值</w:t>
            </w:r>
          </w:p>
        </w:tc>
        <w:tc>
          <w:tcPr>
            <w:tcW w:w="7365" w:type="dxa"/>
            <w:gridSpan w:val="2"/>
            <w:tcBorders>
              <w:top w:val="single" w:color="auto" w:sz="4" w:space="0"/>
              <w:left w:val="single" w:color="auto" w:sz="4" w:space="0"/>
              <w:right w:val="single" w:color="auto" w:sz="4" w:space="0"/>
            </w:tcBorders>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569" w:type="dxa"/>
            <w:tcBorders>
              <w:top w:val="single" w:color="auto" w:sz="4" w:space="0"/>
              <w:left w:val="single" w:color="auto" w:sz="4" w:space="0"/>
              <w:right w:val="single" w:color="auto" w:sz="4" w:space="0"/>
            </w:tcBorders>
            <w:vAlign w:val="center"/>
          </w:tcPr>
          <w:p>
            <w:pPr>
              <w:pageBreakBefore w:val="0"/>
              <w:tabs>
                <w:tab w:val="left" w:pos="761"/>
                <w:tab w:val="left" w:pos="1662"/>
                <w:tab w:val="left" w:pos="3363"/>
                <w:tab w:val="left" w:pos="3887"/>
                <w:tab w:val="left" w:pos="9649"/>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561" w:type="dxa"/>
            <w:gridSpan w:val="4"/>
            <w:tcBorders>
              <w:top w:val="single" w:color="auto" w:sz="4" w:space="0"/>
              <w:left w:val="single" w:color="auto" w:sz="4" w:space="0"/>
              <w:right w:val="single" w:color="auto" w:sz="4" w:space="0"/>
            </w:tcBorders>
            <w:vAlign w:val="center"/>
          </w:tcPr>
          <w:p>
            <w:pPr>
              <w:pageBreakBefore w:val="0"/>
              <w:tabs>
                <w:tab w:val="left" w:pos="761"/>
                <w:tab w:val="left" w:pos="1662"/>
                <w:tab w:val="left" w:pos="3363"/>
                <w:tab w:val="left" w:pos="3887"/>
                <w:tab w:val="left" w:pos="9649"/>
              </w:tabs>
              <w:kinsoku/>
              <w:wordWrap/>
              <w:overflowPunct/>
              <w:topLinePunct w:val="0"/>
              <w:autoSpaceDE/>
              <w:autoSpaceDN/>
              <w:bidi w:val="0"/>
              <w:adjustRightInd/>
              <w:spacing w:line="360" w:lineRule="exact"/>
              <w:ind w:left="227"/>
              <w:jc w:val="center"/>
              <w:textAlignment w:val="auto"/>
              <w:rPr>
                <w:rFonts w:asciiTheme="minorEastAsia" w:hAnsiTheme="minorEastAsia" w:eastAsiaTheme="minorEastAsia" w:cstheme="minorEastAsia"/>
                <w:szCs w:val="18"/>
              </w:rPr>
            </w:pPr>
            <w:r>
              <w:rPr>
                <w:rFonts w:hint="eastAsia" w:asciiTheme="minorEastAsia" w:hAnsiTheme="minorEastAsia" w:eastAsiaTheme="minorEastAsia" w:cstheme="minorEastAsia"/>
                <w:szCs w:val="18"/>
              </w:rPr>
              <w:t>项目负责人</w:t>
            </w:r>
          </w:p>
        </w:tc>
        <w:tc>
          <w:tcPr>
            <w:tcW w:w="660" w:type="dxa"/>
            <w:gridSpan w:val="2"/>
            <w:tcBorders>
              <w:top w:val="single" w:color="auto" w:sz="4" w:space="0"/>
              <w:left w:val="single" w:color="auto" w:sz="4" w:space="0"/>
              <w:bottom w:val="single" w:color="auto" w:sz="4" w:space="0"/>
              <w:right w:val="single" w:color="auto" w:sz="4" w:space="0"/>
            </w:tcBorders>
            <w:vAlign w:val="center"/>
          </w:tcPr>
          <w:p>
            <w:pPr>
              <w:pageBreakBefore w:val="0"/>
              <w:tabs>
                <w:tab w:val="left" w:pos="761"/>
                <w:tab w:val="left" w:pos="1662"/>
                <w:tab w:val="left" w:pos="3363"/>
                <w:tab w:val="left" w:pos="3887"/>
                <w:tab w:val="left" w:pos="9649"/>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Cs w:val="18"/>
              </w:rPr>
              <w:t>0-2</w:t>
            </w:r>
          </w:p>
        </w:tc>
        <w:tc>
          <w:tcPr>
            <w:tcW w:w="7365" w:type="dxa"/>
            <w:gridSpan w:val="2"/>
            <w:tcBorders>
              <w:top w:val="single" w:color="auto" w:sz="4" w:space="0"/>
              <w:left w:val="single" w:color="auto" w:sz="4" w:space="0"/>
              <w:bottom w:val="single" w:color="auto" w:sz="4" w:space="0"/>
              <w:right w:val="single" w:color="auto" w:sz="4" w:space="0"/>
            </w:tcBorders>
            <w:vAlign w:val="center"/>
          </w:tcPr>
          <w:p>
            <w:pPr>
              <w:pageBreakBefore w:val="0"/>
              <w:tabs>
                <w:tab w:val="left" w:pos="761"/>
                <w:tab w:val="left" w:pos="1662"/>
                <w:tab w:val="left" w:pos="3363"/>
                <w:tab w:val="left" w:pos="3887"/>
                <w:tab w:val="left" w:pos="9649"/>
              </w:tabs>
              <w:kinsoku/>
              <w:wordWrap/>
              <w:overflowPunct/>
              <w:topLinePunct w:val="0"/>
              <w:autoSpaceDE/>
              <w:autoSpaceDN/>
              <w:bidi w:val="0"/>
              <w:adjustRightInd/>
              <w:spacing w:line="360" w:lineRule="exact"/>
              <w:ind w:left="43"/>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Cs w:val="18"/>
              </w:rPr>
              <w:t>项目负责人注册建造师等级证书、职称证书复印件，证件齐全得2分，不全酌情扣分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trPr>
        <w:tc>
          <w:tcPr>
            <w:tcW w:w="569" w:type="dxa"/>
            <w:tcBorders>
              <w:top w:val="single" w:color="auto" w:sz="4" w:space="0"/>
              <w:left w:val="single" w:color="auto" w:sz="4" w:space="0"/>
              <w:bottom w:val="single" w:color="auto" w:sz="4" w:space="0"/>
              <w:right w:val="single" w:color="auto" w:sz="4" w:space="0"/>
            </w:tcBorders>
            <w:vAlign w:val="center"/>
          </w:tcPr>
          <w:p>
            <w:pPr>
              <w:pageBreakBefore w:val="0"/>
              <w:tabs>
                <w:tab w:val="left" w:pos="741"/>
                <w:tab w:val="left" w:pos="1642"/>
                <w:tab w:val="left" w:pos="3363"/>
                <w:tab w:val="left" w:pos="3887"/>
                <w:tab w:val="left" w:pos="9649"/>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561" w:type="dxa"/>
            <w:gridSpan w:val="4"/>
            <w:tcBorders>
              <w:top w:val="single" w:color="auto" w:sz="4" w:space="0"/>
              <w:left w:val="single" w:color="auto" w:sz="4" w:space="0"/>
              <w:bottom w:val="single" w:color="auto" w:sz="4" w:space="0"/>
              <w:right w:val="single" w:color="auto" w:sz="4" w:space="0"/>
            </w:tcBorders>
            <w:vAlign w:val="center"/>
          </w:tcPr>
          <w:p>
            <w:pPr>
              <w:pageBreakBefore w:val="0"/>
              <w:tabs>
                <w:tab w:val="left" w:pos="741"/>
                <w:tab w:val="left" w:pos="1642"/>
                <w:tab w:val="left" w:pos="3363"/>
                <w:tab w:val="left" w:pos="3887"/>
                <w:tab w:val="left" w:pos="9649"/>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18"/>
              </w:rPr>
            </w:pPr>
            <w:r>
              <w:rPr>
                <w:rFonts w:hint="eastAsia" w:asciiTheme="minorEastAsia" w:hAnsiTheme="minorEastAsia" w:eastAsiaTheme="minorEastAsia" w:cstheme="minorEastAsia"/>
                <w:szCs w:val="18"/>
              </w:rPr>
              <w:t>项目管理人员组成</w:t>
            </w:r>
          </w:p>
        </w:tc>
        <w:tc>
          <w:tcPr>
            <w:tcW w:w="660" w:type="dxa"/>
            <w:gridSpan w:val="2"/>
            <w:tcBorders>
              <w:top w:val="single" w:color="auto" w:sz="4" w:space="0"/>
              <w:left w:val="single" w:color="auto" w:sz="4" w:space="0"/>
              <w:bottom w:val="single" w:color="auto" w:sz="4" w:space="0"/>
              <w:right w:val="single" w:color="auto" w:sz="4" w:space="0"/>
            </w:tcBorders>
            <w:vAlign w:val="center"/>
          </w:tcPr>
          <w:p>
            <w:pPr>
              <w:pageBreakBefore w:val="0"/>
              <w:tabs>
                <w:tab w:val="left" w:pos="741"/>
                <w:tab w:val="left" w:pos="1642"/>
                <w:tab w:val="left" w:pos="3363"/>
                <w:tab w:val="left" w:pos="3887"/>
                <w:tab w:val="left" w:pos="9649"/>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Cs w:val="18"/>
              </w:rPr>
              <w:t>0-4</w:t>
            </w:r>
          </w:p>
        </w:tc>
        <w:tc>
          <w:tcPr>
            <w:tcW w:w="7365" w:type="dxa"/>
            <w:gridSpan w:val="2"/>
            <w:tcBorders>
              <w:top w:val="single" w:color="auto" w:sz="4" w:space="0"/>
              <w:left w:val="single" w:color="auto" w:sz="4" w:space="0"/>
              <w:bottom w:val="single" w:color="auto" w:sz="4" w:space="0"/>
              <w:right w:val="single" w:color="auto" w:sz="4" w:space="0"/>
            </w:tcBorders>
            <w:vAlign w:val="center"/>
          </w:tcPr>
          <w:p>
            <w:pPr>
              <w:pStyle w:val="27"/>
              <w:pageBreakBefore w:val="0"/>
              <w:numPr>
                <w:ilvl w:val="0"/>
                <w:numId w:val="5"/>
              </w:numPr>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根据对各投标单位所提供的专业技术服务人员团队成员在数量、专业性范围、人员资格、实操经验能力等是否满足本项目要求进行综合比较评审。</w:t>
            </w:r>
          </w:p>
          <w:p>
            <w:pPr>
              <w:pageBreakBefore w:val="0"/>
              <w:tabs>
                <w:tab w:val="left" w:pos="1642"/>
                <w:tab w:val="left" w:pos="3363"/>
                <w:tab w:val="left" w:pos="3887"/>
                <w:tab w:val="left" w:pos="9649"/>
              </w:tabs>
              <w:kinsoku/>
              <w:wordWrap/>
              <w:overflowPunct/>
              <w:topLinePunct w:val="0"/>
              <w:autoSpaceDE/>
              <w:autoSpaceDN/>
              <w:bidi w:val="0"/>
              <w:adjustRightInd/>
              <w:spacing w:line="360" w:lineRule="exact"/>
              <w:ind w:left="43"/>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Cs w:val="21"/>
              </w:rPr>
              <w:t>2、对各投标单位所提供的团队专业人员的执业资格证书、职称证书、复印件齐全等情况进行综合比较评审。不齐全的酌情扣分。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5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561"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标函质量</w:t>
            </w:r>
          </w:p>
        </w:tc>
        <w:tc>
          <w:tcPr>
            <w:tcW w:w="660"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0-4</w:t>
            </w:r>
          </w:p>
        </w:tc>
        <w:tc>
          <w:tcPr>
            <w:tcW w:w="7365" w:type="dxa"/>
            <w:gridSpan w:val="2"/>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印刷、装订、目录、页码标识、错漏字、内容一致性酌情给分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5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w:t>
            </w:r>
          </w:p>
        </w:tc>
        <w:tc>
          <w:tcPr>
            <w:tcW w:w="1561"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业绩</w:t>
            </w:r>
          </w:p>
        </w:tc>
        <w:tc>
          <w:tcPr>
            <w:tcW w:w="660"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0-10</w:t>
            </w:r>
          </w:p>
        </w:tc>
        <w:tc>
          <w:tcPr>
            <w:tcW w:w="7365" w:type="dxa"/>
            <w:gridSpan w:val="2"/>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近</w:t>
            </w:r>
            <w:r>
              <w:rPr>
                <w:rFonts w:hint="eastAsia" w:asciiTheme="minorEastAsia" w:hAnsiTheme="minorEastAsia" w:eastAsiaTheme="minorEastAsia" w:cstheme="minorEastAsia"/>
                <w:sz w:val="21"/>
                <w:szCs w:val="21"/>
                <w:lang w:val="en-US" w:eastAsia="zh-CN"/>
              </w:rPr>
              <w:t>三</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以来承接过类似工程施工项目业绩，每个得2分，最多得10分。（以中标通知书或合同为准）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10155" w:type="dxa"/>
            <w:gridSpan w:val="9"/>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contextualSpacing/>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三、技术标（总分100分，权重50%，即技术标最高得分50分）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69" w:type="dxa"/>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15"/>
                <w:szCs w:val="15"/>
              </w:rPr>
              <w:t>序号</w:t>
            </w:r>
          </w:p>
        </w:tc>
        <w:tc>
          <w:tcPr>
            <w:tcW w:w="1797" w:type="dxa"/>
            <w:gridSpan w:val="5"/>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评审项目</w:t>
            </w:r>
          </w:p>
        </w:tc>
        <w:tc>
          <w:tcPr>
            <w:tcW w:w="735" w:type="dxa"/>
            <w:gridSpan w:val="2"/>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分值</w:t>
            </w:r>
          </w:p>
        </w:tc>
        <w:tc>
          <w:tcPr>
            <w:tcW w:w="7054" w:type="dxa"/>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blHeader/>
        </w:trPr>
        <w:tc>
          <w:tcPr>
            <w:tcW w:w="569" w:type="dxa"/>
            <w:tcBorders>
              <w:bottom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797" w:type="dxa"/>
            <w:gridSpan w:val="5"/>
            <w:tcBorders>
              <w:bottom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工程概况及特点</w:t>
            </w:r>
          </w:p>
        </w:tc>
        <w:tc>
          <w:tcPr>
            <w:tcW w:w="735" w:type="dxa"/>
            <w:gridSpan w:val="2"/>
            <w:tcBorders>
              <w:bottom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0-2</w:t>
            </w:r>
          </w:p>
        </w:tc>
        <w:tc>
          <w:tcPr>
            <w:tcW w:w="7054" w:type="dxa"/>
            <w:tcBorders>
              <w:bottom w:val="single" w:color="auto" w:sz="4" w:space="0"/>
            </w:tcBorders>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工程概况及特点叙述正确，符合实际得2分，否则酌情扣分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施工准备计划</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0-2</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施工技术、现场、物资与机械、队伍准备计划应能充分保证工程需要得2分，否则酌情扣分。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施工方案</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0-20</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施工方案应能符合工程实际情况，提高生产率、缩短工期、提高质量、降低消耗，优得14-20分，良好得7-13分，较差0-6分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施工进度计划</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0-16</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进度计划应在空间和时间上做合理的统筹安排且符合施工的科学规律，优得12-16分，良好得7-11分，较差0-6分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施工平面图</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0-7</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施工平面图应符合工程实际，布置紧凑，便于施工和管理并符合劳保、安全要求。</w:t>
            </w:r>
            <w:r>
              <w:rPr>
                <w:rFonts w:hint="eastAsia" w:asciiTheme="minorEastAsia" w:hAnsiTheme="minorEastAsia" w:eastAsiaTheme="minorEastAsia" w:cstheme="minorEastAsia"/>
                <w:bCs/>
                <w:szCs w:val="21"/>
              </w:rPr>
              <w:t>优得5-7分，良好得2-4分，较差0-1分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劳动力需用量计划</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0-6</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需用量计划应是根据工程进度计划的安排计算出的，并与工程进度计划相一致。优得4-6分，良好得2-3分，较差0-1分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质量保证措施和体系</w:t>
            </w:r>
          </w:p>
        </w:tc>
        <w:tc>
          <w:tcPr>
            <w:tcW w:w="735" w:type="dxa"/>
            <w:gridSpan w:val="2"/>
            <w:vMerge w:val="restart"/>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0-16</w:t>
            </w:r>
          </w:p>
        </w:tc>
        <w:tc>
          <w:tcPr>
            <w:tcW w:w="7054" w:type="dxa"/>
            <w:vMerge w:val="restart"/>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保证措施应符合科学的施工规律、国家规定的强制性标准并有针对性，同时要符合实际情况，切实可行</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szCs w:val="21"/>
              </w:rPr>
              <w:t>优得12-16分，良好得7-11分，较差0-6分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工期保证措施和体系</w:t>
            </w:r>
          </w:p>
        </w:tc>
        <w:tc>
          <w:tcPr>
            <w:tcW w:w="735" w:type="dxa"/>
            <w:gridSpan w:val="2"/>
            <w:vMerge w:val="continue"/>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color w:val="FF0000"/>
                <w:szCs w:val="21"/>
              </w:rPr>
            </w:pPr>
          </w:p>
        </w:tc>
        <w:tc>
          <w:tcPr>
            <w:tcW w:w="7054" w:type="dxa"/>
            <w:vMerge w:val="continue"/>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安全保证措施和体系</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0-15</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保证措施应符合</w:t>
            </w:r>
            <w:r>
              <w:rPr>
                <w:rFonts w:hint="eastAsia" w:asciiTheme="minorEastAsia" w:hAnsiTheme="minorEastAsia" w:eastAsiaTheme="minorEastAsia" w:cstheme="minorEastAsia"/>
                <w:szCs w:val="21"/>
              </w:rPr>
              <w:t>国家规定的强制性标准并有针对性，同时要符合实际情况，切实可行。优得11-15分，良好得5-10分，较差0-4分。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现场文明施工措施</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0-8</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措施应符合工程实际情况，切实可行得6-8分，一般得3-5分，较差不得分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承诺</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0-8</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保修</w:t>
            </w:r>
            <w:r>
              <w:rPr>
                <w:rFonts w:hint="eastAsia" w:asciiTheme="minorEastAsia" w:hAnsiTheme="minorEastAsia" w:eastAsiaTheme="minorEastAsia" w:cstheme="minorEastAsia"/>
                <w:szCs w:val="21"/>
              </w:rPr>
              <w:t>有承诺、</w:t>
            </w:r>
            <w:r>
              <w:rPr>
                <w:rFonts w:hint="eastAsia" w:asciiTheme="minorEastAsia" w:hAnsiTheme="minorEastAsia" w:eastAsiaTheme="minorEastAsia" w:cstheme="minorEastAsia"/>
                <w:szCs w:val="21"/>
                <w:lang w:eastAsia="zh-CN"/>
              </w:rPr>
              <w:t>有</w:t>
            </w:r>
            <w:r>
              <w:rPr>
                <w:rFonts w:hint="eastAsia" w:asciiTheme="minorEastAsia" w:hAnsiTheme="minorEastAsia" w:eastAsiaTheme="minorEastAsia" w:cstheme="minorEastAsia"/>
                <w:szCs w:val="21"/>
              </w:rPr>
              <w:t>违约经济处罚且措施可行得8分，否则酌情扣分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200" w:type="dxa"/>
            <w:gridSpan w:val="3"/>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合计</w:t>
            </w:r>
          </w:p>
        </w:tc>
        <w:tc>
          <w:tcPr>
            <w:tcW w:w="8955" w:type="dxa"/>
            <w:gridSpan w:val="6"/>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200" w:type="dxa"/>
            <w:gridSpan w:val="3"/>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得分</w:t>
            </w:r>
          </w:p>
        </w:tc>
        <w:tc>
          <w:tcPr>
            <w:tcW w:w="8955" w:type="dxa"/>
            <w:gridSpan w:val="6"/>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合计×50%</w:t>
            </w:r>
          </w:p>
        </w:tc>
      </w:tr>
    </w:tbl>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color w:val="000000"/>
          <w:szCs w:val="21"/>
          <w:lang w:val="zh-CN"/>
        </w:rPr>
      </w:pPr>
      <w:r>
        <w:rPr>
          <w:rFonts w:hint="eastAsia" w:asciiTheme="minorEastAsia" w:hAnsiTheme="minorEastAsia" w:eastAsiaTheme="minorEastAsia" w:cstheme="minorEastAsia"/>
          <w:color w:val="000000"/>
          <w:szCs w:val="21"/>
          <w:lang w:val="zh-CN"/>
        </w:rPr>
        <w:t>注：1、各评委应认真了解本磋商文件和工程有关情况后，做出须自己负责的评审。</w:t>
      </w:r>
    </w:p>
    <w:p>
      <w:pPr>
        <w:pageBreakBefore w:val="0"/>
        <w:widowControl w:val="0"/>
        <w:kinsoku/>
        <w:wordWrap/>
        <w:overflowPunct/>
        <w:topLinePunct w:val="0"/>
        <w:autoSpaceDE/>
        <w:autoSpaceDN/>
        <w:bidi w:val="0"/>
        <w:snapToGrid/>
        <w:spacing w:line="460" w:lineRule="exact"/>
        <w:jc w:val="left"/>
        <w:textAlignment w:val="auto"/>
        <w:rPr>
          <w:rFonts w:asciiTheme="minorEastAsia" w:hAnsiTheme="minorEastAsia" w:eastAsiaTheme="minorEastAsia" w:cstheme="minorEastAsia"/>
          <w:color w:val="000000"/>
          <w:szCs w:val="21"/>
          <w:lang w:val="zh-CN"/>
        </w:rPr>
      </w:pPr>
      <w:r>
        <w:rPr>
          <w:rFonts w:hint="eastAsia" w:asciiTheme="minorEastAsia" w:hAnsiTheme="minorEastAsia" w:eastAsiaTheme="minorEastAsia" w:cstheme="minorEastAsia"/>
          <w:color w:val="000000"/>
          <w:szCs w:val="21"/>
        </w:rPr>
        <w:t>2、</w:t>
      </w:r>
      <w:r>
        <w:rPr>
          <w:rFonts w:hint="eastAsia" w:asciiTheme="minorEastAsia" w:hAnsiTheme="minorEastAsia" w:eastAsiaTheme="minorEastAsia" w:cstheme="minorEastAsia"/>
          <w:color w:val="000000"/>
          <w:szCs w:val="21"/>
          <w:lang w:val="zh-CN"/>
        </w:rPr>
        <w:t>技术标在进行汇总时，分项项目评分进行算术平均，计算结果值在小数点后保留两位小数，后余位数四舍五入计。项目评审过程中，不得去掉最后报价中的最高报价和最低报价。</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color w:val="000000"/>
          <w:szCs w:val="21"/>
        </w:rPr>
        <w:t>3、</w:t>
      </w:r>
      <w:r>
        <w:rPr>
          <w:rFonts w:hint="eastAsia" w:asciiTheme="minorEastAsia" w:hAnsiTheme="minorEastAsia" w:eastAsiaTheme="minorEastAsia" w:cstheme="minorEastAsia"/>
          <w:color w:val="000000"/>
          <w:szCs w:val="21"/>
          <w:lang w:val="zh-CN"/>
        </w:rPr>
        <w:t>商务标详细评审：供应商商务部分得分等于评委评分的算术平均值。</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val="zh-CN"/>
        </w:rPr>
        <w:t>、供应商请认真阅读和理解上述内容，避免投标文件中有违背上述审查标准之一的情况发生而造成废标；评标中各评委若发生意见分歧，通过书面表决形式，以少数服从多数为原则决定。</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zh-CN"/>
        </w:rPr>
        <w:t>5、磋商确定最终采购需求和提交最后报价的供应商后，价格得分的评分方法：采用低价优先法计算，即满足磋商文件要求且最后磋商报价最低的供应商的最后磋商报价为磋商基准价，其价格得分为满分。其他供应商的最后磋商报价得分统一按照下列公式计算：磋商报价得分=（磋商基准价/最后磋商报价）×</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lang w:val="zh-CN"/>
        </w:rPr>
        <w:t xml:space="preserve">0%×100，如此类推，算出所有投标供应商的价格得分。          </w:t>
      </w:r>
      <w:r>
        <w:rPr>
          <w:rFonts w:hint="eastAsia" w:asciiTheme="minorEastAsia" w:hAnsiTheme="minorEastAsia" w:eastAsiaTheme="minorEastAsia" w:cstheme="minorEastAsia"/>
          <w:szCs w:val="21"/>
        </w:rPr>
        <w:t xml:space="preserve">                     </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评分分值计算结果值在小数点后均保留两位小数，后余位数四舍五入计。</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在报价评审中，若磋商小组发现供应商以明显低于市场或成本的价格投标，而供应商又未在投标文件中提供有力证据证明其报价合理的，磋商小组可以认定该投标以低于成本的价格投标。被认定为低于成本价格的投标将按废标处理。</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6、磋商小组应当根据综合评分情况，按照评审得分由高到低顺序推荐3名成交候选供应商。评审得分相同的，按照最终报价由低到高的顺序推荐。评审得分且最终报价相同的，按照技术指标优劣顺序推荐。</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7、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en-US" w:eastAsia="zh-CN"/>
        </w:rPr>
        <w:t>8、</w:t>
      </w:r>
      <w:r>
        <w:rPr>
          <w:rFonts w:hint="eastAsia" w:asciiTheme="minorEastAsia" w:hAnsiTheme="minorEastAsia" w:eastAsiaTheme="minorEastAsia" w:cstheme="minorEastAsia"/>
          <w:b/>
          <w:bCs/>
          <w:szCs w:val="21"/>
          <w:lang w:val="zh-CN" w:eastAsia="zh-CN"/>
        </w:rPr>
        <w:t>小微型企业价格扣除</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(1) 本项目对小型和微型企业给予</w:t>
      </w:r>
      <w:r>
        <w:rPr>
          <w:rFonts w:hint="eastAsia" w:asciiTheme="minorEastAsia" w:hAnsiTheme="minorEastAsia" w:eastAsiaTheme="minorEastAsia" w:cstheme="minorEastAsia"/>
          <w:b/>
          <w:bCs/>
          <w:szCs w:val="21"/>
          <w:lang w:val="en-US" w:eastAsia="zh-CN"/>
        </w:rPr>
        <w:t>10</w:t>
      </w:r>
      <w:r>
        <w:rPr>
          <w:rFonts w:hint="eastAsia" w:asciiTheme="minorEastAsia" w:hAnsiTheme="minorEastAsia" w:eastAsiaTheme="minorEastAsia" w:cstheme="minorEastAsia"/>
          <w:b/>
          <w:bCs/>
          <w:szCs w:val="21"/>
          <w:lang w:val="zh-CN" w:eastAsia="zh-CN"/>
        </w:rPr>
        <w:t>%的扣除价格，用扣除后的价格参与评审。</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(2) 供应商需按照采购文件的要求提供相应的《中小企业声明函》  (工程、</w:t>
      </w:r>
      <w:r>
        <w:rPr>
          <w:rFonts w:hint="eastAsia" w:asciiTheme="minorEastAsia" w:hAnsiTheme="minorEastAsia" w:eastAsiaTheme="minorEastAsia" w:cstheme="minorEastAsia"/>
          <w:b/>
          <w:bCs/>
          <w:szCs w:val="21"/>
          <w:lang w:val="en-US" w:eastAsia="zh-CN"/>
        </w:rPr>
        <w:t>服务</w:t>
      </w:r>
      <w:r>
        <w:rPr>
          <w:rFonts w:hint="eastAsia" w:asciiTheme="minorEastAsia" w:hAnsiTheme="minorEastAsia" w:eastAsiaTheme="minorEastAsia" w:cstheme="minorEastAsia"/>
          <w:b/>
          <w:bCs/>
          <w:szCs w:val="21"/>
          <w:lang w:val="zh-CN" w:eastAsia="zh-CN"/>
        </w:rPr>
        <w:t>) 。</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(3) 企业标准请参照《关于印发中小企业划型标准规定的通知》  (工信部联企业[2011]300 号) 文件规定自行填写。</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en-US" w:eastAsia="zh-CN"/>
        </w:rPr>
        <w:t>9、</w:t>
      </w:r>
      <w:r>
        <w:rPr>
          <w:rFonts w:hint="eastAsia" w:asciiTheme="minorEastAsia" w:hAnsiTheme="minorEastAsia" w:eastAsiaTheme="minorEastAsia" w:cstheme="minorEastAsia"/>
          <w:b/>
          <w:bCs/>
          <w:szCs w:val="21"/>
          <w:lang w:val="zh-CN" w:eastAsia="zh-CN"/>
        </w:rPr>
        <w:t>残疾人福利单位价格扣除</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(1) 本项目对残疾人福利性单位视同小型、微型企业，给予3%的价格扣除，用扣除后的价格参与评审。</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(2) 残疾人福利单位需按照采购文件的要求提供《残疾人福利性单位声明函》。</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(3) 残疾人福利单位标准请参照《关于促进残疾人就业政府采购政策的通知》  (财库〔2017〕141 号) 。</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en-US" w:eastAsia="zh-CN"/>
        </w:rPr>
        <w:t>10、</w:t>
      </w:r>
      <w:r>
        <w:rPr>
          <w:rFonts w:hint="eastAsia" w:asciiTheme="minorEastAsia" w:hAnsiTheme="minorEastAsia" w:eastAsiaTheme="minorEastAsia" w:cstheme="minorEastAsia"/>
          <w:b/>
          <w:bCs/>
          <w:szCs w:val="21"/>
          <w:lang w:val="zh-CN" w:eastAsia="zh-CN"/>
        </w:rPr>
        <w:t>监狱和戒毒企业价格扣除</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(1) 本项目对监狱和戒毒企业 (简称监狱企业) 视同小型、微型企业，给予3%的价格 扣除，用扣除后的价格参与评审。</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(2) 监狱企业参加政府采购活动时，需提供由省级以上监狱管理局、戒毒管理局(含新 疆生产建设兵团)出具的属于监狱企业的证明文件。供应商如不提供上述证明文件，价格将 不做相应扣除。</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b/>
          <w:bCs/>
          <w:szCs w:val="21"/>
          <w:lang w:val="zh-CN" w:eastAsia="zh-CN"/>
        </w:rPr>
        <w:t>(3) 监狱企业标准请参照《关于政府采购支持监狱企业发展有关问题的通知》  (财库 [2014]68 号)</w:t>
      </w:r>
      <w:r>
        <w:rPr>
          <w:rFonts w:hint="eastAsia" w:asciiTheme="minorEastAsia" w:hAnsiTheme="minorEastAsia" w:eastAsiaTheme="minorEastAsia" w:cstheme="minorEastAsia"/>
          <w:b/>
          <w:bCs/>
          <w:szCs w:val="21"/>
          <w:lang w:val="en-US" w:eastAsia="zh-CN"/>
        </w:rPr>
        <w:t xml:space="preserve"> </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default"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b/>
          <w:bCs/>
          <w:szCs w:val="21"/>
          <w:lang w:val="en-US" w:eastAsia="zh-CN"/>
        </w:rPr>
        <w:t xml:space="preserve">11、 </w:t>
      </w:r>
      <w:r>
        <w:rPr>
          <w:rFonts w:hint="default" w:asciiTheme="minorEastAsia" w:hAnsiTheme="minorEastAsia" w:eastAsiaTheme="minorEastAsia" w:cstheme="minorEastAsia"/>
          <w:b/>
          <w:bCs/>
          <w:szCs w:val="21"/>
          <w:lang w:val="en-US" w:eastAsia="zh-CN"/>
        </w:rPr>
        <w:t>残疾人福利单位、监狱企业属于小型、微型企业的，不重复享受政策。</w:t>
      </w:r>
    </w:p>
    <w:p>
      <w:pPr>
        <w:pStyle w:val="2"/>
        <w:rPr>
          <w:lang w:val="zh-CN"/>
        </w:rPr>
      </w:pPr>
    </w:p>
    <w:p>
      <w:pPr>
        <w:pStyle w:val="4"/>
        <w:pageBreakBefore w:val="0"/>
        <w:widowControl w:val="0"/>
        <w:kinsoku/>
        <w:wordWrap/>
        <w:overflowPunct/>
        <w:topLinePunct w:val="0"/>
        <w:autoSpaceDE/>
        <w:autoSpaceDN/>
        <w:bidi w:val="0"/>
        <w:snapToGrid/>
        <w:spacing w:before="100" w:beforeAutospacing="1" w:after="100" w:afterAutospacing="1" w:line="460" w:lineRule="exact"/>
        <w:jc w:val="center"/>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F  授予合同</w:t>
      </w:r>
      <w:bookmarkEnd w:id="128"/>
      <w:bookmarkEnd w:id="129"/>
      <w:bookmarkEnd w:id="130"/>
      <w:bookmarkEnd w:id="131"/>
      <w:bookmarkEnd w:id="132"/>
      <w:bookmarkEnd w:id="133"/>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28．合同授予标准</w:t>
      </w:r>
    </w:p>
    <w:p>
      <w:pPr>
        <w:pageBreakBefore w:val="0"/>
        <w:widowControl w:val="0"/>
        <w:kinsoku/>
        <w:wordWrap/>
        <w:overflowPunct/>
        <w:topLinePunct w:val="0"/>
        <w:autoSpaceDE/>
        <w:autoSpaceDN/>
        <w:bidi w:val="0"/>
        <w:snapToGrid/>
        <w:spacing w:line="460" w:lineRule="exact"/>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28.1</w:t>
      </w:r>
      <w:r>
        <w:rPr>
          <w:rFonts w:hint="eastAsia" w:asciiTheme="minorEastAsia" w:hAnsiTheme="minorEastAsia" w:eastAsiaTheme="minorEastAsia" w:cstheme="minorEastAsia"/>
          <w:bCs/>
          <w:sz w:val="24"/>
        </w:rPr>
        <w:t>合同将授予被确定为实质上响应磋商文件要求，符合招标需求、质量和服务相等且综合评分最高的供应商</w:t>
      </w:r>
      <w:r>
        <w:rPr>
          <w:rFonts w:hint="eastAsia" w:asciiTheme="minorEastAsia" w:hAnsiTheme="minorEastAsia" w:eastAsiaTheme="minorEastAsia" w:cstheme="minorEastAsia"/>
          <w:sz w:val="24"/>
        </w:rPr>
        <w:t>。</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28.2 最低报价不一定是被授予合同的保证。</w:t>
      </w:r>
    </w:p>
    <w:p>
      <w:pPr>
        <w:pageBreakBefore w:val="0"/>
        <w:widowControl w:val="0"/>
        <w:kinsoku/>
        <w:wordWrap/>
        <w:overflowPunct/>
        <w:topLinePunct w:val="0"/>
        <w:autoSpaceDE/>
        <w:autoSpaceDN/>
        <w:bidi w:val="0"/>
        <w:snapToGrid/>
        <w:spacing w:line="460" w:lineRule="exact"/>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28.3排名第一的成交候选人放弃中标、因不可抗力不能履行合同、不按照磋商文件要求提交履约保证金，或者被查实存在影响中标结果的违法行为等情形，不符合成交条件的，采购人可以按照磋商小组提出的成交候选人名单排序依次确定其他中标候选人为成交供应商，也可以重新招标。</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29．接受和拒绝任何或所有磋商的权力</w:t>
      </w:r>
    </w:p>
    <w:p>
      <w:pPr>
        <w:pageBreakBefore w:val="0"/>
        <w:widowControl w:val="0"/>
        <w:kinsoku/>
        <w:wordWrap/>
        <w:overflowPunct/>
        <w:topLinePunct w:val="0"/>
        <w:autoSpaceDE/>
        <w:autoSpaceDN/>
        <w:bidi w:val="0"/>
        <w:snapToGrid/>
        <w:spacing w:line="460" w:lineRule="exact"/>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29.1为维护国家利益，买方在授予合同之前仍有选择或拒绝任何全部磋商的权力，并对所采取的行为不作任何解释。</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30．成交通知书</w:t>
      </w:r>
    </w:p>
    <w:p>
      <w:pPr>
        <w:pageBreakBefore w:val="0"/>
        <w:widowControl w:val="0"/>
        <w:kinsoku/>
        <w:wordWrap/>
        <w:overflowPunct/>
        <w:topLinePunct w:val="0"/>
        <w:autoSpaceDE/>
        <w:autoSpaceDN/>
        <w:bidi w:val="0"/>
        <w:snapToGrid/>
        <w:spacing w:line="460" w:lineRule="exact"/>
        <w:ind w:left="552" w:hanging="552" w:hangingChars="23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30.1 成交公告期满后，招标代理机构将以书面形式发出《成交通知书》，但发出时间不超过磋商有效期，《成交通知书》一经发出即发生法律效力。</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30.2 《成交通知书》将作为签订合同的依据。</w:t>
      </w:r>
    </w:p>
    <w:p>
      <w:pPr>
        <w:pageBreakBefore w:val="0"/>
        <w:widowControl w:val="0"/>
        <w:kinsoku/>
        <w:wordWrap/>
        <w:overflowPunct/>
        <w:topLinePunct w:val="0"/>
        <w:autoSpaceDE/>
        <w:autoSpaceDN/>
        <w:bidi w:val="0"/>
        <w:snapToGrid/>
        <w:spacing w:line="460" w:lineRule="exact"/>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30.3 在成交通知书发出后五个工作日内退还未成交供应商的保证金，在采购合同签订后五个工作日内退还成交供应商的保证金。</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31．签订合同</w:t>
      </w:r>
    </w:p>
    <w:p>
      <w:pPr>
        <w:pageBreakBefore w:val="0"/>
        <w:widowControl w:val="0"/>
        <w:kinsoku/>
        <w:wordWrap/>
        <w:overflowPunct/>
        <w:topLinePunct w:val="0"/>
        <w:autoSpaceDE/>
        <w:autoSpaceDN/>
        <w:bidi w:val="0"/>
        <w:snapToGrid/>
        <w:spacing w:line="460" w:lineRule="exact"/>
        <w:ind w:left="540" w:hanging="540" w:hangingChars="225"/>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31.1 供应商收到《成交通知书》后，按《成交通知书》中规定的时间地点与买方签订合同。买方和成交方不得再订立背离合同实质性内容的其他协议。</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31.2如成交方拒签合同，则按违约处理。招标代理机构没收其磋商保证金。</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31.3磋商文件、成交方的磋商响应文件及其澄清文件等，均为签订经济合同的依据。</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32．履约保证金（如适用）</w:t>
      </w:r>
    </w:p>
    <w:p>
      <w:pPr>
        <w:pageBreakBefore w:val="0"/>
        <w:widowControl w:val="0"/>
        <w:kinsoku/>
        <w:wordWrap/>
        <w:overflowPunct/>
        <w:topLinePunct w:val="0"/>
        <w:autoSpaceDE/>
        <w:autoSpaceDN/>
        <w:bidi w:val="0"/>
        <w:snapToGrid/>
        <w:spacing w:line="460" w:lineRule="exact"/>
        <w:ind w:left="720" w:hanging="72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32.1成交方应按合同规定的方式、时间和金额向买方提交履约保证金。</w:t>
      </w:r>
    </w:p>
    <w:p>
      <w:pPr>
        <w:pStyle w:val="18"/>
        <w:pageBreakBefore w:val="0"/>
        <w:widowControl w:val="0"/>
        <w:kinsoku/>
        <w:wordWrap/>
        <w:overflowPunct/>
        <w:topLinePunct w:val="0"/>
        <w:autoSpaceDE/>
        <w:autoSpaceDN/>
        <w:bidi w:val="0"/>
        <w:snapToGrid/>
        <w:spacing w:line="460" w:lineRule="exact"/>
        <w:ind w:firstLine="480"/>
        <w:textAlignment w:val="auto"/>
        <w:rPr>
          <w:rFonts w:eastAsiaTheme="minorEastAsia"/>
        </w:rPr>
      </w:pPr>
      <w:r>
        <w:rPr>
          <w:rFonts w:hint="eastAsia" w:asciiTheme="minorEastAsia" w:hAnsiTheme="minorEastAsia" w:eastAsiaTheme="minorEastAsia" w:cstheme="minorEastAsia"/>
        </w:rPr>
        <w:t>履约保证金为合同价款的</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33．招标代理服务费</w:t>
      </w:r>
    </w:p>
    <w:p>
      <w:pPr>
        <w:pStyle w:val="10"/>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招标代理代理服务费由成交人向招标代理机构支付。</w:t>
      </w:r>
    </w:p>
    <w:p>
      <w:pPr>
        <w:pStyle w:val="4"/>
        <w:pageBreakBefore w:val="0"/>
        <w:widowControl w:val="0"/>
        <w:kinsoku/>
        <w:wordWrap/>
        <w:overflowPunct/>
        <w:topLinePunct w:val="0"/>
        <w:autoSpaceDE/>
        <w:autoSpaceDN/>
        <w:bidi w:val="0"/>
        <w:snapToGrid/>
        <w:spacing w:before="100" w:beforeAutospacing="1" w:after="100" w:afterAutospacing="1" w:line="460" w:lineRule="exact"/>
        <w:jc w:val="center"/>
        <w:textAlignment w:val="auto"/>
        <w:rPr>
          <w:rFonts w:hint="eastAsia" w:asciiTheme="minorEastAsia" w:hAnsiTheme="minorEastAsia" w:eastAsiaTheme="minorEastAsia" w:cstheme="minorEastAsia"/>
          <w:sz w:val="28"/>
          <w:szCs w:val="28"/>
        </w:rPr>
      </w:pPr>
      <w:bookmarkStart w:id="135" w:name="_Toc471489759"/>
      <w:bookmarkStart w:id="136" w:name="_Toc527642958"/>
    </w:p>
    <w:p>
      <w:pPr>
        <w:pStyle w:val="4"/>
        <w:pageBreakBefore w:val="0"/>
        <w:widowControl w:val="0"/>
        <w:kinsoku/>
        <w:wordWrap/>
        <w:overflowPunct/>
        <w:topLinePunct w:val="0"/>
        <w:autoSpaceDE/>
        <w:autoSpaceDN/>
        <w:bidi w:val="0"/>
        <w:snapToGrid/>
        <w:spacing w:before="100" w:beforeAutospacing="1" w:after="100" w:afterAutospacing="1" w:line="460" w:lineRule="exact"/>
        <w:jc w:val="center"/>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sz w:val="28"/>
          <w:szCs w:val="28"/>
        </w:rPr>
        <w:t>G  磋商失败条件</w:t>
      </w:r>
      <w:bookmarkEnd w:id="135"/>
      <w:bookmarkEnd w:id="136"/>
    </w:p>
    <w:p>
      <w:pPr>
        <w:pStyle w:val="10"/>
        <w:pageBreakBefore w:val="0"/>
        <w:widowControl w:val="0"/>
        <w:tabs>
          <w:tab w:val="left" w:pos="720"/>
          <w:tab w:val="left" w:pos="900"/>
          <w:tab w:val="left" w:pos="1260"/>
        </w:tabs>
        <w:kinsoku/>
        <w:wordWrap/>
        <w:overflowPunct/>
        <w:topLinePunct w:val="0"/>
        <w:autoSpaceDE/>
        <w:autoSpaceDN/>
        <w:bidi w:val="0"/>
        <w:adjustRightInd w:val="0"/>
        <w:snapToGrid/>
        <w:spacing w:line="460" w:lineRule="exact"/>
        <w:ind w:left="720" w:hanging="720" w:hangingChars="3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34.出现影响招标公正的违法、违规行为的；</w:t>
      </w:r>
    </w:p>
    <w:p>
      <w:pPr>
        <w:pStyle w:val="10"/>
        <w:pageBreakBefore w:val="0"/>
        <w:widowControl w:val="0"/>
        <w:tabs>
          <w:tab w:val="left" w:pos="720"/>
          <w:tab w:val="left" w:pos="900"/>
          <w:tab w:val="left" w:pos="1260"/>
        </w:tabs>
        <w:kinsoku/>
        <w:wordWrap/>
        <w:overflowPunct/>
        <w:topLinePunct w:val="0"/>
        <w:autoSpaceDE/>
        <w:autoSpaceDN/>
        <w:bidi w:val="0"/>
        <w:adjustRightInd w:val="0"/>
        <w:snapToGrid/>
        <w:spacing w:line="460" w:lineRule="exact"/>
        <w:ind w:left="720" w:hanging="720" w:hangingChars="3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35.因重大变故，采购任务取消的；</w:t>
      </w:r>
    </w:p>
    <w:p>
      <w:pPr>
        <w:pStyle w:val="10"/>
        <w:pageBreakBefore w:val="0"/>
        <w:widowControl w:val="0"/>
        <w:tabs>
          <w:tab w:val="left" w:pos="720"/>
          <w:tab w:val="left" w:pos="900"/>
          <w:tab w:val="left" w:pos="1260"/>
        </w:tabs>
        <w:kinsoku/>
        <w:wordWrap/>
        <w:overflowPunct/>
        <w:topLinePunct w:val="0"/>
        <w:autoSpaceDE/>
        <w:autoSpaceDN/>
        <w:bidi w:val="0"/>
        <w:adjustRightInd w:val="0"/>
        <w:snapToGrid/>
        <w:spacing w:line="460" w:lineRule="exact"/>
        <w:ind w:left="720" w:hanging="720" w:hangingChars="3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36.磋商响应文件截止时间后，实际参与的供应商不足法定家数的；</w:t>
      </w:r>
    </w:p>
    <w:p>
      <w:pPr>
        <w:pStyle w:val="10"/>
        <w:pageBreakBefore w:val="0"/>
        <w:widowControl w:val="0"/>
        <w:tabs>
          <w:tab w:val="left" w:pos="720"/>
          <w:tab w:val="left" w:pos="900"/>
          <w:tab w:val="left" w:pos="1260"/>
        </w:tabs>
        <w:kinsoku/>
        <w:wordWrap/>
        <w:overflowPunct/>
        <w:topLinePunct w:val="0"/>
        <w:autoSpaceDE/>
        <w:autoSpaceDN/>
        <w:bidi w:val="0"/>
        <w:adjustRightInd w:val="0"/>
        <w:snapToGrid/>
        <w:spacing w:line="460" w:lineRule="exact"/>
        <w:ind w:left="720" w:hanging="720" w:hangingChars="3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37.最终报价均超过采购预算的；</w:t>
      </w:r>
    </w:p>
    <w:p>
      <w:pPr>
        <w:pStyle w:val="10"/>
        <w:pageBreakBefore w:val="0"/>
        <w:widowControl w:val="0"/>
        <w:tabs>
          <w:tab w:val="left" w:pos="720"/>
          <w:tab w:val="left" w:pos="900"/>
          <w:tab w:val="left" w:pos="1260"/>
        </w:tabs>
        <w:kinsoku/>
        <w:wordWrap/>
        <w:overflowPunct/>
        <w:topLinePunct w:val="0"/>
        <w:autoSpaceDE/>
        <w:autoSpaceDN/>
        <w:bidi w:val="0"/>
        <w:adjustRightInd w:val="0"/>
        <w:snapToGrid/>
        <w:spacing w:line="460" w:lineRule="exact"/>
        <w:ind w:left="720" w:hanging="720" w:hangingChars="3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38.对磋商文件作出实质性响应的供应商不足法定家数的；</w:t>
      </w:r>
    </w:p>
    <w:p>
      <w:pPr>
        <w:pStyle w:val="10"/>
        <w:tabs>
          <w:tab w:val="left" w:pos="720"/>
          <w:tab w:val="left" w:pos="900"/>
          <w:tab w:val="left" w:pos="1260"/>
        </w:tabs>
        <w:adjustRightInd w:val="0"/>
        <w:spacing w:line="360" w:lineRule="auto"/>
        <w:ind w:left="720" w:hanging="720" w:hangingChars="300"/>
        <w:rPr>
          <w:rFonts w:asciiTheme="minorEastAsia" w:hAnsiTheme="minorEastAsia" w:eastAsiaTheme="minorEastAsia" w:cstheme="minorEastAsia"/>
          <w:bCs/>
          <w:sz w:val="24"/>
        </w:rPr>
      </w:pPr>
    </w:p>
    <w:p>
      <w:pPr>
        <w:pStyle w:val="3"/>
        <w:numPr>
          <w:ilvl w:val="0"/>
          <w:numId w:val="0"/>
        </w:numPr>
        <w:spacing w:line="360" w:lineRule="auto"/>
        <w:jc w:val="both"/>
        <w:rPr>
          <w:rFonts w:hint="eastAsia" w:asciiTheme="minorEastAsia" w:hAnsiTheme="minorEastAsia" w:eastAsiaTheme="minorEastAsia" w:cstheme="minorEastAsia"/>
          <w:sz w:val="32"/>
          <w:szCs w:val="32"/>
        </w:rPr>
      </w:pPr>
      <w:bookmarkStart w:id="137" w:name="_Toc349573127"/>
      <w:bookmarkStart w:id="138" w:name="_Toc527642959"/>
      <w:bookmarkStart w:id="139" w:name="_Toc349637926"/>
      <w:bookmarkStart w:id="140" w:name="_Toc298240411"/>
    </w:p>
    <w:p>
      <w:pPr>
        <w:rPr>
          <w:rFonts w:hint="eastAsia" w:asciiTheme="minorEastAsia" w:hAnsiTheme="minorEastAsia" w:eastAsiaTheme="minorEastAsia" w:cstheme="minorEastAsia"/>
          <w:sz w:val="32"/>
          <w:szCs w:val="32"/>
        </w:rPr>
      </w:pPr>
    </w:p>
    <w:p>
      <w:pPr>
        <w:pStyle w:val="2"/>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pStyle w:val="3"/>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sz w:val="32"/>
          <w:szCs w:val="32"/>
        </w:rPr>
      </w:pPr>
    </w:p>
    <w:p>
      <w:pPr>
        <w:pStyle w:val="3"/>
        <w:numPr>
          <w:ilvl w:val="0"/>
          <w:numId w:val="0"/>
        </w:numPr>
        <w:spacing w:line="360" w:lineRule="auto"/>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第三部分  技术要求</w:t>
      </w:r>
      <w:bookmarkEnd w:id="134"/>
      <w:bookmarkEnd w:id="137"/>
      <w:bookmarkEnd w:id="138"/>
      <w:bookmarkEnd w:id="139"/>
      <w:bookmarkEnd w:id="140"/>
    </w:p>
    <w:p>
      <w:pPr>
        <w:spacing w:line="360" w:lineRule="auto"/>
        <w:ind w:left="1680" w:hanging="1680" w:hangingChars="700"/>
        <w:jc w:val="left"/>
        <w:rPr>
          <w:rFonts w:asciiTheme="minorEastAsia" w:hAnsiTheme="minorEastAsia" w:eastAsiaTheme="minorEastAsia" w:cstheme="minorEastAsia"/>
          <w:bCs/>
          <w:kern w:val="0"/>
          <w:sz w:val="24"/>
          <w:szCs w:val="22"/>
        </w:rPr>
      </w:pPr>
      <w:bookmarkStart w:id="141" w:name="_Toc267301295"/>
      <w:r>
        <w:rPr>
          <w:rFonts w:hint="eastAsia" w:asciiTheme="minorEastAsia" w:hAnsiTheme="minorEastAsia" w:eastAsiaTheme="minorEastAsia" w:cstheme="minorEastAsia"/>
          <w:bCs/>
          <w:kern w:val="0"/>
          <w:sz w:val="24"/>
          <w:szCs w:val="22"/>
        </w:rPr>
        <w:t>一、项目名称：见供应商须知附表</w:t>
      </w:r>
    </w:p>
    <w:p>
      <w:pPr>
        <w:spacing w:line="360" w:lineRule="auto"/>
        <w:ind w:left="1680" w:hanging="1680" w:hangingChars="700"/>
        <w:jc w:val="left"/>
        <w:rPr>
          <w:rFonts w:asciiTheme="minorEastAsia" w:hAnsiTheme="minorEastAsia" w:eastAsiaTheme="minorEastAsia" w:cstheme="minorEastAsia"/>
          <w:bCs/>
          <w:kern w:val="0"/>
          <w:sz w:val="24"/>
          <w:szCs w:val="22"/>
        </w:rPr>
      </w:pPr>
      <w:r>
        <w:rPr>
          <w:rFonts w:hint="eastAsia" w:asciiTheme="minorEastAsia" w:hAnsiTheme="minorEastAsia" w:eastAsiaTheme="minorEastAsia" w:cstheme="minorEastAsia"/>
          <w:bCs/>
          <w:kern w:val="0"/>
          <w:sz w:val="24"/>
          <w:szCs w:val="22"/>
        </w:rPr>
        <w:t>二、招标编号：见供应商须知附表</w:t>
      </w:r>
    </w:p>
    <w:p>
      <w:pPr>
        <w:spacing w:line="360" w:lineRule="auto"/>
        <w:ind w:left="1680" w:hanging="1680" w:hangingChars="700"/>
        <w:jc w:val="left"/>
        <w:rPr>
          <w:rFonts w:asciiTheme="minorEastAsia" w:hAnsiTheme="minorEastAsia" w:eastAsiaTheme="minorEastAsia" w:cstheme="minorEastAsia"/>
          <w:bCs/>
          <w:kern w:val="0"/>
          <w:sz w:val="24"/>
          <w:szCs w:val="22"/>
        </w:rPr>
      </w:pPr>
      <w:r>
        <w:rPr>
          <w:rFonts w:hint="eastAsia" w:asciiTheme="minorEastAsia" w:hAnsiTheme="minorEastAsia" w:eastAsiaTheme="minorEastAsia" w:cstheme="minorEastAsia"/>
          <w:bCs/>
          <w:kern w:val="0"/>
          <w:sz w:val="24"/>
          <w:szCs w:val="22"/>
        </w:rPr>
        <w:t>三、最高投标限价：见供应商须知附表</w:t>
      </w:r>
    </w:p>
    <w:p>
      <w:pPr>
        <w:spacing w:line="360" w:lineRule="auto"/>
        <w:ind w:left="1680" w:hanging="1680" w:hangingChars="700"/>
        <w:jc w:val="left"/>
        <w:rPr>
          <w:rFonts w:asciiTheme="minorEastAsia" w:hAnsiTheme="minorEastAsia" w:eastAsiaTheme="minorEastAsia" w:cstheme="minorEastAsia"/>
          <w:bCs/>
          <w:kern w:val="0"/>
          <w:sz w:val="24"/>
          <w:szCs w:val="22"/>
        </w:rPr>
      </w:pPr>
      <w:r>
        <w:rPr>
          <w:rFonts w:hint="eastAsia" w:asciiTheme="minorEastAsia" w:hAnsiTheme="minorEastAsia" w:eastAsiaTheme="minorEastAsia" w:cstheme="minorEastAsia"/>
          <w:bCs/>
          <w:kern w:val="0"/>
          <w:sz w:val="24"/>
          <w:szCs w:val="22"/>
        </w:rPr>
        <w:t>四、质量要求：见供应商须知附表</w:t>
      </w:r>
    </w:p>
    <w:p>
      <w:pPr>
        <w:spacing w:line="360" w:lineRule="auto"/>
        <w:ind w:left="1680" w:hanging="1680" w:hangingChars="700"/>
        <w:jc w:val="left"/>
        <w:rPr>
          <w:rFonts w:asciiTheme="minorEastAsia" w:hAnsiTheme="minorEastAsia" w:eastAsiaTheme="minorEastAsia" w:cstheme="minorEastAsia"/>
          <w:bCs/>
          <w:kern w:val="0"/>
          <w:sz w:val="24"/>
          <w:szCs w:val="22"/>
        </w:rPr>
      </w:pPr>
      <w:r>
        <w:rPr>
          <w:rFonts w:hint="eastAsia" w:asciiTheme="minorEastAsia" w:hAnsiTheme="minorEastAsia" w:eastAsiaTheme="minorEastAsia" w:cstheme="minorEastAsia"/>
          <w:bCs/>
          <w:kern w:val="0"/>
          <w:sz w:val="24"/>
          <w:szCs w:val="22"/>
        </w:rPr>
        <w:t>五、工期：见供应商须知附表</w:t>
      </w:r>
    </w:p>
    <w:p>
      <w:pPr>
        <w:spacing w:line="360" w:lineRule="auto"/>
        <w:ind w:firstLine="480" w:firstLineChars="200"/>
        <w:rPr>
          <w:rFonts w:asciiTheme="minorEastAsia" w:hAnsiTheme="minorEastAsia" w:eastAsiaTheme="minorEastAsia" w:cstheme="minorEastAsia"/>
          <w:snapToGrid w:val="0"/>
          <w:color w:val="FF0000"/>
          <w:sz w:val="24"/>
        </w:rPr>
      </w:pPr>
      <w:r>
        <w:rPr>
          <w:rFonts w:hint="eastAsia" w:asciiTheme="minorEastAsia" w:hAnsiTheme="minorEastAsia" w:eastAsiaTheme="minorEastAsia" w:cstheme="minorEastAsia"/>
          <w:snapToGrid w:val="0"/>
          <w:sz w:val="24"/>
          <w:lang w:val="zh-CN"/>
        </w:rPr>
        <w:t>招标范围：</w:t>
      </w:r>
      <w:r>
        <w:rPr>
          <w:rFonts w:hint="eastAsia" w:asciiTheme="minorEastAsia" w:hAnsiTheme="minorEastAsia" w:eastAsiaTheme="minorEastAsia" w:cstheme="minorEastAsia"/>
          <w:snapToGrid w:val="0"/>
          <w:color w:val="000000" w:themeColor="text1"/>
          <w:sz w:val="24"/>
          <w:lang w:val="zh-CN"/>
          <w14:textFill>
            <w14:solidFill>
              <w14:schemeClr w14:val="tx1"/>
            </w14:solidFill>
          </w14:textFill>
        </w:rPr>
        <w:t>本工程范围内的磋商文件及工程量清单，磋商文件补充范围内的全部施工内容（包括招标答疑等内容）。</w:t>
      </w:r>
    </w:p>
    <w:p>
      <w:pPr>
        <w:spacing w:line="360" w:lineRule="auto"/>
        <w:rPr>
          <w:rFonts w:asciiTheme="minorEastAsia" w:hAnsiTheme="minorEastAsia" w:eastAsiaTheme="minorEastAsia" w:cstheme="minorEastAsia"/>
          <w:snapToGrid w:val="0"/>
          <w:sz w:val="24"/>
          <w:szCs w:val="22"/>
        </w:rPr>
      </w:pPr>
      <w:r>
        <w:rPr>
          <w:rFonts w:hint="eastAsia" w:asciiTheme="minorEastAsia" w:hAnsiTheme="minorEastAsia" w:eastAsiaTheme="minorEastAsia" w:cstheme="minorEastAsia"/>
          <w:snapToGrid w:val="0"/>
          <w:sz w:val="24"/>
          <w:szCs w:val="22"/>
        </w:rPr>
        <w:t>六、 技术要求内容：(详见工程量清单)</w:t>
      </w:r>
    </w:p>
    <w:p>
      <w:pPr>
        <w:pStyle w:val="3"/>
        <w:numPr>
          <w:ilvl w:val="0"/>
          <w:numId w:val="0"/>
        </w:numPr>
        <w:spacing w:line="360" w:lineRule="auto"/>
        <w:ind w:left="360"/>
        <w:rPr>
          <w:rFonts w:asciiTheme="minorEastAsia" w:hAnsiTheme="minorEastAsia" w:eastAsiaTheme="minorEastAsia" w:cstheme="minorEastAsia"/>
          <w:sz w:val="24"/>
          <w:szCs w:val="24"/>
        </w:rPr>
      </w:pPr>
      <w:bookmarkStart w:id="142" w:name="_Toc349573136"/>
      <w:bookmarkStart w:id="143" w:name="_Toc349637935"/>
      <w:r>
        <w:rPr>
          <w:rFonts w:hint="eastAsia" w:asciiTheme="minorEastAsia" w:hAnsiTheme="minorEastAsia" w:eastAsiaTheme="minorEastAsia" w:cstheme="minorEastAsia"/>
          <w:sz w:val="24"/>
          <w:szCs w:val="24"/>
        </w:rPr>
        <w:t>1、本工程完成必须符合国家和地方现行相关质量评定标准和施工技术规范、施工图设计要求。</w:t>
      </w:r>
    </w:p>
    <w:p>
      <w:pPr>
        <w:pStyle w:val="3"/>
        <w:numPr>
          <w:ilvl w:val="0"/>
          <w:numId w:val="0"/>
        </w:numPr>
        <w:spacing w:line="360" w:lineRule="auto"/>
        <w:ind w:left="36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2、本工程的材料检验和质量、工艺试验按国家、地方现行相关规定执行。</w:t>
      </w:r>
    </w:p>
    <w:p>
      <w:pPr>
        <w:pStyle w:val="3"/>
        <w:numPr>
          <w:ilvl w:val="0"/>
          <w:numId w:val="0"/>
        </w:numPr>
        <w:spacing w:line="360" w:lineRule="auto"/>
        <w:jc w:val="left"/>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t>备注：若招标文件中附表表格格式与工程量清单中表格格式不一致的，以工程量清单表格格式为主。</w:t>
      </w:r>
      <w:bookmarkEnd w:id="141"/>
      <w:bookmarkEnd w:id="142"/>
      <w:bookmarkEnd w:id="143"/>
      <w:bookmarkStart w:id="144" w:name="_Toc527642960"/>
      <w:bookmarkStart w:id="145" w:name="_Toc507690271"/>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第四部分  </w:t>
      </w:r>
      <w:bookmarkEnd w:id="144"/>
      <w:bookmarkEnd w:id="145"/>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bCs/>
          <w:sz w:val="32"/>
          <w:szCs w:val="32"/>
        </w:rPr>
        <w:t>合同条款及格式</w:t>
      </w:r>
    </w:p>
    <w:p>
      <w:pPr>
        <w:pStyle w:val="7"/>
        <w:spacing w:beforeLines="50" w:afterLines="50" w:line="360" w:lineRule="auto"/>
        <w:ind w:firstLine="482"/>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合同通用条款</w:t>
      </w:r>
    </w:p>
    <w:p>
      <w:pPr>
        <w:pStyle w:val="7"/>
        <w:spacing w:beforeLines="50" w:afterLines="50"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 本工程通用条款采用建设工程施工合同示范文本（GF-2017-0201）中的通用条款。</w:t>
      </w:r>
    </w:p>
    <w:p>
      <w:pPr>
        <w:pStyle w:val="7"/>
        <w:spacing w:beforeLines="50" w:afterLines="50" w:line="360" w:lineRule="auto"/>
        <w:ind w:firstLine="482"/>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合同专用条款（具体以签订的合同为准）</w:t>
      </w:r>
    </w:p>
    <w:p>
      <w:pPr>
        <w:pStyle w:val="28"/>
        <w:spacing w:line="360" w:lineRule="auto"/>
        <w:ind w:right="0"/>
        <w:rPr>
          <w:rFonts w:asciiTheme="minorEastAsia" w:hAnsiTheme="minorEastAsia" w:eastAsiaTheme="minorEastAsia" w:cstheme="minorEastAsia"/>
          <w:b/>
          <w:bCs/>
        </w:rPr>
      </w:pPr>
      <w:bookmarkStart w:id="146" w:name="_Toc351203633"/>
      <w:r>
        <w:rPr>
          <w:rFonts w:hint="eastAsia" w:asciiTheme="minorEastAsia" w:hAnsiTheme="minorEastAsia" w:eastAsiaTheme="minorEastAsia" w:cstheme="minorEastAsia"/>
          <w:b/>
          <w:bCs/>
        </w:rPr>
        <w:t>1</w:t>
      </w:r>
      <w:bookmarkStart w:id="147" w:name="_Toc297048342"/>
      <w:bookmarkStart w:id="148" w:name="_Toc297120456"/>
      <w:bookmarkStart w:id="149" w:name="_Toc292559361"/>
      <w:bookmarkStart w:id="150" w:name="_Toc296347155"/>
      <w:bookmarkStart w:id="151" w:name="_Toc296891196"/>
      <w:bookmarkStart w:id="152" w:name="_Toc296944495"/>
      <w:bookmarkStart w:id="153" w:name="_Toc296890984"/>
      <w:bookmarkStart w:id="154" w:name="_Toc296346657"/>
      <w:bookmarkStart w:id="155" w:name="_Toc292559866"/>
      <w:bookmarkStart w:id="156" w:name="_Toc296503156"/>
      <w:r>
        <w:rPr>
          <w:rFonts w:hint="eastAsia" w:asciiTheme="minorEastAsia" w:hAnsiTheme="minorEastAsia" w:eastAsiaTheme="minorEastAsia" w:cstheme="minorEastAsia"/>
          <w:b/>
          <w:bCs/>
        </w:rPr>
        <w:t>. 一般约定</w:t>
      </w:r>
      <w:bookmarkEnd w:id="146"/>
    </w:p>
    <w:bookmarkEnd w:id="147"/>
    <w:bookmarkEnd w:id="148"/>
    <w:bookmarkEnd w:id="149"/>
    <w:bookmarkEnd w:id="150"/>
    <w:bookmarkEnd w:id="151"/>
    <w:bookmarkEnd w:id="152"/>
    <w:bookmarkEnd w:id="153"/>
    <w:bookmarkEnd w:id="154"/>
    <w:bookmarkEnd w:id="155"/>
    <w:bookmarkEnd w:id="156"/>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1.1 词语定义</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1.1.1合同</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1.1.1 其他合同文件包括：</w:t>
      </w:r>
      <w:r>
        <w:rPr>
          <w:rFonts w:hint="eastAsia" w:asciiTheme="minorEastAsia" w:hAnsiTheme="minorEastAsia" w:eastAsiaTheme="minorEastAsia" w:cstheme="minorEastAsia"/>
          <w:u w:val="single"/>
        </w:rPr>
        <w:t xml:space="preserve"> 其它有关本工程的洽商、变更等书面协议。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1.1.2 合同当事人及其他相关方</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1.1.2.4监理人：</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名    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资质类别和等级：</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1.1.2.5 设计人：</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名    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资质类别和等级：</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1.1.3 工程和设备</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1.1.3.7 作为施工现场组成部分的其他场所包括：</w:t>
      </w:r>
      <w:r>
        <w:rPr>
          <w:rFonts w:hint="eastAsia" w:asciiTheme="minorEastAsia" w:hAnsiTheme="minorEastAsia" w:eastAsiaTheme="minorEastAsia" w:cstheme="minorEastAsia"/>
          <w:u w:val="single"/>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1.1.3.9 永久占地包括：</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1.1.3.10 临时占地包括：</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1.3法律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适用于合同的其他规范性文件：</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1.4 标准和规范</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1.4.1适用于工程的标准规范包括：</w:t>
      </w:r>
      <w:r>
        <w:rPr>
          <w:rFonts w:hint="eastAsia" w:ascii="宋体" w:hAnsi="宋体"/>
          <w:u w:val="single"/>
        </w:rPr>
        <w:t>本工程项目的施工、材料及设备招标必须达到现行中华人民共和国及省、自治区、直辖市或行业的工程建设标准、规范的要求，如下述标准及规范有新出版者，以新出版者为准</w:t>
      </w:r>
      <w:r>
        <w:rPr>
          <w:rFonts w:ascii="宋体" w:hAnsi="宋体"/>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1.4.2 发包人提供国外标准、规范的名称：</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发包人提供国外标准、规范的份数：</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发包人提供国外标准、规范的名称：</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left="0" w:right="0"/>
        <w:rPr>
          <w:rFonts w:asciiTheme="minorEastAsia" w:hAnsiTheme="minorEastAsia" w:eastAsiaTheme="minorEastAsia" w:cstheme="minorEastAsia"/>
        </w:rPr>
      </w:pPr>
      <w:r>
        <w:rPr>
          <w:rFonts w:hint="eastAsia" w:asciiTheme="minorEastAsia" w:hAnsiTheme="minorEastAsia" w:eastAsiaTheme="minorEastAsia" w:cstheme="minorEastAsia"/>
        </w:rPr>
        <w:t>1.4.3发包人对工程的技术标准和功能要求的特殊要求：</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1.5 合同文件的优先顺序</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合同文件组成及优先顺序为：</w:t>
      </w:r>
      <w:r>
        <w:rPr>
          <w:rFonts w:hint="eastAsia" w:asciiTheme="minorEastAsia" w:hAnsiTheme="minorEastAsia" w:eastAsiaTheme="minorEastAsia" w:cstheme="minorEastAsia"/>
          <w:u w:val="single"/>
        </w:rPr>
        <w:t>1、本合同协议书；2、中标通知书；3、商务标及其商务标附录；4、专用条款及其附件；5、通用合同条款；6、技术标准和要求；7、图纸 8、已标价的工程量清单；9、其他合同文件。</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1.6 图纸和承包人文件</w:t>
      </w:r>
      <w:r>
        <w:rPr>
          <w:rFonts w:hint="eastAsia" w:asciiTheme="minorEastAsia" w:hAnsiTheme="minorEastAsia" w:eastAsiaTheme="minorEastAsia" w:cstheme="minorEastAsia"/>
          <w:b/>
        </w:rPr>
        <w:tab/>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1.6.1 图纸的提供</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发包人向承包人提供图纸的期限：</w:t>
      </w:r>
      <w:r>
        <w:rPr>
          <w:rFonts w:hint="eastAsia" w:asciiTheme="minorEastAsia" w:hAnsiTheme="minorEastAsia" w:eastAsiaTheme="minorEastAsia" w:cstheme="minorEastAsia"/>
          <w:u w:val="single"/>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发包人向承包人提供图纸的数量：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发包人向承包人提供图纸的内容：</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1.6.4 承包人文件</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 xml:space="preserve">需要由承包人提供的文件，包括：   </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承包人提供的文件的期限为：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承包人提供的文件的数量为：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承包人提供的文件的形式为：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发包人审批承包人文件的期限：</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1.6.5 现场图纸准备</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关于现场图纸准备的约定：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1.7 联络</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1.7.1发包人和承包人应当在</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天内将与合同有关的通知、批准、证明、证书、指示、指令、要求、请求、同意、意见、确定和决定等书面函件送达对方当事人。</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1.7.2 发包人接收文件的地点：</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发包人指定的接收人为：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承包人接收文件的地点：</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承包人指定的接收人为：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监理人接收文件的地点：</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监理人指定的接收人为：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1.10 交通运输</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bookmarkStart w:id="157" w:name="_Toc318581155"/>
      <w:bookmarkStart w:id="158" w:name="_Toc300934943"/>
      <w:bookmarkStart w:id="159" w:name="_Toc303539100"/>
      <w:bookmarkStart w:id="160" w:name="_Toc312677986"/>
      <w:bookmarkStart w:id="161" w:name="_Toc304295521"/>
      <w:r>
        <w:rPr>
          <w:rFonts w:hint="eastAsia" w:asciiTheme="minorEastAsia" w:hAnsiTheme="minorEastAsia" w:eastAsiaTheme="minorEastAsia" w:cstheme="minorEastAsia"/>
        </w:rPr>
        <w:t>.10.1 出入现场的权利</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关于出入现场的权利的约定：</w:t>
      </w:r>
      <w:r>
        <w:rPr>
          <w:rFonts w:hint="eastAsia" w:asciiTheme="minorEastAsia" w:hAnsiTheme="minorEastAsia" w:eastAsiaTheme="minorEastAsia" w:cstheme="minorEastAsia"/>
          <w:u w:val="single"/>
        </w:rPr>
        <w:t xml:space="preserve">                 /           。</w:t>
      </w:r>
    </w:p>
    <w:bookmarkEnd w:id="157"/>
    <w:bookmarkEnd w:id="158"/>
    <w:bookmarkEnd w:id="159"/>
    <w:bookmarkEnd w:id="160"/>
    <w:bookmarkEnd w:id="161"/>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bookmarkStart w:id="162" w:name="_Toc300934944"/>
      <w:bookmarkStart w:id="163" w:name="_Toc312677987"/>
      <w:bookmarkStart w:id="164" w:name="_Toc304295522"/>
      <w:bookmarkStart w:id="165" w:name="_Toc318581156"/>
      <w:bookmarkStart w:id="166" w:name="_Toc303539101"/>
      <w:r>
        <w:rPr>
          <w:rFonts w:hint="eastAsia" w:asciiTheme="minorEastAsia" w:hAnsiTheme="minorEastAsia" w:eastAsiaTheme="minorEastAsia" w:cstheme="minorEastAsia"/>
        </w:rPr>
        <w:t>.10.3 场内交通</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关于场外交通和场内交通的边界的约定：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关于发包人向承包人免费提供满足工程施工需要的场内道路和交通设施的约定：</w:t>
      </w:r>
      <w:bookmarkEnd w:id="162"/>
      <w:bookmarkEnd w:id="163"/>
      <w:bookmarkEnd w:id="164"/>
      <w:bookmarkEnd w:id="165"/>
      <w:bookmarkEnd w:id="166"/>
      <w:bookmarkStart w:id="167" w:name="_Toc318581157"/>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1.10.4超大件和超重件的运输</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运输超大件或超重件所需的道路和桥梁临时加固改造费用和其他有关费用由</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承担。</w:t>
      </w:r>
    </w:p>
    <w:bookmarkEnd w:id="167"/>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1.11 知识产权</w:t>
      </w:r>
    </w:p>
    <w:p>
      <w:pPr>
        <w:pStyle w:val="28"/>
        <w:spacing w:before="0" w:after="0"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 xml:space="preserve">1.11.1关于发包人提供给承包人的图纸、发包人为实施工程自行编制或委托编制的技术规范以及反映发包人关于合同要求或其他类似性质的文件的著作权的归属：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spacing w:line="360" w:lineRule="auto"/>
        <w:ind w:firstLine="360" w:firstLineChars="1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关于发包人提供的上述文件的使用限制的要求：</w:t>
      </w:r>
      <w:r>
        <w:rPr>
          <w:rFonts w:hint="eastAsia" w:asciiTheme="minorEastAsia" w:hAnsiTheme="minorEastAsia" w:eastAsiaTheme="minorEastAsia" w:cstheme="minorEastAsia"/>
          <w:sz w:val="24"/>
          <w:u w:val="single"/>
        </w:rPr>
        <w:t xml:space="preserve">                               。</w:t>
      </w:r>
    </w:p>
    <w:p>
      <w:pPr>
        <w:spacing w:line="360" w:lineRule="auto"/>
        <w:ind w:firstLine="360" w:firstLineChars="1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1.11.2 关于承包人为实施工程所编制文件的著作权的归属：</w:t>
      </w:r>
      <w:r>
        <w:rPr>
          <w:rFonts w:hint="eastAsia" w:asciiTheme="minorEastAsia" w:hAnsiTheme="minorEastAsia" w:eastAsiaTheme="minorEastAsia" w:cstheme="minorEastAsia"/>
          <w:sz w:val="24"/>
          <w:u w:val="single"/>
        </w:rPr>
        <w:t xml:space="preserve">                  。</w:t>
      </w:r>
    </w:p>
    <w:p>
      <w:pPr>
        <w:spacing w:line="360" w:lineRule="auto"/>
        <w:ind w:firstLine="360" w:firstLineChars="1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1.11.3关于承包人提供的上述文件的使用限制的要求：</w:t>
      </w:r>
      <w:r>
        <w:rPr>
          <w:rFonts w:hint="eastAsia" w:asciiTheme="minorEastAsia" w:hAnsiTheme="minorEastAsia" w:eastAsiaTheme="minorEastAsia" w:cstheme="minorEastAsia"/>
          <w:sz w:val="24"/>
          <w:u w:val="single"/>
        </w:rPr>
        <w:t xml:space="preserve">                       。</w:t>
      </w:r>
    </w:p>
    <w:p>
      <w:pPr>
        <w:pStyle w:val="28"/>
        <w:spacing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1.11.4 承包人在施工过程中所采用的专利、专有技术、技术秘密的使用费的承担方式：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1.13工程量清单错误的修正</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出现工程量清单错误时，是否调整合同价格：</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允许调整合同价格的工程量偏差范围：</w:t>
      </w:r>
      <w:r>
        <w:rPr>
          <w:rFonts w:hint="eastAsia" w:asciiTheme="minorEastAsia" w:hAnsiTheme="minorEastAsia" w:eastAsiaTheme="minorEastAsia" w:cstheme="minorEastAsia"/>
          <w:u w:val="single"/>
        </w:rPr>
        <w:t xml:space="preserve">   ％</w:t>
      </w:r>
    </w:p>
    <w:p>
      <w:pPr>
        <w:pStyle w:val="28"/>
        <w:spacing w:line="360" w:lineRule="auto"/>
        <w:ind w:right="0"/>
        <w:rPr>
          <w:rFonts w:asciiTheme="minorEastAsia" w:hAnsiTheme="minorEastAsia" w:eastAsiaTheme="minorEastAsia" w:cstheme="minorEastAsia"/>
          <w:b/>
          <w:bCs/>
        </w:rPr>
      </w:pPr>
      <w:bookmarkStart w:id="168" w:name="_Toc351203634"/>
      <w:r>
        <w:rPr>
          <w:rFonts w:hint="eastAsia" w:asciiTheme="minorEastAsia" w:hAnsiTheme="minorEastAsia" w:eastAsiaTheme="minorEastAsia" w:cstheme="minorEastAsia"/>
          <w:b/>
          <w:bCs/>
        </w:rPr>
        <w:t>2</w:t>
      </w:r>
      <w:bookmarkStart w:id="169" w:name="_Toc292559867"/>
      <w:bookmarkStart w:id="170" w:name="_Toc292559362"/>
      <w:bookmarkStart w:id="171" w:name="_Toc296503157"/>
      <w:bookmarkStart w:id="172" w:name="_Toc297048343"/>
      <w:bookmarkStart w:id="173" w:name="_Toc296890985"/>
      <w:bookmarkStart w:id="174" w:name="_Toc297120457"/>
      <w:bookmarkStart w:id="175" w:name="_Toc296347156"/>
      <w:bookmarkStart w:id="176" w:name="_Toc296346658"/>
      <w:bookmarkStart w:id="177" w:name="_Toc296891197"/>
      <w:bookmarkStart w:id="178" w:name="_Toc296944496"/>
      <w:r>
        <w:rPr>
          <w:rFonts w:hint="eastAsia" w:asciiTheme="minorEastAsia" w:hAnsiTheme="minorEastAsia" w:eastAsiaTheme="minorEastAsia" w:cstheme="minorEastAsia"/>
          <w:b/>
          <w:bCs/>
        </w:rPr>
        <w:t>. 发包人</w:t>
      </w:r>
      <w:bookmarkEnd w:id="168"/>
    </w:p>
    <w:bookmarkEnd w:id="169"/>
    <w:bookmarkEnd w:id="170"/>
    <w:bookmarkEnd w:id="171"/>
    <w:bookmarkEnd w:id="172"/>
    <w:bookmarkEnd w:id="173"/>
    <w:bookmarkEnd w:id="174"/>
    <w:bookmarkEnd w:id="175"/>
    <w:bookmarkEnd w:id="176"/>
    <w:bookmarkEnd w:id="177"/>
    <w:bookmarkEnd w:id="178"/>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2.2 发包人代表</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发包人代表：</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姓    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职    务：</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rPr>
        <w:t>发包人对发包人代表的授权范围如下：</w:t>
      </w:r>
      <w:r>
        <w:rPr>
          <w:rFonts w:hint="eastAsia" w:asciiTheme="minorEastAsia" w:hAnsiTheme="minorEastAsia" w:eastAsiaTheme="minorEastAsia" w:cstheme="minorEastAsia"/>
          <w:u w:val="single"/>
        </w:rPr>
        <w:t>1、协调各有关单位工作；2、工程进度与工程量的确认；3、督促并控制好工程进度、质量、投资。</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2.4 施工现场、施工条件和基础资料的提供</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2.4.1 提供施工现场</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关于发包人移交施工现场的期限要求：</w:t>
      </w:r>
      <w:r>
        <w:rPr>
          <w:rFonts w:hint="eastAsia" w:asciiTheme="minorEastAsia" w:hAnsiTheme="minorEastAsia" w:eastAsiaTheme="minorEastAsia" w:cstheme="minorEastAsia"/>
          <w:u w:val="single"/>
        </w:rPr>
        <w:t xml:space="preserve">开工前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2.4.2 提供施工条件</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关于发包人应负责提供施工所需要的条件，包括：</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2.5 资金来源证明及支付担保</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发包人提供资金来源证明的期限要求：</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发包人是否提供支付担保：</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发包人提供支付担保的形式：</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bCs/>
        </w:rPr>
      </w:pPr>
      <w:bookmarkStart w:id="179" w:name="_Toc351203635"/>
      <w:r>
        <w:rPr>
          <w:rFonts w:hint="eastAsia" w:asciiTheme="minorEastAsia" w:hAnsiTheme="minorEastAsia" w:eastAsiaTheme="minorEastAsia" w:cstheme="minorEastAsia"/>
          <w:b/>
          <w:bCs/>
        </w:rPr>
        <w:t>3</w:t>
      </w:r>
      <w:bookmarkStart w:id="180" w:name="_Toc297048344"/>
      <w:bookmarkStart w:id="181" w:name="_Toc296347157"/>
      <w:bookmarkStart w:id="182" w:name="_Toc297120458"/>
      <w:bookmarkStart w:id="183" w:name="_Toc296890986"/>
      <w:bookmarkStart w:id="184" w:name="_Toc296944497"/>
      <w:bookmarkStart w:id="185" w:name="_Toc296346659"/>
      <w:bookmarkStart w:id="186" w:name="_Toc292559363"/>
      <w:bookmarkStart w:id="187" w:name="_Toc296891198"/>
      <w:bookmarkStart w:id="188" w:name="_Toc292559868"/>
      <w:bookmarkStart w:id="189" w:name="_Toc296503158"/>
      <w:r>
        <w:rPr>
          <w:rFonts w:hint="eastAsia" w:asciiTheme="minorEastAsia" w:hAnsiTheme="minorEastAsia" w:eastAsiaTheme="minorEastAsia" w:cstheme="minorEastAsia"/>
          <w:b/>
          <w:bCs/>
        </w:rPr>
        <w:t>. 承包人</w:t>
      </w:r>
      <w:bookmarkEnd w:id="179"/>
    </w:p>
    <w:bookmarkEnd w:id="180"/>
    <w:bookmarkEnd w:id="181"/>
    <w:bookmarkEnd w:id="182"/>
    <w:bookmarkEnd w:id="183"/>
    <w:bookmarkEnd w:id="184"/>
    <w:bookmarkEnd w:id="185"/>
    <w:bookmarkEnd w:id="186"/>
    <w:bookmarkEnd w:id="187"/>
    <w:bookmarkEnd w:id="188"/>
    <w:bookmarkEnd w:id="189"/>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3.1 承包人的一般义务</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（9）承包人提交的竣工资料的内容：</w:t>
      </w:r>
      <w:r>
        <w:rPr>
          <w:rFonts w:hint="eastAsia" w:asciiTheme="minorEastAsia" w:hAnsiTheme="minorEastAsia" w:eastAsiaTheme="minorEastAsia" w:cstheme="minorEastAsia"/>
          <w:u w:val="single"/>
        </w:rPr>
        <w:t xml:space="preserve">    /  。</w:t>
      </w:r>
    </w:p>
    <w:p>
      <w:pPr>
        <w:pStyle w:val="28"/>
        <w:spacing w:line="360" w:lineRule="auto"/>
        <w:ind w:left="0" w:right="0" w:firstLine="360" w:firstLineChars="15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承包人需要提交的竣工资料套数：</w:t>
      </w:r>
      <w:r>
        <w:rPr>
          <w:rFonts w:hint="eastAsia" w:asciiTheme="minorEastAsia" w:hAnsiTheme="minorEastAsia" w:eastAsiaTheme="minorEastAsia" w:cstheme="minorEastAsia"/>
          <w:u w:val="single"/>
        </w:rPr>
        <w:t xml:space="preserve">     /  。</w:t>
      </w:r>
    </w:p>
    <w:p>
      <w:pPr>
        <w:spacing w:line="360" w:lineRule="auto"/>
        <w:ind w:firstLine="360" w:firstLineChars="1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承包人提交的竣工资料的费用承担：</w:t>
      </w:r>
      <w:r>
        <w:rPr>
          <w:rFonts w:hint="eastAsia" w:asciiTheme="minorEastAsia" w:hAnsiTheme="minorEastAsia" w:eastAsiaTheme="minorEastAsia" w:cstheme="minorEastAsia"/>
          <w:kern w:val="0"/>
          <w:sz w:val="24"/>
          <w:u w:val="single"/>
        </w:rPr>
        <w:t xml:space="preserve">   /     </w:t>
      </w:r>
      <w:r>
        <w:rPr>
          <w:rFonts w:hint="eastAsia" w:asciiTheme="minorEastAsia" w:hAnsiTheme="minorEastAsia" w:eastAsiaTheme="minorEastAsia" w:cstheme="minorEastAsia"/>
          <w:kern w:val="0"/>
          <w:sz w:val="24"/>
        </w:rPr>
        <w:t>。</w:t>
      </w:r>
    </w:p>
    <w:p>
      <w:pPr>
        <w:pStyle w:val="28"/>
        <w:spacing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承包人提交的竣工资料移交时间：</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承包人提交的竣工资料形式要求：</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（10）承包人应履行的其他义务：</w:t>
      </w:r>
    </w:p>
    <w:p>
      <w:pPr>
        <w:pStyle w:val="28"/>
        <w:spacing w:line="360" w:lineRule="auto"/>
        <w:ind w:left="0" w:right="0" w:firstLine="48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1）承包人在施工时，必须全面协调好与周边环境关系，施工时承包人因自身原因未处理好周边环境关系而导致工程停工，发包人将不承担由此引起的工期延误及其他工程费用损失。</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3.2 项目经理</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3.2.1 项目经理：</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姓    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执业资格等级：</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注册证书号：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执业印章号：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安全生产考核合格证书号：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承包人对项目经理的授权范围如下：</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关于项目经理每月在施工现场的时间要求：</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承包人未提交劳动合同，以及没有为项目经理缴纳社会保险证明的违约责任：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项目经理未经批准，擅自离开施工现场的违约责任：</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3.2.3 承包人擅自更换项目经理的违约责任：</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3.2.4 承包人无正当理由拒绝更换项目经理的违约责任：</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3.3 承包人人员</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3.3.1 承包人提交项目管理机构及施工现场管理人员安排报告的期限：</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 xml:space="preserve">。 </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3.3.3 承包人无正当理由拒绝撤换主要施工管理人员的违约责任：</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 xml:space="preserve">3.3.4 承包人主要施工管理人员离开施工现场的批准要求： </w:t>
      </w:r>
      <w:r>
        <w:rPr>
          <w:rFonts w:hint="eastAsia" w:asciiTheme="minorEastAsia" w:hAnsiTheme="minorEastAsia" w:eastAsiaTheme="minorEastAsia" w:cstheme="minorEastAsia"/>
          <w:u w:val="single"/>
        </w:rPr>
        <w:t xml:space="preserve">执行通用条款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3.3.5承包人擅自更换主要施工管理人员的违约责任：</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承包人主要施工管理人员擅自离开施工现场的违约责任：项目管理班子人员在施工现场时间必须与响应文件的承诺相一致。如未经工程师书面同意达不到承诺要求的，</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w:t>
      </w:r>
      <w:bookmarkStart w:id="190" w:name="_Toc292559364"/>
      <w:bookmarkStart w:id="191" w:name="_Toc296890987"/>
      <w:bookmarkStart w:id="192" w:name="_Toc303539102"/>
      <w:bookmarkStart w:id="193" w:name="_Toc297216151"/>
      <w:bookmarkStart w:id="194" w:name="_Toc292559869"/>
      <w:bookmarkStart w:id="195" w:name="_Toc297123492"/>
      <w:bookmarkStart w:id="196" w:name="_Toc297120459"/>
      <w:bookmarkStart w:id="197" w:name="_Toc312677988"/>
      <w:bookmarkStart w:id="198" w:name="_Toc304295523"/>
      <w:bookmarkStart w:id="199" w:name="_Toc300934945"/>
      <w:bookmarkStart w:id="200" w:name="_Toc296503159"/>
      <w:bookmarkStart w:id="201" w:name="_Toc296346660"/>
      <w:bookmarkStart w:id="202" w:name="_Toc297048345"/>
      <w:bookmarkStart w:id="203" w:name="_Toc296891199"/>
      <w:bookmarkStart w:id="204" w:name="_Toc296347158"/>
      <w:bookmarkStart w:id="205" w:name="_Toc296944498"/>
      <w:r>
        <w:rPr>
          <w:rFonts w:hint="eastAsia" w:asciiTheme="minorEastAsia" w:hAnsiTheme="minorEastAsia" w:eastAsiaTheme="minorEastAsia" w:cstheme="minorEastAsia"/>
          <w:b/>
        </w:rPr>
        <w:t>.5 分包</w:t>
      </w:r>
    </w:p>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w:t>
      </w:r>
      <w:bookmarkStart w:id="206" w:name="_Toc297120460"/>
      <w:bookmarkStart w:id="207" w:name="_Toc303539103"/>
      <w:bookmarkStart w:id="208" w:name="_Toc296347159"/>
      <w:bookmarkStart w:id="209" w:name="_Toc296891200"/>
      <w:bookmarkStart w:id="210" w:name="_Toc300934946"/>
      <w:bookmarkStart w:id="211" w:name="_Toc304295524"/>
      <w:bookmarkStart w:id="212" w:name="_Toc297048346"/>
      <w:bookmarkStart w:id="213" w:name="_Toc297216152"/>
      <w:bookmarkStart w:id="214" w:name="_Toc296346661"/>
      <w:bookmarkStart w:id="215" w:name="_Toc296944499"/>
      <w:bookmarkStart w:id="216" w:name="_Toc292559870"/>
      <w:bookmarkStart w:id="217" w:name="_Toc296890988"/>
      <w:bookmarkStart w:id="218" w:name="_Toc292559365"/>
      <w:bookmarkStart w:id="219" w:name="_Toc297123493"/>
      <w:bookmarkStart w:id="220" w:name="_Toc296503160"/>
      <w:bookmarkStart w:id="221" w:name="_Toc318581158"/>
      <w:bookmarkStart w:id="222" w:name="_Toc312677989"/>
      <w:r>
        <w:rPr>
          <w:rFonts w:hint="eastAsia" w:asciiTheme="minorEastAsia" w:hAnsiTheme="minorEastAsia" w:eastAsiaTheme="minorEastAsia" w:cstheme="minorEastAsia"/>
        </w:rPr>
        <w:t>.5.1 分包的一般约定</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禁止分包的工程包括：</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主体结构、关键性工作的范围：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Start w:id="223" w:name="_Toc296944500"/>
      <w:bookmarkStart w:id="224" w:name="_Toc296503161"/>
      <w:bookmarkStart w:id="225" w:name="_Toc296347160"/>
      <w:bookmarkStart w:id="226" w:name="_Toc303539104"/>
      <w:bookmarkStart w:id="227" w:name="_Toc297123494"/>
      <w:bookmarkStart w:id="228" w:name="_Toc297048347"/>
      <w:bookmarkStart w:id="229" w:name="_Toc297120461"/>
      <w:bookmarkStart w:id="230" w:name="_Toc296346662"/>
      <w:bookmarkStart w:id="231" w:name="_Toc297216153"/>
      <w:bookmarkStart w:id="232" w:name="_Toc304295525"/>
      <w:bookmarkStart w:id="233" w:name="_Toc296890989"/>
      <w:bookmarkStart w:id="234" w:name="_Toc296891201"/>
      <w:bookmarkStart w:id="235" w:name="_Toc300934947"/>
    </w:p>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w:t>
      </w:r>
      <w:bookmarkStart w:id="236" w:name="_Toc312677990"/>
      <w:bookmarkStart w:id="237" w:name="_Toc318581159"/>
      <w:r>
        <w:rPr>
          <w:rFonts w:hint="eastAsia" w:asciiTheme="minorEastAsia" w:hAnsiTheme="minorEastAsia" w:eastAsiaTheme="minorEastAsia" w:cstheme="minorEastAsia"/>
        </w:rPr>
        <w:t>.5.2分包的确定</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允许分包的专业工程包括：</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其他关于分包的约定：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3.5.4 分包合同价款</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关于分包合同价款支付的约定：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236"/>
    <w:bookmarkEnd w:id="237"/>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3.6 工程照管与成品、半成品保护</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承包人负责照管工程及工程相关的材料、工程设备的起始时间：</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3.7 履约担保</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承包人是否提供履约担保：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color w:val="0000FF"/>
        </w:rPr>
      </w:pPr>
      <w:r>
        <w:rPr>
          <w:rFonts w:hint="eastAsia" w:asciiTheme="minorEastAsia" w:hAnsiTheme="minorEastAsia" w:eastAsiaTheme="minorEastAsia" w:cstheme="minorEastAsia"/>
        </w:rPr>
        <w:t>承包人提供履约担保的形式、金额及期限的：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bCs/>
        </w:rPr>
      </w:pPr>
      <w:bookmarkStart w:id="238" w:name="_Toc351203636"/>
      <w:r>
        <w:rPr>
          <w:rFonts w:hint="eastAsia" w:asciiTheme="minorEastAsia" w:hAnsiTheme="minorEastAsia" w:eastAsiaTheme="minorEastAsia" w:cstheme="minorEastAsia"/>
          <w:b/>
          <w:bCs/>
        </w:rPr>
        <w:t>4</w:t>
      </w:r>
      <w:bookmarkStart w:id="239" w:name="_Toc296347161"/>
      <w:bookmarkStart w:id="240" w:name="_Toc296944501"/>
      <w:bookmarkStart w:id="241" w:name="_Toc296346663"/>
      <w:bookmarkStart w:id="242" w:name="_Toc292559366"/>
      <w:bookmarkStart w:id="243" w:name="_Toc267251413"/>
      <w:bookmarkStart w:id="244" w:name="_Toc296503162"/>
      <w:bookmarkStart w:id="245" w:name="_Toc292559871"/>
      <w:bookmarkStart w:id="246" w:name="_Toc296891202"/>
      <w:bookmarkStart w:id="247" w:name="_Toc297120462"/>
      <w:bookmarkStart w:id="248" w:name="_Toc296890990"/>
      <w:bookmarkStart w:id="249" w:name="_Toc297048348"/>
      <w:r>
        <w:rPr>
          <w:rFonts w:hint="eastAsia" w:asciiTheme="minorEastAsia" w:hAnsiTheme="minorEastAsia" w:eastAsiaTheme="minorEastAsia" w:cstheme="minorEastAsia"/>
          <w:b/>
          <w:bCs/>
        </w:rPr>
        <w:t>. 监</w:t>
      </w:r>
      <w:bookmarkEnd w:id="239"/>
      <w:bookmarkEnd w:id="240"/>
      <w:bookmarkEnd w:id="241"/>
      <w:bookmarkEnd w:id="242"/>
      <w:bookmarkEnd w:id="243"/>
      <w:bookmarkEnd w:id="244"/>
      <w:bookmarkEnd w:id="245"/>
      <w:bookmarkEnd w:id="246"/>
      <w:bookmarkEnd w:id="247"/>
      <w:bookmarkEnd w:id="248"/>
      <w:bookmarkEnd w:id="249"/>
      <w:r>
        <w:rPr>
          <w:rFonts w:hint="eastAsia" w:asciiTheme="minorEastAsia" w:hAnsiTheme="minorEastAsia" w:eastAsiaTheme="minorEastAsia" w:cstheme="minorEastAsia"/>
          <w:b/>
          <w:bCs/>
        </w:rPr>
        <w:t>理人</w:t>
      </w:r>
      <w:bookmarkEnd w:id="238"/>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4.1监理人的一般规定</w:t>
      </w:r>
    </w:p>
    <w:p>
      <w:pPr>
        <w:pStyle w:val="28"/>
        <w:spacing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关于监理人的监理内容：</w:t>
      </w:r>
      <w:r>
        <w:rPr>
          <w:rFonts w:hint="eastAsia" w:asciiTheme="minorEastAsia" w:hAnsiTheme="minorEastAsia" w:eastAsiaTheme="minorEastAsia" w:cstheme="minorEastAsia"/>
          <w:u w:val="single"/>
        </w:rPr>
        <w:t>无</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关于监理人的监理权限：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spacing w:line="360" w:lineRule="auto"/>
        <w:ind w:firstLine="360" w:firstLineChars="15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关于监理人在施工现场的办公场所、生活场所的提供和费用承担的约定：</w:t>
      </w:r>
      <w:r>
        <w:rPr>
          <w:rFonts w:hint="eastAsia" w:asciiTheme="minorEastAsia" w:hAnsiTheme="minorEastAsia" w:eastAsiaTheme="minorEastAsia" w:cstheme="minorEastAsia"/>
          <w:sz w:val="24"/>
          <w:u w:val="single"/>
        </w:rPr>
        <w:t xml:space="preserve">          </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4.4 商定或确定</w:t>
      </w:r>
    </w:p>
    <w:p>
      <w:pPr>
        <w:pStyle w:val="28"/>
        <w:spacing w:line="360" w:lineRule="auto"/>
        <w:ind w:right="0"/>
        <w:rPr>
          <w:rFonts w:asciiTheme="minorEastAsia" w:hAnsiTheme="minorEastAsia" w:eastAsiaTheme="minorEastAsia" w:cstheme="minorEastAsia"/>
        </w:rPr>
      </w:pPr>
      <w:bookmarkStart w:id="250" w:name="_Toc267251418"/>
      <w:r>
        <w:rPr>
          <w:rFonts w:hint="eastAsia" w:asciiTheme="minorEastAsia" w:hAnsiTheme="minorEastAsia" w:eastAsiaTheme="minorEastAsia" w:cstheme="minorEastAsia"/>
        </w:rPr>
        <w:t>在发包人和承包人不能通过协商达成一致意见时，发包人授权监理人对以下事项进行确定：</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bCs/>
        </w:rPr>
      </w:pPr>
      <w:bookmarkStart w:id="251" w:name="_Toc351203637"/>
      <w:r>
        <w:rPr>
          <w:rFonts w:hint="eastAsia" w:asciiTheme="minorEastAsia" w:hAnsiTheme="minorEastAsia" w:eastAsiaTheme="minorEastAsia" w:cstheme="minorEastAsia"/>
          <w:b/>
          <w:bCs/>
        </w:rPr>
        <w:t>5</w:t>
      </w:r>
      <w:bookmarkEnd w:id="250"/>
      <w:bookmarkStart w:id="252" w:name="_Toc292559872"/>
      <w:bookmarkStart w:id="253" w:name="_Toc296503163"/>
      <w:bookmarkStart w:id="254" w:name="_Toc297048349"/>
      <w:bookmarkStart w:id="255" w:name="_Toc292559367"/>
      <w:bookmarkStart w:id="256" w:name="_Toc296890991"/>
      <w:bookmarkStart w:id="257" w:name="_Toc296346664"/>
      <w:bookmarkStart w:id="258" w:name="_Toc296944502"/>
      <w:bookmarkStart w:id="259" w:name="_Toc296891203"/>
      <w:bookmarkStart w:id="260" w:name="_Toc297120463"/>
      <w:bookmarkStart w:id="261" w:name="_Toc296347162"/>
      <w:r>
        <w:rPr>
          <w:rFonts w:hint="eastAsia" w:asciiTheme="minorEastAsia" w:hAnsiTheme="minorEastAsia" w:eastAsiaTheme="minorEastAsia" w:cstheme="minorEastAsia"/>
          <w:b/>
          <w:bCs/>
        </w:rPr>
        <w:t>. 工程质量</w:t>
      </w:r>
      <w:bookmarkEnd w:id="251"/>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5.1 质量要求</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5</w:t>
      </w:r>
      <w:bookmarkStart w:id="262" w:name="_Toc303539106"/>
      <w:bookmarkStart w:id="263" w:name="_Toc297123496"/>
      <w:bookmarkStart w:id="264" w:name="_Toc297216155"/>
      <w:bookmarkStart w:id="265" w:name="_Toc312677997"/>
      <w:bookmarkStart w:id="266" w:name="_Toc300934949"/>
      <w:bookmarkStart w:id="267" w:name="_Toc304295527"/>
      <w:bookmarkStart w:id="268" w:name="_Toc318581164"/>
      <w:r>
        <w:rPr>
          <w:rFonts w:hint="eastAsia" w:asciiTheme="minorEastAsia" w:hAnsiTheme="minorEastAsia" w:eastAsiaTheme="minorEastAsia" w:cstheme="minorEastAsia"/>
        </w:rPr>
        <w:t>.1.1 特殊质量标准和要求：</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关于工程奖项的约定：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5.3 隐蔽工程检查</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5.3.2承包人提前通知监理人隐蔽工程检查的期限的约定：</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监理人不能按时进行检查时，应提前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小时提交书面延期要求。</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关于延期最长不得超过：</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小时。</w:t>
      </w:r>
    </w:p>
    <w:p>
      <w:pPr>
        <w:pStyle w:val="28"/>
        <w:spacing w:line="360" w:lineRule="auto"/>
        <w:ind w:right="0"/>
        <w:rPr>
          <w:rFonts w:asciiTheme="minorEastAsia" w:hAnsiTheme="minorEastAsia" w:eastAsiaTheme="minorEastAsia" w:cstheme="minorEastAsia"/>
          <w:b/>
          <w:bCs/>
        </w:rPr>
      </w:pPr>
      <w:bookmarkStart w:id="269" w:name="_Toc351203638"/>
      <w:r>
        <w:rPr>
          <w:rFonts w:hint="eastAsia" w:asciiTheme="minorEastAsia" w:hAnsiTheme="minorEastAsia" w:eastAsiaTheme="minorEastAsia" w:cstheme="minorEastAsia"/>
          <w:b/>
          <w:bCs/>
        </w:rPr>
        <w:t>6. 安全文明施工与环境保护</w:t>
      </w:r>
      <w:bookmarkEnd w:id="269"/>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6.1安全文明施工</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6.1.1 项目安全生产的达标目标及相应事项的约定：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6.1.4 关于治安保卫的特别约定：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关于编制施工场地治安管理计划的约定：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6.1.5 文明施工</w:t>
      </w:r>
    </w:p>
    <w:p>
      <w:pPr>
        <w:pStyle w:val="28"/>
        <w:spacing w:line="360" w:lineRule="auto"/>
        <w:ind w:right="0"/>
        <w:rPr>
          <w:rFonts w:asciiTheme="minorEastAsia" w:hAnsiTheme="minorEastAsia" w:eastAsiaTheme="minorEastAsia" w:cstheme="minorEastAsia"/>
          <w:bCs/>
          <w:u w:val="single"/>
        </w:rPr>
      </w:pPr>
      <w:r>
        <w:rPr>
          <w:rFonts w:hint="eastAsia" w:asciiTheme="minorEastAsia" w:hAnsiTheme="minorEastAsia" w:eastAsiaTheme="minorEastAsia" w:cstheme="minorEastAsia"/>
        </w:rPr>
        <w:t>合同当事人对文明施工的要求：①</w:t>
      </w:r>
      <w:r>
        <w:rPr>
          <w:rFonts w:hint="eastAsia" w:asciiTheme="minorEastAsia" w:hAnsiTheme="minorEastAsia" w:eastAsiaTheme="minorEastAsia" w:cstheme="minorEastAsia"/>
          <w:u w:val="single"/>
        </w:rPr>
        <w:t>承包人必须按照规定进行施工现场文明施工管理，</w:t>
      </w:r>
      <w:r>
        <w:rPr>
          <w:rFonts w:hint="eastAsia" w:asciiTheme="minorEastAsia" w:hAnsiTheme="minorEastAsia" w:eastAsiaTheme="minorEastAsia" w:cstheme="minorEastAsia"/>
          <w:bCs/>
          <w:u w:val="single"/>
        </w:rPr>
        <w:t>所发生的费用由承包人承担。</w:t>
      </w:r>
      <w:r>
        <w:rPr>
          <w:rFonts w:hint="eastAsia" w:asciiTheme="minorEastAsia" w:hAnsiTheme="minorEastAsia" w:eastAsiaTheme="minorEastAsia" w:cstheme="minorEastAsia"/>
        </w:rPr>
        <w:t>②</w:t>
      </w:r>
      <w:r>
        <w:rPr>
          <w:rFonts w:hint="eastAsia" w:asciiTheme="minorEastAsia" w:hAnsiTheme="minorEastAsia" w:eastAsiaTheme="minorEastAsia" w:cstheme="minorEastAsia"/>
          <w:bCs/>
          <w:u w:val="single"/>
        </w:rPr>
        <w:t>承包人必须做好施工现场的安全围护栏（网）等防护性措施，并设置必要的警示牌，做到文明施工，安全施工，建立重大事故报告制，加强安全教育，采取必要的一切防护措施，必须消除一切不安全隐患的存在和发生，协调处理好和周围住户的关系。③乙方应根据《建筑施工安全检查标准》和《强制性条文》及有关建筑施工安全生产条例及甲方的有关管理要求，确保安全生产，同时做好社会治安综合治理工作，严格执行建设项目所在地文明施工、标准化管理规定，明确具体措施，积极落实各项安全生产工作，杜绝重大伤亡事故。</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6.1.6 关于安全文明施工费支付比例和支付期限的约定：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262"/>
    <w:bookmarkEnd w:id="263"/>
    <w:bookmarkEnd w:id="264"/>
    <w:bookmarkEnd w:id="265"/>
    <w:bookmarkEnd w:id="266"/>
    <w:bookmarkEnd w:id="267"/>
    <w:bookmarkEnd w:id="268"/>
    <w:p>
      <w:pPr>
        <w:pStyle w:val="28"/>
        <w:spacing w:line="360" w:lineRule="auto"/>
        <w:ind w:right="0"/>
        <w:rPr>
          <w:rFonts w:asciiTheme="minorEastAsia" w:hAnsiTheme="minorEastAsia" w:eastAsiaTheme="minorEastAsia" w:cstheme="minorEastAsia"/>
          <w:b/>
          <w:bCs/>
        </w:rPr>
      </w:pPr>
      <w:bookmarkStart w:id="270" w:name="_Toc351203639"/>
      <w:r>
        <w:rPr>
          <w:rFonts w:hint="eastAsia" w:asciiTheme="minorEastAsia" w:hAnsiTheme="minorEastAsia" w:eastAsiaTheme="minorEastAsia" w:cstheme="minorEastAsia"/>
          <w:b/>
          <w:bCs/>
        </w:rPr>
        <w:t>7. 工期和进度</w:t>
      </w:r>
      <w:bookmarkEnd w:id="270"/>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7.1 施工组织设计</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7.1.1 合同当事人约定的施工组织设计应包括的其他内容：</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7.1.2 施工组织设计的提交和修改</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承包人提交详细施工组织设计的期限的约定：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发包人和监理人在收到详细的施工组织设计后确认或提出修改意见的期限：</w:t>
      </w:r>
      <w:r>
        <w:rPr>
          <w:rFonts w:hint="eastAsia" w:asciiTheme="minorEastAsia" w:hAnsiTheme="minorEastAsia" w:eastAsiaTheme="minorEastAsia" w:cstheme="minorEastAsia"/>
          <w:u w:val="single"/>
        </w:rPr>
        <w:t xml:space="preserve">                。</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w:t>
      </w:r>
      <w:bookmarkStart w:id="271" w:name="_Toc312677479"/>
      <w:bookmarkStart w:id="272" w:name="_Toc297216173"/>
      <w:bookmarkStart w:id="273" w:name="_Toc303539123"/>
      <w:bookmarkStart w:id="274" w:name="_Toc300934966"/>
      <w:bookmarkStart w:id="275" w:name="_Toc304295541"/>
      <w:bookmarkStart w:id="276" w:name="_Toc297123514"/>
      <w:bookmarkStart w:id="277" w:name="_Toc312678005"/>
      <w:r>
        <w:rPr>
          <w:rFonts w:hint="eastAsia" w:asciiTheme="minorEastAsia" w:hAnsiTheme="minorEastAsia" w:eastAsiaTheme="minorEastAsia" w:cstheme="minorEastAsia"/>
          <w:b/>
        </w:rPr>
        <w:t>.2 施工进度计划</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7.2.2 施工进度计划的修订</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发包人和监理人在收到修订的施工进度计划后确认或提出修改意见的期限：</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7.3 开工</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7.3.1 开工准备</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关于承包人提交工程开工报审表的期限：</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关于发包人应完成的其他开工准备工作及期限：</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关于承包人应完成的其他开工准备工作及期限：</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7.3.2开工通知</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因发包人原因造成监理人未能在计划开工日期之日起</w:t>
      </w:r>
      <w:r>
        <w:rPr>
          <w:rFonts w:hint="eastAsia" w:asciiTheme="minorEastAsia" w:hAnsiTheme="minorEastAsia" w:eastAsiaTheme="minorEastAsia" w:cstheme="minorEastAsia"/>
          <w:u w:val="single"/>
        </w:rPr>
        <w:t xml:space="preserve"> 60</w:t>
      </w:r>
      <w:r>
        <w:rPr>
          <w:rFonts w:hint="eastAsia" w:asciiTheme="minorEastAsia" w:hAnsiTheme="minorEastAsia" w:eastAsiaTheme="minorEastAsia" w:cstheme="minorEastAsia"/>
        </w:rPr>
        <w:t>天内发出开工通知的，承包人有权提出价格调整要求，或者解除合同。</w:t>
      </w:r>
    </w:p>
    <w:bookmarkEnd w:id="271"/>
    <w:bookmarkEnd w:id="272"/>
    <w:bookmarkEnd w:id="273"/>
    <w:bookmarkEnd w:id="274"/>
    <w:bookmarkEnd w:id="275"/>
    <w:bookmarkEnd w:id="276"/>
    <w:bookmarkEnd w:id="277"/>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7.4 测量放线</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7.4.1发包人通过监理人向承包人提供测量基准点、基准线和水准点及其书面资料的期限：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w:t>
      </w:r>
      <w:bookmarkStart w:id="278" w:name="_Toc303539125"/>
      <w:bookmarkStart w:id="279" w:name="_Toc297123516"/>
      <w:bookmarkStart w:id="280" w:name="_Toc300934968"/>
      <w:bookmarkStart w:id="281" w:name="_Toc312677484"/>
      <w:bookmarkStart w:id="282" w:name="_Toc297216175"/>
      <w:bookmarkStart w:id="283" w:name="_Toc312678010"/>
      <w:bookmarkStart w:id="284" w:name="_Toc304295546"/>
      <w:r>
        <w:rPr>
          <w:rFonts w:hint="eastAsia" w:asciiTheme="minorEastAsia" w:hAnsiTheme="minorEastAsia" w:eastAsiaTheme="minorEastAsia" w:cstheme="minorEastAsia"/>
          <w:b/>
        </w:rPr>
        <w:t>.5 工期延误</w:t>
      </w:r>
    </w:p>
    <w:bookmarkEnd w:id="278"/>
    <w:bookmarkEnd w:id="279"/>
    <w:bookmarkEnd w:id="280"/>
    <w:bookmarkEnd w:id="281"/>
    <w:bookmarkEnd w:id="282"/>
    <w:bookmarkEnd w:id="283"/>
    <w:bookmarkEnd w:id="284"/>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7.5.1 因发包人原因导致工期延误</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（7）因发包人原因导致工期延误的其他情形：</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w:t>
      </w:r>
      <w:bookmarkStart w:id="285" w:name="_Toc312678012"/>
      <w:bookmarkStart w:id="286" w:name="_Toc312677486"/>
      <w:bookmarkStart w:id="287" w:name="_Toc318581169"/>
      <w:bookmarkStart w:id="288" w:name="_Toc304295548"/>
      <w:bookmarkStart w:id="289" w:name="_Toc303539127"/>
      <w:bookmarkStart w:id="290" w:name="_Toc297123518"/>
      <w:bookmarkStart w:id="291" w:name="_Toc300934970"/>
      <w:bookmarkStart w:id="292" w:name="_Toc297216177"/>
      <w:r>
        <w:rPr>
          <w:rFonts w:hint="eastAsia" w:asciiTheme="minorEastAsia" w:hAnsiTheme="minorEastAsia" w:eastAsiaTheme="minorEastAsia" w:cstheme="minorEastAsia"/>
        </w:rPr>
        <w:t>.5.2 因承包人原因导致工期延误</w:t>
      </w:r>
    </w:p>
    <w:bookmarkEnd w:id="285"/>
    <w:bookmarkEnd w:id="286"/>
    <w:bookmarkEnd w:id="287"/>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因</w:t>
      </w:r>
      <w:bookmarkStart w:id="293" w:name="_Toc312678013"/>
      <w:bookmarkStart w:id="294" w:name="_Toc312677487"/>
      <w:bookmarkStart w:id="295" w:name="_Toc318581170"/>
      <w:r>
        <w:rPr>
          <w:rFonts w:hint="eastAsia" w:asciiTheme="minorEastAsia" w:hAnsiTheme="minorEastAsia" w:eastAsiaTheme="minorEastAsia" w:cstheme="minorEastAsia"/>
        </w:rPr>
        <w:t>承包人原因造成工期延误，逾期竣工违约金的计算方法为：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bookmarkEnd w:id="288"/>
      <w:bookmarkEnd w:id="289"/>
      <w:bookmarkEnd w:id="290"/>
      <w:bookmarkEnd w:id="291"/>
      <w:bookmarkEnd w:id="292"/>
      <w:bookmarkEnd w:id="293"/>
      <w:bookmarkEnd w:id="294"/>
    </w:p>
    <w:bookmarkEnd w:id="295"/>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因承包人原因造成工期延误，逾</w:t>
      </w:r>
      <w:bookmarkStart w:id="296" w:name="_Toc318581171"/>
      <w:bookmarkStart w:id="297" w:name="_Toc312678014"/>
      <w:r>
        <w:rPr>
          <w:rFonts w:hint="eastAsia" w:asciiTheme="minorEastAsia" w:hAnsiTheme="minorEastAsia" w:eastAsiaTheme="minorEastAsia" w:cstheme="minorEastAsia"/>
        </w:rPr>
        <w:t>期竣工违约金的上限：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296"/>
    <w:bookmarkEnd w:id="297"/>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w:t>
      </w:r>
      <w:bookmarkStart w:id="298" w:name="_Toc297123519"/>
      <w:bookmarkStart w:id="299" w:name="_Toc303539128"/>
      <w:bookmarkStart w:id="300" w:name="_Toc297216178"/>
      <w:bookmarkStart w:id="301" w:name="_Toc312678015"/>
      <w:bookmarkStart w:id="302" w:name="_Toc300934971"/>
      <w:bookmarkStart w:id="303" w:name="_Toc304295549"/>
      <w:r>
        <w:rPr>
          <w:rFonts w:hint="eastAsia" w:asciiTheme="minorEastAsia" w:hAnsiTheme="minorEastAsia" w:eastAsiaTheme="minorEastAsia" w:cstheme="minorEastAsia"/>
          <w:b/>
        </w:rPr>
        <w:t>.6 不</w:t>
      </w:r>
      <w:bookmarkEnd w:id="298"/>
      <w:bookmarkEnd w:id="299"/>
      <w:bookmarkEnd w:id="300"/>
      <w:bookmarkEnd w:id="301"/>
      <w:bookmarkEnd w:id="302"/>
      <w:bookmarkEnd w:id="303"/>
      <w:r>
        <w:rPr>
          <w:rFonts w:hint="eastAsia" w:asciiTheme="minorEastAsia" w:hAnsiTheme="minorEastAsia" w:eastAsiaTheme="minorEastAsia" w:cstheme="minorEastAsia"/>
          <w:b/>
        </w:rPr>
        <w:t>利物质条件</w:t>
      </w:r>
    </w:p>
    <w:p>
      <w:pPr>
        <w:pStyle w:val="28"/>
        <w:spacing w:line="360" w:lineRule="auto"/>
        <w:ind w:right="0"/>
        <w:rPr>
          <w:rFonts w:asciiTheme="minorEastAsia" w:hAnsiTheme="minorEastAsia" w:eastAsiaTheme="minorEastAsia" w:cstheme="minorEastAsia"/>
          <w:u w:val="single"/>
        </w:rPr>
      </w:pPr>
      <w:bookmarkStart w:id="304" w:name="_Toc303539129"/>
      <w:bookmarkStart w:id="305" w:name="_Toc318581172"/>
      <w:bookmarkStart w:id="306" w:name="_Toc300934972"/>
      <w:bookmarkStart w:id="307" w:name="_Toc312678016"/>
      <w:bookmarkStart w:id="308" w:name="_Toc297216179"/>
      <w:bookmarkStart w:id="309" w:name="_Toc297123520"/>
      <w:bookmarkStart w:id="310" w:name="_Toc304295550"/>
      <w:r>
        <w:rPr>
          <w:rFonts w:hint="eastAsia" w:asciiTheme="minorEastAsia" w:hAnsiTheme="minorEastAsia" w:eastAsiaTheme="minorEastAsia" w:cstheme="minorEastAsia"/>
        </w:rPr>
        <w:t>不利物质条件的其他情形和有关约定：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304"/>
    <w:bookmarkEnd w:id="305"/>
    <w:bookmarkEnd w:id="306"/>
    <w:bookmarkEnd w:id="307"/>
    <w:bookmarkEnd w:id="308"/>
    <w:bookmarkEnd w:id="309"/>
    <w:bookmarkEnd w:id="310"/>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w:t>
      </w:r>
      <w:bookmarkStart w:id="311" w:name="_Toc300934973"/>
      <w:bookmarkStart w:id="312" w:name="_Toc303539130"/>
      <w:bookmarkStart w:id="313" w:name="_Toc297216180"/>
      <w:bookmarkStart w:id="314" w:name="_Toc304295551"/>
      <w:bookmarkStart w:id="315" w:name="_Toc297123521"/>
      <w:bookmarkStart w:id="316" w:name="_Toc312678017"/>
      <w:r>
        <w:rPr>
          <w:rFonts w:hint="eastAsia" w:asciiTheme="minorEastAsia" w:hAnsiTheme="minorEastAsia" w:eastAsiaTheme="minorEastAsia" w:cstheme="minorEastAsia"/>
          <w:b/>
        </w:rPr>
        <w:t>.7异常恶劣的气候条件</w:t>
      </w:r>
    </w:p>
    <w:bookmarkEnd w:id="311"/>
    <w:bookmarkEnd w:id="312"/>
    <w:bookmarkEnd w:id="313"/>
    <w:bookmarkEnd w:id="314"/>
    <w:bookmarkEnd w:id="315"/>
    <w:bookmarkEnd w:id="316"/>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发包人和承包人同意以下情形视为异常恶劣的气候条件：</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（1）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（2）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7.9 提前竣工的奖励</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7.9.2提前竣工的奖励：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bCs/>
        </w:rPr>
      </w:pPr>
      <w:bookmarkStart w:id="317" w:name="_Toc351203640"/>
      <w:r>
        <w:rPr>
          <w:rFonts w:hint="eastAsia" w:asciiTheme="minorEastAsia" w:hAnsiTheme="minorEastAsia" w:eastAsiaTheme="minorEastAsia" w:cstheme="minorEastAsia"/>
          <w:b/>
          <w:bCs/>
        </w:rPr>
        <w:t>8. 材料与设备</w:t>
      </w:r>
      <w:bookmarkEnd w:id="317"/>
    </w:p>
    <w:bookmarkEnd w:id="252"/>
    <w:bookmarkEnd w:id="253"/>
    <w:bookmarkEnd w:id="254"/>
    <w:bookmarkEnd w:id="255"/>
    <w:bookmarkEnd w:id="256"/>
    <w:bookmarkEnd w:id="257"/>
    <w:bookmarkEnd w:id="258"/>
    <w:bookmarkEnd w:id="259"/>
    <w:bookmarkEnd w:id="260"/>
    <w:bookmarkEnd w:id="261"/>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8</w:t>
      </w:r>
      <w:bookmarkStart w:id="318" w:name="_Toc300934979"/>
      <w:bookmarkStart w:id="319" w:name="_Toc297120467"/>
      <w:bookmarkStart w:id="320" w:name="_Toc303539136"/>
      <w:bookmarkStart w:id="321" w:name="_Toc296890995"/>
      <w:bookmarkStart w:id="322" w:name="_Toc297216186"/>
      <w:bookmarkStart w:id="323" w:name="_Toc304295556"/>
      <w:bookmarkStart w:id="324" w:name="_Toc292559372"/>
      <w:bookmarkStart w:id="325" w:name="_Toc280868654"/>
      <w:bookmarkStart w:id="326" w:name="_Toc296944506"/>
      <w:bookmarkStart w:id="327" w:name="_Toc296346668"/>
      <w:bookmarkStart w:id="328" w:name="_Toc292559877"/>
      <w:bookmarkStart w:id="329" w:name="_Toc312678019"/>
      <w:bookmarkStart w:id="330" w:name="_Toc296347166"/>
      <w:bookmarkStart w:id="331" w:name="_Toc312677493"/>
      <w:bookmarkStart w:id="332" w:name="_Toc297123527"/>
      <w:bookmarkStart w:id="333" w:name="_Toc296503167"/>
      <w:bookmarkStart w:id="334" w:name="_Toc296891207"/>
      <w:bookmarkStart w:id="335" w:name="_Toc297048353"/>
      <w:bookmarkStart w:id="336" w:name="_Toc267251424"/>
      <w:bookmarkStart w:id="337" w:name="_Toc280868655"/>
      <w:bookmarkStart w:id="338" w:name="_Toc280868656"/>
      <w:r>
        <w:rPr>
          <w:rFonts w:hint="eastAsia" w:asciiTheme="minorEastAsia" w:hAnsiTheme="minorEastAsia" w:eastAsiaTheme="minorEastAsia" w:cstheme="minorEastAsia"/>
        </w:rPr>
        <w:t>.4材料与工程设备的保管与使用</w:t>
      </w:r>
    </w:p>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8</w:t>
      </w:r>
      <w:bookmarkStart w:id="339" w:name="_Toc292559373"/>
      <w:bookmarkStart w:id="340" w:name="_Toc292559878"/>
      <w:bookmarkStart w:id="341" w:name="_Toc296891208"/>
      <w:bookmarkStart w:id="342" w:name="_Toc297123528"/>
      <w:bookmarkStart w:id="343" w:name="_Toc297120468"/>
      <w:bookmarkStart w:id="344" w:name="_Toc296347167"/>
      <w:bookmarkStart w:id="345" w:name="_Toc304295557"/>
      <w:bookmarkStart w:id="346" w:name="_Toc296346669"/>
      <w:bookmarkStart w:id="347" w:name="_Toc312678020"/>
      <w:bookmarkStart w:id="348" w:name="_Toc303539137"/>
      <w:bookmarkStart w:id="349" w:name="_Toc300934980"/>
      <w:bookmarkStart w:id="350" w:name="_Toc297216187"/>
      <w:bookmarkStart w:id="351" w:name="_Toc296890996"/>
      <w:bookmarkStart w:id="352" w:name="_Toc296503168"/>
      <w:bookmarkStart w:id="353" w:name="_Toc296944507"/>
      <w:bookmarkStart w:id="354" w:name="_Toc297048354"/>
      <w:bookmarkStart w:id="355" w:name="_Toc318581173"/>
      <w:bookmarkStart w:id="356" w:name="_Toc312677494"/>
      <w:r>
        <w:rPr>
          <w:rFonts w:hint="eastAsia" w:asciiTheme="minorEastAsia" w:hAnsiTheme="minorEastAsia" w:eastAsiaTheme="minorEastAsia" w:cstheme="minorEastAsia"/>
        </w:rPr>
        <w:t>.4.1发包人供应的材料设备的保管费用的承担：</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bookmarkEnd w:id="339"/>
      <w:bookmarkEnd w:id="340"/>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8.6 样品</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8.6.1</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样品的报送与封存</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需要承包人报送样品的材料或工程设备，样品的种类、名称、规格、数量要求：</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8.8 施工设备和临时设施</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8.8.1 承包人提供的施工设备和临时设施</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关于修建临时设施费用承担的约定：</w:t>
      </w:r>
      <w:r>
        <w:rPr>
          <w:rFonts w:hint="eastAsia" w:asciiTheme="minorEastAsia" w:hAnsiTheme="minorEastAsia" w:eastAsiaTheme="minorEastAsia" w:cstheme="minorEastAsia"/>
          <w:u w:val="single"/>
        </w:rPr>
        <w:t xml:space="preserve">  /。</w:t>
      </w:r>
    </w:p>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Pr>
        <w:pStyle w:val="28"/>
        <w:spacing w:line="360" w:lineRule="auto"/>
        <w:ind w:right="0"/>
        <w:rPr>
          <w:rFonts w:asciiTheme="minorEastAsia" w:hAnsiTheme="minorEastAsia" w:eastAsiaTheme="minorEastAsia" w:cstheme="minorEastAsia"/>
          <w:b/>
          <w:bCs/>
        </w:rPr>
      </w:pPr>
      <w:bookmarkStart w:id="357" w:name="_Toc351203641"/>
      <w:r>
        <w:rPr>
          <w:rFonts w:hint="eastAsia" w:asciiTheme="minorEastAsia" w:hAnsiTheme="minorEastAsia" w:eastAsiaTheme="minorEastAsia" w:cstheme="minorEastAsia"/>
          <w:b/>
          <w:bCs/>
        </w:rPr>
        <w:t>9</w:t>
      </w:r>
      <w:bookmarkEnd w:id="336"/>
      <w:bookmarkEnd w:id="337"/>
      <w:bookmarkEnd w:id="338"/>
      <w:bookmarkStart w:id="358" w:name="_Toc303539139"/>
      <w:bookmarkStart w:id="359" w:name="_Toc297123533"/>
      <w:bookmarkStart w:id="360" w:name="_Toc300934982"/>
      <w:bookmarkStart w:id="361" w:name="_Toc304295559"/>
      <w:bookmarkStart w:id="362" w:name="_Toc312677495"/>
      <w:bookmarkStart w:id="363" w:name="_Toc312678021"/>
      <w:bookmarkStart w:id="364" w:name="_Toc297216192"/>
      <w:bookmarkStart w:id="365" w:name="_Toc292559378"/>
      <w:bookmarkStart w:id="366" w:name="_Toc296503173"/>
      <w:bookmarkStart w:id="367" w:name="_Toc296891001"/>
      <w:bookmarkStart w:id="368" w:name="_Toc296944512"/>
      <w:bookmarkStart w:id="369" w:name="_Toc297048359"/>
      <w:bookmarkStart w:id="370" w:name="_Toc292559883"/>
      <w:bookmarkStart w:id="371" w:name="_Toc296347172"/>
      <w:bookmarkStart w:id="372" w:name="_Toc296891213"/>
      <w:bookmarkStart w:id="373" w:name="_Toc267251427"/>
      <w:bookmarkStart w:id="374" w:name="_Toc297120473"/>
      <w:bookmarkStart w:id="375" w:name="_Toc267251428"/>
      <w:bookmarkStart w:id="376" w:name="_Toc296346674"/>
      <w:r>
        <w:rPr>
          <w:rFonts w:hint="eastAsia" w:asciiTheme="minorEastAsia" w:hAnsiTheme="minorEastAsia" w:eastAsiaTheme="minorEastAsia" w:cstheme="minorEastAsia"/>
          <w:b/>
          <w:bCs/>
        </w:rPr>
        <w:t>. 试验与检验</w:t>
      </w:r>
      <w:bookmarkEnd w:id="357"/>
    </w:p>
    <w:bookmarkEnd w:id="358"/>
    <w:bookmarkEnd w:id="359"/>
    <w:bookmarkEnd w:id="360"/>
    <w:bookmarkEnd w:id="361"/>
    <w:bookmarkEnd w:id="362"/>
    <w:bookmarkEnd w:id="363"/>
    <w:bookmarkEnd w:id="364"/>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9</w:t>
      </w:r>
      <w:bookmarkStart w:id="377" w:name="_Toc297123534"/>
      <w:bookmarkStart w:id="378" w:name="_Toc312677496"/>
      <w:bookmarkStart w:id="379" w:name="_Toc303539140"/>
      <w:bookmarkStart w:id="380" w:name="_Toc297216193"/>
      <w:bookmarkStart w:id="381" w:name="_Toc312678022"/>
      <w:bookmarkStart w:id="382" w:name="_Toc300934983"/>
      <w:bookmarkStart w:id="383" w:name="_Toc304295560"/>
      <w:r>
        <w:rPr>
          <w:rFonts w:hint="eastAsia" w:asciiTheme="minorEastAsia" w:hAnsiTheme="minorEastAsia" w:eastAsiaTheme="minorEastAsia" w:cstheme="minorEastAsia"/>
          <w:b/>
        </w:rPr>
        <w:t>.1试验设备与试验人员</w:t>
      </w:r>
    </w:p>
    <w:bookmarkEnd w:id="377"/>
    <w:bookmarkEnd w:id="378"/>
    <w:bookmarkEnd w:id="379"/>
    <w:bookmarkEnd w:id="380"/>
    <w:bookmarkEnd w:id="381"/>
    <w:bookmarkEnd w:id="382"/>
    <w:bookmarkEnd w:id="383"/>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9</w:t>
      </w:r>
      <w:bookmarkStart w:id="384" w:name="_Toc303539141"/>
      <w:bookmarkStart w:id="385" w:name="_Toc304295561"/>
      <w:bookmarkStart w:id="386" w:name="_Toc312677497"/>
      <w:bookmarkStart w:id="387" w:name="_Toc312678023"/>
      <w:bookmarkStart w:id="388" w:name="_Toc300934984"/>
      <w:bookmarkStart w:id="389" w:name="_Toc297123535"/>
      <w:bookmarkStart w:id="390" w:name="_Toc297216194"/>
      <w:bookmarkStart w:id="391" w:name="_Toc318581174"/>
      <w:r>
        <w:rPr>
          <w:rFonts w:hint="eastAsia" w:asciiTheme="minorEastAsia" w:hAnsiTheme="minorEastAsia" w:eastAsiaTheme="minorEastAsia" w:cstheme="minorEastAsia"/>
        </w:rPr>
        <w:t>.1.2 试验设备</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施工现场需要配置的试验场所：</w:t>
      </w:r>
      <w:bookmarkEnd w:id="384"/>
      <w:bookmarkEnd w:id="385"/>
      <w:bookmarkEnd w:id="386"/>
      <w:bookmarkEnd w:id="387"/>
      <w:bookmarkEnd w:id="388"/>
      <w:bookmarkEnd w:id="389"/>
      <w:bookmarkEnd w:id="390"/>
      <w:bookmarkStart w:id="392" w:name="_Toc297216195"/>
      <w:bookmarkStart w:id="393" w:name="_Toc312677498"/>
      <w:bookmarkStart w:id="394" w:name="_Toc304295562"/>
      <w:bookmarkStart w:id="395" w:name="_Toc303539142"/>
      <w:bookmarkStart w:id="396" w:name="_Toc312678024"/>
      <w:bookmarkStart w:id="397" w:name="_Toc297123536"/>
      <w:bookmarkStart w:id="398" w:name="_Toc300934985"/>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施工现场需要配备的试验设备：</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施工现场需要具备的其他试验条件：</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9.4 现场工艺试验 </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现场工艺试验的有关约定：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391"/>
    <w:bookmarkEnd w:id="392"/>
    <w:bookmarkEnd w:id="393"/>
    <w:bookmarkEnd w:id="394"/>
    <w:bookmarkEnd w:id="395"/>
    <w:bookmarkEnd w:id="396"/>
    <w:bookmarkEnd w:id="397"/>
    <w:bookmarkEnd w:id="398"/>
    <w:p>
      <w:pPr>
        <w:pStyle w:val="28"/>
        <w:spacing w:line="360" w:lineRule="auto"/>
        <w:ind w:right="0"/>
        <w:rPr>
          <w:rFonts w:asciiTheme="minorEastAsia" w:hAnsiTheme="minorEastAsia" w:eastAsiaTheme="minorEastAsia" w:cstheme="minorEastAsia"/>
          <w:b/>
          <w:bCs/>
        </w:rPr>
      </w:pPr>
      <w:bookmarkStart w:id="399" w:name="_Toc351203642"/>
      <w:r>
        <w:rPr>
          <w:rFonts w:hint="eastAsia" w:asciiTheme="minorEastAsia" w:hAnsiTheme="minorEastAsia" w:eastAsiaTheme="minorEastAsia" w:cstheme="minorEastAsia"/>
          <w:b/>
          <w:bCs/>
        </w:rPr>
        <w:t>1</w:t>
      </w:r>
      <w:bookmarkEnd w:id="365"/>
      <w:bookmarkEnd w:id="366"/>
      <w:bookmarkEnd w:id="367"/>
      <w:bookmarkEnd w:id="368"/>
      <w:bookmarkEnd w:id="369"/>
      <w:bookmarkEnd w:id="370"/>
      <w:bookmarkEnd w:id="371"/>
      <w:bookmarkEnd w:id="372"/>
      <w:bookmarkEnd w:id="373"/>
      <w:bookmarkEnd w:id="374"/>
      <w:bookmarkEnd w:id="375"/>
      <w:bookmarkEnd w:id="376"/>
      <w:bookmarkStart w:id="400" w:name="_Toc300934989"/>
      <w:bookmarkStart w:id="401" w:name="_Toc296347192"/>
      <w:bookmarkStart w:id="402" w:name="_Toc297120493"/>
      <w:bookmarkStart w:id="403" w:name="_Toc292559903"/>
      <w:bookmarkStart w:id="404" w:name="_Toc296503193"/>
      <w:bookmarkStart w:id="405" w:name="_Toc296891233"/>
      <w:bookmarkStart w:id="406" w:name="_Toc303539146"/>
      <w:bookmarkStart w:id="407" w:name="_Toc304295566"/>
      <w:bookmarkStart w:id="408" w:name="_Toc296891021"/>
      <w:bookmarkStart w:id="409" w:name="_Toc297048379"/>
      <w:bookmarkStart w:id="410" w:name="_Toc296346694"/>
      <w:bookmarkStart w:id="411" w:name="_Toc297123540"/>
      <w:bookmarkStart w:id="412" w:name="_Toc292559398"/>
      <w:bookmarkStart w:id="413" w:name="_Toc296944532"/>
      <w:bookmarkStart w:id="414" w:name="_Toc297216199"/>
      <w:bookmarkStart w:id="415" w:name="_Toc312677499"/>
      <w:bookmarkStart w:id="416" w:name="_Toc312678025"/>
      <w:bookmarkStart w:id="417" w:name="_Toc267251435"/>
      <w:bookmarkStart w:id="418" w:name="_Toc267251439"/>
      <w:bookmarkStart w:id="419" w:name="_Toc267251437"/>
      <w:bookmarkStart w:id="420" w:name="_Toc267251440"/>
      <w:bookmarkStart w:id="421" w:name="_Toc267251441"/>
      <w:bookmarkStart w:id="422" w:name="_Toc267251433"/>
      <w:bookmarkStart w:id="423" w:name="_Toc267251442"/>
      <w:r>
        <w:rPr>
          <w:rFonts w:hint="eastAsia" w:asciiTheme="minorEastAsia" w:hAnsiTheme="minorEastAsia" w:eastAsiaTheme="minorEastAsia" w:cstheme="minorEastAsia"/>
          <w:b/>
          <w:bCs/>
        </w:rPr>
        <w:t>0. 变更</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bookmarkEnd w:id="415"/>
    <w:bookmarkEnd w:id="416"/>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w:t>
      </w:r>
      <w:bookmarkStart w:id="424" w:name="_Toc296503194"/>
      <w:bookmarkStart w:id="425" w:name="_Toc300934990"/>
      <w:bookmarkStart w:id="426" w:name="_Toc312677500"/>
      <w:bookmarkStart w:id="427" w:name="_Toc292559399"/>
      <w:bookmarkStart w:id="428" w:name="_Toc297048380"/>
      <w:bookmarkStart w:id="429" w:name="_Toc296891022"/>
      <w:bookmarkStart w:id="430" w:name="_Toc296944533"/>
      <w:bookmarkStart w:id="431" w:name="_Toc296346695"/>
      <w:bookmarkStart w:id="432" w:name="_Toc303539147"/>
      <w:bookmarkStart w:id="433" w:name="_Toc304295567"/>
      <w:bookmarkStart w:id="434" w:name="_Toc292559904"/>
      <w:bookmarkStart w:id="435" w:name="_Toc297216200"/>
      <w:bookmarkStart w:id="436" w:name="_Toc296891234"/>
      <w:bookmarkStart w:id="437" w:name="_Toc312678026"/>
      <w:bookmarkStart w:id="438" w:name="_Toc296347193"/>
      <w:bookmarkStart w:id="439" w:name="_Toc297123541"/>
      <w:bookmarkStart w:id="440" w:name="_Toc297120494"/>
      <w:r>
        <w:rPr>
          <w:rFonts w:hint="eastAsia" w:asciiTheme="minorEastAsia" w:hAnsiTheme="minorEastAsia" w:eastAsiaTheme="minorEastAsia" w:cstheme="minorEastAsia"/>
          <w:b/>
        </w:rPr>
        <w:t>0.1变更的范围</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关于变更的范围的约定：</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u w:val="single"/>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10.4 变更估价</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10.4.1 变更估价原则</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关于变更估价的约定: </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Start w:id="441" w:name="_Toc292559402"/>
      <w:bookmarkStart w:id="442" w:name="_Toc297120497"/>
      <w:bookmarkStart w:id="443" w:name="_Toc300934993"/>
      <w:bookmarkStart w:id="444" w:name="_Toc296503197"/>
      <w:bookmarkStart w:id="445" w:name="_Toc296891025"/>
      <w:bookmarkStart w:id="446" w:name="_Toc297216203"/>
      <w:bookmarkStart w:id="447" w:name="_Toc292559907"/>
      <w:bookmarkStart w:id="448" w:name="_Toc297048383"/>
      <w:bookmarkStart w:id="449" w:name="_Toc296347196"/>
      <w:bookmarkStart w:id="450" w:name="_Toc296346698"/>
      <w:bookmarkStart w:id="451" w:name="_Toc296891237"/>
      <w:bookmarkStart w:id="452" w:name="_Toc296944536"/>
      <w:bookmarkStart w:id="453" w:name="_Toc303539150"/>
      <w:bookmarkStart w:id="454" w:name="_Toc297123544"/>
      <w:bookmarkStart w:id="455" w:name="_Toc312677503"/>
      <w:bookmarkStart w:id="456" w:name="_Toc312678029"/>
      <w:bookmarkStart w:id="457" w:name="_Toc304295570"/>
      <w:r>
        <w:rPr>
          <w:rFonts w:hint="eastAsia" w:asciiTheme="minorEastAsia" w:hAnsiTheme="minorEastAsia" w:eastAsiaTheme="minorEastAsia" w:cstheme="minorEastAsia"/>
        </w:rPr>
        <w:t>0.5承</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Start w:id="458" w:name="_Toc296891243"/>
      <w:bookmarkStart w:id="459" w:name="_Toc297120503"/>
      <w:bookmarkStart w:id="460" w:name="_Toc296347202"/>
      <w:bookmarkStart w:id="461" w:name="_Toc296346704"/>
      <w:bookmarkStart w:id="462" w:name="_Toc297216204"/>
      <w:bookmarkStart w:id="463" w:name="_Toc303539151"/>
      <w:bookmarkStart w:id="464" w:name="_Toc296503203"/>
      <w:bookmarkStart w:id="465" w:name="_Toc296891031"/>
      <w:bookmarkStart w:id="466" w:name="_Toc292559408"/>
      <w:bookmarkStart w:id="467" w:name="_Toc296944542"/>
      <w:bookmarkStart w:id="468" w:name="_Toc300934994"/>
      <w:bookmarkStart w:id="469" w:name="_Toc297048389"/>
      <w:bookmarkStart w:id="470" w:name="_Toc297123545"/>
      <w:bookmarkStart w:id="471" w:name="_Toc292559913"/>
      <w:r>
        <w:rPr>
          <w:rFonts w:hint="eastAsia" w:asciiTheme="minorEastAsia" w:hAnsiTheme="minorEastAsia" w:eastAsiaTheme="minorEastAsia" w:cstheme="minorEastAsia"/>
        </w:rPr>
        <w:t>包人的合理化建议</w:t>
      </w:r>
    </w:p>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监理人审查承包人合理化建议的期限：</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发包人审批承包人合理化建议的期限：</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w:t>
      </w:r>
      <w:bookmarkStart w:id="472" w:name="_Toc303539152"/>
      <w:bookmarkStart w:id="473" w:name="_Toc296346705"/>
      <w:bookmarkStart w:id="474" w:name="_Toc304295571"/>
      <w:bookmarkStart w:id="475" w:name="_Toc300934995"/>
      <w:bookmarkStart w:id="476" w:name="_Toc296347203"/>
      <w:bookmarkStart w:id="477" w:name="_Toc297120504"/>
      <w:bookmarkStart w:id="478" w:name="_Toc318581175"/>
      <w:bookmarkStart w:id="479" w:name="_Toc297048390"/>
      <w:bookmarkStart w:id="480" w:name="_Toc292559914"/>
      <w:bookmarkStart w:id="481" w:name="_Toc296503204"/>
      <w:bookmarkStart w:id="482" w:name="_Toc297216205"/>
      <w:bookmarkStart w:id="483" w:name="_Toc296891032"/>
      <w:bookmarkStart w:id="484" w:name="_Toc312678030"/>
      <w:bookmarkStart w:id="485" w:name="_Toc292559409"/>
      <w:bookmarkStart w:id="486" w:name="_Toc296891244"/>
      <w:bookmarkStart w:id="487" w:name="_Toc296944543"/>
      <w:bookmarkStart w:id="488" w:name="_Toc312677504"/>
      <w:bookmarkStart w:id="489" w:name="_Toc297123546"/>
      <w:r>
        <w:rPr>
          <w:rFonts w:hint="eastAsia" w:asciiTheme="minorEastAsia" w:hAnsiTheme="minorEastAsia" w:eastAsiaTheme="minorEastAsia" w:cstheme="minorEastAsia"/>
        </w:rPr>
        <w:t>包人提出的合理化建议降低了合同价格或者提高了工程经济效益的奖励的方法和金额为：</w:t>
      </w:r>
      <w:r>
        <w:rPr>
          <w:rFonts w:hint="eastAsia" w:asciiTheme="minorEastAsia" w:hAnsiTheme="minorEastAsia" w:eastAsiaTheme="minorEastAsia" w:cstheme="minorEastAsia"/>
          <w:u w:val="single"/>
        </w:rPr>
        <w:t xml:space="preserve">             无  </w:t>
      </w:r>
      <w:r>
        <w:rPr>
          <w:rFonts w:hint="eastAsia" w:asciiTheme="minorEastAsia" w:hAnsiTheme="minorEastAsia" w:eastAsiaTheme="minorEastAsia" w:cstheme="minorEastAsia"/>
        </w:rPr>
        <w:t>。</w:t>
      </w:r>
    </w:p>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w:t>
      </w:r>
      <w:bookmarkStart w:id="490" w:name="_Toc297123548"/>
      <w:bookmarkStart w:id="491" w:name="_Toc296891239"/>
      <w:bookmarkStart w:id="492" w:name="_Toc297048385"/>
      <w:bookmarkStart w:id="493" w:name="_Toc297216207"/>
      <w:bookmarkStart w:id="494" w:name="_Toc303539154"/>
      <w:bookmarkStart w:id="495" w:name="_Toc300934997"/>
      <w:bookmarkStart w:id="496" w:name="_Toc296944538"/>
      <w:bookmarkStart w:id="497" w:name="_Toc312677507"/>
      <w:bookmarkStart w:id="498" w:name="_Toc296347198"/>
      <w:bookmarkStart w:id="499" w:name="_Toc296891027"/>
      <w:bookmarkStart w:id="500" w:name="_Toc312678033"/>
      <w:bookmarkStart w:id="501" w:name="_Toc292559909"/>
      <w:bookmarkStart w:id="502" w:name="_Toc292559404"/>
      <w:bookmarkStart w:id="503" w:name="_Toc297120499"/>
      <w:bookmarkStart w:id="504" w:name="_Toc296503199"/>
      <w:bookmarkStart w:id="505" w:name="_Toc296346700"/>
      <w:bookmarkStart w:id="506" w:name="_Toc304295574"/>
      <w:r>
        <w:rPr>
          <w:rFonts w:hint="eastAsia" w:asciiTheme="minorEastAsia" w:hAnsiTheme="minorEastAsia" w:eastAsiaTheme="minorEastAsia" w:cstheme="minorEastAsia"/>
          <w:b/>
        </w:rPr>
        <w:t>0.7 暂估价</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Start w:id="507" w:name="_Toc312678034"/>
      <w:bookmarkStart w:id="508" w:name="_Toc318581176"/>
      <w:bookmarkStart w:id="509" w:name="_Toc312677508"/>
    </w:p>
    <w:bookmarkEnd w:id="507"/>
    <w:bookmarkEnd w:id="508"/>
    <w:bookmarkEnd w:id="509"/>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bookmarkStart w:id="510" w:name="_Toc318581177"/>
      <w:bookmarkStart w:id="511" w:name="_Toc312678035"/>
      <w:bookmarkStart w:id="512" w:name="_Toc312677509"/>
      <w:r>
        <w:rPr>
          <w:rFonts w:hint="eastAsia" w:asciiTheme="minorEastAsia" w:hAnsiTheme="minorEastAsia" w:eastAsiaTheme="minorEastAsia" w:cstheme="minorEastAsia"/>
        </w:rPr>
        <w:t>0.7.1 依法必须招标的暂估价项目</w:t>
      </w:r>
    </w:p>
    <w:bookmarkEnd w:id="510"/>
    <w:bookmarkEnd w:id="511"/>
    <w:bookmarkEnd w:id="512"/>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对于依法必须招标的暂估价项目的确认和批准采取招标方式确定。</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10.7.2 不属于依法必须招标的暂估价项目</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对于不属于依法必须招标的暂估价项目的确认和批准采取直接实施方式确定。</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第3种方式：承包人直接实施的暂估价项目</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承包人直接实施的暂估价项目的约定：</w:t>
      </w:r>
      <w:r>
        <w:rPr>
          <w:rFonts w:hint="eastAsia" w:asciiTheme="minorEastAsia" w:hAnsiTheme="minorEastAsia" w:eastAsiaTheme="minorEastAsia" w:cstheme="minorEastAsia"/>
          <w:u w:val="single"/>
        </w:rPr>
        <w:t xml:space="preserve">/ </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10.8 暂列金额</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合同当事人关于暂列金额使用的约定：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rPr>
        <w:t>。</w:t>
      </w:r>
    </w:p>
    <w:p>
      <w:pPr>
        <w:pStyle w:val="28"/>
        <w:spacing w:line="360" w:lineRule="auto"/>
        <w:ind w:right="0"/>
        <w:rPr>
          <w:rFonts w:asciiTheme="minorEastAsia" w:hAnsiTheme="minorEastAsia" w:eastAsiaTheme="minorEastAsia" w:cstheme="minorEastAsia"/>
          <w:b/>
          <w:bCs/>
        </w:rPr>
      </w:pPr>
      <w:bookmarkStart w:id="513" w:name="_Toc351203643"/>
      <w:r>
        <w:rPr>
          <w:rFonts w:hint="eastAsia" w:asciiTheme="minorEastAsia" w:hAnsiTheme="minorEastAsia" w:eastAsiaTheme="minorEastAsia" w:cstheme="minorEastAsia"/>
          <w:b/>
          <w:bCs/>
        </w:rPr>
        <w:t>11. 价格调整</w:t>
      </w:r>
      <w:bookmarkEnd w:id="513"/>
    </w:p>
    <w:p>
      <w:pPr>
        <w:pStyle w:val="28"/>
        <w:spacing w:line="360" w:lineRule="auto"/>
        <w:ind w:right="0"/>
        <w:rPr>
          <w:rFonts w:asciiTheme="minorEastAsia" w:hAnsiTheme="minorEastAsia" w:eastAsiaTheme="minorEastAsia" w:cstheme="minorEastAsia"/>
          <w:b/>
        </w:rPr>
      </w:pPr>
      <w:bookmarkStart w:id="514" w:name="_Toc296347200"/>
      <w:bookmarkStart w:id="515" w:name="_Toc303539157"/>
      <w:bookmarkStart w:id="516" w:name="_Toc297123550"/>
      <w:bookmarkStart w:id="517" w:name="_Toc292559406"/>
      <w:bookmarkStart w:id="518" w:name="_Toc297120501"/>
      <w:bookmarkStart w:id="519" w:name="_Toc296891029"/>
      <w:bookmarkStart w:id="520" w:name="_Toc296346702"/>
      <w:bookmarkStart w:id="521" w:name="_Toc292559911"/>
      <w:bookmarkStart w:id="522" w:name="_Toc297048387"/>
      <w:bookmarkStart w:id="523" w:name="_Toc312678039"/>
      <w:bookmarkStart w:id="524" w:name="_Toc304295577"/>
      <w:bookmarkStart w:id="525" w:name="_Toc296944540"/>
      <w:bookmarkStart w:id="526" w:name="_Toc300935000"/>
      <w:bookmarkStart w:id="527" w:name="_Toc297216209"/>
      <w:bookmarkStart w:id="528" w:name="_Toc296503201"/>
      <w:bookmarkStart w:id="529" w:name="_Toc296891241"/>
      <w:r>
        <w:rPr>
          <w:rFonts w:hint="eastAsia" w:asciiTheme="minorEastAsia" w:hAnsiTheme="minorEastAsia" w:eastAsiaTheme="minorEastAsia" w:cstheme="minorEastAsia"/>
          <w:b/>
        </w:rPr>
        <w:t>11.1 市场价格波动引起的调整</w:t>
      </w:r>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（1）市场价格波动是否调整合同价格的约定：</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因市场价格波动调整合同价格，采用以下第</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种方式对合同价格进行调整：</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第1种方式：采用价格指数进行价格调整。</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关于各可调因子、定值和变值权重，以及基本价格指数及其来源的约定：</w:t>
      </w:r>
      <w:r>
        <w:rPr>
          <w:rFonts w:hint="eastAsia" w:asciiTheme="minorEastAsia" w:hAnsiTheme="minorEastAsia" w:eastAsiaTheme="minorEastAsia" w:cstheme="minorEastAsia"/>
          <w:u w:val="single"/>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第2种方式：采用造价信息进行价格调整。</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（2）关于基准价格的约定：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专用合同条款①承包人在已标价工程量清单或预算书中载明材料单价低于基准价格的：专用合同条款合同履行期间材料单价涨幅以基准价格为基础超过</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时，或材料单价跌幅以在已标价工程量清单或预算书中载明材料单价为基础超过</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时，其超过部分据实调整。</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②承包人在已标价工程量清单或预算书中载明材料单价高于基准价格的：专用合同条款合同履行期间材料单价跌幅以基准价格为基础超过</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时，材料单价涨幅以在已标价工程量清单或预算书中载明材料单价为基础超过</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时，其超过部分据实调整。</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③承包人在已标价工程量清单或预算书中载明材料单价等于基准价格的：专用合同条款合同履行期间材料单价涨跌幅以基准价格为基础超过</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时，其超过部分据实调整。</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第3种方式：其他价格调整方式：</w:t>
      </w:r>
      <w:r>
        <w:rPr>
          <w:rFonts w:hint="eastAsia" w:asciiTheme="minorEastAsia" w:hAnsiTheme="minorEastAsia" w:eastAsiaTheme="minorEastAsia" w:cstheme="minorEastAsia"/>
          <w:u w:val="single"/>
        </w:rPr>
        <w:t xml:space="preserve">   /         。</w:t>
      </w:r>
    </w:p>
    <w:bookmarkEnd w:id="417"/>
    <w:bookmarkEnd w:id="418"/>
    <w:bookmarkEnd w:id="419"/>
    <w:bookmarkEnd w:id="420"/>
    <w:bookmarkEnd w:id="421"/>
    <w:bookmarkEnd w:id="422"/>
    <w:p>
      <w:pPr>
        <w:pStyle w:val="28"/>
        <w:spacing w:line="360" w:lineRule="auto"/>
        <w:ind w:right="0"/>
        <w:rPr>
          <w:rFonts w:asciiTheme="minorEastAsia" w:hAnsiTheme="minorEastAsia" w:eastAsiaTheme="minorEastAsia" w:cstheme="minorEastAsia"/>
          <w:b/>
          <w:bCs/>
        </w:rPr>
      </w:pPr>
      <w:bookmarkStart w:id="530" w:name="_Toc296503205"/>
      <w:bookmarkStart w:id="531" w:name="_Toc296891033"/>
      <w:bookmarkStart w:id="532" w:name="_Toc296891245"/>
      <w:bookmarkStart w:id="533" w:name="_Toc296347204"/>
      <w:bookmarkStart w:id="534" w:name="_Toc296346706"/>
      <w:bookmarkStart w:id="535" w:name="_Toc292559410"/>
      <w:bookmarkStart w:id="536" w:name="_Toc296944544"/>
      <w:bookmarkStart w:id="537" w:name="_Toc297120505"/>
      <w:bookmarkStart w:id="538" w:name="_Toc297048391"/>
      <w:bookmarkStart w:id="539" w:name="_Toc292559915"/>
      <w:bookmarkStart w:id="540" w:name="_Toc351203644"/>
      <w:bookmarkStart w:id="541" w:name="_Toc297123552"/>
      <w:bookmarkStart w:id="542" w:name="_Toc300935002"/>
      <w:bookmarkStart w:id="543" w:name="_Toc312678040"/>
      <w:bookmarkStart w:id="544" w:name="_Toc304295579"/>
      <w:bookmarkStart w:id="545" w:name="_Toc303539159"/>
      <w:bookmarkStart w:id="546" w:name="_Toc297216211"/>
      <w:r>
        <w:rPr>
          <w:rFonts w:hint="eastAsia" w:asciiTheme="minorEastAsia" w:hAnsiTheme="minorEastAsia" w:eastAsiaTheme="minorEastAsia" w:cstheme="minorEastAsia"/>
          <w:b/>
          <w:bCs/>
        </w:rPr>
        <w:t xml:space="preserve">12. </w:t>
      </w:r>
      <w:bookmarkEnd w:id="530"/>
      <w:bookmarkEnd w:id="531"/>
      <w:bookmarkEnd w:id="532"/>
      <w:bookmarkEnd w:id="533"/>
      <w:bookmarkEnd w:id="534"/>
      <w:bookmarkEnd w:id="535"/>
      <w:bookmarkEnd w:id="536"/>
      <w:bookmarkEnd w:id="537"/>
      <w:bookmarkEnd w:id="538"/>
      <w:bookmarkEnd w:id="539"/>
      <w:r>
        <w:rPr>
          <w:rFonts w:hint="eastAsia" w:asciiTheme="minorEastAsia" w:hAnsiTheme="minorEastAsia" w:eastAsiaTheme="minorEastAsia" w:cstheme="minorEastAsia"/>
          <w:b/>
          <w:bCs/>
        </w:rPr>
        <w:t>合同价格、计量与支付</w:t>
      </w:r>
      <w:bookmarkEnd w:id="540"/>
      <w:r>
        <w:rPr>
          <w:rFonts w:hint="eastAsia" w:asciiTheme="minorEastAsia" w:hAnsiTheme="minorEastAsia" w:eastAsiaTheme="minorEastAsia" w:cstheme="minorEastAsia"/>
          <w:b/>
          <w:bCs/>
        </w:rPr>
        <w:t xml:space="preserve"> </w:t>
      </w:r>
    </w:p>
    <w:p>
      <w:pPr>
        <w:pStyle w:val="28"/>
        <w:spacing w:line="360" w:lineRule="auto"/>
        <w:ind w:right="0"/>
        <w:rPr>
          <w:rFonts w:asciiTheme="minorEastAsia" w:hAnsiTheme="minorEastAsia" w:eastAsiaTheme="minorEastAsia" w:cstheme="minorEastAsia"/>
          <w:color w:val="000000" w:themeColor="text1"/>
          <w:u w:val="single"/>
          <w14:textFill>
            <w14:solidFill>
              <w14:schemeClr w14:val="tx1"/>
            </w14:solidFill>
          </w14:textFill>
        </w:rPr>
      </w:pPr>
      <w:bookmarkStart w:id="547" w:name="_Toc292559411"/>
      <w:bookmarkStart w:id="548" w:name="_Toc292559916"/>
      <w:bookmarkStart w:id="549" w:name="_Toc267251461"/>
      <w:bookmarkStart w:id="550" w:name="_Toc297120506"/>
      <w:bookmarkStart w:id="551" w:name="_Toc296944545"/>
      <w:bookmarkStart w:id="552" w:name="_Toc296347205"/>
      <w:bookmarkStart w:id="553" w:name="_Toc296346707"/>
      <w:bookmarkStart w:id="554" w:name="_Toc296503206"/>
      <w:bookmarkStart w:id="555" w:name="_Toc297048392"/>
      <w:bookmarkStart w:id="556" w:name="_Toc296891034"/>
      <w:bookmarkStart w:id="557" w:name="_Toc296891246"/>
      <w:bookmarkStart w:id="558" w:name="_Toc300935003"/>
      <w:bookmarkStart w:id="559" w:name="_Toc297123553"/>
      <w:bookmarkStart w:id="560" w:name="_Toc303539160"/>
      <w:bookmarkStart w:id="561" w:name="_Toc312678041"/>
      <w:bookmarkStart w:id="562" w:name="_Toc297216212"/>
      <w:bookmarkStart w:id="563" w:name="_Toc304295580"/>
      <w:r>
        <w:rPr>
          <w:rFonts w:hint="eastAsia" w:asciiTheme="minorEastAsia" w:hAnsiTheme="minorEastAsia" w:eastAsiaTheme="minorEastAsia" w:cstheme="minorEastAsia"/>
          <w:b/>
          <w:color w:val="000000" w:themeColor="text1"/>
          <w14:textFill>
            <w14:solidFill>
              <w14:schemeClr w14:val="tx1"/>
            </w14:solidFill>
          </w14:textFill>
        </w:rPr>
        <w:t>12.1 合</w:t>
      </w:r>
      <w:bookmarkEnd w:id="547"/>
      <w:bookmarkEnd w:id="548"/>
      <w:bookmarkEnd w:id="549"/>
      <w:r>
        <w:rPr>
          <w:rFonts w:hint="eastAsia" w:asciiTheme="minorEastAsia" w:hAnsiTheme="minorEastAsia" w:eastAsiaTheme="minorEastAsia" w:cstheme="minorEastAsia"/>
          <w:b/>
          <w:color w:val="000000" w:themeColor="text1"/>
          <w14:textFill>
            <w14:solidFill>
              <w14:schemeClr w14:val="tx1"/>
            </w14:solidFill>
          </w14:textFill>
        </w:rPr>
        <w:t>同价</w:t>
      </w:r>
      <w:bookmarkEnd w:id="550"/>
      <w:bookmarkEnd w:id="551"/>
      <w:bookmarkEnd w:id="552"/>
      <w:bookmarkEnd w:id="553"/>
      <w:bookmarkEnd w:id="554"/>
      <w:bookmarkEnd w:id="555"/>
      <w:bookmarkEnd w:id="556"/>
      <w:bookmarkEnd w:id="557"/>
      <w:r>
        <w:rPr>
          <w:rFonts w:hint="eastAsia" w:asciiTheme="minorEastAsia" w:hAnsiTheme="minorEastAsia" w:eastAsiaTheme="minorEastAsia" w:cstheme="minorEastAsia"/>
          <w:b/>
          <w:color w:val="000000" w:themeColor="text1"/>
          <w14:textFill>
            <w14:solidFill>
              <w14:schemeClr w14:val="tx1"/>
            </w14:solidFill>
          </w14:textFill>
        </w:rPr>
        <w:t>格形式：</w:t>
      </w:r>
      <w:bookmarkEnd w:id="558"/>
      <w:bookmarkEnd w:id="559"/>
      <w:bookmarkEnd w:id="560"/>
      <w:bookmarkEnd w:id="561"/>
      <w:bookmarkEnd w:id="562"/>
      <w:bookmarkEnd w:id="563"/>
      <w:r>
        <w:rPr>
          <w:rFonts w:hint="eastAsia" w:asciiTheme="minorEastAsia" w:hAnsiTheme="minorEastAsia" w:eastAsiaTheme="minorEastAsia" w:cstheme="minorEastAsia"/>
          <w:b/>
          <w:color w:val="000000" w:themeColor="text1"/>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1、单价合同。</w:t>
      </w:r>
    </w:p>
    <w:p>
      <w:pPr>
        <w:spacing w:line="360" w:lineRule="auto"/>
        <w:ind w:firstLine="480" w:firstLineChars="200"/>
        <w:jc w:val="left"/>
        <w:rPr>
          <w:rFonts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 xml:space="preserve">综合单价包含的风险范围： </w:t>
      </w:r>
      <w:r>
        <w:rPr>
          <w:rFonts w:hint="eastAsia" w:asciiTheme="minorEastAsia" w:hAnsiTheme="minorEastAsia" w:eastAsiaTheme="minorEastAsia" w:cstheme="minorEastAsia"/>
          <w:kern w:val="0"/>
          <w:sz w:val="24"/>
          <w:u w:val="single"/>
        </w:rPr>
        <w:t xml:space="preserve">   / 。</w:t>
      </w:r>
    </w:p>
    <w:p>
      <w:pPr>
        <w:spacing w:line="360" w:lineRule="auto"/>
        <w:ind w:firstLine="480" w:firstLineChars="200"/>
        <w:jc w:val="left"/>
        <w:rPr>
          <w:rFonts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风险费用的计算方法：</w:t>
      </w:r>
      <w:r>
        <w:rPr>
          <w:rFonts w:hint="eastAsia" w:asciiTheme="minorEastAsia" w:hAnsiTheme="minorEastAsia" w:eastAsiaTheme="minorEastAsia" w:cstheme="minorEastAsia"/>
          <w:kern w:val="0"/>
          <w:sz w:val="24"/>
          <w:u w:val="single"/>
        </w:rPr>
        <w:t xml:space="preserve">    /  。</w:t>
      </w:r>
    </w:p>
    <w:p>
      <w:pPr>
        <w:spacing w:line="360" w:lineRule="auto"/>
        <w:ind w:firstLine="480" w:firstLineChars="200"/>
        <w:jc w:val="left"/>
        <w:rPr>
          <w:rFonts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 xml:space="preserve">风险范围以外合同价格的调整方法：  </w:t>
      </w:r>
      <w:r>
        <w:rPr>
          <w:rFonts w:hint="eastAsia" w:asciiTheme="minorEastAsia" w:hAnsiTheme="minorEastAsia" w:eastAsiaTheme="minorEastAsia" w:cstheme="minorEastAsia"/>
          <w:kern w:val="0"/>
          <w:sz w:val="24"/>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2、总价合同。</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总价包含的风险范围：</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风险费用的计算方法：</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风险范围以外合同价格的调整方法：</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bookmarkEnd w:id="541"/>
    <w:bookmarkEnd w:id="542"/>
    <w:bookmarkEnd w:id="543"/>
    <w:bookmarkEnd w:id="544"/>
    <w:bookmarkEnd w:id="545"/>
    <w:bookmarkEnd w:id="546"/>
    <w:p>
      <w:pPr>
        <w:pStyle w:val="28"/>
        <w:spacing w:line="360" w:lineRule="auto"/>
        <w:ind w:right="0"/>
        <w:rPr>
          <w:rFonts w:asciiTheme="minorEastAsia" w:hAnsiTheme="minorEastAsia" w:eastAsiaTheme="minorEastAsia" w:cstheme="minorEastAsia"/>
          <w:b/>
        </w:rPr>
      </w:pPr>
      <w:bookmarkStart w:id="564" w:name="_Toc303539161"/>
      <w:bookmarkStart w:id="565" w:name="_Toc297216213"/>
      <w:bookmarkStart w:id="566" w:name="_Toc304295581"/>
      <w:bookmarkStart w:id="567" w:name="_Toc297123554"/>
      <w:bookmarkStart w:id="568" w:name="_Toc312678042"/>
      <w:bookmarkStart w:id="569" w:name="_Toc300935004"/>
      <w:bookmarkStart w:id="570" w:name="_Toc296891247"/>
      <w:bookmarkStart w:id="571" w:name="_Toc292559917"/>
      <w:bookmarkStart w:id="572" w:name="_Toc297048393"/>
      <w:bookmarkStart w:id="573" w:name="_Toc296346708"/>
      <w:bookmarkStart w:id="574" w:name="_Toc297120507"/>
      <w:bookmarkStart w:id="575" w:name="_Toc296347206"/>
      <w:bookmarkStart w:id="576" w:name="_Toc296503207"/>
      <w:bookmarkStart w:id="577" w:name="_Toc296944546"/>
      <w:bookmarkStart w:id="578" w:name="_Toc296891035"/>
      <w:bookmarkStart w:id="579" w:name="_Toc292559412"/>
      <w:r>
        <w:rPr>
          <w:rFonts w:hint="eastAsia" w:asciiTheme="minorEastAsia" w:hAnsiTheme="minorEastAsia" w:eastAsiaTheme="minorEastAsia" w:cstheme="minorEastAsia"/>
          <w:b/>
        </w:rPr>
        <w:t>12.2 预付款</w:t>
      </w:r>
    </w:p>
    <w:bookmarkEnd w:id="564"/>
    <w:bookmarkEnd w:id="565"/>
    <w:bookmarkEnd w:id="566"/>
    <w:bookmarkEnd w:id="567"/>
    <w:bookmarkEnd w:id="568"/>
    <w:bookmarkEnd w:id="569"/>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12.2.1 预付款的支付</w:t>
      </w:r>
    </w:p>
    <w:p>
      <w:pPr>
        <w:pStyle w:val="28"/>
        <w:spacing w:line="360" w:lineRule="auto"/>
        <w:ind w:right="0"/>
        <w:rPr>
          <w:rFonts w:hint="eastAsia" w:asciiTheme="minorEastAsia" w:hAnsiTheme="minorEastAsia" w:eastAsiaTheme="minorEastAsia" w:cstheme="minorEastAsia"/>
        </w:rPr>
      </w:pPr>
      <w:r>
        <w:rPr>
          <w:rFonts w:hint="eastAsia" w:asciiTheme="minorEastAsia" w:hAnsiTheme="minorEastAsia" w:eastAsiaTheme="minorEastAsia" w:cstheme="minorEastAsia"/>
          <w:highlight w:val="yellow"/>
        </w:rPr>
        <w:t>预付款支付比例或金额：</w:t>
      </w:r>
      <w:r>
        <w:rPr>
          <w:rFonts w:hint="eastAsia" w:asciiTheme="minorEastAsia" w:hAnsiTheme="minorEastAsia" w:eastAsiaTheme="minorEastAsia" w:cstheme="minorEastAsia"/>
          <w:highlight w:val="yellow"/>
          <w:u w:val="single"/>
        </w:rPr>
        <w:t xml:space="preserve">    /  </w:t>
      </w:r>
      <w:r>
        <w:rPr>
          <w:rFonts w:hint="eastAsia" w:asciiTheme="minorEastAsia" w:hAnsiTheme="minorEastAsia" w:eastAsiaTheme="minorEastAsia" w:cstheme="minorEastAsia"/>
          <w:highlight w:val="yellow"/>
        </w:rPr>
        <w:t xml:space="preserve"> %</w:t>
      </w:r>
      <w:r>
        <w:rPr>
          <w:rFonts w:hint="eastAsia" w:asciiTheme="minorEastAsia" w:hAnsiTheme="minorEastAsia" w:eastAsiaTheme="minorEastAsia" w:cstheme="minorEastAsia"/>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预付款支付期限：</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预付款扣回的方式：</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12.2.2 预付款担保</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承包人提交预付款担保的期限：</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预付款担保的形式为：</w:t>
      </w:r>
      <w:r>
        <w:rPr>
          <w:rFonts w:hint="eastAsia" w:asciiTheme="minorEastAsia" w:hAnsiTheme="minorEastAsia" w:eastAsiaTheme="minorEastAsia" w:cstheme="minorEastAsia"/>
          <w:u w:val="single"/>
        </w:rPr>
        <w:t xml:space="preserve">                 /            </w:t>
      </w:r>
    </w:p>
    <w:bookmarkEnd w:id="570"/>
    <w:bookmarkEnd w:id="571"/>
    <w:bookmarkEnd w:id="572"/>
    <w:bookmarkEnd w:id="573"/>
    <w:bookmarkEnd w:id="574"/>
    <w:bookmarkEnd w:id="575"/>
    <w:bookmarkEnd w:id="576"/>
    <w:bookmarkEnd w:id="577"/>
    <w:bookmarkEnd w:id="578"/>
    <w:bookmarkEnd w:id="579"/>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12.3 计量</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12.3.1 计量原则</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工程量计算规则：</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12.3.2 计量周期</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关于计量周期的约定：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12.3.3 单价合同的计量</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关于单价合同计量的约定：</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12.3.4 总价合同的计量</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关于总价合同计量的约定：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12.3.5总价合同采用支付分解表计量支付的，是否适用第12.3.4 项〔总价合同的计量〕约定进行计量：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12.3.6 其他价格形式合同的计量</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其他价格形式的计量方式和程序：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12.4 工程进度款支付</w:t>
      </w:r>
    </w:p>
    <w:p>
      <w:pPr>
        <w:pStyle w:val="28"/>
        <w:spacing w:line="360" w:lineRule="auto"/>
        <w:ind w:right="0"/>
        <w:rPr>
          <w:rFonts w:asciiTheme="minorEastAsia" w:hAnsiTheme="minorEastAsia" w:eastAsiaTheme="minorEastAsia" w:cstheme="minorEastAsia"/>
        </w:rPr>
      </w:pPr>
      <w:bookmarkStart w:id="580" w:name="_Toc296944550"/>
      <w:bookmarkStart w:id="581" w:name="_Toc303539163"/>
      <w:bookmarkStart w:id="582" w:name="_Toc292559921"/>
      <w:bookmarkStart w:id="583" w:name="_Toc296503211"/>
      <w:bookmarkStart w:id="584" w:name="_Toc292559416"/>
      <w:bookmarkStart w:id="585" w:name="_Toc297216215"/>
      <w:bookmarkStart w:id="586" w:name="_Toc296891251"/>
      <w:bookmarkStart w:id="587" w:name="_Toc296891039"/>
      <w:bookmarkStart w:id="588" w:name="_Toc296346712"/>
      <w:bookmarkStart w:id="589" w:name="_Toc300935006"/>
      <w:bookmarkStart w:id="590" w:name="_Toc297120511"/>
      <w:bookmarkStart w:id="591" w:name="_Toc297048397"/>
      <w:bookmarkStart w:id="592" w:name="_Toc297123556"/>
      <w:bookmarkStart w:id="593" w:name="_Toc296347210"/>
      <w:r>
        <w:rPr>
          <w:rFonts w:hint="eastAsia" w:asciiTheme="minorEastAsia" w:hAnsiTheme="minorEastAsia" w:eastAsiaTheme="minorEastAsia" w:cstheme="minorEastAsia"/>
        </w:rPr>
        <w:t>12.4.1 付款周期</w:t>
      </w:r>
    </w:p>
    <w:p>
      <w:pPr>
        <w:pStyle w:val="28"/>
        <w:spacing w:line="360" w:lineRule="auto"/>
        <w:ind w:left="0" w:right="0" w:firstLine="360" w:firstLineChars="150"/>
        <w:rPr>
          <w:rFonts w:asciiTheme="minorEastAsia" w:hAnsiTheme="minorEastAsia" w:eastAsiaTheme="minorEastAsia" w:cstheme="minorEastAsia"/>
          <w:color w:val="0000FF"/>
          <w:highlight w:val="yellow"/>
        </w:rPr>
      </w:pPr>
      <w:r>
        <w:rPr>
          <w:rFonts w:hint="eastAsia" w:asciiTheme="minorEastAsia" w:hAnsiTheme="minorEastAsia" w:eastAsiaTheme="minorEastAsia" w:cstheme="minorEastAsia"/>
          <w:highlight w:val="yellow"/>
        </w:rPr>
        <w:t>关于付款周期的约定：</w:t>
      </w:r>
      <w:r>
        <w:rPr>
          <w:rFonts w:hint="eastAsia" w:asciiTheme="minorEastAsia" w:hAnsiTheme="minorEastAsia" w:eastAsiaTheme="minorEastAsia" w:cstheme="minorEastAsia"/>
          <w:highlight w:val="yellow"/>
          <w:u w:val="single"/>
          <w:lang w:eastAsia="zh-CN"/>
        </w:rPr>
        <w:t>以双方签订合同约定为准</w:t>
      </w:r>
      <w:r>
        <w:rPr>
          <w:rFonts w:hint="eastAsia" w:asciiTheme="minorEastAsia" w:hAnsiTheme="minorEastAsia" w:eastAsiaTheme="minorEastAsia" w:cstheme="minorEastAsia"/>
          <w:color w:val="0000FF"/>
          <w:highlight w:val="yellow"/>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12.4.2 进度付款申请单的编制</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关于进度付款申请单编制的约定：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r>
        <w:rPr>
          <w:rFonts w:hint="eastAsia" w:asciiTheme="minorEastAsia" w:hAnsiTheme="minorEastAsia" w:eastAsiaTheme="minorEastAsia" w:cstheme="minorEastAsia"/>
        </w:rPr>
        <w:t>2.4.3 进度付款申请单的提交</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（1）单价合同进度付款申请单提交的约定：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（2）总价合同进度付款申请单提交的约定：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（3）其他价格形式合同进度付款申请单提交的约定：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12.4.4 进度款审核和支付</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（1）监理人审查并报送发包人的期限：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发包人完成审批并签发进度款支付证书的期限：</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8"/>
        <w:spacing w:line="360" w:lineRule="auto"/>
        <w:ind w:left="0" w:right="0" w:firstLine="360" w:firstLineChars="150"/>
        <w:rPr>
          <w:rFonts w:asciiTheme="minorEastAsia" w:hAnsiTheme="minorEastAsia" w:eastAsiaTheme="minorEastAsia" w:cstheme="minorEastAsia"/>
          <w:u w:val="single"/>
        </w:rPr>
      </w:pPr>
      <w:r>
        <w:rPr>
          <w:rFonts w:hint="eastAsia" w:asciiTheme="minorEastAsia" w:hAnsiTheme="minorEastAsia" w:eastAsiaTheme="minorEastAsia" w:cstheme="minorEastAsia"/>
        </w:rPr>
        <w:t>（2）发包人支付进度款的期限：</w:t>
      </w:r>
      <w:r>
        <w:rPr>
          <w:rFonts w:hint="eastAsia" w:asciiTheme="minorEastAsia" w:hAnsiTheme="minorEastAsia" w:eastAsiaTheme="minorEastAsia" w:cstheme="minorEastAsia"/>
          <w:u w:val="single"/>
        </w:rPr>
        <w:t xml:space="preserve">                         。</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发包人逾期支付进度款的违约金的计算方式：</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12.4.6 支付分解表的编制</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2、总价合同支付分解表的编制与审批：</w:t>
      </w:r>
      <w:r>
        <w:rPr>
          <w:rFonts w:hint="eastAsia" w:asciiTheme="minorEastAsia" w:hAnsiTheme="minorEastAsia" w:eastAsiaTheme="minorEastAsia" w:cstheme="minorEastAsia"/>
          <w:u w:val="single"/>
        </w:rPr>
        <w:t xml:space="preserve">       无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3、单价合同的总价项目支付分解表的编制与审批：</w:t>
      </w:r>
      <w:r>
        <w:rPr>
          <w:rFonts w:hint="eastAsia" w:asciiTheme="minorEastAsia" w:hAnsiTheme="minorEastAsia" w:eastAsiaTheme="minorEastAsia" w:cstheme="minorEastAsia"/>
          <w:u w:val="single"/>
        </w:rPr>
        <w:t xml:space="preserve">    无     </w:t>
      </w:r>
      <w:r>
        <w:rPr>
          <w:rFonts w:hint="eastAsia" w:asciiTheme="minorEastAsia" w:hAnsiTheme="minorEastAsia" w:eastAsiaTheme="minorEastAsia" w:cstheme="minorEastAsia"/>
        </w:rPr>
        <w:t>。</w:t>
      </w:r>
    </w:p>
    <w:bookmarkEnd w:id="423"/>
    <w:p>
      <w:pPr>
        <w:pStyle w:val="28"/>
        <w:spacing w:line="360" w:lineRule="auto"/>
        <w:ind w:right="0"/>
        <w:rPr>
          <w:rFonts w:asciiTheme="minorEastAsia" w:hAnsiTheme="minorEastAsia" w:eastAsiaTheme="minorEastAsia" w:cstheme="minorEastAsia"/>
          <w:b/>
          <w:bCs/>
        </w:rPr>
      </w:pPr>
      <w:bookmarkStart w:id="594" w:name="_Toc351203645"/>
      <w:bookmarkStart w:id="595" w:name="_Toc296891259"/>
      <w:bookmarkStart w:id="596" w:name="_Toc303539172"/>
      <w:bookmarkStart w:id="597" w:name="_Toc297048405"/>
      <w:bookmarkStart w:id="598" w:name="_Toc312678053"/>
      <w:bookmarkStart w:id="599" w:name="_Toc296503219"/>
      <w:bookmarkStart w:id="600" w:name="_Toc292559929"/>
      <w:bookmarkStart w:id="601" w:name="_Toc297123564"/>
      <w:bookmarkStart w:id="602" w:name="_Toc297120519"/>
      <w:bookmarkStart w:id="603" w:name="_Toc304295593"/>
      <w:bookmarkStart w:id="604" w:name="_Toc297216223"/>
      <w:bookmarkStart w:id="605" w:name="_Toc296347218"/>
      <w:bookmarkStart w:id="606" w:name="_Toc292559424"/>
      <w:bookmarkStart w:id="607" w:name="_Toc300935015"/>
      <w:bookmarkStart w:id="608" w:name="_Toc296891047"/>
      <w:bookmarkStart w:id="609" w:name="_Toc296944558"/>
      <w:bookmarkStart w:id="610" w:name="_Toc296346720"/>
      <w:r>
        <w:rPr>
          <w:rFonts w:hint="eastAsia" w:asciiTheme="minorEastAsia" w:hAnsiTheme="minorEastAsia" w:eastAsiaTheme="minorEastAsia" w:cstheme="minorEastAsia"/>
          <w:b/>
          <w:bCs/>
        </w:rPr>
        <w:t>13. 验收和工程试车</w:t>
      </w:r>
      <w:bookmarkEnd w:id="594"/>
    </w:p>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13.1 分部分项工程验收</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13.1.2监理人不能按时进行验收时，应提前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小时提交书面延期要求。</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rPr>
        <w:t>关于延期最长不得超过：</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小时。</w:t>
      </w:r>
    </w:p>
    <w:p>
      <w:pPr>
        <w:pStyle w:val="28"/>
        <w:spacing w:line="360" w:lineRule="auto"/>
        <w:ind w:right="0"/>
        <w:rPr>
          <w:rFonts w:asciiTheme="minorEastAsia" w:hAnsiTheme="minorEastAsia" w:eastAsiaTheme="minorEastAsia" w:cstheme="minorEastAsia"/>
        </w:rPr>
      </w:pPr>
      <w:bookmarkStart w:id="611" w:name="_Toc297120523"/>
      <w:bookmarkStart w:id="612" w:name="_Toc296891051"/>
      <w:bookmarkStart w:id="613" w:name="_Toc303539173"/>
      <w:bookmarkStart w:id="614" w:name="_Toc297048409"/>
      <w:bookmarkStart w:id="615" w:name="_Toc297216224"/>
      <w:bookmarkStart w:id="616" w:name="_Toc296346724"/>
      <w:bookmarkStart w:id="617" w:name="_Toc304295596"/>
      <w:bookmarkStart w:id="618" w:name="_Toc296944562"/>
      <w:bookmarkStart w:id="619" w:name="_Toc292559933"/>
      <w:bookmarkStart w:id="620" w:name="_Toc312678056"/>
      <w:bookmarkStart w:id="621" w:name="_Toc296891263"/>
      <w:bookmarkStart w:id="622" w:name="_Toc300935016"/>
      <w:bookmarkStart w:id="623" w:name="_Toc296503223"/>
      <w:bookmarkStart w:id="624" w:name="_Toc292559428"/>
      <w:bookmarkStart w:id="625" w:name="_Toc297123565"/>
      <w:bookmarkStart w:id="626" w:name="_Toc296347222"/>
      <w:bookmarkStart w:id="627" w:name="_Toc267251473"/>
      <w:bookmarkStart w:id="628" w:name="_Toc267251476"/>
      <w:bookmarkStart w:id="629" w:name="_Toc267251475"/>
      <w:bookmarkStart w:id="630" w:name="_Toc267251470"/>
      <w:bookmarkStart w:id="631" w:name="_Toc267251474"/>
      <w:bookmarkStart w:id="632" w:name="_Toc267251471"/>
      <w:bookmarkStart w:id="633" w:name="_Toc267251472"/>
      <w:r>
        <w:rPr>
          <w:rFonts w:hint="eastAsia" w:asciiTheme="minorEastAsia" w:hAnsiTheme="minorEastAsia" w:eastAsiaTheme="minorEastAsia" w:cstheme="minorEastAsia"/>
        </w:rPr>
        <w:t>13.2 竣工验收</w:t>
      </w:r>
    </w:p>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Pr>
        <w:pStyle w:val="28"/>
        <w:spacing w:line="360" w:lineRule="auto"/>
        <w:ind w:right="0"/>
        <w:rPr>
          <w:rFonts w:asciiTheme="minorEastAsia" w:hAnsiTheme="minorEastAsia" w:eastAsiaTheme="minorEastAsia" w:cstheme="minorEastAsia"/>
        </w:rPr>
      </w:pPr>
      <w:bookmarkStart w:id="634" w:name="_Toc280868704"/>
      <w:bookmarkStart w:id="635" w:name="_Toc280868705"/>
      <w:bookmarkStart w:id="636" w:name="_Toc280868706"/>
      <w:bookmarkStart w:id="637" w:name="_Toc280868707"/>
      <w:bookmarkStart w:id="638" w:name="_Toc280868708"/>
      <w:bookmarkStart w:id="639" w:name="_Toc280868709"/>
      <w:r>
        <w:rPr>
          <w:rFonts w:hint="eastAsia" w:asciiTheme="minorEastAsia" w:hAnsiTheme="minorEastAsia" w:eastAsiaTheme="minorEastAsia" w:cstheme="minorEastAsia"/>
        </w:rPr>
        <w:t>13.2.2竣工验收程序</w:t>
      </w:r>
    </w:p>
    <w:bookmarkEnd w:id="634"/>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关于竣工验收程序的约定：</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发包人不按照本项约定组织竣工验收、颁发工程接收证书的违约金的计算方法：</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635"/>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13.2.5移交、接收全部与部分工程</w:t>
      </w:r>
    </w:p>
    <w:bookmarkEnd w:id="636"/>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承包人向发包人移交工程的期限：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发包人未按本合同约定接收全部或部分工程的，违约金的计算方法为：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637"/>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承包人未按时移交工程的，违约金的计算方法为：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13.3 工程试车</w:t>
      </w:r>
    </w:p>
    <w:bookmarkEnd w:id="638"/>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13.3.1 试车程序</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工程试车内容：</w:t>
      </w:r>
      <w:r>
        <w:rPr>
          <w:rFonts w:hint="eastAsia" w:asciiTheme="minorEastAsia" w:hAnsiTheme="minorEastAsia" w:eastAsiaTheme="minorEastAsia" w:cstheme="minorEastAsia"/>
          <w:u w:val="single"/>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（1）单机无负荷试车费用由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承担；</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（2）无负荷联动试车费用由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承担。</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13.3.3 投料试车</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关于投料试车相关事项的约定：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13.6 竣工退场</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13.6.1 竣工退场</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承包人完成竣工退场的期限：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bCs/>
        </w:rPr>
      </w:pPr>
      <w:bookmarkStart w:id="640" w:name="_Toc351203646"/>
      <w:r>
        <w:rPr>
          <w:rFonts w:hint="eastAsia" w:asciiTheme="minorEastAsia" w:hAnsiTheme="minorEastAsia" w:eastAsiaTheme="minorEastAsia" w:cstheme="minorEastAsia"/>
          <w:b/>
          <w:bCs/>
        </w:rPr>
        <w:t>14. 竣工结算</w:t>
      </w:r>
      <w:bookmarkEnd w:id="640"/>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14.1 竣工付款申请</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承包人提交竣工付款申请单的期限：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竣工付款申请单应包括的内容：</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14.2 竣工结算审核</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发包人审批竣工付款申请单的期限：</w:t>
      </w:r>
      <w:r>
        <w:rPr>
          <w:rFonts w:hint="eastAsia" w:asciiTheme="minorEastAsia" w:hAnsiTheme="minorEastAsia" w:eastAsiaTheme="minorEastAsia" w:cstheme="minorEastAsia"/>
          <w:u w:val="single"/>
        </w:rPr>
        <w:t>执行通用条款。</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发包人完成竣工付款的期限：</w:t>
      </w:r>
      <w:r>
        <w:rPr>
          <w:rFonts w:hint="eastAsia" w:asciiTheme="minorEastAsia" w:hAnsiTheme="minorEastAsia" w:eastAsiaTheme="minorEastAsia" w:cstheme="minorEastAsia"/>
          <w:u w:val="single"/>
        </w:rPr>
        <w:t>执行通用条款</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关于竣工付款证书异议部分复核的方式和程序：</w:t>
      </w:r>
      <w:r>
        <w:rPr>
          <w:rFonts w:hint="eastAsia" w:asciiTheme="minorEastAsia" w:hAnsiTheme="minorEastAsia" w:eastAsiaTheme="minorEastAsia" w:cstheme="minorEastAsia"/>
          <w:u w:val="single"/>
        </w:rPr>
        <w:t>执行通用条款。</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14.4 最终结清</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14.4.1 最终结清申请单</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承包人提交最终结清申请单的份数：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承包人提交最终结算申请单的期限：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14.4.2 最终结清证书和支付</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（1）发包人完成最终结清申请单的审批并颁发最终结清证书的期限：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（2）发包人完成支付的期限：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627"/>
    <w:bookmarkEnd w:id="628"/>
    <w:bookmarkEnd w:id="629"/>
    <w:bookmarkEnd w:id="630"/>
    <w:bookmarkEnd w:id="631"/>
    <w:bookmarkEnd w:id="632"/>
    <w:bookmarkEnd w:id="633"/>
    <w:bookmarkEnd w:id="639"/>
    <w:p>
      <w:pPr>
        <w:pStyle w:val="28"/>
        <w:spacing w:line="360" w:lineRule="auto"/>
        <w:ind w:right="0"/>
        <w:rPr>
          <w:rFonts w:asciiTheme="minorEastAsia" w:hAnsiTheme="minorEastAsia" w:eastAsiaTheme="minorEastAsia" w:cstheme="minorEastAsia"/>
          <w:b/>
          <w:bCs/>
        </w:rPr>
      </w:pPr>
      <w:bookmarkStart w:id="641" w:name="_Toc351203647"/>
      <w:bookmarkStart w:id="642" w:name="_Toc267251483"/>
      <w:bookmarkStart w:id="643" w:name="_Toc267251482"/>
      <w:bookmarkStart w:id="644" w:name="_Toc267251484"/>
      <w:bookmarkStart w:id="645" w:name="_Toc267251488"/>
      <w:bookmarkStart w:id="646" w:name="_Toc267251490"/>
      <w:bookmarkStart w:id="647" w:name="_Toc267251486"/>
      <w:bookmarkStart w:id="648" w:name="_Toc267251489"/>
      <w:bookmarkStart w:id="649" w:name="_Toc267251485"/>
      <w:bookmarkStart w:id="650" w:name="_Toc267251497"/>
      <w:bookmarkStart w:id="651" w:name="_Toc267251491"/>
      <w:bookmarkStart w:id="652" w:name="_Toc267251492"/>
      <w:bookmarkStart w:id="653" w:name="_Toc267251503"/>
      <w:bookmarkStart w:id="654" w:name="_Toc267251498"/>
      <w:bookmarkStart w:id="655" w:name="_Toc267251496"/>
      <w:bookmarkStart w:id="656" w:name="_Toc267251493"/>
      <w:bookmarkStart w:id="657" w:name="_Toc267251501"/>
      <w:bookmarkStart w:id="658" w:name="_Toc267251499"/>
      <w:bookmarkStart w:id="659" w:name="_Toc267251502"/>
      <w:bookmarkStart w:id="660" w:name="_Toc267251495"/>
      <w:bookmarkStart w:id="661" w:name="_Toc267251494"/>
      <w:bookmarkStart w:id="662" w:name="_Toc267251506"/>
      <w:bookmarkStart w:id="663" w:name="_Toc267251504"/>
      <w:bookmarkStart w:id="664" w:name="_Toc267251507"/>
      <w:bookmarkStart w:id="665" w:name="_Toc267251508"/>
      <w:bookmarkStart w:id="666" w:name="_Toc267251510"/>
      <w:bookmarkStart w:id="667" w:name="_Toc267251515"/>
      <w:bookmarkStart w:id="668" w:name="_Toc267251514"/>
      <w:bookmarkStart w:id="669" w:name="_Toc267251511"/>
      <w:bookmarkStart w:id="670" w:name="_Toc267251513"/>
      <w:bookmarkStart w:id="671" w:name="_Toc267251509"/>
      <w:r>
        <w:rPr>
          <w:rFonts w:hint="eastAsia" w:asciiTheme="minorEastAsia" w:hAnsiTheme="minorEastAsia" w:eastAsiaTheme="minorEastAsia" w:cstheme="minorEastAsia"/>
          <w:b/>
          <w:bCs/>
        </w:rPr>
        <w:t>15. 缺陷责任期与保修</w:t>
      </w:r>
      <w:bookmarkEnd w:id="641"/>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15.2缺陷责任期</w:t>
      </w:r>
      <w:bookmarkEnd w:id="642"/>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缺陷责任期的具体期限：</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b/>
          <w:u w:val="single"/>
        </w:rPr>
      </w:pPr>
      <w:r>
        <w:rPr>
          <w:rFonts w:hint="eastAsia" w:asciiTheme="minorEastAsia" w:hAnsiTheme="minorEastAsia" w:eastAsiaTheme="minorEastAsia" w:cstheme="minorEastAsia"/>
          <w:b/>
        </w:rPr>
        <w:t>15.3 质量保证金</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关于是否扣留质量保证金的约定：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15.3.1 承包人提供质量保证金的方式</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质量保证金采用以下第</w:t>
      </w:r>
      <w:r>
        <w:rPr>
          <w:rFonts w:hint="eastAsia" w:asciiTheme="minorEastAsia" w:hAnsiTheme="minorEastAsia" w:eastAsiaTheme="minorEastAsia" w:cstheme="minorEastAsia"/>
          <w:u w:val="single"/>
        </w:rPr>
        <w:t xml:space="preserve">3  </w:t>
      </w:r>
      <w:r>
        <w:rPr>
          <w:rFonts w:hint="eastAsia" w:asciiTheme="minorEastAsia" w:hAnsiTheme="minorEastAsia" w:eastAsiaTheme="minorEastAsia" w:cstheme="minorEastAsia"/>
        </w:rPr>
        <w:t>种方式：</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（1）质量保证金保函，保证金额为：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的工程款；</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（3）其他方式: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15.3.2 质量保证金的扣留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质量保证金的扣留采取以下第</w:t>
      </w:r>
      <w:r>
        <w:rPr>
          <w:rFonts w:hint="eastAsia" w:asciiTheme="minorEastAsia" w:hAnsiTheme="minorEastAsia" w:eastAsiaTheme="minorEastAsia" w:cstheme="minorEastAsia"/>
          <w:u w:val="single"/>
        </w:rPr>
        <w:t xml:space="preserve"> 2 </w:t>
      </w:r>
      <w:r>
        <w:rPr>
          <w:rFonts w:hint="eastAsia" w:asciiTheme="minorEastAsia" w:hAnsiTheme="minorEastAsia" w:eastAsiaTheme="minorEastAsia" w:cstheme="minorEastAsia"/>
        </w:rPr>
        <w:t>种方式：</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（1）在支付工程进度款时逐次扣留，在此情形下，质量保证金的计算基数不包括预付款的支付、扣回以及价格调整的金额；</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（2）工程竣工结算时一次性扣留质量保证金；</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（3）其他扣留方式: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rPr>
        <w:t>关于质量保证金的补充约定：</w:t>
      </w:r>
      <w:r>
        <w:rPr>
          <w:rFonts w:hint="eastAsia" w:asciiTheme="minorEastAsia" w:hAnsiTheme="minorEastAsia" w:eastAsiaTheme="minorEastAsia" w:cstheme="minorEastAsia"/>
          <w:u w:val="single"/>
        </w:rPr>
        <w:t xml:space="preserve">  </w:t>
      </w:r>
      <w:bookmarkEnd w:id="643"/>
      <w:bookmarkEnd w:id="644"/>
      <w:r>
        <w:rPr>
          <w:rFonts w:hint="eastAsia" w:asciiTheme="minorEastAsia" w:hAnsiTheme="minorEastAsia" w:eastAsiaTheme="minorEastAsia" w:cstheme="minorEastAsia"/>
          <w:u w:val="single"/>
        </w:rPr>
        <w:t xml:space="preserve">     。</w:t>
      </w:r>
    </w:p>
    <w:bookmarkEnd w:id="645"/>
    <w:bookmarkEnd w:id="646"/>
    <w:bookmarkEnd w:id="647"/>
    <w:bookmarkEnd w:id="648"/>
    <w:bookmarkEnd w:id="649"/>
    <w:p>
      <w:pPr>
        <w:pStyle w:val="28"/>
        <w:spacing w:line="360" w:lineRule="auto"/>
        <w:ind w:right="0"/>
        <w:rPr>
          <w:rFonts w:hint="eastAsia" w:asciiTheme="minorEastAsia" w:hAnsiTheme="minorEastAsia" w:eastAsiaTheme="minorEastAsia" w:cstheme="minorEastAsia"/>
          <w:b/>
          <w:bCs/>
        </w:rPr>
      </w:pPr>
      <w:bookmarkStart w:id="672" w:name="_Toc351203648"/>
      <w:bookmarkStart w:id="673" w:name="_Toc280868717"/>
      <w:bookmarkStart w:id="674" w:name="_Toc280868718"/>
    </w:p>
    <w:p>
      <w:pPr>
        <w:pStyle w:val="28"/>
        <w:spacing w:line="360" w:lineRule="auto"/>
        <w:ind w:right="0"/>
        <w:rPr>
          <w:rFonts w:asciiTheme="minorEastAsia" w:hAnsiTheme="minorEastAsia" w:eastAsiaTheme="minorEastAsia" w:cstheme="minorEastAsia"/>
          <w:b/>
          <w:bCs/>
        </w:rPr>
      </w:pPr>
      <w:r>
        <w:rPr>
          <w:rFonts w:hint="eastAsia" w:asciiTheme="minorEastAsia" w:hAnsiTheme="minorEastAsia" w:eastAsiaTheme="minorEastAsia" w:cstheme="minorEastAsia"/>
          <w:b/>
          <w:bCs/>
        </w:rPr>
        <w:t>16. 违约</w:t>
      </w:r>
      <w:bookmarkEnd w:id="672"/>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16.1 发包人违约</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16.1.1发包人违约的情形</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发包人违约的其他情形：</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left="0"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16.1.2 发包人违约的责任</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发包人违约责任的承担方式和计算方法：</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（1）因发包人原因未能在计划开工日期前7天内下达开工通知的违约责任：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（2）因发包人原因未能按合同约定支付合同价款的违约责任：</w:t>
      </w:r>
      <w:r>
        <w:rPr>
          <w:rFonts w:hint="eastAsia" w:asciiTheme="minorEastAsia" w:hAnsiTheme="minorEastAsia" w:eastAsiaTheme="minorEastAsia" w:cstheme="minorEastAsia"/>
          <w:u w:val="single"/>
        </w:rPr>
        <w:t xml:space="preserve">         。</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（3）发包人违反第10.1款〔变更的范围〕第（2）项约定，自行实施被取消的工作或转由他人实施的违约责任：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（5）因发包人违反合同约定造成暂停施工的违约责任：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（6）发包人无正当理由没有在约定期限内发出复工指示，导致承包人无法复工的违约责任：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（7）其他：</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16.1.3 因发包人违约解除合同</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承包人按16.1.1项〔发包人违约的情形〕约定暂停施工满</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天后发包人仍不纠正其违约行为并致使合同目的不能实现的，承包人有权解除合同。</w:t>
      </w:r>
    </w:p>
    <w:p>
      <w:pPr>
        <w:pStyle w:val="28"/>
        <w:spacing w:line="360" w:lineRule="auto"/>
        <w:ind w:right="0"/>
        <w:rPr>
          <w:rFonts w:hint="eastAsia" w:asciiTheme="minorEastAsia" w:hAnsiTheme="minorEastAsia" w:eastAsiaTheme="minorEastAsia" w:cstheme="minorEastAsia"/>
          <w:b/>
        </w:rPr>
      </w:pP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16.2 承包人违约</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16.2.1 承包人违约的情形</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承包人违约的其他情形：</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16.2.2承包人违约的责任</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承包人违约责任的承担方式和计算方法：</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16.2.3 因承包人违约解除合同</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关于承包人违约解除合同的特别约定：</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bCs/>
        </w:rPr>
      </w:pPr>
      <w:bookmarkStart w:id="675" w:name="_Toc351203649"/>
      <w:r>
        <w:rPr>
          <w:rFonts w:hint="eastAsia" w:asciiTheme="minorEastAsia" w:hAnsiTheme="minorEastAsia" w:eastAsiaTheme="minorEastAsia" w:cstheme="minorEastAsia"/>
          <w:b/>
          <w:bCs/>
        </w:rPr>
        <w:t>17. 不可抗力</w:t>
      </w:r>
      <w:bookmarkEnd w:id="675"/>
      <w:r>
        <w:rPr>
          <w:rFonts w:hint="eastAsia" w:asciiTheme="minorEastAsia" w:hAnsiTheme="minorEastAsia" w:eastAsiaTheme="minorEastAsia" w:cstheme="minorEastAsia"/>
          <w:b/>
          <w:bCs/>
        </w:rPr>
        <w:t xml:space="preserve"> </w:t>
      </w:r>
      <w:bookmarkEnd w:id="673"/>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17.1 不可抗力的确认</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 xml:space="preserve">除通用合同条款约定的不可抗力事件之外，视为不可抗力的其他情形：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17.4 因不可抗力解除合同</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合同解除后，发包人应在商定或确定发包人应支付款项后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天内完成款项的支付。</w:t>
      </w:r>
    </w:p>
    <w:p>
      <w:pPr>
        <w:pStyle w:val="28"/>
        <w:spacing w:line="360" w:lineRule="auto"/>
        <w:ind w:right="0"/>
        <w:rPr>
          <w:rFonts w:asciiTheme="minorEastAsia" w:hAnsiTheme="minorEastAsia" w:eastAsiaTheme="minorEastAsia" w:cstheme="minorEastAsia"/>
          <w:b/>
          <w:bCs/>
        </w:rPr>
      </w:pPr>
      <w:bookmarkStart w:id="676" w:name="_Toc351203650"/>
      <w:r>
        <w:rPr>
          <w:rFonts w:hint="eastAsia" w:asciiTheme="minorEastAsia" w:hAnsiTheme="minorEastAsia" w:eastAsiaTheme="minorEastAsia" w:cstheme="minorEastAsia"/>
          <w:b/>
          <w:bCs/>
        </w:rPr>
        <w:t>18. 保险</w:t>
      </w:r>
      <w:bookmarkEnd w:id="676"/>
    </w:p>
    <w:bookmarkEnd w:id="674"/>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18.1 工程保险</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关于工程保险的特别约定：</w:t>
      </w:r>
      <w:r>
        <w:rPr>
          <w:rFonts w:hint="eastAsia" w:asciiTheme="minorEastAsia" w:hAnsiTheme="minorEastAsia" w:eastAsiaTheme="minorEastAsia" w:cstheme="minorEastAsia"/>
          <w:u w:val="single"/>
        </w:rPr>
        <w:t xml:space="preserve">                                 。</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18.3 其他保险</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关于其他保险的约定：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承包人是否应为其施工设备等办理财产保险：</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18.7 通知义务</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关于变更保险合同时的通知义务的约定：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650"/>
    <w:bookmarkEnd w:id="651"/>
    <w:bookmarkEnd w:id="652"/>
    <w:bookmarkEnd w:id="653"/>
    <w:bookmarkEnd w:id="654"/>
    <w:bookmarkEnd w:id="655"/>
    <w:bookmarkEnd w:id="656"/>
    <w:bookmarkEnd w:id="657"/>
    <w:bookmarkEnd w:id="658"/>
    <w:bookmarkEnd w:id="659"/>
    <w:bookmarkEnd w:id="660"/>
    <w:bookmarkEnd w:id="661"/>
    <w:p>
      <w:pPr>
        <w:pStyle w:val="28"/>
        <w:spacing w:line="360" w:lineRule="auto"/>
        <w:ind w:right="0"/>
        <w:rPr>
          <w:rFonts w:asciiTheme="minorEastAsia" w:hAnsiTheme="minorEastAsia" w:eastAsiaTheme="minorEastAsia" w:cstheme="minorEastAsia"/>
          <w:b/>
          <w:bCs/>
        </w:rPr>
      </w:pPr>
      <w:bookmarkStart w:id="677" w:name="_Toc351203651"/>
      <w:r>
        <w:rPr>
          <w:rFonts w:hint="eastAsia" w:asciiTheme="minorEastAsia" w:hAnsiTheme="minorEastAsia" w:eastAsiaTheme="minorEastAsia" w:cstheme="minorEastAsia"/>
          <w:b/>
          <w:bCs/>
        </w:rPr>
        <w:t>20. 争议解决</w:t>
      </w:r>
      <w:bookmarkEnd w:id="677"/>
    </w:p>
    <w:bookmarkEnd w:id="662"/>
    <w:bookmarkEnd w:id="663"/>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20.3 争</w:t>
      </w:r>
      <w:bookmarkEnd w:id="664"/>
      <w:r>
        <w:rPr>
          <w:rFonts w:hint="eastAsia" w:asciiTheme="minorEastAsia" w:hAnsiTheme="minorEastAsia" w:eastAsiaTheme="minorEastAsia" w:cstheme="minorEastAsia"/>
          <w:b/>
        </w:rPr>
        <w:t>议评审</w:t>
      </w:r>
    </w:p>
    <w:p>
      <w:pPr>
        <w:pStyle w:val="28"/>
        <w:spacing w:line="360" w:lineRule="auto"/>
        <w:ind w:left="0"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合同当事人是否同意将工程争议提交争议评审小组决定：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20.3.1 争议评审小组的确定</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争议评审小组成员的确定：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选定争议评审员的期限：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争议评审小组成员的报酬承担方式：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其他事项的约定：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20.3.2 争议评审小组的决定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合同当事人关于本项的约定：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20.4仲裁或诉讼</w:t>
      </w:r>
      <w:bookmarkEnd w:id="665"/>
    </w:p>
    <w:bookmarkEnd w:id="666"/>
    <w:bookmarkEnd w:id="667"/>
    <w:bookmarkEnd w:id="668"/>
    <w:bookmarkEnd w:id="669"/>
    <w:bookmarkEnd w:id="670"/>
    <w:bookmarkEnd w:id="671"/>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因合同及合同有关事项发生的争议，按下列第</w:t>
      </w:r>
      <w:r>
        <w:rPr>
          <w:rFonts w:hint="eastAsia" w:asciiTheme="minorEastAsia" w:hAnsiTheme="minorEastAsia" w:eastAsiaTheme="minorEastAsia" w:cstheme="minorEastAsia"/>
          <w:u w:val="single"/>
        </w:rPr>
        <w:t xml:space="preserve"> 2 </w:t>
      </w:r>
      <w:r>
        <w:rPr>
          <w:rFonts w:hint="eastAsia" w:asciiTheme="minorEastAsia" w:hAnsiTheme="minorEastAsia" w:eastAsiaTheme="minorEastAsia" w:cstheme="minorEastAsia"/>
        </w:rPr>
        <w:t>种方式解决：</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第一种解决方式：双方达成仲裁协议，向</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仲裁委员会申请仲裁；</w:t>
      </w:r>
    </w:p>
    <w:p>
      <w:pPr>
        <w:pStyle w:val="28"/>
        <w:spacing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第二种解决方式：向</w:t>
      </w:r>
      <w:r>
        <w:rPr>
          <w:rFonts w:hint="eastAsia" w:asciiTheme="minorEastAsia" w:hAnsiTheme="minorEastAsia" w:eastAsiaTheme="minorEastAsia" w:cstheme="minorEastAsia"/>
          <w:u w:val="single"/>
        </w:rPr>
        <w:t>工程项目建设地</w:t>
      </w:r>
      <w:r>
        <w:rPr>
          <w:rFonts w:hint="eastAsia" w:asciiTheme="minorEastAsia" w:hAnsiTheme="minorEastAsia" w:eastAsiaTheme="minorEastAsia" w:cstheme="minorEastAsia"/>
        </w:rPr>
        <w:t>人民法院起诉。</w:t>
      </w:r>
    </w:p>
    <w:p>
      <w:pPr>
        <w:pStyle w:val="28"/>
        <w:spacing w:line="360" w:lineRule="auto"/>
        <w:ind w:left="0" w:right="0" w:firstLine="482"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21、补充条款 </w:t>
      </w:r>
    </w:p>
    <w:p>
      <w:pPr>
        <w:pStyle w:val="28"/>
        <w:spacing w:line="360" w:lineRule="auto"/>
        <w:ind w:left="0" w:right="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 xml:space="preserve">    无   </w:t>
      </w:r>
    </w:p>
    <w:p>
      <w:pPr>
        <w:spacing w:line="360" w:lineRule="auto"/>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rPr>
      </w:pPr>
    </w:p>
    <w:p>
      <w:pPr>
        <w:pStyle w:val="28"/>
        <w:spacing w:line="360" w:lineRule="auto"/>
        <w:ind w:left="0" w:right="720" w:firstLine="282" w:firstLineChars="101"/>
        <w:rPr>
          <w:rFonts w:asciiTheme="minorEastAsia" w:hAnsiTheme="minorEastAsia" w:eastAsiaTheme="minorEastAsia" w:cstheme="minorEastAsia"/>
          <w:sz w:val="28"/>
        </w:rPr>
      </w:pPr>
      <w:r>
        <w:rPr>
          <w:rFonts w:hint="eastAsia" w:asciiTheme="minorEastAsia" w:hAnsiTheme="minorEastAsia" w:eastAsiaTheme="minorEastAsia" w:cstheme="minorEastAsia"/>
          <w:sz w:val="28"/>
        </w:rPr>
        <w:t>附件1：</w:t>
      </w:r>
    </w:p>
    <w:p>
      <w:pPr>
        <w:pStyle w:val="28"/>
        <w:spacing w:line="360" w:lineRule="auto"/>
        <w:ind w:left="0" w:right="72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工  程  质  量  保  修  书</w:t>
      </w:r>
    </w:p>
    <w:p>
      <w:pPr>
        <w:pStyle w:val="28"/>
        <w:spacing w:line="360" w:lineRule="auto"/>
        <w:ind w:left="0" w:right="720" w:firstLine="480" w:firstLineChars="200"/>
        <w:rPr>
          <w:rFonts w:asciiTheme="minorEastAsia" w:hAnsiTheme="minorEastAsia" w:eastAsiaTheme="minorEastAsia" w:cstheme="minorEastAsia"/>
        </w:rPr>
      </w:pPr>
    </w:p>
    <w:p>
      <w:pPr>
        <w:pStyle w:val="29"/>
        <w:spacing w:line="360" w:lineRule="auto"/>
        <w:ind w:left="420" w:leftChars="200" w:right="720"/>
        <w:rPr>
          <w:rFonts w:hint="eastAsia" w:asciiTheme="minorEastAsia" w:hAnsiTheme="minorEastAsia" w:eastAsiaTheme="minorEastAsia" w:cstheme="minorEastAsia"/>
          <w:szCs w:val="24"/>
          <w:u w:val="single"/>
        </w:rPr>
      </w:pPr>
      <w:r>
        <w:rPr>
          <w:rFonts w:hint="eastAsia" w:asciiTheme="minorEastAsia" w:hAnsiTheme="minorEastAsia" w:eastAsiaTheme="minorEastAsia" w:cstheme="minorEastAsia"/>
          <w:szCs w:val="24"/>
        </w:rPr>
        <w:t>发包人（全称）：</w:t>
      </w:r>
      <w:r>
        <w:rPr>
          <w:rFonts w:hint="eastAsia" w:asciiTheme="minorEastAsia" w:hAnsiTheme="minorEastAsia" w:eastAsiaTheme="minorEastAsia" w:cstheme="minorEastAsia"/>
          <w:bCs/>
          <w:szCs w:val="24"/>
          <w:u w:val="single"/>
        </w:rPr>
        <w:t xml:space="preserve">                                     </w:t>
      </w:r>
      <w:r>
        <w:rPr>
          <w:rFonts w:hint="eastAsia" w:asciiTheme="minorEastAsia" w:hAnsiTheme="minorEastAsia" w:eastAsiaTheme="minorEastAsia" w:cstheme="minorEastAsia"/>
          <w:szCs w:val="24"/>
          <w:u w:val="single"/>
        </w:rPr>
        <w:t xml:space="preserve">                </w:t>
      </w:r>
    </w:p>
    <w:p>
      <w:pPr>
        <w:pStyle w:val="29"/>
        <w:spacing w:line="360" w:lineRule="auto"/>
        <w:ind w:left="420" w:leftChars="200" w:right="72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承包人（全称）：</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u w:val="single"/>
          <w:lang w:val="en-US" w:eastAsia="zh-CN"/>
        </w:rPr>
        <w:t xml:space="preserve">  </w:t>
      </w:r>
      <w:r>
        <w:rPr>
          <w:rFonts w:hint="eastAsia" w:asciiTheme="minorEastAsia" w:hAnsiTheme="minorEastAsia" w:eastAsiaTheme="minorEastAsia" w:cstheme="minorEastAsia"/>
          <w:szCs w:val="24"/>
          <w:u w:val="single"/>
        </w:rPr>
        <w:t xml:space="preserve">     </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为保证</w:t>
      </w:r>
      <w:r>
        <w:rPr>
          <w:rFonts w:hint="eastAsia" w:asciiTheme="minorEastAsia" w:hAnsiTheme="minorEastAsia" w:eastAsiaTheme="minorEastAsia" w:cstheme="minorEastAsia"/>
          <w:bCs/>
          <w:szCs w:val="24"/>
          <w:u w:val="single"/>
        </w:rPr>
        <w:t xml:space="preserve">                                               </w:t>
      </w:r>
      <w:r>
        <w:rPr>
          <w:rFonts w:hint="eastAsia" w:asciiTheme="minorEastAsia" w:hAnsiTheme="minorEastAsia" w:eastAsiaTheme="minorEastAsia" w:cstheme="minorEastAsia"/>
          <w:szCs w:val="24"/>
        </w:rPr>
        <w:t>（工程名称）在合理使用期限内正常使用，发包人承包人协商一致签订工程质量保修书。承包人在质量保修期内按照有关管理规定及双方约定承担工程质量保修责任。</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一、工程质量保修范围和内容</w:t>
      </w:r>
    </w:p>
    <w:p>
      <w:pPr>
        <w:pStyle w:val="29"/>
        <w:spacing w:line="360" w:lineRule="auto"/>
        <w:ind w:left="0" w:right="720" w:firstLine="48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质量保修范围包括装修工程施工等项目。具体质量保修内容双方约定如</w:t>
      </w:r>
    </w:p>
    <w:p>
      <w:pPr>
        <w:pStyle w:val="29"/>
        <w:spacing w:line="360" w:lineRule="auto"/>
        <w:ind w:left="0" w:leftChars="0" w:right="72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下：</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u w:val="none"/>
        </w:rPr>
        <w:t>。</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二、质量保修期</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质量保修期从工程实际竣工之日算起。分单项竣工验收的工程，按单项工程分别计算质量保修期。</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双方根据国家有关规定，结合具体工程约定质量保修期如下：</w:t>
      </w:r>
    </w:p>
    <w:p>
      <w:pPr>
        <w:pStyle w:val="3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1、地基基础工程和主体结构工程为设计文件规定的该工程合理使用年限；</w:t>
      </w:r>
    </w:p>
    <w:p>
      <w:pPr>
        <w:pStyle w:val="30"/>
        <w:spacing w:line="360" w:lineRule="auto"/>
        <w:ind w:firstLine="480" w:firstLineChars="200"/>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质保期为</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p>
    <w:p>
      <w:pPr>
        <w:pStyle w:val="3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3、整体工程质保期为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p>
    <w:p>
      <w:pPr>
        <w:pStyle w:val="3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4、其他项目保修期限约定如下：</w:t>
      </w:r>
      <w:r>
        <w:rPr>
          <w:rFonts w:hint="eastAsia" w:asciiTheme="minorEastAsia" w:hAnsiTheme="minorEastAsia" w:eastAsiaTheme="minorEastAsia" w:cstheme="minorEastAsia"/>
          <w:sz w:val="24"/>
          <w:szCs w:val="24"/>
          <w:u w:val="single"/>
        </w:rPr>
        <w:t xml:space="preserve">   年</w:t>
      </w:r>
      <w:r>
        <w:rPr>
          <w:rFonts w:hint="eastAsia" w:asciiTheme="minorEastAsia" w:hAnsiTheme="minorEastAsia" w:eastAsiaTheme="minorEastAsia" w:cstheme="minorEastAsia"/>
          <w:sz w:val="24"/>
          <w:szCs w:val="24"/>
        </w:rPr>
        <w:t>；</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5、质量保修期自工程竣工验收合格签字之日起计算。</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三、质量保修责任</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 属于保修范围和内容的项目， 承包人应在接到修理通知之后7天内派人修理。承包人不在约定期限内派人修理，发包人可委托其他人员修理，保修费用从质量保修金内扣除。</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 发生须紧急抢修事故，承包人接到事故通知后，应立即到达事故现场抢修。非承包人施工质量引起的事故，抢修费用由发包人承担。</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3、 在国家规定的工程合理使用期限内，承包人确保地基基础工程和主体结构的质量。因承包人原因致使工程在合理使用期限内造成人身和财产损害的，承包人应承担损害赔偿责任。</w:t>
      </w:r>
    </w:p>
    <w:p>
      <w:pPr>
        <w:pStyle w:val="29"/>
        <w:spacing w:line="360" w:lineRule="auto"/>
        <w:ind w:left="0" w:right="720" w:firstLine="480" w:firstLineChars="200"/>
        <w:rPr>
          <w:rFonts w:asciiTheme="minorEastAsia" w:hAnsiTheme="minorEastAsia" w:eastAsiaTheme="minorEastAsia" w:cstheme="minorEastAsia"/>
          <w:color w:val="0000FF"/>
          <w:szCs w:val="24"/>
        </w:rPr>
      </w:pPr>
      <w:r>
        <w:rPr>
          <w:rFonts w:hint="eastAsia" w:asciiTheme="minorEastAsia" w:hAnsiTheme="minorEastAsia" w:eastAsiaTheme="minorEastAsia" w:cstheme="minorEastAsia"/>
          <w:szCs w:val="24"/>
        </w:rPr>
        <w:t>四、质量保修金的支付：</w:t>
      </w:r>
      <w:r>
        <w:rPr>
          <w:rFonts w:hint="eastAsia" w:asciiTheme="minorEastAsia" w:hAnsiTheme="minorEastAsia" w:eastAsiaTheme="minorEastAsia" w:cstheme="minorEastAsia"/>
          <w:highlight w:val="yellow"/>
          <w:u w:val="single"/>
          <w:lang w:eastAsia="zh-CN"/>
        </w:rPr>
        <w:t>以双方签订合同约定为准</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五、质量保修金的返还：发包人在质量保修期满无质量问题后14天内，将剩余保修金无息返还剩余质量保修金。</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六、其他</w:t>
      </w:r>
    </w:p>
    <w:p>
      <w:pPr>
        <w:pStyle w:val="29"/>
        <w:spacing w:line="360" w:lineRule="auto"/>
        <w:ind w:left="0" w:right="720" w:firstLine="480" w:firstLineChars="200"/>
        <w:rPr>
          <w:rFonts w:asciiTheme="minorEastAsia" w:hAnsiTheme="minorEastAsia" w:eastAsiaTheme="minorEastAsia" w:cstheme="minorEastAsia"/>
          <w:szCs w:val="24"/>
          <w:u w:val="single"/>
        </w:rPr>
      </w:pPr>
      <w:r>
        <w:rPr>
          <w:rFonts w:hint="eastAsia" w:asciiTheme="minorEastAsia" w:hAnsiTheme="minorEastAsia" w:eastAsiaTheme="minorEastAsia" w:cstheme="minorEastAsia"/>
          <w:szCs w:val="24"/>
        </w:rPr>
        <w:t>双方约定的其他工程质量保修事项：</w:t>
      </w:r>
      <w:r>
        <w:rPr>
          <w:rFonts w:hint="eastAsia" w:asciiTheme="minorEastAsia" w:hAnsiTheme="minorEastAsia" w:eastAsiaTheme="minorEastAsia" w:cstheme="minorEastAsia"/>
          <w:szCs w:val="24"/>
          <w:u w:val="single"/>
        </w:rPr>
        <w:t xml:space="preserve"> 承包人负责保修期间收集整理完整工程资料。  </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本工程质量保修书作为施工合同附件，由施工合同发包人承包人双方共同签署。</w:t>
      </w:r>
    </w:p>
    <w:p>
      <w:pPr>
        <w:pStyle w:val="29"/>
        <w:spacing w:line="360" w:lineRule="auto"/>
        <w:ind w:left="0" w:right="720" w:firstLine="409" w:firstLineChars="133"/>
        <w:rPr>
          <w:rFonts w:asciiTheme="minorEastAsia" w:hAnsiTheme="minorEastAsia" w:eastAsiaTheme="minorEastAsia" w:cstheme="minorEastAsia"/>
          <w:szCs w:val="24"/>
        </w:rPr>
      </w:pPr>
      <w:r>
        <w:rPr>
          <w:rFonts w:hint="eastAsia" w:asciiTheme="minorEastAsia" w:hAnsiTheme="minorEastAsia" w:eastAsiaTheme="minorEastAsia" w:cstheme="minorEastAsia"/>
          <w:spacing w:val="34"/>
          <w:szCs w:val="24"/>
        </w:rPr>
        <w:t>发包人（公章）</w:t>
      </w:r>
      <w:r>
        <w:rPr>
          <w:rFonts w:hint="eastAsia" w:asciiTheme="minorEastAsia" w:hAnsiTheme="minorEastAsia" w:eastAsiaTheme="minorEastAsia" w:cstheme="minorEastAsia"/>
          <w:szCs w:val="24"/>
        </w:rPr>
        <w:t xml:space="preserve">：              </w:t>
      </w:r>
      <w:r>
        <w:rPr>
          <w:rFonts w:hint="eastAsia" w:asciiTheme="minorEastAsia" w:hAnsiTheme="minorEastAsia" w:eastAsiaTheme="minorEastAsia" w:cstheme="minorEastAsia"/>
          <w:spacing w:val="34"/>
          <w:szCs w:val="24"/>
        </w:rPr>
        <w:t>承包人（公章）</w:t>
      </w:r>
      <w:r>
        <w:rPr>
          <w:rFonts w:hint="eastAsia" w:asciiTheme="minorEastAsia" w:hAnsiTheme="minorEastAsia" w:eastAsiaTheme="minorEastAsia" w:cstheme="minorEastAsia"/>
          <w:szCs w:val="24"/>
        </w:rPr>
        <w:t>：</w:t>
      </w:r>
    </w:p>
    <w:p>
      <w:pPr>
        <w:pStyle w:val="29"/>
        <w:spacing w:line="360" w:lineRule="auto"/>
        <w:ind w:left="0" w:right="720" w:firstLine="424" w:firstLineChars="177"/>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法定代表人（签字）：              法定代表人（签字）：</w:t>
      </w:r>
    </w:p>
    <w:p>
      <w:pPr>
        <w:pStyle w:val="29"/>
        <w:spacing w:line="360" w:lineRule="auto"/>
        <w:ind w:left="0" w:right="720" w:firstLine="424" w:firstLineChars="177"/>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年</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月</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 xml:space="preserve">日             </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年</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月</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日</w:t>
      </w:r>
    </w:p>
    <w:p>
      <w:pPr>
        <w:autoSpaceDE w:val="0"/>
        <w:autoSpaceDN w:val="0"/>
        <w:adjustRightInd w:val="0"/>
        <w:spacing w:line="360" w:lineRule="auto"/>
        <w:rPr>
          <w:rFonts w:asciiTheme="minorEastAsia" w:hAnsiTheme="minorEastAsia" w:eastAsiaTheme="minorEastAsia" w:cstheme="minorEastAsia"/>
          <w:sz w:val="32"/>
          <w:szCs w:val="32"/>
        </w:rPr>
      </w:pPr>
      <w:bookmarkStart w:id="678" w:name="_Toc507690272"/>
      <w:bookmarkStart w:id="679" w:name="_Toc349637943"/>
      <w:bookmarkStart w:id="680" w:name="_Toc349573144"/>
      <w:bookmarkStart w:id="681" w:name="_Toc298240429"/>
      <w:bookmarkStart w:id="682" w:name="_Toc527642969"/>
    </w:p>
    <w:p>
      <w:pPr>
        <w:autoSpaceDE w:val="0"/>
        <w:autoSpaceDN w:val="0"/>
        <w:adjustRightInd w:val="0"/>
        <w:spacing w:line="360" w:lineRule="auto"/>
        <w:ind w:firstLine="420"/>
        <w:jc w:val="center"/>
        <w:rPr>
          <w:rFonts w:asciiTheme="minorEastAsia" w:hAnsiTheme="minorEastAsia" w:eastAsiaTheme="minorEastAsia" w:cstheme="minorEastAsia"/>
          <w:sz w:val="32"/>
          <w:szCs w:val="32"/>
        </w:rPr>
      </w:pPr>
    </w:p>
    <w:p>
      <w:pPr>
        <w:autoSpaceDE w:val="0"/>
        <w:autoSpaceDN w:val="0"/>
        <w:adjustRightInd w:val="0"/>
        <w:spacing w:line="360" w:lineRule="auto"/>
        <w:ind w:firstLine="420"/>
        <w:jc w:val="center"/>
        <w:rPr>
          <w:rFonts w:asciiTheme="minorEastAsia" w:hAnsiTheme="minorEastAsia" w:eastAsiaTheme="minorEastAsia" w:cstheme="minorEastAsia"/>
          <w:sz w:val="32"/>
          <w:szCs w:val="32"/>
        </w:rPr>
      </w:pPr>
    </w:p>
    <w:p>
      <w:pPr>
        <w:autoSpaceDE w:val="0"/>
        <w:autoSpaceDN w:val="0"/>
        <w:adjustRightInd w:val="0"/>
        <w:spacing w:line="360" w:lineRule="auto"/>
        <w:jc w:val="center"/>
        <w:rPr>
          <w:rFonts w:asciiTheme="minorEastAsia" w:hAnsiTheme="minorEastAsia" w:eastAsiaTheme="minorEastAsia" w:cstheme="minorEastAsia"/>
          <w:b/>
          <w:bCs/>
          <w:sz w:val="36"/>
          <w:szCs w:val="36"/>
          <w:lang w:val="zh-CN"/>
        </w:rPr>
      </w:pPr>
      <w:r>
        <w:rPr>
          <w:rFonts w:hint="eastAsia" w:asciiTheme="minorEastAsia" w:hAnsiTheme="minorEastAsia" w:eastAsiaTheme="minorEastAsia" w:cstheme="minorEastAsia"/>
          <w:b/>
          <w:sz w:val="32"/>
          <w:szCs w:val="32"/>
        </w:rPr>
        <w:t>第五部分　</w:t>
      </w:r>
      <w:bookmarkEnd w:id="678"/>
      <w:bookmarkEnd w:id="679"/>
      <w:bookmarkEnd w:id="680"/>
      <w:bookmarkEnd w:id="681"/>
      <w:bookmarkEnd w:id="682"/>
      <w:r>
        <w:rPr>
          <w:rFonts w:hint="eastAsia" w:asciiTheme="minorEastAsia" w:hAnsiTheme="minorEastAsia" w:eastAsiaTheme="minorEastAsia" w:cstheme="minorEastAsia"/>
          <w:b/>
          <w:sz w:val="32"/>
          <w:szCs w:val="32"/>
          <w:lang w:val="zh-CN"/>
        </w:rPr>
        <w:t>响应文件格式</w:t>
      </w:r>
    </w:p>
    <w:p>
      <w:pPr>
        <w:spacing w:line="360" w:lineRule="auto"/>
        <w:jc w:val="center"/>
        <w:rPr>
          <w:rFonts w:asciiTheme="minorEastAsia" w:hAnsiTheme="minorEastAsia" w:eastAsiaTheme="minorEastAsia" w:cstheme="minorEastAsia"/>
          <w:sz w:val="32"/>
          <w:szCs w:val="32"/>
        </w:rPr>
      </w:pPr>
    </w:p>
    <w:p>
      <w:pPr>
        <w:autoSpaceDE w:val="0"/>
        <w:autoSpaceDN w:val="0"/>
        <w:adjustRightInd w:val="0"/>
        <w:spacing w:line="360" w:lineRule="auto"/>
        <w:jc w:val="center"/>
        <w:rPr>
          <w:rFonts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sz w:val="24"/>
          <w:szCs w:val="24"/>
          <w:lang w:val="zh-CN"/>
        </w:rPr>
        <w:t>注：为了便于查找，标注目录及页码</w:t>
      </w:r>
    </w:p>
    <w:p>
      <w:pPr>
        <w:autoSpaceDE w:val="0"/>
        <w:autoSpaceDN w:val="0"/>
        <w:adjustRightInd w:val="0"/>
        <w:spacing w:line="360" w:lineRule="auto"/>
        <w:jc w:val="center"/>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（以下内容需按要求提供相应证明材料）</w:t>
      </w:r>
    </w:p>
    <w:p>
      <w:pPr>
        <w:autoSpaceDE w:val="0"/>
        <w:autoSpaceDN w:val="0"/>
        <w:adjustRightInd w:val="0"/>
        <w:spacing w:line="360" w:lineRule="auto"/>
        <w:jc w:val="center"/>
        <w:rPr>
          <w:rFonts w:asciiTheme="minorEastAsia" w:hAnsiTheme="minorEastAsia" w:eastAsiaTheme="minorEastAsia" w:cstheme="minorEastAsia"/>
          <w:b/>
          <w:bCs/>
          <w:sz w:val="32"/>
          <w:szCs w:val="32"/>
          <w:lang w:val="zh-CN"/>
        </w:rPr>
      </w:pPr>
    </w:p>
    <w:p>
      <w:pPr>
        <w:autoSpaceDE w:val="0"/>
        <w:autoSpaceDN w:val="0"/>
        <w:adjustRightInd w:val="0"/>
        <w:spacing w:line="360" w:lineRule="auto"/>
        <w:rPr>
          <w:rFonts w:asciiTheme="minorEastAsia" w:hAnsiTheme="minorEastAsia" w:eastAsiaTheme="minorEastAsia" w:cstheme="minorEastAsia"/>
          <w:b/>
          <w:bCs/>
          <w:sz w:val="32"/>
          <w:szCs w:val="32"/>
          <w:lang w:val="zh-CN"/>
        </w:rPr>
      </w:pPr>
    </w:p>
    <w:p>
      <w:pPr>
        <w:pStyle w:val="4"/>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val="0"/>
          <w:bCs/>
          <w:sz w:val="24"/>
          <w:szCs w:val="24"/>
          <w:lang w:val="zh-CN"/>
        </w:rPr>
        <w:br w:type="page"/>
      </w:r>
      <w:bookmarkStart w:id="683" w:name="_Toc414108641"/>
      <w:bookmarkStart w:id="684" w:name="_Toc383102810"/>
      <w:r>
        <w:rPr>
          <w:rFonts w:hint="eastAsia" w:asciiTheme="minorEastAsia" w:hAnsiTheme="minorEastAsia" w:eastAsiaTheme="minorEastAsia" w:cstheme="minorEastAsia"/>
          <w:lang w:val="zh-CN"/>
        </w:rPr>
        <w:t>商</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务</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标</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格</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式</w:t>
      </w:r>
      <w:bookmarkEnd w:id="683"/>
      <w:bookmarkEnd w:id="684"/>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商务标封面示例</w:t>
      </w:r>
    </w:p>
    <w:p>
      <w:pPr>
        <w:autoSpaceDE w:val="0"/>
        <w:autoSpaceDN w:val="0"/>
        <w:adjustRightInd w:val="0"/>
        <w:spacing w:line="360" w:lineRule="auto"/>
        <w:ind w:firstLine="6720" w:firstLineChars="2400"/>
        <w:jc w:val="right"/>
        <w:rPr>
          <w:rFonts w:asciiTheme="minorEastAsia" w:hAnsiTheme="minorEastAsia" w:eastAsiaTheme="minorEastAsia" w:cstheme="minorEastAsia"/>
        </w:rPr>
      </w:pPr>
      <w:r>
        <w:rPr>
          <w:rFonts w:hint="eastAsia" w:asciiTheme="minorEastAsia" w:hAnsiTheme="minorEastAsia" w:eastAsiaTheme="minorEastAsia" w:cstheme="minorEastAsia"/>
          <w:color w:val="000000"/>
          <w:sz w:val="28"/>
        </w:rPr>
        <w:t xml:space="preserve"> 正本/副本</w:t>
      </w:r>
    </w:p>
    <w:p>
      <w:pPr>
        <w:autoSpaceDE w:val="0"/>
        <w:autoSpaceDN w:val="0"/>
        <w:adjustRightInd w:val="0"/>
        <w:spacing w:line="360" w:lineRule="auto"/>
        <w:rPr>
          <w:rFonts w:asciiTheme="minorEastAsia" w:hAnsiTheme="minorEastAsia" w:eastAsiaTheme="minorEastAsia" w:cstheme="minorEastAsia"/>
          <w:szCs w:val="21"/>
        </w:rPr>
      </w:pPr>
    </w:p>
    <w:p>
      <w:pPr>
        <w:spacing w:line="360" w:lineRule="auto"/>
        <w:jc w:val="center"/>
        <w:rPr>
          <w:rFonts w:asciiTheme="minorEastAsia" w:hAnsiTheme="minorEastAsia" w:eastAsiaTheme="minorEastAsia" w:cstheme="minorEastAsia"/>
          <w:b/>
          <w:bCs/>
          <w:lang w:val="zh-CN"/>
        </w:rPr>
      </w:pPr>
    </w:p>
    <w:p>
      <w:pPr>
        <w:spacing w:line="360" w:lineRule="auto"/>
        <w:jc w:val="center"/>
        <w:rPr>
          <w:rFonts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lang w:val="zh-CN"/>
        </w:rPr>
        <w:t>响应文件商务标</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pStyle w:val="18"/>
        <w:spacing w:line="360" w:lineRule="auto"/>
        <w:ind w:firstLine="480"/>
        <w:rPr>
          <w:rFonts w:asciiTheme="minorEastAsia" w:hAnsiTheme="minorEastAsia" w:eastAsiaTheme="minorEastAsia" w:cstheme="minorEastAsia"/>
          <w:szCs w:val="21"/>
        </w:rPr>
      </w:pP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供应商名称：（盖章）</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法定代表人或被授权代理人：（盖章）</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单位地址：</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utoSpaceDE w:val="0"/>
        <w:autoSpaceDN w:val="0"/>
        <w:adjustRightInd w:val="0"/>
        <w:spacing w:line="360" w:lineRule="auto"/>
        <w:jc w:val="left"/>
        <w:rPr>
          <w:rFonts w:asciiTheme="minorEastAsia" w:hAnsiTheme="minorEastAsia" w:eastAsiaTheme="minorEastAsia" w:cstheme="minorEastAsia"/>
          <w:szCs w:val="21"/>
        </w:rPr>
      </w:pP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 年      月       日</w:t>
      </w:r>
    </w:p>
    <w:p>
      <w:pPr>
        <w:autoSpaceDE w:val="0"/>
        <w:autoSpaceDN w:val="0"/>
        <w:adjustRightInd w:val="0"/>
        <w:spacing w:line="360" w:lineRule="auto"/>
        <w:jc w:val="left"/>
        <w:rPr>
          <w:rFonts w:asciiTheme="minorEastAsia" w:hAnsiTheme="minorEastAsia" w:eastAsiaTheme="minorEastAsia" w:cstheme="minorEastAsia"/>
          <w:lang w:val="zh-CN"/>
        </w:rPr>
      </w:pPr>
    </w:p>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商务标目录</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1、投标承诺书（一）</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2、投标承诺书（二）</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3、投标承诺书（三）</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4、法定代表人身份证明书</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5、法定代表人授权委托书</w:t>
      </w:r>
    </w:p>
    <w:p>
      <w:pPr>
        <w:autoSpaceDE w:val="0"/>
        <w:autoSpaceDN w:val="0"/>
        <w:adjustRightInd w:val="0"/>
        <w:spacing w:line="360" w:lineRule="auto"/>
        <w:ind w:left="420" w:leftChars="100" w:hanging="210" w:hanging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6、供应商概况（企业营业执照副本复印件、资质证书副本复印件、安全生产许可证复印件、注册建造师证书复印件）</w:t>
      </w:r>
    </w:p>
    <w:p>
      <w:pPr>
        <w:autoSpaceDE w:val="0"/>
        <w:autoSpaceDN w:val="0"/>
        <w:adjustRightInd w:val="0"/>
        <w:spacing w:line="360" w:lineRule="auto"/>
        <w:ind w:left="210" w:left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7、项目管理人员</w:t>
      </w:r>
    </w:p>
    <w:p>
      <w:pPr>
        <w:autoSpaceDE w:val="0"/>
        <w:autoSpaceDN w:val="0"/>
        <w:adjustRightInd w:val="0"/>
        <w:spacing w:line="360" w:lineRule="auto"/>
        <w:ind w:left="210" w:left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参加政府采购活动前三年内在经营活动中没有重大违法记录的书面声明。</w:t>
      </w:r>
    </w:p>
    <w:p>
      <w:pPr>
        <w:autoSpaceDE w:val="0"/>
        <w:autoSpaceDN w:val="0"/>
        <w:adjustRightInd w:val="0"/>
        <w:spacing w:line="360" w:lineRule="auto"/>
        <w:ind w:left="210" w:leftChars="10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9、中小企业声明函 (服务)、残疾人福利性单位声明函 、监狱企业证明</w:t>
      </w:r>
    </w:p>
    <w:p>
      <w:pPr>
        <w:autoSpaceDE w:val="0"/>
        <w:autoSpaceDN w:val="0"/>
        <w:adjustRightInd w:val="0"/>
        <w:spacing w:line="360" w:lineRule="auto"/>
        <w:ind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、投标保证金收据复印件</w:t>
      </w:r>
    </w:p>
    <w:p>
      <w:pPr>
        <w:autoSpaceDE w:val="0"/>
        <w:autoSpaceDN w:val="0"/>
        <w:adjustRightInd w:val="0"/>
        <w:spacing w:line="360" w:lineRule="auto"/>
        <w:ind w:left="210" w:left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11</w:t>
      </w:r>
      <w:r>
        <w:rPr>
          <w:rFonts w:hint="eastAsia" w:asciiTheme="minorEastAsia" w:hAnsiTheme="minorEastAsia" w:eastAsiaTheme="minorEastAsia" w:cstheme="minorEastAsia"/>
          <w:szCs w:val="21"/>
        </w:rPr>
        <w:t>、磋商文件要求的其他证明材料</w:t>
      </w:r>
    </w:p>
    <w:p>
      <w:pPr>
        <w:pStyle w:val="2"/>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注：为了便于查找，请按上述顺序编排商务标内容，并在目录中标明每项内容的起始页码。</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pPr>
        <w:pStyle w:val="2"/>
        <w:spacing w:line="360" w:lineRule="auto"/>
        <w:jc w:val="center"/>
        <w:rPr>
          <w:rFonts w:asciiTheme="minorEastAsia" w:hAnsiTheme="minorEastAsia" w:eastAsiaTheme="minorEastAsia" w:cstheme="minorEastAsia"/>
        </w:rPr>
      </w:pPr>
      <w:bookmarkStart w:id="685" w:name="_Toc414108642"/>
      <w:r>
        <w:rPr>
          <w:rFonts w:hint="eastAsia" w:asciiTheme="minorEastAsia" w:hAnsiTheme="minorEastAsia" w:eastAsiaTheme="minorEastAsia" w:cstheme="minorEastAsia"/>
          <w:lang w:val="zh-CN"/>
        </w:rPr>
        <w:t>投标承诺书（一）</w:t>
      </w:r>
      <w:bookmarkEnd w:id="685"/>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招标人：</w:t>
      </w:r>
      <w:r>
        <w:rPr>
          <w:rFonts w:hint="eastAsia" w:asciiTheme="minorEastAsia" w:hAnsiTheme="minorEastAsia" w:eastAsiaTheme="minorEastAsia" w:cstheme="minorEastAsia"/>
          <w:u w:val="single"/>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lang w:val="zh-CN"/>
        </w:rPr>
        <w:t>、根据已收到的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工程的磋商文件，我单位经考察现场和研究贵方的磋商文件后，将接受该工程磋商文件中各条款内容并且以经济标中所报投标价格承包本招标范围内的工程。</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lang w:val="zh-CN"/>
        </w:rPr>
        <w:t>、如果我方中标，非业主原因，我方保证将在下列日期内组织施工。</w:t>
      </w:r>
    </w:p>
    <w:p>
      <w:pPr>
        <w:adjustRightInd w:val="0"/>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lang w:val="zh-CN"/>
        </w:rPr>
        <w:t>、如果我方中标，非业主原因，我方保证将按下列质量等级完成本工程。</w:t>
      </w: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质量等级：</w:t>
      </w:r>
      <w:r>
        <w:rPr>
          <w:rFonts w:hint="eastAsia" w:asciiTheme="minorEastAsia" w:hAnsiTheme="minorEastAsia" w:eastAsiaTheme="minorEastAsia" w:cstheme="minorEastAsia"/>
          <w:u w:val="single"/>
        </w:rPr>
        <w:t xml:space="preserve">      </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lang w:val="zh-CN"/>
        </w:rPr>
        <w:t>、如果我方中标，我方将按磋商文件规定的时间内签订承包合同。如果我方违约，除履约保证金外，我方还将以中标价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lang w:val="zh-CN"/>
        </w:rPr>
        <w:t>作为赔偿金，同时贵方有权终止我方中标并选择其它中标人。</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lang w:val="zh-CN"/>
        </w:rPr>
        <w:t>、贵方的磋商文件、中标通知书、我方的响应文件将构成约束双方的合同一部分。</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lang w:val="zh-CN"/>
        </w:rPr>
        <w:t>、如果我方未中标，贵方没有必要对我方做出任何解释和说明，我方将充分尊重和理解贵方的选择。</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供应商：</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lang w:val="zh-CN"/>
        </w:rPr>
      </w:pPr>
    </w:p>
    <w:p>
      <w:pPr>
        <w:autoSpaceDE w:val="0"/>
        <w:autoSpaceDN w:val="0"/>
        <w:adjustRightInd w:val="0"/>
        <w:spacing w:line="360" w:lineRule="auto"/>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法定代表人或委托代理人：</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日</w:t>
      </w:r>
      <w:r>
        <w:rPr>
          <w:rFonts w:hint="eastAsia" w:asciiTheme="minorEastAsia" w:hAnsiTheme="minorEastAsia" w:eastAsiaTheme="minorEastAsia" w:cstheme="minorEastAsia"/>
          <w:szCs w:val="21"/>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pStyle w:val="2"/>
        <w:spacing w:line="360" w:lineRule="auto"/>
        <w:jc w:val="center"/>
        <w:rPr>
          <w:rFonts w:asciiTheme="minorEastAsia" w:hAnsiTheme="minorEastAsia" w:eastAsiaTheme="minorEastAsia" w:cstheme="minorEastAsia"/>
        </w:rPr>
      </w:pPr>
      <w:bookmarkStart w:id="686" w:name="_Toc414108643"/>
      <w:r>
        <w:rPr>
          <w:rFonts w:hint="eastAsia" w:asciiTheme="minorEastAsia" w:hAnsiTheme="minorEastAsia" w:eastAsiaTheme="minorEastAsia" w:cstheme="minorEastAsia"/>
          <w:lang w:val="zh-CN"/>
        </w:rPr>
        <w:t>投标承诺书（二）</w:t>
      </w:r>
      <w:bookmarkEnd w:id="686"/>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采购人：</w:t>
      </w:r>
      <w:r>
        <w:rPr>
          <w:rFonts w:hint="eastAsia" w:asciiTheme="minorEastAsia" w:hAnsiTheme="minorEastAsia" w:eastAsiaTheme="minorEastAsia" w:cstheme="minorEastAsia"/>
          <w:u w:val="single"/>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如果我方中标，施工项目负责人为：</w:t>
      </w:r>
    </w:p>
    <w:tbl>
      <w:tblPr>
        <w:tblStyle w:val="19"/>
        <w:tblW w:w="91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278"/>
        <w:gridCol w:w="2274"/>
        <w:gridCol w:w="2279"/>
        <w:gridCol w:w="22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2278"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姓名</w:t>
            </w:r>
          </w:p>
        </w:tc>
        <w:tc>
          <w:tcPr>
            <w:tcW w:w="22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szCs w:val="21"/>
                <w:u w:val="single"/>
              </w:rPr>
            </w:pPr>
          </w:p>
        </w:tc>
        <w:tc>
          <w:tcPr>
            <w:tcW w:w="22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职称</w:t>
            </w:r>
          </w:p>
        </w:tc>
        <w:tc>
          <w:tcPr>
            <w:tcW w:w="2274" w:type="dxa"/>
            <w:tcBorders>
              <w:top w:val="single" w:color="auto" w:sz="4" w:space="0"/>
              <w:left w:val="single" w:color="auto" w:sz="4" w:space="0"/>
              <w:bottom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3" w:hRule="atLeast"/>
        </w:trPr>
        <w:tc>
          <w:tcPr>
            <w:tcW w:w="2278"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注册建造师等级</w:t>
            </w:r>
          </w:p>
        </w:tc>
        <w:tc>
          <w:tcPr>
            <w:tcW w:w="22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szCs w:val="21"/>
                <w:u w:val="single"/>
              </w:rPr>
            </w:pPr>
          </w:p>
        </w:tc>
        <w:tc>
          <w:tcPr>
            <w:tcW w:w="22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注册建造师证书编号</w:t>
            </w:r>
          </w:p>
        </w:tc>
        <w:tc>
          <w:tcPr>
            <w:tcW w:w="2274" w:type="dxa"/>
            <w:tcBorders>
              <w:top w:val="single" w:color="auto" w:sz="4" w:space="0"/>
              <w:left w:val="single" w:color="auto" w:sz="4" w:space="0"/>
              <w:bottom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2" w:hRule="atLeast"/>
        </w:trPr>
        <w:tc>
          <w:tcPr>
            <w:tcW w:w="2278"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身份证号码</w:t>
            </w:r>
          </w:p>
        </w:tc>
        <w:tc>
          <w:tcPr>
            <w:tcW w:w="6827" w:type="dxa"/>
            <w:gridSpan w:val="3"/>
            <w:tcBorders>
              <w:top w:val="single" w:color="auto" w:sz="4" w:space="0"/>
              <w:left w:val="single" w:color="auto" w:sz="4" w:space="0"/>
              <w:bottom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szCs w:val="21"/>
                <w:u w:val="single"/>
              </w:rPr>
            </w:pPr>
          </w:p>
        </w:tc>
      </w:tr>
    </w:tbl>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中标后，若由于特殊原因须更换施工项目负责人时，我方将以资质以及信誉不低于此注册建造师的人员替换，并报业主审查。经审查通过后，方可更换。若未经业主批准，我方擅自更换施工项目负责人，我方愿以合同价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lang w:val="zh-CN"/>
        </w:rPr>
        <w:t>作为赔偿金。</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供应商：</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lang w:val="zh-CN"/>
        </w:rPr>
      </w:pPr>
    </w:p>
    <w:p>
      <w:pPr>
        <w:autoSpaceDE w:val="0"/>
        <w:autoSpaceDN w:val="0"/>
        <w:adjustRightInd w:val="0"/>
        <w:spacing w:line="360" w:lineRule="auto"/>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法定代表人或委托代理人：</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日</w:t>
      </w:r>
      <w:r>
        <w:rPr>
          <w:rFonts w:hint="eastAsia" w:asciiTheme="minorEastAsia" w:hAnsiTheme="minorEastAsia" w:eastAsiaTheme="minorEastAsia" w:cstheme="minorEastAsia"/>
          <w:szCs w:val="21"/>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spacing w:line="360" w:lineRule="auto"/>
        <w:ind w:left="424"/>
        <w:jc w:val="center"/>
        <w:rPr>
          <w:rFonts w:asciiTheme="minorEastAsia" w:hAnsiTheme="minorEastAsia" w:eastAsiaTheme="minorEastAsia" w:cstheme="minorEastAsia"/>
          <w:b/>
          <w:bCs/>
          <w:sz w:val="32"/>
          <w:szCs w:val="32"/>
          <w:lang w:val="zh-CN"/>
        </w:rPr>
      </w:pPr>
      <w:bookmarkStart w:id="687" w:name="_Toc414108644"/>
      <w:r>
        <w:rPr>
          <w:rFonts w:hint="eastAsia" w:asciiTheme="minorEastAsia" w:hAnsiTheme="minorEastAsia" w:eastAsiaTheme="minorEastAsia" w:cstheme="minorEastAsia"/>
          <w:b/>
          <w:bCs/>
          <w:sz w:val="32"/>
          <w:szCs w:val="32"/>
          <w:lang w:val="zh-CN"/>
        </w:rPr>
        <w:t>投标承诺书（三）</w:t>
      </w:r>
    </w:p>
    <w:p>
      <w:pPr>
        <w:spacing w:line="360" w:lineRule="auto"/>
        <w:ind w:left="424"/>
        <w:jc w:val="center"/>
        <w:rPr>
          <w:rFonts w:asciiTheme="minorEastAsia" w:hAnsiTheme="minorEastAsia" w:eastAsiaTheme="minorEastAsia" w:cstheme="minorEastAsia"/>
          <w:b/>
          <w:kern w:val="1"/>
          <w:szCs w:val="21"/>
        </w:rPr>
      </w:pPr>
    </w:p>
    <w:p>
      <w:pPr>
        <w:spacing w:line="36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致：</w:t>
      </w:r>
      <w:r>
        <w:rPr>
          <w:rFonts w:hint="eastAsia" w:asciiTheme="minorEastAsia" w:hAnsiTheme="minorEastAsia" w:eastAsiaTheme="minorEastAsia" w:cstheme="minorEastAsia"/>
          <w:szCs w:val="21"/>
          <w:u w:val="single"/>
        </w:rPr>
        <w:t xml:space="preserve"> （招标人）     </w:t>
      </w:r>
    </w:p>
    <w:p>
      <w:pPr>
        <w:spacing w:line="360" w:lineRule="auto"/>
        <w:rPr>
          <w:rFonts w:asciiTheme="minorEastAsia" w:hAnsiTheme="minorEastAsia" w:eastAsiaTheme="minorEastAsia" w:cstheme="minorEastAsia"/>
          <w:szCs w:val="21"/>
          <w:u w:val="single"/>
        </w:rPr>
      </w:pP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w:t>
      </w:r>
      <w:r>
        <w:rPr>
          <w:rFonts w:hint="eastAsia" w:asciiTheme="minorEastAsia" w:hAnsiTheme="minorEastAsia" w:eastAsiaTheme="minorEastAsia" w:cstheme="minorEastAsia"/>
          <w:szCs w:val="21"/>
          <w:u w:val="single"/>
        </w:rPr>
        <w:t xml:space="preserve">    （供应商名称）       </w:t>
      </w:r>
      <w:r>
        <w:rPr>
          <w:rFonts w:hint="eastAsia" w:asciiTheme="minorEastAsia" w:hAnsiTheme="minorEastAsia" w:eastAsiaTheme="minorEastAsia" w:cstheme="minorEastAsia"/>
          <w:szCs w:val="21"/>
        </w:rPr>
        <w:t>作为</w:t>
      </w:r>
      <w:r>
        <w:rPr>
          <w:rFonts w:hint="eastAsia" w:asciiTheme="minorEastAsia" w:hAnsiTheme="minorEastAsia" w:eastAsiaTheme="minorEastAsia" w:cstheme="minorEastAsia"/>
          <w:szCs w:val="21"/>
          <w:u w:val="single"/>
        </w:rPr>
        <w:t xml:space="preserve">      （项目名称） </w:t>
      </w:r>
      <w:r>
        <w:rPr>
          <w:rFonts w:hint="eastAsia" w:asciiTheme="minorEastAsia" w:hAnsiTheme="minorEastAsia" w:eastAsiaTheme="minorEastAsia" w:cstheme="minorEastAsia"/>
          <w:i/>
          <w:szCs w:val="21"/>
          <w:u w:val="single"/>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项目（以下简称“本项目”）的供应商在此郑重承诺。</w:t>
      </w: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特此承诺！</w:t>
      </w:r>
    </w:p>
    <w:p>
      <w:pPr>
        <w:spacing w:line="360" w:lineRule="auto"/>
        <w:rPr>
          <w:rFonts w:asciiTheme="minorEastAsia" w:hAnsiTheme="minorEastAsia" w:eastAsiaTheme="minorEastAsia" w:cstheme="minorEastAsia"/>
          <w:szCs w:val="21"/>
        </w:rPr>
      </w:pP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供应商名称：（公章）</w:t>
      </w:r>
    </w:p>
    <w:p>
      <w:pPr>
        <w:pStyle w:val="17"/>
        <w:tabs>
          <w:tab w:val="left" w:pos="630"/>
        </w:tabs>
        <w:spacing w:line="360" w:lineRule="auto"/>
        <w:ind w:firstLine="210"/>
        <w:rPr>
          <w:rFonts w:asciiTheme="minorEastAsia" w:hAnsiTheme="minorEastAsia" w:eastAsiaTheme="minorEastAsia" w:cstheme="minorEastAsia"/>
        </w:rPr>
      </w:pP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法定代表人：（盖章）</w:t>
      </w: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p>
      <w:pPr>
        <w:spacing w:line="360" w:lineRule="auto"/>
        <w:jc w:val="right"/>
        <w:rPr>
          <w:rFonts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kern w:val="1"/>
          <w:szCs w:val="21"/>
        </w:rPr>
        <w:t>日期：</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年</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月</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日</w:t>
      </w:r>
    </w:p>
    <w:p>
      <w:pPr>
        <w:pStyle w:val="2"/>
        <w:spacing w:line="360" w:lineRule="auto"/>
        <w:rPr>
          <w:rFonts w:asciiTheme="minorEastAsia" w:hAnsiTheme="minorEastAsia" w:eastAsiaTheme="minorEastAsia" w:cstheme="minorEastAsia"/>
          <w:lang w:val="zh-CN"/>
        </w:rPr>
      </w:pPr>
    </w:p>
    <w:p>
      <w:pPr>
        <w:spacing w:line="360" w:lineRule="auto"/>
        <w:rPr>
          <w:rFonts w:asciiTheme="minorEastAsia" w:hAnsiTheme="minorEastAsia" w:eastAsiaTheme="minorEastAsia" w:cstheme="minorEastAsia"/>
          <w:lang w:val="zh-CN"/>
        </w:rPr>
      </w:pPr>
    </w:p>
    <w:p>
      <w:pPr>
        <w:pStyle w:val="31"/>
        <w:ind w:firstLine="420"/>
        <w:rPr>
          <w:rFonts w:asciiTheme="minorEastAsia" w:hAnsiTheme="minorEastAsia" w:eastAsiaTheme="minorEastAsia" w:cstheme="minorEastAsia"/>
        </w:rPr>
      </w:pPr>
    </w:p>
    <w:p>
      <w:pPr>
        <w:pStyle w:val="31"/>
        <w:ind w:firstLine="420"/>
        <w:rPr>
          <w:rFonts w:asciiTheme="minorEastAsia" w:hAnsiTheme="minorEastAsia" w:eastAsiaTheme="minorEastAsia" w:cstheme="minorEastAsia"/>
        </w:rPr>
      </w:pPr>
    </w:p>
    <w:p>
      <w:pPr>
        <w:pStyle w:val="31"/>
        <w:ind w:firstLine="420"/>
        <w:rPr>
          <w:rFonts w:asciiTheme="minorEastAsia" w:hAnsiTheme="minorEastAsia" w:eastAsiaTheme="minorEastAsia" w:cstheme="minorEastAsia"/>
        </w:rPr>
      </w:pPr>
    </w:p>
    <w:p>
      <w:pPr>
        <w:pStyle w:val="2"/>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法定代表人身份证明书</w:t>
      </w:r>
      <w:bookmarkEnd w:id="687"/>
    </w:p>
    <w:p>
      <w:pPr>
        <w:autoSpaceDE w:val="0"/>
        <w:autoSpaceDN w:val="0"/>
        <w:adjustRightInd w:val="0"/>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lang w:val="zh-CN"/>
        </w:rPr>
        <w:t>企业名称：</w:t>
      </w:r>
      <w:r>
        <w:rPr>
          <w:rFonts w:hint="eastAsia" w:asciiTheme="minorEastAsia" w:hAnsiTheme="minorEastAsia" w:eastAsiaTheme="minorEastAsia" w:cstheme="minorEastAsia"/>
          <w:u w:val="single"/>
        </w:rPr>
        <w:t xml:space="preserve">                                                   </w:t>
      </w:r>
    </w:p>
    <w:p>
      <w:pPr>
        <w:autoSpaceDE w:val="0"/>
        <w:autoSpaceDN w:val="0"/>
        <w:adjustRightInd w:val="0"/>
        <w:spacing w:line="400" w:lineRule="exact"/>
        <w:rPr>
          <w:rFonts w:asciiTheme="minorEastAsia" w:hAnsiTheme="minorEastAsia" w:eastAsiaTheme="minorEastAsia" w:cstheme="minorEastAsia"/>
          <w:szCs w:val="21"/>
        </w:rPr>
      </w:pPr>
    </w:p>
    <w:p>
      <w:pPr>
        <w:autoSpaceDE w:val="0"/>
        <w:autoSpaceDN w:val="0"/>
        <w:adjustRightInd w:val="0"/>
        <w:spacing w:line="400" w:lineRule="exact"/>
        <w:rPr>
          <w:rFonts w:asciiTheme="minorEastAsia" w:hAnsiTheme="minorEastAsia" w:eastAsiaTheme="minorEastAsia" w:cstheme="minorEastAsia"/>
          <w:u w:val="single"/>
        </w:rPr>
      </w:pPr>
      <w:r>
        <w:rPr>
          <w:rFonts w:hint="eastAsia" w:asciiTheme="minorEastAsia" w:hAnsiTheme="minorEastAsia" w:eastAsiaTheme="minorEastAsia" w:cstheme="minorEastAsia"/>
          <w:lang w:val="zh-CN"/>
        </w:rPr>
        <w:t>企业类型：</w:t>
      </w:r>
      <w:r>
        <w:rPr>
          <w:rFonts w:hint="eastAsia" w:asciiTheme="minorEastAsia" w:hAnsiTheme="minorEastAsia" w:eastAsiaTheme="minorEastAsia" w:cstheme="minorEastAsia"/>
          <w:u w:val="single"/>
        </w:rPr>
        <w:t xml:space="preserve">                                                   </w:t>
      </w:r>
    </w:p>
    <w:p>
      <w:pPr>
        <w:autoSpaceDE w:val="0"/>
        <w:autoSpaceDN w:val="0"/>
        <w:adjustRightInd w:val="0"/>
        <w:spacing w:line="400" w:lineRule="exact"/>
        <w:rPr>
          <w:rFonts w:asciiTheme="minorEastAsia" w:hAnsiTheme="minorEastAsia" w:eastAsiaTheme="minorEastAsia" w:cstheme="minorEastAsia"/>
          <w:szCs w:val="21"/>
        </w:rPr>
      </w:pPr>
    </w:p>
    <w:p>
      <w:pPr>
        <w:autoSpaceDE w:val="0"/>
        <w:autoSpaceDN w:val="0"/>
        <w:adjustRightInd w:val="0"/>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地</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址：</w:t>
      </w:r>
      <w:r>
        <w:rPr>
          <w:rFonts w:hint="eastAsia" w:asciiTheme="minorEastAsia" w:hAnsiTheme="minorEastAsia" w:eastAsiaTheme="minorEastAsia" w:cstheme="minorEastAsia"/>
          <w:szCs w:val="21"/>
          <w:u w:val="single"/>
        </w:rPr>
        <w:t xml:space="preserve">                                                   </w:t>
      </w:r>
    </w:p>
    <w:p>
      <w:pPr>
        <w:autoSpaceDE w:val="0"/>
        <w:autoSpaceDN w:val="0"/>
        <w:adjustRightInd w:val="0"/>
        <w:spacing w:line="400" w:lineRule="exact"/>
        <w:rPr>
          <w:rFonts w:asciiTheme="minorEastAsia" w:hAnsiTheme="minorEastAsia" w:eastAsiaTheme="minorEastAsia" w:cstheme="minorEastAsia"/>
          <w:szCs w:val="21"/>
        </w:rPr>
      </w:pPr>
    </w:p>
    <w:p>
      <w:pPr>
        <w:autoSpaceDE w:val="0"/>
        <w:autoSpaceDN w:val="0"/>
        <w:adjustRightInd w:val="0"/>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lang w:val="zh-CN"/>
        </w:rPr>
        <w:t>营业期限：</w:t>
      </w:r>
      <w:r>
        <w:rPr>
          <w:rFonts w:hint="eastAsia" w:asciiTheme="minorEastAsia" w:hAnsiTheme="minorEastAsia" w:eastAsiaTheme="minorEastAsia" w:cstheme="minorEastAsia"/>
          <w:u w:val="single"/>
        </w:rPr>
        <w:t xml:space="preserve">                                                   </w:t>
      </w:r>
    </w:p>
    <w:p>
      <w:pPr>
        <w:autoSpaceDE w:val="0"/>
        <w:autoSpaceDN w:val="0"/>
        <w:adjustRightInd w:val="0"/>
        <w:spacing w:line="400" w:lineRule="exact"/>
        <w:rPr>
          <w:rFonts w:asciiTheme="minorEastAsia" w:hAnsiTheme="minorEastAsia" w:eastAsiaTheme="minorEastAsia" w:cstheme="minorEastAsia"/>
          <w:szCs w:val="21"/>
        </w:rPr>
      </w:pPr>
    </w:p>
    <w:p>
      <w:pPr>
        <w:autoSpaceDE w:val="0"/>
        <w:autoSpaceDN w:val="0"/>
        <w:adjustRightInd w:val="0"/>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lang w:val="zh-CN"/>
        </w:rPr>
        <w:t>成立时间：</w:t>
      </w:r>
      <w:r>
        <w:rPr>
          <w:rFonts w:hint="eastAsia" w:asciiTheme="minorEastAsia" w:hAnsiTheme="minorEastAsia" w:eastAsiaTheme="minorEastAsia" w:cstheme="minorEastAsia"/>
          <w:u w:val="single"/>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姓名：</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性别：</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职务：</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系</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（供应商名称）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的法定代表人。</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特此证明。</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供应商：</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lang w:val="zh-CN"/>
        </w:rPr>
      </w:pPr>
    </w:p>
    <w:p>
      <w:pPr>
        <w:autoSpaceDE w:val="0"/>
        <w:autoSpaceDN w:val="0"/>
        <w:adjustRightInd w:val="0"/>
        <w:spacing w:line="360" w:lineRule="auto"/>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日</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日</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（附法定代表人身份证复印件）</w:t>
      </w:r>
      <w:r>
        <w:rPr>
          <w:rFonts w:hint="eastAsia" w:asciiTheme="minorEastAsia" w:hAnsiTheme="minorEastAsia" w:eastAsiaTheme="minorEastAsia" w:cstheme="minorEastAsia"/>
          <w:lang w:val="zh-CN"/>
        </w:rPr>
        <w:br w:type="page"/>
      </w:r>
    </w:p>
    <w:p>
      <w:pPr>
        <w:pStyle w:val="2"/>
        <w:spacing w:line="360" w:lineRule="auto"/>
        <w:jc w:val="center"/>
        <w:rPr>
          <w:rFonts w:asciiTheme="minorEastAsia" w:hAnsiTheme="minorEastAsia" w:eastAsiaTheme="minorEastAsia" w:cstheme="minorEastAsia"/>
          <w:szCs w:val="21"/>
        </w:rPr>
      </w:pPr>
      <w:bookmarkStart w:id="688" w:name="_Toc414108645"/>
      <w:r>
        <w:rPr>
          <w:rFonts w:hint="eastAsia" w:asciiTheme="minorEastAsia" w:hAnsiTheme="minorEastAsia" w:eastAsiaTheme="minorEastAsia" w:cstheme="minorEastAsia"/>
          <w:lang w:val="zh-CN"/>
        </w:rPr>
        <w:t>法定代表人授权委托书</w:t>
      </w:r>
      <w:bookmarkEnd w:id="688"/>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本授权委托书声明：我</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（姓名）系</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（供应商名称）的法定代表人，现授权委托</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（供应商名称）的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（姓名）为我公司代理人，以本公司的名义参加</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（采购人）的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招标工程的投标活动。代理人签署的响应文件和参加整个工程招标投标活动中所签署的一切文件和处理与之有关的一切事物，我均予以承认。</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代理人：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性别：</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年龄：</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单</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位：</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部门：</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职务：</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代理人无转委权。特此委托。</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lang w:val="zh-CN"/>
        </w:rPr>
      </w:pPr>
    </w:p>
    <w:p>
      <w:pPr>
        <w:autoSpaceDE w:val="0"/>
        <w:autoSpaceDN w:val="0"/>
        <w:adjustRightInd w:val="0"/>
        <w:spacing w:line="360" w:lineRule="auto"/>
        <w:rPr>
          <w:rFonts w:asciiTheme="minorEastAsia" w:hAnsiTheme="minorEastAsia" w:eastAsiaTheme="minorEastAsia" w:cstheme="minorEastAsia"/>
          <w:lang w:val="zh-CN"/>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供应商：</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法定代表人：</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日</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（附被授权人身份证复印件）</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pStyle w:val="2"/>
        <w:spacing w:line="360" w:lineRule="auto"/>
        <w:jc w:val="center"/>
        <w:rPr>
          <w:rFonts w:asciiTheme="minorEastAsia" w:hAnsiTheme="minorEastAsia" w:eastAsiaTheme="minorEastAsia" w:cstheme="minorEastAsia"/>
        </w:rPr>
      </w:pPr>
      <w:bookmarkStart w:id="689" w:name="_Toc414108646"/>
      <w:r>
        <w:rPr>
          <w:rFonts w:hint="eastAsia" w:asciiTheme="minorEastAsia" w:hAnsiTheme="minorEastAsia" w:eastAsiaTheme="minorEastAsia" w:cstheme="minorEastAsia"/>
          <w:lang w:val="zh-CN"/>
        </w:rPr>
        <w:t>供应商概况</w:t>
      </w:r>
      <w:bookmarkEnd w:id="689"/>
    </w:p>
    <w:p>
      <w:pPr>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供应商概况表</w:t>
      </w:r>
    </w:p>
    <w:tbl>
      <w:tblPr>
        <w:tblStyle w:val="19"/>
        <w:tblW w:w="9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5"/>
        <w:gridCol w:w="897"/>
        <w:gridCol w:w="1019"/>
        <w:gridCol w:w="992"/>
        <w:gridCol w:w="283"/>
        <w:gridCol w:w="194"/>
        <w:gridCol w:w="1244"/>
        <w:gridCol w:w="261"/>
        <w:gridCol w:w="70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w:t>
            </w:r>
          </w:p>
        </w:tc>
        <w:tc>
          <w:tcPr>
            <w:tcW w:w="6897" w:type="dxa"/>
            <w:gridSpan w:val="9"/>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注册地址</w:t>
            </w:r>
          </w:p>
        </w:tc>
        <w:tc>
          <w:tcPr>
            <w:tcW w:w="3385" w:type="dxa"/>
            <w:gridSpan w:val="5"/>
            <w:vAlign w:val="center"/>
          </w:tcPr>
          <w:p>
            <w:pPr>
              <w:spacing w:line="360" w:lineRule="auto"/>
              <w:jc w:val="center"/>
              <w:rPr>
                <w:rFonts w:asciiTheme="minorEastAsia" w:hAnsiTheme="minorEastAsia" w:eastAsiaTheme="minorEastAsia" w:cstheme="minorEastAsia"/>
                <w:szCs w:val="21"/>
              </w:rPr>
            </w:pPr>
          </w:p>
        </w:tc>
        <w:tc>
          <w:tcPr>
            <w:tcW w:w="1244"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邮政编码</w:t>
            </w:r>
          </w:p>
        </w:tc>
        <w:tc>
          <w:tcPr>
            <w:tcW w:w="2268" w:type="dxa"/>
            <w:gridSpan w:val="3"/>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Merge w:val="restart"/>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联系方式</w:t>
            </w:r>
          </w:p>
        </w:tc>
        <w:tc>
          <w:tcPr>
            <w:tcW w:w="89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tc>
        <w:tc>
          <w:tcPr>
            <w:tcW w:w="2488" w:type="dxa"/>
            <w:gridSpan w:val="4"/>
            <w:vAlign w:val="center"/>
          </w:tcPr>
          <w:p>
            <w:pPr>
              <w:spacing w:line="360" w:lineRule="auto"/>
              <w:jc w:val="center"/>
              <w:rPr>
                <w:rFonts w:asciiTheme="minorEastAsia" w:hAnsiTheme="minorEastAsia" w:eastAsiaTheme="minorEastAsia" w:cstheme="minorEastAsia"/>
                <w:szCs w:val="21"/>
              </w:rPr>
            </w:pPr>
          </w:p>
        </w:tc>
        <w:tc>
          <w:tcPr>
            <w:tcW w:w="1244"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p>
        </w:tc>
        <w:tc>
          <w:tcPr>
            <w:tcW w:w="2268" w:type="dxa"/>
            <w:gridSpan w:val="3"/>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Merge w:val="continue"/>
            <w:vAlign w:val="center"/>
          </w:tcPr>
          <w:p>
            <w:pPr>
              <w:spacing w:line="360" w:lineRule="auto"/>
              <w:jc w:val="center"/>
              <w:rPr>
                <w:rFonts w:asciiTheme="minorEastAsia" w:hAnsiTheme="minorEastAsia" w:eastAsiaTheme="minorEastAsia" w:cstheme="minorEastAsia"/>
                <w:szCs w:val="21"/>
              </w:rPr>
            </w:pPr>
          </w:p>
        </w:tc>
        <w:tc>
          <w:tcPr>
            <w:tcW w:w="89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传  真</w:t>
            </w:r>
          </w:p>
        </w:tc>
        <w:tc>
          <w:tcPr>
            <w:tcW w:w="2488" w:type="dxa"/>
            <w:gridSpan w:val="4"/>
            <w:vAlign w:val="center"/>
          </w:tcPr>
          <w:p>
            <w:pPr>
              <w:spacing w:line="360" w:lineRule="auto"/>
              <w:jc w:val="center"/>
              <w:rPr>
                <w:rFonts w:asciiTheme="minorEastAsia" w:hAnsiTheme="minorEastAsia" w:eastAsiaTheme="minorEastAsia" w:cstheme="minorEastAsia"/>
                <w:szCs w:val="21"/>
              </w:rPr>
            </w:pPr>
          </w:p>
        </w:tc>
        <w:tc>
          <w:tcPr>
            <w:tcW w:w="1244"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网  址</w:t>
            </w:r>
          </w:p>
        </w:tc>
        <w:tc>
          <w:tcPr>
            <w:tcW w:w="2268" w:type="dxa"/>
            <w:gridSpan w:val="3"/>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组织结构</w:t>
            </w:r>
          </w:p>
        </w:tc>
        <w:tc>
          <w:tcPr>
            <w:tcW w:w="6897" w:type="dxa"/>
            <w:gridSpan w:val="9"/>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p>
        </w:tc>
        <w:tc>
          <w:tcPr>
            <w:tcW w:w="89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1019" w:type="dxa"/>
            <w:vAlign w:val="center"/>
          </w:tcPr>
          <w:p>
            <w:pPr>
              <w:spacing w:line="360" w:lineRule="auto"/>
              <w:jc w:val="center"/>
              <w:rPr>
                <w:rFonts w:asciiTheme="minorEastAsia" w:hAnsiTheme="minorEastAsia" w:eastAsiaTheme="minorEastAsia" w:cstheme="minorEastAsia"/>
                <w:szCs w:val="21"/>
              </w:rPr>
            </w:pPr>
          </w:p>
        </w:tc>
        <w:tc>
          <w:tcPr>
            <w:tcW w:w="1275" w:type="dxa"/>
            <w:gridSpan w:val="2"/>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技术职称</w:t>
            </w:r>
          </w:p>
        </w:tc>
        <w:tc>
          <w:tcPr>
            <w:tcW w:w="1699" w:type="dxa"/>
            <w:gridSpan w:val="3"/>
            <w:vAlign w:val="center"/>
          </w:tcPr>
          <w:p>
            <w:pPr>
              <w:spacing w:line="360" w:lineRule="auto"/>
              <w:jc w:val="center"/>
              <w:rPr>
                <w:rFonts w:asciiTheme="minorEastAsia" w:hAnsiTheme="minorEastAsia" w:eastAsiaTheme="minorEastAsia" w:cstheme="minorEastAsia"/>
                <w:szCs w:val="21"/>
              </w:rPr>
            </w:pPr>
          </w:p>
        </w:tc>
        <w:tc>
          <w:tcPr>
            <w:tcW w:w="70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1300" w:type="dxa"/>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技术负责人</w:t>
            </w:r>
          </w:p>
        </w:tc>
        <w:tc>
          <w:tcPr>
            <w:tcW w:w="89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1019" w:type="dxa"/>
            <w:vAlign w:val="center"/>
          </w:tcPr>
          <w:p>
            <w:pPr>
              <w:spacing w:line="360" w:lineRule="auto"/>
              <w:jc w:val="center"/>
              <w:rPr>
                <w:rFonts w:asciiTheme="minorEastAsia" w:hAnsiTheme="minorEastAsia" w:eastAsiaTheme="minorEastAsia" w:cstheme="minorEastAsia"/>
                <w:szCs w:val="21"/>
              </w:rPr>
            </w:pPr>
          </w:p>
        </w:tc>
        <w:tc>
          <w:tcPr>
            <w:tcW w:w="1275" w:type="dxa"/>
            <w:gridSpan w:val="2"/>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技术职称</w:t>
            </w:r>
          </w:p>
        </w:tc>
        <w:tc>
          <w:tcPr>
            <w:tcW w:w="1699" w:type="dxa"/>
            <w:gridSpan w:val="3"/>
            <w:vAlign w:val="center"/>
          </w:tcPr>
          <w:p>
            <w:pPr>
              <w:spacing w:line="360" w:lineRule="auto"/>
              <w:jc w:val="center"/>
              <w:rPr>
                <w:rFonts w:asciiTheme="minorEastAsia" w:hAnsiTheme="minorEastAsia" w:eastAsiaTheme="minorEastAsia" w:cstheme="minorEastAsia"/>
                <w:szCs w:val="21"/>
              </w:rPr>
            </w:pPr>
          </w:p>
        </w:tc>
        <w:tc>
          <w:tcPr>
            <w:tcW w:w="70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1300" w:type="dxa"/>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成立时间</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4981" w:type="dxa"/>
            <w:gridSpan w:val="7"/>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企业资质等级</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992" w:type="dxa"/>
            <w:vMerge w:val="restart"/>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其中</w:t>
            </w:r>
          </w:p>
        </w:tc>
        <w:tc>
          <w:tcPr>
            <w:tcW w:w="1982" w:type="dxa"/>
            <w:gridSpan w:val="4"/>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项目负责人</w:t>
            </w:r>
          </w:p>
        </w:tc>
        <w:tc>
          <w:tcPr>
            <w:tcW w:w="2007" w:type="dxa"/>
            <w:gridSpan w:val="2"/>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营业执照号</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992" w:type="dxa"/>
            <w:vMerge w:val="continue"/>
            <w:vAlign w:val="center"/>
          </w:tcPr>
          <w:p>
            <w:pPr>
              <w:spacing w:line="360" w:lineRule="auto"/>
              <w:jc w:val="center"/>
              <w:rPr>
                <w:rFonts w:asciiTheme="minorEastAsia" w:hAnsiTheme="minorEastAsia" w:eastAsiaTheme="minorEastAsia" w:cstheme="minorEastAsia"/>
                <w:szCs w:val="21"/>
              </w:rPr>
            </w:pPr>
          </w:p>
        </w:tc>
        <w:tc>
          <w:tcPr>
            <w:tcW w:w="1982" w:type="dxa"/>
            <w:gridSpan w:val="4"/>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高级职称人员</w:t>
            </w:r>
          </w:p>
        </w:tc>
        <w:tc>
          <w:tcPr>
            <w:tcW w:w="2007" w:type="dxa"/>
            <w:gridSpan w:val="2"/>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注册资金</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992" w:type="dxa"/>
            <w:vMerge w:val="continue"/>
            <w:vAlign w:val="center"/>
          </w:tcPr>
          <w:p>
            <w:pPr>
              <w:spacing w:line="360" w:lineRule="auto"/>
              <w:jc w:val="center"/>
              <w:rPr>
                <w:rFonts w:asciiTheme="minorEastAsia" w:hAnsiTheme="minorEastAsia" w:eastAsiaTheme="minorEastAsia" w:cstheme="minorEastAsia"/>
                <w:szCs w:val="21"/>
              </w:rPr>
            </w:pPr>
          </w:p>
        </w:tc>
        <w:tc>
          <w:tcPr>
            <w:tcW w:w="1982" w:type="dxa"/>
            <w:gridSpan w:val="4"/>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中级职称人员</w:t>
            </w:r>
          </w:p>
        </w:tc>
        <w:tc>
          <w:tcPr>
            <w:tcW w:w="2007" w:type="dxa"/>
            <w:gridSpan w:val="2"/>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992" w:type="dxa"/>
            <w:vMerge w:val="continue"/>
            <w:vAlign w:val="center"/>
          </w:tcPr>
          <w:p>
            <w:pPr>
              <w:spacing w:line="360" w:lineRule="auto"/>
              <w:jc w:val="center"/>
              <w:rPr>
                <w:rFonts w:asciiTheme="minorEastAsia" w:hAnsiTheme="minorEastAsia" w:eastAsiaTheme="minorEastAsia" w:cstheme="minorEastAsia"/>
                <w:szCs w:val="21"/>
              </w:rPr>
            </w:pPr>
          </w:p>
        </w:tc>
        <w:tc>
          <w:tcPr>
            <w:tcW w:w="1982" w:type="dxa"/>
            <w:gridSpan w:val="4"/>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初级职称人员</w:t>
            </w:r>
          </w:p>
        </w:tc>
        <w:tc>
          <w:tcPr>
            <w:tcW w:w="2007" w:type="dxa"/>
            <w:gridSpan w:val="2"/>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账号</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992" w:type="dxa"/>
            <w:vMerge w:val="continue"/>
            <w:vAlign w:val="center"/>
          </w:tcPr>
          <w:p>
            <w:pPr>
              <w:spacing w:line="360" w:lineRule="auto"/>
              <w:jc w:val="center"/>
              <w:rPr>
                <w:rFonts w:asciiTheme="minorEastAsia" w:hAnsiTheme="minorEastAsia" w:eastAsiaTheme="minorEastAsia" w:cstheme="minorEastAsia"/>
                <w:szCs w:val="21"/>
              </w:rPr>
            </w:pPr>
          </w:p>
        </w:tc>
        <w:tc>
          <w:tcPr>
            <w:tcW w:w="1982" w:type="dxa"/>
            <w:gridSpan w:val="4"/>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  工</w:t>
            </w:r>
          </w:p>
        </w:tc>
        <w:tc>
          <w:tcPr>
            <w:tcW w:w="2007" w:type="dxa"/>
            <w:gridSpan w:val="2"/>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经营范围</w:t>
            </w:r>
          </w:p>
        </w:tc>
        <w:tc>
          <w:tcPr>
            <w:tcW w:w="6897" w:type="dxa"/>
            <w:gridSpan w:val="9"/>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c>
          <w:tcPr>
            <w:tcW w:w="6897" w:type="dxa"/>
            <w:gridSpan w:val="9"/>
            <w:vAlign w:val="center"/>
          </w:tcPr>
          <w:p>
            <w:pPr>
              <w:spacing w:line="360" w:lineRule="auto"/>
              <w:jc w:val="center"/>
              <w:rPr>
                <w:rFonts w:asciiTheme="minorEastAsia" w:hAnsiTheme="minorEastAsia" w:eastAsiaTheme="minorEastAsia" w:cstheme="minorEastAsia"/>
                <w:szCs w:val="21"/>
              </w:rPr>
            </w:pPr>
          </w:p>
        </w:tc>
      </w:tr>
    </w:tbl>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备注：本表后应附企业法人营业执照的证明材料、企业资质证书副本、安全生产许可证、等材料的复印件。</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pPr>
        <w:pStyle w:val="2"/>
        <w:spacing w:line="360" w:lineRule="auto"/>
        <w:jc w:val="center"/>
        <w:rPr>
          <w:rFonts w:asciiTheme="minorEastAsia" w:hAnsiTheme="minorEastAsia" w:eastAsiaTheme="minorEastAsia" w:cstheme="minorEastAsia"/>
        </w:rPr>
      </w:pPr>
      <w:bookmarkStart w:id="690" w:name="_Toc414108648"/>
      <w:r>
        <w:rPr>
          <w:rFonts w:hint="eastAsia" w:asciiTheme="minorEastAsia" w:hAnsiTheme="minorEastAsia" w:eastAsiaTheme="minorEastAsia" w:cstheme="minorEastAsia"/>
          <w:lang w:val="zh-CN"/>
        </w:rPr>
        <w:t>项目负责人简历</w:t>
      </w:r>
      <w:bookmarkEnd w:id="690"/>
    </w:p>
    <w:p>
      <w:pPr>
        <w:spacing w:line="360" w:lineRule="auto"/>
        <w:ind w:left="210" w:hanging="210" w:hangingChars="100"/>
        <w:rPr>
          <w:rFonts w:asciiTheme="minorEastAsia" w:hAnsiTheme="minorEastAsia" w:eastAsiaTheme="minorEastAsia" w:cstheme="minorEastAsia"/>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lang w:val="zh-CN"/>
        </w:rPr>
        <w:t>、</w:t>
      </w:r>
      <w:r>
        <w:rPr>
          <w:rFonts w:hint="eastAsia" w:asciiTheme="minorEastAsia" w:hAnsiTheme="minorEastAsia" w:eastAsiaTheme="minorEastAsia" w:cstheme="minorEastAsia"/>
        </w:rPr>
        <w:t>项目负责人介绍应包括：姓名、性别、年龄、职称、学历、参加工作时间、从事项目管理年限、注册建造师（项目负责人）证书编号以及其他内容。</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2、项目负责人简历相关证明材料（注册建造师（项目负责人）证书、职称证书复印件）。</w:t>
      </w:r>
    </w:p>
    <w:p>
      <w:pPr>
        <w:spacing w:line="360" w:lineRule="auto"/>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拟派项目负责人资格一览表</w:t>
      </w:r>
    </w:p>
    <w:tbl>
      <w:tblPr>
        <w:tblStyle w:val="19"/>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030"/>
        <w:gridCol w:w="2123"/>
        <w:gridCol w:w="2141"/>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144" w:type="dxa"/>
            <w:gridSpan w:val="2"/>
            <w:vAlign w:val="center"/>
          </w:tcPr>
          <w:p>
            <w:pPr>
              <w:pStyle w:val="9"/>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姓  名</w:t>
            </w:r>
          </w:p>
        </w:tc>
        <w:tc>
          <w:tcPr>
            <w:tcW w:w="2123" w:type="dxa"/>
            <w:vAlign w:val="center"/>
          </w:tcPr>
          <w:p>
            <w:pPr>
              <w:pStyle w:val="9"/>
              <w:spacing w:line="360" w:lineRule="auto"/>
              <w:jc w:val="center"/>
              <w:rPr>
                <w:rFonts w:asciiTheme="minorEastAsia" w:hAnsiTheme="minorEastAsia" w:eastAsiaTheme="minorEastAsia" w:cstheme="minorEastAsia"/>
                <w:szCs w:val="30"/>
              </w:rPr>
            </w:pPr>
          </w:p>
        </w:tc>
        <w:tc>
          <w:tcPr>
            <w:tcW w:w="2141" w:type="dxa"/>
            <w:vAlign w:val="center"/>
          </w:tcPr>
          <w:p>
            <w:pPr>
              <w:pStyle w:val="9"/>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年  龄</w:t>
            </w:r>
          </w:p>
        </w:tc>
        <w:tc>
          <w:tcPr>
            <w:tcW w:w="2951"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4" w:type="dxa"/>
            <w:gridSpan w:val="2"/>
            <w:vAlign w:val="center"/>
          </w:tcPr>
          <w:p>
            <w:pPr>
              <w:pStyle w:val="9"/>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学  历</w:t>
            </w:r>
          </w:p>
        </w:tc>
        <w:tc>
          <w:tcPr>
            <w:tcW w:w="2123" w:type="dxa"/>
            <w:vAlign w:val="center"/>
          </w:tcPr>
          <w:p>
            <w:pPr>
              <w:pStyle w:val="9"/>
              <w:spacing w:line="360" w:lineRule="auto"/>
              <w:jc w:val="center"/>
              <w:rPr>
                <w:rFonts w:asciiTheme="minorEastAsia" w:hAnsiTheme="minorEastAsia" w:eastAsiaTheme="minorEastAsia" w:cstheme="minorEastAsia"/>
                <w:szCs w:val="30"/>
              </w:rPr>
            </w:pPr>
          </w:p>
        </w:tc>
        <w:tc>
          <w:tcPr>
            <w:tcW w:w="2141" w:type="dxa"/>
            <w:vAlign w:val="center"/>
          </w:tcPr>
          <w:p>
            <w:pPr>
              <w:pStyle w:val="9"/>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职  务</w:t>
            </w:r>
          </w:p>
        </w:tc>
        <w:tc>
          <w:tcPr>
            <w:tcW w:w="2951"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7" w:type="dxa"/>
            <w:gridSpan w:val="3"/>
            <w:vAlign w:val="center"/>
          </w:tcPr>
          <w:p>
            <w:pPr>
              <w:pStyle w:val="9"/>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从事相关工作年限</w:t>
            </w:r>
          </w:p>
        </w:tc>
        <w:tc>
          <w:tcPr>
            <w:tcW w:w="5092" w:type="dxa"/>
            <w:gridSpan w:val="2"/>
            <w:vAlign w:val="center"/>
          </w:tcPr>
          <w:p>
            <w:pPr>
              <w:pStyle w:val="9"/>
              <w:spacing w:line="360" w:lineRule="auto"/>
              <w:jc w:val="center"/>
              <w:rPr>
                <w:rFonts w:asciiTheme="minorEastAsia" w:hAnsiTheme="minorEastAsia" w:eastAsiaTheme="minorEastAsia" w:cstheme="minorEastAsia"/>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267" w:type="dxa"/>
            <w:gridSpan w:val="3"/>
            <w:vAlign w:val="center"/>
          </w:tcPr>
          <w:p>
            <w:pPr>
              <w:pStyle w:val="9"/>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在本项目中拟担任的职务</w:t>
            </w:r>
          </w:p>
        </w:tc>
        <w:tc>
          <w:tcPr>
            <w:tcW w:w="5092" w:type="dxa"/>
            <w:gridSpan w:val="2"/>
            <w:vAlign w:val="center"/>
          </w:tcPr>
          <w:p>
            <w:pPr>
              <w:pStyle w:val="9"/>
              <w:spacing w:line="360" w:lineRule="auto"/>
              <w:jc w:val="center"/>
              <w:rPr>
                <w:rFonts w:asciiTheme="minorEastAsia" w:hAnsiTheme="minorEastAsia" w:eastAsiaTheme="minorEastAsia" w:cstheme="minorEastAsia"/>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144" w:type="dxa"/>
            <w:gridSpan w:val="2"/>
            <w:vAlign w:val="center"/>
          </w:tcPr>
          <w:p>
            <w:pPr>
              <w:pStyle w:val="9"/>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联系方式</w:t>
            </w:r>
          </w:p>
        </w:tc>
        <w:tc>
          <w:tcPr>
            <w:tcW w:w="7215" w:type="dxa"/>
            <w:gridSpan w:val="3"/>
            <w:vAlign w:val="center"/>
          </w:tcPr>
          <w:p>
            <w:pPr>
              <w:pStyle w:val="9"/>
              <w:spacing w:line="360" w:lineRule="auto"/>
              <w:jc w:val="center"/>
              <w:rPr>
                <w:rFonts w:asciiTheme="minorEastAsia" w:hAnsiTheme="minorEastAsia" w:eastAsiaTheme="minorEastAsia" w:cstheme="minorEastAsia"/>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114" w:type="dxa"/>
            <w:vAlign w:val="center"/>
          </w:tcPr>
          <w:p>
            <w:pPr>
              <w:pStyle w:val="9"/>
              <w:spacing w:line="360" w:lineRule="auto"/>
              <w:rPr>
                <w:rFonts w:asciiTheme="minorEastAsia" w:hAnsiTheme="minorEastAsia" w:eastAsiaTheme="minorEastAsia" w:cstheme="minorEastAsia"/>
                <w:szCs w:val="30"/>
              </w:rPr>
            </w:pPr>
          </w:p>
        </w:tc>
        <w:tc>
          <w:tcPr>
            <w:tcW w:w="8245" w:type="dxa"/>
            <w:gridSpan w:val="4"/>
            <w:vAlign w:val="center"/>
          </w:tcPr>
          <w:p>
            <w:pPr>
              <w:pStyle w:val="9"/>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类似工作经历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6" w:hRule="atLeast"/>
        </w:trPr>
        <w:tc>
          <w:tcPr>
            <w:tcW w:w="1114" w:type="dxa"/>
            <w:vAlign w:val="center"/>
          </w:tcPr>
          <w:p>
            <w:pPr>
              <w:pStyle w:val="9"/>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工作</w:t>
            </w:r>
          </w:p>
          <w:p>
            <w:pPr>
              <w:pStyle w:val="9"/>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经历</w:t>
            </w:r>
          </w:p>
        </w:tc>
        <w:tc>
          <w:tcPr>
            <w:tcW w:w="8245" w:type="dxa"/>
            <w:gridSpan w:val="4"/>
          </w:tcPr>
          <w:p>
            <w:pPr>
              <w:pStyle w:val="9"/>
              <w:spacing w:line="360" w:lineRule="auto"/>
              <w:ind w:firstLine="0"/>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（单位、担任职务、工作时间）</w:t>
            </w:r>
          </w:p>
        </w:tc>
      </w:tr>
    </w:tbl>
    <w:p>
      <w:pPr>
        <w:pStyle w:val="9"/>
        <w:spacing w:line="360" w:lineRule="auto"/>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参选单位：（盖章）</w:t>
      </w:r>
    </w:p>
    <w:p>
      <w:pPr>
        <w:pStyle w:val="9"/>
        <w:spacing w:line="360" w:lineRule="auto"/>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法定代表人或委托代理人：（签字）</w:t>
      </w:r>
    </w:p>
    <w:p>
      <w:pPr>
        <w:spacing w:line="360" w:lineRule="auto"/>
        <w:jc w:val="right"/>
        <w:rPr>
          <w:rFonts w:asciiTheme="minorEastAsia" w:hAnsiTheme="minorEastAsia" w:eastAsiaTheme="minorEastAsia" w:cstheme="minorEastAsia"/>
          <w:sz w:val="24"/>
          <w:szCs w:val="30"/>
        </w:rPr>
      </w:pPr>
      <w:r>
        <w:rPr>
          <w:rFonts w:hint="eastAsia" w:asciiTheme="minorEastAsia" w:hAnsiTheme="minorEastAsia" w:eastAsiaTheme="minorEastAsia" w:cstheme="minorEastAsia"/>
          <w:sz w:val="24"/>
          <w:szCs w:val="30"/>
        </w:rPr>
        <w:t>日期：     年  月  日</w:t>
      </w:r>
    </w:p>
    <w:p>
      <w:pPr>
        <w:spacing w:line="360" w:lineRule="auto"/>
        <w:jc w:val="right"/>
        <w:rPr>
          <w:rFonts w:asciiTheme="minorEastAsia" w:hAnsiTheme="minorEastAsia" w:eastAsiaTheme="minorEastAsia" w:cstheme="minorEastAsia"/>
          <w:sz w:val="24"/>
          <w:szCs w:val="30"/>
        </w:rPr>
      </w:pPr>
    </w:p>
    <w:p>
      <w:pPr>
        <w:pStyle w:val="2"/>
        <w:spacing w:line="360" w:lineRule="auto"/>
        <w:jc w:val="center"/>
        <w:rPr>
          <w:rFonts w:asciiTheme="minorEastAsia" w:hAnsiTheme="minorEastAsia" w:eastAsiaTheme="minorEastAsia" w:cstheme="minorEastAsia"/>
          <w:szCs w:val="21"/>
        </w:rPr>
      </w:pPr>
      <w:bookmarkStart w:id="691" w:name="_Toc414108649"/>
      <w:r>
        <w:rPr>
          <w:rFonts w:hint="eastAsia" w:asciiTheme="minorEastAsia" w:hAnsiTheme="minorEastAsia" w:eastAsiaTheme="minorEastAsia" w:cstheme="minorEastAsia"/>
          <w:lang w:val="zh-CN"/>
        </w:rPr>
        <w:t>项目管理人员</w:t>
      </w:r>
      <w:bookmarkEnd w:id="691"/>
    </w:p>
    <w:p>
      <w:pPr>
        <w:autoSpaceDE w:val="0"/>
        <w:autoSpaceDN w:val="0"/>
        <w:adjustRightInd w:val="0"/>
        <w:spacing w:line="360" w:lineRule="auto"/>
        <w:ind w:left="630" w:leftChars="200" w:hanging="210" w:hanging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lang w:val="zh-CN"/>
        </w:rPr>
        <w:t>、项目管理人员应包括：项目工程师、质量管理员、施工管理员、材料管理员、安全管理员、资料员等和项目项目负责人需要配备的其他关键人员</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lang w:val="zh-CN"/>
        </w:rPr>
        <w:t>、上述人员简历介绍应包括姓名、职称等基本信息</w:t>
      </w:r>
    </w:p>
    <w:p>
      <w:pPr>
        <w:autoSpaceDE w:val="0"/>
        <w:autoSpaceDN w:val="0"/>
        <w:adjustRightInd w:val="0"/>
        <w:spacing w:line="360" w:lineRule="auto"/>
        <w:ind w:firstLine="420"/>
        <w:rPr>
          <w:rFonts w:asciiTheme="minorEastAsia" w:hAnsiTheme="minorEastAsia" w:eastAsiaTheme="minorEastAsia" w:cstheme="minorEastAsia"/>
          <w:lang w:val="zh-CN"/>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lang w:val="zh-CN"/>
        </w:rPr>
        <w:t>、项目管理人员简历中应付职称证书或上岗证书复印件</w:t>
      </w:r>
    </w:p>
    <w:p>
      <w:pPr>
        <w:widowControl/>
        <w:spacing w:line="360" w:lineRule="auto"/>
        <w:ind w:firstLine="600"/>
        <w:jc w:val="center"/>
        <w:rPr>
          <w:rFonts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b/>
          <w:kern w:val="0"/>
          <w:sz w:val="30"/>
          <w:szCs w:val="30"/>
        </w:rPr>
        <w:t>拟派项目作业人员一览表</w:t>
      </w:r>
    </w:p>
    <w:tbl>
      <w:tblPr>
        <w:tblStyle w:val="19"/>
        <w:tblpPr w:leftFromText="180" w:rightFromText="180" w:vertAnchor="text" w:horzAnchor="page" w:tblpX="1153" w:tblpY="723"/>
        <w:tblOverlap w:val="never"/>
        <w:tblW w:w="10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709"/>
        <w:gridCol w:w="1875"/>
        <w:gridCol w:w="2475"/>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104" w:type="dxa"/>
            <w:vAlign w:val="center"/>
          </w:tcPr>
          <w:p>
            <w:pPr>
              <w:pStyle w:val="9"/>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姓 名</w:t>
            </w:r>
          </w:p>
        </w:tc>
        <w:tc>
          <w:tcPr>
            <w:tcW w:w="1709" w:type="dxa"/>
            <w:vAlign w:val="center"/>
          </w:tcPr>
          <w:p>
            <w:pPr>
              <w:pStyle w:val="9"/>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职 称</w:t>
            </w:r>
          </w:p>
        </w:tc>
        <w:tc>
          <w:tcPr>
            <w:tcW w:w="1875" w:type="dxa"/>
            <w:vAlign w:val="center"/>
          </w:tcPr>
          <w:p>
            <w:pPr>
              <w:pStyle w:val="9"/>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建议职务</w:t>
            </w:r>
          </w:p>
        </w:tc>
        <w:tc>
          <w:tcPr>
            <w:tcW w:w="2475" w:type="dxa"/>
            <w:vAlign w:val="center"/>
          </w:tcPr>
          <w:p>
            <w:pPr>
              <w:pStyle w:val="9"/>
              <w:spacing w:line="360" w:lineRule="auto"/>
              <w:ind w:left="-128" w:leftChars="-61" w:firstLine="22" w:firstLineChars="11"/>
              <w:jc w:val="center"/>
              <w:rPr>
                <w:rFonts w:asciiTheme="minorEastAsia" w:hAnsiTheme="minorEastAsia" w:eastAsiaTheme="minorEastAsia" w:cstheme="minorEastAsia"/>
                <w:spacing w:val="-20"/>
                <w:szCs w:val="30"/>
              </w:rPr>
            </w:pPr>
            <w:r>
              <w:rPr>
                <w:rFonts w:hint="eastAsia" w:asciiTheme="minorEastAsia" w:hAnsiTheme="minorEastAsia" w:eastAsiaTheme="minorEastAsia" w:cstheme="minorEastAsia"/>
                <w:spacing w:val="-20"/>
                <w:szCs w:val="30"/>
              </w:rPr>
              <w:t>从事相关工作年限</w:t>
            </w:r>
          </w:p>
        </w:tc>
        <w:tc>
          <w:tcPr>
            <w:tcW w:w="3075" w:type="dxa"/>
            <w:vAlign w:val="center"/>
          </w:tcPr>
          <w:p>
            <w:pPr>
              <w:pStyle w:val="9"/>
              <w:spacing w:line="360" w:lineRule="auto"/>
              <w:ind w:left="-128" w:leftChars="-61" w:firstLine="22" w:firstLineChars="11"/>
              <w:jc w:val="center"/>
              <w:rPr>
                <w:rFonts w:asciiTheme="minorEastAsia" w:hAnsiTheme="minorEastAsia" w:eastAsiaTheme="minorEastAsia" w:cstheme="minorEastAsia"/>
                <w:spacing w:val="-20"/>
                <w:szCs w:val="30"/>
              </w:rPr>
            </w:pPr>
            <w:r>
              <w:rPr>
                <w:rFonts w:hint="eastAsia" w:asciiTheme="minorEastAsia" w:hAnsiTheme="minorEastAsia" w:eastAsiaTheme="minorEastAsia" w:cstheme="minorEastAsia"/>
                <w:spacing w:val="-20"/>
                <w:szCs w:val="30"/>
              </w:rPr>
              <w:t>在本项目中负责的内容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104" w:type="dxa"/>
            <w:vMerge w:val="continue"/>
            <w:vAlign w:val="center"/>
          </w:tcPr>
          <w:p>
            <w:pPr>
              <w:pStyle w:val="9"/>
              <w:spacing w:line="360" w:lineRule="auto"/>
              <w:jc w:val="center"/>
              <w:rPr>
                <w:rFonts w:asciiTheme="minorEastAsia" w:hAnsiTheme="minorEastAsia" w:eastAsiaTheme="minorEastAsia" w:cstheme="minorEastAsia"/>
                <w:szCs w:val="30"/>
              </w:rPr>
            </w:pPr>
          </w:p>
        </w:tc>
        <w:tc>
          <w:tcPr>
            <w:tcW w:w="1709" w:type="dxa"/>
            <w:vAlign w:val="center"/>
          </w:tcPr>
          <w:p>
            <w:pPr>
              <w:pStyle w:val="9"/>
              <w:spacing w:line="360" w:lineRule="auto"/>
              <w:jc w:val="center"/>
              <w:rPr>
                <w:rFonts w:asciiTheme="minorEastAsia" w:hAnsiTheme="minorEastAsia" w:eastAsiaTheme="minorEastAsia" w:cstheme="minorEastAsia"/>
                <w:szCs w:val="30"/>
              </w:rPr>
            </w:pPr>
          </w:p>
        </w:tc>
        <w:tc>
          <w:tcPr>
            <w:tcW w:w="1875" w:type="dxa"/>
            <w:vAlign w:val="center"/>
          </w:tcPr>
          <w:p>
            <w:pPr>
              <w:pStyle w:val="9"/>
              <w:spacing w:line="360" w:lineRule="auto"/>
              <w:jc w:val="center"/>
              <w:rPr>
                <w:rFonts w:asciiTheme="minorEastAsia" w:hAnsiTheme="minorEastAsia" w:eastAsiaTheme="minorEastAsia" w:cstheme="minorEastAsia"/>
                <w:szCs w:val="30"/>
              </w:rPr>
            </w:pPr>
          </w:p>
        </w:tc>
        <w:tc>
          <w:tcPr>
            <w:tcW w:w="2475" w:type="dxa"/>
            <w:vAlign w:val="center"/>
          </w:tcPr>
          <w:p>
            <w:pPr>
              <w:pStyle w:val="9"/>
              <w:spacing w:line="360" w:lineRule="auto"/>
              <w:jc w:val="center"/>
              <w:rPr>
                <w:rFonts w:asciiTheme="minorEastAsia" w:hAnsiTheme="minorEastAsia" w:eastAsiaTheme="minorEastAsia" w:cstheme="minorEastAsia"/>
                <w:szCs w:val="30"/>
              </w:rPr>
            </w:pPr>
          </w:p>
        </w:tc>
        <w:tc>
          <w:tcPr>
            <w:tcW w:w="3075" w:type="dxa"/>
            <w:vAlign w:val="center"/>
          </w:tcPr>
          <w:p>
            <w:pPr>
              <w:pStyle w:val="9"/>
              <w:spacing w:line="360" w:lineRule="auto"/>
              <w:jc w:val="center"/>
              <w:rPr>
                <w:rFonts w:asciiTheme="minorEastAsia" w:hAnsiTheme="minorEastAsia" w:eastAsiaTheme="minorEastAsia" w:cstheme="minorEastAsia"/>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1"/>
              <w:spacing w:line="360" w:lineRule="auto"/>
              <w:jc w:val="center"/>
              <w:rPr>
                <w:rFonts w:asciiTheme="minorEastAsia" w:hAnsiTheme="minorEastAsia" w:eastAsiaTheme="minorEastAsia" w:cstheme="minorEastAsia"/>
                <w:sz w:val="30"/>
                <w:szCs w:val="30"/>
              </w:rPr>
            </w:pPr>
          </w:p>
        </w:tc>
        <w:tc>
          <w:tcPr>
            <w:tcW w:w="1875" w:type="dxa"/>
            <w:vAlign w:val="center"/>
          </w:tcPr>
          <w:p>
            <w:pPr>
              <w:pStyle w:val="11"/>
              <w:spacing w:line="360" w:lineRule="auto"/>
              <w:ind w:left="-5" w:leftChars="-22" w:hanging="41" w:hangingChars="15"/>
              <w:jc w:val="center"/>
              <w:rPr>
                <w:rFonts w:asciiTheme="minorEastAsia" w:hAnsiTheme="minorEastAsia" w:eastAsiaTheme="minorEastAsia" w:cstheme="minorEastAsia"/>
                <w:spacing w:val="-12"/>
                <w:sz w:val="30"/>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1"/>
              <w:spacing w:line="360" w:lineRule="auto"/>
              <w:jc w:val="center"/>
              <w:rPr>
                <w:rFonts w:asciiTheme="minorEastAsia" w:hAnsiTheme="minorEastAsia" w:eastAsiaTheme="minorEastAsia" w:cstheme="minorEastAsia"/>
                <w:sz w:val="30"/>
                <w:szCs w:val="30"/>
              </w:rPr>
            </w:pPr>
          </w:p>
        </w:tc>
        <w:tc>
          <w:tcPr>
            <w:tcW w:w="1875" w:type="dxa"/>
            <w:vAlign w:val="center"/>
          </w:tcPr>
          <w:p>
            <w:pPr>
              <w:pStyle w:val="11"/>
              <w:spacing w:line="360" w:lineRule="auto"/>
              <w:jc w:val="center"/>
              <w:rPr>
                <w:rFonts w:asciiTheme="minorEastAsia" w:hAnsiTheme="minorEastAsia" w:eastAsiaTheme="minorEastAsia" w:cstheme="minorEastAsia"/>
                <w:sz w:val="30"/>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1"/>
              <w:spacing w:line="360" w:lineRule="auto"/>
              <w:jc w:val="center"/>
              <w:rPr>
                <w:rFonts w:asciiTheme="minorEastAsia" w:hAnsiTheme="minorEastAsia" w:eastAsiaTheme="minorEastAsia" w:cstheme="minorEastAsia"/>
                <w:sz w:val="30"/>
                <w:szCs w:val="30"/>
              </w:rPr>
            </w:pPr>
          </w:p>
        </w:tc>
        <w:tc>
          <w:tcPr>
            <w:tcW w:w="1875" w:type="dxa"/>
            <w:vAlign w:val="center"/>
          </w:tcPr>
          <w:p>
            <w:pPr>
              <w:pStyle w:val="9"/>
              <w:spacing w:line="360" w:lineRule="auto"/>
              <w:jc w:val="center"/>
              <w:rPr>
                <w:rFonts w:asciiTheme="minorEastAsia" w:hAnsiTheme="minorEastAsia" w:eastAsiaTheme="minorEastAsia" w:cstheme="minorEastAsia"/>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1"/>
              <w:spacing w:line="360" w:lineRule="auto"/>
              <w:jc w:val="center"/>
              <w:rPr>
                <w:rFonts w:asciiTheme="minorEastAsia" w:hAnsiTheme="minorEastAsia" w:eastAsiaTheme="minorEastAsia" w:cstheme="minorEastAsia"/>
                <w:sz w:val="30"/>
                <w:szCs w:val="30"/>
              </w:rPr>
            </w:pPr>
          </w:p>
        </w:tc>
        <w:tc>
          <w:tcPr>
            <w:tcW w:w="1875" w:type="dxa"/>
            <w:vAlign w:val="center"/>
          </w:tcPr>
          <w:p>
            <w:pPr>
              <w:pStyle w:val="9"/>
              <w:spacing w:line="360" w:lineRule="auto"/>
              <w:jc w:val="center"/>
              <w:rPr>
                <w:rFonts w:asciiTheme="minorEastAsia" w:hAnsiTheme="minorEastAsia" w:eastAsiaTheme="minorEastAsia" w:cstheme="minorEastAsia"/>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1"/>
              <w:spacing w:line="360" w:lineRule="auto"/>
              <w:jc w:val="center"/>
              <w:rPr>
                <w:rFonts w:asciiTheme="minorEastAsia" w:hAnsiTheme="minorEastAsia" w:eastAsiaTheme="minorEastAsia" w:cstheme="minorEastAsia"/>
                <w:sz w:val="30"/>
                <w:szCs w:val="30"/>
              </w:rPr>
            </w:pPr>
          </w:p>
        </w:tc>
        <w:tc>
          <w:tcPr>
            <w:tcW w:w="1875" w:type="dxa"/>
            <w:vAlign w:val="center"/>
          </w:tcPr>
          <w:p>
            <w:pPr>
              <w:pStyle w:val="9"/>
              <w:spacing w:line="360" w:lineRule="auto"/>
              <w:jc w:val="center"/>
              <w:rPr>
                <w:rFonts w:asciiTheme="minorEastAsia" w:hAnsiTheme="minorEastAsia" w:eastAsiaTheme="minorEastAsia" w:cstheme="minorEastAsia"/>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1"/>
              <w:spacing w:line="360" w:lineRule="auto"/>
              <w:jc w:val="center"/>
              <w:rPr>
                <w:rFonts w:asciiTheme="minorEastAsia" w:hAnsiTheme="minorEastAsia" w:eastAsiaTheme="minorEastAsia" w:cstheme="minorEastAsia"/>
                <w:sz w:val="30"/>
                <w:szCs w:val="30"/>
              </w:rPr>
            </w:pPr>
          </w:p>
        </w:tc>
        <w:tc>
          <w:tcPr>
            <w:tcW w:w="1875" w:type="dxa"/>
            <w:vAlign w:val="center"/>
          </w:tcPr>
          <w:p>
            <w:pPr>
              <w:pStyle w:val="9"/>
              <w:spacing w:line="360" w:lineRule="auto"/>
              <w:jc w:val="center"/>
              <w:rPr>
                <w:rFonts w:asciiTheme="minorEastAsia" w:hAnsiTheme="minorEastAsia" w:eastAsiaTheme="minorEastAsia" w:cstheme="minorEastAsia"/>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1"/>
              <w:spacing w:line="360" w:lineRule="auto"/>
              <w:jc w:val="center"/>
              <w:rPr>
                <w:rFonts w:asciiTheme="minorEastAsia" w:hAnsiTheme="minorEastAsia" w:eastAsiaTheme="minorEastAsia" w:cstheme="minorEastAsia"/>
                <w:sz w:val="30"/>
                <w:szCs w:val="30"/>
              </w:rPr>
            </w:pPr>
          </w:p>
        </w:tc>
        <w:tc>
          <w:tcPr>
            <w:tcW w:w="1875" w:type="dxa"/>
            <w:vAlign w:val="center"/>
          </w:tcPr>
          <w:p>
            <w:pPr>
              <w:pStyle w:val="9"/>
              <w:spacing w:line="360" w:lineRule="auto"/>
              <w:jc w:val="center"/>
              <w:rPr>
                <w:rFonts w:asciiTheme="minorEastAsia" w:hAnsiTheme="minorEastAsia" w:eastAsiaTheme="minorEastAsia" w:cstheme="minorEastAsia"/>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bl>
    <w:p>
      <w:pPr>
        <w:pStyle w:val="9"/>
        <w:spacing w:line="360" w:lineRule="auto"/>
        <w:jc w:val="left"/>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供应商：（盖章）</w:t>
      </w:r>
    </w:p>
    <w:p>
      <w:pPr>
        <w:pStyle w:val="9"/>
        <w:wordWrap w:val="0"/>
        <w:spacing w:line="360" w:lineRule="auto"/>
        <w:ind w:firstLine="0"/>
        <w:rPr>
          <w:rFonts w:asciiTheme="minorEastAsia" w:hAnsiTheme="minorEastAsia" w:eastAsiaTheme="minorEastAsia" w:cstheme="minorEastAsia"/>
          <w:szCs w:val="30"/>
        </w:rPr>
      </w:pPr>
    </w:p>
    <w:p>
      <w:pPr>
        <w:pStyle w:val="9"/>
        <w:wordWrap w:val="0"/>
        <w:spacing w:line="360" w:lineRule="auto"/>
        <w:ind w:firstLine="0"/>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 xml:space="preserve">法定代表人或委托代理人：（签字或盖章）                               </w:t>
      </w:r>
    </w:p>
    <w:p>
      <w:pPr>
        <w:pStyle w:val="9"/>
        <w:wordWrap w:val="0"/>
        <w:spacing w:line="360" w:lineRule="auto"/>
        <w:ind w:firstLine="511" w:firstLineChars="213"/>
        <w:jc w:val="right"/>
        <w:rPr>
          <w:rFonts w:asciiTheme="minorEastAsia" w:hAnsiTheme="minorEastAsia" w:eastAsiaTheme="minorEastAsia" w:cstheme="minorEastAsia"/>
          <w:szCs w:val="30"/>
        </w:rPr>
      </w:pPr>
    </w:p>
    <w:p>
      <w:pPr>
        <w:pStyle w:val="9"/>
        <w:wordWrap w:val="0"/>
        <w:spacing w:line="360" w:lineRule="auto"/>
        <w:ind w:firstLine="511" w:firstLineChars="213"/>
        <w:jc w:val="right"/>
        <w:rPr>
          <w:rFonts w:asciiTheme="minorEastAsia" w:hAnsiTheme="minorEastAsia" w:eastAsiaTheme="minorEastAsia" w:cstheme="minorEastAsia"/>
          <w:szCs w:val="30"/>
        </w:rPr>
      </w:pPr>
    </w:p>
    <w:p>
      <w:pPr>
        <w:pStyle w:val="9"/>
        <w:wordWrap w:val="0"/>
        <w:spacing w:line="360" w:lineRule="auto"/>
        <w:ind w:firstLine="511" w:firstLineChars="213"/>
        <w:jc w:val="right"/>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szCs w:val="30"/>
        </w:rPr>
        <w:t>日期：    年  月   日</w:t>
      </w:r>
      <w:bookmarkStart w:id="692" w:name="_Toc414108650"/>
    </w:p>
    <w:p>
      <w:pPr>
        <w:pStyle w:val="10"/>
        <w:spacing w:line="360" w:lineRule="auto"/>
        <w:jc w:val="center"/>
        <w:rPr>
          <w:rFonts w:ascii="仿宋" w:hAnsi="仿宋" w:eastAsia="仿宋"/>
          <w:b/>
          <w:sz w:val="32"/>
          <w:szCs w:val="32"/>
        </w:rPr>
      </w:pPr>
      <w:r>
        <w:rPr>
          <w:rFonts w:hint="eastAsia" w:ascii="仿宋" w:hAnsi="仿宋" w:eastAsia="仿宋"/>
          <w:b/>
          <w:sz w:val="32"/>
          <w:szCs w:val="32"/>
        </w:rPr>
        <w:t>参加政府采购活动前三年内在经营活动中</w:t>
      </w:r>
    </w:p>
    <w:p>
      <w:pPr>
        <w:pStyle w:val="10"/>
        <w:spacing w:line="360" w:lineRule="auto"/>
        <w:jc w:val="center"/>
        <w:rPr>
          <w:rFonts w:ascii="仿宋" w:hAnsi="仿宋" w:eastAsia="仿宋"/>
          <w:b/>
          <w:sz w:val="32"/>
          <w:szCs w:val="32"/>
        </w:rPr>
      </w:pPr>
      <w:r>
        <w:rPr>
          <w:rFonts w:hint="eastAsia" w:ascii="仿宋" w:hAnsi="仿宋" w:eastAsia="仿宋"/>
          <w:b/>
          <w:sz w:val="32"/>
          <w:szCs w:val="32"/>
        </w:rPr>
        <w:t>没有重大违法记录的书面声明</w:t>
      </w:r>
    </w:p>
    <w:p>
      <w:pPr>
        <w:pStyle w:val="10"/>
        <w:spacing w:line="360" w:lineRule="auto"/>
        <w:rPr>
          <w:rFonts w:hint="eastAsia" w:ascii="仿宋" w:hAnsi="仿宋" w:eastAsia="仿宋"/>
          <w:sz w:val="28"/>
          <w:szCs w:val="28"/>
        </w:rPr>
      </w:pPr>
    </w:p>
    <w:p>
      <w:pPr>
        <w:pStyle w:val="10"/>
        <w:spacing w:line="360" w:lineRule="auto"/>
        <w:rPr>
          <w:rFonts w:ascii="仿宋" w:hAnsi="仿宋" w:eastAsia="仿宋" w:cs="MingLiU_HKSCS"/>
          <w:sz w:val="28"/>
          <w:szCs w:val="28"/>
        </w:rPr>
      </w:pPr>
      <w:r>
        <w:rPr>
          <w:rFonts w:hint="eastAsia" w:ascii="仿宋" w:hAnsi="仿宋" w:eastAsia="仿宋"/>
          <w:sz w:val="28"/>
          <w:szCs w:val="28"/>
        </w:rPr>
        <w:t>致</w:t>
      </w:r>
      <w:r>
        <w:rPr>
          <w:rFonts w:ascii="仿宋" w:hAnsi="仿宋" w:eastAsia="仿宋"/>
          <w:sz w:val="28"/>
          <w:szCs w:val="28"/>
        </w:rPr>
        <w:t>____________(</w:t>
      </w:r>
      <w:r>
        <w:rPr>
          <w:rFonts w:hint="eastAsia" w:ascii="仿宋" w:hAnsi="仿宋" w:eastAsia="仿宋"/>
          <w:sz w:val="28"/>
          <w:szCs w:val="28"/>
        </w:rPr>
        <w:t>采购人或采购代理机构</w:t>
      </w:r>
      <w:r>
        <w:rPr>
          <w:rFonts w:ascii="仿宋" w:hAnsi="仿宋" w:eastAsia="仿宋"/>
          <w:sz w:val="28"/>
          <w:szCs w:val="28"/>
        </w:rPr>
        <w:t>)</w:t>
      </w:r>
      <w:r>
        <w:rPr>
          <w:rFonts w:hint="eastAsia" w:ascii="仿宋" w:hAnsi="仿宋" w:eastAsia="仿宋"/>
          <w:sz w:val="28"/>
          <w:szCs w:val="28"/>
        </w:rPr>
        <w:t>：</w:t>
      </w:r>
    </w:p>
    <w:p>
      <w:pPr>
        <w:pStyle w:val="10"/>
        <w:spacing w:line="360" w:lineRule="auto"/>
        <w:ind w:firstLine="560" w:firstLineChars="200"/>
        <w:rPr>
          <w:rFonts w:ascii="仿宋" w:hAnsi="仿宋" w:eastAsia="仿宋" w:cs="MingLiU_HKSCS"/>
          <w:sz w:val="28"/>
          <w:szCs w:val="28"/>
        </w:rPr>
      </w:pPr>
      <w:r>
        <w:rPr>
          <w:rFonts w:hint="eastAsia" w:ascii="仿宋" w:hAnsi="仿宋" w:eastAsia="仿宋"/>
          <w:sz w:val="28"/>
          <w:szCs w:val="28"/>
        </w:rPr>
        <w:t>我单位在参加采购活动前三年内在经营活动中没有《政府采购法》第二十二条第一款第</w:t>
      </w:r>
      <w:r>
        <w:rPr>
          <w:rFonts w:ascii="仿宋" w:hAnsi="仿宋" w:eastAsia="仿宋"/>
          <w:sz w:val="28"/>
          <w:szCs w:val="28"/>
        </w:rPr>
        <w:t>(</w:t>
      </w:r>
      <w:r>
        <w:rPr>
          <w:rFonts w:hint="eastAsia" w:ascii="仿宋" w:hAnsi="仿宋" w:eastAsia="仿宋"/>
          <w:sz w:val="28"/>
          <w:szCs w:val="28"/>
        </w:rPr>
        <w:t>五</w:t>
      </w:r>
      <w:r>
        <w:rPr>
          <w:rFonts w:ascii="仿宋" w:hAnsi="仿宋" w:eastAsia="仿宋"/>
          <w:sz w:val="28"/>
          <w:szCs w:val="28"/>
        </w:rPr>
        <w:t>)</w:t>
      </w:r>
      <w:r>
        <w:rPr>
          <w:rFonts w:hint="eastAsia" w:ascii="仿宋" w:hAnsi="仿宋" w:eastAsia="仿宋"/>
          <w:sz w:val="28"/>
          <w:szCs w:val="28"/>
        </w:rPr>
        <w:t>项所称重大违法记录</w:t>
      </w:r>
      <w:r>
        <w:rPr>
          <w:rFonts w:hint="eastAsia" w:ascii="仿宋" w:hAnsi="仿宋" w:eastAsia="仿宋" w:cs="MingLiU_HKSCS"/>
          <w:sz w:val="28"/>
          <w:szCs w:val="28"/>
        </w:rPr>
        <w:t>，</w:t>
      </w:r>
      <w:r>
        <w:rPr>
          <w:rFonts w:hint="eastAsia" w:ascii="仿宋" w:hAnsi="仿宋" w:eastAsia="仿宋" w:cs="仿宋_GB2312"/>
          <w:sz w:val="28"/>
          <w:szCs w:val="28"/>
        </w:rPr>
        <w:t>包括：</w:t>
      </w:r>
    </w:p>
    <w:p>
      <w:pPr>
        <w:pStyle w:val="10"/>
        <w:spacing w:line="360" w:lineRule="auto"/>
        <w:ind w:firstLine="560" w:firstLineChars="200"/>
        <w:rPr>
          <w:rFonts w:ascii="仿宋" w:hAnsi="仿宋" w:eastAsia="仿宋" w:cs="MingLiU_HKSCS"/>
          <w:sz w:val="28"/>
          <w:szCs w:val="28"/>
        </w:rPr>
      </w:pPr>
      <w:r>
        <w:rPr>
          <w:rFonts w:hint="eastAsia" w:ascii="仿宋" w:hAnsi="仿宋" w:eastAsia="仿宋" w:cs="仿宋_GB2312"/>
          <w:sz w:val="28"/>
          <w:szCs w:val="28"/>
        </w:rPr>
        <w:t>我单位或者其法定代表人、董事、监事、高级管理人员未因经营活动中的违法行为受到刑事处罚或者</w:t>
      </w:r>
      <w:r>
        <w:rPr>
          <w:rFonts w:hint="eastAsia" w:ascii="仿宋" w:hAnsi="仿宋" w:eastAsia="仿宋"/>
          <w:sz w:val="28"/>
          <w:szCs w:val="28"/>
        </w:rPr>
        <w:t>责令停产停业、吊销许可证或者执照、较大数额罚款等行政处罚。</w:t>
      </w:r>
    </w:p>
    <w:p>
      <w:pPr>
        <w:pStyle w:val="10"/>
        <w:spacing w:line="360" w:lineRule="auto"/>
        <w:ind w:firstLine="560" w:firstLineChars="200"/>
        <w:rPr>
          <w:rFonts w:ascii="仿宋" w:hAnsi="仿宋" w:eastAsia="仿宋" w:cs="MingLiU_HKSCS"/>
          <w:sz w:val="28"/>
          <w:szCs w:val="28"/>
        </w:rPr>
      </w:pPr>
      <w:r>
        <w:rPr>
          <w:rFonts w:hint="eastAsia" w:ascii="仿宋" w:hAnsi="仿宋" w:eastAsia="仿宋" w:cs="仿宋_GB2312"/>
          <w:sz w:val="28"/>
          <w:szCs w:val="28"/>
        </w:rPr>
        <w:t>特此声明！</w:t>
      </w:r>
    </w:p>
    <w:p>
      <w:pPr>
        <w:pStyle w:val="10"/>
        <w:spacing w:line="360" w:lineRule="auto"/>
        <w:ind w:firstLine="560" w:firstLineChars="200"/>
        <w:rPr>
          <w:rFonts w:ascii="仿宋" w:hAnsi="仿宋" w:eastAsia="仿宋" w:cs="MingLiU_HKSCS"/>
          <w:sz w:val="28"/>
          <w:szCs w:val="28"/>
        </w:rPr>
      </w:pPr>
    </w:p>
    <w:p>
      <w:pPr>
        <w:pStyle w:val="10"/>
        <w:spacing w:line="360" w:lineRule="auto"/>
        <w:ind w:firstLine="560" w:firstLineChars="200"/>
        <w:rPr>
          <w:rFonts w:ascii="仿宋" w:hAnsi="仿宋" w:eastAsia="仿宋" w:cs="MingLiU_HKSCS"/>
          <w:sz w:val="28"/>
          <w:szCs w:val="28"/>
        </w:rPr>
      </w:pPr>
      <w:r>
        <w:rPr>
          <w:rFonts w:hint="eastAsia" w:ascii="仿宋" w:hAnsi="仿宋" w:eastAsia="仿宋" w:cs="仿宋_GB2312"/>
          <w:sz w:val="28"/>
          <w:szCs w:val="28"/>
        </w:rPr>
        <w:t>供应商名称</w:t>
      </w:r>
      <w:r>
        <w:rPr>
          <w:rFonts w:ascii="仿宋" w:hAnsi="仿宋" w:eastAsia="仿宋" w:cs="仿宋_GB2312"/>
          <w:sz w:val="28"/>
          <w:szCs w:val="28"/>
        </w:rPr>
        <w:t>(</w:t>
      </w:r>
      <w:r>
        <w:rPr>
          <w:rFonts w:hint="eastAsia" w:ascii="仿宋" w:hAnsi="仿宋" w:eastAsia="仿宋" w:cs="仿宋_GB2312"/>
          <w:sz w:val="28"/>
          <w:szCs w:val="28"/>
        </w:rPr>
        <w:t>公章</w:t>
      </w:r>
      <w:r>
        <w:rPr>
          <w:rFonts w:ascii="仿宋" w:hAnsi="仿宋" w:eastAsia="仿宋" w:cs="仿宋_GB2312"/>
          <w:sz w:val="28"/>
          <w:szCs w:val="28"/>
        </w:rPr>
        <w:t>)</w:t>
      </w:r>
      <w:r>
        <w:rPr>
          <w:rFonts w:hint="eastAsia" w:ascii="仿宋" w:hAnsi="仿宋" w:eastAsia="仿宋" w:cs="仿宋_GB2312"/>
          <w:sz w:val="28"/>
          <w:szCs w:val="28"/>
        </w:rPr>
        <w:t>：</w:t>
      </w:r>
      <w:r>
        <w:rPr>
          <w:rFonts w:ascii="仿宋" w:hAnsi="仿宋" w:eastAsia="仿宋"/>
          <w:sz w:val="28"/>
          <w:szCs w:val="28"/>
        </w:rPr>
        <w:t>________________</w:t>
      </w:r>
    </w:p>
    <w:p>
      <w:pPr>
        <w:pStyle w:val="10"/>
        <w:spacing w:line="360" w:lineRule="auto"/>
        <w:ind w:firstLine="560" w:firstLineChars="200"/>
        <w:rPr>
          <w:rFonts w:ascii="仿宋" w:hAnsi="仿宋" w:eastAsia="仿宋" w:cs="MingLiU_HKSCS"/>
          <w:sz w:val="28"/>
          <w:szCs w:val="28"/>
        </w:rPr>
      </w:pPr>
      <w:r>
        <w:rPr>
          <w:rFonts w:hint="eastAsia" w:ascii="仿宋" w:hAnsi="仿宋" w:eastAsia="仿宋"/>
          <w:sz w:val="28"/>
          <w:szCs w:val="28"/>
        </w:rPr>
        <w:t>法定代表人</w:t>
      </w:r>
      <w:r>
        <w:rPr>
          <w:rFonts w:ascii="仿宋" w:hAnsi="仿宋" w:eastAsia="仿宋"/>
          <w:sz w:val="28"/>
          <w:szCs w:val="28"/>
        </w:rPr>
        <w:t>(</w:t>
      </w:r>
      <w:r>
        <w:rPr>
          <w:rFonts w:hint="eastAsia" w:ascii="仿宋" w:hAnsi="仿宋" w:eastAsia="仿宋"/>
          <w:sz w:val="28"/>
          <w:szCs w:val="28"/>
        </w:rPr>
        <w:t>签字或盖章</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________________</w:t>
      </w:r>
    </w:p>
    <w:p>
      <w:pPr>
        <w:pStyle w:val="10"/>
        <w:spacing w:line="360" w:lineRule="auto"/>
        <w:ind w:firstLine="560" w:firstLineChars="200"/>
        <w:rPr>
          <w:rFonts w:ascii="仿宋" w:hAnsi="仿宋" w:eastAsia="仿宋" w:cs="MingLiU_HKSCS"/>
          <w:sz w:val="28"/>
          <w:szCs w:val="28"/>
        </w:rPr>
      </w:pPr>
      <w:r>
        <w:rPr>
          <w:rFonts w:hint="eastAsia" w:ascii="仿宋" w:hAnsi="仿宋" w:eastAsia="仿宋"/>
          <w:sz w:val="28"/>
          <w:szCs w:val="28"/>
        </w:rPr>
        <w:t>日期：</w:t>
      </w:r>
      <w:r>
        <w:rPr>
          <w:rFonts w:ascii="仿宋" w:hAnsi="仿宋" w:eastAsia="仿宋"/>
          <w:sz w:val="28"/>
          <w:szCs w:val="28"/>
        </w:rPr>
        <w:t>______</w:t>
      </w:r>
      <w:r>
        <w:rPr>
          <w:rFonts w:hint="eastAsia" w:ascii="仿宋" w:hAnsi="仿宋" w:eastAsia="仿宋"/>
          <w:sz w:val="28"/>
          <w:szCs w:val="28"/>
        </w:rPr>
        <w:t>年</w:t>
      </w:r>
      <w:r>
        <w:rPr>
          <w:rFonts w:ascii="仿宋" w:hAnsi="仿宋" w:eastAsia="仿宋"/>
          <w:sz w:val="28"/>
          <w:szCs w:val="28"/>
        </w:rPr>
        <w:t>______</w:t>
      </w:r>
      <w:r>
        <w:rPr>
          <w:rFonts w:hint="eastAsia" w:ascii="仿宋" w:hAnsi="仿宋" w:eastAsia="仿宋"/>
          <w:sz w:val="28"/>
          <w:szCs w:val="28"/>
        </w:rPr>
        <w:t>月</w:t>
      </w:r>
      <w:r>
        <w:rPr>
          <w:rFonts w:ascii="仿宋" w:hAnsi="仿宋" w:eastAsia="仿宋"/>
          <w:sz w:val="28"/>
          <w:szCs w:val="28"/>
        </w:rPr>
        <w:t>______</w:t>
      </w:r>
      <w:r>
        <w:rPr>
          <w:rFonts w:hint="eastAsia" w:ascii="仿宋" w:hAnsi="仿宋" w:eastAsia="仿宋"/>
          <w:sz w:val="28"/>
          <w:szCs w:val="28"/>
        </w:rPr>
        <w:t>日</w:t>
      </w:r>
    </w:p>
    <w:p>
      <w:pPr>
        <w:pStyle w:val="10"/>
        <w:spacing w:line="360" w:lineRule="auto"/>
        <w:ind w:firstLine="560" w:firstLineChars="200"/>
        <w:rPr>
          <w:rFonts w:hint="eastAsia" w:ascii="仿宋" w:hAnsi="仿宋" w:eastAsia="仿宋"/>
          <w:sz w:val="28"/>
          <w:szCs w:val="28"/>
        </w:rPr>
      </w:pPr>
      <w:r>
        <w:rPr>
          <w:rFonts w:hint="eastAsia" w:ascii="仿宋" w:hAnsi="仿宋" w:eastAsia="仿宋"/>
          <w:sz w:val="28"/>
          <w:szCs w:val="28"/>
        </w:rPr>
        <w:t>说明：授权用招标专用章的</w:t>
      </w:r>
      <w:r>
        <w:rPr>
          <w:rFonts w:hint="eastAsia" w:ascii="仿宋" w:hAnsi="仿宋" w:eastAsia="仿宋" w:cs="MingLiU_HKSCS"/>
          <w:sz w:val="28"/>
          <w:szCs w:val="28"/>
        </w:rPr>
        <w:t>，</w:t>
      </w:r>
      <w:r>
        <w:rPr>
          <w:rFonts w:hint="eastAsia" w:ascii="仿宋" w:hAnsi="仿宋" w:eastAsia="仿宋"/>
          <w:sz w:val="28"/>
          <w:szCs w:val="28"/>
        </w:rPr>
        <w:t>与公章具有相同法律效力。</w:t>
      </w:r>
    </w:p>
    <w:p>
      <w:pPr>
        <w:pStyle w:val="10"/>
        <w:spacing w:line="360" w:lineRule="auto"/>
        <w:ind w:firstLine="560" w:firstLineChars="200"/>
        <w:rPr>
          <w:rFonts w:hint="eastAsia" w:ascii="仿宋" w:hAnsi="仿宋" w:eastAsia="仿宋"/>
          <w:sz w:val="28"/>
          <w:szCs w:val="28"/>
        </w:rPr>
      </w:pPr>
    </w:p>
    <w:p>
      <w:pPr>
        <w:pStyle w:val="10"/>
        <w:spacing w:line="360" w:lineRule="auto"/>
        <w:ind w:firstLine="560" w:firstLineChars="200"/>
        <w:rPr>
          <w:rFonts w:hint="eastAsia" w:ascii="仿宋" w:hAnsi="仿宋" w:eastAsia="仿宋"/>
          <w:sz w:val="28"/>
          <w:szCs w:val="28"/>
        </w:rPr>
      </w:pPr>
    </w:p>
    <w:p>
      <w:pPr>
        <w:pStyle w:val="10"/>
        <w:spacing w:line="360" w:lineRule="auto"/>
        <w:ind w:firstLine="560" w:firstLineChars="200"/>
        <w:rPr>
          <w:rFonts w:hint="eastAsia" w:ascii="仿宋" w:hAnsi="仿宋" w:eastAsia="仿宋"/>
          <w:sz w:val="28"/>
          <w:szCs w:val="28"/>
        </w:rPr>
      </w:pPr>
    </w:p>
    <w:p>
      <w:pPr>
        <w:pStyle w:val="10"/>
        <w:spacing w:line="360" w:lineRule="auto"/>
        <w:ind w:firstLine="560" w:firstLineChars="200"/>
        <w:rPr>
          <w:rFonts w:hint="eastAsia" w:ascii="仿宋" w:hAnsi="仿宋" w:eastAsia="仿宋"/>
          <w:sz w:val="28"/>
          <w:szCs w:val="28"/>
        </w:rPr>
      </w:pPr>
    </w:p>
    <w:p>
      <w:pPr>
        <w:pStyle w:val="10"/>
        <w:spacing w:line="360" w:lineRule="auto"/>
        <w:ind w:firstLine="560" w:firstLineChars="200"/>
        <w:rPr>
          <w:rFonts w:hint="eastAsia" w:ascii="仿宋" w:hAnsi="仿宋" w:eastAsia="仿宋"/>
          <w:sz w:val="28"/>
          <w:szCs w:val="28"/>
        </w:rPr>
      </w:pPr>
    </w:p>
    <w:p>
      <w:pPr>
        <w:pStyle w:val="10"/>
        <w:spacing w:line="360" w:lineRule="auto"/>
        <w:ind w:firstLine="560" w:firstLineChars="200"/>
        <w:rPr>
          <w:rFonts w:hint="eastAsia" w:ascii="仿宋" w:hAnsi="仿宋" w:eastAsia="仿宋"/>
          <w:sz w:val="28"/>
          <w:szCs w:val="28"/>
        </w:rPr>
      </w:pPr>
    </w:p>
    <w:p>
      <w:pPr>
        <w:pStyle w:val="10"/>
        <w:spacing w:line="360" w:lineRule="auto"/>
        <w:ind w:firstLine="560" w:firstLineChars="200"/>
        <w:rPr>
          <w:rFonts w:hint="eastAsia" w:ascii="仿宋" w:hAnsi="仿宋" w:eastAsia="仿宋"/>
          <w:sz w:val="28"/>
          <w:szCs w:val="28"/>
        </w:rPr>
      </w:pPr>
    </w:p>
    <w:p>
      <w:pPr>
        <w:spacing w:before="101" w:line="228" w:lineRule="auto"/>
        <w:jc w:val="center"/>
        <w:outlineLvl w:val="1"/>
        <w:rPr>
          <w:rFonts w:ascii="宋体" w:hAnsi="宋体" w:eastAsia="宋体" w:cs="宋体"/>
          <w:sz w:val="20"/>
          <w:szCs w:val="20"/>
        </w:rPr>
      </w:pPr>
      <w:r>
        <w:rPr>
          <w:rFonts w:hint="eastAsia" w:ascii="仿宋" w:hAnsi="仿宋" w:eastAsia="仿宋" w:cs="Times New Roman"/>
          <w:b/>
          <w:kern w:val="2"/>
          <w:sz w:val="32"/>
          <w:szCs w:val="32"/>
          <w:lang w:val="en-US" w:eastAsia="zh-CN" w:bidi="ar-SA"/>
        </w:rPr>
        <w:t>中小企业声明函 (工程、服务)</w:t>
      </w:r>
      <w:r>
        <w:rPr>
          <w:rFonts w:hint="eastAsia" w:ascii="仿宋" w:hAnsi="仿宋" w:eastAsia="仿宋" w:cs="Times New Roman"/>
          <w:b/>
          <w:kern w:val="2"/>
          <w:sz w:val="28"/>
          <w:szCs w:val="28"/>
          <w:lang w:val="en-US" w:eastAsia="zh-CN" w:bidi="ar-SA"/>
        </w:rPr>
        <w:t xml:space="preserve"> </w:t>
      </w:r>
      <w:r>
        <w:rPr>
          <w:rFonts w:ascii="宋体" w:hAnsi="宋体" w:eastAsia="宋体" w:cs="宋体"/>
          <w:spacing w:val="20"/>
          <w:sz w:val="20"/>
          <w:szCs w:val="20"/>
        </w:rPr>
        <w:t>(可选</w:t>
      </w:r>
      <w:r>
        <w:rPr>
          <w:rFonts w:ascii="宋体" w:hAnsi="宋体" w:eastAsia="宋体" w:cs="宋体"/>
          <w:spacing w:val="16"/>
          <w:sz w:val="20"/>
          <w:szCs w:val="20"/>
        </w:rPr>
        <w:t>)</w:t>
      </w:r>
    </w:p>
    <w:p>
      <w:pPr>
        <w:spacing w:line="351" w:lineRule="auto"/>
        <w:rPr>
          <w:rFonts w:ascii="Arial"/>
          <w:sz w:val="21"/>
        </w:rPr>
      </w:pPr>
    </w:p>
    <w:p>
      <w:pPr>
        <w:spacing w:line="351" w:lineRule="auto"/>
        <w:rPr>
          <w:rFonts w:ascii="Arial"/>
          <w:sz w:val="28"/>
          <w:szCs w:val="28"/>
        </w:rPr>
      </w:pPr>
    </w:p>
    <w:p>
      <w:pPr>
        <w:ind w:firstLine="840" w:firstLineChars="300"/>
        <w:rPr>
          <w:rFonts w:hint="eastAsia" w:ascii="仿宋" w:hAnsi="仿宋" w:eastAsia="仿宋" w:cs="仿宋"/>
          <w:sz w:val="28"/>
          <w:szCs w:val="28"/>
        </w:rPr>
      </w:pPr>
      <w:r>
        <w:rPr>
          <w:rFonts w:hint="eastAsia" w:ascii="仿宋" w:hAnsi="仿宋" w:eastAsia="仿宋" w:cs="仿宋"/>
          <w:sz w:val="28"/>
          <w:szCs w:val="28"/>
        </w:rPr>
        <w:t>本公司郑重声明，根据《政府采购促进中小企业发展管理办法》（财库﹝2020﹞46号）的规定，本公司</w:t>
      </w:r>
      <w:r>
        <w:rPr>
          <w:rFonts w:hint="eastAsia" w:ascii="仿宋" w:hAnsi="仿宋" w:eastAsia="仿宋" w:cs="仿宋"/>
          <w:sz w:val="28"/>
          <w:szCs w:val="28"/>
          <w:lang w:eastAsia="zh-CN"/>
        </w:rPr>
        <w:t>（联合体）</w:t>
      </w:r>
      <w:r>
        <w:rPr>
          <w:rFonts w:hint="eastAsia" w:ascii="仿宋" w:hAnsi="仿宋" w:eastAsia="仿宋" w:cs="仿宋"/>
          <w:sz w:val="28"/>
          <w:szCs w:val="28"/>
        </w:rPr>
        <w:t>参加</w:t>
      </w:r>
      <w:r>
        <w:rPr>
          <w:rFonts w:hint="eastAsia" w:ascii="仿宋" w:hAnsi="仿宋" w:eastAsia="仿宋" w:cs="仿宋"/>
          <w:sz w:val="28"/>
          <w:szCs w:val="28"/>
          <w:u w:val="single"/>
        </w:rPr>
        <w:t>    （单位名称）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的</w:t>
      </w:r>
      <w:r>
        <w:rPr>
          <w:rFonts w:hint="eastAsia" w:ascii="仿宋" w:hAnsi="仿宋" w:eastAsia="仿宋" w:cs="仿宋"/>
          <w:sz w:val="28"/>
          <w:szCs w:val="28"/>
          <w:u w:val="single"/>
        </w:rPr>
        <w:t>（  项目名称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采购活动，工程的施工单位全部为符合政策要求的中小企业</w:t>
      </w:r>
      <w:r>
        <w:rPr>
          <w:rFonts w:hint="eastAsia" w:ascii="仿宋" w:hAnsi="仿宋" w:eastAsia="仿宋" w:cs="仿宋"/>
          <w:sz w:val="28"/>
          <w:szCs w:val="28"/>
          <w:lang w:eastAsia="zh-CN"/>
        </w:rPr>
        <w:t>（或者服务</w:t>
      </w:r>
      <w:r>
        <w:rPr>
          <w:rFonts w:hint="eastAsia" w:ascii="仿宋" w:hAnsi="仿宋" w:eastAsia="仿宋" w:cs="仿宋"/>
          <w:sz w:val="28"/>
          <w:szCs w:val="28"/>
        </w:rPr>
        <w:t>全部</w:t>
      </w:r>
      <w:r>
        <w:rPr>
          <w:rFonts w:hint="eastAsia" w:ascii="仿宋" w:hAnsi="仿宋" w:eastAsia="仿宋" w:cs="仿宋"/>
          <w:sz w:val="28"/>
          <w:szCs w:val="28"/>
          <w:lang w:eastAsia="zh-CN"/>
        </w:rPr>
        <w:t>由</w:t>
      </w:r>
      <w:r>
        <w:rPr>
          <w:rFonts w:hint="eastAsia" w:ascii="仿宋" w:hAnsi="仿宋" w:eastAsia="仿宋" w:cs="仿宋"/>
          <w:sz w:val="28"/>
          <w:szCs w:val="28"/>
        </w:rPr>
        <w:t>符合政策要求的中小企业</w:t>
      </w:r>
      <w:r>
        <w:rPr>
          <w:rFonts w:hint="eastAsia" w:ascii="仿宋" w:hAnsi="仿宋" w:eastAsia="仿宋" w:cs="仿宋"/>
          <w:sz w:val="28"/>
          <w:szCs w:val="28"/>
          <w:lang w:eastAsia="zh-CN"/>
        </w:rPr>
        <w:t>承接）</w:t>
      </w:r>
      <w:r>
        <w:rPr>
          <w:rFonts w:hint="eastAsia" w:ascii="仿宋" w:hAnsi="仿宋" w:eastAsia="仿宋" w:cs="仿宋"/>
          <w:sz w:val="28"/>
          <w:szCs w:val="28"/>
        </w:rPr>
        <w:t>。相关企业（含联合体中的中小企业、签订分包意向协议的中小企业）的具体情况如下：</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1.   </w:t>
      </w:r>
      <w:r>
        <w:rPr>
          <w:rFonts w:hint="eastAsia" w:ascii="仿宋" w:hAnsi="仿宋" w:eastAsia="仿宋" w:cs="仿宋"/>
          <w:sz w:val="28"/>
          <w:szCs w:val="28"/>
          <w:u w:val="single"/>
        </w:rPr>
        <w:t xml:space="preserve">（标的名称） </w:t>
      </w:r>
      <w:r>
        <w:rPr>
          <w:rFonts w:hint="eastAsia" w:ascii="仿宋" w:hAnsi="仿宋" w:eastAsia="仿宋" w:cs="仿宋"/>
          <w:sz w:val="28"/>
          <w:szCs w:val="28"/>
        </w:rPr>
        <w:t>，属于</w:t>
      </w:r>
      <w:r>
        <w:rPr>
          <w:rFonts w:hint="eastAsia" w:ascii="仿宋" w:hAnsi="仿宋" w:eastAsia="仿宋" w:cs="仿宋"/>
          <w:sz w:val="28"/>
          <w:szCs w:val="28"/>
          <w:u w:val="single"/>
        </w:rPr>
        <w:t>    （采购文件中明确的所属行业）</w:t>
      </w:r>
      <w:r>
        <w:rPr>
          <w:rFonts w:hint="eastAsia" w:ascii="仿宋" w:hAnsi="仿宋" w:eastAsia="仿宋" w:cs="仿宋"/>
          <w:sz w:val="28"/>
          <w:szCs w:val="28"/>
        </w:rPr>
        <w:t>；承建（承接）企业为</w:t>
      </w:r>
      <w:r>
        <w:rPr>
          <w:rFonts w:hint="eastAsia" w:ascii="仿宋" w:hAnsi="仿宋" w:eastAsia="仿宋" w:cs="仿宋"/>
          <w:sz w:val="28"/>
          <w:szCs w:val="28"/>
          <w:u w:val="single"/>
        </w:rPr>
        <w:t>    （企业名称）</w:t>
      </w:r>
      <w:r>
        <w:rPr>
          <w:rFonts w:hint="eastAsia" w:ascii="仿宋" w:hAnsi="仿宋" w:eastAsia="仿宋" w:cs="仿宋"/>
          <w:sz w:val="28"/>
          <w:szCs w:val="28"/>
        </w:rPr>
        <w:t>，从业人员</w:t>
      </w:r>
      <w:r>
        <w:rPr>
          <w:rFonts w:hint="eastAsia" w:ascii="仿宋" w:hAnsi="仿宋" w:eastAsia="仿宋" w:cs="仿宋"/>
          <w:sz w:val="28"/>
          <w:szCs w:val="28"/>
          <w:u w:val="single"/>
        </w:rPr>
        <w:t>    </w:t>
      </w:r>
      <w:r>
        <w:rPr>
          <w:rFonts w:hint="eastAsia" w:ascii="仿宋" w:hAnsi="仿宋" w:eastAsia="仿宋" w:cs="仿宋"/>
          <w:sz w:val="28"/>
          <w:szCs w:val="28"/>
        </w:rPr>
        <w:t>人，营业收入为</w:t>
      </w:r>
      <w:r>
        <w:rPr>
          <w:rFonts w:hint="eastAsia" w:ascii="仿宋" w:hAnsi="仿宋" w:eastAsia="仿宋" w:cs="仿宋"/>
          <w:sz w:val="28"/>
          <w:szCs w:val="28"/>
          <w:u w:val="single"/>
        </w:rPr>
        <w:t xml:space="preserve">     </w:t>
      </w:r>
      <w:r>
        <w:rPr>
          <w:rFonts w:hint="eastAsia" w:ascii="仿宋" w:hAnsi="仿宋" w:eastAsia="仿宋" w:cs="仿宋"/>
          <w:sz w:val="28"/>
          <w:szCs w:val="28"/>
        </w:rPr>
        <w:t>万元，资产总额为</w:t>
      </w:r>
      <w:r>
        <w:rPr>
          <w:rFonts w:hint="eastAsia" w:ascii="仿宋" w:hAnsi="仿宋" w:eastAsia="仿宋" w:cs="仿宋"/>
          <w:sz w:val="28"/>
          <w:szCs w:val="28"/>
          <w:u w:val="single"/>
        </w:rPr>
        <w:t xml:space="preserve">     </w:t>
      </w:r>
      <w:r>
        <w:rPr>
          <w:rFonts w:hint="eastAsia" w:ascii="仿宋" w:hAnsi="仿宋" w:eastAsia="仿宋" w:cs="仿宋"/>
          <w:sz w:val="28"/>
          <w:szCs w:val="28"/>
        </w:rPr>
        <w:t>万元</w:t>
      </w:r>
      <w:r>
        <w:rPr>
          <w:rFonts w:hint="eastAsia" w:ascii="仿宋" w:hAnsi="仿宋" w:eastAsia="仿宋" w:cs="仿宋"/>
          <w:sz w:val="28"/>
          <w:szCs w:val="28"/>
          <w:lang w:val="en-US" w:eastAsia="zh-CN"/>
        </w:rPr>
        <w:t>²</w:t>
      </w:r>
      <w:r>
        <w:rPr>
          <w:rFonts w:hint="eastAsia" w:ascii="仿宋" w:hAnsi="仿宋" w:eastAsia="仿宋" w:cs="仿宋"/>
          <w:sz w:val="28"/>
          <w:szCs w:val="28"/>
        </w:rPr>
        <w:t>，属于</w:t>
      </w:r>
      <w:r>
        <w:rPr>
          <w:rFonts w:hint="eastAsia" w:ascii="仿宋" w:hAnsi="仿宋" w:eastAsia="仿宋" w:cs="仿宋"/>
          <w:sz w:val="28"/>
          <w:szCs w:val="28"/>
          <w:u w:val="single"/>
        </w:rPr>
        <w:t>     （中型企业、小型企业、微型企业）</w:t>
      </w:r>
      <w:r>
        <w:rPr>
          <w:rFonts w:hint="eastAsia" w:ascii="仿宋" w:hAnsi="仿宋" w:eastAsia="仿宋" w:cs="仿宋"/>
          <w:sz w:val="28"/>
          <w:szCs w:val="28"/>
        </w:rPr>
        <w:t>；</w:t>
      </w:r>
    </w:p>
    <w:p>
      <w:pPr>
        <w:spacing w:line="267" w:lineRule="auto"/>
        <w:ind w:left="27" w:firstLine="560" w:firstLineChars="200"/>
        <w:rPr>
          <w:rFonts w:ascii="仿宋" w:hAnsi="仿宋" w:eastAsia="仿宋" w:cs="仿宋"/>
          <w:sz w:val="28"/>
          <w:szCs w:val="28"/>
        </w:rPr>
      </w:pPr>
      <w:r>
        <w:rPr>
          <w:rFonts w:hint="eastAsia" w:ascii="仿宋" w:hAnsi="仿宋" w:eastAsia="仿宋" w:cs="仿宋"/>
          <w:sz w:val="28"/>
          <w:szCs w:val="28"/>
        </w:rPr>
        <w:t>2. </w:t>
      </w:r>
      <w:r>
        <w:rPr>
          <w:rFonts w:hint="eastAsia" w:ascii="仿宋" w:hAnsi="仿宋" w:eastAsia="仿宋" w:cs="仿宋"/>
          <w:sz w:val="28"/>
          <w:szCs w:val="28"/>
          <w:u w:val="single"/>
        </w:rPr>
        <w:t>  （标的名称）</w:t>
      </w:r>
      <w:r>
        <w:rPr>
          <w:rFonts w:hint="eastAsia" w:ascii="仿宋" w:hAnsi="仿宋" w:eastAsia="仿宋" w:cs="仿宋"/>
          <w:sz w:val="28"/>
          <w:szCs w:val="28"/>
        </w:rPr>
        <w:t>，属于</w:t>
      </w:r>
      <w:r>
        <w:rPr>
          <w:rFonts w:hint="eastAsia" w:ascii="仿宋" w:hAnsi="仿宋" w:eastAsia="仿宋" w:cs="仿宋"/>
          <w:sz w:val="28"/>
          <w:szCs w:val="28"/>
          <w:u w:val="single"/>
        </w:rPr>
        <w:t>  （采购文件中明确的所属行业）</w:t>
      </w:r>
      <w:r>
        <w:rPr>
          <w:rFonts w:hint="eastAsia" w:ascii="仿宋" w:hAnsi="仿宋" w:eastAsia="仿宋" w:cs="仿宋"/>
          <w:sz w:val="28"/>
          <w:szCs w:val="28"/>
        </w:rPr>
        <w:t>行业；</w:t>
      </w:r>
      <w:r>
        <w:rPr>
          <w:rFonts w:hint="eastAsia" w:ascii="仿宋" w:hAnsi="仿宋" w:eastAsia="仿宋" w:cs="仿宋"/>
          <w:sz w:val="28"/>
          <w:szCs w:val="28"/>
          <w:lang w:eastAsia="zh-CN"/>
        </w:rPr>
        <w:t>承建（承接）企业</w:t>
      </w:r>
      <w:r>
        <w:rPr>
          <w:rFonts w:hint="eastAsia" w:ascii="仿宋" w:hAnsi="仿宋" w:eastAsia="仿宋" w:cs="仿宋"/>
          <w:sz w:val="28"/>
          <w:szCs w:val="28"/>
        </w:rPr>
        <w:t>为</w:t>
      </w:r>
      <w:r>
        <w:rPr>
          <w:rFonts w:hint="eastAsia" w:ascii="仿宋" w:hAnsi="仿宋" w:eastAsia="仿宋" w:cs="仿宋"/>
          <w:sz w:val="28"/>
          <w:szCs w:val="28"/>
          <w:u w:val="single"/>
        </w:rPr>
        <w:t>       （企业名称）</w:t>
      </w:r>
      <w:r>
        <w:rPr>
          <w:rFonts w:hint="eastAsia" w:ascii="仿宋" w:hAnsi="仿宋" w:eastAsia="仿宋" w:cs="仿宋"/>
          <w:sz w:val="28"/>
          <w:szCs w:val="28"/>
        </w:rPr>
        <w:t>，从业人员</w:t>
      </w:r>
      <w:r>
        <w:rPr>
          <w:rFonts w:hint="eastAsia" w:ascii="仿宋" w:hAnsi="仿宋" w:eastAsia="仿宋" w:cs="仿宋"/>
          <w:sz w:val="28"/>
          <w:szCs w:val="28"/>
          <w:u w:val="single"/>
        </w:rPr>
        <w:t>       </w:t>
      </w:r>
      <w:r>
        <w:rPr>
          <w:rFonts w:hint="eastAsia" w:ascii="仿宋" w:hAnsi="仿宋" w:eastAsia="仿宋" w:cs="仿宋"/>
          <w:sz w:val="28"/>
          <w:szCs w:val="28"/>
        </w:rPr>
        <w:t>人，营业收入为</w:t>
      </w:r>
      <w:r>
        <w:rPr>
          <w:rFonts w:hint="eastAsia" w:ascii="仿宋" w:hAnsi="仿宋" w:eastAsia="仿宋" w:cs="仿宋"/>
          <w:sz w:val="28"/>
          <w:szCs w:val="28"/>
          <w:u w:val="single"/>
        </w:rPr>
        <w:t>       </w:t>
      </w:r>
      <w:r>
        <w:rPr>
          <w:rFonts w:hint="eastAsia" w:ascii="仿宋" w:hAnsi="仿宋" w:eastAsia="仿宋" w:cs="仿宋"/>
          <w:sz w:val="28"/>
          <w:szCs w:val="28"/>
        </w:rPr>
        <w:t>万元，资产总额为</w:t>
      </w:r>
      <w:r>
        <w:rPr>
          <w:rFonts w:hint="eastAsia" w:ascii="仿宋" w:hAnsi="仿宋" w:eastAsia="仿宋" w:cs="仿宋"/>
          <w:sz w:val="28"/>
          <w:szCs w:val="28"/>
          <w:u w:val="single"/>
        </w:rPr>
        <w:t xml:space="preserve">       </w:t>
      </w:r>
      <w:r>
        <w:rPr>
          <w:rFonts w:hint="eastAsia" w:ascii="仿宋" w:hAnsi="仿宋" w:eastAsia="仿宋" w:cs="仿宋"/>
          <w:sz w:val="28"/>
          <w:szCs w:val="28"/>
        </w:rPr>
        <w:t>万元，属于</w:t>
      </w:r>
      <w:r>
        <w:rPr>
          <w:rFonts w:hint="eastAsia" w:ascii="仿宋" w:hAnsi="仿宋" w:eastAsia="仿宋" w:cs="仿宋"/>
          <w:sz w:val="28"/>
          <w:szCs w:val="28"/>
          <w:u w:val="single"/>
        </w:rPr>
        <w:t>     （中型企业、小型企业、微型企业）</w:t>
      </w:r>
      <w:r>
        <w:rPr>
          <w:rFonts w:ascii="仿宋" w:hAnsi="仿宋" w:eastAsia="仿宋" w:cs="仿宋"/>
          <w:spacing w:val="7"/>
          <w:sz w:val="28"/>
          <w:szCs w:val="28"/>
        </w:rPr>
        <w:t>；</w:t>
      </w:r>
    </w:p>
    <w:p>
      <w:pPr>
        <w:spacing w:line="334" w:lineRule="exact"/>
        <w:ind w:left="25"/>
        <w:rPr>
          <w:rFonts w:ascii="仿宋" w:hAnsi="仿宋" w:eastAsia="仿宋" w:cs="仿宋"/>
          <w:sz w:val="28"/>
          <w:szCs w:val="28"/>
        </w:rPr>
      </w:pPr>
      <w:r>
        <w:rPr>
          <w:rFonts w:ascii="仿宋" w:hAnsi="仿宋" w:eastAsia="仿宋" w:cs="仿宋"/>
          <w:spacing w:val="5"/>
          <w:position w:val="2"/>
          <w:sz w:val="28"/>
          <w:szCs w:val="28"/>
        </w:rPr>
        <w:t>……</w:t>
      </w:r>
    </w:p>
    <w:p>
      <w:pPr>
        <w:spacing w:before="2" w:line="266" w:lineRule="auto"/>
        <w:ind w:left="19" w:right="74" w:firstLine="501"/>
        <w:rPr>
          <w:rFonts w:ascii="仿宋" w:hAnsi="仿宋" w:eastAsia="仿宋" w:cs="仿宋"/>
          <w:sz w:val="28"/>
          <w:szCs w:val="28"/>
        </w:rPr>
      </w:pPr>
      <w:r>
        <w:rPr>
          <w:rFonts w:ascii="仿宋" w:hAnsi="仿宋" w:eastAsia="仿宋" w:cs="仿宋"/>
          <w:spacing w:val="16"/>
          <w:sz w:val="28"/>
          <w:szCs w:val="28"/>
        </w:rPr>
        <w:t>以上企</w:t>
      </w:r>
      <w:r>
        <w:rPr>
          <w:rFonts w:ascii="仿宋" w:hAnsi="仿宋" w:eastAsia="仿宋" w:cs="仿宋"/>
          <w:spacing w:val="10"/>
          <w:sz w:val="28"/>
          <w:szCs w:val="28"/>
        </w:rPr>
        <w:t>业</w:t>
      </w:r>
      <w:r>
        <w:rPr>
          <w:rFonts w:ascii="仿宋" w:hAnsi="仿宋" w:eastAsia="仿宋" w:cs="仿宋"/>
          <w:spacing w:val="8"/>
          <w:sz w:val="28"/>
          <w:szCs w:val="28"/>
        </w:rPr>
        <w:t>，不属于大企业的分支机构，不存在控股股东为大企业的情形，也不存在与</w:t>
      </w:r>
      <w:r>
        <w:rPr>
          <w:rFonts w:ascii="仿宋" w:hAnsi="仿宋" w:eastAsia="仿宋" w:cs="仿宋"/>
          <w:sz w:val="28"/>
          <w:szCs w:val="28"/>
        </w:rPr>
        <w:t xml:space="preserve"> </w:t>
      </w:r>
      <w:r>
        <w:rPr>
          <w:rFonts w:ascii="仿宋" w:hAnsi="仿宋" w:eastAsia="仿宋" w:cs="仿宋"/>
          <w:spacing w:val="9"/>
          <w:sz w:val="28"/>
          <w:szCs w:val="28"/>
        </w:rPr>
        <w:t>大</w:t>
      </w:r>
      <w:r>
        <w:rPr>
          <w:rFonts w:ascii="仿宋" w:hAnsi="仿宋" w:eastAsia="仿宋" w:cs="仿宋"/>
          <w:spacing w:val="8"/>
          <w:sz w:val="28"/>
          <w:szCs w:val="28"/>
        </w:rPr>
        <w:t>企业的负责人为同一人的情形。</w:t>
      </w:r>
    </w:p>
    <w:p>
      <w:pPr>
        <w:spacing w:line="228" w:lineRule="auto"/>
        <w:ind w:left="497"/>
        <w:rPr>
          <w:rFonts w:ascii="仿宋" w:hAnsi="仿宋" w:eastAsia="仿宋" w:cs="仿宋"/>
          <w:sz w:val="28"/>
          <w:szCs w:val="28"/>
        </w:rPr>
      </w:pPr>
      <w:r>
        <w:rPr>
          <w:rFonts w:ascii="仿宋" w:hAnsi="仿宋" w:eastAsia="仿宋" w:cs="仿宋"/>
          <w:spacing w:val="14"/>
          <w:sz w:val="28"/>
          <w:szCs w:val="28"/>
        </w:rPr>
        <w:t>本</w:t>
      </w:r>
      <w:r>
        <w:rPr>
          <w:rFonts w:ascii="仿宋" w:hAnsi="仿宋" w:eastAsia="仿宋" w:cs="仿宋"/>
          <w:spacing w:val="9"/>
          <w:sz w:val="28"/>
          <w:szCs w:val="28"/>
        </w:rPr>
        <w:t>企业对上述声明内容的真实性负责。如有虚假，将依法承担相应责任。</w:t>
      </w:r>
    </w:p>
    <w:p>
      <w:pPr>
        <w:spacing w:line="365" w:lineRule="auto"/>
        <w:rPr>
          <w:rFonts w:ascii="Arial"/>
          <w:sz w:val="28"/>
          <w:szCs w:val="28"/>
        </w:rPr>
      </w:pPr>
    </w:p>
    <w:p>
      <w:pPr>
        <w:spacing w:before="76" w:line="229" w:lineRule="auto"/>
        <w:ind w:left="5297"/>
        <w:rPr>
          <w:rFonts w:ascii="仿宋" w:hAnsi="仿宋" w:eastAsia="仿宋" w:cs="仿宋"/>
          <w:sz w:val="28"/>
          <w:szCs w:val="28"/>
        </w:rPr>
      </w:pPr>
      <w:r>
        <w:rPr>
          <w:rFonts w:ascii="仿宋" w:hAnsi="仿宋" w:eastAsia="仿宋" w:cs="仿宋"/>
          <w:color w:val="333333"/>
          <w:spacing w:val="6"/>
          <w:sz w:val="28"/>
          <w:szCs w:val="28"/>
        </w:rPr>
        <w:t xml:space="preserve">企业名称 (盖章) </w:t>
      </w:r>
      <w:r>
        <w:rPr>
          <w:rFonts w:ascii="仿宋" w:hAnsi="仿宋" w:eastAsia="仿宋" w:cs="仿宋"/>
          <w:color w:val="333333"/>
          <w:spacing w:val="4"/>
          <w:sz w:val="28"/>
          <w:szCs w:val="28"/>
        </w:rPr>
        <w:t>：</w:t>
      </w:r>
    </w:p>
    <w:p>
      <w:pPr>
        <w:spacing w:line="353" w:lineRule="auto"/>
        <w:rPr>
          <w:rFonts w:ascii="Arial"/>
          <w:sz w:val="28"/>
          <w:szCs w:val="28"/>
        </w:rPr>
      </w:pPr>
    </w:p>
    <w:p>
      <w:pPr>
        <w:spacing w:before="75" w:line="231" w:lineRule="auto"/>
        <w:ind w:left="5346"/>
        <w:rPr>
          <w:rFonts w:ascii="仿宋" w:hAnsi="仿宋" w:eastAsia="仿宋" w:cs="仿宋"/>
          <w:sz w:val="28"/>
          <w:szCs w:val="28"/>
        </w:rPr>
      </w:pPr>
      <w:r>
        <w:rPr>
          <w:rFonts w:ascii="仿宋" w:hAnsi="仿宋" w:eastAsia="仿宋" w:cs="仿宋"/>
          <w:color w:val="333333"/>
          <w:spacing w:val="-12"/>
          <w:sz w:val="28"/>
          <w:szCs w:val="28"/>
        </w:rPr>
        <w:t>日</w:t>
      </w:r>
      <w:r>
        <w:rPr>
          <w:rFonts w:ascii="仿宋" w:hAnsi="仿宋" w:eastAsia="仿宋" w:cs="仿宋"/>
          <w:color w:val="333333"/>
          <w:spacing w:val="-10"/>
          <w:sz w:val="28"/>
          <w:szCs w:val="28"/>
        </w:rPr>
        <w:t xml:space="preserve"> 期：</w:t>
      </w:r>
    </w:p>
    <w:p>
      <w:pPr>
        <w:spacing w:line="350" w:lineRule="auto"/>
        <w:rPr>
          <w:rFonts w:ascii="Arial"/>
          <w:sz w:val="28"/>
          <w:szCs w:val="28"/>
        </w:rPr>
      </w:pPr>
    </w:p>
    <w:p>
      <w:pPr>
        <w:spacing w:before="75" w:line="312" w:lineRule="exact"/>
        <w:ind w:left="26"/>
        <w:rPr>
          <w:rFonts w:hint="eastAsia" w:ascii="宋体" w:hAnsi="宋体" w:eastAsia="宋体" w:cs="宋体"/>
          <w:color w:val="333333"/>
          <w:spacing w:val="12"/>
          <w:position w:val="2"/>
          <w:sz w:val="24"/>
          <w:szCs w:val="24"/>
        </w:rPr>
      </w:pPr>
    </w:p>
    <w:p>
      <w:pPr>
        <w:spacing w:before="75" w:line="312" w:lineRule="exact"/>
        <w:ind w:left="26"/>
        <w:rPr>
          <w:rFonts w:hint="eastAsia" w:ascii="宋体" w:hAnsi="宋体" w:eastAsia="宋体" w:cs="宋体"/>
          <w:color w:val="333333"/>
          <w:spacing w:val="12"/>
          <w:position w:val="2"/>
          <w:sz w:val="24"/>
          <w:szCs w:val="24"/>
        </w:rPr>
      </w:pPr>
    </w:p>
    <w:p>
      <w:pPr>
        <w:spacing w:before="75" w:line="312" w:lineRule="exact"/>
        <w:ind w:left="26"/>
        <w:rPr>
          <w:rFonts w:hint="eastAsia" w:ascii="宋体" w:hAnsi="宋体" w:eastAsia="宋体" w:cs="宋体"/>
          <w:sz w:val="24"/>
          <w:szCs w:val="24"/>
        </w:rPr>
      </w:pPr>
      <w:r>
        <w:rPr>
          <w:rFonts w:hint="eastAsia" w:ascii="宋体" w:hAnsi="宋体" w:eastAsia="宋体" w:cs="宋体"/>
          <w:color w:val="333333"/>
          <w:spacing w:val="12"/>
          <w:position w:val="2"/>
          <w:sz w:val="24"/>
          <w:szCs w:val="24"/>
        </w:rPr>
        <w:t>1</w:t>
      </w:r>
      <w:r>
        <w:rPr>
          <w:rFonts w:hint="eastAsia" w:ascii="宋体" w:hAnsi="宋体" w:eastAsia="宋体" w:cs="宋体"/>
          <w:color w:val="333333"/>
          <w:spacing w:val="10"/>
          <w:position w:val="2"/>
          <w:sz w:val="24"/>
          <w:szCs w:val="24"/>
        </w:rPr>
        <w:t>、从业人员、营业收入、资产总额填报上一年度数据，无上一年度数据的新成立企业</w:t>
      </w:r>
      <w:r>
        <w:rPr>
          <w:rFonts w:hint="eastAsia" w:ascii="宋体" w:hAnsi="宋体" w:eastAsia="宋体" w:cs="宋体"/>
          <w:color w:val="333333"/>
          <w:spacing w:val="4"/>
          <w:sz w:val="24"/>
          <w:szCs w:val="24"/>
        </w:rPr>
        <w:t>不</w:t>
      </w:r>
      <w:r>
        <w:rPr>
          <w:rFonts w:hint="eastAsia" w:ascii="宋体" w:hAnsi="宋体" w:eastAsia="宋体" w:cs="宋体"/>
          <w:color w:val="333333"/>
          <w:spacing w:val="2"/>
          <w:sz w:val="24"/>
          <w:szCs w:val="24"/>
        </w:rPr>
        <w:t>填报。</w:t>
      </w:r>
    </w:p>
    <w:p>
      <w:pPr>
        <w:spacing w:before="35" w:line="312" w:lineRule="exact"/>
        <w:ind w:left="11"/>
        <w:outlineLvl w:val="2"/>
        <w:rPr>
          <w:rFonts w:hint="eastAsia" w:ascii="宋体" w:hAnsi="宋体" w:eastAsia="宋体" w:cs="宋体"/>
          <w:sz w:val="24"/>
          <w:szCs w:val="24"/>
        </w:rPr>
      </w:pPr>
      <w:r>
        <w:rPr>
          <w:rFonts w:hint="eastAsia" w:ascii="宋体" w:hAnsi="宋体" w:eastAsia="宋体" w:cs="宋体"/>
          <w:spacing w:val="25"/>
          <w:position w:val="2"/>
          <w:sz w:val="24"/>
          <w:szCs w:val="24"/>
        </w:rPr>
        <w:t>2</w:t>
      </w:r>
      <w:r>
        <w:rPr>
          <w:rFonts w:hint="eastAsia" w:ascii="宋体" w:hAnsi="宋体" w:eastAsia="宋体" w:cs="宋体"/>
          <w:spacing w:val="13"/>
          <w:position w:val="2"/>
          <w:sz w:val="24"/>
          <w:szCs w:val="24"/>
        </w:rPr>
        <w:t>、报价人为中小企业时需提供本声明函，并完整填写从业人员、营业收入、资产总额等</w:t>
      </w:r>
      <w:bookmarkStart w:id="693" w:name="_bookmark26"/>
      <w:bookmarkEnd w:id="693"/>
      <w:r>
        <w:rPr>
          <w:rFonts w:hint="eastAsia" w:ascii="宋体" w:hAnsi="宋体" w:eastAsia="宋体" w:cs="宋体"/>
          <w:spacing w:val="9"/>
          <w:sz w:val="24"/>
          <w:szCs w:val="24"/>
        </w:rPr>
        <w:t>内</w:t>
      </w:r>
      <w:r>
        <w:rPr>
          <w:rFonts w:hint="eastAsia" w:ascii="宋体" w:hAnsi="宋体" w:eastAsia="宋体" w:cs="宋体"/>
          <w:spacing w:val="8"/>
          <w:sz w:val="24"/>
          <w:szCs w:val="24"/>
        </w:rPr>
        <w:t>容，否则评审时不能享受相应的价格扣除。</w:t>
      </w:r>
    </w:p>
    <w:p>
      <w:pPr>
        <w:spacing w:line="299" w:lineRule="auto"/>
        <w:rPr>
          <w:rFonts w:ascii="Arial"/>
          <w:sz w:val="21"/>
        </w:rPr>
      </w:pPr>
    </w:p>
    <w:p>
      <w:pPr>
        <w:spacing w:line="299" w:lineRule="auto"/>
        <w:rPr>
          <w:rFonts w:ascii="Arial"/>
          <w:sz w:val="21"/>
        </w:rPr>
      </w:pPr>
    </w:p>
    <w:p>
      <w:pPr>
        <w:spacing w:before="101" w:line="226" w:lineRule="auto"/>
        <w:jc w:val="center"/>
        <w:outlineLvl w:val="1"/>
        <w:rPr>
          <w:rFonts w:hint="eastAsia" w:ascii="仿宋" w:hAnsi="仿宋" w:eastAsia="仿宋" w:cs="仿宋"/>
          <w:sz w:val="28"/>
          <w:szCs w:val="28"/>
        </w:rPr>
      </w:pPr>
      <w:r>
        <w:rPr>
          <w:rFonts w:hint="eastAsia" w:ascii="仿宋" w:hAnsi="仿宋" w:eastAsia="仿宋" w:cs="仿宋"/>
          <w:b/>
          <w:bCs/>
          <w:spacing w:val="13"/>
          <w:sz w:val="32"/>
          <w:szCs w:val="32"/>
        </w:rPr>
        <w:t>残疾人福利性单位声明函</w:t>
      </w:r>
      <w:r>
        <w:rPr>
          <w:rFonts w:hint="eastAsia" w:ascii="仿宋" w:hAnsi="仿宋" w:eastAsia="仿宋" w:cs="仿宋"/>
          <w:spacing w:val="13"/>
          <w:sz w:val="28"/>
          <w:szCs w:val="28"/>
        </w:rPr>
        <w:t xml:space="preserve"> (可选</w:t>
      </w:r>
      <w:r>
        <w:rPr>
          <w:rFonts w:hint="eastAsia" w:ascii="仿宋" w:hAnsi="仿宋" w:eastAsia="仿宋" w:cs="仿宋"/>
          <w:spacing w:val="12"/>
          <w:sz w:val="28"/>
          <w:szCs w:val="28"/>
        </w:rPr>
        <w:t>)</w:t>
      </w:r>
    </w:p>
    <w:p>
      <w:pPr>
        <w:spacing w:line="253" w:lineRule="auto"/>
        <w:rPr>
          <w:rFonts w:hint="eastAsia" w:ascii="仿宋" w:hAnsi="仿宋" w:eastAsia="仿宋" w:cs="仿宋"/>
          <w:sz w:val="28"/>
          <w:szCs w:val="28"/>
        </w:rPr>
      </w:pPr>
    </w:p>
    <w:p>
      <w:pPr>
        <w:ind w:firstLine="906" w:firstLineChars="300"/>
        <w:rPr>
          <w:rFonts w:hint="eastAsia" w:ascii="仿宋" w:hAnsi="仿宋" w:eastAsia="仿宋" w:cs="仿宋"/>
          <w:sz w:val="28"/>
          <w:szCs w:val="28"/>
        </w:rPr>
      </w:pPr>
      <w:r>
        <w:rPr>
          <w:rFonts w:hint="eastAsia" w:ascii="仿宋" w:hAnsi="仿宋" w:eastAsia="仿宋" w:cs="仿宋"/>
          <w:spacing w:val="11"/>
          <w:sz w:val="28"/>
          <w:szCs w:val="28"/>
        </w:rPr>
        <w:t>本</w:t>
      </w:r>
      <w:r>
        <w:rPr>
          <w:rFonts w:hint="eastAsia" w:ascii="仿宋" w:hAnsi="仿宋" w:eastAsia="仿宋" w:cs="仿宋"/>
          <w:spacing w:val="9"/>
          <w:sz w:val="28"/>
          <w:szCs w:val="28"/>
        </w:rPr>
        <w:t>单位郑重声明，根据《财政部民政部中国残疾人联合会关于促进残疾人就业政</w:t>
      </w:r>
      <w:r>
        <w:rPr>
          <w:rFonts w:hint="eastAsia" w:ascii="仿宋" w:hAnsi="仿宋" w:eastAsia="仿宋" w:cs="仿宋"/>
          <w:sz w:val="28"/>
          <w:szCs w:val="28"/>
        </w:rPr>
        <w:t xml:space="preserve"> </w:t>
      </w:r>
      <w:r>
        <w:rPr>
          <w:rFonts w:hint="eastAsia" w:ascii="仿宋" w:hAnsi="仿宋" w:eastAsia="仿宋" w:cs="仿宋"/>
          <w:spacing w:val="1"/>
          <w:sz w:val="28"/>
          <w:szCs w:val="28"/>
        </w:rPr>
        <w:t>府采购政策的通知》</w:t>
      </w:r>
      <w:r>
        <w:rPr>
          <w:rFonts w:hint="eastAsia" w:ascii="仿宋" w:hAnsi="仿宋" w:eastAsia="仿宋" w:cs="仿宋"/>
          <w:spacing w:val="1"/>
          <w:sz w:val="28"/>
          <w:szCs w:val="28"/>
          <w:lang w:val="en-US" w:eastAsia="zh-CN"/>
        </w:rPr>
        <w:t xml:space="preserve">  </w:t>
      </w:r>
      <w:r>
        <w:rPr>
          <w:rFonts w:hint="eastAsia" w:ascii="仿宋" w:hAnsi="仿宋" w:eastAsia="仿宋" w:cs="仿宋"/>
          <w:spacing w:val="1"/>
          <w:sz w:val="28"/>
          <w:szCs w:val="28"/>
        </w:rPr>
        <w:t>(财库</w:t>
      </w:r>
      <w:r>
        <w:rPr>
          <w:rFonts w:hint="eastAsia" w:ascii="仿宋" w:hAnsi="仿宋" w:eastAsia="仿宋" w:cs="仿宋"/>
          <w:spacing w:val="1"/>
          <w:sz w:val="28"/>
          <w:szCs w:val="28"/>
          <w:lang w:val="en-US" w:eastAsia="zh-CN"/>
        </w:rPr>
        <w:t xml:space="preserve">  </w:t>
      </w:r>
      <w:r>
        <w:rPr>
          <w:rFonts w:hint="eastAsia" w:ascii="仿宋" w:hAnsi="仿宋" w:eastAsia="仿宋" w:cs="仿宋"/>
          <w:spacing w:val="1"/>
          <w:sz w:val="28"/>
          <w:szCs w:val="28"/>
        </w:rPr>
        <w:t>〔2017</w:t>
      </w:r>
      <w:r>
        <w:rPr>
          <w:rFonts w:hint="eastAsia" w:ascii="仿宋" w:hAnsi="仿宋" w:eastAsia="仿宋" w:cs="仿宋"/>
          <w:sz w:val="28"/>
          <w:szCs w:val="28"/>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8"/>
          <w:szCs w:val="28"/>
        </w:rPr>
        <w:t>141 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的规定，本单位为符合条件的残疾人福利性</w:t>
      </w:r>
      <w:r>
        <w:rPr>
          <w:rFonts w:hint="eastAsia" w:ascii="仿宋" w:hAnsi="仿宋" w:eastAsia="仿宋" w:cs="仿宋"/>
          <w:spacing w:val="8"/>
          <w:sz w:val="28"/>
          <w:szCs w:val="28"/>
        </w:rPr>
        <w:t>单位，</w:t>
      </w:r>
      <w:r>
        <w:rPr>
          <w:rFonts w:hint="eastAsia" w:ascii="仿宋" w:hAnsi="仿宋" w:eastAsia="仿宋" w:cs="仿宋"/>
          <w:sz w:val="28"/>
          <w:szCs w:val="28"/>
        </w:rPr>
        <w:t>且本单位参加采购文件编号为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的项目采购活动提供本单位制造的服务或产品（由本单位承担工程/提供服务），或者提供其他残疾人福利性单位制造的服务或产品（不包括使用非残疾人福利性单位注册商标的服务或产品）。</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本单位在本次政府采购活动中提供的残疾人福利单位产品报价合计为人民币（大写）圆整（￥：     ）。</w:t>
      </w:r>
    </w:p>
    <w:p>
      <w:pPr>
        <w:spacing w:before="46" w:line="228" w:lineRule="auto"/>
        <w:ind w:left="497"/>
        <w:rPr>
          <w:rFonts w:hint="eastAsia" w:ascii="仿宋" w:hAnsi="仿宋" w:eastAsia="仿宋" w:cs="仿宋"/>
          <w:sz w:val="28"/>
          <w:szCs w:val="28"/>
        </w:rPr>
      </w:pPr>
      <w:r>
        <w:rPr>
          <w:rFonts w:hint="eastAsia" w:ascii="仿宋" w:hAnsi="仿宋" w:eastAsia="仿宋" w:cs="仿宋"/>
          <w:sz w:val="28"/>
          <w:szCs w:val="28"/>
        </w:rPr>
        <w:t>本单位对上述声明的真实性负责。如有虚假，将依法承担相应责任</w:t>
      </w:r>
      <w:r>
        <w:rPr>
          <w:rFonts w:hint="eastAsia" w:ascii="仿宋" w:hAnsi="仿宋" w:eastAsia="仿宋" w:cs="仿宋"/>
          <w:spacing w:val="9"/>
          <w:sz w:val="28"/>
          <w:szCs w:val="28"/>
        </w:rPr>
        <w:t>。</w:t>
      </w:r>
    </w:p>
    <w:p>
      <w:pPr>
        <w:spacing w:line="307" w:lineRule="auto"/>
        <w:rPr>
          <w:rFonts w:hint="eastAsia" w:ascii="仿宋" w:hAnsi="仿宋" w:eastAsia="仿宋" w:cs="仿宋"/>
          <w:sz w:val="28"/>
          <w:szCs w:val="28"/>
        </w:rPr>
      </w:pPr>
    </w:p>
    <w:p>
      <w:pPr>
        <w:spacing w:before="75" w:line="278" w:lineRule="auto"/>
        <w:ind w:left="15" w:right="70" w:firstLine="5"/>
        <w:rPr>
          <w:rFonts w:hint="eastAsia" w:ascii="仿宋" w:hAnsi="仿宋" w:eastAsia="仿宋" w:cs="仿宋"/>
          <w:sz w:val="28"/>
          <w:szCs w:val="28"/>
        </w:rPr>
      </w:pPr>
      <w:r>
        <w:rPr>
          <w:rFonts w:hint="eastAsia" w:ascii="仿宋" w:hAnsi="仿宋" w:eastAsia="仿宋" w:cs="仿宋"/>
          <w:spacing w:val="9"/>
          <w:sz w:val="28"/>
          <w:szCs w:val="28"/>
        </w:rPr>
        <w:t>(备注：1、供应商如不提供此声明函，价格将不做相应扣除。2、 中标供应商为残疾人</w:t>
      </w:r>
      <w:r>
        <w:rPr>
          <w:rFonts w:hint="eastAsia" w:ascii="仿宋" w:hAnsi="仿宋" w:eastAsia="仿宋" w:cs="仿宋"/>
          <w:spacing w:val="6"/>
          <w:sz w:val="28"/>
          <w:szCs w:val="28"/>
        </w:rPr>
        <w:t>福</w:t>
      </w:r>
      <w:r>
        <w:rPr>
          <w:rFonts w:hint="eastAsia" w:ascii="仿宋" w:hAnsi="仿宋" w:eastAsia="仿宋" w:cs="仿宋"/>
          <w:sz w:val="28"/>
          <w:szCs w:val="28"/>
        </w:rPr>
        <w:t xml:space="preserve"> </w:t>
      </w:r>
      <w:r>
        <w:rPr>
          <w:rFonts w:hint="eastAsia" w:ascii="仿宋" w:hAnsi="仿宋" w:eastAsia="仿宋" w:cs="仿宋"/>
          <w:spacing w:val="10"/>
          <w:sz w:val="28"/>
          <w:szCs w:val="28"/>
        </w:rPr>
        <w:t>利</w:t>
      </w:r>
      <w:r>
        <w:rPr>
          <w:rFonts w:hint="eastAsia" w:ascii="仿宋" w:hAnsi="仿宋" w:eastAsia="仿宋" w:cs="仿宋"/>
          <w:spacing w:val="9"/>
          <w:sz w:val="28"/>
          <w:szCs w:val="28"/>
        </w:rPr>
        <w:t>单位的，此声明函将随中标结果同时公告，接受社会监督)</w:t>
      </w:r>
    </w:p>
    <w:p>
      <w:pPr>
        <w:spacing w:before="139" w:line="499" w:lineRule="exact"/>
        <w:ind w:left="4214"/>
        <w:rPr>
          <w:rFonts w:hint="eastAsia" w:ascii="仿宋" w:hAnsi="仿宋" w:eastAsia="仿宋" w:cs="仿宋"/>
          <w:sz w:val="28"/>
          <w:szCs w:val="28"/>
        </w:rPr>
      </w:pPr>
      <w:r>
        <w:rPr>
          <w:rFonts w:hint="eastAsia" w:ascii="仿宋" w:hAnsi="仿宋" w:eastAsia="仿宋" w:cs="仿宋"/>
          <w:spacing w:val="8"/>
          <w:position w:val="20"/>
          <w:sz w:val="28"/>
          <w:szCs w:val="28"/>
        </w:rPr>
        <w:t>供</w:t>
      </w:r>
      <w:r>
        <w:rPr>
          <w:rFonts w:hint="eastAsia" w:ascii="仿宋" w:hAnsi="仿宋" w:eastAsia="仿宋" w:cs="仿宋"/>
          <w:spacing w:val="6"/>
          <w:position w:val="20"/>
          <w:sz w:val="28"/>
          <w:szCs w:val="28"/>
        </w:rPr>
        <w:t>应商全称 (盖章) ：</w:t>
      </w:r>
    </w:p>
    <w:p>
      <w:pPr>
        <w:spacing w:before="1" w:line="231" w:lineRule="auto"/>
        <w:ind w:left="4146"/>
        <w:rPr>
          <w:rFonts w:hint="eastAsia" w:ascii="仿宋" w:hAnsi="仿宋" w:eastAsia="仿宋" w:cs="仿宋"/>
          <w:sz w:val="28"/>
          <w:szCs w:val="28"/>
        </w:rPr>
      </w:pPr>
      <w:r>
        <w:rPr>
          <w:rFonts w:hint="eastAsia" w:ascii="仿宋" w:hAnsi="仿宋" w:eastAsia="仿宋" w:cs="仿宋"/>
          <w:spacing w:val="-9"/>
          <w:sz w:val="28"/>
          <w:szCs w:val="28"/>
        </w:rPr>
        <w:t>日</w:t>
      </w:r>
      <w:r>
        <w:rPr>
          <w:rFonts w:hint="eastAsia" w:ascii="仿宋" w:hAnsi="仿宋" w:eastAsia="仿宋" w:cs="仿宋"/>
          <w:spacing w:val="-7"/>
          <w:sz w:val="28"/>
          <w:szCs w:val="28"/>
        </w:rPr>
        <w:t xml:space="preserve">  期：</w:t>
      </w:r>
    </w:p>
    <w:p>
      <w:pPr>
        <w:spacing w:line="271" w:lineRule="auto"/>
        <w:rPr>
          <w:rFonts w:ascii="Arial"/>
          <w:sz w:val="21"/>
        </w:rPr>
      </w:pPr>
    </w:p>
    <w:p>
      <w:pPr>
        <w:spacing w:line="271"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101" w:line="228" w:lineRule="auto"/>
        <w:ind w:left="2677"/>
        <w:outlineLvl w:val="1"/>
        <w:rPr>
          <w:rFonts w:ascii="仿宋" w:hAnsi="仿宋" w:eastAsia="仿宋" w:cs="仿宋"/>
          <w:spacing w:val="13"/>
          <w:sz w:val="31"/>
          <w:szCs w:val="31"/>
        </w:rPr>
      </w:pPr>
      <w:bookmarkStart w:id="694" w:name="_bookmark27"/>
      <w:bookmarkEnd w:id="694"/>
    </w:p>
    <w:p>
      <w:pPr>
        <w:pStyle w:val="2"/>
        <w:numPr>
          <w:ilvl w:val="0"/>
          <w:numId w:val="0"/>
        </w:numPr>
        <w:ind w:leftChars="0"/>
      </w:pPr>
    </w:p>
    <w:p/>
    <w:p>
      <w:pPr>
        <w:spacing w:before="101" w:line="228" w:lineRule="auto"/>
        <w:jc w:val="both"/>
        <w:outlineLvl w:val="1"/>
        <w:rPr>
          <w:rFonts w:hint="eastAsia" w:ascii="仿宋" w:hAnsi="仿宋" w:eastAsia="仿宋" w:cs="仿宋"/>
          <w:b/>
          <w:bCs/>
          <w:spacing w:val="13"/>
          <w:sz w:val="32"/>
          <w:szCs w:val="32"/>
        </w:rPr>
      </w:pPr>
    </w:p>
    <w:p>
      <w:pPr>
        <w:spacing w:before="101" w:line="228" w:lineRule="auto"/>
        <w:jc w:val="center"/>
        <w:outlineLvl w:val="1"/>
        <w:rPr>
          <w:rFonts w:hint="eastAsia" w:ascii="仿宋" w:hAnsi="仿宋" w:eastAsia="仿宋" w:cs="仿宋"/>
          <w:sz w:val="28"/>
          <w:szCs w:val="28"/>
        </w:rPr>
      </w:pPr>
      <w:r>
        <w:rPr>
          <w:rFonts w:hint="eastAsia" w:ascii="仿宋" w:hAnsi="仿宋" w:eastAsia="仿宋" w:cs="仿宋"/>
          <w:b/>
          <w:bCs/>
          <w:spacing w:val="13"/>
          <w:sz w:val="32"/>
          <w:szCs w:val="32"/>
        </w:rPr>
        <w:t>监狱企业证明</w:t>
      </w:r>
      <w:r>
        <w:rPr>
          <w:rFonts w:hint="eastAsia" w:ascii="仿宋" w:hAnsi="仿宋" w:eastAsia="仿宋" w:cs="仿宋"/>
          <w:spacing w:val="13"/>
          <w:sz w:val="28"/>
          <w:szCs w:val="28"/>
        </w:rPr>
        <w:t xml:space="preserve"> (可选)</w:t>
      </w:r>
    </w:p>
    <w:p>
      <w:pPr>
        <w:spacing w:line="412" w:lineRule="auto"/>
        <w:rPr>
          <w:rFonts w:hint="eastAsia" w:ascii="仿宋" w:hAnsi="仿宋" w:eastAsia="仿宋" w:cs="仿宋"/>
          <w:sz w:val="28"/>
          <w:szCs w:val="28"/>
        </w:rPr>
      </w:pPr>
    </w:p>
    <w:p>
      <w:pPr>
        <w:spacing w:before="75" w:line="279" w:lineRule="auto"/>
        <w:ind w:left="21" w:firstLine="481"/>
        <w:rPr>
          <w:rFonts w:hint="eastAsia" w:ascii="仿宋" w:hAnsi="仿宋" w:eastAsia="仿宋" w:cs="仿宋"/>
          <w:sz w:val="28"/>
          <w:szCs w:val="28"/>
        </w:rPr>
      </w:pPr>
      <w:r>
        <w:rPr>
          <w:rFonts w:hint="eastAsia" w:ascii="仿宋" w:hAnsi="仿宋" w:eastAsia="仿宋" w:cs="仿宋"/>
          <w:spacing w:val="9"/>
          <w:sz w:val="28"/>
          <w:szCs w:val="28"/>
        </w:rPr>
        <w:t>注：1.监狱企业参加政府采购活动时，应当提供由省级以上监狱管理局、戒毒管理</w:t>
      </w:r>
      <w:r>
        <w:rPr>
          <w:rFonts w:hint="eastAsia" w:ascii="仿宋" w:hAnsi="仿宋" w:eastAsia="仿宋" w:cs="仿宋"/>
          <w:spacing w:val="7"/>
          <w:sz w:val="28"/>
          <w:szCs w:val="28"/>
        </w:rPr>
        <w:t>局</w:t>
      </w:r>
      <w:r>
        <w:rPr>
          <w:rFonts w:hint="eastAsia" w:ascii="仿宋" w:hAnsi="仿宋" w:eastAsia="仿宋" w:cs="仿宋"/>
          <w:sz w:val="28"/>
          <w:szCs w:val="28"/>
        </w:rPr>
        <w:t xml:space="preserve"> </w:t>
      </w:r>
      <w:r>
        <w:rPr>
          <w:rFonts w:hint="eastAsia" w:ascii="仿宋" w:hAnsi="仿宋" w:eastAsia="仿宋" w:cs="仿宋"/>
          <w:spacing w:val="16"/>
          <w:sz w:val="28"/>
          <w:szCs w:val="28"/>
        </w:rPr>
        <w:t>(</w:t>
      </w:r>
      <w:r>
        <w:rPr>
          <w:rFonts w:hint="eastAsia" w:ascii="仿宋" w:hAnsi="仿宋" w:eastAsia="仿宋" w:cs="仿宋"/>
          <w:spacing w:val="12"/>
          <w:sz w:val="28"/>
          <w:szCs w:val="28"/>
        </w:rPr>
        <w:t>含新疆生产建设兵团) 出具的属于监狱企业的证明文件，并加盖单位公章。</w:t>
      </w:r>
    </w:p>
    <w:p>
      <w:pPr>
        <w:pStyle w:val="10"/>
        <w:numPr>
          <w:ilvl w:val="0"/>
          <w:numId w:val="6"/>
        </w:numPr>
        <w:spacing w:line="360" w:lineRule="auto"/>
        <w:jc w:val="center"/>
        <w:rPr>
          <w:rFonts w:hint="eastAsia" w:ascii="仿宋" w:hAnsi="仿宋" w:eastAsia="仿宋" w:cs="仿宋"/>
          <w:spacing w:val="9"/>
          <w:sz w:val="28"/>
          <w:szCs w:val="28"/>
        </w:rPr>
      </w:pPr>
      <w:r>
        <w:rPr>
          <w:rFonts w:hint="eastAsia" w:ascii="仿宋" w:hAnsi="仿宋" w:eastAsia="仿宋" w:cs="仿宋"/>
          <w:spacing w:val="9"/>
          <w:sz w:val="28"/>
          <w:szCs w:val="28"/>
        </w:rPr>
        <w:t>监狱企业视同小型、微型企业，享受预留份额、评审中价格扣除等政府采购促进中</w:t>
      </w:r>
      <w:r>
        <w:rPr>
          <w:rFonts w:hint="eastAsia" w:ascii="仿宋" w:hAnsi="仿宋" w:eastAsia="仿宋" w:cs="仿宋"/>
          <w:sz w:val="28"/>
          <w:szCs w:val="28"/>
        </w:rPr>
        <w:t xml:space="preserve"> </w:t>
      </w:r>
      <w:r>
        <w:rPr>
          <w:rFonts w:hint="eastAsia" w:ascii="仿宋" w:hAnsi="仿宋" w:eastAsia="仿宋" w:cs="仿宋"/>
          <w:spacing w:val="18"/>
          <w:sz w:val="28"/>
          <w:szCs w:val="28"/>
        </w:rPr>
        <w:t>小</w:t>
      </w:r>
      <w:r>
        <w:rPr>
          <w:rFonts w:hint="eastAsia" w:ascii="仿宋" w:hAnsi="仿宋" w:eastAsia="仿宋" w:cs="仿宋"/>
          <w:spacing w:val="10"/>
          <w:sz w:val="28"/>
          <w:szCs w:val="28"/>
        </w:rPr>
        <w:t>企</w:t>
      </w:r>
      <w:r>
        <w:rPr>
          <w:rFonts w:hint="eastAsia" w:ascii="仿宋" w:hAnsi="仿宋" w:eastAsia="仿宋" w:cs="仿宋"/>
          <w:spacing w:val="9"/>
          <w:sz w:val="28"/>
          <w:szCs w:val="28"/>
        </w:rPr>
        <w:t>业发展的政府采购政策。监狱企业属于小型、微型企业的，</w:t>
      </w:r>
    </w:p>
    <w:p>
      <w:pPr>
        <w:pStyle w:val="10"/>
        <w:numPr>
          <w:ilvl w:val="0"/>
          <w:numId w:val="0"/>
        </w:numPr>
        <w:spacing w:line="360" w:lineRule="auto"/>
        <w:jc w:val="both"/>
        <w:rPr>
          <w:rFonts w:hint="eastAsia" w:ascii="仿宋" w:hAnsi="仿宋" w:eastAsia="仿宋" w:cs="仿宋"/>
          <w:spacing w:val="9"/>
          <w:sz w:val="28"/>
          <w:szCs w:val="28"/>
        </w:rPr>
      </w:pPr>
      <w:r>
        <w:rPr>
          <w:rFonts w:hint="eastAsia" w:ascii="仿宋" w:hAnsi="仿宋" w:eastAsia="仿宋" w:cs="仿宋"/>
          <w:spacing w:val="9"/>
          <w:sz w:val="28"/>
          <w:szCs w:val="28"/>
        </w:rPr>
        <w:t>不重复享受政策。</w:t>
      </w:r>
    </w:p>
    <w:p>
      <w:pPr>
        <w:pStyle w:val="10"/>
        <w:numPr>
          <w:ilvl w:val="0"/>
          <w:numId w:val="0"/>
        </w:numPr>
        <w:spacing w:line="360" w:lineRule="auto"/>
        <w:jc w:val="both"/>
        <w:rPr>
          <w:rFonts w:asciiTheme="minorEastAsia" w:hAnsiTheme="minorEastAsia" w:eastAsiaTheme="minorEastAsia" w:cstheme="minorEastAsia"/>
          <w:b/>
          <w:bCs/>
          <w:sz w:val="30"/>
          <w:szCs w:val="30"/>
        </w:rPr>
      </w:pPr>
    </w:p>
    <w:p>
      <w:pPr>
        <w:pStyle w:val="10"/>
        <w:numPr>
          <w:ilvl w:val="0"/>
          <w:numId w:val="0"/>
        </w:numPr>
        <w:spacing w:line="360" w:lineRule="auto"/>
        <w:jc w:val="both"/>
        <w:rPr>
          <w:rFonts w:asciiTheme="minorEastAsia" w:hAnsiTheme="minorEastAsia" w:eastAsiaTheme="minorEastAsia" w:cstheme="minorEastAsia"/>
          <w:b/>
          <w:bCs/>
          <w:sz w:val="30"/>
          <w:szCs w:val="30"/>
        </w:rPr>
      </w:pPr>
    </w:p>
    <w:p>
      <w:pPr>
        <w:pStyle w:val="10"/>
        <w:numPr>
          <w:ilvl w:val="0"/>
          <w:numId w:val="0"/>
        </w:numPr>
        <w:spacing w:line="360" w:lineRule="auto"/>
        <w:jc w:val="both"/>
        <w:rPr>
          <w:rFonts w:asciiTheme="minorEastAsia" w:hAnsiTheme="minorEastAsia" w:eastAsiaTheme="minorEastAsia" w:cstheme="minorEastAsia"/>
          <w:b/>
          <w:bCs/>
          <w:sz w:val="30"/>
          <w:szCs w:val="30"/>
        </w:rPr>
      </w:pPr>
    </w:p>
    <w:p>
      <w:pPr>
        <w:pStyle w:val="10"/>
        <w:numPr>
          <w:ilvl w:val="0"/>
          <w:numId w:val="0"/>
        </w:numPr>
        <w:spacing w:line="360" w:lineRule="auto"/>
        <w:jc w:val="both"/>
        <w:rPr>
          <w:rFonts w:asciiTheme="minorEastAsia" w:hAnsiTheme="minorEastAsia" w:eastAsiaTheme="minorEastAsia" w:cstheme="minorEastAsia"/>
          <w:b/>
          <w:bCs/>
          <w:sz w:val="30"/>
          <w:szCs w:val="30"/>
        </w:rPr>
      </w:pPr>
    </w:p>
    <w:p>
      <w:pPr>
        <w:pStyle w:val="10"/>
        <w:numPr>
          <w:ilvl w:val="0"/>
          <w:numId w:val="0"/>
        </w:numPr>
        <w:spacing w:line="360" w:lineRule="auto"/>
        <w:jc w:val="both"/>
        <w:rPr>
          <w:rFonts w:asciiTheme="minorEastAsia" w:hAnsiTheme="minorEastAsia" w:eastAsiaTheme="minorEastAsia" w:cstheme="minorEastAsia"/>
          <w:b/>
          <w:bCs/>
          <w:sz w:val="30"/>
          <w:szCs w:val="30"/>
        </w:rPr>
      </w:pPr>
    </w:p>
    <w:p>
      <w:pPr>
        <w:pStyle w:val="10"/>
        <w:numPr>
          <w:ilvl w:val="0"/>
          <w:numId w:val="0"/>
        </w:numPr>
        <w:spacing w:line="360" w:lineRule="auto"/>
        <w:jc w:val="both"/>
        <w:rPr>
          <w:rFonts w:asciiTheme="minorEastAsia" w:hAnsiTheme="minorEastAsia" w:eastAsiaTheme="minorEastAsia" w:cstheme="minorEastAsia"/>
          <w:b/>
          <w:bCs/>
          <w:sz w:val="30"/>
          <w:szCs w:val="30"/>
        </w:rPr>
      </w:pPr>
    </w:p>
    <w:p>
      <w:pPr>
        <w:pStyle w:val="10"/>
        <w:numPr>
          <w:ilvl w:val="0"/>
          <w:numId w:val="0"/>
        </w:numPr>
        <w:spacing w:line="360" w:lineRule="auto"/>
        <w:jc w:val="both"/>
        <w:rPr>
          <w:rFonts w:asciiTheme="minorEastAsia" w:hAnsiTheme="minorEastAsia" w:eastAsiaTheme="minorEastAsia" w:cstheme="minorEastAsia"/>
          <w:b/>
          <w:bCs/>
          <w:sz w:val="30"/>
          <w:szCs w:val="30"/>
        </w:rPr>
      </w:pPr>
    </w:p>
    <w:p>
      <w:pPr>
        <w:pStyle w:val="10"/>
        <w:numPr>
          <w:ilvl w:val="0"/>
          <w:numId w:val="0"/>
        </w:numPr>
        <w:spacing w:line="360" w:lineRule="auto"/>
        <w:jc w:val="both"/>
        <w:rPr>
          <w:rFonts w:asciiTheme="minorEastAsia" w:hAnsiTheme="minorEastAsia" w:eastAsiaTheme="minorEastAsia" w:cstheme="minorEastAsia"/>
          <w:b/>
          <w:bCs/>
          <w:sz w:val="30"/>
          <w:szCs w:val="30"/>
        </w:rPr>
      </w:pPr>
    </w:p>
    <w:p>
      <w:pPr>
        <w:pStyle w:val="10"/>
        <w:numPr>
          <w:ilvl w:val="0"/>
          <w:numId w:val="0"/>
        </w:numPr>
        <w:spacing w:line="360" w:lineRule="auto"/>
        <w:jc w:val="both"/>
        <w:rPr>
          <w:rFonts w:asciiTheme="minorEastAsia" w:hAnsiTheme="minorEastAsia" w:eastAsiaTheme="minorEastAsia" w:cstheme="minorEastAsia"/>
          <w:b/>
          <w:bCs/>
          <w:sz w:val="30"/>
          <w:szCs w:val="30"/>
        </w:rPr>
      </w:pPr>
    </w:p>
    <w:p>
      <w:pPr>
        <w:pStyle w:val="10"/>
        <w:numPr>
          <w:ilvl w:val="0"/>
          <w:numId w:val="0"/>
        </w:numPr>
        <w:spacing w:line="360" w:lineRule="auto"/>
        <w:jc w:val="both"/>
        <w:rPr>
          <w:rFonts w:asciiTheme="minorEastAsia" w:hAnsiTheme="minorEastAsia" w:eastAsiaTheme="minorEastAsia" w:cstheme="minorEastAsia"/>
          <w:b/>
          <w:bCs/>
          <w:sz w:val="30"/>
          <w:szCs w:val="30"/>
        </w:rPr>
      </w:pPr>
    </w:p>
    <w:p>
      <w:pPr>
        <w:pStyle w:val="10"/>
        <w:numPr>
          <w:ilvl w:val="0"/>
          <w:numId w:val="0"/>
        </w:numPr>
        <w:spacing w:line="360" w:lineRule="auto"/>
        <w:jc w:val="both"/>
        <w:rPr>
          <w:rFonts w:asciiTheme="minorEastAsia" w:hAnsiTheme="minorEastAsia" w:eastAsiaTheme="minorEastAsia" w:cstheme="minorEastAsia"/>
          <w:b/>
          <w:bCs/>
          <w:sz w:val="30"/>
          <w:szCs w:val="30"/>
        </w:rPr>
      </w:pPr>
    </w:p>
    <w:p>
      <w:pPr>
        <w:pStyle w:val="10"/>
        <w:numPr>
          <w:ilvl w:val="0"/>
          <w:numId w:val="0"/>
        </w:numPr>
        <w:spacing w:line="360" w:lineRule="auto"/>
        <w:jc w:val="both"/>
        <w:rPr>
          <w:rFonts w:asciiTheme="minorEastAsia" w:hAnsiTheme="minorEastAsia" w:eastAsiaTheme="minorEastAsia" w:cstheme="minorEastAsia"/>
          <w:b/>
          <w:bCs/>
          <w:sz w:val="30"/>
          <w:szCs w:val="30"/>
        </w:rPr>
      </w:pPr>
    </w:p>
    <w:p>
      <w:pPr>
        <w:pStyle w:val="10"/>
        <w:numPr>
          <w:ilvl w:val="0"/>
          <w:numId w:val="0"/>
        </w:numPr>
        <w:spacing w:line="360" w:lineRule="auto"/>
        <w:jc w:val="both"/>
        <w:rPr>
          <w:rFonts w:asciiTheme="minorEastAsia" w:hAnsiTheme="minorEastAsia" w:eastAsiaTheme="minorEastAsia" w:cstheme="minorEastAsia"/>
          <w:b/>
          <w:bCs/>
          <w:sz w:val="30"/>
          <w:szCs w:val="30"/>
        </w:rPr>
      </w:pPr>
    </w:p>
    <w:p>
      <w:pPr>
        <w:pStyle w:val="10"/>
        <w:numPr>
          <w:ilvl w:val="0"/>
          <w:numId w:val="0"/>
        </w:numPr>
        <w:spacing w:line="360" w:lineRule="auto"/>
        <w:jc w:val="both"/>
        <w:rPr>
          <w:rFonts w:asciiTheme="minorEastAsia" w:hAnsiTheme="minorEastAsia" w:eastAsiaTheme="minorEastAsia" w:cstheme="minorEastAsia"/>
          <w:b/>
          <w:bCs/>
          <w:sz w:val="30"/>
          <w:szCs w:val="30"/>
        </w:rPr>
      </w:pPr>
    </w:p>
    <w:p>
      <w:pPr>
        <w:pStyle w:val="10"/>
        <w:numPr>
          <w:ilvl w:val="0"/>
          <w:numId w:val="0"/>
        </w:numPr>
        <w:spacing w:line="360" w:lineRule="auto"/>
        <w:jc w:val="both"/>
        <w:rPr>
          <w:rFonts w:asciiTheme="minorEastAsia" w:hAnsiTheme="minorEastAsia" w:eastAsiaTheme="minorEastAsia" w:cstheme="minorEastAsia"/>
          <w:b/>
          <w:bCs/>
          <w:sz w:val="30"/>
          <w:szCs w:val="30"/>
        </w:rPr>
      </w:pPr>
    </w:p>
    <w:p>
      <w:pPr>
        <w:pStyle w:val="10"/>
        <w:numPr>
          <w:ilvl w:val="0"/>
          <w:numId w:val="0"/>
        </w:numPr>
        <w:spacing w:line="360" w:lineRule="auto"/>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“信用中国”网（www.creditchina.gov.cn）、中国政府采购网（www.ccgp.gov.cn）无违法违规行为的查询记录结果截图。</w:t>
      </w:r>
    </w:p>
    <w:p>
      <w:pPr>
        <w:spacing w:line="360" w:lineRule="auto"/>
        <w:jc w:val="left"/>
        <w:rPr>
          <w:rFonts w:ascii="黑体" w:hAnsi="黑体" w:eastAsia="黑体" w:cs="黑体"/>
          <w:sz w:val="32"/>
          <w:szCs w:val="32"/>
        </w:rPr>
      </w:pPr>
    </w:p>
    <w:p>
      <w:pPr>
        <w:pStyle w:val="18"/>
        <w:spacing w:line="360" w:lineRule="auto"/>
        <w:ind w:firstLine="640"/>
        <w:rPr>
          <w:rFonts w:ascii="黑体" w:hAnsi="黑体" w:eastAsia="黑体" w:cs="黑体"/>
          <w:sz w:val="32"/>
          <w:szCs w:val="32"/>
        </w:rPr>
      </w:pPr>
    </w:p>
    <w:p>
      <w:pPr>
        <w:pStyle w:val="18"/>
        <w:spacing w:line="360" w:lineRule="auto"/>
        <w:ind w:firstLine="640"/>
        <w:rPr>
          <w:rFonts w:ascii="黑体" w:hAnsi="黑体" w:eastAsia="黑体" w:cs="黑体"/>
          <w:sz w:val="32"/>
          <w:szCs w:val="32"/>
        </w:rPr>
      </w:pPr>
    </w:p>
    <w:p>
      <w:pPr>
        <w:pStyle w:val="18"/>
        <w:spacing w:line="360" w:lineRule="auto"/>
        <w:ind w:firstLine="640"/>
        <w:rPr>
          <w:rFonts w:ascii="黑体" w:hAnsi="黑体" w:eastAsia="黑体" w:cs="黑体"/>
          <w:sz w:val="32"/>
          <w:szCs w:val="32"/>
        </w:rPr>
      </w:pPr>
    </w:p>
    <w:p>
      <w:pPr>
        <w:pStyle w:val="18"/>
        <w:spacing w:line="360" w:lineRule="auto"/>
        <w:ind w:firstLine="640"/>
        <w:rPr>
          <w:rFonts w:ascii="黑体" w:hAnsi="黑体" w:eastAsia="黑体" w:cs="黑体"/>
          <w:sz w:val="32"/>
          <w:szCs w:val="32"/>
        </w:rPr>
      </w:pPr>
    </w:p>
    <w:p>
      <w:pPr>
        <w:pStyle w:val="18"/>
        <w:spacing w:line="360" w:lineRule="auto"/>
        <w:ind w:firstLine="640"/>
        <w:rPr>
          <w:rFonts w:ascii="黑体" w:hAnsi="黑体" w:eastAsia="黑体" w:cs="黑体"/>
          <w:sz w:val="32"/>
          <w:szCs w:val="32"/>
        </w:rPr>
      </w:pPr>
    </w:p>
    <w:p>
      <w:pPr>
        <w:pStyle w:val="18"/>
        <w:spacing w:line="360" w:lineRule="auto"/>
        <w:ind w:firstLine="640"/>
        <w:rPr>
          <w:rFonts w:ascii="黑体" w:hAnsi="黑体" w:eastAsia="黑体" w:cs="黑体"/>
          <w:sz w:val="32"/>
          <w:szCs w:val="32"/>
        </w:rPr>
      </w:pPr>
    </w:p>
    <w:p>
      <w:pPr>
        <w:pStyle w:val="18"/>
        <w:spacing w:line="360" w:lineRule="auto"/>
        <w:ind w:firstLine="640"/>
        <w:rPr>
          <w:rFonts w:ascii="黑体" w:hAnsi="黑体" w:eastAsia="黑体" w:cs="黑体"/>
          <w:sz w:val="32"/>
          <w:szCs w:val="32"/>
        </w:rPr>
      </w:pPr>
    </w:p>
    <w:p>
      <w:pPr>
        <w:pStyle w:val="18"/>
        <w:spacing w:line="360" w:lineRule="auto"/>
        <w:ind w:firstLine="640"/>
        <w:rPr>
          <w:rFonts w:ascii="黑体" w:hAnsi="黑体" w:eastAsia="黑体" w:cs="黑体"/>
          <w:sz w:val="32"/>
          <w:szCs w:val="32"/>
        </w:rPr>
      </w:pPr>
    </w:p>
    <w:p>
      <w:pPr>
        <w:pStyle w:val="18"/>
        <w:spacing w:line="360" w:lineRule="auto"/>
        <w:ind w:firstLine="640"/>
        <w:rPr>
          <w:rFonts w:ascii="黑体" w:hAnsi="黑体" w:eastAsia="黑体" w:cs="黑体"/>
          <w:sz w:val="32"/>
          <w:szCs w:val="32"/>
        </w:rPr>
      </w:pPr>
    </w:p>
    <w:p>
      <w:pPr>
        <w:pStyle w:val="18"/>
        <w:spacing w:line="360" w:lineRule="auto"/>
        <w:ind w:firstLine="640"/>
        <w:rPr>
          <w:rFonts w:ascii="黑体" w:hAnsi="黑体" w:eastAsia="黑体" w:cs="黑体"/>
          <w:sz w:val="32"/>
          <w:szCs w:val="32"/>
        </w:rPr>
      </w:pPr>
    </w:p>
    <w:p>
      <w:pPr>
        <w:pStyle w:val="18"/>
        <w:spacing w:line="360" w:lineRule="auto"/>
        <w:ind w:firstLine="640"/>
        <w:rPr>
          <w:rFonts w:ascii="黑体" w:hAnsi="黑体" w:eastAsia="黑体" w:cs="黑体"/>
          <w:sz w:val="32"/>
          <w:szCs w:val="32"/>
        </w:rPr>
      </w:pPr>
    </w:p>
    <w:p>
      <w:pPr>
        <w:pStyle w:val="18"/>
        <w:spacing w:line="360" w:lineRule="auto"/>
        <w:ind w:firstLine="640"/>
        <w:rPr>
          <w:rFonts w:ascii="黑体" w:hAnsi="黑体" w:eastAsia="黑体" w:cs="黑体"/>
          <w:sz w:val="32"/>
          <w:szCs w:val="32"/>
        </w:rPr>
      </w:pPr>
    </w:p>
    <w:p>
      <w:pPr>
        <w:pStyle w:val="18"/>
        <w:spacing w:line="360" w:lineRule="auto"/>
        <w:ind w:firstLine="640"/>
        <w:rPr>
          <w:rFonts w:ascii="黑体" w:hAnsi="黑体" w:eastAsia="黑体" w:cs="黑体"/>
          <w:sz w:val="32"/>
          <w:szCs w:val="32"/>
        </w:rPr>
      </w:pPr>
    </w:p>
    <w:p>
      <w:pPr>
        <w:pStyle w:val="18"/>
        <w:spacing w:line="360" w:lineRule="auto"/>
        <w:ind w:left="0" w:leftChars="0" w:firstLine="0" w:firstLineChars="0"/>
        <w:rPr>
          <w:rFonts w:ascii="黑体" w:hAnsi="黑体" w:eastAsia="黑体" w:cs="黑体"/>
          <w:sz w:val="32"/>
          <w:szCs w:val="32"/>
        </w:rPr>
      </w:pPr>
    </w:p>
    <w:p>
      <w:pPr>
        <w:pStyle w:val="10"/>
        <w:numPr>
          <w:ilvl w:val="0"/>
          <w:numId w:val="0"/>
        </w:numPr>
        <w:spacing w:line="360" w:lineRule="auto"/>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中标服务费承诺书</w:t>
      </w:r>
    </w:p>
    <w:p>
      <w:pPr>
        <w:widowControl/>
        <w:autoSpaceDE w:val="0"/>
        <w:autoSpaceDN w:val="0"/>
        <w:adjustRightInd w:val="0"/>
        <w:spacing w:line="360" w:lineRule="auto"/>
        <w:ind w:firstLine="480"/>
        <w:rPr>
          <w:rFonts w:ascii="宋体" w:hAnsi="宋体"/>
          <w:sz w:val="24"/>
          <w:szCs w:val="24"/>
        </w:rPr>
      </w:pPr>
      <w:r>
        <w:rPr>
          <w:rFonts w:hint="eastAsia" w:ascii="宋体" w:hAnsi="宋体" w:cs="宋体"/>
          <w:bCs/>
          <w:sz w:val="24"/>
          <w:szCs w:val="24"/>
          <w:lang w:val="zh-CN" w:eastAsia="zh-CN"/>
        </w:rPr>
        <w:t>中环建（北京）工程管理</w:t>
      </w:r>
      <w:r>
        <w:rPr>
          <w:rFonts w:hint="eastAsia" w:ascii="宋体" w:hAnsi="宋体" w:cs="宋体"/>
          <w:bCs/>
          <w:sz w:val="24"/>
          <w:szCs w:val="24"/>
          <w:lang w:val="zh-CN"/>
        </w:rPr>
        <w:t>有限公司</w:t>
      </w:r>
      <w:r>
        <w:rPr>
          <w:rFonts w:hint="eastAsia" w:ascii="宋体" w:hAnsi="宋体"/>
          <w:sz w:val="24"/>
          <w:szCs w:val="24"/>
        </w:rPr>
        <w:t>：</w:t>
      </w:r>
    </w:p>
    <w:p>
      <w:pPr>
        <w:widowControl/>
        <w:autoSpaceDE w:val="0"/>
        <w:autoSpaceDN w:val="0"/>
        <w:adjustRightInd w:val="0"/>
        <w:spacing w:line="360" w:lineRule="auto"/>
        <w:ind w:firstLine="1024" w:firstLineChars="427"/>
        <w:rPr>
          <w:rFonts w:ascii="宋体" w:hAnsi="宋体"/>
          <w:sz w:val="24"/>
          <w:szCs w:val="24"/>
        </w:rPr>
      </w:pPr>
      <w:r>
        <w:rPr>
          <w:rFonts w:hint="eastAsia" w:ascii="宋体" w:hAnsi="宋体"/>
          <w:sz w:val="24"/>
          <w:szCs w:val="24"/>
        </w:rPr>
        <w:t>我公司在贵公司组织的</w:t>
      </w:r>
      <w:r>
        <w:rPr>
          <w:rFonts w:hint="eastAsia" w:ascii="宋体" w:hAnsi="宋体"/>
          <w:sz w:val="24"/>
          <w:szCs w:val="24"/>
          <w:u w:val="single"/>
        </w:rPr>
        <w:t xml:space="preserve">         (项目名称）       （项目编号）</w:t>
      </w:r>
      <w:r>
        <w:rPr>
          <w:rFonts w:hint="eastAsia" w:ascii="宋体" w:hAnsi="宋体"/>
          <w:sz w:val="24"/>
          <w:szCs w:val="24"/>
        </w:rPr>
        <w:t>招标中若获中标，我公司承诺，保证在领取中标通知书前按招标书有关规定，电汇或贵公司认可的其他方式向贵公司支付中标服务费。</w:t>
      </w:r>
    </w:p>
    <w:p>
      <w:pPr>
        <w:widowControl/>
        <w:autoSpaceDE w:val="0"/>
        <w:autoSpaceDN w:val="0"/>
        <w:adjustRightInd w:val="0"/>
        <w:spacing w:line="360" w:lineRule="auto"/>
        <w:ind w:firstLine="480"/>
        <w:rPr>
          <w:rFonts w:ascii="宋体" w:hAnsi="宋体"/>
          <w:sz w:val="24"/>
          <w:szCs w:val="24"/>
        </w:rPr>
      </w:pPr>
      <w:r>
        <w:rPr>
          <w:rFonts w:hint="eastAsia" w:ascii="宋体" w:hAnsi="宋体"/>
          <w:sz w:val="24"/>
          <w:szCs w:val="24"/>
        </w:rPr>
        <w:t>特此承诺。</w:t>
      </w:r>
    </w:p>
    <w:p>
      <w:pPr>
        <w:widowControl/>
        <w:autoSpaceDE w:val="0"/>
        <w:autoSpaceDN w:val="0"/>
        <w:adjustRightInd w:val="0"/>
        <w:spacing w:line="360" w:lineRule="auto"/>
        <w:ind w:firstLine="480"/>
        <w:rPr>
          <w:rFonts w:ascii="宋体" w:hAnsi="宋体"/>
          <w:sz w:val="24"/>
          <w:szCs w:val="24"/>
        </w:rPr>
      </w:pPr>
    </w:p>
    <w:p>
      <w:pPr>
        <w:widowControl/>
        <w:autoSpaceDE w:val="0"/>
        <w:autoSpaceDN w:val="0"/>
        <w:adjustRightInd w:val="0"/>
        <w:spacing w:line="360" w:lineRule="auto"/>
        <w:ind w:firstLine="480"/>
        <w:rPr>
          <w:rFonts w:ascii="宋体" w:hAnsi="宋体"/>
          <w:sz w:val="24"/>
          <w:szCs w:val="24"/>
        </w:rPr>
      </w:pPr>
    </w:p>
    <w:p>
      <w:pPr>
        <w:widowControl/>
        <w:autoSpaceDE w:val="0"/>
        <w:autoSpaceDN w:val="0"/>
        <w:adjustRightInd w:val="0"/>
        <w:spacing w:line="360" w:lineRule="auto"/>
        <w:ind w:right="-481"/>
        <w:jc w:val="center"/>
        <w:rPr>
          <w:rFonts w:ascii="宋体" w:hAnsi="宋体"/>
          <w:sz w:val="24"/>
          <w:szCs w:val="24"/>
        </w:rPr>
      </w:pPr>
      <w:r>
        <w:rPr>
          <w:rFonts w:hint="eastAsia" w:ascii="宋体" w:hAnsi="宋体"/>
          <w:sz w:val="24"/>
          <w:szCs w:val="24"/>
        </w:rPr>
        <w:t xml:space="preserve">                      供应商名称(盖公章)：</w:t>
      </w:r>
    </w:p>
    <w:p>
      <w:pPr>
        <w:widowControl/>
        <w:autoSpaceDE w:val="0"/>
        <w:autoSpaceDN w:val="0"/>
        <w:adjustRightInd w:val="0"/>
        <w:spacing w:line="360" w:lineRule="auto"/>
        <w:ind w:right="-481"/>
        <w:jc w:val="center"/>
        <w:rPr>
          <w:rFonts w:ascii="宋体" w:hAnsi="宋体"/>
          <w:sz w:val="24"/>
          <w:szCs w:val="24"/>
        </w:rPr>
      </w:pPr>
      <w:r>
        <w:rPr>
          <w:rFonts w:hint="eastAsia" w:ascii="宋体" w:hAnsi="宋体"/>
          <w:sz w:val="24"/>
          <w:szCs w:val="24"/>
        </w:rPr>
        <w:t xml:space="preserve">                       法定代表人（签字）：</w:t>
      </w:r>
    </w:p>
    <w:p>
      <w:pPr>
        <w:widowControl/>
        <w:autoSpaceDE w:val="0"/>
        <w:autoSpaceDN w:val="0"/>
        <w:adjustRightInd w:val="0"/>
        <w:spacing w:line="360" w:lineRule="auto"/>
        <w:ind w:right="-481" w:firstLine="720"/>
        <w:jc w:val="center"/>
        <w:rPr>
          <w:rFonts w:ascii="宋体" w:hAnsi="宋体"/>
          <w:sz w:val="24"/>
          <w:szCs w:val="24"/>
        </w:rPr>
      </w:pPr>
      <w:r>
        <w:rPr>
          <w:rFonts w:hint="eastAsia" w:ascii="宋体" w:hAnsi="宋体"/>
          <w:color w:val="C00000"/>
          <w:szCs w:val="21"/>
        </w:rPr>
        <w:t xml:space="preserve">            </w:t>
      </w:r>
      <w:r>
        <w:rPr>
          <w:rFonts w:hint="eastAsia" w:ascii="宋体" w:hAnsi="宋体"/>
          <w:sz w:val="24"/>
          <w:szCs w:val="24"/>
        </w:rPr>
        <w:t xml:space="preserve">     年   月   日</w:t>
      </w:r>
    </w:p>
    <w:p>
      <w:pPr>
        <w:pStyle w:val="7"/>
        <w:spacing w:line="360" w:lineRule="auto"/>
        <w:ind w:firstLine="480"/>
        <w:rPr>
          <w:rFonts w:ascii="宋体" w:hAnsi="宋体"/>
          <w:sz w:val="24"/>
        </w:rPr>
      </w:pPr>
    </w:p>
    <w:p>
      <w:pPr>
        <w:pStyle w:val="7"/>
        <w:spacing w:line="360" w:lineRule="auto"/>
        <w:ind w:firstLine="480"/>
        <w:rPr>
          <w:rFonts w:ascii="宋体" w:hAnsi="宋体"/>
          <w:sz w:val="24"/>
        </w:rPr>
      </w:pPr>
    </w:p>
    <w:p>
      <w:pPr>
        <w:pStyle w:val="7"/>
        <w:spacing w:line="360" w:lineRule="auto"/>
        <w:ind w:firstLine="480"/>
        <w:rPr>
          <w:rFonts w:ascii="宋体" w:hAnsi="宋体"/>
          <w:sz w:val="24"/>
        </w:rPr>
      </w:pPr>
    </w:p>
    <w:p>
      <w:pPr>
        <w:pStyle w:val="7"/>
        <w:spacing w:line="360" w:lineRule="auto"/>
        <w:ind w:firstLine="480"/>
        <w:rPr>
          <w:rFonts w:ascii="宋体" w:hAnsi="宋体"/>
          <w:sz w:val="24"/>
        </w:rPr>
      </w:pPr>
    </w:p>
    <w:p>
      <w:pPr>
        <w:pStyle w:val="7"/>
        <w:spacing w:line="360" w:lineRule="auto"/>
        <w:ind w:firstLine="480"/>
        <w:rPr>
          <w:rFonts w:ascii="宋体" w:hAnsi="宋体"/>
          <w:sz w:val="24"/>
        </w:rPr>
      </w:pPr>
    </w:p>
    <w:p>
      <w:pPr>
        <w:pStyle w:val="7"/>
        <w:spacing w:line="360" w:lineRule="auto"/>
        <w:ind w:firstLine="480"/>
        <w:rPr>
          <w:rFonts w:ascii="宋体" w:hAnsi="宋体"/>
          <w:sz w:val="24"/>
        </w:rPr>
      </w:pPr>
    </w:p>
    <w:p>
      <w:pPr>
        <w:pStyle w:val="7"/>
        <w:spacing w:line="360" w:lineRule="auto"/>
        <w:ind w:firstLine="480"/>
        <w:rPr>
          <w:rFonts w:ascii="宋体" w:hAnsi="宋体"/>
          <w:sz w:val="24"/>
        </w:rPr>
      </w:pPr>
    </w:p>
    <w:p>
      <w:pPr>
        <w:pStyle w:val="7"/>
        <w:spacing w:line="360" w:lineRule="auto"/>
        <w:ind w:firstLine="480"/>
        <w:rPr>
          <w:rFonts w:ascii="宋体" w:hAnsi="宋体"/>
          <w:sz w:val="24"/>
        </w:rPr>
      </w:pPr>
    </w:p>
    <w:p>
      <w:pPr>
        <w:pStyle w:val="7"/>
        <w:spacing w:line="360" w:lineRule="auto"/>
        <w:ind w:firstLine="480"/>
        <w:rPr>
          <w:rFonts w:ascii="宋体" w:hAnsi="宋体"/>
          <w:sz w:val="24"/>
        </w:rPr>
      </w:pPr>
    </w:p>
    <w:p>
      <w:pPr>
        <w:pStyle w:val="7"/>
        <w:spacing w:line="360" w:lineRule="auto"/>
        <w:ind w:firstLine="480"/>
        <w:rPr>
          <w:rFonts w:ascii="宋体" w:hAnsi="宋体"/>
          <w:sz w:val="24"/>
        </w:rPr>
      </w:pPr>
    </w:p>
    <w:p>
      <w:pPr>
        <w:pStyle w:val="7"/>
        <w:spacing w:line="360" w:lineRule="auto"/>
        <w:ind w:firstLine="480"/>
        <w:rPr>
          <w:rFonts w:ascii="宋体" w:hAnsi="宋体"/>
          <w:sz w:val="24"/>
        </w:rPr>
      </w:pPr>
    </w:p>
    <w:p>
      <w:pPr>
        <w:numPr>
          <w:ilvl w:val="0"/>
          <w:numId w:val="0"/>
        </w:numPr>
        <w:spacing w:line="480" w:lineRule="exact"/>
        <w:jc w:val="center"/>
        <w:rPr>
          <w:rFonts w:ascii="黑体" w:hAnsi="黑体" w:eastAsia="黑体" w:cs="黑体"/>
          <w:sz w:val="32"/>
          <w:szCs w:val="32"/>
        </w:rPr>
      </w:pPr>
      <w:r>
        <w:rPr>
          <w:rFonts w:hint="eastAsia" w:ascii="黑体" w:hAnsi="黑体" w:eastAsia="黑体" w:cs="黑体"/>
          <w:sz w:val="32"/>
          <w:szCs w:val="32"/>
        </w:rPr>
        <w:t>投标保证金（投标保证金收据复印件）</w:t>
      </w:r>
    </w:p>
    <w:p>
      <w:pPr>
        <w:spacing w:line="360" w:lineRule="auto"/>
      </w:pPr>
    </w:p>
    <w:p>
      <w:pPr>
        <w:pStyle w:val="31"/>
        <w:ind w:firstLine="420"/>
      </w:pPr>
    </w:p>
    <w:p>
      <w:pPr>
        <w:pStyle w:val="31"/>
        <w:ind w:firstLine="420"/>
      </w:pPr>
    </w:p>
    <w:p>
      <w:pPr>
        <w:pStyle w:val="4"/>
        <w:spacing w:line="360" w:lineRule="auto"/>
        <w:jc w:val="center"/>
        <w:rPr>
          <w:rFonts w:hint="eastAsia" w:asciiTheme="minorEastAsia" w:hAnsiTheme="minorEastAsia" w:eastAsiaTheme="minorEastAsia" w:cstheme="minorEastAsia"/>
          <w:lang w:val="zh-CN"/>
        </w:rPr>
      </w:pPr>
    </w:p>
    <w:p>
      <w:pPr>
        <w:pStyle w:val="4"/>
        <w:spacing w:line="360" w:lineRule="auto"/>
        <w:jc w:val="center"/>
        <w:rPr>
          <w:rFonts w:hint="eastAsia" w:asciiTheme="minorEastAsia" w:hAnsiTheme="minorEastAsia" w:eastAsiaTheme="minorEastAsia" w:cstheme="minorEastAsia"/>
          <w:lang w:val="zh-CN"/>
        </w:rPr>
      </w:pPr>
    </w:p>
    <w:p>
      <w:pPr>
        <w:pStyle w:val="4"/>
        <w:spacing w:line="360" w:lineRule="auto"/>
        <w:jc w:val="center"/>
        <w:rPr>
          <w:rFonts w:hint="eastAsia" w:asciiTheme="minorEastAsia" w:hAnsiTheme="minorEastAsia" w:eastAsiaTheme="minorEastAsia" w:cstheme="minorEastAsia"/>
          <w:lang w:val="zh-CN"/>
        </w:rPr>
      </w:pPr>
    </w:p>
    <w:p>
      <w:pPr>
        <w:pStyle w:val="4"/>
        <w:spacing w:line="360" w:lineRule="auto"/>
        <w:jc w:val="center"/>
        <w:rPr>
          <w:rFonts w:hint="eastAsia" w:asciiTheme="minorEastAsia" w:hAnsiTheme="minorEastAsia" w:eastAsiaTheme="minorEastAsia" w:cstheme="minorEastAsia"/>
          <w:lang w:val="zh-CN"/>
        </w:rPr>
      </w:pPr>
    </w:p>
    <w:p>
      <w:pPr>
        <w:pStyle w:val="4"/>
        <w:spacing w:line="360" w:lineRule="auto"/>
        <w:jc w:val="center"/>
        <w:rPr>
          <w:rFonts w:hint="eastAsia" w:asciiTheme="minorEastAsia" w:hAnsiTheme="minorEastAsia" w:eastAsiaTheme="minorEastAsia" w:cstheme="minorEastAsia"/>
          <w:lang w:val="zh-CN"/>
        </w:rPr>
      </w:pPr>
    </w:p>
    <w:p>
      <w:pPr>
        <w:pStyle w:val="4"/>
        <w:spacing w:line="360" w:lineRule="auto"/>
        <w:jc w:val="center"/>
        <w:rPr>
          <w:rFonts w:hint="eastAsia" w:asciiTheme="minorEastAsia" w:hAnsiTheme="minorEastAsia" w:eastAsiaTheme="minorEastAsia" w:cstheme="minorEastAsia"/>
          <w:lang w:val="zh-CN"/>
        </w:rPr>
      </w:pPr>
    </w:p>
    <w:p>
      <w:pPr>
        <w:pStyle w:val="4"/>
        <w:spacing w:line="360" w:lineRule="auto"/>
        <w:jc w:val="center"/>
        <w:rPr>
          <w:rFonts w:hint="eastAsia" w:asciiTheme="minorEastAsia" w:hAnsiTheme="minorEastAsia" w:eastAsiaTheme="minorEastAsia" w:cstheme="minorEastAsia"/>
          <w:lang w:val="zh-CN"/>
        </w:rPr>
      </w:pPr>
    </w:p>
    <w:p>
      <w:pPr>
        <w:pStyle w:val="4"/>
        <w:spacing w:line="360" w:lineRule="auto"/>
        <w:jc w:val="center"/>
        <w:rPr>
          <w:rFonts w:hint="eastAsia" w:asciiTheme="minorEastAsia" w:hAnsiTheme="minorEastAsia" w:eastAsiaTheme="minorEastAsia" w:cstheme="minorEastAsia"/>
          <w:lang w:val="zh-CN"/>
        </w:rPr>
      </w:pPr>
    </w:p>
    <w:p>
      <w:pPr>
        <w:pStyle w:val="4"/>
        <w:spacing w:line="360" w:lineRule="auto"/>
        <w:jc w:val="center"/>
        <w:rPr>
          <w:rFonts w:hint="eastAsia" w:asciiTheme="minorEastAsia" w:hAnsiTheme="minorEastAsia" w:eastAsiaTheme="minorEastAsia" w:cstheme="minorEastAsia"/>
          <w:lang w:val="zh-CN"/>
        </w:rPr>
      </w:pPr>
    </w:p>
    <w:p>
      <w:pPr>
        <w:rPr>
          <w:rFonts w:hint="eastAsia" w:asciiTheme="minorEastAsia" w:hAnsiTheme="minorEastAsia" w:eastAsiaTheme="minorEastAsia" w:cstheme="minorEastAsia"/>
          <w:lang w:val="zh-CN"/>
        </w:rPr>
      </w:pPr>
    </w:p>
    <w:p>
      <w:pPr>
        <w:pStyle w:val="4"/>
        <w:spacing w:line="360" w:lineRule="auto"/>
        <w:jc w:val="both"/>
        <w:rPr>
          <w:rFonts w:hint="eastAsia" w:asciiTheme="minorEastAsia" w:hAnsiTheme="minorEastAsia" w:eastAsiaTheme="minorEastAsia" w:cstheme="minorEastAsia"/>
          <w:lang w:val="zh-CN"/>
        </w:rPr>
      </w:pPr>
    </w:p>
    <w:p>
      <w:pPr>
        <w:pStyle w:val="4"/>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磋商文件要求的其他证明材料</w:t>
      </w:r>
      <w:bookmarkEnd w:id="692"/>
      <w:r>
        <w:rPr>
          <w:rFonts w:hint="eastAsia" w:asciiTheme="minorEastAsia" w:hAnsiTheme="minorEastAsia" w:eastAsiaTheme="minorEastAsia" w:cstheme="minorEastAsia"/>
          <w:lang w:val="zh-CN"/>
        </w:rPr>
        <w:br w:type="page"/>
      </w:r>
      <w:r>
        <w:rPr>
          <w:rFonts w:hint="eastAsia" w:asciiTheme="minorEastAsia" w:hAnsiTheme="minorEastAsia" w:eastAsiaTheme="minorEastAsia" w:cstheme="minorEastAsia"/>
          <w:lang w:val="zh-CN"/>
        </w:rPr>
        <w:t>技</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zh-CN"/>
        </w:rPr>
        <w:t>术</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标</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格</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式</w:t>
      </w: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技术标封面示例</w:t>
      </w:r>
    </w:p>
    <w:p>
      <w:pPr>
        <w:autoSpaceDE w:val="0"/>
        <w:autoSpaceDN w:val="0"/>
        <w:adjustRightInd w:val="0"/>
        <w:spacing w:line="360" w:lineRule="auto"/>
        <w:ind w:firstLine="6720" w:firstLineChars="2400"/>
        <w:jc w:val="right"/>
        <w:rPr>
          <w:rFonts w:asciiTheme="minorEastAsia" w:hAnsiTheme="minorEastAsia" w:eastAsiaTheme="minorEastAsia" w:cstheme="minorEastAsia"/>
        </w:rPr>
      </w:pPr>
      <w:r>
        <w:rPr>
          <w:rFonts w:hint="eastAsia" w:asciiTheme="minorEastAsia" w:hAnsiTheme="minorEastAsia" w:eastAsiaTheme="minorEastAsia" w:cstheme="minorEastAsia"/>
          <w:color w:val="000000"/>
          <w:sz w:val="28"/>
        </w:rPr>
        <w:t xml:space="preserve"> 正本/副本</w:t>
      </w:r>
    </w:p>
    <w:p>
      <w:pPr>
        <w:autoSpaceDE w:val="0"/>
        <w:autoSpaceDN w:val="0"/>
        <w:adjustRightInd w:val="0"/>
        <w:spacing w:line="360" w:lineRule="auto"/>
        <w:rPr>
          <w:rFonts w:asciiTheme="minorEastAsia" w:hAnsiTheme="minorEastAsia" w:eastAsiaTheme="minorEastAsia" w:cstheme="minorEastAsia"/>
          <w:szCs w:val="21"/>
        </w:rPr>
      </w:pPr>
    </w:p>
    <w:p>
      <w:pPr>
        <w:spacing w:line="360" w:lineRule="auto"/>
        <w:jc w:val="center"/>
        <w:rPr>
          <w:rFonts w:asciiTheme="minorEastAsia" w:hAnsiTheme="minorEastAsia" w:eastAsiaTheme="minorEastAsia" w:cstheme="minorEastAsia"/>
          <w:b/>
          <w:bCs/>
          <w:lang w:val="zh-CN"/>
        </w:rPr>
      </w:pPr>
    </w:p>
    <w:p>
      <w:pPr>
        <w:spacing w:line="360" w:lineRule="auto"/>
        <w:jc w:val="center"/>
        <w:rPr>
          <w:rFonts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lang w:val="zh-CN"/>
        </w:rPr>
        <w:t>响应文件技术标</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jc w:val="left"/>
        <w:rPr>
          <w:rFonts w:asciiTheme="minorEastAsia" w:hAnsiTheme="minorEastAsia" w:eastAsiaTheme="minorEastAsia" w:cstheme="minorEastAsia"/>
          <w:szCs w:val="21"/>
        </w:rPr>
      </w:pPr>
    </w:p>
    <w:p>
      <w:pPr>
        <w:pStyle w:val="18"/>
        <w:spacing w:line="360" w:lineRule="auto"/>
        <w:ind w:firstLine="480"/>
        <w:rPr>
          <w:rFonts w:asciiTheme="minorEastAsia" w:hAnsiTheme="minorEastAsia" w:eastAsiaTheme="minorEastAsia" w:cstheme="minorEastAsia"/>
          <w:szCs w:val="21"/>
        </w:rPr>
      </w:pP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招标人：</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供应商名称：（盖章）</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法定代表人或被授权代理人：（盖章）</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单位地址：</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utoSpaceDE w:val="0"/>
        <w:autoSpaceDN w:val="0"/>
        <w:adjustRightInd w:val="0"/>
        <w:spacing w:line="360" w:lineRule="auto"/>
        <w:jc w:val="left"/>
        <w:rPr>
          <w:rFonts w:asciiTheme="minorEastAsia" w:hAnsiTheme="minorEastAsia" w:eastAsiaTheme="minorEastAsia" w:cstheme="minorEastAsia"/>
          <w:szCs w:val="21"/>
        </w:rPr>
      </w:pP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p>
      <w:pPr>
        <w:autoSpaceDE w:val="0"/>
        <w:autoSpaceDN w:val="0"/>
        <w:adjustRightInd w:val="0"/>
        <w:spacing w:line="360" w:lineRule="auto"/>
        <w:jc w:val="left"/>
        <w:rPr>
          <w:rFonts w:asciiTheme="minorEastAsia" w:hAnsiTheme="minorEastAsia" w:eastAsiaTheme="minorEastAsia" w:cstheme="minorEastAsia"/>
          <w:lang w:val="zh-CN"/>
        </w:rPr>
      </w:pPr>
    </w:p>
    <w:p>
      <w:pPr>
        <w:spacing w:line="48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目 录</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bookmarkStart w:id="695" w:name="_Toc414108653"/>
      <w:r>
        <w:rPr>
          <w:rFonts w:hint="eastAsia" w:asciiTheme="minorEastAsia" w:hAnsiTheme="minorEastAsia" w:eastAsiaTheme="minorEastAsia" w:cstheme="minorEastAsia"/>
          <w:color w:val="000000" w:themeColor="text1"/>
          <w:sz w:val="24"/>
          <w14:textFill>
            <w14:solidFill>
              <w14:schemeClr w14:val="tx1"/>
            </w14:solidFill>
          </w14:textFill>
        </w:rPr>
        <w:t>1、工程概况及特点</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2、施工准备计划</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3、施工方案</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4、施工进度计划</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5、施工平面图</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6、劳动力需用量计划</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7、质量保证措施和体系</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8、工期保证措施和体系</w:t>
      </w:r>
    </w:p>
    <w:p>
      <w:pPr>
        <w:topLinePunct/>
        <w:spacing w:line="480" w:lineRule="exact"/>
        <w:ind w:firstLine="240" w:firstLineChars="100"/>
        <w:rPr>
          <w:rFonts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9、安全保证措施和体系</w:t>
      </w:r>
    </w:p>
    <w:p>
      <w:pPr>
        <w:topLinePunct/>
        <w:spacing w:line="480" w:lineRule="exact"/>
        <w:ind w:firstLine="240" w:firstLineChars="100"/>
        <w:rPr>
          <w:rFonts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10、现场文明施工措施</w:t>
      </w:r>
    </w:p>
    <w:p>
      <w:pPr>
        <w:topLinePunct/>
        <w:spacing w:line="480" w:lineRule="exact"/>
        <w:ind w:firstLine="240" w:firstLineChars="1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11、承诺</w:t>
      </w:r>
    </w:p>
    <w:p>
      <w:pPr>
        <w:topLinePunct/>
        <w:spacing w:line="480" w:lineRule="exact"/>
        <w:rPr>
          <w:rFonts w:asciiTheme="minorEastAsia" w:hAnsiTheme="minorEastAsia" w:eastAsiaTheme="minorEastAsia" w:cstheme="minorEastAsia"/>
          <w:kern w:val="0"/>
          <w:sz w:val="24"/>
          <w:szCs w:val="28"/>
        </w:rPr>
      </w:pPr>
      <w:r>
        <w:rPr>
          <w:rFonts w:hint="eastAsia" w:asciiTheme="minorEastAsia" w:hAnsiTheme="minorEastAsia" w:eastAsiaTheme="minorEastAsia" w:cstheme="minorEastAsia"/>
          <w:sz w:val="24"/>
        </w:rPr>
        <w:t>注：</w:t>
      </w:r>
      <w:r>
        <w:rPr>
          <w:rFonts w:hint="eastAsia" w:asciiTheme="minorEastAsia" w:hAnsiTheme="minorEastAsia" w:eastAsiaTheme="minorEastAsia" w:cstheme="minorEastAsia"/>
          <w:kern w:val="0"/>
          <w:sz w:val="24"/>
        </w:rPr>
        <w:t>投标文件须按技术标格式目录顺序编写</w:t>
      </w:r>
    </w:p>
    <w:p>
      <w:pPr>
        <w:topLinePunct/>
        <w:spacing w:line="480" w:lineRule="exact"/>
        <w:rPr>
          <w:rFonts w:asciiTheme="minorEastAsia" w:hAnsiTheme="minorEastAsia" w:eastAsiaTheme="minorEastAsia" w:cstheme="minorEastAsia"/>
          <w:b/>
          <w:lang w:val="zh-CN"/>
        </w:rPr>
      </w:pPr>
    </w:p>
    <w:p>
      <w:pPr>
        <w:pStyle w:val="2"/>
        <w:spacing w:line="360" w:lineRule="auto"/>
        <w:rPr>
          <w:rFonts w:asciiTheme="minorEastAsia" w:hAnsiTheme="minorEastAsia" w:eastAsiaTheme="minorEastAsia" w:cstheme="minorEastAsia"/>
          <w:sz w:val="21"/>
          <w:lang w:val="zh-CN"/>
        </w:rPr>
      </w:pPr>
    </w:p>
    <w:p>
      <w:pPr>
        <w:spacing w:line="360" w:lineRule="auto"/>
        <w:rPr>
          <w:rFonts w:asciiTheme="minorEastAsia" w:hAnsiTheme="minorEastAsia" w:eastAsiaTheme="minorEastAsia" w:cstheme="minorEastAsia"/>
          <w:b/>
          <w:lang w:val="zh-CN"/>
        </w:rPr>
      </w:pPr>
    </w:p>
    <w:p>
      <w:pPr>
        <w:pStyle w:val="2"/>
        <w:spacing w:line="360" w:lineRule="auto"/>
        <w:rPr>
          <w:rFonts w:asciiTheme="minorEastAsia" w:hAnsiTheme="minorEastAsia" w:eastAsiaTheme="minorEastAsia" w:cstheme="minorEastAsia"/>
          <w:sz w:val="21"/>
          <w:lang w:val="zh-CN"/>
        </w:rPr>
      </w:pPr>
    </w:p>
    <w:p>
      <w:pPr>
        <w:spacing w:line="360" w:lineRule="auto"/>
        <w:rPr>
          <w:rFonts w:asciiTheme="minorEastAsia" w:hAnsiTheme="minorEastAsia" w:eastAsiaTheme="minorEastAsia" w:cstheme="minorEastAsia"/>
          <w:b/>
          <w:lang w:val="zh-CN"/>
        </w:rPr>
      </w:pPr>
    </w:p>
    <w:p>
      <w:pPr>
        <w:pStyle w:val="2"/>
        <w:spacing w:line="360" w:lineRule="auto"/>
        <w:rPr>
          <w:rFonts w:asciiTheme="minorEastAsia" w:hAnsiTheme="minorEastAsia" w:eastAsiaTheme="minorEastAsia" w:cstheme="minorEastAsia"/>
          <w:sz w:val="21"/>
          <w:lang w:val="zh-CN"/>
        </w:rPr>
      </w:pPr>
    </w:p>
    <w:p>
      <w:pPr>
        <w:spacing w:line="360" w:lineRule="auto"/>
        <w:rPr>
          <w:rFonts w:asciiTheme="minorEastAsia" w:hAnsiTheme="minorEastAsia" w:eastAsiaTheme="minorEastAsia" w:cstheme="minorEastAsia"/>
          <w:b/>
          <w:lang w:val="zh-CN"/>
        </w:rPr>
      </w:pPr>
    </w:p>
    <w:p>
      <w:pPr>
        <w:pStyle w:val="31"/>
        <w:ind w:firstLine="420"/>
      </w:pPr>
    </w:p>
    <w:p>
      <w:pPr>
        <w:pStyle w:val="31"/>
        <w:ind w:firstLine="420"/>
      </w:pPr>
    </w:p>
    <w:p>
      <w:pPr>
        <w:pStyle w:val="4"/>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经</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济</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标</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格</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式</w:t>
      </w:r>
      <w:bookmarkEnd w:id="695"/>
    </w:p>
    <w:p>
      <w:pPr>
        <w:autoSpaceDE w:val="0"/>
        <w:autoSpaceDN w:val="0"/>
        <w:adjustRightInd w:val="0"/>
        <w:spacing w:line="360" w:lineRule="auto"/>
        <w:rPr>
          <w:rFonts w:asciiTheme="minorEastAsia" w:hAnsiTheme="minorEastAsia" w:eastAsiaTheme="minorEastAsia" w:cstheme="minorEastAsia"/>
          <w:color w:val="000000"/>
          <w:sz w:val="28"/>
        </w:rPr>
      </w:pPr>
      <w:r>
        <w:rPr>
          <w:rFonts w:hint="eastAsia" w:asciiTheme="minorEastAsia" w:hAnsiTheme="minorEastAsia" w:eastAsiaTheme="minorEastAsia" w:cstheme="minorEastAsia"/>
        </w:rPr>
        <w:t xml:space="preserve">经济标封面示例                                 </w:t>
      </w:r>
      <w:r>
        <w:rPr>
          <w:rFonts w:hint="eastAsia" w:asciiTheme="minorEastAsia" w:hAnsiTheme="minorEastAsia" w:eastAsiaTheme="minorEastAsia" w:cstheme="minorEastAsia"/>
          <w:color w:val="000000"/>
          <w:sz w:val="28"/>
        </w:rPr>
        <w:t xml:space="preserve"> </w:t>
      </w:r>
    </w:p>
    <w:p>
      <w:pPr>
        <w:autoSpaceDE w:val="0"/>
        <w:autoSpaceDN w:val="0"/>
        <w:adjustRightInd w:val="0"/>
        <w:spacing w:line="360" w:lineRule="auto"/>
        <w:ind w:firstLine="7560" w:firstLineChars="2700"/>
        <w:rPr>
          <w:rFonts w:asciiTheme="minorEastAsia" w:hAnsiTheme="minorEastAsia" w:eastAsiaTheme="minorEastAsia" w:cstheme="minorEastAsia"/>
        </w:rPr>
      </w:pPr>
      <w:r>
        <w:rPr>
          <w:rFonts w:hint="eastAsia" w:asciiTheme="minorEastAsia" w:hAnsiTheme="minorEastAsia" w:eastAsiaTheme="minorEastAsia" w:cstheme="minorEastAsia"/>
          <w:color w:val="000000"/>
          <w:sz w:val="28"/>
        </w:rPr>
        <w:t>正本/副本</w:t>
      </w:r>
    </w:p>
    <w:p>
      <w:pPr>
        <w:spacing w:line="360" w:lineRule="auto"/>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rPr>
      </w:pPr>
    </w:p>
    <w:p>
      <w:pPr>
        <w:spacing w:line="360" w:lineRule="auto"/>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响应文件经济标</w:t>
      </w:r>
    </w:p>
    <w:p>
      <w:pPr>
        <w:spacing w:line="360" w:lineRule="auto"/>
        <w:rPr>
          <w:rFonts w:asciiTheme="minorEastAsia" w:hAnsiTheme="minorEastAsia" w:eastAsiaTheme="minorEastAsia" w:cstheme="minorEastAsia"/>
          <w:sz w:val="28"/>
          <w:szCs w:val="28"/>
        </w:rPr>
      </w:pPr>
    </w:p>
    <w:p>
      <w:pPr>
        <w:pStyle w:val="32"/>
        <w:spacing w:line="360" w:lineRule="auto"/>
        <w:ind w:firstLine="0" w:firstLineChars="0"/>
        <w:rPr>
          <w:rFonts w:asciiTheme="minorEastAsia" w:hAnsiTheme="minorEastAsia" w:eastAsiaTheme="minorEastAsia" w:cstheme="minorEastAsia"/>
          <w:sz w:val="28"/>
          <w:szCs w:val="28"/>
        </w:rPr>
      </w:pPr>
    </w:p>
    <w:p>
      <w:pPr>
        <w:pStyle w:val="32"/>
        <w:spacing w:line="360" w:lineRule="auto"/>
        <w:ind w:firstLine="0" w:firstLineChars="0"/>
        <w:rPr>
          <w:rFonts w:asciiTheme="minorEastAsia" w:hAnsiTheme="minorEastAsia" w:eastAsiaTheme="minorEastAsia" w:cstheme="minorEastAsia"/>
          <w:sz w:val="28"/>
          <w:szCs w:val="28"/>
        </w:rPr>
      </w:pPr>
    </w:p>
    <w:p>
      <w:pPr>
        <w:pStyle w:val="32"/>
        <w:spacing w:line="480" w:lineRule="exact"/>
        <w:ind w:firstLine="0" w:firstLineChars="0"/>
        <w:rPr>
          <w:rFonts w:asciiTheme="minorEastAsia" w:hAnsiTheme="minorEastAsia" w:eastAsiaTheme="minorEastAsia" w:cstheme="minorEastAsia"/>
          <w:sz w:val="28"/>
          <w:szCs w:val="28"/>
        </w:rPr>
      </w:pP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招标人：</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供应商名称：（盖章）</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法定代表人或被授权代理人：（盖章）</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单位地址：</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utoSpaceDE w:val="0"/>
        <w:autoSpaceDN w:val="0"/>
        <w:adjustRightInd w:val="0"/>
        <w:spacing w:line="480" w:lineRule="exact"/>
        <w:jc w:val="left"/>
        <w:rPr>
          <w:rFonts w:asciiTheme="minorEastAsia" w:hAnsiTheme="minorEastAsia" w:eastAsiaTheme="minorEastAsia" w:cstheme="minorEastAsia"/>
          <w:szCs w:val="21"/>
        </w:rPr>
      </w:pP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p>
      <w:pPr>
        <w:autoSpaceDE w:val="0"/>
        <w:autoSpaceDN w:val="0"/>
        <w:adjustRightInd w:val="0"/>
        <w:spacing w:line="360" w:lineRule="auto"/>
        <w:jc w:val="left"/>
        <w:rPr>
          <w:rFonts w:asciiTheme="minorEastAsia" w:hAnsiTheme="minorEastAsia" w:eastAsiaTheme="minorEastAsia" w:cstheme="minorEastAsia"/>
          <w:lang w:val="zh-CN"/>
        </w:rPr>
      </w:pPr>
    </w:p>
    <w:p>
      <w:pPr>
        <w:pStyle w:val="32"/>
        <w:spacing w:line="360" w:lineRule="auto"/>
        <w:ind w:firstLine="0" w:firstLineChars="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经济标目录</w:t>
      </w:r>
    </w:p>
    <w:p>
      <w:pPr>
        <w:pStyle w:val="32"/>
        <w:spacing w:line="360" w:lineRule="auto"/>
        <w:ind w:firstLine="0" w:firstLineChars="0"/>
        <w:jc w:val="center"/>
        <w:rPr>
          <w:rFonts w:asciiTheme="minorEastAsia" w:hAnsiTheme="minorEastAsia" w:eastAsiaTheme="minorEastAsia" w:cstheme="minorEastAsia"/>
          <w:b/>
        </w:rPr>
      </w:pPr>
    </w:p>
    <w:p>
      <w:pPr>
        <w:pStyle w:val="32"/>
        <w:spacing w:line="360" w:lineRule="auto"/>
        <w:ind w:firstLine="0" w:firstLineChars="0"/>
        <w:jc w:val="center"/>
        <w:rPr>
          <w:rFonts w:asciiTheme="minorEastAsia" w:hAnsiTheme="minorEastAsia" w:eastAsiaTheme="minorEastAsia" w:cstheme="minorEastAsia"/>
          <w:b/>
        </w:rPr>
      </w:pP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注：以工程量清单为依据编制</w:t>
      </w:r>
    </w:p>
    <w:p>
      <w:pPr>
        <w:pStyle w:val="32"/>
        <w:spacing w:line="480" w:lineRule="exact"/>
        <w:ind w:firstLine="0" w:firstLineChars="0"/>
        <w:jc w:val="center"/>
        <w:rPr>
          <w:rFonts w:asciiTheme="minorEastAsia" w:hAnsiTheme="minorEastAsia" w:eastAsiaTheme="minorEastAsia" w:cstheme="minorEastAsia"/>
          <w:b/>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rPr>
        <w:t>投 标 总 价</w:t>
      </w:r>
    </w:p>
    <w:p>
      <w:pPr>
        <w:pStyle w:val="32"/>
        <w:spacing w:line="480" w:lineRule="exact"/>
        <w:rPr>
          <w:rFonts w:asciiTheme="minorEastAsia" w:hAnsiTheme="minorEastAsia" w:eastAsiaTheme="minorEastAsia" w:cstheme="minorEastAsia"/>
        </w:rPr>
      </w:pPr>
    </w:p>
    <w:p>
      <w:pPr>
        <w:pStyle w:val="32"/>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招     标    人：</w:t>
      </w:r>
      <w:r>
        <w:rPr>
          <w:rFonts w:hint="eastAsia" w:asciiTheme="minorEastAsia" w:hAnsiTheme="minorEastAsia" w:eastAsiaTheme="minorEastAsia" w:cstheme="minorEastAsia"/>
          <w:u w:val="single"/>
        </w:rPr>
        <w:t xml:space="preserve">                                                         </w:t>
      </w:r>
    </w:p>
    <w:p>
      <w:pPr>
        <w:pStyle w:val="32"/>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工   程  名  称：</w:t>
      </w:r>
      <w:r>
        <w:rPr>
          <w:rFonts w:hint="eastAsia" w:asciiTheme="minorEastAsia" w:hAnsiTheme="minorEastAsia" w:eastAsiaTheme="minorEastAsia" w:cstheme="minorEastAsia"/>
          <w:u w:val="single"/>
        </w:rPr>
        <w:t xml:space="preserve">                                                         </w:t>
      </w:r>
    </w:p>
    <w:p>
      <w:pPr>
        <w:pStyle w:val="32"/>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投标总价（小写）：</w:t>
      </w:r>
      <w:r>
        <w:rPr>
          <w:rFonts w:hint="eastAsia" w:asciiTheme="minorEastAsia" w:hAnsiTheme="minorEastAsia" w:eastAsiaTheme="minorEastAsia" w:cstheme="minorEastAsia"/>
          <w:u w:val="single"/>
        </w:rPr>
        <w:t xml:space="preserve">                                                         </w:t>
      </w:r>
    </w:p>
    <w:p>
      <w:pPr>
        <w:pStyle w:val="32"/>
        <w:spacing w:line="480" w:lineRule="exact"/>
        <w:ind w:left="84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（大写） </w:t>
      </w:r>
      <w:r>
        <w:rPr>
          <w:rFonts w:hint="eastAsia" w:asciiTheme="minorEastAsia" w:hAnsiTheme="minorEastAsia" w:eastAsiaTheme="minorEastAsia" w:cstheme="minorEastAsia"/>
          <w:u w:val="single"/>
        </w:rPr>
        <w:t xml:space="preserve">                                                         </w:t>
      </w:r>
    </w:p>
    <w:p>
      <w:pPr>
        <w:pStyle w:val="32"/>
        <w:spacing w:line="480" w:lineRule="exact"/>
        <w:rPr>
          <w:rFonts w:asciiTheme="minorEastAsia" w:hAnsiTheme="minorEastAsia" w:eastAsiaTheme="minorEastAsia" w:cstheme="minorEastAsia"/>
        </w:rPr>
      </w:pPr>
    </w:p>
    <w:p>
      <w:pPr>
        <w:pStyle w:val="32"/>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投    标    人：</w:t>
      </w:r>
      <w:r>
        <w:rPr>
          <w:rFonts w:hint="eastAsia" w:asciiTheme="minorEastAsia" w:hAnsiTheme="minorEastAsia" w:eastAsiaTheme="minorEastAsia" w:cstheme="minorEastAsia"/>
          <w:u w:val="single"/>
        </w:rPr>
        <w:t xml:space="preserve">                                                          </w:t>
      </w:r>
    </w:p>
    <w:p>
      <w:pPr>
        <w:spacing w:line="480" w:lineRule="exact"/>
        <w:ind w:firstLine="525" w:firstLineChars="250"/>
        <w:jc w:val="left"/>
        <w:rPr>
          <w:rFonts w:asciiTheme="minorEastAsia" w:hAnsiTheme="minorEastAsia" w:eastAsiaTheme="minorEastAsia" w:cstheme="minorEastAsia"/>
        </w:rPr>
      </w:pPr>
      <w:r>
        <w:rPr>
          <w:rFonts w:hint="eastAsia" w:asciiTheme="minorEastAsia" w:hAnsiTheme="minorEastAsia" w:eastAsiaTheme="minorEastAsia" w:cstheme="minorEastAsia"/>
        </w:rPr>
        <w:t>（单位盖章）</w:t>
      </w:r>
    </w:p>
    <w:p>
      <w:pPr>
        <w:pStyle w:val="32"/>
        <w:spacing w:line="480" w:lineRule="exact"/>
        <w:rPr>
          <w:rFonts w:asciiTheme="minorEastAsia" w:hAnsiTheme="minorEastAsia" w:eastAsiaTheme="minorEastAsia" w:cstheme="minorEastAsia"/>
        </w:rPr>
      </w:pPr>
    </w:p>
    <w:p>
      <w:pPr>
        <w:pStyle w:val="32"/>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法定代表人或其授权人：</w:t>
      </w:r>
      <w:r>
        <w:rPr>
          <w:rFonts w:hint="eastAsia" w:asciiTheme="minorEastAsia" w:hAnsiTheme="minorEastAsia" w:eastAsiaTheme="minorEastAsia" w:cstheme="minorEastAsia"/>
          <w:u w:val="single"/>
        </w:rPr>
        <w:t xml:space="preserve">                                                    </w:t>
      </w:r>
    </w:p>
    <w:p>
      <w:pPr>
        <w:pStyle w:val="32"/>
        <w:spacing w:line="480" w:lineRule="exact"/>
        <w:ind w:firstLine="525" w:firstLineChars="250"/>
        <w:rPr>
          <w:rFonts w:asciiTheme="minorEastAsia" w:hAnsiTheme="minorEastAsia" w:eastAsiaTheme="minorEastAsia" w:cstheme="minorEastAsia"/>
        </w:rPr>
      </w:pPr>
      <w:r>
        <w:rPr>
          <w:rFonts w:hint="eastAsia" w:asciiTheme="minorEastAsia" w:hAnsiTheme="minorEastAsia" w:eastAsiaTheme="minorEastAsia" w:cstheme="minorEastAsia"/>
        </w:rPr>
        <w:t>（签字或盖章）</w:t>
      </w:r>
    </w:p>
    <w:p>
      <w:pPr>
        <w:pStyle w:val="32"/>
        <w:spacing w:line="480" w:lineRule="exact"/>
        <w:rPr>
          <w:rFonts w:asciiTheme="minorEastAsia" w:hAnsiTheme="minorEastAsia" w:eastAsiaTheme="minorEastAsia" w:cstheme="minorEastAsia"/>
        </w:rPr>
      </w:pPr>
    </w:p>
    <w:p>
      <w:pPr>
        <w:pStyle w:val="32"/>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编    制    人：</w:t>
      </w:r>
      <w:r>
        <w:rPr>
          <w:rFonts w:hint="eastAsia" w:asciiTheme="minorEastAsia" w:hAnsiTheme="minorEastAsia" w:eastAsiaTheme="minorEastAsia" w:cstheme="minorEastAsia"/>
          <w:u w:val="single"/>
        </w:rPr>
        <w:t xml:space="preserve">                                                          </w:t>
      </w:r>
    </w:p>
    <w:p>
      <w:pPr>
        <w:pStyle w:val="32"/>
        <w:spacing w:line="480" w:lineRule="exact"/>
        <w:ind w:firstLine="525" w:firstLineChars="250"/>
        <w:rPr>
          <w:rFonts w:asciiTheme="minorEastAsia" w:hAnsiTheme="minorEastAsia" w:eastAsiaTheme="minorEastAsia" w:cstheme="minorEastAsia"/>
        </w:rPr>
      </w:pPr>
      <w:r>
        <w:rPr>
          <w:rFonts w:hint="eastAsia" w:asciiTheme="minorEastAsia" w:hAnsiTheme="minorEastAsia" w:eastAsiaTheme="minorEastAsia" w:cstheme="minorEastAsia"/>
        </w:rPr>
        <w:t>（造价人员签字并盖专用章）</w:t>
      </w:r>
    </w:p>
    <w:p>
      <w:pPr>
        <w:pStyle w:val="32"/>
        <w:spacing w:line="480" w:lineRule="exact"/>
        <w:rPr>
          <w:rFonts w:asciiTheme="minorEastAsia" w:hAnsiTheme="minorEastAsia" w:eastAsiaTheme="minorEastAsia" w:cstheme="minorEastAsia"/>
        </w:rPr>
      </w:pPr>
    </w:p>
    <w:p>
      <w:pPr>
        <w:pStyle w:val="32"/>
        <w:spacing w:line="480" w:lineRule="exact"/>
        <w:rPr>
          <w:rFonts w:asciiTheme="minorEastAsia" w:hAnsiTheme="minorEastAsia" w:eastAsiaTheme="minorEastAsia" w:cstheme="minorEastAsia"/>
        </w:rPr>
      </w:pPr>
    </w:p>
    <w:p>
      <w:pPr>
        <w:pStyle w:val="32"/>
        <w:spacing w:line="480" w:lineRule="exact"/>
        <w:rPr>
          <w:rFonts w:asciiTheme="minorEastAsia" w:hAnsiTheme="minorEastAsia" w:eastAsiaTheme="minorEastAsia" w:cstheme="minorEastAsia"/>
        </w:rPr>
      </w:pPr>
    </w:p>
    <w:p>
      <w:pPr>
        <w:pStyle w:val="32"/>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编 制 时 间: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p>
    <w:p>
      <w:pPr>
        <w:autoSpaceDE w:val="0"/>
        <w:autoSpaceDN w:val="0"/>
        <w:adjustRightInd w:val="0"/>
        <w:spacing w:line="360" w:lineRule="auto"/>
        <w:ind w:firstLine="630" w:firstLineChars="300"/>
        <w:jc w:val="center"/>
        <w:rPr>
          <w:rFonts w:asciiTheme="minorEastAsia" w:hAnsiTheme="minorEastAsia" w:eastAsiaTheme="minorEastAsia" w:cstheme="minorEastAsia"/>
          <w:b/>
          <w:bCs/>
          <w:sz w:val="44"/>
          <w:szCs w:val="44"/>
          <w:lang w:val="zh-CN"/>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bCs/>
          <w:sz w:val="32"/>
          <w:szCs w:val="32"/>
        </w:rPr>
        <w:t>第六章  补充条款</w:t>
      </w:r>
    </w:p>
    <w:p>
      <w:pPr>
        <w:pStyle w:val="2"/>
        <w:spacing w:line="360" w:lineRule="auto"/>
        <w:rPr>
          <w:sz w:val="30"/>
          <w:szCs w:val="30"/>
        </w:rPr>
      </w:pPr>
      <w:bookmarkStart w:id="696" w:name="_Toc13390"/>
      <w:bookmarkStart w:id="697" w:name="_Toc12061"/>
      <w:bookmarkStart w:id="698" w:name="_Toc28554"/>
      <w:bookmarkStart w:id="699" w:name="_Toc2229"/>
      <w:bookmarkStart w:id="700" w:name="_Toc9314_WPSOffice_Level1"/>
      <w:r>
        <w:rPr>
          <w:rFonts w:hint="eastAsia"/>
          <w:sz w:val="30"/>
          <w:szCs w:val="30"/>
        </w:rPr>
        <w:t>附表1：</w:t>
      </w:r>
      <w:bookmarkStart w:id="701" w:name="_Toc10406"/>
      <w:r>
        <w:rPr>
          <w:rFonts w:hint="eastAsia"/>
          <w:sz w:val="30"/>
          <w:szCs w:val="30"/>
        </w:rPr>
        <w:t>磋商响应二次报价表</w:t>
      </w:r>
      <w:bookmarkEnd w:id="696"/>
      <w:bookmarkEnd w:id="697"/>
      <w:bookmarkEnd w:id="698"/>
      <w:bookmarkEnd w:id="699"/>
      <w:bookmarkEnd w:id="700"/>
      <w:bookmarkEnd w:id="701"/>
    </w:p>
    <w:p>
      <w:pPr>
        <w:autoSpaceDE w:val="0"/>
        <w:autoSpaceDN w:val="0"/>
        <w:spacing w:line="360" w:lineRule="auto"/>
        <w:rPr>
          <w:rFonts w:ascii="宋体" w:hAnsi="宋体" w:cs="宋体"/>
          <w:sz w:val="24"/>
          <w:szCs w:val="24"/>
          <w:lang w:val="zh-CN"/>
        </w:rPr>
      </w:pPr>
      <w:r>
        <w:rPr>
          <w:rFonts w:hint="eastAsia" w:ascii="宋体" w:hAnsi="宋体" w:cs="宋体"/>
          <w:sz w:val="24"/>
          <w:szCs w:val="24"/>
        </w:rPr>
        <w:t xml:space="preserve">项目名称：                 </w:t>
      </w:r>
      <w:r>
        <w:rPr>
          <w:rFonts w:hint="eastAsia" w:ascii="宋体" w:hAnsi="宋体" w:cs="宋体"/>
          <w:sz w:val="24"/>
          <w:szCs w:val="24"/>
          <w:lang w:val="zh-CN"/>
        </w:rPr>
        <w:t>招标编号：</w:t>
      </w:r>
      <w:r>
        <w:rPr>
          <w:rFonts w:hint="eastAsia" w:ascii="宋体" w:hAnsi="宋体" w:cs="宋体"/>
          <w:sz w:val="24"/>
          <w:szCs w:val="24"/>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2106"/>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lang w:val="zh-CN"/>
              </w:rPr>
              <w:t>序号</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lang w:val="zh-CN"/>
              </w:rPr>
              <w:t>条款名称</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lang w:val="zh-CN"/>
              </w:rPr>
              <w:t>内</w:t>
            </w:r>
            <w:r>
              <w:rPr>
                <w:rFonts w:hint="eastAsia" w:ascii="宋体" w:hAnsi="宋体" w:cs="宋体"/>
                <w:sz w:val="24"/>
                <w:szCs w:val="24"/>
              </w:rPr>
              <w:t xml:space="preserve">  </w:t>
            </w:r>
            <w:r>
              <w:rPr>
                <w:rFonts w:hint="eastAsia" w:ascii="宋体" w:hAnsi="宋体" w:cs="宋体"/>
                <w:sz w:val="24"/>
                <w:szCs w:val="24"/>
                <w:lang w:val="zh-CN"/>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rPr>
              <w:t>1</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lang w:val="zh-CN"/>
              </w:rPr>
              <w:t>质量目标</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rPr>
              <w:t>2</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lang w:val="zh-CN"/>
              </w:rPr>
              <w:t>项目负责人</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rPr>
              <w:t>3</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highlight w:val="yellow"/>
              </w:rPr>
            </w:pPr>
            <w:r>
              <w:rPr>
                <w:rFonts w:hint="eastAsia" w:ascii="宋体" w:hAnsi="宋体" w:cs="宋体"/>
                <w:sz w:val="24"/>
                <w:szCs w:val="24"/>
              </w:rPr>
              <w:t>计划工期</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rPr>
            </w:pPr>
            <w:r>
              <w:rPr>
                <w:rFonts w:hint="eastAsia" w:ascii="宋体" w:hAnsi="宋体" w:cs="宋体"/>
                <w:sz w:val="24"/>
                <w:szCs w:val="24"/>
              </w:rPr>
              <w:t>4</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highlight w:val="yellow"/>
                <w:lang w:val="zh-CN"/>
              </w:rPr>
            </w:pPr>
            <w:r>
              <w:rPr>
                <w:rFonts w:hint="eastAsia" w:ascii="宋体" w:hAnsi="宋体" w:cs="宋体"/>
                <w:sz w:val="24"/>
                <w:szCs w:val="24"/>
                <w:lang w:val="en-US" w:eastAsia="zh-CN"/>
              </w:rPr>
              <w:t>项目</w:t>
            </w:r>
            <w:r>
              <w:rPr>
                <w:rFonts w:hint="eastAsia" w:ascii="宋体" w:hAnsi="宋体" w:cs="宋体"/>
                <w:sz w:val="24"/>
                <w:szCs w:val="24"/>
              </w:rPr>
              <w:t>地点</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rPr>
            </w:pPr>
            <w:r>
              <w:rPr>
                <w:rFonts w:hint="eastAsia" w:ascii="宋体" w:hAnsi="宋体" w:cs="宋体"/>
                <w:sz w:val="24"/>
                <w:szCs w:val="24"/>
              </w:rPr>
              <w:t>5</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rPr>
            </w:pPr>
            <w:r>
              <w:rPr>
                <w:rFonts w:hint="eastAsia" w:ascii="宋体" w:hAnsi="宋体" w:cs="宋体"/>
                <w:sz w:val="24"/>
                <w:szCs w:val="24"/>
                <w:lang w:val="zh-CN"/>
              </w:rPr>
              <w:t>投标总价</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left"/>
              <w:rPr>
                <w:rFonts w:ascii="宋体" w:hAnsi="宋体" w:cs="宋体"/>
                <w:sz w:val="24"/>
                <w:szCs w:val="24"/>
                <w:lang w:val="zh-CN"/>
              </w:rPr>
            </w:pPr>
            <w:r>
              <w:rPr>
                <w:rFonts w:hint="eastAsia" w:hAnsi="宋体" w:cs="宋体"/>
                <w:sz w:val="24"/>
                <w:szCs w:val="24"/>
              </w:rPr>
              <w:t>大写：</w:t>
            </w:r>
            <w:r>
              <w:rPr>
                <w:rFonts w:hint="eastAsia" w:hAnsi="宋体" w:cs="宋体"/>
                <w:sz w:val="24"/>
                <w:szCs w:val="24"/>
                <w:u w:val="single"/>
              </w:rPr>
              <w:t xml:space="preserve">                               </w:t>
            </w:r>
          </w:p>
          <w:p>
            <w:pPr>
              <w:autoSpaceDE w:val="0"/>
              <w:autoSpaceDN w:val="0"/>
              <w:spacing w:line="360" w:lineRule="auto"/>
              <w:jc w:val="left"/>
              <w:rPr>
                <w:rFonts w:ascii="宋体" w:hAnsi="宋体" w:cs="宋体"/>
                <w:sz w:val="24"/>
                <w:szCs w:val="24"/>
                <w:lang w:val="zh-CN"/>
              </w:rPr>
            </w:pPr>
            <w:r>
              <w:rPr>
                <w:rFonts w:hint="eastAsia" w:hAnsi="宋体" w:cs="宋体"/>
                <w:sz w:val="24"/>
                <w:szCs w:val="24"/>
              </w:rPr>
              <w:t>小写：</w:t>
            </w:r>
            <w:r>
              <w:rPr>
                <w:rFonts w:hint="eastAsia" w:hAnsi="宋体" w:cs="宋体"/>
                <w:sz w:val="24"/>
                <w:szCs w:val="24"/>
                <w:u w:val="single"/>
              </w:rPr>
              <w:t xml:space="preserve">                              </w:t>
            </w:r>
            <w:r>
              <w:rPr>
                <w:rFonts w:hint="eastAsia" w:hAnsi="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rPr>
            </w:pPr>
            <w:r>
              <w:rPr>
                <w:rFonts w:hint="eastAsia" w:ascii="宋体" w:hAnsi="宋体" w:cs="宋体"/>
                <w:color w:val="000000"/>
                <w:kern w:val="0"/>
                <w:sz w:val="24"/>
              </w:rPr>
              <w:t>其他承诺（及答疑）事项：</w:t>
            </w:r>
            <w:r>
              <w:rPr>
                <w:rFonts w:hint="eastAsia" w:ascii="宋体" w:hAnsi="宋体" w:cs="宋体"/>
                <w:sz w:val="24"/>
                <w:szCs w:val="24"/>
              </w:rPr>
              <w:t xml:space="preserve"> </w:t>
            </w:r>
          </w:p>
        </w:tc>
        <w:tc>
          <w:tcPr>
            <w:tcW w:w="785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Ansi="宋体" w:cs="宋体"/>
                <w:sz w:val="24"/>
                <w:szCs w:val="24"/>
              </w:rPr>
            </w:pPr>
          </w:p>
        </w:tc>
      </w:tr>
    </w:tbl>
    <w:p>
      <w:pPr>
        <w:spacing w:line="360" w:lineRule="auto"/>
        <w:ind w:firstLine="480" w:firstLineChars="200"/>
        <w:jc w:val="left"/>
        <w:rPr>
          <w:rFonts w:ascii="宋体" w:hAnsi="宋体" w:cs="宋体"/>
          <w:sz w:val="24"/>
          <w:szCs w:val="24"/>
        </w:rPr>
      </w:pPr>
    </w:p>
    <w:p>
      <w:pPr>
        <w:spacing w:line="360" w:lineRule="auto"/>
        <w:ind w:firstLine="480" w:firstLineChars="200"/>
        <w:jc w:val="left"/>
        <w:rPr>
          <w:rFonts w:ascii="宋体" w:hAnsi="宋体" w:cs="宋体"/>
          <w:sz w:val="24"/>
          <w:szCs w:val="24"/>
        </w:rPr>
      </w:pPr>
      <w:r>
        <w:rPr>
          <w:rFonts w:hint="eastAsia" w:ascii="宋体" w:hAnsi="宋体" w:cs="宋体"/>
          <w:sz w:val="24"/>
          <w:szCs w:val="24"/>
        </w:rPr>
        <w:t>投标单位（公章）：</w:t>
      </w:r>
    </w:p>
    <w:p>
      <w:pPr>
        <w:pStyle w:val="14"/>
        <w:spacing w:line="360" w:lineRule="auto"/>
      </w:pPr>
    </w:p>
    <w:p>
      <w:pPr>
        <w:spacing w:line="360" w:lineRule="auto"/>
        <w:ind w:firstLine="480" w:firstLineChars="200"/>
        <w:jc w:val="left"/>
        <w:rPr>
          <w:rFonts w:ascii="宋体" w:hAnsi="宋体" w:cs="宋体"/>
          <w:sz w:val="24"/>
          <w:szCs w:val="24"/>
        </w:rPr>
      </w:pPr>
      <w:r>
        <w:rPr>
          <w:rFonts w:hint="eastAsia" w:ascii="宋体" w:hAnsi="宋体" w:cs="宋体"/>
          <w:sz w:val="24"/>
          <w:szCs w:val="24"/>
        </w:rPr>
        <w:t>法定代表人（或授权委托人）签字：</w:t>
      </w:r>
    </w:p>
    <w:p>
      <w:pPr>
        <w:spacing w:line="360" w:lineRule="auto"/>
        <w:ind w:firstLine="480" w:firstLineChars="200"/>
        <w:jc w:val="right"/>
        <w:rPr>
          <w:rFonts w:ascii="宋体" w:hAnsi="宋体" w:cs="宋体"/>
          <w:bCs/>
          <w:kern w:val="44"/>
          <w:sz w:val="24"/>
          <w:szCs w:val="24"/>
        </w:rPr>
      </w:pPr>
      <w:r>
        <w:rPr>
          <w:rFonts w:hint="eastAsia" w:ascii="宋体" w:hAnsi="宋体" w:cs="宋体"/>
          <w:bCs/>
          <w:kern w:val="44"/>
          <w:sz w:val="24"/>
          <w:szCs w:val="24"/>
        </w:rPr>
        <w:t>年  月  日</w:t>
      </w:r>
    </w:p>
    <w:p>
      <w:pPr>
        <w:spacing w:line="360" w:lineRule="auto"/>
        <w:rPr>
          <w:rFonts w:ascii="宋体" w:hAnsi="宋体"/>
          <w:b/>
          <w:bCs/>
          <w:color w:val="FF0000"/>
          <w:sz w:val="24"/>
          <w:szCs w:val="22"/>
        </w:rPr>
      </w:pPr>
      <w:r>
        <w:rPr>
          <w:rFonts w:hint="eastAsia" w:ascii="宋体" w:hAnsi="宋体"/>
          <w:b/>
          <w:bCs/>
          <w:sz w:val="24"/>
        </w:rPr>
        <w:t>1、上述报价为提供本次</w:t>
      </w:r>
      <w:r>
        <w:rPr>
          <w:rFonts w:hint="eastAsia" w:ascii="宋体" w:hAnsi="宋体"/>
          <w:b/>
          <w:bCs/>
          <w:sz w:val="24"/>
          <w:szCs w:val="22"/>
        </w:rPr>
        <w:t>项目所有内容的总价格</w:t>
      </w:r>
      <w:r>
        <w:rPr>
          <w:rFonts w:hint="eastAsia" w:ascii="宋体" w:hAnsi="宋体" w:cs="宋体"/>
          <w:b/>
          <w:bCs/>
          <w:kern w:val="44"/>
          <w:sz w:val="24"/>
          <w:szCs w:val="24"/>
        </w:rPr>
        <w:t>（含税金、运费、配合验收和后续服务费等的全部费用）</w:t>
      </w:r>
      <w:r>
        <w:rPr>
          <w:rFonts w:hint="eastAsia" w:ascii="宋体" w:hAnsi="宋体"/>
          <w:b/>
          <w:bCs/>
          <w:sz w:val="24"/>
          <w:szCs w:val="22"/>
        </w:rPr>
        <w:t>；</w:t>
      </w:r>
    </w:p>
    <w:p>
      <w:pPr>
        <w:spacing w:line="360" w:lineRule="auto"/>
      </w:pPr>
      <w:r>
        <w:rPr>
          <w:rFonts w:hint="eastAsia" w:ascii="宋体" w:hAnsi="宋体"/>
          <w:b/>
          <w:bCs/>
          <w:sz w:val="24"/>
          <w:szCs w:val="22"/>
        </w:rPr>
        <w:t>2、请将本磋商响应二次报价表单独打印</w:t>
      </w:r>
      <w:r>
        <w:rPr>
          <w:rFonts w:hint="eastAsia" w:ascii="宋体" w:hAnsi="宋体"/>
          <w:b/>
          <w:sz w:val="24"/>
        </w:rPr>
        <w:t>三份盖章后随身携带，二次报价在现场填写。</w:t>
      </w:r>
    </w:p>
    <w:sectPr>
      <w:footerReference r:id="rId8" w:type="first"/>
      <w:footerReference r:id="rId7" w:type="default"/>
      <w:pgSz w:w="11907" w:h="16840"/>
      <w:pgMar w:top="1440" w:right="1080" w:bottom="1440" w:left="1080" w:header="851" w:footer="680" w:gutter="0"/>
      <w:pgNumType w:fmt="decimal" w:start="1"/>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bowdo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9ujB2jgCAABvBAAADgAAAAAAAAABACAAAAAfAQAAZHJzL2Uyb0RvYy54&#10;bWxQSwUGAAAAAAYABgBZAQAAy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r>
      <w:rPr>
        <w:lang w:val="zh-CN"/>
      </w:rPr>
      <w:t xml:space="preserve">  </w: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LhXM4AgAAb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hMuFczgCAABvBAAADgAAAAAAAAABACAAAAAfAQAAZHJzL2Uyb0RvYy54&#10;bWxQSwUGAAAAAAYABgBZAQAAy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r>
      <w:rPr>
        <w:lang w:val="zh-CN"/>
      </w:rPr>
      <w:t xml:space="preserve">  </w:t>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rPr>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481DB"/>
    <w:multiLevelType w:val="singleLevel"/>
    <w:tmpl w:val="DEF481DB"/>
    <w:lvl w:ilvl="0" w:tentative="0">
      <w:start w:val="2"/>
      <w:numFmt w:val="decimal"/>
      <w:lvlText w:val="%1."/>
      <w:lvlJc w:val="left"/>
      <w:pPr>
        <w:tabs>
          <w:tab w:val="left" w:pos="312"/>
        </w:tabs>
      </w:pPr>
    </w:lvl>
  </w:abstractNum>
  <w:abstractNum w:abstractNumId="1">
    <w:nsid w:val="15812A10"/>
    <w:multiLevelType w:val="multilevel"/>
    <w:tmpl w:val="15812A10"/>
    <w:lvl w:ilvl="0" w:tentative="0">
      <w:start w:val="1"/>
      <w:numFmt w:val="upperLetter"/>
      <w:pStyle w:val="3"/>
      <w:lvlText w:val="%1、"/>
      <w:lvlJc w:val="left"/>
      <w:pPr>
        <w:tabs>
          <w:tab w:val="left" w:pos="360"/>
        </w:tabs>
        <w:ind w:left="-150" w:hanging="360"/>
      </w:pPr>
      <w:rPr>
        <w:rFonts w:hint="eastAsia"/>
      </w:rPr>
    </w:lvl>
    <w:lvl w:ilvl="1" w:tentative="0">
      <w:start w:val="1"/>
      <w:numFmt w:val="decimal"/>
      <w:lvlText w:val="%2."/>
      <w:lvlJc w:val="left"/>
      <w:pPr>
        <w:tabs>
          <w:tab w:val="left" w:pos="780"/>
        </w:tabs>
        <w:ind w:left="270" w:hanging="360"/>
      </w:pPr>
      <w:rPr>
        <w:rFonts w:hint="eastAsia"/>
      </w:rPr>
    </w:lvl>
    <w:lvl w:ilvl="2" w:tentative="0">
      <w:start w:val="1"/>
      <w:numFmt w:val="lowerRoman"/>
      <w:lvlText w:val="%3."/>
      <w:lvlJc w:val="right"/>
      <w:pPr>
        <w:tabs>
          <w:tab w:val="left" w:pos="1260"/>
        </w:tabs>
        <w:ind w:left="750" w:hanging="420"/>
      </w:pPr>
    </w:lvl>
    <w:lvl w:ilvl="3" w:tentative="0">
      <w:start w:val="1"/>
      <w:numFmt w:val="decimal"/>
      <w:lvlText w:val="%4."/>
      <w:lvlJc w:val="left"/>
      <w:pPr>
        <w:tabs>
          <w:tab w:val="left" w:pos="1680"/>
        </w:tabs>
        <w:ind w:left="1170" w:hanging="420"/>
      </w:pPr>
    </w:lvl>
    <w:lvl w:ilvl="4" w:tentative="0">
      <w:start w:val="1"/>
      <w:numFmt w:val="lowerLetter"/>
      <w:lvlText w:val="%5)"/>
      <w:lvlJc w:val="left"/>
      <w:pPr>
        <w:tabs>
          <w:tab w:val="left" w:pos="2100"/>
        </w:tabs>
        <w:ind w:left="1590" w:hanging="420"/>
      </w:pPr>
    </w:lvl>
    <w:lvl w:ilvl="5" w:tentative="0">
      <w:start w:val="1"/>
      <w:numFmt w:val="lowerRoman"/>
      <w:lvlText w:val="%6."/>
      <w:lvlJc w:val="right"/>
      <w:pPr>
        <w:tabs>
          <w:tab w:val="left" w:pos="2520"/>
        </w:tabs>
        <w:ind w:left="2010" w:hanging="420"/>
      </w:pPr>
    </w:lvl>
    <w:lvl w:ilvl="6" w:tentative="0">
      <w:start w:val="1"/>
      <w:numFmt w:val="decimal"/>
      <w:lvlText w:val="%7."/>
      <w:lvlJc w:val="left"/>
      <w:pPr>
        <w:tabs>
          <w:tab w:val="left" w:pos="2940"/>
        </w:tabs>
        <w:ind w:left="2430" w:hanging="420"/>
      </w:pPr>
    </w:lvl>
    <w:lvl w:ilvl="7" w:tentative="0">
      <w:start w:val="1"/>
      <w:numFmt w:val="lowerLetter"/>
      <w:lvlText w:val="%8)"/>
      <w:lvlJc w:val="left"/>
      <w:pPr>
        <w:tabs>
          <w:tab w:val="left" w:pos="3360"/>
        </w:tabs>
        <w:ind w:left="2850" w:hanging="420"/>
      </w:pPr>
    </w:lvl>
    <w:lvl w:ilvl="8" w:tentative="0">
      <w:start w:val="1"/>
      <w:numFmt w:val="lowerRoman"/>
      <w:lvlText w:val="%9."/>
      <w:lvlJc w:val="right"/>
      <w:pPr>
        <w:tabs>
          <w:tab w:val="left" w:pos="3780"/>
        </w:tabs>
        <w:ind w:left="3270" w:hanging="420"/>
      </w:pPr>
    </w:lvl>
  </w:abstractNum>
  <w:abstractNum w:abstractNumId="2">
    <w:nsid w:val="25E3E972"/>
    <w:multiLevelType w:val="multilevel"/>
    <w:tmpl w:val="25E3E972"/>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3">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44503749"/>
    <w:multiLevelType w:val="singleLevel"/>
    <w:tmpl w:val="44503749"/>
    <w:lvl w:ilvl="0" w:tentative="0">
      <w:start w:val="20"/>
      <w:numFmt w:val="decimal"/>
      <w:suff w:val="space"/>
      <w:lvlText w:val="%1."/>
      <w:lvlJc w:val="left"/>
    </w:lvl>
  </w:abstractNum>
  <w:abstractNum w:abstractNumId="5">
    <w:nsid w:val="5D006C46"/>
    <w:multiLevelType w:val="singleLevel"/>
    <w:tmpl w:val="5D006C46"/>
    <w:lvl w:ilvl="0" w:tentative="0">
      <w:start w:val="1"/>
      <w:numFmt w:val="decimal"/>
      <w:suff w:val="nothing"/>
      <w:lvlText w:val="%1、"/>
      <w:lvlJc w:val="left"/>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mI3OGQ0MDQ5ZmQxOGQ1M2I1OTg0M2JmY2ZhN2IifQ=="/>
  </w:docVars>
  <w:rsids>
    <w:rsidRoot w:val="00000000"/>
    <w:rsid w:val="00311A5F"/>
    <w:rsid w:val="003E0508"/>
    <w:rsid w:val="00C823C4"/>
    <w:rsid w:val="00CC340A"/>
    <w:rsid w:val="013E77C3"/>
    <w:rsid w:val="02A91D26"/>
    <w:rsid w:val="02B97AB2"/>
    <w:rsid w:val="030B6166"/>
    <w:rsid w:val="032A4C70"/>
    <w:rsid w:val="035B4572"/>
    <w:rsid w:val="03817737"/>
    <w:rsid w:val="040E189C"/>
    <w:rsid w:val="04455AD9"/>
    <w:rsid w:val="04695E91"/>
    <w:rsid w:val="047006EA"/>
    <w:rsid w:val="048C257D"/>
    <w:rsid w:val="053973EC"/>
    <w:rsid w:val="053A13B6"/>
    <w:rsid w:val="055A55B4"/>
    <w:rsid w:val="063E04EE"/>
    <w:rsid w:val="072E6CF9"/>
    <w:rsid w:val="074924D2"/>
    <w:rsid w:val="079E16BE"/>
    <w:rsid w:val="07F71FEB"/>
    <w:rsid w:val="088C69DE"/>
    <w:rsid w:val="08A50147"/>
    <w:rsid w:val="08EE3C25"/>
    <w:rsid w:val="08EF69B5"/>
    <w:rsid w:val="0900752E"/>
    <w:rsid w:val="09147343"/>
    <w:rsid w:val="098B21E0"/>
    <w:rsid w:val="09AF6451"/>
    <w:rsid w:val="09DC6BE1"/>
    <w:rsid w:val="09F77BDA"/>
    <w:rsid w:val="0A157CFC"/>
    <w:rsid w:val="0A40121D"/>
    <w:rsid w:val="0A8F7782"/>
    <w:rsid w:val="0A956F8C"/>
    <w:rsid w:val="0AD8373F"/>
    <w:rsid w:val="0B3D72D2"/>
    <w:rsid w:val="0BB92D4D"/>
    <w:rsid w:val="0BE22702"/>
    <w:rsid w:val="0C665DD1"/>
    <w:rsid w:val="0CAF1F34"/>
    <w:rsid w:val="0D4B360C"/>
    <w:rsid w:val="0D4C2F73"/>
    <w:rsid w:val="0D532E09"/>
    <w:rsid w:val="0D817B82"/>
    <w:rsid w:val="0D870F11"/>
    <w:rsid w:val="0DF90060"/>
    <w:rsid w:val="0E3A6219"/>
    <w:rsid w:val="0E6C1257"/>
    <w:rsid w:val="0E9733D5"/>
    <w:rsid w:val="0E9D61FB"/>
    <w:rsid w:val="0ED805F3"/>
    <w:rsid w:val="0EDD0CFE"/>
    <w:rsid w:val="0EEA5BFB"/>
    <w:rsid w:val="0EF64702"/>
    <w:rsid w:val="0F1E15DB"/>
    <w:rsid w:val="0F4826A6"/>
    <w:rsid w:val="0F6A2898"/>
    <w:rsid w:val="0F7F3ACD"/>
    <w:rsid w:val="10E357C8"/>
    <w:rsid w:val="11090198"/>
    <w:rsid w:val="11396B7C"/>
    <w:rsid w:val="119D4B6C"/>
    <w:rsid w:val="1204448A"/>
    <w:rsid w:val="122B028A"/>
    <w:rsid w:val="12594C06"/>
    <w:rsid w:val="126D0054"/>
    <w:rsid w:val="126E2FA3"/>
    <w:rsid w:val="12837F21"/>
    <w:rsid w:val="12A71DD0"/>
    <w:rsid w:val="12C549B5"/>
    <w:rsid w:val="12E05BA7"/>
    <w:rsid w:val="12F92BE7"/>
    <w:rsid w:val="130F4A91"/>
    <w:rsid w:val="137A50AD"/>
    <w:rsid w:val="14052375"/>
    <w:rsid w:val="14104F23"/>
    <w:rsid w:val="14172FEE"/>
    <w:rsid w:val="142B7C44"/>
    <w:rsid w:val="143B080B"/>
    <w:rsid w:val="144C2135"/>
    <w:rsid w:val="14901F58"/>
    <w:rsid w:val="149F1820"/>
    <w:rsid w:val="14DC167C"/>
    <w:rsid w:val="14F72E20"/>
    <w:rsid w:val="152515EA"/>
    <w:rsid w:val="157543DA"/>
    <w:rsid w:val="15866A40"/>
    <w:rsid w:val="15875F52"/>
    <w:rsid w:val="15CF00F6"/>
    <w:rsid w:val="165D4F05"/>
    <w:rsid w:val="165E3157"/>
    <w:rsid w:val="16690B60"/>
    <w:rsid w:val="16726C02"/>
    <w:rsid w:val="167C74F9"/>
    <w:rsid w:val="172607E9"/>
    <w:rsid w:val="17377504"/>
    <w:rsid w:val="173B7154"/>
    <w:rsid w:val="17880B43"/>
    <w:rsid w:val="178A613A"/>
    <w:rsid w:val="17FC2D33"/>
    <w:rsid w:val="182A43C3"/>
    <w:rsid w:val="18637686"/>
    <w:rsid w:val="18BA744E"/>
    <w:rsid w:val="19076B19"/>
    <w:rsid w:val="19121D33"/>
    <w:rsid w:val="19636CD6"/>
    <w:rsid w:val="19AC3FDB"/>
    <w:rsid w:val="1B4E5E97"/>
    <w:rsid w:val="1C1327B8"/>
    <w:rsid w:val="1C250273"/>
    <w:rsid w:val="1C3E30E2"/>
    <w:rsid w:val="1C3F7FCB"/>
    <w:rsid w:val="1C60574F"/>
    <w:rsid w:val="1C9D42AD"/>
    <w:rsid w:val="1D216C8C"/>
    <w:rsid w:val="1D314A2B"/>
    <w:rsid w:val="1D3421EE"/>
    <w:rsid w:val="1D6D58FA"/>
    <w:rsid w:val="1DA84CB7"/>
    <w:rsid w:val="1DD55EB7"/>
    <w:rsid w:val="1E28137E"/>
    <w:rsid w:val="1ED21B2F"/>
    <w:rsid w:val="1F391BC9"/>
    <w:rsid w:val="1F5275D0"/>
    <w:rsid w:val="1FB5190D"/>
    <w:rsid w:val="1FC658C9"/>
    <w:rsid w:val="1FCA53B9"/>
    <w:rsid w:val="20436F19"/>
    <w:rsid w:val="205D7A1F"/>
    <w:rsid w:val="20690F63"/>
    <w:rsid w:val="21415A21"/>
    <w:rsid w:val="21AF1BD8"/>
    <w:rsid w:val="21B979E0"/>
    <w:rsid w:val="21F66A4C"/>
    <w:rsid w:val="231150AD"/>
    <w:rsid w:val="232E1AE7"/>
    <w:rsid w:val="23406C81"/>
    <w:rsid w:val="237D6BE6"/>
    <w:rsid w:val="23866A85"/>
    <w:rsid w:val="23D6056F"/>
    <w:rsid w:val="24307F23"/>
    <w:rsid w:val="243C084F"/>
    <w:rsid w:val="25393B54"/>
    <w:rsid w:val="257775B9"/>
    <w:rsid w:val="257945CF"/>
    <w:rsid w:val="26D7227A"/>
    <w:rsid w:val="284B72B3"/>
    <w:rsid w:val="28895A4D"/>
    <w:rsid w:val="28B210E0"/>
    <w:rsid w:val="28E60D8A"/>
    <w:rsid w:val="29231FDE"/>
    <w:rsid w:val="29E43A51"/>
    <w:rsid w:val="29E45839"/>
    <w:rsid w:val="2A1E1198"/>
    <w:rsid w:val="2A2B2EF8"/>
    <w:rsid w:val="2AD17BD0"/>
    <w:rsid w:val="2AFD73C3"/>
    <w:rsid w:val="2B724A18"/>
    <w:rsid w:val="2B856638"/>
    <w:rsid w:val="2CD42279"/>
    <w:rsid w:val="2D5474BF"/>
    <w:rsid w:val="2F776BDF"/>
    <w:rsid w:val="2FA005EA"/>
    <w:rsid w:val="2FFB15BE"/>
    <w:rsid w:val="305667F5"/>
    <w:rsid w:val="30A612CD"/>
    <w:rsid w:val="30C542F1"/>
    <w:rsid w:val="31855A18"/>
    <w:rsid w:val="318C4BC4"/>
    <w:rsid w:val="31D102A1"/>
    <w:rsid w:val="32340DB8"/>
    <w:rsid w:val="32875687"/>
    <w:rsid w:val="32917264"/>
    <w:rsid w:val="32C1519A"/>
    <w:rsid w:val="32E9224B"/>
    <w:rsid w:val="32F17840"/>
    <w:rsid w:val="33777A59"/>
    <w:rsid w:val="34005E9A"/>
    <w:rsid w:val="34F94E29"/>
    <w:rsid w:val="351A6043"/>
    <w:rsid w:val="362B590F"/>
    <w:rsid w:val="365C1966"/>
    <w:rsid w:val="36736147"/>
    <w:rsid w:val="36F60DE4"/>
    <w:rsid w:val="370C70D2"/>
    <w:rsid w:val="37B450A7"/>
    <w:rsid w:val="37D41D47"/>
    <w:rsid w:val="37F3137E"/>
    <w:rsid w:val="37FA5987"/>
    <w:rsid w:val="38BC00E5"/>
    <w:rsid w:val="38E47094"/>
    <w:rsid w:val="38FF2E4A"/>
    <w:rsid w:val="39131D9F"/>
    <w:rsid w:val="39CD7B28"/>
    <w:rsid w:val="3A0926D8"/>
    <w:rsid w:val="3A744447"/>
    <w:rsid w:val="3A751F6D"/>
    <w:rsid w:val="3ADB4647"/>
    <w:rsid w:val="3B1B0D67"/>
    <w:rsid w:val="3B372CF3"/>
    <w:rsid w:val="3B4B2824"/>
    <w:rsid w:val="3BFF5012"/>
    <w:rsid w:val="3C8007EB"/>
    <w:rsid w:val="3C893318"/>
    <w:rsid w:val="3CD80929"/>
    <w:rsid w:val="3D03541D"/>
    <w:rsid w:val="3D1D30DE"/>
    <w:rsid w:val="3D6C012E"/>
    <w:rsid w:val="3D900C11"/>
    <w:rsid w:val="3D992C23"/>
    <w:rsid w:val="3DB53026"/>
    <w:rsid w:val="3DBF1CD5"/>
    <w:rsid w:val="3E5E797D"/>
    <w:rsid w:val="3E8957D0"/>
    <w:rsid w:val="3EC15D58"/>
    <w:rsid w:val="3EC833E6"/>
    <w:rsid w:val="3EDC217A"/>
    <w:rsid w:val="3EDF3E59"/>
    <w:rsid w:val="3F473D44"/>
    <w:rsid w:val="3F8213B4"/>
    <w:rsid w:val="3F843D6F"/>
    <w:rsid w:val="4037219F"/>
    <w:rsid w:val="411E6115"/>
    <w:rsid w:val="41A1134F"/>
    <w:rsid w:val="41C54AA2"/>
    <w:rsid w:val="420C4B3B"/>
    <w:rsid w:val="4231537C"/>
    <w:rsid w:val="424E1A22"/>
    <w:rsid w:val="425E7120"/>
    <w:rsid w:val="425F5C86"/>
    <w:rsid w:val="42671B20"/>
    <w:rsid w:val="42E87780"/>
    <w:rsid w:val="42F06635"/>
    <w:rsid w:val="43657023"/>
    <w:rsid w:val="447D52A7"/>
    <w:rsid w:val="44872FC9"/>
    <w:rsid w:val="44974BC1"/>
    <w:rsid w:val="44EB27C8"/>
    <w:rsid w:val="44F37464"/>
    <w:rsid w:val="4530380C"/>
    <w:rsid w:val="454A4722"/>
    <w:rsid w:val="457504FE"/>
    <w:rsid w:val="45A03BD9"/>
    <w:rsid w:val="45E854E6"/>
    <w:rsid w:val="472F7CCC"/>
    <w:rsid w:val="474260C5"/>
    <w:rsid w:val="475A000C"/>
    <w:rsid w:val="47853152"/>
    <w:rsid w:val="47AA594C"/>
    <w:rsid w:val="47C702AC"/>
    <w:rsid w:val="47F72214"/>
    <w:rsid w:val="489B7043"/>
    <w:rsid w:val="49145370"/>
    <w:rsid w:val="496B2532"/>
    <w:rsid w:val="496E1CD3"/>
    <w:rsid w:val="49942410"/>
    <w:rsid w:val="49F22BC1"/>
    <w:rsid w:val="4A070E34"/>
    <w:rsid w:val="4A215F63"/>
    <w:rsid w:val="4A9226ED"/>
    <w:rsid w:val="4ADD3943"/>
    <w:rsid w:val="4AF853EF"/>
    <w:rsid w:val="4B2A67E8"/>
    <w:rsid w:val="4B2E235D"/>
    <w:rsid w:val="4B3622DA"/>
    <w:rsid w:val="4C555455"/>
    <w:rsid w:val="4C9B5537"/>
    <w:rsid w:val="4CF80F08"/>
    <w:rsid w:val="4DAF1B61"/>
    <w:rsid w:val="4DC40DEA"/>
    <w:rsid w:val="4DF705E5"/>
    <w:rsid w:val="4E0C3561"/>
    <w:rsid w:val="4E757880"/>
    <w:rsid w:val="4E914C57"/>
    <w:rsid w:val="4EB423FE"/>
    <w:rsid w:val="4EFF657E"/>
    <w:rsid w:val="4F0E6752"/>
    <w:rsid w:val="50194573"/>
    <w:rsid w:val="50324731"/>
    <w:rsid w:val="50640E69"/>
    <w:rsid w:val="519F7883"/>
    <w:rsid w:val="51BA25B0"/>
    <w:rsid w:val="51C25640"/>
    <w:rsid w:val="51D75590"/>
    <w:rsid w:val="51F90505"/>
    <w:rsid w:val="529D22EE"/>
    <w:rsid w:val="52FB0AFC"/>
    <w:rsid w:val="536630DC"/>
    <w:rsid w:val="537D549B"/>
    <w:rsid w:val="53B67B2A"/>
    <w:rsid w:val="540A0C26"/>
    <w:rsid w:val="54462559"/>
    <w:rsid w:val="547E70D6"/>
    <w:rsid w:val="54EF7F76"/>
    <w:rsid w:val="559A69A6"/>
    <w:rsid w:val="55BB6F76"/>
    <w:rsid w:val="56290384"/>
    <w:rsid w:val="56332C8A"/>
    <w:rsid w:val="568D446F"/>
    <w:rsid w:val="56D11E5E"/>
    <w:rsid w:val="56D55E16"/>
    <w:rsid w:val="574F3CC8"/>
    <w:rsid w:val="5762199F"/>
    <w:rsid w:val="57A704EF"/>
    <w:rsid w:val="57C9597B"/>
    <w:rsid w:val="58353010"/>
    <w:rsid w:val="58ED38EB"/>
    <w:rsid w:val="592D3CE7"/>
    <w:rsid w:val="59B42952"/>
    <w:rsid w:val="5A3105E0"/>
    <w:rsid w:val="5A836C53"/>
    <w:rsid w:val="5AD764D0"/>
    <w:rsid w:val="5B38719E"/>
    <w:rsid w:val="5B3F5E3F"/>
    <w:rsid w:val="5B4D6A37"/>
    <w:rsid w:val="5B651682"/>
    <w:rsid w:val="5C15797A"/>
    <w:rsid w:val="5C8B76A2"/>
    <w:rsid w:val="5C9E45E6"/>
    <w:rsid w:val="5CF71023"/>
    <w:rsid w:val="5DC25A71"/>
    <w:rsid w:val="5EE147BC"/>
    <w:rsid w:val="5F8828C1"/>
    <w:rsid w:val="5F8F36CE"/>
    <w:rsid w:val="603B38D2"/>
    <w:rsid w:val="60583D40"/>
    <w:rsid w:val="608B5E00"/>
    <w:rsid w:val="608C5797"/>
    <w:rsid w:val="60A93221"/>
    <w:rsid w:val="60B63707"/>
    <w:rsid w:val="61097C04"/>
    <w:rsid w:val="610E2650"/>
    <w:rsid w:val="615E2032"/>
    <w:rsid w:val="61845F36"/>
    <w:rsid w:val="620F7F0F"/>
    <w:rsid w:val="62416092"/>
    <w:rsid w:val="62B31701"/>
    <w:rsid w:val="62EE1292"/>
    <w:rsid w:val="62F24C15"/>
    <w:rsid w:val="62F975B9"/>
    <w:rsid w:val="63253C81"/>
    <w:rsid w:val="63BE627A"/>
    <w:rsid w:val="63CB7C67"/>
    <w:rsid w:val="63D12955"/>
    <w:rsid w:val="645A5BAC"/>
    <w:rsid w:val="647E7AED"/>
    <w:rsid w:val="64D911C7"/>
    <w:rsid w:val="652A2EC0"/>
    <w:rsid w:val="652F34E8"/>
    <w:rsid w:val="657C227E"/>
    <w:rsid w:val="65957B83"/>
    <w:rsid w:val="65B03CD6"/>
    <w:rsid w:val="65BA6903"/>
    <w:rsid w:val="668F4A03"/>
    <w:rsid w:val="669058B5"/>
    <w:rsid w:val="66DC0AFB"/>
    <w:rsid w:val="66E87218"/>
    <w:rsid w:val="678215D1"/>
    <w:rsid w:val="67A71109"/>
    <w:rsid w:val="68060525"/>
    <w:rsid w:val="683055A2"/>
    <w:rsid w:val="68350B43"/>
    <w:rsid w:val="698C4A5A"/>
    <w:rsid w:val="69BF6FFE"/>
    <w:rsid w:val="69E239ED"/>
    <w:rsid w:val="69F30635"/>
    <w:rsid w:val="6A0E36C1"/>
    <w:rsid w:val="6B2018FE"/>
    <w:rsid w:val="6B487D05"/>
    <w:rsid w:val="6B737C7F"/>
    <w:rsid w:val="6BC13889"/>
    <w:rsid w:val="6BF6265F"/>
    <w:rsid w:val="6C22712D"/>
    <w:rsid w:val="6C89702F"/>
    <w:rsid w:val="6C9C393D"/>
    <w:rsid w:val="6CC24780"/>
    <w:rsid w:val="6DA0764D"/>
    <w:rsid w:val="6DB85357"/>
    <w:rsid w:val="6DC36557"/>
    <w:rsid w:val="6DCD73EF"/>
    <w:rsid w:val="6E3502DC"/>
    <w:rsid w:val="6E79627E"/>
    <w:rsid w:val="6EFD5AB2"/>
    <w:rsid w:val="6F392607"/>
    <w:rsid w:val="6F7C731F"/>
    <w:rsid w:val="6FF177DB"/>
    <w:rsid w:val="706A20CB"/>
    <w:rsid w:val="713322EB"/>
    <w:rsid w:val="7137174F"/>
    <w:rsid w:val="71A2231B"/>
    <w:rsid w:val="721374F8"/>
    <w:rsid w:val="723932A5"/>
    <w:rsid w:val="726D4BA8"/>
    <w:rsid w:val="729F36D4"/>
    <w:rsid w:val="730B4C41"/>
    <w:rsid w:val="73BB5A1A"/>
    <w:rsid w:val="73D74B68"/>
    <w:rsid w:val="73FC5756"/>
    <w:rsid w:val="75345775"/>
    <w:rsid w:val="75407287"/>
    <w:rsid w:val="75CB03A6"/>
    <w:rsid w:val="75FA1B5D"/>
    <w:rsid w:val="76910CDB"/>
    <w:rsid w:val="76B456AD"/>
    <w:rsid w:val="76D35A76"/>
    <w:rsid w:val="77E65C7D"/>
    <w:rsid w:val="783C3AEF"/>
    <w:rsid w:val="785962B6"/>
    <w:rsid w:val="788C7064"/>
    <w:rsid w:val="78FF0C55"/>
    <w:rsid w:val="791B7A8F"/>
    <w:rsid w:val="796B468C"/>
    <w:rsid w:val="797F6788"/>
    <w:rsid w:val="79AD6A52"/>
    <w:rsid w:val="79FF6B82"/>
    <w:rsid w:val="7A0700F9"/>
    <w:rsid w:val="7A8012C4"/>
    <w:rsid w:val="7AC259B8"/>
    <w:rsid w:val="7B5D0B54"/>
    <w:rsid w:val="7B711D02"/>
    <w:rsid w:val="7C013E40"/>
    <w:rsid w:val="7D507EF4"/>
    <w:rsid w:val="7DA3248E"/>
    <w:rsid w:val="7DEB5D9B"/>
    <w:rsid w:val="7DFF3643"/>
    <w:rsid w:val="7E096221"/>
    <w:rsid w:val="7E8D0C00"/>
    <w:rsid w:val="7ECD54A1"/>
    <w:rsid w:val="7EDA7510"/>
    <w:rsid w:val="7F10538E"/>
    <w:rsid w:val="7F423F91"/>
    <w:rsid w:val="7F653D5E"/>
    <w:rsid w:val="7F891012"/>
    <w:rsid w:val="7FD96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2"/>
    <w:next w:val="6"/>
    <w:qFormat/>
    <w:uiPriority w:val="0"/>
    <w:pPr>
      <w:keepNext/>
      <w:keepLines/>
      <w:spacing w:before="280" w:after="290" w:line="376" w:lineRule="auto"/>
      <w:outlineLvl w:val="3"/>
    </w:pPr>
    <w:rPr>
      <w:rFonts w:ascii="Arial" w:hAnsi="Arial" w:eastAsia="黑体"/>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6">
    <w:name w:val="天创内容"/>
    <w:basedOn w:val="1"/>
    <w:qFormat/>
    <w:uiPriority w:val="0"/>
    <w:pPr>
      <w:ind w:firstLine="200" w:firstLineChars="200"/>
    </w:pPr>
    <w:rPr>
      <w:rFonts w:ascii="Times New Roman" w:hAnsi="Times New Roman" w:eastAsia="宋体"/>
    </w:rPr>
  </w:style>
  <w:style w:type="paragraph" w:styleId="7">
    <w:name w:val="Normal Indent"/>
    <w:basedOn w:val="1"/>
    <w:qFormat/>
    <w:uiPriority w:val="0"/>
    <w:pPr>
      <w:ind w:firstLine="420" w:firstLineChars="200"/>
    </w:pPr>
    <w:rPr>
      <w:szCs w:val="24"/>
    </w:rPr>
  </w:style>
  <w:style w:type="paragraph" w:styleId="8">
    <w:name w:val="Body Text"/>
    <w:basedOn w:val="1"/>
    <w:qFormat/>
    <w:uiPriority w:val="0"/>
    <w:rPr>
      <w:rFonts w:ascii="Arial" w:hAnsi="Arial"/>
      <w:sz w:val="24"/>
    </w:rPr>
  </w:style>
  <w:style w:type="paragraph" w:styleId="9">
    <w:name w:val="Body Text Indent"/>
    <w:basedOn w:val="1"/>
    <w:next w:val="5"/>
    <w:qFormat/>
    <w:uiPriority w:val="0"/>
    <w:pPr>
      <w:ind w:firstLine="480"/>
    </w:pPr>
    <w:rPr>
      <w:rFonts w:ascii="宋体" w:hAnsi="宋体"/>
      <w:sz w:val="24"/>
    </w:rPr>
  </w:style>
  <w:style w:type="paragraph" w:styleId="10">
    <w:name w:val="Plain Text"/>
    <w:basedOn w:val="1"/>
    <w:qFormat/>
    <w:uiPriority w:val="0"/>
    <w:rPr>
      <w:rFonts w:ascii="宋体" w:hAnsi="Courier New"/>
    </w:r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style>
  <w:style w:type="paragraph" w:styleId="14">
    <w:name w:val="footnote text"/>
    <w:basedOn w:val="1"/>
    <w:qFormat/>
    <w:uiPriority w:val="0"/>
    <w:pPr>
      <w:snapToGrid w:val="0"/>
      <w:jc w:val="left"/>
    </w:pPr>
    <w:rPr>
      <w:sz w:val="18"/>
    </w:rPr>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7">
    <w:name w:val="Body Text First Indent"/>
    <w:basedOn w:val="8"/>
    <w:qFormat/>
    <w:uiPriority w:val="0"/>
    <w:pPr>
      <w:spacing w:after="120"/>
      <w:ind w:firstLine="420" w:firstLineChars="100"/>
    </w:pPr>
    <w:rPr>
      <w:rFonts w:ascii="Times New Roman" w:hAnsi="Times New Roman"/>
      <w:sz w:val="21"/>
    </w:rPr>
  </w:style>
  <w:style w:type="paragraph" w:styleId="18">
    <w:name w:val="Body Text First Indent 2"/>
    <w:basedOn w:val="9"/>
    <w:next w:val="1"/>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99"/>
    <w:rPr>
      <w:color w:val="0000FF"/>
      <w:u w:val="single"/>
    </w:rPr>
  </w:style>
  <w:style w:type="character" w:styleId="23">
    <w:name w:val="HTML Sample"/>
    <w:basedOn w:val="21"/>
    <w:unhideWhenUsed/>
    <w:qFormat/>
    <w:uiPriority w:val="0"/>
    <w:rPr>
      <w:rFonts w:ascii="宋体" w:hAnsi="宋体" w:eastAsia="宋体" w:cs="宋体"/>
    </w:rPr>
  </w:style>
  <w:style w:type="paragraph" w:styleId="24">
    <w:name w:val="List Paragraph"/>
    <w:basedOn w:val="1"/>
    <w:unhideWhenUsed/>
    <w:qFormat/>
    <w:uiPriority w:val="99"/>
    <w:pPr>
      <w:ind w:firstLine="420" w:firstLineChars="200"/>
    </w:pPr>
  </w:style>
  <w:style w:type="paragraph" w:customStyle="1" w:styleId="25">
    <w:name w:val="样式 标题 3 + (中文) 黑体 小四 非加粗 段前: 7.8 磅 段后: 0 磅 行距: 固定值 20 磅"/>
    <w:basedOn w:val="2"/>
    <w:qFormat/>
    <w:uiPriority w:val="0"/>
    <w:pPr>
      <w:spacing w:before="0" w:after="0" w:line="400" w:lineRule="exact"/>
    </w:pPr>
    <w:rPr>
      <w:rFonts w:eastAsia="黑体" w:cs="宋体"/>
      <w:sz w:val="24"/>
      <w:szCs w:val="20"/>
    </w:rPr>
  </w:style>
  <w:style w:type="paragraph" w:customStyle="1" w:styleId="26">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7">
    <w:name w:val="WPS Plain"/>
    <w:qFormat/>
    <w:uiPriority w:val="0"/>
    <w:rPr>
      <w:rFonts w:ascii="Times New Roman" w:hAnsi="Times New Roman" w:eastAsia="宋体" w:cs="Times New Roman"/>
      <w:lang w:val="en-US" w:eastAsia="zh-CN" w:bidi="ar-SA"/>
    </w:rPr>
  </w:style>
  <w:style w:type="paragraph" w:customStyle="1" w:styleId="28">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29">
    <w:name w:val="Blockquote_0"/>
    <w:basedOn w:val="30"/>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3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首行缩进"/>
    <w:basedOn w:val="1"/>
    <w:qFormat/>
    <w:uiPriority w:val="0"/>
    <w:pPr>
      <w:ind w:firstLine="480" w:firstLineChars="200"/>
    </w:pPr>
    <w:rPr>
      <w:lang w:val="zh-CN"/>
    </w:rPr>
  </w:style>
  <w:style w:type="paragraph" w:customStyle="1" w:styleId="32">
    <w:name w:val="GZTB段落样式"/>
    <w:basedOn w:val="1"/>
    <w:qFormat/>
    <w:uiPriority w:val="0"/>
    <w:pPr>
      <w:spacing w:after="200" w:line="440" w:lineRule="exact"/>
      <w:ind w:firstLine="420" w:firstLineChars="200"/>
    </w:pPr>
    <w:rPr>
      <w:rFonts w:ascii="新宋体" w:hAnsi="新宋体" w:eastAsia="新宋体"/>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25762</Words>
  <Characters>27746</Characters>
  <Lines>0</Lines>
  <Paragraphs>0</Paragraphs>
  <TotalTime>2</TotalTime>
  <ScaleCrop>false</ScaleCrop>
  <LinksUpToDate>false</LinksUpToDate>
  <CharactersWithSpaces>33957</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2022-05-13T03:34:00Z</dcterms:created>
  <dc:creator>Administrator</dc:creator>
  <cp:lastModifiedBy>A0000</cp:lastModifiedBy>
  <cp:lastPrinted>2022-06-06T02:17:00Z</cp:lastPrinted>
  <dcterms:modified xsi:type="dcterms:W3CDTF">2022-11-25T10:42:13Z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64C822343B3443D2B3E06E505AC39E1B</vt:lpwstr>
  </property>
</Properties>
</file>