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insoku w:val="0"/>
        <w:overflowPunct w:val="0"/>
        <w:spacing w:before="0" w:line="580" w:lineRule="exact"/>
        <w:ind w:left="74" w:right="-58"/>
        <w:rPr>
          <w:rFonts w:hint="eastAsia" w:ascii="宋体" w:hAnsi="宋体" w:eastAsia="宋体" w:cs="宋体"/>
          <w:b/>
          <w:bCs/>
          <w:sz w:val="32"/>
          <w:szCs w:val="32"/>
          <w:highlight w:val="none"/>
        </w:rPr>
      </w:pPr>
    </w:p>
    <w:p>
      <w:pPr>
        <w:pStyle w:val="8"/>
        <w:kinsoku w:val="0"/>
        <w:overflowPunct w:val="0"/>
        <w:spacing w:before="0" w:line="580" w:lineRule="exact"/>
        <w:ind w:left="0" w:right="-58"/>
        <w:rPr>
          <w:rFonts w:hint="eastAsia" w:ascii="宋体" w:hAnsi="宋体" w:eastAsia="宋体" w:cs="宋体"/>
          <w:b/>
          <w:bCs/>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ajorEastAsia" w:hAnsiTheme="majorEastAsia" w:eastAsiaTheme="majorEastAsia" w:cstheme="majorEastAsia"/>
          <w:b/>
          <w:bCs/>
          <w:sz w:val="48"/>
          <w:szCs w:val="48"/>
          <w:highlight w:val="none"/>
        </w:rPr>
      </w:pPr>
      <w:r>
        <w:rPr>
          <w:rFonts w:hint="eastAsia" w:asciiTheme="majorEastAsia" w:hAnsiTheme="majorEastAsia" w:eastAsiaTheme="majorEastAsia" w:cstheme="majorEastAsia"/>
          <w:b/>
          <w:bCs/>
          <w:sz w:val="56"/>
          <w:szCs w:val="56"/>
          <w:highlight w:val="none"/>
          <w:lang w:eastAsia="zh-CN"/>
        </w:rPr>
        <w:t>中苏友协新疆分会旧址建筑日常保养工程（一期）项目</w:t>
      </w:r>
    </w:p>
    <w:p>
      <w:pPr>
        <w:pStyle w:val="22"/>
        <w:rPr>
          <w:rFonts w:hint="eastAsia" w:asciiTheme="majorEastAsia" w:hAnsiTheme="majorEastAsia" w:eastAsiaTheme="majorEastAsia" w:cstheme="majorEastAsia"/>
          <w:b/>
          <w:bCs/>
          <w:sz w:val="56"/>
          <w:szCs w:val="56"/>
          <w:highlight w:val="none"/>
        </w:rPr>
      </w:pPr>
    </w:p>
    <w:p>
      <w:pPr>
        <w:pStyle w:val="22"/>
        <w:ind w:left="0" w:leftChars="0" w:firstLine="0" w:firstLineChars="0"/>
        <w:rPr>
          <w:rFonts w:hint="eastAsia" w:asciiTheme="majorEastAsia" w:hAnsiTheme="majorEastAsia" w:eastAsiaTheme="majorEastAsia" w:cstheme="majorEastAsia"/>
          <w:b/>
          <w:bCs/>
          <w:sz w:val="56"/>
          <w:szCs w:val="56"/>
          <w:highlight w:val="none"/>
          <w:lang w:eastAsia="zh-CN"/>
        </w:rPr>
      </w:pPr>
    </w:p>
    <w:p>
      <w:pPr>
        <w:pStyle w:val="22"/>
        <w:rPr>
          <w:rFonts w:hint="eastAsia" w:asciiTheme="majorEastAsia" w:hAnsiTheme="majorEastAsia" w:eastAsiaTheme="majorEastAsia" w:cstheme="majorEastAsia"/>
          <w:b/>
          <w:bCs/>
          <w:sz w:val="56"/>
          <w:szCs w:val="56"/>
          <w:highlight w:val="none"/>
          <w:lang w:eastAsia="zh-CN"/>
        </w:rPr>
      </w:pPr>
    </w:p>
    <w:p>
      <w:pPr>
        <w:jc w:val="center"/>
        <w:rPr>
          <w:rFonts w:hint="eastAsia"/>
          <w:b/>
          <w:bCs/>
          <w:sz w:val="72"/>
          <w:szCs w:val="72"/>
          <w:highlight w:val="none"/>
        </w:rPr>
      </w:pPr>
      <w:r>
        <w:rPr>
          <w:rFonts w:hint="eastAsia"/>
          <w:b/>
          <w:bCs/>
          <w:sz w:val="72"/>
          <w:szCs w:val="72"/>
          <w:highlight w:val="none"/>
          <w:lang w:eastAsia="zh-CN"/>
        </w:rPr>
        <w:t>竞争性磋商</w:t>
      </w:r>
      <w:r>
        <w:rPr>
          <w:rFonts w:hint="eastAsia"/>
          <w:b/>
          <w:bCs/>
          <w:sz w:val="72"/>
          <w:szCs w:val="72"/>
          <w:highlight w:val="none"/>
        </w:rPr>
        <w:t>文件</w:t>
      </w:r>
    </w:p>
    <w:p>
      <w:pPr>
        <w:pStyle w:val="6"/>
        <w:ind w:left="0" w:leftChars="0" w:firstLine="0" w:firstLineChars="0"/>
        <w:jc w:val="center"/>
        <w:rPr>
          <w:rFonts w:hint="eastAsia" w:ascii="宋体" w:hAnsi="宋体" w:eastAsia="宋体" w:cs="宋体"/>
          <w:highlight w:val="none"/>
          <w:lang w:eastAsia="zh-CN"/>
        </w:rPr>
      </w:pPr>
      <w:r>
        <w:rPr>
          <w:rFonts w:hint="eastAsia"/>
          <w:sz w:val="28"/>
          <w:szCs w:val="28"/>
          <w:highlight w:val="none"/>
        </w:rPr>
        <w:t>项目编号：</w:t>
      </w:r>
      <w:r>
        <w:rPr>
          <w:rFonts w:hint="eastAsia"/>
          <w:sz w:val="28"/>
          <w:szCs w:val="28"/>
          <w:highlight w:val="none"/>
          <w:lang w:eastAsia="zh-CN"/>
        </w:rPr>
        <w:t>XJTZY2022-1-C0065</w:t>
      </w:r>
    </w:p>
    <w:p>
      <w:pPr>
        <w:pStyle w:val="5"/>
        <w:spacing w:line="360" w:lineRule="auto"/>
        <w:ind w:left="638" w:leftChars="304" w:firstLine="0" w:firstLineChars="0"/>
        <w:rPr>
          <w:rFonts w:hint="eastAsia" w:ascii="宋体" w:hAnsi="宋体" w:eastAsia="宋体" w:cs="宋体"/>
          <w:b/>
          <w:bCs/>
          <w:sz w:val="32"/>
          <w:szCs w:val="32"/>
          <w:highlight w:val="none"/>
          <w:lang w:eastAsia="zh-CN"/>
        </w:rPr>
      </w:pPr>
    </w:p>
    <w:p>
      <w:pPr>
        <w:pStyle w:val="5"/>
        <w:spacing w:line="360" w:lineRule="auto"/>
        <w:ind w:left="638" w:leftChars="304" w:firstLine="0" w:firstLineChars="0"/>
        <w:rPr>
          <w:rFonts w:hint="eastAsia" w:ascii="宋体" w:hAnsi="宋体" w:eastAsia="宋体" w:cs="宋体"/>
          <w:b/>
          <w:bCs/>
          <w:sz w:val="32"/>
          <w:szCs w:val="32"/>
          <w:highlight w:val="none"/>
          <w:lang w:eastAsia="zh-CN"/>
        </w:rPr>
      </w:pPr>
    </w:p>
    <w:p>
      <w:pPr>
        <w:pStyle w:val="5"/>
        <w:spacing w:line="360" w:lineRule="auto"/>
        <w:ind w:left="638" w:leftChars="304" w:firstLine="0" w:firstLineChars="0"/>
        <w:rPr>
          <w:rFonts w:hint="eastAsia" w:ascii="宋体" w:hAnsi="宋体" w:eastAsia="宋体" w:cs="宋体"/>
          <w:b/>
          <w:bCs/>
          <w:sz w:val="32"/>
          <w:szCs w:val="32"/>
          <w:highlight w:val="none"/>
          <w:lang w:eastAsia="zh-CN"/>
        </w:rPr>
      </w:pPr>
    </w:p>
    <w:p>
      <w:pPr>
        <w:pStyle w:val="5"/>
        <w:spacing w:line="360" w:lineRule="auto"/>
        <w:ind w:left="638" w:leftChars="304" w:firstLine="0" w:firstLineChars="0"/>
        <w:rPr>
          <w:rFonts w:hint="eastAsia" w:ascii="宋体" w:hAnsi="宋体" w:eastAsia="宋体" w:cs="宋体"/>
          <w:b/>
          <w:bCs/>
          <w:sz w:val="32"/>
          <w:szCs w:val="32"/>
          <w:highlight w:val="none"/>
          <w:lang w:eastAsia="zh-CN"/>
        </w:rPr>
      </w:pPr>
    </w:p>
    <w:p>
      <w:pPr>
        <w:pStyle w:val="5"/>
        <w:spacing w:line="360" w:lineRule="auto"/>
        <w:ind w:left="1056" w:leftChars="503" w:firstLine="0" w:firstLineChars="0"/>
        <w:rPr>
          <w:rFonts w:hint="eastAsia" w:ascii="宋体" w:hAnsi="宋体" w:eastAsia="宋体" w:cs="宋体"/>
          <w:b/>
          <w:bCs/>
          <w:sz w:val="28"/>
          <w:szCs w:val="28"/>
          <w:highlight w:val="none"/>
          <w:u w:val="none"/>
          <w:lang w:val="en-US" w:eastAsia="zh-CN"/>
        </w:rPr>
      </w:pPr>
      <w:r>
        <w:rPr>
          <w:rFonts w:hint="eastAsia" w:ascii="宋体" w:hAnsi="宋体" w:eastAsia="宋体" w:cs="宋体"/>
          <w:b/>
          <w:bCs/>
          <w:sz w:val="28"/>
          <w:szCs w:val="28"/>
          <w:highlight w:val="none"/>
          <w:lang w:eastAsia="zh-CN"/>
        </w:rPr>
        <w:t>采</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lang w:eastAsia="zh-CN"/>
        </w:rPr>
        <w:t>购</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lang w:eastAsia="zh-CN"/>
        </w:rPr>
        <w:t>人</w:t>
      </w:r>
      <w:r>
        <w:rPr>
          <w:rFonts w:hint="eastAsia" w:ascii="宋体" w:hAnsi="宋体" w:eastAsia="宋体" w:cs="宋体"/>
          <w:b/>
          <w:bCs/>
          <w:sz w:val="28"/>
          <w:szCs w:val="28"/>
          <w:highlight w:val="none"/>
        </w:rPr>
        <w:t>：</w:t>
      </w:r>
      <w:r>
        <w:rPr>
          <w:rFonts w:hint="eastAsia" w:ascii="宋体" w:hAnsi="宋体" w:cs="宋体"/>
          <w:b/>
          <w:bCs/>
          <w:color w:val="000000"/>
          <w:sz w:val="28"/>
          <w:szCs w:val="28"/>
          <w:highlight w:val="none"/>
          <w:u w:val="none"/>
          <w:lang w:eastAsia="zh-CN"/>
        </w:rPr>
        <w:t>新疆维吾尔自治区文化和旅游厅</w:t>
      </w:r>
      <w:r>
        <w:rPr>
          <w:rFonts w:hint="eastAsia" w:ascii="宋体" w:hAnsi="宋体" w:eastAsia="宋体" w:cs="宋体"/>
          <w:b/>
          <w:bCs/>
          <w:sz w:val="28"/>
          <w:szCs w:val="28"/>
          <w:highlight w:val="none"/>
          <w:u w:val="none"/>
          <w:lang w:val="en-US" w:eastAsia="zh-CN"/>
        </w:rPr>
        <w:t xml:space="preserve"> </w:t>
      </w:r>
    </w:p>
    <w:p>
      <w:pPr>
        <w:pStyle w:val="6"/>
        <w:ind w:left="1056" w:leftChars="503" w:firstLine="0" w:firstLineChars="0"/>
        <w:rPr>
          <w:rFonts w:hint="default" w:ascii="宋体" w:hAnsi="宋体" w:cs="宋体"/>
          <w:b/>
          <w:bCs/>
          <w:sz w:val="28"/>
          <w:szCs w:val="28"/>
          <w:highlight w:val="none"/>
          <w:u w:val="none"/>
          <w:lang w:val="en-US" w:eastAsia="zh-CN"/>
        </w:rPr>
      </w:pPr>
      <w:r>
        <w:rPr>
          <w:rFonts w:hint="eastAsia" w:ascii="宋体" w:hAnsi="宋体" w:cs="宋体"/>
          <w:b/>
          <w:bCs/>
          <w:sz w:val="28"/>
          <w:szCs w:val="28"/>
          <w:highlight w:val="none"/>
          <w:u w:val="none"/>
          <w:lang w:val="en-US" w:eastAsia="zh-CN"/>
        </w:rPr>
        <w:t>联   系   人：开沙江·库尔班</w:t>
      </w:r>
    </w:p>
    <w:p>
      <w:pPr>
        <w:ind w:left="1056" w:leftChars="503" w:firstLine="0" w:firstLineChars="0"/>
        <w:outlineLvl w:val="9"/>
        <w:rPr>
          <w:rFonts w:hint="eastAsia" w:ascii="宋体" w:hAnsi="宋体" w:cs="宋体"/>
          <w:b/>
          <w:bCs/>
          <w:sz w:val="28"/>
          <w:szCs w:val="28"/>
          <w:highlight w:val="none"/>
          <w:u w:val="none"/>
          <w:lang w:val="en-US" w:eastAsia="zh-CN"/>
        </w:rPr>
      </w:pPr>
      <w:r>
        <w:rPr>
          <w:rFonts w:hint="eastAsia" w:ascii="宋体" w:hAnsi="宋体" w:cs="宋体"/>
          <w:b/>
          <w:bCs/>
          <w:sz w:val="28"/>
          <w:szCs w:val="28"/>
          <w:highlight w:val="none"/>
          <w:u w:val="none"/>
          <w:lang w:val="en-US" w:eastAsia="zh-CN"/>
        </w:rPr>
        <w:t>地        址：乌鲁木齐市金银路143号</w:t>
      </w:r>
    </w:p>
    <w:p>
      <w:pPr>
        <w:ind w:left="1056" w:leftChars="503" w:firstLine="0" w:firstLineChars="0"/>
        <w:outlineLvl w:val="9"/>
        <w:rPr>
          <w:rFonts w:hint="default"/>
          <w:sz w:val="20"/>
          <w:szCs w:val="21"/>
          <w:lang w:val="en-US" w:eastAsia="zh-CN"/>
        </w:rPr>
      </w:pPr>
    </w:p>
    <w:p>
      <w:pPr>
        <w:outlineLvl w:val="9"/>
        <w:rPr>
          <w:rFonts w:hint="default"/>
          <w:lang w:val="en-US" w:eastAsia="zh-CN"/>
        </w:rPr>
      </w:pPr>
    </w:p>
    <w:p>
      <w:pPr>
        <w:spacing w:line="360" w:lineRule="auto"/>
        <w:ind w:left="1056" w:leftChars="503" w:firstLine="0" w:firstLineChars="0"/>
        <w:rPr>
          <w:rFonts w:hint="eastAsia" w:ascii="宋体" w:hAnsi="宋体" w:eastAsia="宋体" w:cs="宋体"/>
          <w:b/>
          <w:bCs/>
          <w:sz w:val="28"/>
          <w:szCs w:val="28"/>
          <w:highlight w:val="none"/>
          <w:u w:val="none"/>
        </w:rPr>
      </w:pPr>
      <w:r>
        <w:rPr>
          <w:rFonts w:hint="eastAsia" w:ascii="宋体" w:hAnsi="宋体" w:eastAsia="宋体" w:cs="宋体"/>
          <w:b/>
          <w:bCs/>
          <w:sz w:val="28"/>
          <w:szCs w:val="28"/>
          <w:highlight w:val="none"/>
          <w:u w:val="none"/>
          <w:lang w:eastAsia="zh-CN"/>
        </w:rPr>
        <w:t>采购</w:t>
      </w:r>
      <w:r>
        <w:rPr>
          <w:rFonts w:hint="eastAsia" w:ascii="宋体" w:hAnsi="宋体" w:eastAsia="宋体" w:cs="宋体"/>
          <w:b/>
          <w:bCs/>
          <w:sz w:val="28"/>
          <w:szCs w:val="28"/>
          <w:highlight w:val="none"/>
          <w:u w:val="none"/>
        </w:rPr>
        <w:t>代理机构：</w:t>
      </w:r>
      <w:r>
        <w:rPr>
          <w:rFonts w:hint="eastAsia" w:ascii="宋体" w:hAnsi="宋体" w:cs="宋体"/>
          <w:b/>
          <w:bCs/>
          <w:sz w:val="28"/>
          <w:szCs w:val="28"/>
          <w:highlight w:val="none"/>
          <w:u w:val="none"/>
          <w:lang w:eastAsia="zh-CN"/>
        </w:rPr>
        <w:t>新疆天之源项目管理集团有限公司</w:t>
      </w:r>
      <w:r>
        <w:rPr>
          <w:rFonts w:hint="eastAsia" w:ascii="宋体" w:hAnsi="宋体" w:eastAsia="宋体" w:cs="宋体"/>
          <w:b/>
          <w:bCs/>
          <w:sz w:val="28"/>
          <w:szCs w:val="28"/>
          <w:highlight w:val="none"/>
          <w:u w:val="none"/>
        </w:rPr>
        <w:t xml:space="preserve">  </w:t>
      </w:r>
    </w:p>
    <w:p>
      <w:pPr>
        <w:pStyle w:val="6"/>
        <w:ind w:left="1056" w:leftChars="503" w:firstLine="0" w:firstLineChars="0"/>
        <w:rPr>
          <w:rFonts w:hint="eastAsia" w:ascii="宋体" w:hAnsi="宋体" w:cs="宋体"/>
          <w:b/>
          <w:bCs/>
          <w:sz w:val="28"/>
          <w:szCs w:val="28"/>
          <w:highlight w:val="none"/>
          <w:u w:val="none"/>
          <w:lang w:val="en-US" w:eastAsia="zh-CN"/>
        </w:rPr>
      </w:pPr>
      <w:r>
        <w:rPr>
          <w:rFonts w:hint="eastAsia" w:ascii="宋体" w:hAnsi="宋体" w:cs="宋体"/>
          <w:b/>
          <w:bCs/>
          <w:sz w:val="28"/>
          <w:szCs w:val="28"/>
          <w:highlight w:val="none"/>
          <w:u w:val="none"/>
          <w:lang w:val="en-US" w:eastAsia="zh-CN"/>
        </w:rPr>
        <w:t>联   系   人：李飞</w:t>
      </w:r>
    </w:p>
    <w:p>
      <w:pPr>
        <w:ind w:left="1056" w:leftChars="503" w:firstLine="0" w:firstLineChars="0"/>
        <w:outlineLvl w:val="9"/>
        <w:rPr>
          <w:rFonts w:hint="eastAsia"/>
          <w:sz w:val="20"/>
          <w:szCs w:val="21"/>
        </w:rPr>
      </w:pPr>
      <w:r>
        <w:rPr>
          <w:rFonts w:hint="eastAsia" w:ascii="宋体" w:hAnsi="宋体" w:cs="宋体"/>
          <w:b/>
          <w:bCs/>
          <w:sz w:val="28"/>
          <w:szCs w:val="28"/>
          <w:highlight w:val="none"/>
          <w:u w:val="none"/>
          <w:lang w:val="en-US" w:eastAsia="zh-CN"/>
        </w:rPr>
        <w:t>地        址：乌鲁木齐市水磨沟区龙盛街2799号浙商大厦11楼</w:t>
      </w:r>
    </w:p>
    <w:p>
      <w:pPr>
        <w:spacing w:line="360" w:lineRule="auto"/>
        <w:ind w:left="1056" w:leftChars="503" w:firstLine="0" w:firstLineChars="0"/>
        <w:jc w:val="center"/>
        <w:rPr>
          <w:rFonts w:hint="eastAsia" w:ascii="宋体" w:hAnsi="宋体" w:eastAsia="宋体" w:cs="宋体"/>
          <w:b/>
          <w:bCs/>
          <w:sz w:val="28"/>
          <w:szCs w:val="28"/>
          <w:highlight w:val="none"/>
          <w:u w:val="none"/>
          <w:lang w:val="en-US" w:eastAsia="zh-CN"/>
        </w:rPr>
      </w:pPr>
    </w:p>
    <w:p>
      <w:pPr>
        <w:spacing w:line="360" w:lineRule="auto"/>
        <w:ind w:left="1056" w:leftChars="503" w:firstLine="0" w:firstLineChars="0"/>
        <w:jc w:val="center"/>
        <w:rPr>
          <w:rFonts w:hint="eastAsia" w:ascii="宋体" w:hAnsi="宋体" w:eastAsia="宋体" w:cs="宋体"/>
          <w:szCs w:val="21"/>
          <w:highlight w:val="none"/>
          <w:u w:val="none"/>
        </w:rPr>
      </w:pPr>
      <w:r>
        <w:rPr>
          <w:rFonts w:hint="eastAsia" w:ascii="宋体" w:hAnsi="宋体" w:eastAsia="宋体" w:cs="宋体"/>
          <w:b/>
          <w:bCs/>
          <w:sz w:val="28"/>
          <w:szCs w:val="28"/>
          <w:highlight w:val="none"/>
          <w:u w:val="none"/>
          <w:lang w:val="en-US" w:eastAsia="zh-CN"/>
        </w:rPr>
        <w:t>202</w:t>
      </w:r>
      <w:r>
        <w:rPr>
          <w:rFonts w:hint="eastAsia" w:ascii="宋体" w:hAnsi="宋体" w:cs="宋体"/>
          <w:b/>
          <w:bCs/>
          <w:sz w:val="28"/>
          <w:szCs w:val="28"/>
          <w:highlight w:val="none"/>
          <w:u w:val="none"/>
          <w:lang w:val="en-US" w:eastAsia="zh-CN"/>
        </w:rPr>
        <w:t>2</w:t>
      </w:r>
      <w:r>
        <w:rPr>
          <w:rFonts w:hint="eastAsia" w:ascii="宋体" w:hAnsi="宋体" w:eastAsia="宋体" w:cs="宋体"/>
          <w:b/>
          <w:bCs/>
          <w:sz w:val="28"/>
          <w:szCs w:val="28"/>
          <w:highlight w:val="none"/>
          <w:u w:val="none"/>
          <w:lang w:val="en-US" w:eastAsia="zh-CN"/>
        </w:rPr>
        <w:t>年</w:t>
      </w:r>
      <w:r>
        <w:rPr>
          <w:rFonts w:hint="eastAsia" w:ascii="宋体" w:hAnsi="宋体" w:cs="宋体"/>
          <w:b/>
          <w:bCs/>
          <w:sz w:val="28"/>
          <w:szCs w:val="28"/>
          <w:highlight w:val="none"/>
          <w:u w:val="none"/>
          <w:lang w:val="en-US" w:eastAsia="zh-CN"/>
        </w:rPr>
        <w:t>12</w:t>
      </w:r>
      <w:r>
        <w:rPr>
          <w:rFonts w:hint="eastAsia" w:ascii="宋体" w:hAnsi="宋体" w:eastAsia="宋体" w:cs="宋体"/>
          <w:b/>
          <w:bCs/>
          <w:sz w:val="28"/>
          <w:szCs w:val="28"/>
          <w:highlight w:val="none"/>
          <w:u w:val="none"/>
          <w:lang w:val="en-US" w:eastAsia="zh-CN"/>
        </w:rPr>
        <w:t>月</w:t>
      </w:r>
      <w:bookmarkStart w:id="0" w:name="_Toc179632527"/>
      <w:bookmarkStart w:id="1" w:name="_Toc363119275"/>
    </w:p>
    <w:bookmarkEnd w:id="0"/>
    <w:bookmarkEnd w:id="1"/>
    <w:p>
      <w:pPr>
        <w:pStyle w:val="8"/>
        <w:kinsoku w:val="0"/>
        <w:overflowPunct w:val="0"/>
        <w:spacing w:before="0"/>
        <w:ind w:left="0"/>
        <w:rPr>
          <w:rFonts w:hint="eastAsia" w:ascii="宋体" w:hAnsi="宋体" w:eastAsia="宋体" w:cs="宋体"/>
          <w:b/>
          <w:bCs/>
          <w:sz w:val="20"/>
          <w:szCs w:val="20"/>
          <w:highlight w:val="none"/>
        </w:rPr>
      </w:pPr>
    </w:p>
    <w:p>
      <w:pPr>
        <w:pStyle w:val="8"/>
        <w:kinsoku w:val="0"/>
        <w:overflowPunct w:val="0"/>
        <w:spacing w:before="0"/>
        <w:ind w:left="0"/>
        <w:rPr>
          <w:rFonts w:hint="eastAsia" w:ascii="宋体" w:hAnsi="宋体" w:eastAsia="宋体" w:cs="宋体"/>
          <w:b/>
          <w:bCs/>
          <w:sz w:val="20"/>
          <w:szCs w:val="20"/>
          <w:highlight w:val="none"/>
        </w:rPr>
      </w:pPr>
    </w:p>
    <w:p>
      <w:pPr>
        <w:pStyle w:val="8"/>
        <w:kinsoku w:val="0"/>
        <w:overflowPunct w:val="0"/>
        <w:spacing w:before="0"/>
        <w:ind w:left="0"/>
        <w:rPr>
          <w:rFonts w:hint="eastAsia" w:ascii="宋体" w:hAnsi="宋体" w:eastAsia="宋体" w:cs="宋体"/>
          <w:b/>
          <w:bCs/>
          <w:sz w:val="20"/>
          <w:szCs w:val="20"/>
          <w:highlight w:val="none"/>
        </w:rPr>
      </w:pPr>
    </w:p>
    <w:p>
      <w:pPr>
        <w:pStyle w:val="8"/>
        <w:tabs>
          <w:tab w:val="left" w:pos="1204"/>
        </w:tabs>
        <w:kinsoku w:val="0"/>
        <w:overflowPunct w:val="0"/>
        <w:spacing w:before="0" w:line="501" w:lineRule="exact"/>
        <w:ind w:left="1"/>
        <w:jc w:val="center"/>
        <w:rPr>
          <w:rFonts w:hint="eastAsia" w:ascii="宋体" w:hAnsi="宋体" w:eastAsia="宋体" w:cs="宋体"/>
          <w:b/>
          <w:bCs/>
          <w:w w:val="95"/>
          <w:sz w:val="36"/>
          <w:szCs w:val="36"/>
          <w:highlight w:val="none"/>
        </w:rPr>
        <w:sectPr>
          <w:footerReference r:id="rId5" w:type="first"/>
          <w:headerReference r:id="rId3" w:type="default"/>
          <w:footerReference r:id="rId4" w:type="default"/>
          <w:pgSz w:w="11910" w:h="16840"/>
          <w:pgMar w:top="1040" w:right="1137" w:bottom="960" w:left="1080" w:header="763" w:footer="766" w:gutter="0"/>
          <w:pgBorders>
            <w:top w:val="none" w:sz="0" w:space="0"/>
            <w:left w:val="none" w:sz="0" w:space="0"/>
            <w:bottom w:val="none" w:sz="0" w:space="0"/>
            <w:right w:val="none" w:sz="0" w:space="0"/>
          </w:pgBorders>
          <w:pgNumType w:fmt="numberInDash" w:start="0"/>
          <w:cols w:space="720" w:num="1"/>
          <w:titlePg/>
          <w:docGrid w:linePitch="286" w:charSpace="0"/>
        </w:sectPr>
      </w:pPr>
    </w:p>
    <w:p>
      <w:pPr>
        <w:pStyle w:val="8"/>
        <w:tabs>
          <w:tab w:val="left" w:pos="1204"/>
        </w:tabs>
        <w:kinsoku w:val="0"/>
        <w:overflowPunct w:val="0"/>
        <w:spacing w:before="0" w:line="501" w:lineRule="exact"/>
        <w:ind w:left="1"/>
        <w:jc w:val="center"/>
        <w:rPr>
          <w:rFonts w:hint="eastAsia" w:ascii="宋体" w:hAnsi="宋体" w:eastAsia="宋体" w:cs="宋体"/>
          <w:sz w:val="36"/>
          <w:szCs w:val="36"/>
          <w:highlight w:val="none"/>
        </w:rPr>
      </w:pPr>
      <w:r>
        <w:rPr>
          <w:rFonts w:hint="eastAsia" w:ascii="宋体" w:hAnsi="宋体" w:eastAsia="宋体" w:cs="宋体"/>
          <w:b/>
          <w:bCs/>
          <w:w w:val="95"/>
          <w:sz w:val="36"/>
          <w:szCs w:val="36"/>
          <w:highlight w:val="none"/>
        </w:rPr>
        <w:t>目</w:t>
      </w:r>
      <w:r>
        <w:rPr>
          <w:rFonts w:hint="eastAsia" w:ascii="宋体" w:hAnsi="宋体" w:eastAsia="宋体" w:cs="宋体"/>
          <w:b/>
          <w:bCs/>
          <w:w w:val="95"/>
          <w:sz w:val="36"/>
          <w:szCs w:val="36"/>
          <w:highlight w:val="none"/>
        </w:rPr>
        <w:tab/>
      </w:r>
      <w:r>
        <w:rPr>
          <w:rFonts w:hint="eastAsia" w:ascii="宋体" w:hAnsi="宋体" w:eastAsia="宋体" w:cs="宋体"/>
          <w:b/>
          <w:bCs/>
          <w:sz w:val="36"/>
          <w:szCs w:val="36"/>
          <w:highlight w:val="none"/>
        </w:rPr>
        <w:t>录</w:t>
      </w:r>
    </w:p>
    <w:p>
      <w:pPr>
        <w:pStyle w:val="13"/>
        <w:tabs>
          <w:tab w:val="right" w:leader="dot" w:pos="9541"/>
          <w:tab w:val="clear" w:pos="9400"/>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TOC \o "1-3" \h \z </w:instrText>
      </w:r>
      <w:r>
        <w:rPr>
          <w:rFonts w:hint="eastAsia" w:ascii="宋体" w:hAnsi="宋体" w:eastAsia="宋体" w:cs="宋体"/>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_Toc6155 </w:instrText>
      </w:r>
      <w:r>
        <w:rPr>
          <w:rFonts w:hint="eastAsia" w:ascii="宋体" w:hAnsi="宋体" w:eastAsia="宋体" w:cs="宋体"/>
          <w:highlight w:val="none"/>
        </w:rPr>
        <w:fldChar w:fldCharType="separate"/>
      </w:r>
      <w:r>
        <w:rPr>
          <w:rFonts w:hint="eastAsia" w:ascii="宋体" w:hAnsi="宋体" w:eastAsia="宋体" w:cs="宋体"/>
          <w:w w:val="95"/>
          <w:highlight w:val="none"/>
        </w:rPr>
        <w:t>第一章</w:t>
      </w:r>
      <w:r>
        <w:rPr>
          <w:rFonts w:hint="eastAsia" w:ascii="宋体" w:hAnsi="宋体" w:cs="宋体"/>
          <w:w w:val="95"/>
          <w:highlight w:val="none"/>
          <w:lang w:val="en-US" w:eastAsia="zh-CN"/>
        </w:rPr>
        <w:t xml:space="preserve"> </w:t>
      </w:r>
      <w:r>
        <w:rPr>
          <w:rFonts w:hint="eastAsia" w:ascii="宋体" w:hAnsi="宋体" w:eastAsia="宋体" w:cs="宋体"/>
          <w:highlight w:val="none"/>
        </w:rPr>
        <w:t>投标邀请书</w:t>
      </w:r>
      <w:r>
        <w:rPr>
          <w:highlight w:val="none"/>
        </w:rPr>
        <w:tab/>
      </w:r>
      <w:r>
        <w:rPr>
          <w:highlight w:val="none"/>
        </w:rPr>
        <w:fldChar w:fldCharType="begin"/>
      </w:r>
      <w:r>
        <w:rPr>
          <w:highlight w:val="none"/>
        </w:rPr>
        <w:instrText xml:space="preserve"> PAGEREF _Toc6155 </w:instrText>
      </w:r>
      <w:r>
        <w:rPr>
          <w:highlight w:val="none"/>
        </w:rPr>
        <w:fldChar w:fldCharType="separate"/>
      </w:r>
      <w:r>
        <w:rPr>
          <w:highlight w:val="none"/>
        </w:rPr>
        <w:t>2</w:t>
      </w:r>
      <w:r>
        <w:rPr>
          <w:highlight w:val="none"/>
        </w:rPr>
        <w:fldChar w:fldCharType="end"/>
      </w:r>
      <w:r>
        <w:rPr>
          <w:rFonts w:hint="eastAsia" w:ascii="宋体" w:hAnsi="宋体" w:eastAsia="宋体" w:cs="宋体"/>
          <w:highlight w:val="none"/>
        </w:rPr>
        <w:fldChar w:fldCharType="end"/>
      </w:r>
    </w:p>
    <w:p>
      <w:pPr>
        <w:pStyle w:val="13"/>
        <w:tabs>
          <w:tab w:val="right" w:leader="dot" w:pos="9541"/>
          <w:tab w:val="clear" w:pos="9400"/>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_Toc15730 </w:instrText>
      </w:r>
      <w:r>
        <w:rPr>
          <w:rFonts w:hint="eastAsia" w:ascii="宋体" w:hAnsi="宋体" w:eastAsia="宋体" w:cs="宋体"/>
          <w:highlight w:val="none"/>
        </w:rPr>
        <w:fldChar w:fldCharType="separate"/>
      </w:r>
      <w:r>
        <w:rPr>
          <w:rFonts w:hint="eastAsia" w:ascii="华文中宋" w:hAnsi="华文中宋" w:eastAsia="华文中宋"/>
          <w:highlight w:val="none"/>
        </w:rPr>
        <w:t>竞争性磋商公告</w:t>
      </w:r>
      <w:r>
        <w:rPr>
          <w:highlight w:val="none"/>
        </w:rPr>
        <w:tab/>
      </w:r>
      <w:r>
        <w:rPr>
          <w:highlight w:val="none"/>
        </w:rPr>
        <w:fldChar w:fldCharType="begin"/>
      </w:r>
      <w:r>
        <w:rPr>
          <w:highlight w:val="none"/>
        </w:rPr>
        <w:instrText xml:space="preserve"> PAGEREF _Toc15730 </w:instrText>
      </w:r>
      <w:r>
        <w:rPr>
          <w:highlight w:val="none"/>
        </w:rPr>
        <w:fldChar w:fldCharType="separate"/>
      </w:r>
      <w:r>
        <w:rPr>
          <w:highlight w:val="none"/>
        </w:rPr>
        <w:t>2</w:t>
      </w:r>
      <w:r>
        <w:rPr>
          <w:highlight w:val="none"/>
        </w:rPr>
        <w:fldChar w:fldCharType="end"/>
      </w:r>
      <w:r>
        <w:rPr>
          <w:rFonts w:hint="eastAsia" w:ascii="宋体" w:hAnsi="宋体" w:eastAsia="宋体" w:cs="宋体"/>
          <w:highlight w:val="none"/>
        </w:rPr>
        <w:fldChar w:fldCharType="end"/>
      </w:r>
    </w:p>
    <w:p>
      <w:pPr>
        <w:pStyle w:val="13"/>
        <w:tabs>
          <w:tab w:val="right" w:pos="2400"/>
          <w:tab w:val="right" w:leader="dot" w:pos="9541"/>
          <w:tab w:val="clear" w:pos="9400"/>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_Toc25669 </w:instrText>
      </w:r>
      <w:r>
        <w:rPr>
          <w:rFonts w:hint="eastAsia" w:ascii="宋体" w:hAnsi="宋体" w:eastAsia="宋体" w:cs="宋体"/>
          <w:highlight w:val="none"/>
        </w:rPr>
        <w:fldChar w:fldCharType="separate"/>
      </w:r>
      <w:r>
        <w:rPr>
          <w:rFonts w:hint="eastAsia" w:ascii="宋体" w:hAnsi="宋体" w:eastAsia="宋体" w:cs="宋体"/>
          <w:w w:val="95"/>
          <w:highlight w:val="none"/>
        </w:rPr>
        <w:t>第二章</w:t>
      </w:r>
      <w:r>
        <w:rPr>
          <w:rFonts w:hint="eastAsia" w:ascii="宋体" w:hAnsi="宋体" w:eastAsia="宋体" w:cs="宋体"/>
          <w:w w:val="95"/>
          <w:highlight w:val="none"/>
        </w:rPr>
        <w:tab/>
      </w:r>
      <w:r>
        <w:rPr>
          <w:rFonts w:hint="eastAsia" w:ascii="宋体" w:hAnsi="宋体" w:cs="宋体"/>
          <w:w w:val="95"/>
          <w:highlight w:val="none"/>
          <w:lang w:val="en-US" w:eastAsia="zh-CN"/>
        </w:rPr>
        <w:t xml:space="preserve"> </w:t>
      </w:r>
      <w:r>
        <w:rPr>
          <w:rFonts w:hint="eastAsia" w:ascii="宋体" w:hAnsi="宋体" w:eastAsia="宋体" w:cs="宋体"/>
          <w:highlight w:val="none"/>
        </w:rPr>
        <w:t>供应商须知及前附表</w:t>
      </w:r>
      <w:r>
        <w:rPr>
          <w:highlight w:val="none"/>
        </w:rPr>
        <w:tab/>
      </w:r>
      <w:r>
        <w:rPr>
          <w:highlight w:val="none"/>
        </w:rPr>
        <w:fldChar w:fldCharType="begin"/>
      </w:r>
      <w:r>
        <w:rPr>
          <w:highlight w:val="none"/>
        </w:rPr>
        <w:instrText xml:space="preserve"> PAGEREF _Toc25669 </w:instrText>
      </w:r>
      <w:r>
        <w:rPr>
          <w:highlight w:val="none"/>
        </w:rPr>
        <w:fldChar w:fldCharType="separate"/>
      </w:r>
      <w:r>
        <w:rPr>
          <w:highlight w:val="none"/>
        </w:rPr>
        <w:t>6</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_Toc7077 </w:instrText>
      </w:r>
      <w:r>
        <w:rPr>
          <w:rFonts w:hint="eastAsia" w:ascii="宋体" w:hAnsi="宋体" w:eastAsia="宋体" w:cs="宋体"/>
          <w:highlight w:val="none"/>
        </w:rPr>
        <w:fldChar w:fldCharType="separate"/>
      </w:r>
      <w:r>
        <w:rPr>
          <w:rFonts w:hint="eastAsia" w:ascii="宋体" w:hAnsi="宋体" w:eastAsia="宋体" w:cs="宋体"/>
          <w:highlight w:val="none"/>
        </w:rPr>
        <w:t>（一）供应商须知前附表</w:t>
      </w:r>
      <w:r>
        <w:rPr>
          <w:highlight w:val="none"/>
        </w:rPr>
        <w:tab/>
      </w:r>
      <w:r>
        <w:rPr>
          <w:highlight w:val="none"/>
        </w:rPr>
        <w:fldChar w:fldCharType="begin"/>
      </w:r>
      <w:r>
        <w:rPr>
          <w:highlight w:val="none"/>
        </w:rPr>
        <w:instrText xml:space="preserve"> PAGEREF _Toc7077 </w:instrText>
      </w:r>
      <w:r>
        <w:rPr>
          <w:highlight w:val="none"/>
        </w:rPr>
        <w:fldChar w:fldCharType="separate"/>
      </w:r>
      <w:r>
        <w:rPr>
          <w:highlight w:val="none"/>
        </w:rPr>
        <w:t>6</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_Toc24361 </w:instrText>
      </w:r>
      <w:r>
        <w:rPr>
          <w:rFonts w:hint="eastAsia" w:ascii="宋体" w:hAnsi="宋体" w:eastAsia="宋体" w:cs="宋体"/>
          <w:highlight w:val="none"/>
        </w:rPr>
        <w:fldChar w:fldCharType="separate"/>
      </w:r>
      <w:r>
        <w:rPr>
          <w:rFonts w:hint="eastAsia" w:ascii="宋体" w:hAnsi="宋体" w:eastAsia="宋体" w:cs="宋体"/>
          <w:highlight w:val="none"/>
        </w:rPr>
        <w:t>（二）供应商须知</w:t>
      </w:r>
      <w:r>
        <w:rPr>
          <w:highlight w:val="none"/>
        </w:rPr>
        <w:tab/>
      </w:r>
      <w:r>
        <w:rPr>
          <w:highlight w:val="none"/>
        </w:rPr>
        <w:fldChar w:fldCharType="begin"/>
      </w:r>
      <w:r>
        <w:rPr>
          <w:highlight w:val="none"/>
        </w:rPr>
        <w:instrText xml:space="preserve"> PAGEREF _Toc24361 </w:instrText>
      </w:r>
      <w:r>
        <w:rPr>
          <w:highlight w:val="none"/>
        </w:rPr>
        <w:fldChar w:fldCharType="separate"/>
      </w:r>
      <w:r>
        <w:rPr>
          <w:highlight w:val="none"/>
        </w:rPr>
        <w:t>11</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_Toc20516 </w:instrText>
      </w:r>
      <w:r>
        <w:rPr>
          <w:rFonts w:hint="eastAsia" w:ascii="宋体" w:hAnsi="宋体" w:eastAsia="宋体" w:cs="宋体"/>
          <w:highlight w:val="none"/>
        </w:rPr>
        <w:fldChar w:fldCharType="separate"/>
      </w:r>
      <w:r>
        <w:rPr>
          <w:rFonts w:hint="eastAsia" w:ascii="宋体" w:hAnsi="宋体" w:eastAsia="宋体" w:cs="宋体"/>
          <w:highlight w:val="none"/>
        </w:rPr>
        <w:t>（三）《竞争性磋商文件》</w:t>
      </w:r>
      <w:r>
        <w:rPr>
          <w:highlight w:val="none"/>
        </w:rPr>
        <w:tab/>
      </w:r>
      <w:r>
        <w:rPr>
          <w:highlight w:val="none"/>
        </w:rPr>
        <w:fldChar w:fldCharType="begin"/>
      </w:r>
      <w:r>
        <w:rPr>
          <w:highlight w:val="none"/>
        </w:rPr>
        <w:instrText xml:space="preserve"> PAGEREF _Toc20516 </w:instrText>
      </w:r>
      <w:r>
        <w:rPr>
          <w:highlight w:val="none"/>
        </w:rPr>
        <w:fldChar w:fldCharType="separate"/>
      </w:r>
      <w:r>
        <w:rPr>
          <w:highlight w:val="none"/>
        </w:rPr>
        <w:t>13</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_Toc8528 </w:instrText>
      </w:r>
      <w:r>
        <w:rPr>
          <w:rFonts w:hint="eastAsia" w:ascii="宋体" w:hAnsi="宋体" w:eastAsia="宋体" w:cs="宋体"/>
          <w:highlight w:val="none"/>
        </w:rPr>
        <w:fldChar w:fldCharType="separate"/>
      </w:r>
      <w:r>
        <w:rPr>
          <w:rFonts w:hint="eastAsia" w:ascii="宋体" w:hAnsi="宋体" w:eastAsia="宋体" w:cs="宋体"/>
          <w:highlight w:val="none"/>
        </w:rPr>
        <w:t>（四）《磋商响应性文件》的编制</w:t>
      </w:r>
      <w:r>
        <w:rPr>
          <w:highlight w:val="none"/>
        </w:rPr>
        <w:tab/>
      </w:r>
      <w:r>
        <w:rPr>
          <w:highlight w:val="none"/>
        </w:rPr>
        <w:fldChar w:fldCharType="begin"/>
      </w:r>
      <w:r>
        <w:rPr>
          <w:highlight w:val="none"/>
        </w:rPr>
        <w:instrText xml:space="preserve"> PAGEREF _Toc8528 </w:instrText>
      </w:r>
      <w:r>
        <w:rPr>
          <w:highlight w:val="none"/>
        </w:rPr>
        <w:fldChar w:fldCharType="separate"/>
      </w:r>
      <w:r>
        <w:rPr>
          <w:highlight w:val="none"/>
        </w:rPr>
        <w:t>14</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_Toc32099 </w:instrText>
      </w:r>
      <w:r>
        <w:rPr>
          <w:rFonts w:hint="eastAsia" w:ascii="宋体" w:hAnsi="宋体" w:eastAsia="宋体" w:cs="宋体"/>
          <w:highlight w:val="none"/>
        </w:rPr>
        <w:fldChar w:fldCharType="separate"/>
      </w:r>
      <w:r>
        <w:rPr>
          <w:rFonts w:hint="eastAsia" w:ascii="宋体" w:hAnsi="宋体" w:eastAsia="宋体" w:cs="宋体"/>
          <w:highlight w:val="none"/>
        </w:rPr>
        <w:t>（五）磋商响应性文件的提交及相关事项</w:t>
      </w:r>
      <w:r>
        <w:rPr>
          <w:highlight w:val="none"/>
        </w:rPr>
        <w:tab/>
      </w:r>
      <w:r>
        <w:rPr>
          <w:highlight w:val="none"/>
        </w:rPr>
        <w:fldChar w:fldCharType="begin"/>
      </w:r>
      <w:r>
        <w:rPr>
          <w:highlight w:val="none"/>
        </w:rPr>
        <w:instrText xml:space="preserve"> PAGEREF _Toc32099 </w:instrText>
      </w:r>
      <w:r>
        <w:rPr>
          <w:highlight w:val="none"/>
        </w:rPr>
        <w:fldChar w:fldCharType="separate"/>
      </w:r>
      <w:r>
        <w:rPr>
          <w:highlight w:val="none"/>
        </w:rPr>
        <w:t>19</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_Toc1690 </w:instrText>
      </w:r>
      <w:r>
        <w:rPr>
          <w:rFonts w:hint="eastAsia" w:ascii="宋体" w:hAnsi="宋体" w:eastAsia="宋体" w:cs="宋体"/>
          <w:highlight w:val="none"/>
        </w:rPr>
        <w:fldChar w:fldCharType="separate"/>
      </w:r>
      <w:r>
        <w:rPr>
          <w:rFonts w:hint="eastAsia" w:ascii="宋体" w:hAnsi="宋体" w:eastAsia="宋体" w:cs="宋体"/>
          <w:highlight w:val="none"/>
        </w:rPr>
        <w:t>（</w:t>
      </w:r>
      <w:r>
        <w:rPr>
          <w:rFonts w:hint="eastAsia" w:ascii="宋体" w:hAnsi="宋体" w:eastAsia="宋体" w:cs="宋体"/>
          <w:highlight w:val="none"/>
          <w:lang w:eastAsia="zh-CN"/>
        </w:rPr>
        <w:t>六</w:t>
      </w:r>
      <w:r>
        <w:rPr>
          <w:rFonts w:hint="eastAsia" w:ascii="宋体" w:hAnsi="宋体" w:eastAsia="宋体" w:cs="宋体"/>
          <w:highlight w:val="none"/>
        </w:rPr>
        <w:t>）</w:t>
      </w:r>
      <w:r>
        <w:rPr>
          <w:rFonts w:hint="eastAsia" w:ascii="宋体" w:hAnsi="宋体" w:eastAsia="宋体" w:cs="宋体"/>
          <w:highlight w:val="none"/>
          <w:lang w:eastAsia="zh-CN"/>
        </w:rPr>
        <w:t>磋商</w:t>
      </w:r>
      <w:r>
        <w:rPr>
          <w:highlight w:val="none"/>
        </w:rPr>
        <w:tab/>
      </w:r>
      <w:r>
        <w:rPr>
          <w:highlight w:val="none"/>
        </w:rPr>
        <w:fldChar w:fldCharType="begin"/>
      </w:r>
      <w:r>
        <w:rPr>
          <w:highlight w:val="none"/>
        </w:rPr>
        <w:instrText xml:space="preserve"> PAGEREF _Toc1690 </w:instrText>
      </w:r>
      <w:r>
        <w:rPr>
          <w:highlight w:val="none"/>
        </w:rPr>
        <w:fldChar w:fldCharType="separate"/>
      </w:r>
      <w:r>
        <w:rPr>
          <w:highlight w:val="none"/>
        </w:rPr>
        <w:t>21</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_Toc11796 </w:instrText>
      </w:r>
      <w:r>
        <w:rPr>
          <w:rFonts w:hint="eastAsia" w:ascii="宋体" w:hAnsi="宋体" w:eastAsia="宋体" w:cs="宋体"/>
          <w:highlight w:val="none"/>
        </w:rPr>
        <w:fldChar w:fldCharType="separate"/>
      </w:r>
      <w:r>
        <w:rPr>
          <w:rFonts w:hint="eastAsia" w:ascii="宋体" w:hAnsi="宋体" w:eastAsia="宋体" w:cs="宋体"/>
          <w:highlight w:val="none"/>
        </w:rPr>
        <w:t>（</w:t>
      </w:r>
      <w:r>
        <w:rPr>
          <w:rFonts w:hint="eastAsia" w:ascii="宋体" w:hAnsi="宋体" w:eastAsia="宋体" w:cs="宋体"/>
          <w:highlight w:val="none"/>
          <w:lang w:eastAsia="zh-CN"/>
        </w:rPr>
        <w:t>七</w:t>
      </w:r>
      <w:r>
        <w:rPr>
          <w:rFonts w:hint="eastAsia" w:ascii="宋体" w:hAnsi="宋体" w:eastAsia="宋体" w:cs="宋体"/>
          <w:highlight w:val="none"/>
        </w:rPr>
        <w:t>）定标</w:t>
      </w:r>
      <w:r>
        <w:rPr>
          <w:highlight w:val="none"/>
        </w:rPr>
        <w:tab/>
      </w:r>
      <w:r>
        <w:rPr>
          <w:highlight w:val="none"/>
        </w:rPr>
        <w:fldChar w:fldCharType="begin"/>
      </w:r>
      <w:r>
        <w:rPr>
          <w:highlight w:val="none"/>
        </w:rPr>
        <w:instrText xml:space="preserve"> PAGEREF _Toc11796 </w:instrText>
      </w:r>
      <w:r>
        <w:rPr>
          <w:highlight w:val="none"/>
        </w:rPr>
        <w:fldChar w:fldCharType="separate"/>
      </w:r>
      <w:r>
        <w:rPr>
          <w:highlight w:val="none"/>
        </w:rPr>
        <w:t>22</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_Toc23542 </w:instrText>
      </w:r>
      <w:r>
        <w:rPr>
          <w:rFonts w:hint="eastAsia" w:ascii="宋体" w:hAnsi="宋体" w:eastAsia="宋体" w:cs="宋体"/>
          <w:highlight w:val="none"/>
        </w:rPr>
        <w:fldChar w:fldCharType="separate"/>
      </w:r>
      <w:r>
        <w:rPr>
          <w:rFonts w:hint="eastAsia" w:ascii="宋体" w:hAnsi="宋体" w:eastAsia="宋体" w:cs="宋体"/>
          <w:highlight w:val="none"/>
        </w:rPr>
        <w:t>（</w:t>
      </w:r>
      <w:r>
        <w:rPr>
          <w:rFonts w:hint="eastAsia" w:ascii="宋体" w:hAnsi="宋体" w:eastAsia="宋体" w:cs="宋体"/>
          <w:highlight w:val="none"/>
          <w:lang w:eastAsia="zh-CN"/>
        </w:rPr>
        <w:t>八</w:t>
      </w:r>
      <w:r>
        <w:rPr>
          <w:rFonts w:hint="eastAsia" w:ascii="宋体" w:hAnsi="宋体" w:eastAsia="宋体" w:cs="宋体"/>
          <w:highlight w:val="none"/>
        </w:rPr>
        <w:t>）合同签订及履行</w:t>
      </w:r>
      <w:r>
        <w:rPr>
          <w:highlight w:val="none"/>
        </w:rPr>
        <w:tab/>
      </w:r>
      <w:r>
        <w:rPr>
          <w:highlight w:val="none"/>
        </w:rPr>
        <w:fldChar w:fldCharType="begin"/>
      </w:r>
      <w:r>
        <w:rPr>
          <w:highlight w:val="none"/>
        </w:rPr>
        <w:instrText xml:space="preserve"> PAGEREF _Toc23542 </w:instrText>
      </w:r>
      <w:r>
        <w:rPr>
          <w:highlight w:val="none"/>
        </w:rPr>
        <w:fldChar w:fldCharType="separate"/>
      </w:r>
      <w:r>
        <w:rPr>
          <w:highlight w:val="none"/>
        </w:rPr>
        <w:t>23</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_Toc23631 </w:instrText>
      </w:r>
      <w:r>
        <w:rPr>
          <w:rFonts w:hint="eastAsia" w:ascii="宋体" w:hAnsi="宋体" w:eastAsia="宋体" w:cs="宋体"/>
          <w:highlight w:val="none"/>
        </w:rPr>
        <w:fldChar w:fldCharType="separate"/>
      </w:r>
      <w:r>
        <w:rPr>
          <w:rFonts w:hint="eastAsia" w:ascii="宋体" w:hAnsi="宋体" w:eastAsia="宋体" w:cs="宋体"/>
          <w:highlight w:val="none"/>
        </w:rPr>
        <w:t>（</w:t>
      </w:r>
      <w:r>
        <w:rPr>
          <w:rFonts w:hint="eastAsia" w:ascii="宋体" w:hAnsi="宋体" w:eastAsia="宋体" w:cs="宋体"/>
          <w:highlight w:val="none"/>
          <w:lang w:eastAsia="zh-CN"/>
        </w:rPr>
        <w:t>九</w:t>
      </w:r>
      <w:r>
        <w:rPr>
          <w:rFonts w:hint="eastAsia" w:ascii="宋体" w:hAnsi="宋体" w:eastAsia="宋体" w:cs="宋体"/>
          <w:highlight w:val="none"/>
        </w:rPr>
        <w:t>）重新招标和不再招标</w:t>
      </w:r>
      <w:r>
        <w:rPr>
          <w:highlight w:val="none"/>
        </w:rPr>
        <w:tab/>
      </w:r>
      <w:r>
        <w:rPr>
          <w:highlight w:val="none"/>
        </w:rPr>
        <w:fldChar w:fldCharType="begin"/>
      </w:r>
      <w:r>
        <w:rPr>
          <w:highlight w:val="none"/>
        </w:rPr>
        <w:instrText xml:space="preserve"> PAGEREF _Toc23631 </w:instrText>
      </w:r>
      <w:r>
        <w:rPr>
          <w:highlight w:val="none"/>
        </w:rPr>
        <w:fldChar w:fldCharType="separate"/>
      </w:r>
      <w:r>
        <w:rPr>
          <w:highlight w:val="none"/>
        </w:rPr>
        <w:t>24</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_Toc6269 </w:instrText>
      </w:r>
      <w:r>
        <w:rPr>
          <w:rFonts w:hint="eastAsia" w:ascii="宋体" w:hAnsi="宋体" w:eastAsia="宋体" w:cs="宋体"/>
          <w:highlight w:val="none"/>
        </w:rPr>
        <w:fldChar w:fldCharType="separate"/>
      </w:r>
      <w:r>
        <w:rPr>
          <w:rFonts w:hint="eastAsia" w:ascii="宋体" w:hAnsi="宋体" w:eastAsia="宋体" w:cs="宋体"/>
          <w:highlight w:val="none"/>
        </w:rPr>
        <w:t>（十）纪律和监督</w:t>
      </w:r>
      <w:r>
        <w:rPr>
          <w:highlight w:val="none"/>
        </w:rPr>
        <w:tab/>
      </w:r>
      <w:r>
        <w:rPr>
          <w:highlight w:val="none"/>
        </w:rPr>
        <w:fldChar w:fldCharType="begin"/>
      </w:r>
      <w:r>
        <w:rPr>
          <w:highlight w:val="none"/>
        </w:rPr>
        <w:instrText xml:space="preserve"> PAGEREF _Toc6269 </w:instrText>
      </w:r>
      <w:r>
        <w:rPr>
          <w:highlight w:val="none"/>
        </w:rPr>
        <w:fldChar w:fldCharType="separate"/>
      </w:r>
      <w:r>
        <w:rPr>
          <w:highlight w:val="none"/>
        </w:rPr>
        <w:t>25</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_Toc23224 </w:instrText>
      </w:r>
      <w:r>
        <w:rPr>
          <w:rFonts w:hint="eastAsia" w:ascii="宋体" w:hAnsi="宋体" w:eastAsia="宋体" w:cs="宋体"/>
          <w:highlight w:val="none"/>
        </w:rPr>
        <w:fldChar w:fldCharType="separate"/>
      </w:r>
      <w:r>
        <w:rPr>
          <w:rFonts w:hint="eastAsia" w:ascii="宋体" w:hAnsi="宋体" w:eastAsia="宋体" w:cs="宋体"/>
          <w:highlight w:val="none"/>
        </w:rPr>
        <w:t>（十</w:t>
      </w:r>
      <w:r>
        <w:rPr>
          <w:rFonts w:hint="eastAsia" w:ascii="宋体" w:hAnsi="宋体" w:eastAsia="宋体" w:cs="宋体"/>
          <w:highlight w:val="none"/>
          <w:lang w:eastAsia="zh-CN"/>
        </w:rPr>
        <w:t>一</w:t>
      </w:r>
      <w:r>
        <w:rPr>
          <w:rFonts w:hint="eastAsia" w:ascii="宋体" w:hAnsi="宋体" w:eastAsia="宋体" w:cs="宋体"/>
          <w:highlight w:val="none"/>
        </w:rPr>
        <w:t>）无效投标</w:t>
      </w:r>
      <w:r>
        <w:rPr>
          <w:highlight w:val="none"/>
        </w:rPr>
        <w:tab/>
      </w:r>
      <w:r>
        <w:rPr>
          <w:highlight w:val="none"/>
        </w:rPr>
        <w:fldChar w:fldCharType="begin"/>
      </w:r>
      <w:r>
        <w:rPr>
          <w:highlight w:val="none"/>
        </w:rPr>
        <w:instrText xml:space="preserve"> PAGEREF _Toc23224 </w:instrText>
      </w:r>
      <w:r>
        <w:rPr>
          <w:highlight w:val="none"/>
        </w:rPr>
        <w:fldChar w:fldCharType="separate"/>
      </w:r>
      <w:r>
        <w:rPr>
          <w:highlight w:val="none"/>
        </w:rPr>
        <w:t>27</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_Toc25703 </w:instrText>
      </w:r>
      <w:r>
        <w:rPr>
          <w:rFonts w:hint="eastAsia" w:ascii="宋体" w:hAnsi="宋体" w:eastAsia="宋体" w:cs="宋体"/>
          <w:highlight w:val="none"/>
        </w:rPr>
        <w:fldChar w:fldCharType="separate"/>
      </w:r>
      <w:r>
        <w:rPr>
          <w:rFonts w:hint="eastAsia" w:ascii="宋体" w:hAnsi="宋体" w:eastAsia="宋体" w:cs="宋体"/>
          <w:highlight w:val="none"/>
        </w:rPr>
        <w:t>（十</w:t>
      </w:r>
      <w:r>
        <w:rPr>
          <w:rFonts w:hint="eastAsia" w:ascii="宋体" w:hAnsi="宋体" w:eastAsia="宋体" w:cs="宋体"/>
          <w:highlight w:val="none"/>
          <w:lang w:eastAsia="zh-CN"/>
        </w:rPr>
        <w:t>二</w:t>
      </w:r>
      <w:r>
        <w:rPr>
          <w:rFonts w:hint="eastAsia" w:ascii="宋体" w:hAnsi="宋体" w:eastAsia="宋体" w:cs="宋体"/>
          <w:highlight w:val="none"/>
        </w:rPr>
        <w:t>）废标</w:t>
      </w:r>
      <w:r>
        <w:rPr>
          <w:highlight w:val="none"/>
        </w:rPr>
        <w:tab/>
      </w:r>
      <w:r>
        <w:rPr>
          <w:highlight w:val="none"/>
        </w:rPr>
        <w:fldChar w:fldCharType="begin"/>
      </w:r>
      <w:r>
        <w:rPr>
          <w:highlight w:val="none"/>
        </w:rPr>
        <w:instrText xml:space="preserve"> PAGEREF _Toc25703 </w:instrText>
      </w:r>
      <w:r>
        <w:rPr>
          <w:highlight w:val="none"/>
        </w:rPr>
        <w:fldChar w:fldCharType="separate"/>
      </w:r>
      <w:r>
        <w:rPr>
          <w:highlight w:val="none"/>
        </w:rPr>
        <w:t>28</w:t>
      </w:r>
      <w:r>
        <w:rPr>
          <w:highlight w:val="none"/>
        </w:rPr>
        <w:fldChar w:fldCharType="end"/>
      </w:r>
      <w:r>
        <w:rPr>
          <w:rFonts w:hint="eastAsia" w:ascii="宋体" w:hAnsi="宋体" w:eastAsia="宋体" w:cs="宋体"/>
          <w:highlight w:val="none"/>
        </w:rPr>
        <w:fldChar w:fldCharType="end"/>
      </w:r>
    </w:p>
    <w:p>
      <w:pPr>
        <w:pStyle w:val="15"/>
        <w:tabs>
          <w:tab w:val="right" w:leader="dot" w:pos="9541"/>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_Toc30761 </w:instrText>
      </w:r>
      <w:r>
        <w:rPr>
          <w:rFonts w:hint="eastAsia" w:ascii="宋体" w:hAnsi="宋体" w:eastAsia="宋体" w:cs="宋体"/>
          <w:highlight w:val="none"/>
        </w:rPr>
        <w:fldChar w:fldCharType="separate"/>
      </w:r>
      <w:r>
        <w:rPr>
          <w:rFonts w:hint="eastAsia" w:ascii="宋体" w:hAnsi="宋体" w:eastAsia="宋体" w:cs="宋体"/>
          <w:highlight w:val="none"/>
        </w:rPr>
        <w:t>（十</w:t>
      </w:r>
      <w:r>
        <w:rPr>
          <w:rFonts w:hint="eastAsia" w:ascii="宋体" w:hAnsi="宋体" w:eastAsia="宋体" w:cs="宋体"/>
          <w:highlight w:val="none"/>
          <w:lang w:eastAsia="zh-CN"/>
        </w:rPr>
        <w:t>三</w:t>
      </w:r>
      <w:r>
        <w:rPr>
          <w:rFonts w:hint="eastAsia" w:ascii="宋体" w:hAnsi="宋体" w:eastAsia="宋体" w:cs="宋体"/>
          <w:highlight w:val="none"/>
        </w:rPr>
        <w:t>）质疑和投诉</w:t>
      </w:r>
      <w:r>
        <w:rPr>
          <w:highlight w:val="none"/>
        </w:rPr>
        <w:tab/>
      </w:r>
      <w:r>
        <w:rPr>
          <w:highlight w:val="none"/>
        </w:rPr>
        <w:fldChar w:fldCharType="begin"/>
      </w:r>
      <w:r>
        <w:rPr>
          <w:highlight w:val="none"/>
        </w:rPr>
        <w:instrText xml:space="preserve"> PAGEREF _Toc30761 </w:instrText>
      </w:r>
      <w:r>
        <w:rPr>
          <w:highlight w:val="none"/>
        </w:rPr>
        <w:fldChar w:fldCharType="separate"/>
      </w:r>
      <w:r>
        <w:rPr>
          <w:highlight w:val="none"/>
        </w:rPr>
        <w:t>28</w:t>
      </w:r>
      <w:r>
        <w:rPr>
          <w:highlight w:val="none"/>
        </w:rPr>
        <w:fldChar w:fldCharType="end"/>
      </w:r>
      <w:r>
        <w:rPr>
          <w:rFonts w:hint="eastAsia" w:ascii="宋体" w:hAnsi="宋体" w:eastAsia="宋体" w:cs="宋体"/>
          <w:highlight w:val="none"/>
        </w:rPr>
        <w:fldChar w:fldCharType="end"/>
      </w:r>
    </w:p>
    <w:p>
      <w:pPr>
        <w:pStyle w:val="13"/>
        <w:tabs>
          <w:tab w:val="right" w:leader="dot" w:pos="9541"/>
          <w:tab w:val="clear" w:pos="9400"/>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_Toc1184 </w:instrText>
      </w:r>
      <w:r>
        <w:rPr>
          <w:rFonts w:hint="eastAsia" w:ascii="宋体" w:hAnsi="宋体" w:eastAsia="宋体" w:cs="宋体"/>
          <w:highlight w:val="none"/>
        </w:rPr>
        <w:fldChar w:fldCharType="separate"/>
      </w:r>
      <w:r>
        <w:rPr>
          <w:rFonts w:hint="eastAsia" w:ascii="宋体" w:hAnsi="宋体" w:eastAsia="宋体" w:cs="宋体"/>
          <w:w w:val="95"/>
          <w:highlight w:val="none"/>
        </w:rPr>
        <w:t>第三章</w:t>
      </w:r>
      <w:r>
        <w:rPr>
          <w:rFonts w:hint="eastAsia" w:ascii="宋体" w:hAnsi="宋体" w:cs="宋体"/>
          <w:w w:val="95"/>
          <w:highlight w:val="none"/>
          <w:lang w:val="en-US" w:eastAsia="zh-CN"/>
        </w:rPr>
        <w:t xml:space="preserve"> </w:t>
      </w:r>
      <w:r>
        <w:rPr>
          <w:rFonts w:hint="eastAsia" w:ascii="宋体" w:hAnsi="宋体" w:eastAsia="宋体" w:cs="宋体"/>
          <w:spacing w:val="1"/>
          <w:highlight w:val="none"/>
        </w:rPr>
        <w:t>评标办法</w:t>
      </w:r>
      <w:r>
        <w:rPr>
          <w:highlight w:val="none"/>
        </w:rPr>
        <w:tab/>
      </w:r>
      <w:r>
        <w:rPr>
          <w:highlight w:val="none"/>
        </w:rPr>
        <w:fldChar w:fldCharType="begin"/>
      </w:r>
      <w:r>
        <w:rPr>
          <w:highlight w:val="none"/>
        </w:rPr>
        <w:instrText xml:space="preserve"> PAGEREF _Toc1184 </w:instrText>
      </w:r>
      <w:r>
        <w:rPr>
          <w:highlight w:val="none"/>
        </w:rPr>
        <w:fldChar w:fldCharType="separate"/>
      </w:r>
      <w:r>
        <w:rPr>
          <w:highlight w:val="none"/>
        </w:rPr>
        <w:t>31</w:t>
      </w:r>
      <w:r>
        <w:rPr>
          <w:highlight w:val="none"/>
        </w:rPr>
        <w:fldChar w:fldCharType="end"/>
      </w:r>
      <w:r>
        <w:rPr>
          <w:rFonts w:hint="eastAsia" w:ascii="宋体" w:hAnsi="宋体" w:eastAsia="宋体" w:cs="宋体"/>
          <w:highlight w:val="none"/>
        </w:rPr>
        <w:fldChar w:fldCharType="end"/>
      </w:r>
    </w:p>
    <w:p>
      <w:pPr>
        <w:pStyle w:val="13"/>
        <w:tabs>
          <w:tab w:val="right" w:leader="dot" w:pos="9541"/>
          <w:tab w:val="clear" w:pos="9400"/>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_Toc14707 </w:instrText>
      </w:r>
      <w:r>
        <w:rPr>
          <w:rFonts w:hint="eastAsia" w:ascii="宋体" w:hAnsi="宋体" w:eastAsia="宋体" w:cs="宋体"/>
          <w:highlight w:val="none"/>
        </w:rPr>
        <w:fldChar w:fldCharType="separate"/>
      </w:r>
      <w:r>
        <w:rPr>
          <w:rFonts w:hint="eastAsia" w:ascii="宋体" w:hAnsi="宋体" w:eastAsia="宋体" w:cs="宋体"/>
          <w:spacing w:val="1"/>
          <w:highlight w:val="none"/>
        </w:rPr>
        <w:t>第四章 磋商内容</w:t>
      </w:r>
      <w:r>
        <w:rPr>
          <w:highlight w:val="none"/>
        </w:rPr>
        <w:tab/>
      </w:r>
      <w:r>
        <w:rPr>
          <w:highlight w:val="none"/>
        </w:rPr>
        <w:fldChar w:fldCharType="begin"/>
      </w:r>
      <w:r>
        <w:rPr>
          <w:highlight w:val="none"/>
        </w:rPr>
        <w:instrText xml:space="preserve"> PAGEREF _Toc14707 </w:instrText>
      </w:r>
      <w:r>
        <w:rPr>
          <w:highlight w:val="none"/>
        </w:rPr>
        <w:fldChar w:fldCharType="separate"/>
      </w:r>
      <w:r>
        <w:rPr>
          <w:highlight w:val="none"/>
        </w:rPr>
        <w:t>42</w:t>
      </w:r>
      <w:r>
        <w:rPr>
          <w:highlight w:val="none"/>
        </w:rPr>
        <w:fldChar w:fldCharType="end"/>
      </w:r>
      <w:r>
        <w:rPr>
          <w:rFonts w:hint="eastAsia" w:ascii="宋体" w:hAnsi="宋体" w:eastAsia="宋体" w:cs="宋体"/>
          <w:highlight w:val="none"/>
        </w:rPr>
        <w:fldChar w:fldCharType="end"/>
      </w:r>
    </w:p>
    <w:p>
      <w:pPr>
        <w:pStyle w:val="13"/>
        <w:tabs>
          <w:tab w:val="right" w:pos="2400"/>
          <w:tab w:val="right" w:leader="dot" w:pos="9541"/>
          <w:tab w:val="clear" w:pos="9400"/>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_Toc14342 </w:instrText>
      </w:r>
      <w:r>
        <w:rPr>
          <w:rFonts w:hint="eastAsia" w:ascii="宋体" w:hAnsi="宋体" w:eastAsia="宋体" w:cs="宋体"/>
          <w:highlight w:val="none"/>
        </w:rPr>
        <w:fldChar w:fldCharType="separate"/>
      </w:r>
      <w:r>
        <w:rPr>
          <w:rFonts w:hint="eastAsia" w:ascii="宋体" w:hAnsi="宋体" w:eastAsia="宋体" w:cs="宋体"/>
          <w:highlight w:val="none"/>
        </w:rPr>
        <w:t>第五章</w:t>
      </w:r>
      <w:r>
        <w:rPr>
          <w:rFonts w:hint="eastAsia" w:ascii="宋体" w:hAnsi="宋体" w:cs="宋体"/>
          <w:highlight w:val="none"/>
          <w:lang w:val="en-US" w:eastAsia="zh-CN"/>
        </w:rPr>
        <w:t xml:space="preserve"> </w:t>
      </w:r>
      <w:r>
        <w:rPr>
          <w:rFonts w:hint="eastAsia" w:ascii="宋体" w:hAnsi="宋体" w:eastAsia="宋体" w:cs="宋体"/>
          <w:highlight w:val="none"/>
        </w:rPr>
        <w:tab/>
      </w:r>
      <w:r>
        <w:rPr>
          <w:rFonts w:hint="eastAsia" w:ascii="宋体" w:hAnsi="宋体" w:eastAsia="宋体" w:cs="宋体"/>
          <w:highlight w:val="none"/>
        </w:rPr>
        <w:t>合同条款及合同格式</w:t>
      </w:r>
      <w:r>
        <w:rPr>
          <w:highlight w:val="none"/>
        </w:rPr>
        <w:tab/>
      </w:r>
      <w:r>
        <w:rPr>
          <w:highlight w:val="none"/>
        </w:rPr>
        <w:fldChar w:fldCharType="begin"/>
      </w:r>
      <w:r>
        <w:rPr>
          <w:highlight w:val="none"/>
        </w:rPr>
        <w:instrText xml:space="preserve"> PAGEREF _Toc14342 </w:instrText>
      </w:r>
      <w:r>
        <w:rPr>
          <w:highlight w:val="none"/>
        </w:rPr>
        <w:fldChar w:fldCharType="separate"/>
      </w:r>
      <w:r>
        <w:rPr>
          <w:highlight w:val="none"/>
        </w:rPr>
        <w:t>51</w:t>
      </w:r>
      <w:r>
        <w:rPr>
          <w:highlight w:val="none"/>
        </w:rPr>
        <w:fldChar w:fldCharType="end"/>
      </w:r>
      <w:r>
        <w:rPr>
          <w:rFonts w:hint="eastAsia" w:ascii="宋体" w:hAnsi="宋体" w:eastAsia="宋体" w:cs="宋体"/>
          <w:highlight w:val="none"/>
        </w:rPr>
        <w:fldChar w:fldCharType="end"/>
      </w:r>
    </w:p>
    <w:p>
      <w:pPr>
        <w:pStyle w:val="13"/>
        <w:tabs>
          <w:tab w:val="right" w:pos="2400"/>
          <w:tab w:val="right" w:leader="dot" w:pos="9541"/>
          <w:tab w:val="clear" w:pos="9400"/>
        </w:tabs>
        <w:rPr>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_Toc8733 </w:instrText>
      </w:r>
      <w:r>
        <w:rPr>
          <w:rFonts w:hint="eastAsia" w:ascii="宋体" w:hAnsi="宋体" w:eastAsia="宋体" w:cs="宋体"/>
          <w:highlight w:val="none"/>
        </w:rPr>
        <w:fldChar w:fldCharType="separate"/>
      </w:r>
      <w:r>
        <w:rPr>
          <w:rFonts w:hint="eastAsia" w:ascii="宋体" w:hAnsi="宋体" w:eastAsia="宋体" w:cs="宋体"/>
          <w:w w:val="95"/>
          <w:highlight w:val="none"/>
        </w:rPr>
        <w:t>第六章</w:t>
      </w:r>
      <w:r>
        <w:rPr>
          <w:rFonts w:hint="eastAsia" w:ascii="宋体" w:hAnsi="宋体" w:eastAsia="宋体" w:cs="宋体"/>
          <w:w w:val="95"/>
          <w:highlight w:val="none"/>
        </w:rPr>
        <w:tab/>
      </w:r>
      <w:r>
        <w:rPr>
          <w:rFonts w:hint="eastAsia" w:ascii="宋体" w:hAnsi="宋体" w:cs="宋体"/>
          <w:w w:val="95"/>
          <w:highlight w:val="none"/>
          <w:lang w:val="en-US" w:eastAsia="zh-CN"/>
        </w:rPr>
        <w:t xml:space="preserve"> </w:t>
      </w:r>
      <w:r>
        <w:rPr>
          <w:rFonts w:hint="eastAsia" w:ascii="宋体" w:hAnsi="宋体" w:eastAsia="宋体" w:cs="宋体"/>
          <w:highlight w:val="none"/>
        </w:rPr>
        <w:t>磋商响应性文件格式</w:t>
      </w:r>
      <w:r>
        <w:rPr>
          <w:highlight w:val="none"/>
        </w:rPr>
        <w:tab/>
      </w:r>
      <w:r>
        <w:rPr>
          <w:highlight w:val="none"/>
        </w:rPr>
        <w:fldChar w:fldCharType="begin"/>
      </w:r>
      <w:r>
        <w:rPr>
          <w:highlight w:val="none"/>
        </w:rPr>
        <w:instrText xml:space="preserve"> PAGEREF _Toc8733 </w:instrText>
      </w:r>
      <w:r>
        <w:rPr>
          <w:highlight w:val="none"/>
        </w:rPr>
        <w:fldChar w:fldCharType="separate"/>
      </w:r>
      <w:r>
        <w:rPr>
          <w:highlight w:val="none"/>
        </w:rPr>
        <w:t>55</w:t>
      </w:r>
      <w:r>
        <w:rPr>
          <w:highlight w:val="none"/>
        </w:rPr>
        <w:fldChar w:fldCharType="end"/>
      </w:r>
      <w:r>
        <w:rPr>
          <w:rFonts w:hint="eastAsia" w:ascii="宋体" w:hAnsi="宋体" w:eastAsia="宋体" w:cs="宋体"/>
          <w:highlight w:val="none"/>
        </w:rPr>
        <w:fldChar w:fldCharType="end"/>
      </w:r>
    </w:p>
    <w:p>
      <w:pPr>
        <w:pStyle w:val="2"/>
        <w:rPr>
          <w:rFonts w:hint="eastAsia" w:ascii="宋体" w:hAnsi="宋体" w:eastAsia="宋体" w:cs="宋体"/>
          <w:highlight w:val="none"/>
        </w:rPr>
      </w:pPr>
      <w:r>
        <w:rPr>
          <w:rFonts w:hint="eastAsia" w:ascii="宋体" w:hAnsi="宋体" w:eastAsia="宋体" w:cs="宋体"/>
          <w:highlight w:val="none"/>
        </w:rPr>
        <w:fldChar w:fldCharType="end"/>
      </w:r>
      <w:bookmarkStart w:id="2" w:name="_Toc6155"/>
      <w:r>
        <w:rPr>
          <w:rFonts w:hint="eastAsia" w:ascii="宋体" w:hAnsi="宋体" w:eastAsia="宋体" w:cs="宋体"/>
          <w:highlight w:val="none"/>
        </w:rPr>
        <w:br w:type="page"/>
      </w:r>
      <w:r>
        <w:rPr>
          <w:rFonts w:hint="eastAsia" w:ascii="宋体" w:hAnsi="宋体" w:eastAsia="宋体" w:cs="宋体"/>
          <w:highlight w:val="none"/>
        </w:rPr>
        <w:t xml:space="preserve"> </w:t>
      </w:r>
      <w:r>
        <w:rPr>
          <w:rFonts w:hint="eastAsia" w:ascii="宋体" w:hAnsi="宋体" w:eastAsia="宋体" w:cs="宋体"/>
          <w:w w:val="95"/>
          <w:highlight w:val="none"/>
        </w:rPr>
        <w:t>第一章</w:t>
      </w:r>
      <w:r>
        <w:rPr>
          <w:rFonts w:hint="eastAsia" w:ascii="宋体" w:hAnsi="宋体" w:eastAsia="宋体" w:cs="宋体"/>
          <w:w w:val="95"/>
          <w:highlight w:val="none"/>
          <w:lang w:val="en-US" w:eastAsia="zh-CN"/>
        </w:rPr>
        <w:t xml:space="preserve"> </w:t>
      </w:r>
      <w:r>
        <w:rPr>
          <w:rFonts w:hint="eastAsia" w:ascii="宋体" w:hAnsi="宋体" w:eastAsia="宋体" w:cs="宋体"/>
          <w:highlight w:val="none"/>
        </w:rPr>
        <w:t>投标邀请书</w:t>
      </w:r>
      <w:bookmarkEnd w:id="2"/>
    </w:p>
    <w:p>
      <w:pPr>
        <w:pStyle w:val="2"/>
        <w:tabs>
          <w:tab w:val="left" w:pos="0"/>
        </w:tabs>
        <w:autoSpaceDE w:val="0"/>
        <w:autoSpaceDN w:val="0"/>
        <w:adjustRightInd w:val="0"/>
        <w:spacing w:before="0" w:after="0" w:line="360" w:lineRule="auto"/>
        <w:jc w:val="center"/>
        <w:rPr>
          <w:rFonts w:ascii="华文中宋" w:hAnsi="华文中宋" w:eastAsia="华文中宋"/>
          <w:highlight w:val="none"/>
        </w:rPr>
      </w:pPr>
      <w:bookmarkStart w:id="3" w:name="_Toc15730"/>
      <w:bookmarkStart w:id="4" w:name="_Toc35393797"/>
      <w:bookmarkStart w:id="5" w:name="_Toc28359011"/>
      <w:r>
        <w:rPr>
          <w:rFonts w:hint="eastAsia" w:ascii="华文中宋" w:hAnsi="华文中宋" w:eastAsia="华文中宋"/>
          <w:highlight w:val="none"/>
        </w:rPr>
        <w:t>竞争性磋商公告</w:t>
      </w:r>
      <w:bookmarkEnd w:id="3"/>
      <w:bookmarkEnd w:id="4"/>
      <w:bookmarkEnd w:id="5"/>
    </w:p>
    <w:p>
      <w:pPr>
        <w:rPr>
          <w:highlight w:val="none"/>
        </w:rPr>
      </w:pPr>
    </w:p>
    <w:p>
      <w:pPr>
        <w:pBdr>
          <w:top w:val="single" w:color="auto" w:sz="4" w:space="1"/>
          <w:left w:val="single" w:color="auto" w:sz="4" w:space="4"/>
          <w:bottom w:val="single" w:color="auto" w:sz="4" w:space="1"/>
          <w:right w:val="single" w:color="auto" w:sz="4" w:space="4"/>
        </w:pBdr>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项目概况</w:t>
      </w:r>
    </w:p>
    <w:p>
      <w:pPr>
        <w:pBdr>
          <w:top w:val="single" w:color="auto" w:sz="4" w:space="1"/>
          <w:left w:val="single" w:color="auto" w:sz="4" w:space="4"/>
          <w:bottom w:val="single" w:color="auto" w:sz="4" w:space="1"/>
          <w:right w:val="single" w:color="auto" w:sz="4" w:space="4"/>
        </w:pBdr>
        <w:ind w:firstLine="560" w:firstLineChars="200"/>
        <w:rPr>
          <w:rFonts w:hint="eastAsia" w:ascii="宋体" w:hAnsi="宋体" w:eastAsia="宋体" w:cs="宋体"/>
          <w:sz w:val="28"/>
          <w:szCs w:val="28"/>
          <w:highlight w:val="none"/>
        </w:rPr>
      </w:pPr>
      <w:r>
        <w:rPr>
          <w:rFonts w:hint="eastAsia" w:ascii="仿宋" w:hAnsi="仿宋" w:eastAsia="仿宋"/>
          <w:sz w:val="28"/>
          <w:szCs w:val="28"/>
          <w:highlight w:val="yellow"/>
          <w:u w:val="single"/>
          <w:lang w:eastAsia="zh-CN"/>
        </w:rPr>
        <w:t>中苏友协新疆分会旧址建筑日常保养工程（一期）项目</w:t>
      </w:r>
      <w:r>
        <w:rPr>
          <w:rFonts w:hint="eastAsia" w:ascii="宋体" w:hAnsi="宋体" w:eastAsia="宋体" w:cs="宋体"/>
          <w:sz w:val="28"/>
          <w:szCs w:val="28"/>
          <w:highlight w:val="none"/>
        </w:rPr>
        <w:t>采购项目的潜在供应商应在（</w:t>
      </w:r>
      <w:r>
        <w:rPr>
          <w:rFonts w:hint="eastAsia" w:ascii="宋体" w:hAnsi="宋体" w:eastAsia="宋体" w:cs="宋体"/>
          <w:sz w:val="28"/>
          <w:szCs w:val="28"/>
          <w:highlight w:val="none"/>
          <w:lang w:eastAsia="zh-CN"/>
        </w:rPr>
        <w:t>乌鲁木齐市水磨沟区龙盛街2799号浙商大厦11楼</w:t>
      </w:r>
      <w:r>
        <w:rPr>
          <w:rFonts w:hint="eastAsia" w:ascii="宋体" w:hAnsi="宋体" w:eastAsia="宋体" w:cs="宋体"/>
          <w:sz w:val="28"/>
          <w:szCs w:val="28"/>
          <w:highlight w:val="none"/>
          <w:lang w:val="en-US" w:eastAsia="zh-CN"/>
        </w:rPr>
        <w:t>招标一部</w:t>
      </w:r>
      <w:r>
        <w:rPr>
          <w:rFonts w:hint="eastAsia" w:ascii="宋体" w:hAnsi="宋体" w:eastAsia="宋体" w:cs="宋体"/>
          <w:sz w:val="28"/>
          <w:szCs w:val="28"/>
          <w:highlight w:val="none"/>
        </w:rPr>
        <w:t>）获取采购文件，并于</w:t>
      </w:r>
      <w:r>
        <w:rPr>
          <w:rFonts w:hint="eastAsia" w:ascii="宋体" w:hAnsi="宋体" w:eastAsia="宋体" w:cs="宋体"/>
          <w:i w:val="0"/>
          <w:iCs w:val="0"/>
          <w:sz w:val="24"/>
          <w:szCs w:val="24"/>
          <w:highlight w:val="none"/>
          <w:u w:val="single"/>
          <w:lang w:val="en-US" w:eastAsia="zh-CN"/>
        </w:rPr>
        <w:t>202</w:t>
      </w:r>
      <w:r>
        <w:rPr>
          <w:rFonts w:hint="eastAsia" w:ascii="宋体" w:hAnsi="宋体" w:cs="宋体"/>
          <w:i w:val="0"/>
          <w:iCs w:val="0"/>
          <w:sz w:val="24"/>
          <w:szCs w:val="24"/>
          <w:highlight w:val="none"/>
          <w:u w:val="single"/>
          <w:lang w:val="en-US" w:eastAsia="zh-CN"/>
        </w:rPr>
        <w:t>2</w:t>
      </w:r>
      <w:r>
        <w:rPr>
          <w:rFonts w:hint="eastAsia" w:ascii="宋体" w:hAnsi="宋体" w:eastAsia="宋体" w:cs="宋体"/>
          <w:bCs/>
          <w:i w:val="0"/>
          <w:iCs w:val="0"/>
          <w:sz w:val="24"/>
          <w:szCs w:val="24"/>
          <w:highlight w:val="none"/>
          <w:u w:val="single"/>
        </w:rPr>
        <w:t>年</w:t>
      </w:r>
      <w:r>
        <w:rPr>
          <w:rFonts w:hint="eastAsia" w:ascii="宋体" w:hAnsi="宋体" w:cs="宋体"/>
          <w:bCs/>
          <w:i w:val="0"/>
          <w:iCs w:val="0"/>
          <w:sz w:val="24"/>
          <w:szCs w:val="24"/>
          <w:highlight w:val="yellow"/>
          <w:u w:val="single"/>
          <w:lang w:val="en-US" w:eastAsia="zh-CN"/>
        </w:rPr>
        <w:t>12</w:t>
      </w:r>
      <w:r>
        <w:rPr>
          <w:rFonts w:hint="eastAsia" w:ascii="宋体" w:hAnsi="宋体" w:cs="宋体"/>
          <w:bCs/>
          <w:i w:val="0"/>
          <w:iCs w:val="0"/>
          <w:sz w:val="24"/>
          <w:szCs w:val="24"/>
          <w:highlight w:val="none"/>
          <w:u w:val="single"/>
          <w:lang w:val="en-US" w:eastAsia="zh-CN"/>
        </w:rPr>
        <w:t>月</w:t>
      </w:r>
      <w:r>
        <w:rPr>
          <w:rFonts w:hint="eastAsia" w:ascii="宋体" w:hAnsi="宋体" w:cs="宋体"/>
          <w:bCs/>
          <w:i w:val="0"/>
          <w:iCs w:val="0"/>
          <w:sz w:val="24"/>
          <w:szCs w:val="24"/>
          <w:highlight w:val="yellow"/>
          <w:u w:val="single"/>
          <w:lang w:val="en-US" w:eastAsia="zh-CN"/>
        </w:rPr>
        <w:t>6</w:t>
      </w:r>
      <w:r>
        <w:rPr>
          <w:rFonts w:hint="eastAsia" w:ascii="宋体" w:hAnsi="宋体" w:eastAsia="宋体" w:cs="宋体"/>
          <w:bCs/>
          <w:i w:val="0"/>
          <w:iCs w:val="0"/>
          <w:sz w:val="24"/>
          <w:szCs w:val="24"/>
          <w:highlight w:val="none"/>
          <w:u w:val="single"/>
        </w:rPr>
        <w:t>日</w:t>
      </w:r>
      <w:r>
        <w:rPr>
          <w:rFonts w:hint="eastAsia" w:ascii="宋体" w:hAnsi="宋体" w:eastAsia="宋体" w:cs="宋体"/>
          <w:bCs/>
          <w:i w:val="0"/>
          <w:iCs w:val="0"/>
          <w:sz w:val="24"/>
          <w:szCs w:val="24"/>
          <w:highlight w:val="yellow"/>
          <w:u w:val="single"/>
          <w:lang w:val="en-US" w:eastAsia="zh-CN"/>
        </w:rPr>
        <w:t>1</w:t>
      </w:r>
      <w:r>
        <w:rPr>
          <w:rFonts w:hint="eastAsia" w:ascii="宋体" w:hAnsi="宋体" w:cs="宋体"/>
          <w:bCs/>
          <w:i w:val="0"/>
          <w:iCs w:val="0"/>
          <w:sz w:val="24"/>
          <w:szCs w:val="24"/>
          <w:highlight w:val="yellow"/>
          <w:u w:val="single"/>
          <w:lang w:val="en-US" w:eastAsia="zh-CN"/>
        </w:rPr>
        <w:t>6</w:t>
      </w:r>
      <w:r>
        <w:rPr>
          <w:rFonts w:hint="eastAsia" w:ascii="宋体" w:hAnsi="宋体" w:eastAsia="宋体" w:cs="宋体"/>
          <w:bCs/>
          <w:i w:val="0"/>
          <w:iCs w:val="0"/>
          <w:sz w:val="24"/>
          <w:szCs w:val="24"/>
          <w:highlight w:val="yellow"/>
          <w:u w:val="single"/>
        </w:rPr>
        <w:t>点</w:t>
      </w:r>
      <w:r>
        <w:rPr>
          <w:rFonts w:hint="eastAsia" w:ascii="宋体" w:hAnsi="宋体" w:cs="宋体"/>
          <w:bCs/>
          <w:i w:val="0"/>
          <w:iCs w:val="0"/>
          <w:sz w:val="24"/>
          <w:szCs w:val="24"/>
          <w:highlight w:val="yellow"/>
          <w:u w:val="single"/>
          <w:lang w:val="en-US" w:eastAsia="zh-CN"/>
        </w:rPr>
        <w:t>0</w:t>
      </w:r>
      <w:r>
        <w:rPr>
          <w:rFonts w:hint="eastAsia" w:ascii="宋体" w:hAnsi="宋体" w:eastAsia="宋体" w:cs="宋体"/>
          <w:bCs/>
          <w:i w:val="0"/>
          <w:iCs w:val="0"/>
          <w:sz w:val="24"/>
          <w:szCs w:val="24"/>
          <w:highlight w:val="yellow"/>
          <w:u w:val="single"/>
          <w:lang w:val="en-US" w:eastAsia="zh-CN"/>
        </w:rPr>
        <w:t>0</w:t>
      </w:r>
      <w:r>
        <w:rPr>
          <w:rFonts w:hint="eastAsia" w:ascii="宋体" w:hAnsi="宋体" w:eastAsia="宋体" w:cs="宋体"/>
          <w:bCs/>
          <w:i w:val="0"/>
          <w:iCs w:val="0"/>
          <w:sz w:val="24"/>
          <w:szCs w:val="24"/>
          <w:highlight w:val="yellow"/>
          <w:u w:val="single"/>
        </w:rPr>
        <w:t>分</w:t>
      </w:r>
      <w:r>
        <w:rPr>
          <w:rFonts w:hint="eastAsia" w:ascii="宋体" w:hAnsi="宋体" w:eastAsia="宋体" w:cs="宋体"/>
          <w:bCs/>
          <w:sz w:val="28"/>
          <w:szCs w:val="28"/>
          <w:highlight w:val="none"/>
        </w:rPr>
        <w:t>（北京时间）前提交响应文件</w:t>
      </w:r>
      <w:r>
        <w:rPr>
          <w:rFonts w:hint="eastAsia" w:ascii="宋体" w:hAnsi="宋体" w:eastAsia="宋体" w:cs="宋体"/>
          <w:sz w:val="28"/>
          <w:szCs w:val="28"/>
          <w:highlight w:val="none"/>
        </w:rPr>
        <w:t>。</w:t>
      </w:r>
    </w:p>
    <w:p>
      <w:pPr>
        <w:rPr>
          <w:highlight w:val="none"/>
        </w:rPr>
      </w:pPr>
    </w:p>
    <w:p>
      <w:pPr>
        <w:spacing w:line="360" w:lineRule="auto"/>
        <w:jc w:val="left"/>
        <w:outlineLvl w:val="1"/>
        <w:rPr>
          <w:rFonts w:ascii="黑体" w:hAnsi="黑体" w:cs="宋体"/>
          <w:b/>
          <w:bCs w:val="0"/>
          <w:sz w:val="28"/>
          <w:szCs w:val="28"/>
          <w:highlight w:val="none"/>
        </w:rPr>
      </w:pPr>
      <w:bookmarkStart w:id="6" w:name="_Toc28359012"/>
      <w:bookmarkStart w:id="7" w:name="_Toc28359089"/>
      <w:bookmarkStart w:id="8" w:name="_Toc35393798"/>
      <w:bookmarkStart w:id="9" w:name="_Toc35393629"/>
      <w:r>
        <w:rPr>
          <w:rFonts w:hint="eastAsia" w:ascii="黑体" w:hAnsi="黑体" w:cs="宋体"/>
          <w:b/>
          <w:bCs w:val="0"/>
          <w:sz w:val="28"/>
          <w:szCs w:val="28"/>
          <w:highlight w:val="none"/>
        </w:rPr>
        <w:t>一、项目基本情况</w:t>
      </w:r>
      <w:bookmarkEnd w:id="6"/>
      <w:bookmarkEnd w:id="7"/>
      <w:bookmarkEnd w:id="8"/>
      <w:bookmarkEnd w:id="9"/>
    </w:p>
    <w:p>
      <w:pPr>
        <w:pageBreakBefore w:val="0"/>
        <w:widowControl w:val="0"/>
        <w:kinsoku/>
        <w:wordWrap/>
        <w:overflowPunct/>
        <w:topLinePunct w:val="0"/>
        <w:bidi w:val="0"/>
        <w:snapToGrid/>
        <w:spacing w:line="360" w:lineRule="auto"/>
        <w:ind w:left="0" w:leftChars="0" w:firstLine="482" w:firstLineChars="200"/>
        <w:textAlignment w:val="auto"/>
        <w:rPr>
          <w:rFonts w:hint="default" w:ascii="宋体" w:hAnsi="宋体" w:eastAsia="宋体" w:cs="宋体"/>
          <w:b w:val="0"/>
          <w:bCs w:val="0"/>
          <w:i w:val="0"/>
          <w:iCs w:val="0"/>
          <w:sz w:val="24"/>
          <w:szCs w:val="24"/>
          <w:highlight w:val="yellow"/>
          <w:lang w:val="en-US" w:eastAsia="zh-CN"/>
        </w:rPr>
      </w:pPr>
      <w:r>
        <w:rPr>
          <w:rFonts w:hint="eastAsia" w:ascii="宋体" w:hAnsi="宋体" w:eastAsia="宋体" w:cs="宋体"/>
          <w:b/>
          <w:bCs/>
          <w:i w:val="0"/>
          <w:iCs w:val="0"/>
          <w:sz w:val="24"/>
          <w:szCs w:val="24"/>
          <w:highlight w:val="none"/>
          <w:lang w:val="en-US" w:eastAsia="zh-CN"/>
        </w:rPr>
        <w:t>项目编号：</w:t>
      </w:r>
      <w:r>
        <w:rPr>
          <w:rFonts w:hint="eastAsia" w:ascii="宋体" w:hAnsi="宋体" w:cs="宋体"/>
          <w:b w:val="0"/>
          <w:bCs w:val="0"/>
          <w:i w:val="0"/>
          <w:iCs w:val="0"/>
          <w:sz w:val="24"/>
          <w:szCs w:val="24"/>
          <w:highlight w:val="yellow"/>
          <w:lang w:val="en-US" w:eastAsia="zh-CN"/>
        </w:rPr>
        <w:t>XJTZY2022-1-C0065</w:t>
      </w:r>
    </w:p>
    <w:p>
      <w:pPr>
        <w:pageBreakBefore w:val="0"/>
        <w:widowControl w:val="0"/>
        <w:kinsoku/>
        <w:wordWrap/>
        <w:overflowPunct/>
        <w:topLinePunct w:val="0"/>
        <w:bidi w:val="0"/>
        <w:snapToGrid/>
        <w:spacing w:line="360" w:lineRule="auto"/>
        <w:ind w:left="0" w:leftChars="0" w:firstLine="482" w:firstLineChars="200"/>
        <w:textAlignment w:val="auto"/>
        <w:rPr>
          <w:rFonts w:hint="default" w:ascii="宋体" w:hAnsi="宋体" w:eastAsia="宋体" w:cs="宋体"/>
          <w:b w:val="0"/>
          <w:bCs w:val="0"/>
          <w:i w:val="0"/>
          <w:iCs w:val="0"/>
          <w:sz w:val="24"/>
          <w:szCs w:val="24"/>
          <w:highlight w:val="none"/>
          <w:lang w:eastAsia="zh-CN"/>
        </w:rPr>
      </w:pPr>
      <w:r>
        <w:rPr>
          <w:rFonts w:hint="eastAsia" w:ascii="宋体" w:hAnsi="宋体" w:eastAsia="宋体" w:cs="宋体"/>
          <w:b/>
          <w:bCs/>
          <w:i w:val="0"/>
          <w:iCs w:val="0"/>
          <w:sz w:val="24"/>
          <w:szCs w:val="24"/>
          <w:highlight w:val="none"/>
          <w:lang w:val="en-US" w:eastAsia="zh-CN"/>
        </w:rPr>
        <w:t>项目名称：</w:t>
      </w:r>
      <w:r>
        <w:rPr>
          <w:rFonts w:hint="eastAsia" w:ascii="宋体" w:hAnsi="宋体" w:cs="宋体"/>
          <w:b w:val="0"/>
          <w:bCs w:val="0"/>
          <w:i w:val="0"/>
          <w:iCs w:val="0"/>
          <w:sz w:val="24"/>
          <w:szCs w:val="24"/>
          <w:highlight w:val="yellow"/>
          <w:lang w:eastAsia="zh-CN"/>
        </w:rPr>
        <w:t>中苏友协新疆分会旧址建筑日常保养工程（一期）项目</w:t>
      </w:r>
    </w:p>
    <w:p>
      <w:pPr>
        <w:pageBreakBefore w:val="0"/>
        <w:widowControl w:val="0"/>
        <w:kinsoku/>
        <w:wordWrap/>
        <w:overflowPunct/>
        <w:topLinePunct w:val="0"/>
        <w:bidi w:val="0"/>
        <w:snapToGrid/>
        <w:spacing w:line="360" w:lineRule="auto"/>
        <w:ind w:left="0" w:leftChars="0" w:firstLine="482" w:firstLineChars="200"/>
        <w:textAlignment w:val="auto"/>
        <w:rPr>
          <w:rFonts w:hint="eastAsia" w:ascii="宋体" w:hAnsi="宋体" w:eastAsia="宋体" w:cs="宋体"/>
          <w:b w:val="0"/>
          <w:bCs w:val="0"/>
          <w:i w:val="0"/>
          <w:iCs w:val="0"/>
          <w:sz w:val="24"/>
          <w:szCs w:val="24"/>
          <w:highlight w:val="none"/>
          <w:lang w:val="en-US" w:eastAsia="zh-CN"/>
        </w:rPr>
      </w:pPr>
      <w:r>
        <w:rPr>
          <w:rFonts w:hint="eastAsia" w:ascii="宋体" w:hAnsi="宋体" w:eastAsia="宋体" w:cs="宋体"/>
          <w:b/>
          <w:bCs/>
          <w:i w:val="0"/>
          <w:iCs w:val="0"/>
          <w:sz w:val="24"/>
          <w:szCs w:val="24"/>
          <w:highlight w:val="none"/>
          <w:lang w:val="en-US" w:eastAsia="zh-CN"/>
        </w:rPr>
        <w:t>采购方式：</w:t>
      </w:r>
      <w:r>
        <w:rPr>
          <w:rFonts w:hint="eastAsia" w:ascii="宋体" w:hAnsi="宋体" w:eastAsia="宋体" w:cs="宋体"/>
          <w:b w:val="0"/>
          <w:bCs w:val="0"/>
          <w:i w:val="0"/>
          <w:iCs w:val="0"/>
          <w:sz w:val="24"/>
          <w:szCs w:val="24"/>
          <w:highlight w:val="none"/>
          <w:lang w:val="en-US" w:eastAsia="zh-CN"/>
        </w:rPr>
        <w:t>竞争性磋商</w:t>
      </w:r>
    </w:p>
    <w:p>
      <w:pPr>
        <w:pageBreakBefore w:val="0"/>
        <w:widowControl w:val="0"/>
        <w:kinsoku/>
        <w:wordWrap/>
        <w:overflowPunct/>
        <w:topLinePunct w:val="0"/>
        <w:bidi w:val="0"/>
        <w:snapToGrid/>
        <w:spacing w:line="360" w:lineRule="auto"/>
        <w:ind w:left="0" w:leftChars="0" w:firstLine="482" w:firstLineChars="200"/>
        <w:textAlignment w:val="auto"/>
        <w:rPr>
          <w:rFonts w:hint="default" w:ascii="宋体" w:hAnsi="宋体" w:eastAsia="宋体" w:cs="宋体"/>
          <w:b/>
          <w:bCs/>
          <w:i w:val="0"/>
          <w:iCs w:val="0"/>
          <w:sz w:val="24"/>
          <w:szCs w:val="24"/>
          <w:highlight w:val="none"/>
          <w:lang w:val="en-US" w:eastAsia="zh-CN"/>
        </w:rPr>
      </w:pPr>
      <w:r>
        <w:rPr>
          <w:rFonts w:hint="eastAsia" w:ascii="宋体" w:hAnsi="宋体" w:eastAsia="宋体" w:cs="宋体"/>
          <w:b/>
          <w:bCs/>
          <w:i w:val="0"/>
          <w:iCs w:val="0"/>
          <w:sz w:val="24"/>
          <w:szCs w:val="24"/>
          <w:highlight w:val="none"/>
          <w:lang w:val="en-US" w:eastAsia="zh-CN"/>
        </w:rPr>
        <w:t>预算金额：</w:t>
      </w:r>
      <w:r>
        <w:rPr>
          <w:rFonts w:hint="eastAsia" w:ascii="宋体" w:hAnsi="宋体" w:cs="宋体"/>
          <w:b w:val="0"/>
          <w:bCs w:val="0"/>
          <w:i w:val="0"/>
          <w:iCs w:val="0"/>
          <w:sz w:val="24"/>
          <w:szCs w:val="24"/>
          <w:highlight w:val="yellow"/>
          <w:lang w:val="en-US" w:eastAsia="zh-CN"/>
        </w:rPr>
        <w:t>920084.25元</w:t>
      </w:r>
    </w:p>
    <w:p>
      <w:pPr>
        <w:pageBreakBefore w:val="0"/>
        <w:widowControl w:val="0"/>
        <w:kinsoku/>
        <w:wordWrap/>
        <w:overflowPunct/>
        <w:topLinePunct w:val="0"/>
        <w:bidi w:val="0"/>
        <w:snapToGrid/>
        <w:spacing w:line="360" w:lineRule="auto"/>
        <w:ind w:left="0" w:leftChars="0" w:firstLine="482" w:firstLineChars="200"/>
        <w:textAlignment w:val="auto"/>
        <w:rPr>
          <w:rFonts w:hint="eastAsia" w:ascii="宋体" w:hAnsi="宋体" w:eastAsia="宋体" w:cs="宋体"/>
          <w:b w:val="0"/>
          <w:bCs w:val="0"/>
          <w:i w:val="0"/>
          <w:iCs w:val="0"/>
          <w:sz w:val="24"/>
          <w:szCs w:val="24"/>
          <w:highlight w:val="none"/>
          <w:lang w:val="en-US" w:eastAsia="zh-CN"/>
        </w:rPr>
      </w:pPr>
      <w:r>
        <w:rPr>
          <w:rFonts w:hint="eastAsia" w:ascii="宋体" w:hAnsi="宋体" w:eastAsia="宋体" w:cs="宋体"/>
          <w:b/>
          <w:bCs/>
          <w:i w:val="0"/>
          <w:iCs w:val="0"/>
          <w:sz w:val="24"/>
          <w:szCs w:val="24"/>
          <w:highlight w:val="yellow"/>
          <w:lang w:val="en-US" w:eastAsia="zh-CN"/>
        </w:rPr>
        <w:t>采购需求：</w:t>
      </w:r>
      <w:r>
        <w:rPr>
          <w:rFonts w:hint="eastAsia" w:ascii="宋体" w:hAnsi="宋体" w:cs="宋体"/>
          <w:b w:val="0"/>
          <w:bCs w:val="0"/>
          <w:i w:val="0"/>
          <w:iCs w:val="0"/>
          <w:sz w:val="24"/>
          <w:szCs w:val="24"/>
          <w:highlight w:val="none"/>
          <w:lang w:val="en-US" w:eastAsia="zh-CN"/>
        </w:rPr>
        <w:t>乌鲁木齐市天山区团结路471号（原47号）有一座土木结构的苏式平房，建筑面积为574平方米，该建筑原为迪化友协俱乐部一部分，隶属中苏友协新疆分会。始建于1947年，1956年后以放映电影为主，1962年交由自治区文化厅管理，1968年停止营业，1970年俱乐部主体拆除，该房产作为迪化友协俱乐部附属建筑仍保留至今。中苏友协新疆分会旧址建筑平面呈矩形，坐东朝西，南北长28.2米，东西宽17.7米。主体结构为双层屋顶的土木结构形式，墙体采用砖包皮作法，属典型的苏式建筑风格。本次工作仅对旧址建筑外立面进行日常保养性加固。</w:t>
      </w:r>
      <w:r>
        <w:rPr>
          <w:rFonts w:hint="eastAsia" w:ascii="宋体" w:hAnsi="宋体" w:eastAsia="宋体" w:cs="宋体"/>
          <w:b w:val="0"/>
          <w:bCs w:val="0"/>
          <w:i w:val="0"/>
          <w:iCs w:val="0"/>
          <w:sz w:val="24"/>
          <w:szCs w:val="24"/>
          <w:highlight w:val="none"/>
          <w:lang w:val="en-US" w:eastAsia="zh-CN"/>
        </w:rPr>
        <w:t>具体内容详细说明见磋商文件。</w:t>
      </w:r>
    </w:p>
    <w:p>
      <w:pPr>
        <w:pageBreakBefore w:val="0"/>
        <w:widowControl w:val="0"/>
        <w:kinsoku/>
        <w:wordWrap/>
        <w:overflowPunct/>
        <w:topLinePunct w:val="0"/>
        <w:bidi w:val="0"/>
        <w:snapToGrid/>
        <w:spacing w:line="360" w:lineRule="auto"/>
        <w:ind w:left="0" w:leftChars="0" w:firstLine="480" w:firstLineChars="200"/>
        <w:textAlignment w:val="auto"/>
        <w:rPr>
          <w:rFonts w:hint="default" w:ascii="宋体" w:hAnsi="宋体" w:eastAsia="宋体" w:cs="宋体"/>
          <w:b/>
          <w:bCs/>
          <w:i w:val="0"/>
          <w:iCs w:val="0"/>
          <w:sz w:val="24"/>
          <w:szCs w:val="24"/>
          <w:highlight w:val="yellow"/>
          <w:lang w:val="en-US" w:eastAsia="zh-CN"/>
        </w:rPr>
      </w:pPr>
      <w:r>
        <w:rPr>
          <w:rFonts w:hint="eastAsia" w:ascii="宋体" w:hAnsi="宋体" w:cs="宋体"/>
          <w:color w:val="000000"/>
          <w:sz w:val="24"/>
          <w:szCs w:val="24"/>
          <w:highlight w:val="none"/>
          <w:lang w:val="en-US" w:eastAsia="zh-CN"/>
        </w:rPr>
        <w:t>项目工期：自合同签订起，150个日历日</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lang w:val="en-US" w:eastAsia="zh-CN"/>
        </w:rPr>
      </w:pPr>
      <w:r>
        <w:rPr>
          <w:rFonts w:hint="eastAsia" w:ascii="宋体" w:hAnsi="宋体" w:eastAsia="宋体" w:cs="宋体"/>
          <w:b w:val="0"/>
          <w:bCs w:val="0"/>
          <w:i w:val="0"/>
          <w:iCs w:val="0"/>
          <w:sz w:val="24"/>
          <w:szCs w:val="24"/>
          <w:highlight w:val="none"/>
          <w:lang w:val="en-US" w:eastAsia="zh-CN"/>
        </w:rPr>
        <w:t>本项目不接受联合体。</w:t>
      </w:r>
    </w:p>
    <w:p>
      <w:pPr>
        <w:spacing w:line="360" w:lineRule="auto"/>
        <w:jc w:val="both"/>
        <w:outlineLvl w:val="1"/>
        <w:rPr>
          <w:rFonts w:ascii="黑体" w:hAnsi="黑体" w:cs="宋体"/>
          <w:b/>
          <w:bCs w:val="0"/>
          <w:sz w:val="28"/>
          <w:szCs w:val="28"/>
          <w:highlight w:val="none"/>
        </w:rPr>
      </w:pPr>
      <w:bookmarkStart w:id="10" w:name="_Toc28359013"/>
      <w:bookmarkStart w:id="11" w:name="_Toc35393630"/>
      <w:bookmarkStart w:id="12" w:name="_Toc28359090"/>
      <w:bookmarkStart w:id="13" w:name="_Toc35393799"/>
      <w:r>
        <w:rPr>
          <w:rFonts w:hint="eastAsia" w:ascii="黑体" w:hAnsi="黑体" w:cs="宋体"/>
          <w:b/>
          <w:bCs w:val="0"/>
          <w:sz w:val="28"/>
          <w:szCs w:val="28"/>
          <w:highlight w:val="none"/>
        </w:rPr>
        <w:t>二、申请人的资格要求：</w:t>
      </w:r>
      <w:bookmarkEnd w:id="10"/>
      <w:bookmarkEnd w:id="11"/>
      <w:bookmarkEnd w:id="12"/>
      <w:bookmarkEnd w:id="13"/>
    </w:p>
    <w:p>
      <w:pPr>
        <w:pageBreakBefore w:val="0"/>
        <w:widowControl w:val="0"/>
        <w:kinsoku/>
        <w:wordWrap/>
        <w:overflowPunct/>
        <w:topLinePunct w:val="0"/>
        <w:bidi w:val="0"/>
        <w:snapToGrid/>
        <w:spacing w:line="360" w:lineRule="auto"/>
        <w:ind w:left="0" w:leftChars="0" w:firstLine="482" w:firstLineChars="200"/>
        <w:textAlignment w:val="auto"/>
        <w:rPr>
          <w:rFonts w:hint="eastAsia" w:ascii="宋体" w:hAnsi="宋体" w:cs="宋体"/>
          <w:b/>
          <w:bCs/>
          <w:i w:val="0"/>
          <w:iCs w:val="0"/>
          <w:sz w:val="24"/>
          <w:szCs w:val="24"/>
          <w:highlight w:val="none"/>
          <w:lang w:eastAsia="zh-CN"/>
        </w:rPr>
      </w:pPr>
      <w:bookmarkStart w:id="14" w:name="_Toc35393800"/>
      <w:bookmarkStart w:id="15" w:name="_Toc35393631"/>
      <w:bookmarkStart w:id="16" w:name="_Toc28359014"/>
      <w:bookmarkStart w:id="17" w:name="_Toc28359091"/>
      <w:r>
        <w:rPr>
          <w:rFonts w:hint="eastAsia" w:ascii="宋体" w:hAnsi="宋体" w:eastAsia="宋体" w:cs="宋体"/>
          <w:b/>
          <w:bCs/>
          <w:i w:val="0"/>
          <w:iCs w:val="0"/>
          <w:sz w:val="24"/>
          <w:szCs w:val="24"/>
          <w:highlight w:val="none"/>
        </w:rPr>
        <w:t>1.满足《中华人民共和国政府采购法》第二十二条规定</w:t>
      </w:r>
      <w:r>
        <w:rPr>
          <w:rFonts w:hint="eastAsia" w:ascii="宋体" w:hAnsi="宋体" w:cs="宋体"/>
          <w:b/>
          <w:bCs/>
          <w:i w:val="0"/>
          <w:iCs w:val="0"/>
          <w:sz w:val="24"/>
          <w:szCs w:val="24"/>
          <w:highlight w:val="none"/>
          <w:lang w:eastAsia="zh-CN"/>
        </w:rPr>
        <w:t>：</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color w:val="auto"/>
          <w:sz w:val="24"/>
          <w:szCs w:val="24"/>
          <w:highlight w:val="none"/>
          <w:lang w:val="en-US" w:eastAsia="zh-CN"/>
        </w:rPr>
      </w:pPr>
      <w:r>
        <w:rPr>
          <w:rFonts w:hint="eastAsia" w:ascii="宋体" w:hAnsi="宋体" w:eastAsia="宋体" w:cs="宋体"/>
          <w:b w:val="0"/>
          <w:bCs w:val="0"/>
          <w:i w:val="0"/>
          <w:iCs w:val="0"/>
          <w:sz w:val="24"/>
          <w:szCs w:val="24"/>
          <w:highlight w:val="none"/>
          <w:u w:val="none"/>
        </w:rPr>
        <w:t>（1）</w:t>
      </w:r>
      <w:r>
        <w:rPr>
          <w:rFonts w:hint="eastAsia" w:ascii="宋体" w:hAnsi="宋体" w:eastAsia="宋体" w:cs="宋体"/>
          <w:b w:val="0"/>
          <w:bCs w:val="0"/>
          <w:i w:val="0"/>
          <w:iCs w:val="0"/>
          <w:color w:val="auto"/>
          <w:sz w:val="24"/>
          <w:szCs w:val="24"/>
          <w:highlight w:val="none"/>
          <w:lang w:val="en-US" w:eastAsia="zh-CN"/>
        </w:rPr>
        <w:t>依法注册、具有合法的法人资格及独立承担民事责任的能力；</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color w:val="auto"/>
          <w:sz w:val="24"/>
          <w:szCs w:val="24"/>
          <w:highlight w:val="none"/>
          <w:lang w:val="en-US" w:eastAsia="zh-CN"/>
        </w:rPr>
      </w:pPr>
      <w:r>
        <w:rPr>
          <w:rFonts w:hint="eastAsia" w:ascii="宋体" w:hAnsi="宋体" w:eastAsia="宋体" w:cs="宋体"/>
          <w:b w:val="0"/>
          <w:bCs w:val="0"/>
          <w:i w:val="0"/>
          <w:iCs w:val="0"/>
          <w:sz w:val="24"/>
          <w:szCs w:val="24"/>
          <w:highlight w:val="none"/>
          <w:u w:val="none"/>
        </w:rPr>
        <w:t>（</w:t>
      </w:r>
      <w:r>
        <w:rPr>
          <w:rFonts w:hint="eastAsia" w:ascii="宋体" w:hAnsi="宋体" w:cs="宋体"/>
          <w:b w:val="0"/>
          <w:bCs w:val="0"/>
          <w:i w:val="0"/>
          <w:iCs w:val="0"/>
          <w:sz w:val="24"/>
          <w:szCs w:val="24"/>
          <w:highlight w:val="none"/>
          <w:u w:val="none"/>
          <w:lang w:val="en-US" w:eastAsia="zh-CN"/>
        </w:rPr>
        <w:t>2</w:t>
      </w:r>
      <w:r>
        <w:rPr>
          <w:rFonts w:hint="eastAsia" w:ascii="宋体" w:hAnsi="宋体" w:eastAsia="宋体" w:cs="宋体"/>
          <w:b w:val="0"/>
          <w:bCs w:val="0"/>
          <w:i w:val="0"/>
          <w:iCs w:val="0"/>
          <w:sz w:val="24"/>
          <w:szCs w:val="24"/>
          <w:highlight w:val="none"/>
          <w:u w:val="none"/>
        </w:rPr>
        <w:t>）</w:t>
      </w:r>
      <w:r>
        <w:rPr>
          <w:rFonts w:hint="eastAsia" w:ascii="宋体" w:hAnsi="宋体" w:eastAsia="宋体" w:cs="宋体"/>
          <w:b w:val="0"/>
          <w:bCs w:val="0"/>
          <w:i w:val="0"/>
          <w:iCs w:val="0"/>
          <w:color w:val="auto"/>
          <w:sz w:val="24"/>
          <w:szCs w:val="24"/>
          <w:highlight w:val="none"/>
          <w:lang w:val="en-US" w:eastAsia="zh-CN"/>
        </w:rPr>
        <w:t>具有良好的商业信誉和健全的财务会计制度；</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color w:val="auto"/>
          <w:sz w:val="24"/>
          <w:szCs w:val="24"/>
          <w:highlight w:val="none"/>
          <w:lang w:val="en-US" w:eastAsia="zh-CN"/>
        </w:rPr>
      </w:pPr>
      <w:r>
        <w:rPr>
          <w:rFonts w:hint="eastAsia" w:ascii="宋体" w:hAnsi="宋体" w:eastAsia="宋体" w:cs="宋体"/>
          <w:b w:val="0"/>
          <w:bCs w:val="0"/>
          <w:i w:val="0"/>
          <w:iCs w:val="0"/>
          <w:sz w:val="24"/>
          <w:szCs w:val="24"/>
          <w:highlight w:val="none"/>
          <w:u w:val="none"/>
        </w:rPr>
        <w:t>（</w:t>
      </w:r>
      <w:r>
        <w:rPr>
          <w:rFonts w:hint="eastAsia" w:ascii="宋体" w:hAnsi="宋体" w:cs="宋体"/>
          <w:b w:val="0"/>
          <w:bCs w:val="0"/>
          <w:i w:val="0"/>
          <w:iCs w:val="0"/>
          <w:sz w:val="24"/>
          <w:szCs w:val="24"/>
          <w:highlight w:val="none"/>
          <w:u w:val="none"/>
          <w:lang w:val="en-US" w:eastAsia="zh-CN"/>
        </w:rPr>
        <w:t>3</w:t>
      </w:r>
      <w:r>
        <w:rPr>
          <w:rFonts w:hint="eastAsia" w:ascii="宋体" w:hAnsi="宋体" w:eastAsia="宋体" w:cs="宋体"/>
          <w:b w:val="0"/>
          <w:bCs w:val="0"/>
          <w:i w:val="0"/>
          <w:iCs w:val="0"/>
          <w:sz w:val="24"/>
          <w:szCs w:val="24"/>
          <w:highlight w:val="none"/>
          <w:u w:val="none"/>
        </w:rPr>
        <w:t>）</w:t>
      </w:r>
      <w:r>
        <w:rPr>
          <w:rFonts w:hint="eastAsia" w:ascii="宋体" w:hAnsi="宋体" w:eastAsia="宋体" w:cs="宋体"/>
          <w:b w:val="0"/>
          <w:bCs w:val="0"/>
          <w:i w:val="0"/>
          <w:iCs w:val="0"/>
          <w:color w:val="auto"/>
          <w:sz w:val="24"/>
          <w:szCs w:val="24"/>
          <w:highlight w:val="none"/>
          <w:lang w:val="en-US" w:eastAsia="zh-CN"/>
        </w:rPr>
        <w:t>有依法缴纳税收和社会保障资金的良好纪录；</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color w:val="auto"/>
          <w:sz w:val="24"/>
          <w:szCs w:val="24"/>
          <w:highlight w:val="none"/>
          <w:lang w:val="en-US" w:eastAsia="zh-CN"/>
        </w:rPr>
      </w:pPr>
      <w:r>
        <w:rPr>
          <w:rFonts w:hint="eastAsia" w:ascii="宋体" w:hAnsi="宋体" w:eastAsia="宋体" w:cs="宋体"/>
          <w:b w:val="0"/>
          <w:bCs w:val="0"/>
          <w:i w:val="0"/>
          <w:iCs w:val="0"/>
          <w:sz w:val="24"/>
          <w:szCs w:val="24"/>
          <w:highlight w:val="none"/>
          <w:u w:val="none"/>
        </w:rPr>
        <w:t>（</w:t>
      </w:r>
      <w:r>
        <w:rPr>
          <w:rFonts w:hint="eastAsia" w:ascii="宋体" w:hAnsi="宋体" w:cs="宋体"/>
          <w:b w:val="0"/>
          <w:bCs w:val="0"/>
          <w:i w:val="0"/>
          <w:iCs w:val="0"/>
          <w:sz w:val="24"/>
          <w:szCs w:val="24"/>
          <w:highlight w:val="none"/>
          <w:u w:val="none"/>
          <w:lang w:val="en-US" w:eastAsia="zh-CN"/>
        </w:rPr>
        <w:t>4</w:t>
      </w:r>
      <w:r>
        <w:rPr>
          <w:rFonts w:hint="eastAsia" w:ascii="宋体" w:hAnsi="宋体" w:eastAsia="宋体" w:cs="宋体"/>
          <w:b w:val="0"/>
          <w:bCs w:val="0"/>
          <w:i w:val="0"/>
          <w:iCs w:val="0"/>
          <w:sz w:val="24"/>
          <w:szCs w:val="24"/>
          <w:highlight w:val="none"/>
          <w:u w:val="none"/>
        </w:rPr>
        <w:t>）</w:t>
      </w:r>
      <w:r>
        <w:rPr>
          <w:rFonts w:hint="eastAsia" w:ascii="宋体" w:hAnsi="宋体" w:eastAsia="宋体" w:cs="宋体"/>
          <w:b w:val="0"/>
          <w:bCs w:val="0"/>
          <w:i w:val="0"/>
          <w:iCs w:val="0"/>
          <w:color w:val="auto"/>
          <w:sz w:val="24"/>
          <w:szCs w:val="24"/>
          <w:highlight w:val="none"/>
          <w:lang w:val="en-US" w:eastAsia="zh-CN"/>
        </w:rPr>
        <w:t>具有履行合同所必需的专业技术能力；</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color w:val="auto"/>
          <w:sz w:val="24"/>
          <w:szCs w:val="24"/>
          <w:highlight w:val="none"/>
          <w:lang w:val="en-US" w:eastAsia="zh-CN"/>
        </w:rPr>
      </w:pPr>
      <w:r>
        <w:rPr>
          <w:rFonts w:hint="eastAsia" w:ascii="宋体" w:hAnsi="宋体" w:eastAsia="宋体" w:cs="宋体"/>
          <w:b w:val="0"/>
          <w:bCs w:val="0"/>
          <w:i w:val="0"/>
          <w:iCs w:val="0"/>
          <w:sz w:val="24"/>
          <w:szCs w:val="24"/>
          <w:highlight w:val="none"/>
          <w:u w:val="none"/>
        </w:rPr>
        <w:t>（</w:t>
      </w:r>
      <w:r>
        <w:rPr>
          <w:rFonts w:hint="eastAsia" w:ascii="宋体" w:hAnsi="宋体" w:cs="宋体"/>
          <w:b w:val="0"/>
          <w:bCs w:val="0"/>
          <w:i w:val="0"/>
          <w:iCs w:val="0"/>
          <w:sz w:val="24"/>
          <w:szCs w:val="24"/>
          <w:highlight w:val="none"/>
          <w:u w:val="none"/>
          <w:lang w:val="en-US" w:eastAsia="zh-CN"/>
        </w:rPr>
        <w:t>5</w:t>
      </w:r>
      <w:r>
        <w:rPr>
          <w:rFonts w:hint="eastAsia" w:ascii="宋体" w:hAnsi="宋体" w:eastAsia="宋体" w:cs="宋体"/>
          <w:b w:val="0"/>
          <w:bCs w:val="0"/>
          <w:i w:val="0"/>
          <w:iCs w:val="0"/>
          <w:sz w:val="24"/>
          <w:szCs w:val="24"/>
          <w:highlight w:val="none"/>
          <w:u w:val="none"/>
        </w:rPr>
        <w:t>）</w:t>
      </w:r>
      <w:r>
        <w:rPr>
          <w:rFonts w:hint="eastAsia" w:ascii="宋体" w:hAnsi="宋体" w:eastAsia="宋体" w:cs="宋体"/>
          <w:b w:val="0"/>
          <w:bCs w:val="0"/>
          <w:i w:val="0"/>
          <w:iCs w:val="0"/>
          <w:color w:val="auto"/>
          <w:sz w:val="24"/>
          <w:szCs w:val="24"/>
          <w:highlight w:val="none"/>
          <w:lang w:val="en-US" w:eastAsia="zh-CN"/>
        </w:rPr>
        <w:t>参加采购活动前三年内，在经营活动中没有重大违法记录；</w:t>
      </w:r>
    </w:p>
    <w:p>
      <w:pPr>
        <w:pageBreakBefore w:val="0"/>
        <w:widowControl w:val="0"/>
        <w:kinsoku/>
        <w:wordWrap/>
        <w:overflowPunct/>
        <w:topLinePunct w:val="0"/>
        <w:bidi w:val="0"/>
        <w:snapToGrid/>
        <w:spacing w:line="360" w:lineRule="auto"/>
        <w:ind w:left="0" w:leftChars="0" w:firstLine="480" w:firstLineChars="200"/>
        <w:textAlignment w:val="auto"/>
        <w:rPr>
          <w:rFonts w:hint="eastAsia"/>
          <w:highlight w:val="none"/>
          <w:lang w:eastAsia="zh-CN"/>
        </w:rPr>
      </w:pPr>
      <w:r>
        <w:rPr>
          <w:rFonts w:hint="eastAsia" w:ascii="宋体" w:hAnsi="宋体" w:eastAsia="宋体" w:cs="宋体"/>
          <w:b w:val="0"/>
          <w:bCs w:val="0"/>
          <w:i w:val="0"/>
          <w:iCs w:val="0"/>
          <w:sz w:val="24"/>
          <w:szCs w:val="24"/>
          <w:highlight w:val="none"/>
          <w:u w:val="none"/>
        </w:rPr>
        <w:t>（</w:t>
      </w:r>
      <w:r>
        <w:rPr>
          <w:rFonts w:hint="eastAsia" w:ascii="宋体" w:hAnsi="宋体" w:cs="宋体"/>
          <w:b w:val="0"/>
          <w:bCs w:val="0"/>
          <w:i w:val="0"/>
          <w:iCs w:val="0"/>
          <w:sz w:val="24"/>
          <w:szCs w:val="24"/>
          <w:highlight w:val="none"/>
          <w:u w:val="none"/>
          <w:lang w:val="en-US" w:eastAsia="zh-CN"/>
        </w:rPr>
        <w:t>6</w:t>
      </w:r>
      <w:r>
        <w:rPr>
          <w:rFonts w:hint="eastAsia" w:ascii="宋体" w:hAnsi="宋体" w:eastAsia="宋体" w:cs="宋体"/>
          <w:b w:val="0"/>
          <w:bCs w:val="0"/>
          <w:i w:val="0"/>
          <w:iCs w:val="0"/>
          <w:sz w:val="24"/>
          <w:szCs w:val="24"/>
          <w:highlight w:val="none"/>
          <w:u w:val="none"/>
        </w:rPr>
        <w:t>）</w:t>
      </w:r>
      <w:r>
        <w:rPr>
          <w:rFonts w:hint="eastAsia" w:ascii="宋体" w:hAnsi="宋体" w:eastAsia="宋体" w:cs="宋体"/>
          <w:b w:val="0"/>
          <w:bCs w:val="0"/>
          <w:i w:val="0"/>
          <w:iCs w:val="0"/>
          <w:color w:val="auto"/>
          <w:sz w:val="24"/>
          <w:szCs w:val="24"/>
          <w:highlight w:val="none"/>
          <w:lang w:val="en-US" w:eastAsia="zh-CN"/>
        </w:rPr>
        <w:t>符合国家有关法律法规的规定；</w:t>
      </w:r>
    </w:p>
    <w:p>
      <w:pPr>
        <w:pageBreakBefore w:val="0"/>
        <w:widowControl w:val="0"/>
        <w:kinsoku/>
        <w:wordWrap/>
        <w:overflowPunct/>
        <w:topLinePunct w:val="0"/>
        <w:bidi w:val="0"/>
        <w:snapToGrid/>
        <w:spacing w:line="360" w:lineRule="auto"/>
        <w:ind w:left="0" w:leftChars="0" w:firstLine="482" w:firstLineChars="200"/>
        <w:textAlignment w:val="auto"/>
        <w:rPr>
          <w:rFonts w:hint="eastAsia" w:ascii="宋体" w:hAnsi="宋体" w:eastAsia="宋体" w:cs="宋体"/>
          <w:b/>
          <w:bCs/>
          <w:i w:val="0"/>
          <w:iCs w:val="0"/>
          <w:sz w:val="24"/>
          <w:szCs w:val="24"/>
          <w:highlight w:val="none"/>
        </w:rPr>
      </w:pPr>
      <w:r>
        <w:rPr>
          <w:rFonts w:hint="eastAsia" w:ascii="宋体" w:hAnsi="宋体" w:eastAsia="宋体" w:cs="宋体"/>
          <w:b/>
          <w:bCs/>
          <w:i w:val="0"/>
          <w:iCs w:val="0"/>
          <w:sz w:val="24"/>
          <w:szCs w:val="24"/>
          <w:highlight w:val="none"/>
        </w:rPr>
        <w:t>2.落实政府采购政策需满足的资格要求：</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 xml:space="preserve">（1）采购政策 </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 xml:space="preserve">政府采购应当优先采购本国货物、工程和服务，并执行节能产品、环境标志产品、中小企业、残疾人福利性单位、监狱企业等适宜本项目的政府采购政策。 </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 xml:space="preserve">（2）政策依据  </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1）财政部、国家发展改革委、生态环境部、市场监管总局《关于调整优化节能产品、环境标志产品政府采购执行机制的通知》（财库[2019]9号文）；</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2）财政部、生态环境部《关于印发环境标志产品政府采购品目清单的通知》（财库[2019]18号文）；</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 xml:space="preserve">3）财政部、发展改革委《关于印发节能产品政府采购品目清单的通知》（财库[2019]19号文）；  </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 xml:space="preserve">4）市场监管总局《市场监管总局关于发布参与实施政府采购节能产品、环境标志产品认证机构名录的公告》（2019年第16号）； </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sz w:val="24"/>
          <w:szCs w:val="24"/>
          <w:highlight w:val="none"/>
          <w:u w:val="none"/>
        </w:rPr>
        <w:t>5）财政部、工业和信息化部关于印</w:t>
      </w:r>
      <w:r>
        <w:rPr>
          <w:rFonts w:hint="eastAsia" w:ascii="宋体" w:hAnsi="宋体" w:eastAsia="宋体" w:cs="宋体"/>
          <w:b w:val="0"/>
          <w:bCs w:val="0"/>
          <w:i w:val="0"/>
          <w:iCs w:val="0"/>
          <w:color w:val="auto"/>
          <w:sz w:val="24"/>
          <w:szCs w:val="24"/>
          <w:highlight w:val="none"/>
          <w:u w:val="none"/>
        </w:rPr>
        <w:t>发《政府采购促进中小企业发展管理办法》的通知（财库﹝2020﹞46 号）；</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6）财政部、民政部、中国残疾人联合会《关于促进残疾人就业政府采购政策的通知》（财库[2017]141号）；</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b w:val="0"/>
          <w:bCs w:val="0"/>
          <w:i w:val="0"/>
          <w:iCs w:val="0"/>
          <w:sz w:val="24"/>
          <w:szCs w:val="24"/>
          <w:highlight w:val="none"/>
          <w:u w:val="none"/>
        </w:rPr>
      </w:pPr>
      <w:r>
        <w:rPr>
          <w:rFonts w:hint="eastAsia" w:ascii="宋体" w:hAnsi="宋体" w:eastAsia="宋体" w:cs="宋体"/>
          <w:b w:val="0"/>
          <w:bCs w:val="0"/>
          <w:i w:val="0"/>
          <w:iCs w:val="0"/>
          <w:sz w:val="24"/>
          <w:szCs w:val="24"/>
          <w:highlight w:val="none"/>
          <w:u w:val="none"/>
        </w:rPr>
        <w:t>7）财政部、司法部《关于政府采购支持监狱企业发展有关问题的通知》（财库[2014]68号文）。</w:t>
      </w:r>
    </w:p>
    <w:p>
      <w:pPr>
        <w:pageBreakBefore w:val="0"/>
        <w:widowControl w:val="0"/>
        <w:kinsoku/>
        <w:wordWrap/>
        <w:overflowPunct/>
        <w:topLinePunct w:val="0"/>
        <w:bidi w:val="0"/>
        <w:snapToGrid/>
        <w:spacing w:line="360" w:lineRule="auto"/>
        <w:ind w:left="0" w:leftChars="0" w:firstLine="482" w:firstLineChars="200"/>
        <w:textAlignment w:val="auto"/>
        <w:rPr>
          <w:rFonts w:hint="default" w:ascii="宋体" w:hAnsi="宋体" w:eastAsia="宋体" w:cs="宋体"/>
          <w:i w:val="0"/>
          <w:iCs w:val="0"/>
          <w:sz w:val="24"/>
          <w:szCs w:val="24"/>
          <w:highlight w:val="none"/>
          <w:u w:val="none"/>
          <w:lang w:val="en-US" w:eastAsia="zh-CN"/>
        </w:rPr>
      </w:pPr>
      <w:r>
        <w:rPr>
          <w:rFonts w:hint="eastAsia" w:ascii="宋体" w:hAnsi="宋体" w:eastAsia="宋体" w:cs="宋体"/>
          <w:b/>
          <w:bCs/>
          <w:i w:val="0"/>
          <w:iCs w:val="0"/>
          <w:sz w:val="24"/>
          <w:szCs w:val="24"/>
          <w:highlight w:val="none"/>
        </w:rPr>
        <w:t>3.本项目的特</w:t>
      </w:r>
      <w:r>
        <w:rPr>
          <w:rFonts w:hint="eastAsia" w:ascii="宋体" w:hAnsi="宋体" w:eastAsia="宋体" w:cs="宋体"/>
          <w:b/>
          <w:bCs/>
          <w:i w:val="0"/>
          <w:iCs w:val="0"/>
          <w:sz w:val="24"/>
          <w:szCs w:val="24"/>
          <w:highlight w:val="none"/>
          <w:lang w:val="en-US" w:eastAsia="zh-CN"/>
        </w:rPr>
        <w:t>定资</w:t>
      </w:r>
      <w:r>
        <w:rPr>
          <w:rFonts w:hint="eastAsia" w:ascii="宋体" w:hAnsi="宋体" w:eastAsia="宋体" w:cs="宋体"/>
          <w:b/>
          <w:bCs/>
          <w:i w:val="0"/>
          <w:iCs w:val="0"/>
          <w:sz w:val="24"/>
          <w:szCs w:val="24"/>
          <w:highlight w:val="none"/>
        </w:rPr>
        <w:t>格要求</w:t>
      </w:r>
      <w:r>
        <w:rPr>
          <w:rFonts w:hint="eastAsia" w:ascii="宋体" w:hAnsi="宋体" w:eastAsia="宋体" w:cs="宋体"/>
          <w:i w:val="0"/>
          <w:iCs w:val="0"/>
          <w:sz w:val="24"/>
          <w:szCs w:val="24"/>
          <w:highlight w:val="none"/>
        </w:rPr>
        <w:t>：</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i w:val="0"/>
          <w:iCs w:val="0"/>
          <w:sz w:val="24"/>
          <w:szCs w:val="24"/>
          <w:highlight w:val="none"/>
          <w:u w:val="none"/>
          <w:lang w:eastAsia="zh-CN"/>
        </w:rPr>
      </w:pPr>
      <w:r>
        <w:rPr>
          <w:rFonts w:hint="eastAsia" w:ascii="宋体" w:hAnsi="宋体" w:eastAsia="宋体" w:cs="宋体"/>
          <w:i w:val="0"/>
          <w:iCs w:val="0"/>
          <w:sz w:val="24"/>
          <w:szCs w:val="24"/>
          <w:highlight w:val="none"/>
          <w:u w:val="none"/>
        </w:rPr>
        <w:t>（</w:t>
      </w:r>
      <w:r>
        <w:rPr>
          <w:rFonts w:hint="eastAsia" w:ascii="宋体" w:hAnsi="宋体" w:cs="宋体"/>
          <w:i w:val="0"/>
          <w:iCs w:val="0"/>
          <w:sz w:val="24"/>
          <w:szCs w:val="24"/>
          <w:highlight w:val="none"/>
          <w:u w:val="none"/>
          <w:lang w:val="en-US" w:eastAsia="zh-CN"/>
        </w:rPr>
        <w:t>1</w:t>
      </w:r>
      <w:r>
        <w:rPr>
          <w:rFonts w:hint="eastAsia" w:ascii="宋体" w:hAnsi="宋体" w:eastAsia="宋体" w:cs="宋体"/>
          <w:i w:val="0"/>
          <w:iCs w:val="0"/>
          <w:sz w:val="24"/>
          <w:szCs w:val="24"/>
          <w:highlight w:val="none"/>
          <w:u w:val="none"/>
        </w:rPr>
        <w:t>）</w:t>
      </w:r>
      <w:r>
        <w:rPr>
          <w:rFonts w:hint="eastAsia" w:ascii="宋体" w:hAnsi="宋体" w:eastAsia="宋体" w:cs="宋体"/>
          <w:i w:val="0"/>
          <w:iCs w:val="0"/>
          <w:sz w:val="24"/>
          <w:szCs w:val="24"/>
          <w:highlight w:val="none"/>
          <w:u w:val="none"/>
          <w:lang w:val="en-US" w:eastAsia="zh-CN"/>
        </w:rPr>
        <w:t>投标</w:t>
      </w:r>
      <w:r>
        <w:rPr>
          <w:rFonts w:hint="eastAsia" w:ascii="宋体" w:hAnsi="宋体" w:eastAsia="宋体" w:cs="宋体"/>
          <w:i w:val="0"/>
          <w:iCs w:val="0"/>
          <w:sz w:val="24"/>
          <w:szCs w:val="24"/>
          <w:highlight w:val="none"/>
          <w:u w:val="none"/>
          <w:lang w:eastAsia="zh-CN"/>
        </w:rPr>
        <w:t>人须具备文物行政主管部门颁发的文物保护工程施工二级以上（含二级）资质，并取得建设行政主管部门颁发有效的《安全生产许可证》。</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i w:val="0"/>
          <w:iCs w:val="0"/>
          <w:sz w:val="24"/>
          <w:szCs w:val="24"/>
          <w:highlight w:val="none"/>
          <w:u w:val="none"/>
          <w:lang w:eastAsia="zh-CN"/>
        </w:rPr>
      </w:pPr>
      <w:r>
        <w:rPr>
          <w:rFonts w:hint="eastAsia" w:ascii="宋体" w:hAnsi="宋体" w:eastAsia="宋体" w:cs="宋体"/>
          <w:i w:val="0"/>
          <w:iCs w:val="0"/>
          <w:sz w:val="24"/>
          <w:szCs w:val="24"/>
          <w:highlight w:val="none"/>
          <w:u w:val="none"/>
        </w:rPr>
        <w:t>（</w:t>
      </w:r>
      <w:r>
        <w:rPr>
          <w:rFonts w:hint="eastAsia" w:ascii="宋体" w:hAnsi="宋体" w:cs="宋体"/>
          <w:i w:val="0"/>
          <w:iCs w:val="0"/>
          <w:sz w:val="24"/>
          <w:szCs w:val="24"/>
          <w:highlight w:val="none"/>
          <w:u w:val="none"/>
          <w:lang w:val="en-US" w:eastAsia="zh-CN"/>
        </w:rPr>
        <w:t>2</w:t>
      </w:r>
      <w:r>
        <w:rPr>
          <w:rFonts w:hint="eastAsia" w:ascii="宋体" w:hAnsi="宋体" w:eastAsia="宋体" w:cs="宋体"/>
          <w:i w:val="0"/>
          <w:iCs w:val="0"/>
          <w:sz w:val="24"/>
          <w:szCs w:val="24"/>
          <w:highlight w:val="none"/>
          <w:u w:val="none"/>
        </w:rPr>
        <w:t>）供应商应在“信用中国”网站（</w:t>
      </w:r>
      <w:r>
        <w:rPr>
          <w:rFonts w:hint="eastAsia"/>
          <w:highlight w:val="none"/>
        </w:rPr>
        <w:t>www.creditchina.gov.cn）</w:t>
      </w:r>
      <w:r>
        <w:rPr>
          <w:rFonts w:hint="eastAsia" w:ascii="宋体" w:hAnsi="宋体" w:eastAsia="宋体" w:cs="宋体"/>
          <w:i w:val="0"/>
          <w:iCs w:val="0"/>
          <w:sz w:val="24"/>
          <w:szCs w:val="24"/>
          <w:highlight w:val="none"/>
          <w:u w:val="none"/>
        </w:rPr>
        <w:t>未被列入失信被执行人记录、</w:t>
      </w:r>
      <w:r>
        <w:rPr>
          <w:rFonts w:hint="eastAsia" w:ascii="宋体" w:hAnsi="宋体" w:cs="宋体"/>
          <w:i w:val="0"/>
          <w:iCs w:val="0"/>
          <w:sz w:val="24"/>
          <w:szCs w:val="24"/>
          <w:highlight w:val="none"/>
          <w:u w:val="none"/>
          <w:lang w:eastAsia="zh-CN"/>
        </w:rPr>
        <w:t>重大税收违法失信主体记录</w:t>
      </w:r>
      <w:r>
        <w:rPr>
          <w:rFonts w:hint="eastAsia" w:ascii="宋体" w:hAnsi="宋体" w:eastAsia="宋体" w:cs="宋体"/>
          <w:i w:val="0"/>
          <w:iCs w:val="0"/>
          <w:sz w:val="24"/>
          <w:szCs w:val="24"/>
          <w:highlight w:val="none"/>
          <w:u w:val="none"/>
        </w:rPr>
        <w:t>且在中国政府采购网</w:t>
      </w:r>
      <w:r>
        <w:rPr>
          <w:rFonts w:hint="eastAsia"/>
          <w:highlight w:val="none"/>
        </w:rPr>
        <w:t>（www.ccgp.gov.cn）</w:t>
      </w:r>
      <w:r>
        <w:rPr>
          <w:rFonts w:hint="eastAsia" w:ascii="宋体" w:hAnsi="宋体" w:eastAsia="宋体" w:cs="宋体"/>
          <w:i w:val="0"/>
          <w:iCs w:val="0"/>
          <w:sz w:val="24"/>
          <w:szCs w:val="24"/>
          <w:highlight w:val="none"/>
          <w:u w:val="none"/>
        </w:rPr>
        <w:t>没有相关主体政府采购严重违法失信行为记录（被禁止在一定期限内参加政府采购活动但期限届满的除外）（查询日期为从采购文件发售之日起至投标截止日前）</w:t>
      </w:r>
      <w:r>
        <w:rPr>
          <w:rFonts w:hint="eastAsia" w:ascii="宋体" w:hAnsi="宋体" w:eastAsia="宋体" w:cs="宋体"/>
          <w:i w:val="0"/>
          <w:iCs w:val="0"/>
          <w:sz w:val="24"/>
          <w:szCs w:val="24"/>
          <w:highlight w:val="none"/>
          <w:u w:val="none"/>
          <w:lang w:eastAsia="zh-CN"/>
        </w:rPr>
        <w:t>，</w:t>
      </w:r>
      <w:r>
        <w:rPr>
          <w:rFonts w:hint="eastAsia" w:ascii="宋体" w:hAnsi="宋体" w:eastAsia="宋体" w:cs="宋体"/>
          <w:i w:val="0"/>
          <w:iCs w:val="0"/>
          <w:sz w:val="24"/>
          <w:szCs w:val="24"/>
          <w:highlight w:val="none"/>
          <w:u w:val="none"/>
        </w:rPr>
        <w:t>以网页截图</w:t>
      </w:r>
      <w:r>
        <w:rPr>
          <w:rFonts w:hint="eastAsia" w:ascii="宋体" w:hAnsi="宋体" w:eastAsia="宋体" w:cs="宋体"/>
          <w:i w:val="0"/>
          <w:iCs w:val="0"/>
          <w:sz w:val="24"/>
          <w:szCs w:val="24"/>
          <w:highlight w:val="none"/>
          <w:u w:val="none"/>
          <w:lang w:eastAsia="zh-CN"/>
        </w:rPr>
        <w:t>（</w:t>
      </w:r>
      <w:r>
        <w:rPr>
          <w:rFonts w:hint="eastAsia" w:ascii="宋体" w:hAnsi="宋体" w:eastAsia="宋体" w:cs="宋体"/>
          <w:i w:val="0"/>
          <w:iCs w:val="0"/>
          <w:sz w:val="24"/>
          <w:szCs w:val="24"/>
          <w:highlight w:val="none"/>
          <w:u w:val="none"/>
          <w:lang w:val="en-US" w:eastAsia="zh-CN"/>
        </w:rPr>
        <w:t>需显示查询时间）</w:t>
      </w:r>
      <w:r>
        <w:rPr>
          <w:rFonts w:hint="eastAsia" w:ascii="宋体" w:hAnsi="宋体" w:eastAsia="宋体" w:cs="宋体"/>
          <w:i w:val="0"/>
          <w:iCs w:val="0"/>
          <w:sz w:val="24"/>
          <w:szCs w:val="24"/>
          <w:highlight w:val="none"/>
          <w:u w:val="none"/>
        </w:rPr>
        <w:t>加盖投标人公章为准</w:t>
      </w:r>
      <w:r>
        <w:rPr>
          <w:rFonts w:hint="eastAsia" w:ascii="宋体" w:hAnsi="宋体" w:eastAsia="宋体" w:cs="宋体"/>
          <w:i w:val="0"/>
          <w:iCs w:val="0"/>
          <w:sz w:val="24"/>
          <w:szCs w:val="24"/>
          <w:highlight w:val="none"/>
          <w:u w:val="none"/>
          <w:lang w:eastAsia="zh-CN"/>
        </w:rPr>
        <w:t>；</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i w:val="0"/>
          <w:iCs w:val="0"/>
          <w:sz w:val="24"/>
          <w:szCs w:val="24"/>
          <w:highlight w:val="none"/>
          <w:u w:val="none"/>
          <w:lang w:eastAsia="zh-CN"/>
        </w:rPr>
      </w:pPr>
      <w:r>
        <w:rPr>
          <w:rFonts w:hint="eastAsia" w:ascii="宋体" w:hAnsi="宋体" w:cs="宋体"/>
          <w:i w:val="0"/>
          <w:iCs w:val="0"/>
          <w:sz w:val="24"/>
          <w:szCs w:val="24"/>
          <w:highlight w:val="none"/>
          <w:u w:val="none"/>
          <w:lang w:eastAsia="zh-CN"/>
        </w:rPr>
        <w:t>（</w:t>
      </w:r>
      <w:r>
        <w:rPr>
          <w:rFonts w:hint="eastAsia" w:ascii="宋体" w:hAnsi="宋体" w:cs="宋体"/>
          <w:i w:val="0"/>
          <w:iCs w:val="0"/>
          <w:sz w:val="24"/>
          <w:szCs w:val="24"/>
          <w:highlight w:val="none"/>
          <w:u w:val="none"/>
          <w:lang w:val="en-US" w:eastAsia="zh-CN"/>
        </w:rPr>
        <w:t>3</w:t>
      </w:r>
      <w:r>
        <w:rPr>
          <w:rFonts w:hint="eastAsia" w:ascii="宋体" w:hAnsi="宋体" w:eastAsia="宋体" w:cs="宋体"/>
          <w:i w:val="0"/>
          <w:iCs w:val="0"/>
          <w:sz w:val="24"/>
          <w:szCs w:val="24"/>
          <w:highlight w:val="none"/>
          <w:u w:val="none"/>
          <w:lang w:eastAsia="zh-CN"/>
        </w:rPr>
        <w:t>）</w:t>
      </w:r>
      <w:r>
        <w:rPr>
          <w:rFonts w:hint="eastAsia" w:ascii="宋体" w:hAnsi="宋体" w:cs="宋体"/>
          <w:i w:val="0"/>
          <w:iCs w:val="0"/>
          <w:sz w:val="24"/>
          <w:szCs w:val="24"/>
          <w:highlight w:val="none"/>
          <w:u w:val="none"/>
          <w:lang w:eastAsia="zh-CN"/>
        </w:rPr>
        <w:t>根据《政府采购促进中小企业发展管理办法》要求，本项目应当专门面向中小企业采购（提供中小微企业声明函）。</w:t>
      </w:r>
    </w:p>
    <w:p>
      <w:pPr>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i w:val="0"/>
          <w:iCs w:val="0"/>
          <w:sz w:val="24"/>
          <w:szCs w:val="24"/>
          <w:highlight w:val="none"/>
          <w:u w:val="none"/>
        </w:rPr>
      </w:pPr>
      <w:r>
        <w:rPr>
          <w:rFonts w:hint="eastAsia" w:ascii="宋体" w:hAnsi="宋体" w:eastAsia="宋体" w:cs="宋体"/>
          <w:i w:val="0"/>
          <w:iCs w:val="0"/>
          <w:sz w:val="24"/>
          <w:szCs w:val="24"/>
          <w:highlight w:val="none"/>
          <w:u w:val="none"/>
        </w:rPr>
        <w:t>（</w:t>
      </w:r>
      <w:r>
        <w:rPr>
          <w:rFonts w:hint="eastAsia" w:ascii="宋体" w:hAnsi="宋体" w:cs="宋体"/>
          <w:i w:val="0"/>
          <w:iCs w:val="0"/>
          <w:sz w:val="24"/>
          <w:szCs w:val="24"/>
          <w:highlight w:val="none"/>
          <w:u w:val="none"/>
          <w:lang w:val="en-US" w:eastAsia="zh-CN"/>
        </w:rPr>
        <w:t>4</w:t>
      </w:r>
      <w:r>
        <w:rPr>
          <w:rFonts w:hint="eastAsia" w:ascii="宋体" w:hAnsi="宋体" w:eastAsia="宋体" w:cs="宋体"/>
          <w:i w:val="0"/>
          <w:iCs w:val="0"/>
          <w:sz w:val="24"/>
          <w:szCs w:val="24"/>
          <w:highlight w:val="none"/>
          <w:u w:val="none"/>
        </w:rPr>
        <w:t>）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r>
        <w:rPr>
          <w:rFonts w:hint="eastAsia" w:ascii="宋体" w:hAnsi="宋体" w:eastAsia="宋体" w:cs="宋体"/>
          <w:i w:val="0"/>
          <w:iCs w:val="0"/>
          <w:sz w:val="24"/>
          <w:szCs w:val="24"/>
          <w:highlight w:val="none"/>
          <w:u w:val="none"/>
          <w:lang w:eastAsia="zh-CN"/>
        </w:rPr>
        <w:t>。</w:t>
      </w:r>
    </w:p>
    <w:p>
      <w:pPr>
        <w:spacing w:line="360" w:lineRule="auto"/>
        <w:jc w:val="both"/>
        <w:outlineLvl w:val="1"/>
        <w:rPr>
          <w:rFonts w:ascii="黑体" w:hAnsi="黑体" w:cs="宋体"/>
          <w:b/>
          <w:bCs w:val="0"/>
          <w:sz w:val="28"/>
          <w:szCs w:val="28"/>
          <w:highlight w:val="none"/>
        </w:rPr>
      </w:pPr>
      <w:r>
        <w:rPr>
          <w:rFonts w:hint="eastAsia" w:ascii="黑体" w:hAnsi="黑体" w:cs="宋体"/>
          <w:b/>
          <w:bCs w:val="0"/>
          <w:sz w:val="28"/>
          <w:szCs w:val="28"/>
          <w:highlight w:val="none"/>
        </w:rPr>
        <w:t>三、获取采购文件</w:t>
      </w:r>
      <w:bookmarkEnd w:id="14"/>
      <w:bookmarkEnd w:id="15"/>
      <w:bookmarkEnd w:id="16"/>
      <w:bookmarkEnd w:id="17"/>
    </w:p>
    <w:p>
      <w:pPr>
        <w:spacing w:line="360" w:lineRule="auto"/>
        <w:ind w:firstLine="540"/>
        <w:rPr>
          <w:rFonts w:hint="eastAsia" w:ascii="宋体" w:hAnsi="宋体" w:eastAsia="宋体" w:cs="宋体"/>
          <w:i w:val="0"/>
          <w:iCs w:val="0"/>
          <w:sz w:val="24"/>
          <w:szCs w:val="24"/>
          <w:highlight w:val="none"/>
          <w:lang w:eastAsia="zh-CN"/>
        </w:rPr>
      </w:pPr>
      <w:r>
        <w:rPr>
          <w:rFonts w:hint="eastAsia" w:ascii="宋体" w:hAnsi="宋体" w:eastAsia="宋体" w:cs="宋体"/>
          <w:b/>
          <w:bCs/>
          <w:sz w:val="24"/>
          <w:szCs w:val="24"/>
          <w:highlight w:val="none"/>
        </w:rPr>
        <w:t>时间：</w:t>
      </w:r>
      <w:r>
        <w:rPr>
          <w:rFonts w:hint="eastAsia" w:ascii="宋体" w:hAnsi="宋体" w:eastAsia="宋体" w:cs="宋体"/>
          <w:i w:val="0"/>
          <w:iCs w:val="0"/>
          <w:sz w:val="24"/>
          <w:szCs w:val="24"/>
          <w:highlight w:val="none"/>
          <w:u w:val="single"/>
          <w:lang w:val="en-US" w:eastAsia="zh-CN"/>
        </w:rPr>
        <w:t>202</w:t>
      </w:r>
      <w:r>
        <w:rPr>
          <w:rFonts w:hint="eastAsia" w:ascii="宋体" w:hAnsi="宋体" w:cs="宋体"/>
          <w:i w:val="0"/>
          <w:iCs w:val="0"/>
          <w:sz w:val="24"/>
          <w:szCs w:val="24"/>
          <w:highlight w:val="none"/>
          <w:u w:val="single"/>
          <w:lang w:val="en-US" w:eastAsia="zh-CN"/>
        </w:rPr>
        <w:t>2</w:t>
      </w:r>
      <w:r>
        <w:rPr>
          <w:rFonts w:hint="eastAsia" w:ascii="宋体" w:hAnsi="宋体" w:eastAsia="宋体" w:cs="宋体"/>
          <w:i w:val="0"/>
          <w:iCs w:val="0"/>
          <w:sz w:val="24"/>
          <w:szCs w:val="24"/>
          <w:highlight w:val="none"/>
          <w:u w:val="single"/>
        </w:rPr>
        <w:t>年</w:t>
      </w:r>
      <w:r>
        <w:rPr>
          <w:rFonts w:hint="eastAsia" w:ascii="宋体" w:hAnsi="宋体" w:cs="宋体"/>
          <w:i w:val="0"/>
          <w:iCs w:val="0"/>
          <w:sz w:val="24"/>
          <w:szCs w:val="24"/>
          <w:highlight w:val="none"/>
          <w:u w:val="single"/>
          <w:lang w:val="en-US" w:eastAsia="zh-CN"/>
        </w:rPr>
        <w:t>11</w:t>
      </w:r>
      <w:r>
        <w:rPr>
          <w:rFonts w:hint="eastAsia" w:ascii="宋体" w:hAnsi="宋体" w:eastAsia="宋体" w:cs="宋体"/>
          <w:i w:val="0"/>
          <w:iCs w:val="0"/>
          <w:sz w:val="24"/>
          <w:szCs w:val="24"/>
          <w:highlight w:val="none"/>
          <w:u w:val="single"/>
        </w:rPr>
        <w:t>月</w:t>
      </w:r>
      <w:r>
        <w:rPr>
          <w:rFonts w:hint="eastAsia" w:ascii="宋体" w:hAnsi="宋体" w:cs="宋体"/>
          <w:i w:val="0"/>
          <w:iCs w:val="0"/>
          <w:sz w:val="24"/>
          <w:szCs w:val="24"/>
          <w:highlight w:val="yellow"/>
          <w:u w:val="single"/>
          <w:lang w:val="en-US" w:eastAsia="zh-CN"/>
        </w:rPr>
        <w:t>24</w:t>
      </w:r>
      <w:r>
        <w:rPr>
          <w:rFonts w:hint="eastAsia" w:ascii="宋体" w:hAnsi="宋体" w:eastAsia="宋体" w:cs="宋体"/>
          <w:i w:val="0"/>
          <w:iCs w:val="0"/>
          <w:sz w:val="24"/>
          <w:szCs w:val="24"/>
          <w:highlight w:val="none"/>
          <w:u w:val="single"/>
        </w:rPr>
        <w:t>日</w:t>
      </w:r>
      <w:r>
        <w:rPr>
          <w:rFonts w:hint="eastAsia" w:ascii="宋体" w:hAnsi="宋体" w:eastAsia="宋体" w:cs="宋体"/>
          <w:i w:val="0"/>
          <w:iCs w:val="0"/>
          <w:sz w:val="24"/>
          <w:szCs w:val="24"/>
          <w:highlight w:val="none"/>
        </w:rPr>
        <w:t>至</w:t>
      </w:r>
      <w:r>
        <w:rPr>
          <w:rFonts w:hint="eastAsia" w:ascii="宋体" w:hAnsi="宋体" w:eastAsia="宋体" w:cs="宋体"/>
          <w:i w:val="0"/>
          <w:iCs w:val="0"/>
          <w:sz w:val="24"/>
          <w:szCs w:val="24"/>
          <w:highlight w:val="none"/>
          <w:u w:val="single"/>
          <w:lang w:val="en-US" w:eastAsia="zh-CN"/>
        </w:rPr>
        <w:t>202</w:t>
      </w:r>
      <w:r>
        <w:rPr>
          <w:rFonts w:hint="eastAsia" w:ascii="宋体" w:hAnsi="宋体" w:cs="宋体"/>
          <w:i w:val="0"/>
          <w:iCs w:val="0"/>
          <w:sz w:val="24"/>
          <w:szCs w:val="24"/>
          <w:highlight w:val="none"/>
          <w:u w:val="single"/>
          <w:lang w:val="en-US" w:eastAsia="zh-CN"/>
        </w:rPr>
        <w:t>2</w:t>
      </w:r>
      <w:r>
        <w:rPr>
          <w:rFonts w:hint="eastAsia" w:ascii="宋体" w:hAnsi="宋体" w:eastAsia="宋体" w:cs="宋体"/>
          <w:i w:val="0"/>
          <w:iCs w:val="0"/>
          <w:sz w:val="24"/>
          <w:szCs w:val="24"/>
          <w:highlight w:val="none"/>
          <w:u w:val="single"/>
        </w:rPr>
        <w:t>年</w:t>
      </w:r>
      <w:r>
        <w:rPr>
          <w:rFonts w:hint="eastAsia" w:ascii="宋体" w:hAnsi="宋体" w:cs="宋体"/>
          <w:i w:val="0"/>
          <w:iCs w:val="0"/>
          <w:sz w:val="24"/>
          <w:szCs w:val="24"/>
          <w:highlight w:val="yellow"/>
          <w:u w:val="single"/>
          <w:lang w:val="en-US" w:eastAsia="zh-CN"/>
        </w:rPr>
        <w:t>12</w:t>
      </w:r>
      <w:r>
        <w:rPr>
          <w:rFonts w:hint="eastAsia" w:ascii="宋体" w:hAnsi="宋体" w:eastAsia="宋体" w:cs="宋体"/>
          <w:i w:val="0"/>
          <w:iCs w:val="0"/>
          <w:sz w:val="24"/>
          <w:szCs w:val="24"/>
          <w:highlight w:val="none"/>
          <w:u w:val="single"/>
        </w:rPr>
        <w:t>月</w:t>
      </w:r>
      <w:r>
        <w:rPr>
          <w:rFonts w:hint="eastAsia" w:ascii="宋体" w:hAnsi="宋体" w:cs="宋体"/>
          <w:i w:val="0"/>
          <w:iCs w:val="0"/>
          <w:sz w:val="24"/>
          <w:szCs w:val="24"/>
          <w:highlight w:val="yellow"/>
          <w:u w:val="single"/>
          <w:lang w:val="en-US" w:eastAsia="zh-CN"/>
        </w:rPr>
        <w:t>1</w:t>
      </w:r>
      <w:r>
        <w:rPr>
          <w:rFonts w:hint="eastAsia" w:ascii="宋体" w:hAnsi="宋体" w:eastAsia="宋体" w:cs="宋体"/>
          <w:i w:val="0"/>
          <w:iCs w:val="0"/>
          <w:sz w:val="24"/>
          <w:szCs w:val="24"/>
          <w:highlight w:val="none"/>
          <w:u w:val="single"/>
        </w:rPr>
        <w:t>日</w:t>
      </w:r>
      <w:r>
        <w:rPr>
          <w:rFonts w:hint="eastAsia" w:ascii="宋体" w:hAnsi="宋体" w:eastAsia="宋体" w:cs="宋体"/>
          <w:i w:val="0"/>
          <w:iCs w:val="0"/>
          <w:sz w:val="24"/>
          <w:szCs w:val="24"/>
          <w:highlight w:val="none"/>
        </w:rPr>
        <w:t>，每天上午</w:t>
      </w:r>
      <w:r>
        <w:rPr>
          <w:rFonts w:hint="eastAsia" w:ascii="宋体" w:hAnsi="宋体" w:eastAsia="宋体" w:cs="宋体"/>
          <w:i w:val="0"/>
          <w:iCs w:val="0"/>
          <w:sz w:val="24"/>
          <w:szCs w:val="24"/>
          <w:highlight w:val="none"/>
          <w:u w:val="single"/>
          <w:lang w:val="en-US" w:eastAsia="zh-CN"/>
        </w:rPr>
        <w:t xml:space="preserve"> 10:</w:t>
      </w:r>
      <w:r>
        <w:rPr>
          <w:rFonts w:hint="eastAsia" w:ascii="宋体" w:hAnsi="宋体" w:cs="宋体"/>
          <w:i w:val="0"/>
          <w:iCs w:val="0"/>
          <w:sz w:val="24"/>
          <w:szCs w:val="24"/>
          <w:highlight w:val="none"/>
          <w:u w:val="single"/>
          <w:lang w:val="en-US" w:eastAsia="zh-CN"/>
        </w:rPr>
        <w:t>3</w:t>
      </w:r>
      <w:r>
        <w:rPr>
          <w:rFonts w:hint="eastAsia" w:ascii="宋体" w:hAnsi="宋体" w:eastAsia="宋体" w:cs="宋体"/>
          <w:i w:val="0"/>
          <w:iCs w:val="0"/>
          <w:sz w:val="24"/>
          <w:szCs w:val="24"/>
          <w:highlight w:val="none"/>
          <w:u w:val="single"/>
          <w:lang w:val="en-US" w:eastAsia="zh-CN"/>
        </w:rPr>
        <w:t>0</w:t>
      </w:r>
      <w:r>
        <w:rPr>
          <w:rFonts w:hint="eastAsia" w:ascii="宋体" w:hAnsi="宋体" w:eastAsia="宋体" w:cs="宋体"/>
          <w:i w:val="0"/>
          <w:iCs w:val="0"/>
          <w:sz w:val="24"/>
          <w:szCs w:val="24"/>
          <w:highlight w:val="none"/>
        </w:rPr>
        <w:t>至</w:t>
      </w:r>
      <w:r>
        <w:rPr>
          <w:rFonts w:hint="eastAsia" w:ascii="宋体" w:hAnsi="宋体" w:eastAsia="宋体" w:cs="宋体"/>
          <w:i w:val="0"/>
          <w:iCs w:val="0"/>
          <w:sz w:val="24"/>
          <w:szCs w:val="24"/>
          <w:highlight w:val="none"/>
          <w:u w:val="single"/>
          <w:lang w:val="en-US" w:eastAsia="zh-CN"/>
        </w:rPr>
        <w:t>13:</w:t>
      </w:r>
      <w:r>
        <w:rPr>
          <w:rFonts w:hint="eastAsia" w:ascii="宋体" w:hAnsi="宋体" w:cs="宋体"/>
          <w:i w:val="0"/>
          <w:iCs w:val="0"/>
          <w:sz w:val="24"/>
          <w:szCs w:val="24"/>
          <w:highlight w:val="none"/>
          <w:u w:val="single"/>
          <w:lang w:val="en-US" w:eastAsia="zh-CN"/>
        </w:rPr>
        <w:t>0</w:t>
      </w:r>
      <w:r>
        <w:rPr>
          <w:rFonts w:hint="eastAsia" w:ascii="宋体" w:hAnsi="宋体" w:eastAsia="宋体" w:cs="宋体"/>
          <w:i w:val="0"/>
          <w:iCs w:val="0"/>
          <w:sz w:val="24"/>
          <w:szCs w:val="24"/>
          <w:highlight w:val="none"/>
          <w:u w:val="single"/>
          <w:lang w:val="en-US" w:eastAsia="zh-CN"/>
        </w:rPr>
        <w:t>0</w:t>
      </w:r>
      <w:r>
        <w:rPr>
          <w:rFonts w:hint="eastAsia" w:ascii="宋体" w:hAnsi="宋体" w:eastAsia="宋体" w:cs="宋体"/>
          <w:i w:val="0"/>
          <w:iCs w:val="0"/>
          <w:sz w:val="24"/>
          <w:szCs w:val="24"/>
          <w:highlight w:val="none"/>
        </w:rPr>
        <w:t>，下午</w:t>
      </w:r>
      <w:r>
        <w:rPr>
          <w:rFonts w:hint="eastAsia" w:ascii="宋体" w:hAnsi="宋体" w:eastAsia="宋体" w:cs="宋体"/>
          <w:i w:val="0"/>
          <w:iCs w:val="0"/>
          <w:sz w:val="24"/>
          <w:szCs w:val="24"/>
          <w:highlight w:val="none"/>
          <w:u w:val="single"/>
          <w:lang w:val="en-US" w:eastAsia="zh-CN"/>
        </w:rPr>
        <w:t>15:</w:t>
      </w:r>
      <w:r>
        <w:rPr>
          <w:rFonts w:hint="eastAsia" w:ascii="宋体" w:hAnsi="宋体"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rPr>
        <w:t>至</w:t>
      </w:r>
      <w:r>
        <w:rPr>
          <w:rFonts w:hint="eastAsia" w:ascii="宋体" w:hAnsi="宋体" w:eastAsia="宋体" w:cs="宋体"/>
          <w:i w:val="0"/>
          <w:iCs w:val="0"/>
          <w:sz w:val="24"/>
          <w:szCs w:val="24"/>
          <w:highlight w:val="none"/>
          <w:u w:val="single"/>
          <w:lang w:val="en-US" w:eastAsia="zh-CN"/>
        </w:rPr>
        <w:t>1</w:t>
      </w:r>
      <w:r>
        <w:rPr>
          <w:rFonts w:hint="eastAsia" w:ascii="宋体" w:hAnsi="宋体" w:cs="宋体"/>
          <w:i w:val="0"/>
          <w:iCs w:val="0"/>
          <w:sz w:val="24"/>
          <w:szCs w:val="24"/>
          <w:highlight w:val="none"/>
          <w:u w:val="single"/>
          <w:lang w:val="en-US" w:eastAsia="zh-CN"/>
        </w:rPr>
        <w:t>9</w:t>
      </w:r>
      <w:r>
        <w:rPr>
          <w:rFonts w:hint="eastAsia" w:ascii="宋体" w:hAnsi="宋体" w:eastAsia="宋体" w:cs="宋体"/>
          <w:i w:val="0"/>
          <w:iCs w:val="0"/>
          <w:sz w:val="24"/>
          <w:szCs w:val="24"/>
          <w:highlight w:val="none"/>
          <w:u w:val="single"/>
          <w:lang w:val="en-US" w:eastAsia="zh-CN"/>
        </w:rPr>
        <w:t>:</w:t>
      </w:r>
      <w:r>
        <w:rPr>
          <w:rFonts w:hint="eastAsia" w:ascii="宋体" w:hAnsi="宋体"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rPr>
        <w:t>（北京时间，法定节假日除外 ）</w:t>
      </w:r>
    </w:p>
    <w:p>
      <w:pPr>
        <w:spacing w:line="360" w:lineRule="auto"/>
        <w:ind w:firstLine="54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地点：</w:t>
      </w:r>
      <w:r>
        <w:rPr>
          <w:rFonts w:hint="eastAsia" w:ascii="宋体" w:hAnsi="宋体" w:eastAsia="宋体" w:cs="宋体"/>
          <w:b w:val="0"/>
          <w:bCs w:val="0"/>
          <w:sz w:val="24"/>
          <w:szCs w:val="24"/>
          <w:highlight w:val="none"/>
        </w:rPr>
        <w:t>中国政府采购网新疆分网（政府采购云平台）</w:t>
      </w:r>
    </w:p>
    <w:p>
      <w:pPr>
        <w:spacing w:line="360" w:lineRule="auto"/>
        <w:ind w:firstLine="54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方式：</w:t>
      </w:r>
      <w:r>
        <w:rPr>
          <w:rFonts w:hint="eastAsia" w:ascii="宋体" w:hAnsi="宋体" w:eastAsia="宋体" w:cs="宋体"/>
          <w:b w:val="0"/>
          <w:bCs w:val="0"/>
          <w:sz w:val="24"/>
          <w:szCs w:val="24"/>
          <w:highlight w:val="none"/>
        </w:rPr>
        <w:t>供应商登录政采云平台https://www.zcygov.cn/在线申请获取磋商文件（进入“项目采购”应用，在获取采购文件菜单中选择项目，申请获取采购文件）。</w:t>
      </w:r>
    </w:p>
    <w:p>
      <w:pPr>
        <w:spacing w:line="360" w:lineRule="auto"/>
        <w:ind w:firstLine="54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售价（元）：</w:t>
      </w:r>
      <w:r>
        <w:rPr>
          <w:rFonts w:hint="eastAsia" w:ascii="宋体" w:hAnsi="宋体" w:eastAsia="宋体" w:cs="宋体"/>
          <w:b w:val="0"/>
          <w:bCs w:val="0"/>
          <w:sz w:val="24"/>
          <w:szCs w:val="24"/>
          <w:highlight w:val="none"/>
        </w:rPr>
        <w:t>0</w:t>
      </w:r>
    </w:p>
    <w:p>
      <w:pPr>
        <w:spacing w:line="360" w:lineRule="auto"/>
        <w:jc w:val="left"/>
        <w:outlineLvl w:val="1"/>
        <w:rPr>
          <w:rFonts w:ascii="黑体" w:hAnsi="黑体" w:cs="宋体"/>
          <w:b/>
          <w:bCs w:val="0"/>
          <w:sz w:val="28"/>
          <w:szCs w:val="28"/>
          <w:highlight w:val="none"/>
        </w:rPr>
      </w:pPr>
      <w:bookmarkStart w:id="18" w:name="_Toc28359015"/>
      <w:bookmarkStart w:id="19" w:name="_Toc35393632"/>
      <w:bookmarkStart w:id="20" w:name="_Toc28359092"/>
      <w:bookmarkStart w:id="21" w:name="_Toc35393801"/>
      <w:r>
        <w:rPr>
          <w:rFonts w:hint="eastAsia" w:ascii="黑体" w:hAnsi="黑体" w:cs="宋体"/>
          <w:b/>
          <w:bCs w:val="0"/>
          <w:sz w:val="28"/>
          <w:szCs w:val="28"/>
          <w:highlight w:val="none"/>
        </w:rPr>
        <w:t>四、响应文件提交</w:t>
      </w:r>
      <w:bookmarkEnd w:id="18"/>
      <w:bookmarkEnd w:id="19"/>
      <w:bookmarkEnd w:id="20"/>
      <w:bookmarkEnd w:id="21"/>
    </w:p>
    <w:p>
      <w:pPr>
        <w:pageBreakBefore w:val="0"/>
        <w:widowControl w:val="0"/>
        <w:kinsoku/>
        <w:wordWrap/>
        <w:overflowPunct/>
        <w:topLinePunct w:val="0"/>
        <w:bidi w:val="0"/>
        <w:snapToGrid/>
        <w:spacing w:line="360" w:lineRule="auto"/>
        <w:ind w:left="0" w:leftChars="0" w:firstLine="482" w:firstLineChars="200"/>
        <w:textAlignment w:val="auto"/>
        <w:rPr>
          <w:rFonts w:hint="eastAsia" w:ascii="宋体" w:hAnsi="宋体" w:eastAsia="宋体" w:cs="宋体"/>
          <w:bCs/>
          <w:i w:val="0"/>
          <w:iCs w:val="0"/>
          <w:sz w:val="24"/>
          <w:szCs w:val="24"/>
          <w:highlight w:val="none"/>
        </w:rPr>
      </w:pPr>
      <w:r>
        <w:rPr>
          <w:rFonts w:hint="eastAsia" w:ascii="宋体" w:hAnsi="宋体" w:eastAsia="宋体" w:cs="宋体"/>
          <w:b/>
          <w:bCs/>
          <w:i w:val="0"/>
          <w:iCs w:val="0"/>
          <w:sz w:val="24"/>
          <w:szCs w:val="24"/>
          <w:highlight w:val="none"/>
        </w:rPr>
        <w:t>截止时间：</w:t>
      </w:r>
      <w:r>
        <w:rPr>
          <w:rFonts w:hint="eastAsia" w:ascii="宋体" w:hAnsi="宋体" w:eastAsia="宋体" w:cs="宋体"/>
          <w:i w:val="0"/>
          <w:iCs w:val="0"/>
          <w:sz w:val="24"/>
          <w:szCs w:val="24"/>
          <w:highlight w:val="none"/>
          <w:u w:val="single"/>
          <w:lang w:val="en-US" w:eastAsia="zh-CN"/>
        </w:rPr>
        <w:t>202</w:t>
      </w:r>
      <w:r>
        <w:rPr>
          <w:rFonts w:hint="eastAsia" w:ascii="宋体" w:hAnsi="宋体" w:cs="宋体"/>
          <w:i w:val="0"/>
          <w:iCs w:val="0"/>
          <w:sz w:val="24"/>
          <w:szCs w:val="24"/>
          <w:highlight w:val="none"/>
          <w:u w:val="single"/>
          <w:lang w:val="en-US" w:eastAsia="zh-CN"/>
        </w:rPr>
        <w:t>2</w:t>
      </w:r>
      <w:r>
        <w:rPr>
          <w:rFonts w:hint="eastAsia" w:ascii="宋体" w:hAnsi="宋体" w:eastAsia="宋体" w:cs="宋体"/>
          <w:bCs/>
          <w:i w:val="0"/>
          <w:iCs w:val="0"/>
          <w:sz w:val="24"/>
          <w:szCs w:val="24"/>
          <w:highlight w:val="none"/>
          <w:u w:val="single"/>
        </w:rPr>
        <w:t>年</w:t>
      </w:r>
      <w:r>
        <w:rPr>
          <w:rFonts w:hint="eastAsia" w:ascii="宋体" w:hAnsi="宋体" w:cs="宋体"/>
          <w:bCs/>
          <w:i w:val="0"/>
          <w:iCs w:val="0"/>
          <w:sz w:val="24"/>
          <w:szCs w:val="24"/>
          <w:highlight w:val="yellow"/>
          <w:u w:val="single"/>
          <w:lang w:val="en-US" w:eastAsia="zh-CN"/>
        </w:rPr>
        <w:t>12</w:t>
      </w:r>
      <w:r>
        <w:rPr>
          <w:rFonts w:hint="eastAsia" w:ascii="宋体" w:hAnsi="宋体" w:cs="宋体"/>
          <w:bCs/>
          <w:i w:val="0"/>
          <w:iCs w:val="0"/>
          <w:sz w:val="24"/>
          <w:szCs w:val="24"/>
          <w:highlight w:val="none"/>
          <w:u w:val="single"/>
          <w:lang w:val="en-US" w:eastAsia="zh-CN"/>
        </w:rPr>
        <w:t>月</w:t>
      </w:r>
      <w:r>
        <w:rPr>
          <w:rFonts w:hint="eastAsia" w:ascii="宋体" w:hAnsi="宋体" w:cs="宋体"/>
          <w:bCs/>
          <w:i w:val="0"/>
          <w:iCs w:val="0"/>
          <w:sz w:val="24"/>
          <w:szCs w:val="24"/>
          <w:highlight w:val="yellow"/>
          <w:u w:val="single"/>
          <w:lang w:val="en-US" w:eastAsia="zh-CN"/>
        </w:rPr>
        <w:t>6</w:t>
      </w:r>
      <w:r>
        <w:rPr>
          <w:rFonts w:hint="eastAsia" w:ascii="宋体" w:hAnsi="宋体" w:eastAsia="宋体" w:cs="宋体"/>
          <w:bCs/>
          <w:i w:val="0"/>
          <w:iCs w:val="0"/>
          <w:sz w:val="24"/>
          <w:szCs w:val="24"/>
          <w:highlight w:val="none"/>
          <w:u w:val="single"/>
        </w:rPr>
        <w:t>日</w:t>
      </w:r>
      <w:r>
        <w:rPr>
          <w:rFonts w:hint="eastAsia" w:ascii="宋体" w:hAnsi="宋体" w:cs="宋体"/>
          <w:bCs/>
          <w:i w:val="0"/>
          <w:iCs w:val="0"/>
          <w:sz w:val="24"/>
          <w:szCs w:val="24"/>
          <w:highlight w:val="yellow"/>
          <w:u w:val="single"/>
          <w:lang w:val="en-US" w:eastAsia="zh-CN"/>
        </w:rPr>
        <w:t>16</w:t>
      </w:r>
      <w:r>
        <w:rPr>
          <w:rFonts w:hint="eastAsia" w:ascii="宋体" w:hAnsi="宋体" w:eastAsia="宋体" w:cs="宋体"/>
          <w:bCs/>
          <w:i w:val="0"/>
          <w:iCs w:val="0"/>
          <w:sz w:val="24"/>
          <w:szCs w:val="24"/>
          <w:highlight w:val="yellow"/>
          <w:u w:val="single"/>
        </w:rPr>
        <w:t>点</w:t>
      </w:r>
      <w:r>
        <w:rPr>
          <w:rFonts w:hint="eastAsia" w:ascii="宋体" w:hAnsi="宋体" w:cs="宋体"/>
          <w:bCs/>
          <w:i w:val="0"/>
          <w:iCs w:val="0"/>
          <w:sz w:val="24"/>
          <w:szCs w:val="24"/>
          <w:highlight w:val="yellow"/>
          <w:u w:val="single"/>
          <w:lang w:val="en-US" w:eastAsia="zh-CN"/>
        </w:rPr>
        <w:t>0</w:t>
      </w:r>
      <w:r>
        <w:rPr>
          <w:rFonts w:hint="eastAsia" w:ascii="宋体" w:hAnsi="宋体" w:eastAsia="宋体" w:cs="宋体"/>
          <w:bCs/>
          <w:i w:val="0"/>
          <w:iCs w:val="0"/>
          <w:sz w:val="24"/>
          <w:szCs w:val="24"/>
          <w:highlight w:val="yellow"/>
          <w:u w:val="single"/>
          <w:lang w:val="en-US" w:eastAsia="zh-CN"/>
        </w:rPr>
        <w:t>0</w:t>
      </w:r>
      <w:r>
        <w:rPr>
          <w:rFonts w:hint="eastAsia" w:ascii="宋体" w:hAnsi="宋体" w:eastAsia="宋体" w:cs="宋体"/>
          <w:bCs/>
          <w:i w:val="0"/>
          <w:iCs w:val="0"/>
          <w:sz w:val="24"/>
          <w:szCs w:val="24"/>
          <w:highlight w:val="yellow"/>
          <w:u w:val="single"/>
        </w:rPr>
        <w:t>分</w:t>
      </w:r>
      <w:r>
        <w:rPr>
          <w:rFonts w:hint="eastAsia" w:ascii="宋体" w:hAnsi="宋体" w:eastAsia="宋体" w:cs="宋体"/>
          <w:bCs/>
          <w:i w:val="0"/>
          <w:iCs w:val="0"/>
          <w:sz w:val="24"/>
          <w:szCs w:val="24"/>
          <w:highlight w:val="none"/>
        </w:rPr>
        <w:t>（北京时间）</w:t>
      </w:r>
    </w:p>
    <w:p>
      <w:pPr>
        <w:pageBreakBefore w:val="0"/>
        <w:widowControl w:val="0"/>
        <w:kinsoku/>
        <w:wordWrap/>
        <w:overflowPunct/>
        <w:topLinePunct w:val="0"/>
        <w:bidi w:val="0"/>
        <w:snapToGrid/>
        <w:spacing w:line="360" w:lineRule="auto"/>
        <w:ind w:left="0" w:leftChars="0" w:firstLine="482" w:firstLineChars="200"/>
        <w:textAlignment w:val="auto"/>
        <w:rPr>
          <w:rFonts w:ascii="仿宋" w:hAnsi="仿宋" w:eastAsia="仿宋"/>
          <w:bCs/>
          <w:sz w:val="28"/>
          <w:szCs w:val="28"/>
          <w:highlight w:val="none"/>
          <w:u w:val="single"/>
        </w:rPr>
      </w:pPr>
      <w:r>
        <w:rPr>
          <w:rFonts w:hint="eastAsia" w:ascii="宋体" w:hAnsi="宋体" w:eastAsia="宋体" w:cs="宋体"/>
          <w:b/>
          <w:bCs/>
          <w:i w:val="0"/>
          <w:iCs w:val="0"/>
          <w:sz w:val="24"/>
          <w:szCs w:val="24"/>
          <w:highlight w:val="none"/>
        </w:rPr>
        <w:t>地点：</w:t>
      </w:r>
      <w:r>
        <w:rPr>
          <w:rFonts w:hint="eastAsia" w:ascii="宋体" w:hAnsi="宋体" w:cs="宋体"/>
          <w:i w:val="0"/>
          <w:iCs w:val="0"/>
          <w:sz w:val="24"/>
          <w:szCs w:val="24"/>
          <w:highlight w:val="none"/>
          <w:u w:val="none"/>
          <w:lang w:val="en-US" w:eastAsia="zh-CN"/>
        </w:rPr>
        <w:t>（乌鲁木齐市水磨沟区龙盛街2799号浙商大厦11楼）</w:t>
      </w:r>
    </w:p>
    <w:p>
      <w:pPr>
        <w:spacing w:line="360" w:lineRule="auto"/>
        <w:jc w:val="both"/>
        <w:outlineLvl w:val="1"/>
        <w:rPr>
          <w:rFonts w:ascii="黑体" w:hAnsi="黑体" w:cs="宋体"/>
          <w:b/>
          <w:bCs w:val="0"/>
          <w:sz w:val="28"/>
          <w:szCs w:val="28"/>
          <w:highlight w:val="none"/>
        </w:rPr>
      </w:pPr>
      <w:bookmarkStart w:id="22" w:name="_Toc28359093"/>
      <w:bookmarkStart w:id="23" w:name="_Toc28359016"/>
      <w:bookmarkStart w:id="24" w:name="_Toc35393633"/>
      <w:bookmarkStart w:id="25" w:name="_Toc35393802"/>
      <w:r>
        <w:rPr>
          <w:rFonts w:hint="eastAsia" w:ascii="黑体" w:hAnsi="黑体" w:cs="宋体"/>
          <w:b/>
          <w:bCs w:val="0"/>
          <w:sz w:val="28"/>
          <w:szCs w:val="28"/>
          <w:highlight w:val="none"/>
        </w:rPr>
        <w:t>五、开启</w:t>
      </w:r>
      <w:bookmarkEnd w:id="22"/>
      <w:bookmarkEnd w:id="23"/>
      <w:bookmarkEnd w:id="24"/>
      <w:bookmarkEnd w:id="25"/>
    </w:p>
    <w:p>
      <w:pPr>
        <w:pageBreakBefore w:val="0"/>
        <w:widowControl w:val="0"/>
        <w:kinsoku/>
        <w:wordWrap/>
        <w:overflowPunct/>
        <w:topLinePunct w:val="0"/>
        <w:bidi w:val="0"/>
        <w:snapToGrid/>
        <w:spacing w:line="360" w:lineRule="auto"/>
        <w:ind w:left="0" w:leftChars="0" w:firstLine="482" w:firstLineChars="200"/>
        <w:textAlignment w:val="auto"/>
        <w:rPr>
          <w:rFonts w:hint="eastAsia" w:ascii="宋体" w:hAnsi="宋体" w:eastAsia="宋体" w:cs="宋体"/>
          <w:bCs/>
          <w:i w:val="0"/>
          <w:iCs w:val="0"/>
          <w:sz w:val="24"/>
          <w:szCs w:val="24"/>
          <w:highlight w:val="none"/>
          <w:u w:val="single"/>
        </w:rPr>
      </w:pPr>
      <w:bookmarkStart w:id="26" w:name="_Toc35393634"/>
      <w:bookmarkStart w:id="27" w:name="_Toc28359017"/>
      <w:bookmarkStart w:id="28" w:name="_Toc35393803"/>
      <w:bookmarkStart w:id="29" w:name="_Toc28359094"/>
      <w:r>
        <w:rPr>
          <w:rFonts w:hint="eastAsia" w:ascii="宋体" w:hAnsi="宋体" w:eastAsia="宋体" w:cs="宋体"/>
          <w:b/>
          <w:bCs/>
          <w:i w:val="0"/>
          <w:iCs w:val="0"/>
          <w:sz w:val="24"/>
          <w:szCs w:val="24"/>
          <w:highlight w:val="none"/>
        </w:rPr>
        <w:t>时间：</w:t>
      </w:r>
      <w:r>
        <w:rPr>
          <w:rFonts w:hint="eastAsia" w:ascii="宋体" w:hAnsi="宋体" w:cs="宋体"/>
          <w:i w:val="0"/>
          <w:iCs w:val="0"/>
          <w:sz w:val="24"/>
          <w:szCs w:val="24"/>
          <w:highlight w:val="none"/>
          <w:u w:val="single"/>
          <w:lang w:val="en-US" w:eastAsia="zh-CN"/>
        </w:rPr>
        <w:t>2022</w:t>
      </w:r>
      <w:r>
        <w:rPr>
          <w:rFonts w:hint="eastAsia" w:ascii="宋体" w:hAnsi="宋体" w:eastAsia="宋体" w:cs="宋体"/>
          <w:bCs/>
          <w:i w:val="0"/>
          <w:iCs w:val="0"/>
          <w:sz w:val="24"/>
          <w:szCs w:val="24"/>
          <w:highlight w:val="none"/>
          <w:u w:val="single"/>
        </w:rPr>
        <w:t>年</w:t>
      </w:r>
      <w:r>
        <w:rPr>
          <w:rFonts w:hint="eastAsia" w:ascii="宋体" w:hAnsi="宋体" w:cs="宋体"/>
          <w:bCs/>
          <w:i w:val="0"/>
          <w:iCs w:val="0"/>
          <w:sz w:val="24"/>
          <w:szCs w:val="24"/>
          <w:highlight w:val="yellow"/>
          <w:u w:val="single"/>
          <w:lang w:val="en-US" w:eastAsia="zh-CN"/>
        </w:rPr>
        <w:t>12</w:t>
      </w:r>
      <w:r>
        <w:rPr>
          <w:rFonts w:hint="eastAsia" w:ascii="宋体" w:hAnsi="宋体" w:cs="宋体"/>
          <w:bCs/>
          <w:i w:val="0"/>
          <w:iCs w:val="0"/>
          <w:sz w:val="24"/>
          <w:szCs w:val="24"/>
          <w:highlight w:val="none"/>
          <w:u w:val="single"/>
          <w:lang w:val="en-US" w:eastAsia="zh-CN"/>
        </w:rPr>
        <w:t>月</w:t>
      </w:r>
      <w:r>
        <w:rPr>
          <w:rFonts w:hint="eastAsia" w:ascii="宋体" w:hAnsi="宋体" w:cs="宋体"/>
          <w:bCs/>
          <w:i w:val="0"/>
          <w:iCs w:val="0"/>
          <w:sz w:val="24"/>
          <w:szCs w:val="24"/>
          <w:highlight w:val="yellow"/>
          <w:u w:val="single"/>
          <w:lang w:val="en-US" w:eastAsia="zh-CN"/>
        </w:rPr>
        <w:t>6</w:t>
      </w:r>
      <w:r>
        <w:rPr>
          <w:rFonts w:hint="eastAsia" w:ascii="宋体" w:hAnsi="宋体" w:eastAsia="宋体" w:cs="宋体"/>
          <w:bCs/>
          <w:i w:val="0"/>
          <w:iCs w:val="0"/>
          <w:sz w:val="24"/>
          <w:szCs w:val="24"/>
          <w:highlight w:val="none"/>
          <w:u w:val="single"/>
        </w:rPr>
        <w:t>日</w:t>
      </w:r>
      <w:r>
        <w:rPr>
          <w:rFonts w:hint="eastAsia" w:ascii="宋体" w:hAnsi="宋体" w:eastAsia="宋体" w:cs="宋体"/>
          <w:bCs/>
          <w:i w:val="0"/>
          <w:iCs w:val="0"/>
          <w:sz w:val="24"/>
          <w:szCs w:val="24"/>
          <w:highlight w:val="yellow"/>
          <w:u w:val="single"/>
          <w:lang w:val="en-US" w:eastAsia="zh-CN"/>
        </w:rPr>
        <w:t>1</w:t>
      </w:r>
      <w:r>
        <w:rPr>
          <w:rFonts w:hint="eastAsia" w:ascii="宋体" w:hAnsi="宋体" w:cs="宋体"/>
          <w:bCs/>
          <w:i w:val="0"/>
          <w:iCs w:val="0"/>
          <w:sz w:val="24"/>
          <w:szCs w:val="24"/>
          <w:highlight w:val="yellow"/>
          <w:u w:val="single"/>
          <w:lang w:val="en-US" w:eastAsia="zh-CN"/>
        </w:rPr>
        <w:t>6</w:t>
      </w:r>
      <w:r>
        <w:rPr>
          <w:rFonts w:hint="eastAsia" w:ascii="宋体" w:hAnsi="宋体" w:eastAsia="宋体" w:cs="宋体"/>
          <w:bCs/>
          <w:i w:val="0"/>
          <w:iCs w:val="0"/>
          <w:sz w:val="24"/>
          <w:szCs w:val="24"/>
          <w:highlight w:val="yellow"/>
          <w:u w:val="single"/>
        </w:rPr>
        <w:t>点</w:t>
      </w:r>
      <w:r>
        <w:rPr>
          <w:rFonts w:hint="eastAsia" w:ascii="宋体" w:hAnsi="宋体" w:cs="宋体"/>
          <w:bCs/>
          <w:i w:val="0"/>
          <w:iCs w:val="0"/>
          <w:sz w:val="24"/>
          <w:szCs w:val="24"/>
          <w:highlight w:val="yellow"/>
          <w:u w:val="single"/>
          <w:lang w:val="en-US" w:eastAsia="zh-CN"/>
        </w:rPr>
        <w:t>0</w:t>
      </w:r>
      <w:r>
        <w:rPr>
          <w:rFonts w:hint="eastAsia" w:ascii="宋体" w:hAnsi="宋体" w:eastAsia="宋体" w:cs="宋体"/>
          <w:bCs/>
          <w:i w:val="0"/>
          <w:iCs w:val="0"/>
          <w:sz w:val="24"/>
          <w:szCs w:val="24"/>
          <w:highlight w:val="yellow"/>
          <w:u w:val="single"/>
          <w:lang w:val="en-US" w:eastAsia="zh-CN"/>
        </w:rPr>
        <w:t>0</w:t>
      </w:r>
      <w:r>
        <w:rPr>
          <w:rFonts w:hint="eastAsia" w:ascii="宋体" w:hAnsi="宋体" w:eastAsia="宋体" w:cs="宋体"/>
          <w:bCs/>
          <w:i w:val="0"/>
          <w:iCs w:val="0"/>
          <w:sz w:val="24"/>
          <w:szCs w:val="24"/>
          <w:highlight w:val="yellow"/>
          <w:u w:val="single"/>
        </w:rPr>
        <w:t>分</w:t>
      </w:r>
      <w:r>
        <w:rPr>
          <w:rFonts w:hint="eastAsia" w:ascii="宋体" w:hAnsi="宋体" w:eastAsia="宋体" w:cs="宋体"/>
          <w:bCs/>
          <w:i w:val="0"/>
          <w:iCs w:val="0"/>
          <w:sz w:val="24"/>
          <w:szCs w:val="24"/>
          <w:highlight w:val="yellow"/>
        </w:rPr>
        <w:t>（北京时间）</w:t>
      </w:r>
    </w:p>
    <w:p>
      <w:pPr>
        <w:pageBreakBefore w:val="0"/>
        <w:widowControl w:val="0"/>
        <w:kinsoku/>
        <w:wordWrap/>
        <w:overflowPunct/>
        <w:topLinePunct w:val="0"/>
        <w:bidi w:val="0"/>
        <w:snapToGrid/>
        <w:spacing w:line="360" w:lineRule="auto"/>
        <w:ind w:left="0" w:leftChars="0" w:firstLine="482" w:firstLineChars="200"/>
        <w:textAlignment w:val="auto"/>
        <w:rPr>
          <w:rFonts w:hint="eastAsia" w:ascii="宋体" w:hAnsi="宋体" w:eastAsia="宋体" w:cs="宋体"/>
          <w:b/>
          <w:bCs/>
          <w:i w:val="0"/>
          <w:iCs w:val="0"/>
          <w:sz w:val="24"/>
          <w:szCs w:val="24"/>
          <w:highlight w:val="none"/>
          <w:u w:val="none"/>
          <w:lang w:val="en-US" w:eastAsia="zh-CN"/>
        </w:rPr>
      </w:pPr>
      <w:r>
        <w:rPr>
          <w:rFonts w:hint="eastAsia" w:ascii="宋体" w:hAnsi="宋体" w:eastAsia="宋体" w:cs="宋体"/>
          <w:b/>
          <w:bCs/>
          <w:i w:val="0"/>
          <w:iCs w:val="0"/>
          <w:sz w:val="24"/>
          <w:szCs w:val="24"/>
          <w:highlight w:val="none"/>
        </w:rPr>
        <w:t>地点：</w:t>
      </w:r>
      <w:r>
        <w:rPr>
          <w:rFonts w:hint="eastAsia" w:ascii="宋体" w:hAnsi="宋体" w:cs="宋体"/>
          <w:i w:val="0"/>
          <w:iCs w:val="0"/>
          <w:sz w:val="24"/>
          <w:szCs w:val="24"/>
          <w:highlight w:val="none"/>
          <w:u w:val="none"/>
          <w:lang w:val="en-US" w:eastAsia="zh-CN"/>
        </w:rPr>
        <w:t>（乌鲁木齐市水磨沟区龙盛街2799号浙商大厦11楼）</w:t>
      </w:r>
    </w:p>
    <w:p>
      <w:pPr>
        <w:spacing w:line="360" w:lineRule="auto"/>
        <w:jc w:val="both"/>
        <w:outlineLvl w:val="1"/>
        <w:rPr>
          <w:rFonts w:hint="eastAsia" w:ascii="黑体" w:hAnsi="黑体" w:cs="宋体"/>
          <w:b/>
          <w:bCs w:val="0"/>
          <w:sz w:val="28"/>
          <w:szCs w:val="28"/>
          <w:highlight w:val="none"/>
          <w:lang w:val="en-US" w:eastAsia="zh-CN"/>
        </w:rPr>
      </w:pPr>
      <w:r>
        <w:rPr>
          <w:rFonts w:hint="eastAsia" w:ascii="黑体" w:hAnsi="黑体" w:cs="宋体"/>
          <w:b/>
          <w:bCs w:val="0"/>
          <w:sz w:val="28"/>
          <w:szCs w:val="28"/>
          <w:highlight w:val="none"/>
          <w:lang w:val="en-US" w:eastAsia="zh-CN"/>
        </w:rPr>
        <w:t>六、公告期限</w:t>
      </w:r>
      <w:bookmarkEnd w:id="26"/>
      <w:bookmarkEnd w:id="27"/>
      <w:bookmarkEnd w:id="28"/>
      <w:bookmarkEnd w:id="29"/>
    </w:p>
    <w:p>
      <w:pPr>
        <w:spacing w:line="240" w:lineRule="auto"/>
        <w:ind w:firstLine="480" w:firstLineChars="200"/>
        <w:rPr>
          <w:rFonts w:hint="eastAsia" w:ascii="宋体" w:hAnsi="宋体" w:eastAsia="宋体" w:cs="宋体"/>
          <w:b w:val="0"/>
          <w:bCs w:val="0"/>
          <w:i w:val="0"/>
          <w:iCs w:val="0"/>
          <w:kern w:val="2"/>
          <w:sz w:val="24"/>
          <w:szCs w:val="24"/>
          <w:highlight w:val="none"/>
          <w:u w:val="none"/>
          <w:lang w:val="en-US" w:eastAsia="zh-CN" w:bidi="ar-SA"/>
        </w:rPr>
      </w:pPr>
      <w:r>
        <w:rPr>
          <w:rFonts w:hint="eastAsia" w:ascii="宋体" w:hAnsi="宋体" w:eastAsia="宋体" w:cs="宋体"/>
          <w:b w:val="0"/>
          <w:bCs w:val="0"/>
          <w:i w:val="0"/>
          <w:iCs w:val="0"/>
          <w:kern w:val="2"/>
          <w:sz w:val="24"/>
          <w:szCs w:val="24"/>
          <w:highlight w:val="none"/>
          <w:u w:val="none"/>
          <w:lang w:val="en-US" w:eastAsia="zh-CN" w:bidi="ar-SA"/>
        </w:rPr>
        <w:t>自本公告发布之日起3个工作日。</w:t>
      </w:r>
    </w:p>
    <w:p>
      <w:pPr>
        <w:numPr>
          <w:ilvl w:val="0"/>
          <w:numId w:val="1"/>
        </w:numPr>
        <w:spacing w:line="360" w:lineRule="auto"/>
        <w:jc w:val="both"/>
        <w:outlineLvl w:val="1"/>
        <w:rPr>
          <w:rFonts w:hint="eastAsia" w:ascii="黑体" w:hAnsi="黑体" w:cs="宋体"/>
          <w:b/>
          <w:bCs w:val="0"/>
          <w:sz w:val="28"/>
          <w:szCs w:val="28"/>
          <w:highlight w:val="none"/>
          <w:lang w:val="en-US" w:eastAsia="zh-CN"/>
        </w:rPr>
      </w:pPr>
      <w:bookmarkStart w:id="30" w:name="_Toc35393635"/>
      <w:bookmarkStart w:id="31" w:name="_Toc35393804"/>
      <w:r>
        <w:rPr>
          <w:rFonts w:hint="eastAsia" w:ascii="黑体" w:hAnsi="黑体" w:cs="宋体"/>
          <w:b/>
          <w:bCs w:val="0"/>
          <w:sz w:val="28"/>
          <w:szCs w:val="28"/>
          <w:highlight w:val="none"/>
          <w:lang w:val="en-US" w:eastAsia="zh-CN"/>
        </w:rPr>
        <w:t>其他补充事宜</w:t>
      </w:r>
      <w:bookmarkEnd w:id="30"/>
      <w:bookmarkEnd w:id="31"/>
    </w:p>
    <w:p>
      <w:pPr>
        <w:numPr>
          <w:ilvl w:val="0"/>
          <w:numId w:val="0"/>
        </w:numPr>
        <w:spacing w:line="360" w:lineRule="auto"/>
        <w:ind w:firstLine="480" w:firstLineChars="200"/>
        <w:jc w:val="both"/>
        <w:outlineLvl w:val="9"/>
        <w:rPr>
          <w:rFonts w:hint="eastAsia" w:ascii="宋体" w:hAnsi="宋体" w:eastAsia="宋体" w:cs="宋体"/>
          <w:b w:val="0"/>
          <w:bCs w:val="0"/>
          <w:i w:val="0"/>
          <w:iCs w:val="0"/>
          <w:kern w:val="2"/>
          <w:sz w:val="24"/>
          <w:szCs w:val="24"/>
          <w:highlight w:val="none"/>
          <w:u w:val="none"/>
          <w:lang w:val="en-US" w:eastAsia="zh-CN" w:bidi="ar-SA"/>
        </w:rPr>
      </w:pPr>
      <w:r>
        <w:rPr>
          <w:rFonts w:hint="eastAsia" w:ascii="宋体" w:hAnsi="宋体" w:eastAsia="宋体" w:cs="宋体"/>
          <w:b w:val="0"/>
          <w:bCs w:val="0"/>
          <w:i w:val="0"/>
          <w:iCs w:val="0"/>
          <w:kern w:val="2"/>
          <w:sz w:val="24"/>
          <w:szCs w:val="24"/>
          <w:highlight w:val="none"/>
          <w:u w:val="none"/>
          <w:lang w:val="en-US" w:eastAsia="zh-CN" w:bidi="ar-SA"/>
        </w:rPr>
        <w:t>无</w:t>
      </w:r>
    </w:p>
    <w:p>
      <w:pPr>
        <w:spacing w:line="240" w:lineRule="auto"/>
        <w:jc w:val="both"/>
        <w:outlineLvl w:val="1"/>
        <w:rPr>
          <w:rFonts w:ascii="黑体" w:hAnsi="黑体" w:cs="宋体"/>
          <w:b/>
          <w:bCs w:val="0"/>
          <w:sz w:val="28"/>
          <w:szCs w:val="28"/>
          <w:highlight w:val="none"/>
        </w:rPr>
      </w:pPr>
      <w:bookmarkStart w:id="32" w:name="_Toc35393805"/>
      <w:bookmarkStart w:id="33" w:name="_Toc28359018"/>
      <w:bookmarkStart w:id="34" w:name="_Toc35393636"/>
      <w:bookmarkStart w:id="35" w:name="_Toc28359095"/>
      <w:r>
        <w:rPr>
          <w:rFonts w:hint="eastAsia" w:ascii="黑体" w:hAnsi="黑体" w:cs="宋体"/>
          <w:b/>
          <w:bCs w:val="0"/>
          <w:sz w:val="28"/>
          <w:szCs w:val="28"/>
          <w:highlight w:val="none"/>
        </w:rPr>
        <w:t>八、凡对本次采购提出询问，请按</w:t>
      </w:r>
      <w:r>
        <w:rPr>
          <w:rFonts w:ascii="黑体" w:hAnsi="黑体" w:cs="宋体"/>
          <w:b/>
          <w:bCs w:val="0"/>
          <w:sz w:val="28"/>
          <w:szCs w:val="28"/>
          <w:highlight w:val="none"/>
        </w:rPr>
        <w:t>以下方式</w:t>
      </w:r>
      <w:r>
        <w:rPr>
          <w:rFonts w:hint="eastAsia" w:ascii="黑体" w:hAnsi="黑体" w:cs="宋体"/>
          <w:b/>
          <w:bCs w:val="0"/>
          <w:sz w:val="28"/>
          <w:szCs w:val="28"/>
          <w:highlight w:val="none"/>
        </w:rPr>
        <w:t>联系。</w:t>
      </w:r>
      <w:bookmarkEnd w:id="32"/>
      <w:bookmarkEnd w:id="33"/>
      <w:bookmarkEnd w:id="34"/>
      <w:bookmarkEnd w:id="35"/>
    </w:p>
    <w:p>
      <w:pPr>
        <w:pageBreakBefore w:val="0"/>
        <w:widowControl w:val="0"/>
        <w:kinsoku/>
        <w:wordWrap/>
        <w:overflowPunct/>
        <w:topLinePunct w:val="0"/>
        <w:autoSpaceDE/>
        <w:autoSpaceDN/>
        <w:bidi w:val="0"/>
        <w:adjustRightInd/>
        <w:snapToGrid/>
        <w:spacing w:line="240" w:lineRule="auto"/>
        <w:ind w:left="0" w:leftChars="0" w:firstLine="480" w:firstLineChars="200"/>
        <w:jc w:val="both"/>
        <w:textAlignment w:val="auto"/>
        <w:outlineLvl w:val="9"/>
        <w:rPr>
          <w:rFonts w:hint="eastAsia" w:asciiTheme="minorEastAsia" w:hAnsiTheme="minorEastAsia" w:eastAsiaTheme="minorEastAsia" w:cstheme="minorEastAsia"/>
          <w:b w:val="0"/>
          <w:i w:val="0"/>
          <w:iCs w:val="0"/>
          <w:color w:val="auto"/>
          <w:sz w:val="24"/>
          <w:szCs w:val="24"/>
          <w:highlight w:val="none"/>
        </w:rPr>
      </w:pPr>
      <w:bookmarkStart w:id="36" w:name="_Toc28359019"/>
      <w:bookmarkStart w:id="37" w:name="_Toc28359096"/>
      <w:bookmarkStart w:id="38" w:name="_Toc35393637"/>
      <w:bookmarkStart w:id="39" w:name="_Toc35393806"/>
      <w:r>
        <w:rPr>
          <w:rFonts w:hint="eastAsia" w:asciiTheme="minorEastAsia" w:hAnsiTheme="minorEastAsia" w:eastAsiaTheme="minorEastAsia" w:cstheme="minorEastAsia"/>
          <w:b w:val="0"/>
          <w:i w:val="0"/>
          <w:iCs w:val="0"/>
          <w:color w:val="auto"/>
          <w:sz w:val="24"/>
          <w:szCs w:val="24"/>
          <w:highlight w:val="none"/>
        </w:rPr>
        <w:t>1.采购人信息</w:t>
      </w:r>
      <w:bookmarkEnd w:id="36"/>
      <w:bookmarkEnd w:id="37"/>
      <w:bookmarkEnd w:id="38"/>
      <w:bookmarkEnd w:id="39"/>
    </w:p>
    <w:p>
      <w:pPr>
        <w:pageBreakBefore w:val="0"/>
        <w:widowControl w:val="0"/>
        <w:kinsoku/>
        <w:wordWrap/>
        <w:overflowPunct/>
        <w:topLinePunct w:val="0"/>
        <w:autoSpaceDE/>
        <w:autoSpaceDN/>
        <w:bidi w:val="0"/>
        <w:adjustRightInd/>
        <w:snapToGrid/>
        <w:spacing w:line="240" w:lineRule="auto"/>
        <w:ind w:left="0" w:leftChars="0" w:firstLine="480" w:firstLineChars="200"/>
        <w:jc w:val="left"/>
        <w:textAlignment w:val="auto"/>
        <w:outlineLvl w:val="9"/>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名    称：</w:t>
      </w:r>
      <w:r>
        <w:rPr>
          <w:rFonts w:hint="eastAsia" w:asciiTheme="minorEastAsia" w:hAnsiTheme="minorEastAsia" w:eastAsiaTheme="minorEastAsia" w:cstheme="minorEastAsia"/>
          <w:i w:val="0"/>
          <w:iCs w:val="0"/>
          <w:color w:val="auto"/>
          <w:sz w:val="24"/>
          <w:szCs w:val="24"/>
          <w:highlight w:val="none"/>
          <w:u w:val="single"/>
          <w:lang w:eastAsia="zh-CN"/>
        </w:rPr>
        <w:t>新疆维吾尔自治区文化和旅游厅</w:t>
      </w:r>
    </w:p>
    <w:p>
      <w:pPr>
        <w:pageBreakBefore w:val="0"/>
        <w:widowControl w:val="0"/>
        <w:kinsoku/>
        <w:wordWrap/>
        <w:overflowPunct/>
        <w:topLinePunct w:val="0"/>
        <w:autoSpaceDE/>
        <w:autoSpaceDN/>
        <w:bidi w:val="0"/>
        <w:adjustRightInd/>
        <w:snapToGrid/>
        <w:spacing w:line="240" w:lineRule="auto"/>
        <w:ind w:left="0" w:leftChars="0" w:firstLine="480" w:firstLineChars="200"/>
        <w:jc w:val="left"/>
        <w:textAlignment w:val="auto"/>
        <w:outlineLvl w:val="9"/>
        <w:rPr>
          <w:rFonts w:hint="eastAsia" w:asciiTheme="minorEastAsia" w:hAnsiTheme="minorEastAsia" w:eastAsiaTheme="minorEastAsia" w:cstheme="minorEastAsia"/>
          <w:i w:val="0"/>
          <w:iCs w:val="0"/>
          <w:color w:val="auto"/>
          <w:sz w:val="24"/>
          <w:szCs w:val="24"/>
          <w:highlight w:val="none"/>
          <w:u w:val="single"/>
          <w:lang w:val="en-US" w:eastAsia="zh-CN"/>
        </w:rPr>
      </w:pPr>
      <w:r>
        <w:rPr>
          <w:rFonts w:hint="eastAsia" w:asciiTheme="minorEastAsia" w:hAnsiTheme="minorEastAsia" w:eastAsiaTheme="minorEastAsia" w:cstheme="minorEastAsia"/>
          <w:i w:val="0"/>
          <w:iCs w:val="0"/>
          <w:color w:val="auto"/>
          <w:sz w:val="24"/>
          <w:szCs w:val="24"/>
          <w:highlight w:val="none"/>
        </w:rPr>
        <w:t>地    址：</w:t>
      </w:r>
      <w:r>
        <w:rPr>
          <w:rFonts w:hint="eastAsia" w:asciiTheme="minorEastAsia" w:hAnsiTheme="minorEastAsia" w:eastAsiaTheme="minorEastAsia" w:cstheme="minorEastAsia"/>
          <w:i w:val="0"/>
          <w:iCs w:val="0"/>
          <w:color w:val="auto"/>
          <w:sz w:val="24"/>
          <w:szCs w:val="24"/>
          <w:highlight w:val="none"/>
          <w:u w:val="single"/>
          <w:lang w:val="en-US" w:eastAsia="zh-CN"/>
        </w:rPr>
        <w:t>乌鲁木齐市金银路143号</w:t>
      </w:r>
    </w:p>
    <w:p>
      <w:pPr>
        <w:pageBreakBefore w:val="0"/>
        <w:widowControl w:val="0"/>
        <w:kinsoku/>
        <w:wordWrap/>
        <w:overflowPunct/>
        <w:topLinePunct w:val="0"/>
        <w:autoSpaceDE/>
        <w:autoSpaceDN/>
        <w:bidi w:val="0"/>
        <w:adjustRightInd/>
        <w:snapToGrid/>
        <w:spacing w:line="240" w:lineRule="auto"/>
        <w:ind w:firstLine="480" w:firstLineChars="200"/>
        <w:jc w:val="left"/>
        <w:textAlignment w:val="auto"/>
        <w:outlineLvl w:val="9"/>
        <w:rPr>
          <w:rFonts w:hint="default"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i w:val="0"/>
          <w:iCs w:val="0"/>
          <w:color w:val="auto"/>
          <w:sz w:val="24"/>
          <w:szCs w:val="24"/>
          <w:highlight w:val="none"/>
        </w:rPr>
        <w:t>联</w:t>
      </w:r>
      <w:r>
        <w:rPr>
          <w:rFonts w:hint="eastAsia" w:asciiTheme="minorEastAsia" w:hAnsiTheme="minorEastAsia" w:eastAsiaTheme="minorEastAsia" w:cstheme="minorEastAsia"/>
          <w:i w:val="0"/>
          <w:iCs w:val="0"/>
          <w:color w:val="auto"/>
          <w:sz w:val="24"/>
          <w:szCs w:val="24"/>
          <w:highlight w:val="none"/>
          <w:lang w:val="en-US" w:eastAsia="zh-CN"/>
        </w:rPr>
        <w:t xml:space="preserve"> </w:t>
      </w:r>
      <w:r>
        <w:rPr>
          <w:rFonts w:hint="eastAsia" w:asciiTheme="minorEastAsia" w:hAnsiTheme="minorEastAsia" w:eastAsiaTheme="minorEastAsia" w:cstheme="minorEastAsia"/>
          <w:i w:val="0"/>
          <w:iCs w:val="0"/>
          <w:color w:val="auto"/>
          <w:sz w:val="24"/>
          <w:szCs w:val="24"/>
          <w:highlight w:val="none"/>
        </w:rPr>
        <w:t>系</w:t>
      </w:r>
      <w:r>
        <w:rPr>
          <w:rFonts w:hint="eastAsia" w:asciiTheme="minorEastAsia" w:hAnsiTheme="minorEastAsia" w:eastAsiaTheme="minorEastAsia" w:cstheme="minorEastAsia"/>
          <w:i w:val="0"/>
          <w:iCs w:val="0"/>
          <w:color w:val="auto"/>
          <w:sz w:val="24"/>
          <w:szCs w:val="24"/>
          <w:highlight w:val="none"/>
          <w:lang w:val="en-US" w:eastAsia="zh-CN"/>
        </w:rPr>
        <w:t xml:space="preserve"> 人：</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开沙江·库尔班       </w:t>
      </w:r>
    </w:p>
    <w:p>
      <w:pPr>
        <w:pageBreakBefore w:val="0"/>
        <w:widowControl w:val="0"/>
        <w:kinsoku/>
        <w:wordWrap/>
        <w:overflowPunct/>
        <w:topLinePunct w:val="0"/>
        <w:autoSpaceDE/>
        <w:autoSpaceDN/>
        <w:bidi w:val="0"/>
        <w:adjustRightInd/>
        <w:snapToGrid/>
        <w:spacing w:line="240" w:lineRule="auto"/>
        <w:ind w:left="0" w:leftChars="0" w:firstLine="480" w:firstLineChars="200"/>
        <w:jc w:val="left"/>
        <w:textAlignment w:val="auto"/>
        <w:outlineLvl w:val="9"/>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联系方式：</w:t>
      </w:r>
      <w:r>
        <w:rPr>
          <w:rFonts w:hint="eastAsia" w:asciiTheme="minorEastAsia" w:hAnsiTheme="minorEastAsia" w:eastAsiaTheme="minorEastAsia" w:cstheme="minorEastAsia"/>
          <w:i w:val="0"/>
          <w:iCs w:val="0"/>
          <w:color w:val="auto"/>
          <w:sz w:val="24"/>
          <w:szCs w:val="24"/>
          <w:highlight w:val="none"/>
          <w:u w:val="single"/>
          <w:lang w:val="en-US" w:eastAsia="zh-CN"/>
        </w:rPr>
        <w:t>13999280452</w:t>
      </w:r>
    </w:p>
    <w:p>
      <w:pPr>
        <w:pageBreakBefore w:val="0"/>
        <w:widowControl w:val="0"/>
        <w:kinsoku/>
        <w:wordWrap/>
        <w:overflowPunct/>
        <w:topLinePunct w:val="0"/>
        <w:autoSpaceDE/>
        <w:autoSpaceDN/>
        <w:bidi w:val="0"/>
        <w:adjustRightInd/>
        <w:snapToGrid/>
        <w:spacing w:line="240" w:lineRule="auto"/>
        <w:ind w:left="0" w:leftChars="0" w:firstLine="480" w:firstLineChars="200"/>
        <w:jc w:val="both"/>
        <w:textAlignment w:val="auto"/>
        <w:outlineLvl w:val="9"/>
        <w:rPr>
          <w:rFonts w:hint="eastAsia" w:asciiTheme="minorEastAsia" w:hAnsiTheme="minorEastAsia" w:eastAsiaTheme="minorEastAsia" w:cstheme="minorEastAsia"/>
          <w:b w:val="0"/>
          <w:i w:val="0"/>
          <w:iCs w:val="0"/>
          <w:color w:val="auto"/>
          <w:sz w:val="24"/>
          <w:szCs w:val="24"/>
          <w:highlight w:val="none"/>
        </w:rPr>
      </w:pPr>
      <w:bookmarkStart w:id="40" w:name="_Toc35393807"/>
      <w:bookmarkStart w:id="41" w:name="_Toc35393638"/>
      <w:bookmarkStart w:id="42" w:name="_Toc28359020"/>
      <w:bookmarkStart w:id="43" w:name="_Toc28359097"/>
      <w:r>
        <w:rPr>
          <w:rFonts w:hint="eastAsia" w:asciiTheme="minorEastAsia" w:hAnsiTheme="minorEastAsia" w:eastAsiaTheme="minorEastAsia" w:cstheme="minorEastAsia"/>
          <w:b w:val="0"/>
          <w:i w:val="0"/>
          <w:iCs w:val="0"/>
          <w:color w:val="auto"/>
          <w:sz w:val="24"/>
          <w:szCs w:val="24"/>
          <w:highlight w:val="none"/>
        </w:rPr>
        <w:t>2.采购代理机构信息</w:t>
      </w:r>
      <w:bookmarkEnd w:id="40"/>
      <w:bookmarkEnd w:id="41"/>
      <w:bookmarkEnd w:id="42"/>
      <w:bookmarkEnd w:id="43"/>
    </w:p>
    <w:p>
      <w:pPr>
        <w:pageBreakBefore w:val="0"/>
        <w:widowControl w:val="0"/>
        <w:kinsoku/>
        <w:wordWrap/>
        <w:overflowPunct/>
        <w:topLinePunct w:val="0"/>
        <w:autoSpaceDE/>
        <w:autoSpaceDN/>
        <w:bidi w:val="0"/>
        <w:adjustRightInd/>
        <w:snapToGrid/>
        <w:spacing w:line="240" w:lineRule="auto"/>
        <w:ind w:left="0" w:leftChars="0" w:firstLine="480" w:firstLineChars="200"/>
        <w:textAlignment w:val="auto"/>
        <w:outlineLvl w:val="9"/>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名    称：</w:t>
      </w:r>
      <w:r>
        <w:rPr>
          <w:rFonts w:hint="eastAsia" w:asciiTheme="minorEastAsia" w:hAnsiTheme="minorEastAsia" w:eastAsiaTheme="minorEastAsia" w:cstheme="minorEastAsia"/>
          <w:i w:val="0"/>
          <w:iCs w:val="0"/>
          <w:color w:val="auto"/>
          <w:sz w:val="24"/>
          <w:szCs w:val="24"/>
          <w:highlight w:val="none"/>
          <w:u w:val="single"/>
          <w:lang w:eastAsia="zh-CN"/>
        </w:rPr>
        <w:t>新疆天之源项目管理集团有限公司</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919" w:leftChars="228" w:hanging="1440" w:hangingChars="600"/>
        <w:textAlignment w:val="auto"/>
        <w:outlineLvl w:val="9"/>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地　　址：</w:t>
      </w:r>
      <w:r>
        <w:rPr>
          <w:rFonts w:hint="eastAsia" w:asciiTheme="minorEastAsia" w:hAnsiTheme="minorEastAsia" w:eastAsiaTheme="minorEastAsia" w:cstheme="minorEastAsia"/>
          <w:i w:val="0"/>
          <w:iCs w:val="0"/>
          <w:color w:val="auto"/>
          <w:sz w:val="24"/>
          <w:szCs w:val="24"/>
          <w:highlight w:val="none"/>
          <w:u w:val="single"/>
          <w:lang w:eastAsia="zh-CN"/>
        </w:rPr>
        <w:t>（乌鲁木齐市水磨沟区龙盛街2799号浙商大厦11楼招标一部）</w:t>
      </w:r>
    </w:p>
    <w:p>
      <w:pPr>
        <w:pageBreakBefore w:val="0"/>
        <w:widowControl w:val="0"/>
        <w:kinsoku/>
        <w:wordWrap/>
        <w:overflowPunct/>
        <w:topLinePunct w:val="0"/>
        <w:autoSpaceDE/>
        <w:autoSpaceDN/>
        <w:bidi w:val="0"/>
        <w:adjustRightInd/>
        <w:snapToGrid/>
        <w:spacing w:line="240" w:lineRule="auto"/>
        <w:ind w:left="0" w:leftChars="0" w:firstLine="480" w:firstLineChars="200"/>
        <w:jc w:val="both"/>
        <w:textAlignment w:val="auto"/>
        <w:outlineLvl w:val="9"/>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3.项目联系方式</w:t>
      </w:r>
    </w:p>
    <w:p>
      <w:pPr>
        <w:pageBreakBefore w:val="0"/>
        <w:widowControl w:val="0"/>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i w:val="0"/>
          <w:iCs w:val="0"/>
          <w:color w:val="auto"/>
          <w:sz w:val="24"/>
          <w:szCs w:val="24"/>
          <w:highlight w:val="none"/>
          <w:u w:val="singl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项目联系人：</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李飞    </w:t>
      </w:r>
    </w:p>
    <w:p>
      <w:pPr>
        <w:spacing w:line="360" w:lineRule="auto"/>
        <w:ind w:firstLine="480" w:firstLineChars="200"/>
        <w:outlineLvl w:val="9"/>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联系方式</w:t>
      </w:r>
      <w:r>
        <w:rPr>
          <w:rFonts w:hint="eastAsia" w:asciiTheme="minorEastAsia" w:hAnsiTheme="minorEastAsia" w:eastAsiaTheme="minorEastAsia" w:cstheme="minorEastAsia"/>
          <w:i w:val="0"/>
          <w:iCs w:val="0"/>
          <w:color w:val="auto"/>
          <w:sz w:val="24"/>
          <w:szCs w:val="24"/>
          <w:highlight w:val="none"/>
          <w:lang w:val="en-US" w:eastAsia="zh-CN"/>
        </w:rPr>
        <w:t>：</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i w:val="0"/>
          <w:iCs w:val="0"/>
          <w:color w:val="auto"/>
          <w:sz w:val="24"/>
          <w:szCs w:val="24"/>
          <w:highlight w:val="none"/>
          <w:u w:val="single"/>
          <w:lang w:eastAsia="zh-CN"/>
        </w:rPr>
        <w:t>18699146324</w:t>
      </w:r>
      <w:r>
        <w:rPr>
          <w:rFonts w:hint="eastAsia" w:asciiTheme="minorEastAsia" w:hAnsiTheme="minorEastAsia" w:eastAsiaTheme="minorEastAsia" w:cstheme="minorEastAsia"/>
          <w:i w:val="0"/>
          <w:iCs w:val="0"/>
          <w:color w:val="auto"/>
          <w:sz w:val="24"/>
          <w:szCs w:val="24"/>
          <w:highlight w:val="none"/>
          <w:u w:val="single"/>
          <w:lang w:val="en-US" w:eastAsia="zh-CN"/>
        </w:rPr>
        <w:t xml:space="preserve">  </w:t>
      </w:r>
      <w:r>
        <w:rPr>
          <w:rFonts w:hint="eastAsia" w:asciiTheme="minorEastAsia" w:hAnsiTheme="minorEastAsia" w:eastAsiaTheme="minorEastAsia" w:cstheme="minorEastAsia"/>
          <w:i w:val="0"/>
          <w:iCs w:val="0"/>
          <w:color w:val="auto"/>
          <w:sz w:val="24"/>
          <w:szCs w:val="24"/>
          <w:highlight w:val="none"/>
          <w:lang w:val="en-US" w:eastAsia="zh-CN"/>
        </w:rPr>
        <w:t xml:space="preserve"> </w:t>
      </w:r>
    </w:p>
    <w:p>
      <w:pPr>
        <w:rPr>
          <w:rFonts w:hint="eastAsia" w:ascii="宋体" w:hAnsi="宋体" w:eastAsia="宋体" w:cs="宋体"/>
          <w:w w:val="95"/>
          <w:highlight w:val="none"/>
        </w:rPr>
      </w:pPr>
      <w:bookmarkStart w:id="44" w:name="_Toc25669"/>
      <w:r>
        <w:rPr>
          <w:rFonts w:hint="eastAsia" w:ascii="宋体" w:hAnsi="宋体" w:eastAsia="宋体" w:cs="宋体"/>
          <w:w w:val="95"/>
          <w:highlight w:val="none"/>
        </w:rPr>
        <w:br w:type="page"/>
      </w:r>
    </w:p>
    <w:p>
      <w:pPr>
        <w:pStyle w:val="2"/>
        <w:rPr>
          <w:rFonts w:hint="eastAsia" w:ascii="宋体" w:hAnsi="宋体" w:eastAsia="宋体" w:cs="宋体"/>
          <w:highlight w:val="none"/>
        </w:rPr>
      </w:pPr>
      <w:r>
        <w:rPr>
          <w:rFonts w:hint="eastAsia" w:ascii="宋体" w:hAnsi="宋体" w:eastAsia="宋体" w:cs="宋体"/>
          <w:w w:val="95"/>
          <w:highlight w:val="none"/>
        </w:rPr>
        <w:t>第</w:t>
      </w:r>
      <w:bookmarkStart w:id="45" w:name="bookmark2"/>
      <w:bookmarkEnd w:id="45"/>
      <w:bookmarkStart w:id="46" w:name="（一）供应商须知前附表"/>
      <w:bookmarkEnd w:id="46"/>
      <w:r>
        <w:rPr>
          <w:rFonts w:hint="eastAsia" w:ascii="宋体" w:hAnsi="宋体" w:eastAsia="宋体" w:cs="宋体"/>
          <w:w w:val="95"/>
          <w:highlight w:val="none"/>
        </w:rPr>
        <w:t>二章</w:t>
      </w:r>
      <w:r>
        <w:rPr>
          <w:rFonts w:hint="eastAsia" w:ascii="宋体" w:hAnsi="宋体" w:eastAsia="宋体" w:cs="宋体"/>
          <w:w w:val="95"/>
          <w:highlight w:val="none"/>
        </w:rPr>
        <w:tab/>
      </w:r>
      <w:r>
        <w:rPr>
          <w:rFonts w:hint="eastAsia" w:ascii="宋体" w:hAnsi="宋体" w:eastAsia="宋体" w:cs="宋体"/>
          <w:highlight w:val="none"/>
        </w:rPr>
        <w:t>供应商须知及前附表</w:t>
      </w:r>
      <w:bookmarkEnd w:id="44"/>
    </w:p>
    <w:p>
      <w:pPr>
        <w:pStyle w:val="4"/>
        <w:rPr>
          <w:rFonts w:hint="eastAsia" w:ascii="宋体" w:hAnsi="宋体" w:eastAsia="宋体" w:cs="宋体"/>
          <w:highlight w:val="none"/>
        </w:rPr>
      </w:pPr>
      <w:bookmarkStart w:id="47" w:name="_Toc7077"/>
      <w:r>
        <w:rPr>
          <w:rFonts w:hint="eastAsia" w:ascii="宋体" w:hAnsi="宋体" w:eastAsia="宋体" w:cs="宋体"/>
          <w:highlight w:val="none"/>
        </w:rPr>
        <w:t>（一）供应商须知前附表</w:t>
      </w:r>
      <w:bookmarkEnd w:id="47"/>
    </w:p>
    <w:tbl>
      <w:tblPr>
        <w:tblStyle w:val="18"/>
        <w:tblW w:w="9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8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exact"/>
          <w:jc w:val="center"/>
        </w:trPr>
        <w:tc>
          <w:tcPr>
            <w:tcW w:w="672" w:type="dxa"/>
            <w:noWrap w:val="0"/>
            <w:vAlign w:val="top"/>
          </w:tcPr>
          <w:p>
            <w:pPr>
              <w:pStyle w:val="23"/>
              <w:kinsoku w:val="0"/>
              <w:overflowPunct w:val="0"/>
              <w:spacing w:before="74"/>
              <w:ind w:left="130"/>
              <w:rPr>
                <w:rFonts w:hint="eastAsia" w:ascii="宋体" w:hAnsi="宋体" w:eastAsia="宋体" w:cs="宋体"/>
                <w:highlight w:val="none"/>
              </w:rPr>
            </w:pPr>
            <w:r>
              <w:rPr>
                <w:rFonts w:hint="eastAsia" w:ascii="宋体" w:hAnsi="宋体" w:eastAsia="宋体" w:cs="宋体"/>
                <w:b/>
                <w:bCs/>
                <w:highlight w:val="none"/>
              </w:rPr>
              <w:t>序号</w:t>
            </w:r>
          </w:p>
        </w:tc>
        <w:tc>
          <w:tcPr>
            <w:tcW w:w="8475" w:type="dxa"/>
            <w:tcBorders>
              <w:bottom w:val="single" w:color="auto" w:sz="4" w:space="0"/>
            </w:tcBorders>
            <w:noWrap w:val="0"/>
            <w:vAlign w:val="top"/>
          </w:tcPr>
          <w:p>
            <w:pPr>
              <w:pStyle w:val="23"/>
              <w:tabs>
                <w:tab w:val="left" w:pos="627"/>
                <w:tab w:val="left" w:pos="1227"/>
                <w:tab w:val="left" w:pos="1832"/>
              </w:tabs>
              <w:kinsoku w:val="0"/>
              <w:overflowPunct w:val="0"/>
              <w:spacing w:before="74"/>
              <w:ind w:left="25"/>
              <w:jc w:val="center"/>
              <w:rPr>
                <w:rFonts w:hint="eastAsia" w:ascii="宋体" w:hAnsi="宋体" w:eastAsia="宋体" w:cs="宋体"/>
                <w:highlight w:val="none"/>
              </w:rPr>
            </w:pPr>
            <w:r>
              <w:rPr>
                <w:rFonts w:hint="eastAsia" w:ascii="宋体" w:hAnsi="宋体" w:eastAsia="宋体" w:cs="宋体"/>
                <w:b/>
                <w:bCs/>
                <w:w w:val="95"/>
                <w:highlight w:val="none"/>
              </w:rPr>
              <w:t>内</w:t>
            </w:r>
            <w:r>
              <w:rPr>
                <w:rFonts w:hint="eastAsia" w:ascii="宋体" w:hAnsi="宋体" w:eastAsia="宋体" w:cs="宋体"/>
                <w:b/>
                <w:bCs/>
                <w:w w:val="95"/>
                <w:highlight w:val="none"/>
              </w:rPr>
              <w:tab/>
            </w:r>
            <w:r>
              <w:rPr>
                <w:rFonts w:hint="eastAsia" w:ascii="宋体" w:hAnsi="宋体" w:eastAsia="宋体" w:cs="宋体"/>
                <w:b/>
                <w:bCs/>
                <w:w w:val="95"/>
                <w:highlight w:val="none"/>
              </w:rPr>
              <w:t>容</w:t>
            </w:r>
            <w:r>
              <w:rPr>
                <w:rFonts w:hint="eastAsia" w:ascii="宋体" w:hAnsi="宋体" w:eastAsia="宋体" w:cs="宋体"/>
                <w:b/>
                <w:bCs/>
                <w:w w:val="95"/>
                <w:highlight w:val="none"/>
              </w:rPr>
              <w:tab/>
            </w:r>
            <w:r>
              <w:rPr>
                <w:rFonts w:hint="eastAsia" w:ascii="宋体" w:hAnsi="宋体" w:eastAsia="宋体" w:cs="宋体"/>
                <w:b/>
                <w:bCs/>
                <w:w w:val="95"/>
                <w:highlight w:val="none"/>
              </w:rPr>
              <w:t>规</w:t>
            </w:r>
            <w:r>
              <w:rPr>
                <w:rFonts w:hint="eastAsia" w:ascii="宋体" w:hAnsi="宋体" w:eastAsia="宋体" w:cs="宋体"/>
                <w:b/>
                <w:bCs/>
                <w:w w:val="95"/>
                <w:highlight w:val="none"/>
              </w:rPr>
              <w:tab/>
            </w:r>
            <w:r>
              <w:rPr>
                <w:rFonts w:hint="eastAsia" w:ascii="宋体" w:hAnsi="宋体" w:eastAsia="宋体" w:cs="宋体"/>
                <w:b/>
                <w:bCs/>
                <w:highlight w:val="none"/>
              </w:rPr>
              <w:t>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exact"/>
          <w:jc w:val="center"/>
        </w:trPr>
        <w:tc>
          <w:tcPr>
            <w:tcW w:w="672" w:type="dxa"/>
            <w:vMerge w:val="restart"/>
            <w:noWrap w:val="0"/>
            <w:vAlign w:val="center"/>
          </w:tcPr>
          <w:p>
            <w:pPr>
              <w:pStyle w:val="23"/>
              <w:kinsoku w:val="0"/>
              <w:overflowPunct w:val="0"/>
              <w:ind w:right="14"/>
              <w:jc w:val="center"/>
              <w:rPr>
                <w:rFonts w:hint="eastAsia" w:ascii="宋体" w:hAnsi="宋体" w:eastAsia="宋体" w:cs="宋体"/>
                <w:highlight w:val="none"/>
              </w:rPr>
            </w:pPr>
            <w:r>
              <w:rPr>
                <w:rFonts w:hint="eastAsia" w:ascii="宋体" w:hAnsi="宋体" w:eastAsia="宋体" w:cs="宋体"/>
                <w:highlight w:val="none"/>
              </w:rPr>
              <w:t>1</w:t>
            </w:r>
          </w:p>
        </w:tc>
        <w:tc>
          <w:tcPr>
            <w:tcW w:w="8475" w:type="dxa"/>
            <w:tcBorders>
              <w:bottom w:val="nil"/>
            </w:tcBorders>
            <w:shd w:val="clear" w:color="auto" w:fill="auto"/>
            <w:noWrap w:val="0"/>
            <w:vAlign w:val="top"/>
          </w:tcPr>
          <w:p>
            <w:pPr>
              <w:pStyle w:val="23"/>
              <w:kinsoku w:val="0"/>
              <w:overflowPunct w:val="0"/>
              <w:spacing w:before="57"/>
              <w:ind w:left="102"/>
              <w:rPr>
                <w:rFonts w:hint="eastAsia" w:ascii="宋体" w:hAnsi="宋体" w:eastAsia="宋体" w:cs="宋体"/>
                <w:b/>
                <w:bCs/>
                <w:highlight w:val="none"/>
                <w:lang w:eastAsia="zh-CN"/>
              </w:rPr>
            </w:pPr>
            <w:r>
              <w:rPr>
                <w:rFonts w:hint="eastAsia" w:ascii="宋体" w:hAnsi="宋体" w:eastAsia="宋体" w:cs="宋体"/>
                <w:b/>
                <w:bCs/>
                <w:highlight w:val="none"/>
              </w:rPr>
              <w:t>采 购 人：</w:t>
            </w:r>
            <w:r>
              <w:rPr>
                <w:rFonts w:hint="eastAsia" w:asciiTheme="minorEastAsia" w:hAnsiTheme="minorEastAsia" w:eastAsiaTheme="minorEastAsia" w:cstheme="minorEastAsia"/>
                <w:i w:val="0"/>
                <w:iCs w:val="0"/>
                <w:color w:val="auto"/>
                <w:sz w:val="24"/>
                <w:szCs w:val="24"/>
                <w:highlight w:val="none"/>
                <w:u w:val="none"/>
                <w:lang w:eastAsia="zh-CN"/>
              </w:rPr>
              <w:t>新疆维吾尔自治区文化和旅游厅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exact"/>
          <w:jc w:val="center"/>
        </w:trPr>
        <w:tc>
          <w:tcPr>
            <w:tcW w:w="672" w:type="dxa"/>
            <w:vMerge w:val="continue"/>
            <w:noWrap w:val="0"/>
            <w:vAlign w:val="center"/>
          </w:tcPr>
          <w:p>
            <w:pPr>
              <w:pStyle w:val="23"/>
              <w:kinsoku w:val="0"/>
              <w:overflowPunct w:val="0"/>
              <w:spacing w:before="57"/>
              <w:ind w:left="102"/>
              <w:jc w:val="center"/>
              <w:rPr>
                <w:rFonts w:hint="eastAsia" w:ascii="宋体" w:hAnsi="宋体" w:eastAsia="宋体" w:cs="宋体"/>
                <w:highlight w:val="none"/>
              </w:rPr>
            </w:pPr>
          </w:p>
        </w:tc>
        <w:tc>
          <w:tcPr>
            <w:tcW w:w="8475" w:type="dxa"/>
            <w:tcBorders>
              <w:top w:val="nil"/>
              <w:bottom w:val="nil"/>
            </w:tcBorders>
            <w:shd w:val="clear" w:color="auto" w:fill="auto"/>
            <w:noWrap w:val="0"/>
            <w:vAlign w:val="top"/>
          </w:tcPr>
          <w:p>
            <w:pPr>
              <w:pStyle w:val="23"/>
              <w:kinsoku w:val="0"/>
              <w:overflowPunct w:val="0"/>
              <w:spacing w:before="57"/>
              <w:ind w:left="102"/>
              <w:rPr>
                <w:rFonts w:hint="eastAsia" w:ascii="宋体" w:hAnsi="宋体" w:eastAsia="宋体" w:cs="宋体"/>
                <w:b/>
                <w:bCs/>
                <w:highlight w:val="none"/>
                <w:u w:val="none"/>
              </w:rPr>
            </w:pPr>
            <w:r>
              <w:rPr>
                <w:rFonts w:hint="eastAsia" w:ascii="宋体" w:hAnsi="宋体" w:eastAsia="宋体" w:cs="宋体"/>
                <w:b/>
                <w:bCs/>
                <w:highlight w:val="none"/>
                <w:u w:val="none"/>
              </w:rPr>
              <w:t>地</w:t>
            </w:r>
            <w:r>
              <w:rPr>
                <w:rFonts w:hint="eastAsia" w:ascii="宋体" w:hAnsi="宋体" w:eastAsia="宋体" w:cs="宋体"/>
                <w:b/>
                <w:bCs/>
                <w:highlight w:val="none"/>
                <w:u w:val="none"/>
              </w:rPr>
              <w:tab/>
            </w:r>
            <w:r>
              <w:rPr>
                <w:rFonts w:hint="eastAsia" w:ascii="宋体" w:hAnsi="宋体" w:eastAsia="宋体" w:cs="宋体"/>
                <w:b/>
                <w:bCs/>
                <w:highlight w:val="none"/>
                <w:u w:val="none"/>
              </w:rPr>
              <w:t xml:space="preserve">   址：</w:t>
            </w:r>
            <w:r>
              <w:rPr>
                <w:rFonts w:hint="eastAsia" w:ascii="宋体" w:hAnsi="宋体" w:cs="宋体"/>
                <w:bCs/>
                <w:szCs w:val="21"/>
                <w:highlight w:val="none"/>
                <w:u w:val="none"/>
                <w:lang w:eastAsia="zh-CN"/>
              </w:rPr>
              <w:t>乌鲁木齐市金银路143号</w:t>
            </w:r>
            <w:r>
              <w:rPr>
                <w:rFonts w:hint="eastAsia" w:ascii="宋体" w:hAnsi="宋体" w:eastAsia="宋体" w:cs="宋体"/>
                <w:bCs/>
                <w:szCs w:val="21"/>
                <w:highlight w:val="none"/>
                <w:u w:val="none"/>
              </w:rPr>
              <w:t xml:space="preserve">  </w:t>
            </w:r>
          </w:p>
          <w:p>
            <w:pPr>
              <w:pStyle w:val="23"/>
              <w:kinsoku w:val="0"/>
              <w:overflowPunct w:val="0"/>
              <w:spacing w:before="57"/>
              <w:ind w:left="102"/>
              <w:rPr>
                <w:rFonts w:hint="default" w:ascii="宋体" w:hAnsi="宋体" w:eastAsia="宋体" w:cs="宋体"/>
                <w:color w:val="FF0000"/>
                <w:highlight w:val="none"/>
                <w:u w:val="none"/>
                <w:lang w:val="en-US"/>
              </w:rPr>
            </w:pPr>
            <w:r>
              <w:rPr>
                <w:rFonts w:hint="eastAsia" w:ascii="宋体" w:hAnsi="宋体" w:eastAsia="宋体" w:cs="宋体"/>
                <w:b/>
                <w:bCs/>
                <w:highlight w:val="none"/>
                <w:u w:val="none"/>
              </w:rPr>
              <w:t>联 系 人：</w:t>
            </w:r>
            <w:r>
              <w:rPr>
                <w:rFonts w:hint="eastAsia" w:asciiTheme="minorEastAsia" w:hAnsiTheme="minorEastAsia" w:eastAsiaTheme="minorEastAsia" w:cstheme="minorEastAsia"/>
                <w:i w:val="0"/>
                <w:iCs w:val="0"/>
                <w:color w:val="auto"/>
                <w:sz w:val="24"/>
                <w:szCs w:val="24"/>
                <w:highlight w:val="none"/>
                <w:u w:val="none"/>
                <w:lang w:val="en-US" w:eastAsia="zh-CN"/>
              </w:rPr>
              <w:t>开沙江·库尔班</w:t>
            </w:r>
          </w:p>
          <w:p>
            <w:pPr>
              <w:pStyle w:val="23"/>
              <w:kinsoku w:val="0"/>
              <w:overflowPunct w:val="0"/>
              <w:spacing w:before="57"/>
              <w:ind w:left="102"/>
              <w:rPr>
                <w:rFonts w:hint="eastAsia" w:ascii="宋体" w:hAnsi="宋体" w:eastAsia="宋体" w:cs="宋体"/>
                <w:b/>
                <w:bCs/>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exact"/>
          <w:jc w:val="center"/>
        </w:trPr>
        <w:tc>
          <w:tcPr>
            <w:tcW w:w="672" w:type="dxa"/>
            <w:vMerge w:val="continue"/>
            <w:noWrap w:val="0"/>
            <w:vAlign w:val="center"/>
          </w:tcPr>
          <w:p>
            <w:pPr>
              <w:pStyle w:val="23"/>
              <w:tabs>
                <w:tab w:val="left" w:pos="824"/>
              </w:tabs>
              <w:kinsoku w:val="0"/>
              <w:overflowPunct w:val="0"/>
              <w:spacing w:before="16" w:line="320" w:lineRule="auto"/>
              <w:ind w:left="102" w:right="4066"/>
              <w:jc w:val="center"/>
              <w:rPr>
                <w:rFonts w:hint="eastAsia" w:ascii="宋体" w:hAnsi="宋体" w:eastAsia="宋体" w:cs="宋体"/>
                <w:highlight w:val="none"/>
              </w:rPr>
            </w:pPr>
          </w:p>
        </w:tc>
        <w:tc>
          <w:tcPr>
            <w:tcW w:w="8475" w:type="dxa"/>
            <w:tcBorders>
              <w:top w:val="nil"/>
              <w:bottom w:val="single" w:color="auto" w:sz="4" w:space="0"/>
            </w:tcBorders>
            <w:shd w:val="clear" w:color="auto" w:fill="auto"/>
            <w:noWrap w:val="0"/>
            <w:vAlign w:val="top"/>
          </w:tcPr>
          <w:p>
            <w:pPr>
              <w:pStyle w:val="23"/>
              <w:kinsoku w:val="0"/>
              <w:overflowPunct w:val="0"/>
              <w:spacing w:before="57"/>
              <w:ind w:left="102"/>
              <w:rPr>
                <w:rFonts w:hint="default" w:ascii="宋体" w:hAnsi="宋体" w:eastAsia="宋体" w:cs="宋体"/>
                <w:b/>
                <w:bCs/>
                <w:highlight w:val="none"/>
                <w:u w:val="none"/>
                <w:lang w:val="en-US" w:eastAsia="zh-CN"/>
              </w:rPr>
            </w:pPr>
            <w:r>
              <w:rPr>
                <w:rFonts w:hint="eastAsia" w:ascii="宋体" w:hAnsi="宋体" w:eastAsia="宋体" w:cs="宋体"/>
                <w:b/>
                <w:bCs/>
                <w:highlight w:val="none"/>
                <w:u w:val="none"/>
              </w:rPr>
              <w:t>联系电话：</w:t>
            </w:r>
            <w:r>
              <w:rPr>
                <w:rFonts w:hint="eastAsia" w:asciiTheme="minorEastAsia" w:hAnsiTheme="minorEastAsia" w:eastAsiaTheme="minorEastAsia" w:cstheme="minorEastAsia"/>
                <w:i w:val="0"/>
                <w:iCs w:val="0"/>
                <w:color w:val="auto"/>
                <w:sz w:val="24"/>
                <w:szCs w:val="24"/>
                <w:highlight w:val="none"/>
                <w:u w:val="none"/>
                <w:lang w:val="en-US" w:eastAsia="zh-CN"/>
              </w:rPr>
              <w:t>13999280452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exact"/>
          <w:jc w:val="center"/>
        </w:trPr>
        <w:tc>
          <w:tcPr>
            <w:tcW w:w="672" w:type="dxa"/>
            <w:vMerge w:val="restart"/>
            <w:noWrap w:val="0"/>
            <w:vAlign w:val="center"/>
          </w:tcPr>
          <w:p>
            <w:pPr>
              <w:pStyle w:val="23"/>
              <w:kinsoku w:val="0"/>
              <w:overflowPunct w:val="0"/>
              <w:ind w:right="14"/>
              <w:jc w:val="center"/>
              <w:rPr>
                <w:rFonts w:hint="eastAsia" w:ascii="宋体" w:hAnsi="宋体" w:eastAsia="宋体" w:cs="宋体"/>
                <w:highlight w:val="none"/>
              </w:rPr>
            </w:pPr>
            <w:r>
              <w:rPr>
                <w:rFonts w:hint="eastAsia" w:ascii="宋体" w:hAnsi="宋体" w:eastAsia="宋体" w:cs="宋体"/>
                <w:highlight w:val="none"/>
              </w:rPr>
              <w:t>2</w:t>
            </w:r>
          </w:p>
        </w:tc>
        <w:tc>
          <w:tcPr>
            <w:tcW w:w="8475" w:type="dxa"/>
            <w:tcBorders>
              <w:bottom w:val="nil"/>
            </w:tcBorders>
            <w:shd w:val="clear" w:color="auto" w:fill="auto"/>
            <w:noWrap w:val="0"/>
            <w:vAlign w:val="top"/>
          </w:tcPr>
          <w:p>
            <w:pPr>
              <w:pStyle w:val="23"/>
              <w:kinsoku w:val="0"/>
              <w:overflowPunct w:val="0"/>
              <w:spacing w:before="56"/>
              <w:ind w:left="102"/>
              <w:rPr>
                <w:rFonts w:hint="eastAsia" w:ascii="宋体" w:hAnsi="宋体" w:eastAsia="宋体" w:cs="宋体"/>
                <w:b/>
                <w:bCs/>
                <w:highlight w:val="none"/>
                <w:lang w:eastAsia="zh-CN"/>
              </w:rPr>
            </w:pPr>
            <w:r>
              <w:rPr>
                <w:rFonts w:hint="eastAsia" w:ascii="宋体" w:hAnsi="宋体" w:eastAsia="宋体" w:cs="宋体"/>
                <w:b/>
                <w:bCs/>
                <w:highlight w:val="none"/>
              </w:rPr>
              <w:t>代理机构：</w:t>
            </w:r>
            <w:r>
              <w:rPr>
                <w:rFonts w:hint="eastAsia" w:ascii="宋体" w:hAnsi="宋体" w:cs="宋体"/>
                <w:highlight w:val="none"/>
                <w:lang w:eastAsia="zh-CN"/>
              </w:rPr>
              <w:t>新疆天之源项目管理集团有限公司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7" w:hRule="exact"/>
          <w:jc w:val="center"/>
        </w:trPr>
        <w:tc>
          <w:tcPr>
            <w:tcW w:w="672" w:type="dxa"/>
            <w:vMerge w:val="continue"/>
            <w:noWrap w:val="0"/>
            <w:vAlign w:val="center"/>
          </w:tcPr>
          <w:p>
            <w:pPr>
              <w:pStyle w:val="23"/>
              <w:kinsoku w:val="0"/>
              <w:overflowPunct w:val="0"/>
              <w:spacing w:before="56"/>
              <w:ind w:left="102"/>
              <w:jc w:val="center"/>
              <w:rPr>
                <w:rFonts w:hint="eastAsia" w:ascii="宋体" w:hAnsi="宋体" w:eastAsia="宋体" w:cs="宋体"/>
                <w:highlight w:val="none"/>
              </w:rPr>
            </w:pPr>
          </w:p>
        </w:tc>
        <w:tc>
          <w:tcPr>
            <w:tcW w:w="8475" w:type="dxa"/>
            <w:tcBorders>
              <w:top w:val="nil"/>
              <w:bottom w:val="nil"/>
            </w:tcBorders>
            <w:shd w:val="clear" w:color="auto" w:fill="auto"/>
            <w:noWrap w:val="0"/>
            <w:vAlign w:val="top"/>
          </w:tcPr>
          <w:p>
            <w:pPr>
              <w:pStyle w:val="23"/>
              <w:kinsoku w:val="0"/>
              <w:overflowPunct w:val="0"/>
              <w:spacing w:before="56"/>
              <w:ind w:left="102"/>
              <w:rPr>
                <w:rFonts w:hint="eastAsia" w:ascii="宋体" w:hAnsi="宋体" w:eastAsia="宋体" w:cs="宋体"/>
                <w:b/>
                <w:bCs/>
                <w:highlight w:val="none"/>
                <w:lang w:eastAsia="zh-CN"/>
              </w:rPr>
            </w:pPr>
            <w:r>
              <w:rPr>
                <w:rFonts w:hint="eastAsia" w:ascii="宋体" w:hAnsi="宋体" w:eastAsia="宋体" w:cs="宋体"/>
                <w:b/>
                <w:bCs/>
                <w:highlight w:val="none"/>
              </w:rPr>
              <w:t xml:space="preserve">地  </w:t>
            </w:r>
            <w:r>
              <w:rPr>
                <w:rFonts w:hint="eastAsia" w:ascii="宋体" w:hAnsi="宋体" w:eastAsia="宋体" w:cs="宋体"/>
                <w:b/>
                <w:bCs/>
                <w:highlight w:val="none"/>
              </w:rPr>
              <w:tab/>
            </w:r>
            <w:r>
              <w:rPr>
                <w:rFonts w:hint="eastAsia" w:ascii="宋体" w:hAnsi="宋体" w:eastAsia="宋体" w:cs="宋体"/>
                <w:b/>
                <w:bCs/>
                <w:highlight w:val="none"/>
              </w:rPr>
              <w:t>址：</w:t>
            </w:r>
            <w:r>
              <w:rPr>
                <w:rFonts w:hint="eastAsia" w:ascii="宋体" w:hAnsi="宋体" w:cs="宋体"/>
                <w:highlight w:val="none"/>
                <w:lang w:eastAsia="zh-CN"/>
              </w:rPr>
              <w:t>乌鲁木齐市水磨沟区龙盛街2799号浙商大厦11楼招标一部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exact"/>
          <w:jc w:val="center"/>
        </w:trPr>
        <w:tc>
          <w:tcPr>
            <w:tcW w:w="672" w:type="dxa"/>
            <w:vMerge w:val="continue"/>
            <w:noWrap w:val="0"/>
            <w:vAlign w:val="center"/>
          </w:tcPr>
          <w:p>
            <w:pPr>
              <w:pStyle w:val="23"/>
              <w:tabs>
                <w:tab w:val="left" w:pos="824"/>
              </w:tabs>
              <w:kinsoku w:val="0"/>
              <w:overflowPunct w:val="0"/>
              <w:spacing w:before="16"/>
              <w:ind w:left="102"/>
              <w:jc w:val="center"/>
              <w:rPr>
                <w:rFonts w:hint="eastAsia" w:ascii="宋体" w:hAnsi="宋体" w:eastAsia="宋体" w:cs="宋体"/>
                <w:highlight w:val="none"/>
              </w:rPr>
            </w:pPr>
          </w:p>
        </w:tc>
        <w:tc>
          <w:tcPr>
            <w:tcW w:w="8475" w:type="dxa"/>
            <w:tcBorders>
              <w:top w:val="nil"/>
              <w:bottom w:val="nil"/>
            </w:tcBorders>
            <w:shd w:val="clear" w:color="auto" w:fill="auto"/>
            <w:noWrap w:val="0"/>
            <w:vAlign w:val="top"/>
          </w:tcPr>
          <w:p>
            <w:pPr>
              <w:pStyle w:val="23"/>
              <w:kinsoku w:val="0"/>
              <w:overflowPunct w:val="0"/>
              <w:spacing w:before="56"/>
              <w:ind w:left="102"/>
              <w:rPr>
                <w:rFonts w:hint="eastAsia" w:ascii="宋体" w:hAnsi="宋体" w:eastAsia="宋体" w:cs="宋体"/>
                <w:b/>
                <w:bCs/>
                <w:highlight w:val="none"/>
                <w:lang w:eastAsia="zh-CN"/>
              </w:rPr>
            </w:pPr>
            <w:r>
              <w:rPr>
                <w:rFonts w:hint="eastAsia" w:ascii="宋体" w:hAnsi="宋体" w:eastAsia="宋体" w:cs="宋体"/>
                <w:b/>
                <w:bCs/>
                <w:highlight w:val="none"/>
              </w:rPr>
              <w:t>联 系 人：</w:t>
            </w:r>
            <w:r>
              <w:rPr>
                <w:rFonts w:hint="eastAsia" w:ascii="宋体" w:hAnsi="宋体" w:cs="宋体"/>
                <w:highlight w:val="none"/>
                <w:lang w:eastAsia="zh-CN"/>
              </w:rPr>
              <w:t>李飞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exact"/>
          <w:jc w:val="center"/>
        </w:trPr>
        <w:tc>
          <w:tcPr>
            <w:tcW w:w="672" w:type="dxa"/>
            <w:vMerge w:val="continue"/>
            <w:noWrap w:val="0"/>
            <w:vAlign w:val="center"/>
          </w:tcPr>
          <w:p>
            <w:pPr>
              <w:pStyle w:val="23"/>
              <w:kinsoku w:val="0"/>
              <w:overflowPunct w:val="0"/>
              <w:spacing w:before="16"/>
              <w:ind w:left="102"/>
              <w:jc w:val="center"/>
              <w:rPr>
                <w:rFonts w:hint="eastAsia" w:ascii="宋体" w:hAnsi="宋体" w:eastAsia="宋体" w:cs="宋体"/>
                <w:highlight w:val="none"/>
              </w:rPr>
            </w:pPr>
          </w:p>
        </w:tc>
        <w:tc>
          <w:tcPr>
            <w:tcW w:w="8475" w:type="dxa"/>
            <w:tcBorders>
              <w:top w:val="nil"/>
              <w:bottom w:val="single" w:color="auto" w:sz="4" w:space="0"/>
            </w:tcBorders>
            <w:shd w:val="clear" w:color="auto" w:fill="auto"/>
            <w:noWrap w:val="0"/>
            <w:vAlign w:val="top"/>
          </w:tcPr>
          <w:p>
            <w:pPr>
              <w:pStyle w:val="23"/>
              <w:kinsoku w:val="0"/>
              <w:overflowPunct w:val="0"/>
              <w:spacing w:before="56"/>
              <w:ind w:left="102"/>
              <w:rPr>
                <w:rFonts w:hint="eastAsia" w:ascii="宋体" w:hAnsi="宋体" w:eastAsia="宋体" w:cs="宋体"/>
                <w:b/>
                <w:bCs/>
                <w:highlight w:val="none"/>
                <w:lang w:val="en-US" w:eastAsia="zh-CN"/>
              </w:rPr>
            </w:pPr>
            <w:r>
              <w:rPr>
                <w:rFonts w:hint="eastAsia" w:ascii="宋体" w:hAnsi="宋体" w:eastAsia="宋体" w:cs="宋体"/>
                <w:b/>
                <w:bCs/>
                <w:highlight w:val="none"/>
              </w:rPr>
              <w:t>联系电话：</w:t>
            </w:r>
            <w:r>
              <w:rPr>
                <w:rFonts w:hint="eastAsia" w:ascii="宋体" w:hAnsi="宋体" w:cs="宋体"/>
                <w:highlight w:val="none"/>
                <w:lang w:eastAsia="zh-CN"/>
              </w:rPr>
              <w:t>18699146324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2" w:hRule="exact"/>
          <w:jc w:val="center"/>
        </w:trPr>
        <w:tc>
          <w:tcPr>
            <w:tcW w:w="672" w:type="dxa"/>
            <w:vMerge w:val="restart"/>
            <w:noWrap w:val="0"/>
            <w:vAlign w:val="center"/>
          </w:tcPr>
          <w:p>
            <w:pPr>
              <w:pStyle w:val="23"/>
              <w:kinsoku w:val="0"/>
              <w:overflowPunct w:val="0"/>
              <w:ind w:right="14"/>
              <w:jc w:val="center"/>
              <w:rPr>
                <w:rFonts w:hint="eastAsia" w:ascii="宋体" w:hAnsi="宋体" w:eastAsia="宋体" w:cs="宋体"/>
                <w:highlight w:val="none"/>
              </w:rPr>
            </w:pPr>
            <w:r>
              <w:rPr>
                <w:rFonts w:hint="eastAsia" w:ascii="宋体" w:hAnsi="宋体" w:eastAsia="宋体" w:cs="宋体"/>
                <w:highlight w:val="none"/>
              </w:rPr>
              <w:t>3</w:t>
            </w:r>
          </w:p>
        </w:tc>
        <w:tc>
          <w:tcPr>
            <w:tcW w:w="8475" w:type="dxa"/>
            <w:tcBorders>
              <w:bottom w:val="nil"/>
            </w:tcBorders>
            <w:shd w:val="clear" w:color="auto" w:fill="auto"/>
            <w:noWrap w:val="0"/>
            <w:vAlign w:val="top"/>
          </w:tcPr>
          <w:p>
            <w:pPr>
              <w:pStyle w:val="23"/>
              <w:kinsoku w:val="0"/>
              <w:overflowPunct w:val="0"/>
              <w:spacing w:before="56"/>
              <w:ind w:left="102"/>
              <w:rPr>
                <w:rFonts w:hint="eastAsia" w:ascii="宋体" w:hAnsi="宋体" w:eastAsia="宋体" w:cs="宋体"/>
                <w:highlight w:val="none"/>
              </w:rPr>
            </w:pPr>
            <w:r>
              <w:rPr>
                <w:rFonts w:hint="eastAsia" w:ascii="宋体" w:hAnsi="宋体" w:eastAsia="宋体" w:cs="宋体"/>
                <w:b/>
                <w:bCs/>
                <w:highlight w:val="none"/>
              </w:rPr>
              <w:t>项目说明：/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exact"/>
          <w:jc w:val="center"/>
        </w:trPr>
        <w:tc>
          <w:tcPr>
            <w:tcW w:w="672" w:type="dxa"/>
            <w:vMerge w:val="continue"/>
            <w:noWrap w:val="0"/>
            <w:vAlign w:val="center"/>
          </w:tcPr>
          <w:p>
            <w:pPr>
              <w:pStyle w:val="23"/>
              <w:kinsoku w:val="0"/>
              <w:overflowPunct w:val="0"/>
              <w:spacing w:before="56"/>
              <w:ind w:left="102"/>
              <w:jc w:val="center"/>
              <w:rPr>
                <w:rFonts w:hint="eastAsia" w:ascii="宋体" w:hAnsi="宋体" w:eastAsia="宋体" w:cs="宋体"/>
                <w:highlight w:val="none"/>
              </w:rPr>
            </w:pPr>
          </w:p>
        </w:tc>
        <w:tc>
          <w:tcPr>
            <w:tcW w:w="8475" w:type="dxa"/>
            <w:tcBorders>
              <w:top w:val="nil"/>
              <w:bottom w:val="nil"/>
            </w:tcBorders>
            <w:shd w:val="clear" w:color="auto" w:fill="auto"/>
            <w:noWrap w:val="0"/>
            <w:vAlign w:val="top"/>
          </w:tcPr>
          <w:p>
            <w:pPr>
              <w:pStyle w:val="23"/>
              <w:kinsoku w:val="0"/>
              <w:overflowPunct w:val="0"/>
              <w:spacing w:before="16" w:line="320" w:lineRule="auto"/>
              <w:ind w:left="1788" w:leftChars="48" w:right="77" w:hanging="1687" w:hangingChars="700"/>
              <w:rPr>
                <w:rFonts w:hint="eastAsia" w:ascii="宋体" w:hAnsi="宋体" w:eastAsia="宋体" w:cs="宋体"/>
                <w:b/>
                <w:bCs/>
                <w:w w:val="95"/>
                <w:highlight w:val="none"/>
              </w:rPr>
            </w:pPr>
            <w:r>
              <w:rPr>
                <w:rFonts w:hint="eastAsia" w:ascii="宋体" w:hAnsi="宋体" w:eastAsia="宋体" w:cs="宋体"/>
                <w:b/>
                <w:bCs/>
                <w:highlight w:val="none"/>
              </w:rPr>
              <w:t>1、项目名称：</w:t>
            </w:r>
            <w:r>
              <w:rPr>
                <w:rFonts w:hint="eastAsia" w:ascii="宋体" w:hAnsi="宋体" w:cs="宋体"/>
                <w:highlight w:val="none"/>
                <w:lang w:eastAsia="zh-CN"/>
              </w:rPr>
              <w:t>中苏友协新疆分会旧址建筑日常保养工程（一期）项目</w:t>
            </w:r>
            <w:r>
              <w:rPr>
                <w:rFonts w:hint="eastAsia" w:ascii="宋体" w:hAnsi="宋体" w:eastAsia="宋体" w:cs="宋体"/>
                <w:b/>
                <w:bCs/>
                <w:w w:val="95"/>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exact"/>
          <w:jc w:val="center"/>
        </w:trPr>
        <w:tc>
          <w:tcPr>
            <w:tcW w:w="672" w:type="dxa"/>
            <w:vMerge w:val="continue"/>
            <w:noWrap w:val="0"/>
            <w:vAlign w:val="center"/>
          </w:tcPr>
          <w:p>
            <w:pPr>
              <w:pStyle w:val="23"/>
              <w:kinsoku w:val="0"/>
              <w:overflowPunct w:val="0"/>
              <w:spacing w:before="16" w:line="320" w:lineRule="auto"/>
              <w:ind w:left="102" w:right="77"/>
              <w:jc w:val="center"/>
              <w:rPr>
                <w:rFonts w:hint="eastAsia" w:ascii="宋体" w:hAnsi="宋体" w:eastAsia="宋体" w:cs="宋体"/>
                <w:highlight w:val="none"/>
              </w:rPr>
            </w:pPr>
          </w:p>
        </w:tc>
        <w:tc>
          <w:tcPr>
            <w:tcW w:w="8475" w:type="dxa"/>
            <w:tcBorders>
              <w:top w:val="nil"/>
            </w:tcBorders>
            <w:shd w:val="clear" w:color="auto" w:fill="auto"/>
            <w:noWrap w:val="0"/>
            <w:vAlign w:val="top"/>
          </w:tcPr>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b/>
                <w:bCs/>
                <w:highlight w:val="none"/>
              </w:rPr>
              <w:t>2、磋商文件编号：</w:t>
            </w:r>
            <w:r>
              <w:rPr>
                <w:rFonts w:hint="eastAsia" w:ascii="宋体" w:hAnsi="宋体" w:cs="宋体"/>
                <w:b w:val="0"/>
                <w:bCs w:val="0"/>
                <w:i w:val="0"/>
                <w:iCs w:val="0"/>
                <w:sz w:val="24"/>
                <w:szCs w:val="24"/>
                <w:highlight w:val="none"/>
                <w:lang w:val="en-US" w:eastAsia="zh-CN"/>
              </w:rPr>
              <w:t>XJTZY2022-1-C0065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3" w:hRule="atLeast"/>
          <w:jc w:val="center"/>
        </w:trPr>
        <w:tc>
          <w:tcPr>
            <w:tcW w:w="672" w:type="dxa"/>
            <w:noWrap w:val="0"/>
            <w:vAlign w:val="center"/>
          </w:tcPr>
          <w:p>
            <w:pPr>
              <w:pStyle w:val="23"/>
              <w:kinsoku w:val="0"/>
              <w:overflowPunct w:val="0"/>
              <w:spacing w:before="8"/>
              <w:ind w:left="102"/>
              <w:rPr>
                <w:rFonts w:hint="eastAsia" w:ascii="宋体" w:hAnsi="宋体" w:eastAsia="宋体" w:cs="宋体"/>
                <w:b/>
                <w:bCs/>
                <w:highlight w:val="yellow"/>
              </w:rPr>
            </w:pPr>
            <w:r>
              <w:rPr>
                <w:rFonts w:hint="eastAsia" w:ascii="宋体" w:hAnsi="宋体" w:eastAsia="宋体" w:cs="宋体"/>
                <w:b/>
                <w:bCs/>
                <w:highlight w:val="none"/>
              </w:rPr>
              <w:t>4</w:t>
            </w:r>
          </w:p>
        </w:tc>
        <w:tc>
          <w:tcPr>
            <w:tcW w:w="8475" w:type="dxa"/>
            <w:shd w:val="clear" w:color="auto" w:fill="auto"/>
            <w:noWrap w:val="0"/>
            <w:vAlign w:val="top"/>
          </w:tcPr>
          <w:p>
            <w:pPr>
              <w:pStyle w:val="23"/>
              <w:kinsoku w:val="0"/>
              <w:overflowPunct w:val="0"/>
              <w:spacing w:before="8"/>
              <w:ind w:left="102"/>
              <w:rPr>
                <w:rFonts w:hint="eastAsia" w:ascii="宋体" w:hAnsi="宋体" w:eastAsia="宋体" w:cs="宋体"/>
                <w:b/>
                <w:bCs/>
                <w:highlight w:val="none"/>
              </w:rPr>
            </w:pPr>
            <w:r>
              <w:rPr>
                <w:rFonts w:hint="eastAsia" w:ascii="宋体" w:hAnsi="宋体" w:eastAsia="宋体" w:cs="宋体"/>
                <w:b/>
                <w:bCs/>
                <w:highlight w:val="none"/>
              </w:rPr>
              <w:t>磋商内容：</w:t>
            </w:r>
          </w:p>
          <w:p>
            <w:pPr>
              <w:pStyle w:val="23"/>
              <w:kinsoku w:val="0"/>
              <w:overflowPunct w:val="0"/>
              <w:spacing w:before="8"/>
              <w:ind w:left="102"/>
              <w:rPr>
                <w:rFonts w:hint="eastAsia" w:ascii="宋体" w:hAnsi="宋体" w:eastAsia="宋体" w:cs="宋体"/>
                <w:b/>
                <w:bCs/>
                <w:highlight w:val="yellow"/>
                <w:lang w:val="en-US" w:eastAsia="zh-CN"/>
              </w:rPr>
            </w:pPr>
            <w:r>
              <w:rPr>
                <w:rFonts w:hint="eastAsia" w:ascii="宋体" w:hAnsi="宋体" w:eastAsia="宋体" w:cs="宋体"/>
                <w:b/>
                <w:bCs/>
                <w:highlight w:val="none"/>
              </w:rPr>
              <w:t>1、主要磋商内容：</w:t>
            </w:r>
            <w:r>
              <w:rPr>
                <w:rFonts w:hint="eastAsia" w:ascii="宋体" w:hAnsi="宋体" w:cs="宋体"/>
                <w:color w:val="000000"/>
                <w:sz w:val="24"/>
                <w:szCs w:val="24"/>
                <w:lang w:val="en-US" w:eastAsia="zh-CN"/>
              </w:rPr>
              <w:t>乌鲁木齐市天山区团结路471号（原47号）有一座土木结构的苏式平房，建筑面积为574平方米，该建筑原为迪化友协俱乐部一部分，隶属中苏友协新疆分会。始建于1947年，1956年后以放映电影为主，1962年交由自治区文化厅管理，1968年停止营业，1970年俱乐部主体拆除，该房产作为迪化友协俱乐部附属建筑仍保留至今。中苏友协新疆分会旧址建筑平面呈矩形，坐东朝西，南北长28.2米，东西宽17.7米。主体结构为双层屋顶的土木结构形式，墙体采用砖包皮作法，属典型的苏式建筑风格。本次工作仅对旧址建筑外立面进行日常保养性加固。</w:t>
            </w:r>
          </w:p>
          <w:p>
            <w:pPr>
              <w:pStyle w:val="23"/>
              <w:kinsoku w:val="0"/>
              <w:overflowPunct w:val="0"/>
              <w:spacing w:before="8"/>
              <w:ind w:left="102"/>
              <w:rPr>
                <w:rFonts w:hint="default" w:ascii="宋体" w:hAnsi="宋体" w:eastAsia="宋体" w:cs="宋体"/>
                <w:b/>
                <w:bCs/>
                <w:highlight w:val="yellow"/>
                <w:lang w:val="en-US"/>
              </w:rPr>
            </w:pPr>
            <w:r>
              <w:rPr>
                <w:rFonts w:hint="eastAsia" w:ascii="宋体" w:hAnsi="宋体" w:eastAsia="宋体" w:cs="宋体"/>
                <w:b/>
                <w:bCs/>
                <w:highlight w:val="yellow"/>
              </w:rPr>
              <w:t>2、</w:t>
            </w:r>
            <w:r>
              <w:rPr>
                <w:rFonts w:hint="eastAsia" w:ascii="宋体" w:hAnsi="宋体" w:cs="宋体"/>
                <w:color w:val="000000"/>
                <w:sz w:val="24"/>
                <w:szCs w:val="24"/>
                <w:highlight w:val="yellow"/>
                <w:lang w:val="en-US" w:eastAsia="zh-CN"/>
              </w:rPr>
              <w:t>项目工期：自合同签订起，150个日历日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0" w:hRule="atLeast"/>
          <w:jc w:val="center"/>
        </w:trPr>
        <w:tc>
          <w:tcPr>
            <w:tcW w:w="672" w:type="dxa"/>
            <w:noWrap w:val="0"/>
            <w:vAlign w:val="center"/>
          </w:tcPr>
          <w:p>
            <w:pPr>
              <w:pStyle w:val="23"/>
              <w:kinsoku w:val="0"/>
              <w:overflowPunct w:val="0"/>
              <w:ind w:right="14"/>
              <w:jc w:val="center"/>
              <w:rPr>
                <w:rFonts w:hint="eastAsia" w:ascii="宋体" w:hAnsi="宋体" w:eastAsia="宋体" w:cs="宋体"/>
                <w:highlight w:val="none"/>
              </w:rPr>
            </w:pPr>
            <w:r>
              <w:rPr>
                <w:rFonts w:hint="eastAsia" w:ascii="宋体" w:hAnsi="宋体" w:eastAsia="宋体" w:cs="宋体"/>
                <w:highlight w:val="none"/>
              </w:rPr>
              <w:t>5</w:t>
            </w:r>
          </w:p>
        </w:tc>
        <w:tc>
          <w:tcPr>
            <w:tcW w:w="8475" w:type="dxa"/>
            <w:shd w:val="clear" w:color="auto" w:fill="auto"/>
            <w:noWrap w:val="0"/>
            <w:vAlign w:val="top"/>
          </w:tcPr>
          <w:p>
            <w:pPr>
              <w:pStyle w:val="23"/>
              <w:kinsoku w:val="0"/>
              <w:overflowPunct w:val="0"/>
              <w:spacing w:before="122"/>
              <w:ind w:left="102"/>
              <w:rPr>
                <w:rFonts w:hint="eastAsia" w:ascii="宋体" w:hAnsi="宋体" w:cs="宋体"/>
                <w:color w:val="000000"/>
                <w:sz w:val="24"/>
                <w:szCs w:val="24"/>
                <w:highlight w:val="yellow"/>
                <w:lang w:val="en-US" w:eastAsia="zh-CN"/>
              </w:rPr>
            </w:pPr>
            <w:r>
              <w:rPr>
                <w:rFonts w:hint="eastAsia" w:ascii="宋体" w:hAnsi="宋体" w:eastAsia="宋体" w:cs="宋体"/>
                <w:b/>
                <w:bCs/>
                <w:highlight w:val="yellow"/>
              </w:rPr>
              <w:t>项目采购预算：</w:t>
            </w:r>
            <w:r>
              <w:rPr>
                <w:rFonts w:hint="eastAsia" w:ascii="宋体" w:hAnsi="宋体" w:cs="宋体"/>
                <w:b w:val="0"/>
                <w:bCs w:val="0"/>
                <w:i w:val="0"/>
                <w:iCs w:val="0"/>
                <w:sz w:val="24"/>
                <w:szCs w:val="24"/>
                <w:highlight w:val="yellow"/>
                <w:lang w:val="en-US" w:eastAsia="zh-CN"/>
              </w:rPr>
              <w:t>920084.25元</w:t>
            </w:r>
            <w:r>
              <w:rPr>
                <w:rFonts w:hint="eastAsia" w:ascii="宋体" w:hAnsi="宋体" w:eastAsia="宋体" w:cs="宋体"/>
                <w:highlight w:val="yellow"/>
              </w:rPr>
              <w:t>（大写：</w:t>
            </w:r>
            <w:r>
              <w:rPr>
                <w:rFonts w:hint="eastAsia" w:ascii="宋体" w:hAnsi="宋体" w:cs="宋体"/>
                <w:highlight w:val="yellow"/>
                <w:lang w:val="en-US" w:eastAsia="zh-CN"/>
              </w:rPr>
              <w:t>玖拾贰万零捌拾肆元二角五分</w:t>
            </w:r>
            <w:r>
              <w:rPr>
                <w:rFonts w:hint="eastAsia" w:ascii="宋体" w:hAnsi="宋体" w:eastAsia="宋体" w:cs="宋体"/>
                <w:highlight w:val="yellow"/>
              </w:rPr>
              <w:t>）</w:t>
            </w:r>
            <w:r>
              <w:rPr>
                <w:rFonts w:hint="eastAsia" w:ascii="宋体" w:hAnsi="宋体" w:cs="宋体"/>
                <w:color w:val="000000"/>
                <w:sz w:val="24"/>
                <w:szCs w:val="24"/>
                <w:highlight w:val="yellow"/>
                <w:lang w:val="en-US" w:eastAsia="zh-CN"/>
              </w:rPr>
              <w:t>；</w:t>
            </w:r>
          </w:p>
          <w:p>
            <w:pPr>
              <w:pStyle w:val="23"/>
              <w:kinsoku w:val="0"/>
              <w:overflowPunct w:val="0"/>
              <w:spacing w:before="122"/>
              <w:ind w:left="102"/>
              <w:rPr>
                <w:rFonts w:hint="eastAsia" w:ascii="宋体" w:hAnsi="宋体" w:eastAsia="宋体" w:cs="宋体"/>
                <w:b/>
                <w:bCs/>
                <w:kern w:val="0"/>
                <w:sz w:val="24"/>
                <w:szCs w:val="24"/>
                <w:highlight w:val="yellow"/>
                <w:lang w:val="en-US" w:eastAsia="zh-CN" w:bidi="ar-SA"/>
              </w:rPr>
            </w:pPr>
            <w:r>
              <w:rPr>
                <w:rFonts w:hint="eastAsia" w:ascii="宋体" w:hAnsi="宋体" w:eastAsia="宋体" w:cs="宋体"/>
                <w:b/>
                <w:bCs/>
                <w:kern w:val="0"/>
                <w:sz w:val="24"/>
                <w:szCs w:val="24"/>
                <w:highlight w:val="yellow"/>
                <w:lang w:val="en-US" w:eastAsia="zh-CN" w:bidi="ar-SA"/>
              </w:rPr>
              <w:t>建筑安装工程费</w:t>
            </w:r>
            <w:r>
              <w:rPr>
                <w:rFonts w:hint="eastAsia" w:ascii="宋体" w:hAnsi="宋体" w:eastAsia="宋体" w:cs="宋体"/>
                <w:b/>
                <w:bCs/>
                <w:highlight w:val="yellow"/>
              </w:rPr>
              <w:t>预算</w:t>
            </w:r>
            <w:r>
              <w:rPr>
                <w:rFonts w:hint="eastAsia" w:ascii="宋体" w:hAnsi="宋体" w:eastAsia="宋体" w:cs="宋体"/>
                <w:b/>
                <w:bCs/>
                <w:kern w:val="0"/>
                <w:sz w:val="24"/>
                <w:szCs w:val="24"/>
                <w:highlight w:val="yellow"/>
                <w:lang w:val="en-US" w:eastAsia="zh-CN" w:bidi="ar-SA"/>
              </w:rPr>
              <w:t>：</w:t>
            </w:r>
            <w:r>
              <w:rPr>
                <w:rFonts w:hint="eastAsia" w:ascii="宋体" w:hAnsi="宋体" w:eastAsia="宋体" w:cs="宋体"/>
                <w:b w:val="0"/>
                <w:bCs w:val="0"/>
                <w:kern w:val="0"/>
                <w:sz w:val="24"/>
                <w:szCs w:val="24"/>
                <w:highlight w:val="yellow"/>
                <w:lang w:val="en-US" w:eastAsia="zh-CN" w:bidi="ar-SA"/>
              </w:rPr>
              <w:t>838040.97元</w:t>
            </w:r>
            <w:r>
              <w:rPr>
                <w:rFonts w:hint="eastAsia" w:ascii="宋体" w:hAnsi="宋体" w:cs="宋体"/>
                <w:b w:val="0"/>
                <w:bCs w:val="0"/>
                <w:kern w:val="0"/>
                <w:sz w:val="24"/>
                <w:szCs w:val="24"/>
                <w:highlight w:val="yellow"/>
                <w:lang w:val="en-US" w:eastAsia="zh-CN" w:bidi="ar-SA"/>
              </w:rPr>
              <w:t>（大写：捌拾叁万捌仟零肆拾元玖角柒分）</w:t>
            </w:r>
          </w:p>
          <w:p>
            <w:pPr>
              <w:pStyle w:val="23"/>
              <w:kinsoku w:val="0"/>
              <w:overflowPunct w:val="0"/>
              <w:spacing w:before="122"/>
              <w:ind w:left="102"/>
              <w:rPr>
                <w:rFonts w:hint="eastAsia" w:ascii="宋体" w:hAnsi="宋体" w:eastAsia="宋体" w:cs="宋体"/>
                <w:b w:val="0"/>
                <w:bCs w:val="0"/>
                <w:kern w:val="0"/>
                <w:sz w:val="24"/>
                <w:szCs w:val="24"/>
                <w:highlight w:val="yellow"/>
                <w:lang w:val="en-US" w:eastAsia="zh-CN" w:bidi="ar-SA"/>
              </w:rPr>
            </w:pPr>
            <w:r>
              <w:rPr>
                <w:rFonts w:hint="eastAsia" w:ascii="宋体" w:hAnsi="宋体" w:eastAsia="宋体" w:cs="宋体"/>
                <w:b/>
                <w:bCs/>
                <w:kern w:val="0"/>
                <w:sz w:val="24"/>
                <w:szCs w:val="24"/>
                <w:highlight w:val="yellow"/>
                <w:lang w:val="en-US" w:eastAsia="zh-CN" w:bidi="ar-SA"/>
              </w:rPr>
              <w:t>地勘费</w:t>
            </w:r>
            <w:r>
              <w:rPr>
                <w:rFonts w:hint="eastAsia" w:ascii="宋体" w:hAnsi="宋体" w:eastAsia="宋体" w:cs="宋体"/>
                <w:b/>
                <w:bCs/>
                <w:highlight w:val="yellow"/>
              </w:rPr>
              <w:t>预算</w:t>
            </w:r>
            <w:r>
              <w:rPr>
                <w:rFonts w:hint="eastAsia" w:ascii="宋体" w:hAnsi="宋体" w:eastAsia="宋体" w:cs="宋体"/>
                <w:b/>
                <w:bCs/>
                <w:kern w:val="0"/>
                <w:sz w:val="24"/>
                <w:szCs w:val="24"/>
                <w:highlight w:val="yellow"/>
                <w:lang w:val="en-US" w:eastAsia="zh-CN" w:bidi="ar-SA"/>
              </w:rPr>
              <w:t>：</w:t>
            </w:r>
            <w:r>
              <w:rPr>
                <w:rFonts w:hint="eastAsia" w:ascii="宋体" w:hAnsi="宋体" w:eastAsia="宋体" w:cs="宋体"/>
                <w:b w:val="0"/>
                <w:bCs w:val="0"/>
                <w:kern w:val="0"/>
                <w:sz w:val="24"/>
                <w:szCs w:val="24"/>
                <w:highlight w:val="yellow"/>
                <w:lang w:val="en-US" w:eastAsia="zh-CN" w:bidi="ar-SA"/>
              </w:rPr>
              <w:t>15000元</w:t>
            </w:r>
            <w:r>
              <w:rPr>
                <w:rFonts w:hint="eastAsia" w:ascii="宋体" w:hAnsi="宋体" w:cs="宋体"/>
                <w:b w:val="0"/>
                <w:bCs w:val="0"/>
                <w:kern w:val="0"/>
                <w:sz w:val="24"/>
                <w:szCs w:val="24"/>
                <w:highlight w:val="yellow"/>
                <w:lang w:val="en-US" w:eastAsia="zh-CN" w:bidi="ar-SA"/>
              </w:rPr>
              <w:t>（大写：壹万伍仟元整）</w:t>
            </w:r>
          </w:p>
          <w:p>
            <w:pPr>
              <w:pStyle w:val="23"/>
              <w:kinsoku w:val="0"/>
              <w:overflowPunct w:val="0"/>
              <w:spacing w:before="122"/>
              <w:ind w:left="102"/>
              <w:rPr>
                <w:rFonts w:hint="eastAsia" w:ascii="宋体" w:hAnsi="宋体" w:eastAsia="宋体" w:cs="宋体"/>
                <w:b w:val="0"/>
                <w:bCs w:val="0"/>
                <w:kern w:val="0"/>
                <w:sz w:val="24"/>
                <w:szCs w:val="24"/>
                <w:highlight w:val="yellow"/>
                <w:lang w:val="en-US" w:eastAsia="zh-CN" w:bidi="ar-SA"/>
              </w:rPr>
            </w:pPr>
            <w:r>
              <w:rPr>
                <w:rFonts w:hint="eastAsia" w:ascii="宋体" w:hAnsi="宋体" w:eastAsia="宋体" w:cs="宋体"/>
                <w:b/>
                <w:bCs/>
                <w:kern w:val="0"/>
                <w:sz w:val="24"/>
                <w:szCs w:val="24"/>
                <w:highlight w:val="yellow"/>
                <w:lang w:val="en-US" w:eastAsia="zh-CN" w:bidi="ar-SA"/>
              </w:rPr>
              <w:t>设计费</w:t>
            </w:r>
            <w:r>
              <w:rPr>
                <w:rFonts w:hint="eastAsia" w:ascii="宋体" w:hAnsi="宋体" w:eastAsia="宋体" w:cs="宋体"/>
                <w:b/>
                <w:bCs/>
                <w:highlight w:val="yellow"/>
              </w:rPr>
              <w:t>预算</w:t>
            </w:r>
            <w:r>
              <w:rPr>
                <w:rFonts w:hint="eastAsia" w:ascii="宋体" w:hAnsi="宋体" w:eastAsia="宋体" w:cs="宋体"/>
                <w:b/>
                <w:bCs/>
                <w:kern w:val="0"/>
                <w:sz w:val="24"/>
                <w:szCs w:val="24"/>
                <w:highlight w:val="yellow"/>
                <w:lang w:val="en-US" w:eastAsia="zh-CN" w:bidi="ar-SA"/>
              </w:rPr>
              <w:t>：</w:t>
            </w:r>
            <w:r>
              <w:rPr>
                <w:rFonts w:hint="eastAsia" w:ascii="宋体" w:hAnsi="宋体" w:eastAsia="宋体" w:cs="宋体"/>
                <w:b w:val="0"/>
                <w:bCs w:val="0"/>
                <w:kern w:val="0"/>
                <w:sz w:val="24"/>
                <w:szCs w:val="24"/>
                <w:highlight w:val="yellow"/>
                <w:lang w:val="en-US" w:eastAsia="zh-CN" w:bidi="ar-SA"/>
              </w:rPr>
              <w:t>67043.28元</w:t>
            </w:r>
            <w:r>
              <w:rPr>
                <w:rFonts w:hint="eastAsia" w:ascii="宋体" w:hAnsi="宋体" w:cs="宋体"/>
                <w:b w:val="0"/>
                <w:bCs w:val="0"/>
                <w:kern w:val="0"/>
                <w:sz w:val="24"/>
                <w:szCs w:val="24"/>
                <w:highlight w:val="yellow"/>
                <w:lang w:val="en-US" w:eastAsia="zh-CN" w:bidi="ar-SA"/>
              </w:rPr>
              <w:t>（大写：陆万柒仟零肆拾叁元贰角捌分）</w:t>
            </w:r>
          </w:p>
          <w:p>
            <w:pPr>
              <w:pStyle w:val="23"/>
              <w:kinsoku w:val="0"/>
              <w:overflowPunct w:val="0"/>
              <w:spacing w:before="122"/>
              <w:ind w:left="102"/>
              <w:rPr>
                <w:rFonts w:hint="eastAsia" w:ascii="宋体" w:hAnsi="宋体" w:eastAsia="宋体" w:cs="宋体"/>
                <w:b/>
                <w:bCs/>
                <w:highlight w:val="none"/>
              </w:rPr>
            </w:pPr>
            <w:r>
              <w:rPr>
                <w:rFonts w:hint="eastAsia" w:ascii="宋体" w:hAnsi="宋体" w:eastAsia="宋体" w:cs="宋体"/>
                <w:sz w:val="22"/>
                <w:szCs w:val="22"/>
                <w:highlight w:val="yellow"/>
              </w:rPr>
              <w:t>★</w:t>
            </w:r>
            <w:r>
              <w:rPr>
                <w:rFonts w:hint="eastAsia" w:ascii="宋体" w:hAnsi="宋体" w:eastAsia="宋体" w:cs="宋体"/>
                <w:b/>
                <w:bCs/>
                <w:highlight w:val="yellow"/>
              </w:rPr>
              <w:t>供应商的投标报价超过采购预算的按无效投标处理。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72" w:type="dxa"/>
            <w:noWrap w:val="0"/>
            <w:vAlign w:val="center"/>
          </w:tcPr>
          <w:p>
            <w:pPr>
              <w:pStyle w:val="23"/>
              <w:kinsoku w:val="0"/>
              <w:overflowPunct w:val="0"/>
              <w:ind w:right="14"/>
              <w:jc w:val="center"/>
              <w:rPr>
                <w:rFonts w:hint="eastAsia" w:ascii="宋体" w:hAnsi="宋体" w:eastAsia="宋体" w:cs="宋体"/>
                <w:highlight w:val="none"/>
              </w:rPr>
            </w:pPr>
            <w:r>
              <w:rPr>
                <w:rFonts w:hint="eastAsia" w:ascii="宋体" w:hAnsi="宋体" w:eastAsia="宋体" w:cs="宋体"/>
                <w:highlight w:val="none"/>
              </w:rPr>
              <w:t>6</w:t>
            </w:r>
          </w:p>
        </w:tc>
        <w:tc>
          <w:tcPr>
            <w:tcW w:w="8475" w:type="dxa"/>
            <w:noWrap w:val="0"/>
            <w:vAlign w:val="top"/>
          </w:tcPr>
          <w:p>
            <w:pPr>
              <w:pStyle w:val="23"/>
              <w:kinsoku w:val="0"/>
              <w:overflowPunct w:val="0"/>
              <w:spacing w:before="122"/>
              <w:ind w:left="102"/>
              <w:rPr>
                <w:rFonts w:hint="eastAsia" w:ascii="宋体" w:hAnsi="宋体" w:eastAsia="宋体" w:cs="宋体"/>
                <w:b/>
                <w:bCs/>
                <w:highlight w:val="none"/>
              </w:rPr>
            </w:pPr>
            <w:r>
              <w:rPr>
                <w:rFonts w:hint="eastAsia" w:ascii="宋体" w:hAnsi="宋体" w:eastAsia="宋体" w:cs="宋体"/>
                <w:b/>
                <w:bCs/>
                <w:highlight w:val="none"/>
              </w:rPr>
              <w:t>★1、</w:t>
            </w:r>
            <w:r>
              <w:rPr>
                <w:rFonts w:hint="eastAsia" w:ascii="宋体" w:hAnsi="宋体" w:cs="宋体"/>
                <w:b/>
                <w:bCs/>
                <w:highlight w:val="none"/>
                <w:lang w:val="en-US" w:eastAsia="zh-CN"/>
              </w:rPr>
              <w:t>供应商</w:t>
            </w:r>
            <w:r>
              <w:rPr>
                <w:rFonts w:hint="eastAsia" w:ascii="宋体" w:hAnsi="宋体" w:eastAsia="宋体" w:cs="宋体"/>
                <w:b/>
                <w:bCs/>
                <w:highlight w:val="none"/>
              </w:rPr>
              <w:t>资格要求：</w:t>
            </w:r>
          </w:p>
          <w:p>
            <w:pPr>
              <w:pStyle w:val="23"/>
              <w:kinsoku w:val="0"/>
              <w:overflowPunct w:val="0"/>
              <w:spacing w:before="122"/>
              <w:ind w:left="102"/>
              <w:rPr>
                <w:rFonts w:hint="eastAsia" w:ascii="宋体" w:hAnsi="宋体" w:eastAsia="宋体" w:cs="宋体"/>
                <w:highlight w:val="none"/>
              </w:rPr>
            </w:pPr>
            <w:r>
              <w:rPr>
                <w:rFonts w:hint="eastAsia" w:ascii="宋体" w:hAnsi="宋体" w:eastAsia="宋体" w:cs="宋体"/>
                <w:highlight w:val="none"/>
              </w:rPr>
              <w:t>（1）符合《中华人民共和国政府采购法》第二十二条的相关规定；</w:t>
            </w:r>
          </w:p>
          <w:p>
            <w:pPr>
              <w:pStyle w:val="23"/>
              <w:kinsoku w:val="0"/>
              <w:overflowPunct w:val="0"/>
              <w:spacing w:before="122"/>
              <w:ind w:left="102"/>
              <w:rPr>
                <w:rFonts w:hint="eastAsia" w:ascii="宋体" w:hAnsi="宋体" w:eastAsia="宋体" w:cs="宋体"/>
                <w:highlight w:val="none"/>
              </w:rPr>
            </w:pPr>
            <w:r>
              <w:rPr>
                <w:rFonts w:hint="eastAsia" w:ascii="宋体" w:hAnsi="宋体" w:eastAsia="宋体" w:cs="宋体"/>
                <w:highlight w:val="none"/>
              </w:rPr>
              <w:t>（2）在中华人民共和国境内注册的法人、其他组织或者自然人，且有承担本项目能力的供应商；</w:t>
            </w:r>
          </w:p>
          <w:p>
            <w:pPr>
              <w:pStyle w:val="23"/>
              <w:kinsoku w:val="0"/>
              <w:overflowPunct w:val="0"/>
              <w:spacing w:before="122"/>
              <w:ind w:left="102"/>
              <w:rPr>
                <w:rFonts w:hint="eastAsia" w:ascii="宋体" w:hAnsi="宋体" w:eastAsia="宋体" w:cs="宋体"/>
                <w:i w:val="0"/>
                <w:iCs w:val="0"/>
                <w:sz w:val="24"/>
                <w:szCs w:val="24"/>
                <w:highlight w:val="none"/>
                <w:u w:val="none"/>
              </w:rPr>
            </w:pPr>
            <w:r>
              <w:rPr>
                <w:rFonts w:hint="eastAsia" w:ascii="宋体" w:hAnsi="宋体" w:eastAsia="宋体" w:cs="宋体"/>
                <w:highlight w:val="none"/>
              </w:rPr>
              <w:t>（</w:t>
            </w:r>
            <w:r>
              <w:rPr>
                <w:rFonts w:hint="eastAsia" w:ascii="宋体" w:hAnsi="宋体" w:eastAsia="宋体" w:cs="宋体"/>
                <w:highlight w:val="none"/>
                <w:lang w:val="en-US" w:eastAsia="zh-CN"/>
              </w:rPr>
              <w:t>3</w:t>
            </w:r>
            <w:r>
              <w:rPr>
                <w:rFonts w:hint="eastAsia" w:ascii="宋体" w:hAnsi="宋体" w:eastAsia="宋体" w:cs="宋体"/>
                <w:highlight w:val="none"/>
              </w:rPr>
              <w:t>）</w:t>
            </w:r>
            <w:r>
              <w:rPr>
                <w:rFonts w:hint="eastAsia" w:ascii="宋体" w:hAnsi="宋体" w:eastAsia="宋体" w:cs="宋体"/>
                <w:color w:val="auto"/>
                <w:sz w:val="24"/>
                <w:szCs w:val="24"/>
                <w:highlight w:val="none"/>
                <w:lang w:eastAsia="zh-CN"/>
              </w:rPr>
              <w:t>供应商为企业法人应提供合法有效的标识有统一社会信用代码的营业执照</w:t>
            </w:r>
            <w:r>
              <w:rPr>
                <w:rFonts w:hint="eastAsia" w:ascii="宋体" w:hAnsi="宋体" w:eastAsia="宋体" w:cs="宋体"/>
                <w:i w:val="0"/>
                <w:iCs w:val="0"/>
                <w:sz w:val="24"/>
                <w:szCs w:val="24"/>
                <w:highlight w:val="none"/>
                <w:lang w:eastAsia="zh-CN"/>
              </w:rPr>
              <w:t>；事业法人应提供事业单位法人证书；其他组织应提供合法登记证明文件</w:t>
            </w:r>
            <w:r>
              <w:rPr>
                <w:rFonts w:hint="eastAsia" w:ascii="宋体" w:hAnsi="宋体" w:eastAsia="宋体" w:cs="宋体"/>
                <w:highlight w:val="none"/>
              </w:rPr>
              <w:t>；</w:t>
            </w:r>
          </w:p>
          <w:p>
            <w:pPr>
              <w:pStyle w:val="23"/>
              <w:kinsoku w:val="0"/>
              <w:overflowPunct w:val="0"/>
              <w:spacing w:before="122"/>
              <w:ind w:left="102"/>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cs="宋体"/>
                <w:highlight w:val="none"/>
                <w:lang w:val="en-US" w:eastAsia="zh-CN"/>
              </w:rPr>
              <w:t>4</w:t>
            </w:r>
            <w:r>
              <w:rPr>
                <w:rFonts w:hint="eastAsia" w:ascii="宋体" w:hAnsi="宋体" w:eastAsia="宋体" w:cs="宋体"/>
                <w:highlight w:val="none"/>
              </w:rPr>
              <w:t>）具有良好的商业信誉和健全的财务会计制度以及内部管理机制，且有较强的风险控制能力；</w:t>
            </w:r>
          </w:p>
          <w:p>
            <w:pPr>
              <w:pStyle w:val="23"/>
              <w:kinsoku w:val="0"/>
              <w:overflowPunct w:val="0"/>
              <w:spacing w:before="122"/>
              <w:ind w:left="102"/>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cs="宋体"/>
                <w:highlight w:val="none"/>
                <w:lang w:val="en-US" w:eastAsia="zh-CN"/>
              </w:rPr>
              <w:t>5</w:t>
            </w:r>
            <w:r>
              <w:rPr>
                <w:rFonts w:hint="eastAsia" w:ascii="宋体" w:hAnsi="宋体" w:eastAsia="宋体" w:cs="宋体"/>
                <w:highlight w:val="none"/>
              </w:rPr>
              <w:t>）财务稳健，资本充足率、不良贷款率、拨备覆盖率、流动性比例等指标达到监管标准；</w:t>
            </w:r>
          </w:p>
          <w:p>
            <w:pPr>
              <w:pStyle w:val="23"/>
              <w:kinsoku w:val="0"/>
              <w:overflowPunct w:val="0"/>
              <w:spacing w:before="122"/>
              <w:ind w:left="102"/>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cs="宋体"/>
                <w:highlight w:val="none"/>
                <w:lang w:val="en-US" w:eastAsia="zh-CN"/>
              </w:rPr>
              <w:t>6</w:t>
            </w:r>
            <w:r>
              <w:rPr>
                <w:rFonts w:hint="eastAsia" w:ascii="宋体" w:hAnsi="宋体" w:eastAsia="宋体" w:cs="宋体"/>
                <w:highlight w:val="none"/>
              </w:rPr>
              <w:t>）经信用中国（</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"http://www.creditchina.gov.xn--cn)(www-0o3fu69vuosgftrgs7o1fgtwb3oo.ccgp.gov.xn--cn)-x33e002goji19wjl4almi/" \t "_blank" </w:instrText>
            </w:r>
            <w:r>
              <w:rPr>
                <w:rFonts w:hint="eastAsia" w:ascii="宋体" w:hAnsi="宋体" w:eastAsia="宋体" w:cs="宋体"/>
                <w:highlight w:val="none"/>
              </w:rPr>
              <w:fldChar w:fldCharType="separate"/>
            </w:r>
            <w:r>
              <w:rPr>
                <w:rFonts w:hint="eastAsia" w:ascii="宋体" w:hAnsi="宋体" w:eastAsia="宋体" w:cs="宋体"/>
                <w:highlight w:val="none"/>
              </w:rPr>
              <w:t>www.creditchina.gov.cn）、中国政府采购网（www.ccgp.gov.cn）等渠道查询后</w:t>
            </w:r>
            <w:r>
              <w:rPr>
                <w:rFonts w:hint="eastAsia" w:ascii="宋体" w:hAnsi="宋体" w:eastAsia="宋体" w:cs="宋体"/>
                <w:highlight w:val="none"/>
              </w:rPr>
              <w:fldChar w:fldCharType="end"/>
            </w:r>
            <w:r>
              <w:rPr>
                <w:rFonts w:hint="eastAsia" w:ascii="宋体" w:hAnsi="宋体" w:eastAsia="宋体" w:cs="宋体"/>
                <w:highlight w:val="none"/>
              </w:rPr>
              <w:t>，列入失信被执行人、</w:t>
            </w:r>
            <w:r>
              <w:rPr>
                <w:rFonts w:hint="eastAsia" w:ascii="宋体" w:hAnsi="宋体" w:cs="宋体"/>
                <w:highlight w:val="none"/>
                <w:lang w:eastAsia="zh-CN"/>
              </w:rPr>
              <w:t>重大税收违法失信主体记录</w:t>
            </w:r>
            <w:r>
              <w:rPr>
                <w:rFonts w:hint="eastAsia" w:ascii="宋体" w:hAnsi="宋体" w:eastAsia="宋体" w:cs="宋体"/>
                <w:highlight w:val="none"/>
              </w:rPr>
              <w:t>、政府采购严重违法失信行为记录名单的，取消投标资格。（提供“信用中国”网站无任何不良记录的查询截图并加盖公章）；</w:t>
            </w:r>
          </w:p>
          <w:p>
            <w:pPr>
              <w:pStyle w:val="23"/>
              <w:kinsoku w:val="0"/>
              <w:overflowPunct w:val="0"/>
              <w:spacing w:before="122"/>
              <w:ind w:left="102"/>
              <w:rPr>
                <w:rFonts w:hint="eastAsia" w:ascii="宋体" w:hAnsi="宋体" w:eastAsia="宋体" w:cs="宋体"/>
                <w:highlight w:val="none"/>
              </w:rPr>
            </w:pPr>
            <w:r>
              <w:rPr>
                <w:rFonts w:hint="eastAsia" w:ascii="宋体" w:hAnsi="宋体" w:eastAsia="宋体" w:cs="宋体"/>
                <w:highlight w:val="none"/>
              </w:rPr>
              <w:t>（</w:t>
            </w:r>
            <w:r>
              <w:rPr>
                <w:rFonts w:hint="eastAsia" w:ascii="宋体" w:hAnsi="宋体" w:cs="宋体"/>
                <w:highlight w:val="none"/>
                <w:lang w:val="en-US" w:eastAsia="zh-CN"/>
              </w:rPr>
              <w:t>7</w:t>
            </w:r>
            <w:r>
              <w:rPr>
                <w:rFonts w:hint="eastAsia" w:ascii="宋体" w:hAnsi="宋体" w:eastAsia="宋体" w:cs="宋体"/>
                <w:highlight w:val="none"/>
              </w:rPr>
              <w:t>）为充分保证完善的售后服务，本项目不接受联合体投标。</w:t>
            </w:r>
          </w:p>
          <w:p>
            <w:pPr>
              <w:pStyle w:val="23"/>
              <w:kinsoku w:val="0"/>
              <w:overflowPunct w:val="0"/>
              <w:spacing w:before="122"/>
              <w:ind w:left="102"/>
              <w:rPr>
                <w:rFonts w:hint="eastAsia" w:ascii="宋体" w:hAnsi="宋体" w:eastAsia="宋体" w:cs="宋体"/>
                <w:b/>
                <w:bCs/>
                <w:w w:val="95"/>
                <w:highlight w:val="none"/>
              </w:rPr>
            </w:pPr>
            <w:r>
              <w:rPr>
                <w:rFonts w:hint="eastAsia" w:ascii="宋体" w:hAnsi="宋体" w:eastAsia="宋体" w:cs="宋体"/>
                <w:b/>
                <w:bCs/>
                <w:w w:val="95"/>
                <w:highlight w:val="none"/>
              </w:rPr>
              <w:t>★</w:t>
            </w:r>
            <w:r>
              <w:rPr>
                <w:rFonts w:hint="eastAsia" w:ascii="宋体" w:hAnsi="宋体" w:eastAsia="宋体" w:cs="宋体"/>
                <w:b/>
                <w:bCs/>
                <w:spacing w:val="1"/>
                <w:w w:val="95"/>
                <w:highlight w:val="none"/>
              </w:rPr>
              <w:t>2</w:t>
            </w:r>
            <w:r>
              <w:rPr>
                <w:rFonts w:hint="eastAsia" w:ascii="宋体" w:hAnsi="宋体" w:eastAsia="宋体" w:cs="宋体"/>
                <w:b/>
                <w:bCs/>
                <w:w w:val="95"/>
                <w:highlight w:val="none"/>
              </w:rPr>
              <w:t>.响应人</w:t>
            </w:r>
            <w:r>
              <w:rPr>
                <w:rFonts w:hint="eastAsia" w:ascii="宋体" w:hAnsi="宋体" w:eastAsia="宋体" w:cs="宋体"/>
                <w:b/>
                <w:bCs/>
                <w:spacing w:val="1"/>
                <w:w w:val="95"/>
                <w:highlight w:val="none"/>
              </w:rPr>
              <w:t>须</w:t>
            </w:r>
            <w:r>
              <w:rPr>
                <w:rFonts w:hint="eastAsia" w:ascii="宋体" w:hAnsi="宋体" w:eastAsia="宋体" w:cs="宋体"/>
                <w:b/>
                <w:bCs/>
                <w:w w:val="95"/>
                <w:highlight w:val="none"/>
              </w:rPr>
              <w:t>递交</w:t>
            </w:r>
            <w:r>
              <w:rPr>
                <w:rFonts w:hint="eastAsia" w:ascii="宋体" w:hAnsi="宋体" w:eastAsia="宋体" w:cs="宋体"/>
                <w:b/>
                <w:bCs/>
                <w:spacing w:val="1"/>
                <w:w w:val="95"/>
                <w:highlight w:val="none"/>
              </w:rPr>
              <w:t>备</w:t>
            </w:r>
            <w:r>
              <w:rPr>
                <w:rFonts w:hint="eastAsia" w:ascii="宋体" w:hAnsi="宋体" w:eastAsia="宋体" w:cs="宋体"/>
                <w:b/>
                <w:bCs/>
                <w:w w:val="95"/>
                <w:highlight w:val="none"/>
              </w:rPr>
              <w:t>查</w:t>
            </w:r>
            <w:r>
              <w:rPr>
                <w:rFonts w:hint="eastAsia" w:ascii="宋体" w:hAnsi="宋体" w:eastAsia="宋体" w:cs="宋体"/>
                <w:b/>
                <w:bCs/>
                <w:spacing w:val="1"/>
                <w:w w:val="95"/>
                <w:highlight w:val="none"/>
              </w:rPr>
              <w:t>的</w:t>
            </w:r>
            <w:r>
              <w:rPr>
                <w:rFonts w:hint="eastAsia" w:ascii="宋体" w:hAnsi="宋体" w:cs="宋体"/>
                <w:b/>
                <w:bCs/>
                <w:w w:val="95"/>
                <w:highlight w:val="none"/>
                <w:lang w:val="en-US" w:eastAsia="zh-CN"/>
              </w:rPr>
              <w:t>资料</w:t>
            </w:r>
            <w:r>
              <w:rPr>
                <w:rFonts w:hint="eastAsia" w:ascii="宋体" w:hAnsi="宋体" w:eastAsia="宋体" w:cs="宋体"/>
                <w:b/>
                <w:bCs/>
                <w:w w:val="95"/>
                <w:highlight w:val="none"/>
              </w:rPr>
              <w:t>（不提供视为无效磋商响应性文件）：</w:t>
            </w:r>
          </w:p>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1、法人授权委托书和被授权人有效身份证（法人直接参加的需出示法人身份证明及身份证原件）；</w:t>
            </w:r>
          </w:p>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2、投标人为企业法人应提供合法有效的标识有统一社会信用代码的营业执照；事业法人应提供事业单位法人证书；其他组织应提供合法登记证明文件；</w:t>
            </w:r>
          </w:p>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rPr>
                <w:rFonts w:hint="eastAsia" w:ascii="宋体" w:hAnsi="宋体" w:eastAsia="宋体" w:cs="宋体"/>
                <w:b/>
                <w:bCs/>
                <w:kern w:val="0"/>
                <w:sz w:val="24"/>
                <w:szCs w:val="24"/>
                <w:highlight w:val="none"/>
                <w:lang w:val="zh-CN" w:eastAsia="zh-CN" w:bidi="ar-SA"/>
              </w:rPr>
            </w:pPr>
            <w:r>
              <w:rPr>
                <w:rFonts w:hint="eastAsia" w:ascii="宋体" w:hAnsi="宋体" w:eastAsia="宋体" w:cs="宋体"/>
                <w:b/>
                <w:bCs/>
                <w:kern w:val="0"/>
                <w:sz w:val="24"/>
                <w:szCs w:val="24"/>
                <w:highlight w:val="none"/>
                <w:lang w:val="en-US" w:eastAsia="zh-CN" w:bidi="ar-SA"/>
              </w:rPr>
              <w:t>3、社会保障资金缴纳证明：</w:t>
            </w:r>
            <w:r>
              <w:rPr>
                <w:rFonts w:hint="eastAsia" w:ascii="宋体" w:hAnsi="宋体" w:eastAsia="宋体" w:cs="宋体"/>
                <w:b/>
                <w:bCs/>
                <w:kern w:val="0"/>
                <w:sz w:val="24"/>
                <w:szCs w:val="24"/>
                <w:highlight w:val="none"/>
                <w:lang w:val="zh-CN" w:eastAsia="zh-CN" w:bidi="ar-SA"/>
              </w:rPr>
              <w:t>投标人</w:t>
            </w:r>
            <w:r>
              <w:rPr>
                <w:rFonts w:hint="eastAsia" w:ascii="宋体" w:hAnsi="宋体" w:eastAsia="宋体" w:cs="宋体"/>
                <w:b/>
                <w:bCs/>
                <w:kern w:val="0"/>
                <w:sz w:val="24"/>
                <w:szCs w:val="24"/>
                <w:highlight w:val="none"/>
                <w:lang w:val="en-US" w:eastAsia="zh-CN" w:bidi="ar-SA"/>
              </w:rPr>
              <w:t>提供近半年内已缴存的至少一个月的社会保障资金缴存单据或社保机构开具的社会保险参保缴费情况证明，依法不需要缴纳社会保障资金的投标人应提供相关文件证明</w:t>
            </w:r>
            <w:r>
              <w:rPr>
                <w:rFonts w:hint="eastAsia" w:ascii="宋体" w:hAnsi="宋体" w:eastAsia="宋体" w:cs="宋体"/>
                <w:b/>
                <w:bCs/>
                <w:kern w:val="0"/>
                <w:sz w:val="24"/>
                <w:szCs w:val="24"/>
                <w:highlight w:val="none"/>
                <w:lang w:val="zh-CN" w:eastAsia="zh-CN" w:bidi="ar-SA"/>
              </w:rPr>
              <w:t>；</w:t>
            </w:r>
          </w:p>
          <w:p>
            <w:pPr>
              <w:keepNext w:val="0"/>
              <w:keepLines w:val="0"/>
              <w:pageBreakBefore w:val="0"/>
              <w:widowControl w:val="0"/>
              <w:numPr>
                <w:ilvl w:val="0"/>
                <w:numId w:val="0"/>
              </w:numPr>
              <w:kinsoku/>
              <w:wordWrap/>
              <w:overflowPunct/>
              <w:topLinePunct w:val="0"/>
              <w:bidi w:val="0"/>
              <w:snapToGrid/>
              <w:spacing w:line="400" w:lineRule="exact"/>
              <w:ind w:leftChars="0" w:right="0" w:right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4、</w:t>
            </w:r>
            <w:r>
              <w:rPr>
                <w:rFonts w:hint="eastAsia" w:ascii="宋体" w:hAnsi="宋体" w:eastAsia="宋体" w:cs="宋体"/>
                <w:b/>
                <w:bCs/>
                <w:i w:val="0"/>
                <w:iCs w:val="0"/>
                <w:sz w:val="24"/>
                <w:szCs w:val="24"/>
                <w:highlight w:val="none"/>
              </w:rPr>
              <w:t>税收缴纳证明：</w:t>
            </w:r>
            <w:r>
              <w:rPr>
                <w:rFonts w:hint="eastAsia" w:ascii="宋体" w:hAnsi="宋体" w:eastAsia="宋体" w:cs="宋体"/>
                <w:b/>
                <w:bCs/>
                <w:i w:val="0"/>
                <w:iCs w:val="0"/>
                <w:sz w:val="24"/>
                <w:szCs w:val="24"/>
                <w:highlight w:val="none"/>
                <w:lang w:eastAsia="zh-CN"/>
              </w:rPr>
              <w:t>投标人</w:t>
            </w:r>
            <w:r>
              <w:rPr>
                <w:rFonts w:hint="eastAsia" w:ascii="宋体" w:hAnsi="宋体" w:eastAsia="宋体" w:cs="宋体"/>
                <w:b/>
                <w:bCs/>
                <w:i w:val="0"/>
                <w:iCs w:val="0"/>
                <w:sz w:val="24"/>
                <w:szCs w:val="24"/>
                <w:highlight w:val="none"/>
              </w:rPr>
              <w:t>提供近半年内已缴纳的至少一个月的纳税证明或完税证明，纳税证明或完税证明上应有代收机构或税务机关的公章，依法免税的</w:t>
            </w:r>
            <w:r>
              <w:rPr>
                <w:rFonts w:hint="eastAsia" w:ascii="宋体" w:hAnsi="宋体" w:eastAsia="宋体" w:cs="宋体"/>
                <w:b/>
                <w:bCs/>
                <w:i w:val="0"/>
                <w:iCs w:val="0"/>
                <w:sz w:val="24"/>
                <w:szCs w:val="24"/>
                <w:highlight w:val="none"/>
                <w:lang w:eastAsia="zh-CN"/>
              </w:rPr>
              <w:t>投标人</w:t>
            </w:r>
            <w:r>
              <w:rPr>
                <w:rFonts w:hint="eastAsia" w:ascii="宋体" w:hAnsi="宋体" w:eastAsia="宋体" w:cs="宋体"/>
                <w:b/>
                <w:bCs/>
                <w:i w:val="0"/>
                <w:iCs w:val="0"/>
                <w:sz w:val="24"/>
                <w:szCs w:val="24"/>
                <w:highlight w:val="none"/>
              </w:rPr>
              <w:t>应提供相关文件证明；</w:t>
            </w:r>
          </w:p>
          <w:p>
            <w:pPr>
              <w:keepNext w:val="0"/>
              <w:keepLines w:val="0"/>
              <w:pageBreakBefore w:val="0"/>
              <w:widowControl w:val="0"/>
              <w:numPr>
                <w:ilvl w:val="0"/>
                <w:numId w:val="0"/>
              </w:numPr>
              <w:kinsoku/>
              <w:wordWrap/>
              <w:overflowPunct/>
              <w:topLinePunct w:val="0"/>
              <w:bidi w:val="0"/>
              <w:snapToGrid/>
              <w:spacing w:line="400" w:lineRule="exact"/>
              <w:ind w:leftChars="0" w:right="0" w:rightChars="0"/>
              <w:textAlignment w:val="auto"/>
              <w:rPr>
                <w:rFonts w:hint="eastAsia" w:ascii="宋体" w:hAnsi="宋体" w:eastAsia="宋体" w:cs="宋体"/>
                <w:b/>
                <w:bCs/>
                <w:kern w:val="0"/>
                <w:sz w:val="24"/>
                <w:szCs w:val="24"/>
                <w:highlight w:val="none"/>
                <w:lang w:val="zh-CN" w:eastAsia="zh-CN" w:bidi="ar-SA"/>
              </w:rPr>
            </w:pPr>
            <w:r>
              <w:rPr>
                <w:rFonts w:hint="eastAsia" w:ascii="宋体" w:hAnsi="宋体" w:eastAsia="宋体" w:cs="宋体"/>
                <w:b/>
                <w:bCs/>
                <w:kern w:val="0"/>
                <w:sz w:val="24"/>
                <w:szCs w:val="24"/>
                <w:highlight w:val="none"/>
                <w:lang w:val="en-US" w:eastAsia="zh-CN" w:bidi="ar-SA"/>
              </w:rPr>
              <w:t>5、财务状况报告：投标人提供近1年的财务审计报告（至少包括审计报告、资产负债表和利润表，成立时间至提交投标文件截止时间不足一年的可提供成立后任意时段的资产负债表），或其开标前三个月内基本存款账户开户银行出具的资信证明；</w:t>
            </w:r>
          </w:p>
          <w:p>
            <w:pPr>
              <w:keepNext w:val="0"/>
              <w:keepLines w:val="0"/>
              <w:pageBreakBefore w:val="0"/>
              <w:widowControl w:val="0"/>
              <w:numPr>
                <w:ilvl w:val="0"/>
                <w:numId w:val="0"/>
              </w:numPr>
              <w:kinsoku/>
              <w:wordWrap/>
              <w:overflowPunct/>
              <w:topLinePunct w:val="0"/>
              <w:bidi w:val="0"/>
              <w:snapToGrid/>
              <w:spacing w:line="400" w:lineRule="exact"/>
              <w:ind w:leftChars="0" w:right="0" w:right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6、投标人应具备良好的商业信誉，提供参加政府采购活动前3年内在经营活动中没有重大违法记录的书面声明；</w:t>
            </w:r>
          </w:p>
          <w:p>
            <w:pPr>
              <w:keepNext w:val="0"/>
              <w:keepLines w:val="0"/>
              <w:pageBreakBefore w:val="0"/>
              <w:widowControl w:val="0"/>
              <w:numPr>
                <w:ilvl w:val="0"/>
                <w:numId w:val="0"/>
              </w:numPr>
              <w:kinsoku/>
              <w:wordWrap/>
              <w:overflowPunct/>
              <w:topLinePunct w:val="0"/>
              <w:bidi w:val="0"/>
              <w:snapToGrid/>
              <w:spacing w:line="400" w:lineRule="exact"/>
              <w:ind w:leftChars="0" w:right="0" w:right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7、投标人应在“信用中国”网站（www.creditchina.gov.cn）未被列入失信被执行人记录、</w:t>
            </w:r>
            <w:r>
              <w:rPr>
                <w:rFonts w:hint="eastAsia" w:ascii="宋体" w:hAnsi="宋体" w:cs="宋体"/>
                <w:b/>
                <w:bCs/>
                <w:kern w:val="0"/>
                <w:sz w:val="24"/>
                <w:szCs w:val="24"/>
                <w:highlight w:val="none"/>
                <w:lang w:val="en-US" w:eastAsia="zh-CN" w:bidi="ar-SA"/>
              </w:rPr>
              <w:t>重大税收违法失信主体记录</w:t>
            </w:r>
            <w:r>
              <w:rPr>
                <w:rFonts w:hint="eastAsia" w:ascii="宋体" w:hAnsi="宋体" w:eastAsia="宋体" w:cs="宋体"/>
                <w:b/>
                <w:bCs/>
                <w:kern w:val="0"/>
                <w:sz w:val="24"/>
                <w:szCs w:val="24"/>
                <w:highlight w:val="none"/>
                <w:lang w:val="en-US" w:eastAsia="zh-CN" w:bidi="ar-SA"/>
              </w:rPr>
              <w:t>且在中国政府采购网（www.ccgp.gov.cn）没有相关主体政府采购严重违法失信行为记录（被禁止在一定期限内参加政府采购活动但期限届满的除外）（查询日期为从采购文件发售之日起至投标截止日前），以网页截图（需显示查询时间）加盖投标人公章为准；</w:t>
            </w:r>
          </w:p>
          <w:p>
            <w:pPr>
              <w:pageBreakBefore w:val="0"/>
              <w:widowControl w:val="0"/>
              <w:kinsoku/>
              <w:wordWrap/>
              <w:overflowPunct/>
              <w:topLinePunct w:val="0"/>
              <w:bidi w:val="0"/>
              <w:snapToGrid/>
              <w:spacing w:line="360" w:lineRule="auto"/>
              <w:textAlignment w:val="auto"/>
              <w:rPr>
                <w:rFonts w:hint="eastAsia" w:ascii="宋体" w:hAnsi="宋体" w:cs="宋体"/>
                <w:b/>
                <w:bCs/>
                <w:i w:val="0"/>
                <w:iCs w:val="0"/>
                <w:sz w:val="24"/>
                <w:szCs w:val="24"/>
                <w:highlight w:val="yellow"/>
                <w:u w:val="none"/>
                <w:lang w:eastAsia="zh-CN"/>
              </w:rPr>
            </w:pPr>
            <w:r>
              <w:rPr>
                <w:rFonts w:hint="eastAsia" w:ascii="宋体" w:hAnsi="宋体" w:cs="宋体"/>
                <w:b/>
                <w:bCs/>
                <w:kern w:val="0"/>
                <w:sz w:val="24"/>
                <w:szCs w:val="24"/>
                <w:highlight w:val="yellow"/>
                <w:lang w:val="en-US" w:eastAsia="zh-CN" w:bidi="ar-SA"/>
              </w:rPr>
              <w:t>8、</w:t>
            </w:r>
            <w:r>
              <w:rPr>
                <w:rFonts w:hint="eastAsia" w:ascii="宋体" w:hAnsi="宋体" w:cs="宋体"/>
                <w:b/>
                <w:bCs/>
                <w:i w:val="0"/>
                <w:iCs w:val="0"/>
                <w:sz w:val="24"/>
                <w:szCs w:val="24"/>
                <w:highlight w:val="yellow"/>
                <w:u w:val="none"/>
                <w:lang w:eastAsia="zh-CN"/>
              </w:rPr>
              <w:t>根据《政府采购促进中小企业发展管理办法》要求，本项目应当专门面向中小企业采购（提供中小微企业声明函）。</w:t>
            </w:r>
          </w:p>
          <w:p>
            <w:pPr>
              <w:pageBreakBefore w:val="0"/>
              <w:widowControl w:val="0"/>
              <w:kinsoku/>
              <w:wordWrap/>
              <w:overflowPunct/>
              <w:topLinePunct w:val="0"/>
              <w:bidi w:val="0"/>
              <w:snapToGrid/>
              <w:spacing w:line="360" w:lineRule="auto"/>
              <w:textAlignment w:val="auto"/>
              <w:rPr>
                <w:rFonts w:hint="eastAsia" w:ascii="宋体" w:hAnsi="宋体" w:cs="宋体"/>
                <w:b/>
                <w:bCs/>
                <w:i w:val="0"/>
                <w:iCs w:val="0"/>
                <w:sz w:val="24"/>
                <w:szCs w:val="24"/>
                <w:highlight w:val="yellow"/>
                <w:u w:val="none"/>
                <w:lang w:eastAsia="zh-CN"/>
              </w:rPr>
            </w:pPr>
            <w:r>
              <w:rPr>
                <w:rFonts w:hint="eastAsia" w:ascii="宋体" w:hAnsi="宋体" w:cs="宋体"/>
                <w:b/>
                <w:bCs/>
                <w:i w:val="0"/>
                <w:iCs w:val="0"/>
                <w:sz w:val="24"/>
                <w:szCs w:val="24"/>
                <w:highlight w:val="yellow"/>
                <w:u w:val="none"/>
                <w:lang w:val="en-US" w:eastAsia="zh-CN"/>
              </w:rPr>
              <w:t>9、投标</w:t>
            </w:r>
            <w:r>
              <w:rPr>
                <w:rFonts w:hint="eastAsia" w:ascii="宋体" w:hAnsi="宋体" w:cs="宋体"/>
                <w:b/>
                <w:bCs/>
                <w:i w:val="0"/>
                <w:iCs w:val="0"/>
                <w:sz w:val="24"/>
                <w:szCs w:val="24"/>
                <w:highlight w:val="yellow"/>
                <w:u w:val="none"/>
                <w:lang w:eastAsia="zh-CN"/>
              </w:rPr>
              <w:t>人须具备文物行政主管部门颁发的文物保护工程施工二级以上（含二级）资质，并取得建设行政主管部门颁发有效的《安全生产许可证》。</w:t>
            </w:r>
          </w:p>
          <w:p>
            <w:pPr>
              <w:pStyle w:val="23"/>
              <w:kinsoku w:val="0"/>
              <w:overflowPunct w:val="0"/>
              <w:spacing w:before="122"/>
              <w:rPr>
                <w:rFonts w:hint="eastAsia" w:ascii="宋体" w:hAnsi="宋体" w:eastAsia="宋体" w:cs="宋体"/>
                <w:highlight w:val="none"/>
              </w:rPr>
            </w:pPr>
            <w:r>
              <w:rPr>
                <w:rFonts w:hint="eastAsia" w:ascii="宋体" w:hAnsi="宋体" w:eastAsia="宋体" w:cs="宋体"/>
                <w:highlight w:val="none"/>
              </w:rPr>
              <w:t>备注：竞争性磋商文件涉及要求供应商在开标时所带的</w:t>
            </w:r>
            <w:r>
              <w:rPr>
                <w:rFonts w:hint="eastAsia" w:ascii="宋体" w:hAnsi="宋体" w:cs="宋体"/>
                <w:highlight w:val="none"/>
                <w:lang w:val="en-US" w:eastAsia="zh-CN"/>
              </w:rPr>
              <w:t>资料</w:t>
            </w:r>
            <w:r>
              <w:rPr>
                <w:rFonts w:hint="eastAsia" w:ascii="宋体" w:hAnsi="宋体" w:eastAsia="宋体" w:cs="宋体"/>
                <w:highlight w:val="none"/>
              </w:rPr>
              <w:t>，请供应商在开标现场一次性提供。供应商提交的所有证明文件及材料必须清晰、准确、真实、有效；对于不提供或提供不真实或虚假资料者按无效标处理。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ind w:right="14"/>
              <w:jc w:val="center"/>
              <w:rPr>
                <w:rFonts w:hint="eastAsia" w:ascii="宋体" w:hAnsi="宋体" w:eastAsia="宋体" w:cs="宋体"/>
                <w:highlight w:val="none"/>
              </w:rPr>
            </w:pPr>
            <w:r>
              <w:rPr>
                <w:rFonts w:hint="eastAsia" w:ascii="宋体" w:hAnsi="宋体" w:eastAsia="宋体" w:cs="宋体"/>
                <w:highlight w:val="none"/>
              </w:rPr>
              <w:t>7</w:t>
            </w:r>
          </w:p>
        </w:tc>
        <w:tc>
          <w:tcPr>
            <w:tcW w:w="8475" w:type="dxa"/>
            <w:noWrap w:val="0"/>
            <w:vAlign w:val="top"/>
          </w:tcPr>
          <w:p>
            <w:pPr>
              <w:pStyle w:val="23"/>
              <w:kinsoku w:val="0"/>
              <w:overflowPunct w:val="0"/>
              <w:spacing w:before="122"/>
              <w:ind w:left="102"/>
              <w:rPr>
                <w:rFonts w:hint="eastAsia" w:ascii="宋体" w:hAnsi="宋体" w:eastAsia="宋体" w:cs="宋体"/>
                <w:b/>
                <w:bCs/>
                <w:highlight w:val="none"/>
                <w:lang w:eastAsia="zh-CN"/>
              </w:rPr>
            </w:pPr>
            <w:r>
              <w:rPr>
                <w:rFonts w:hint="eastAsia" w:ascii="宋体" w:hAnsi="宋体" w:eastAsia="宋体" w:cs="宋体"/>
                <w:b/>
                <w:bCs/>
                <w:highlight w:val="none"/>
              </w:rPr>
              <w:t>资格审查方式：</w:t>
            </w:r>
            <w:r>
              <w:rPr>
                <w:rFonts w:hint="eastAsia" w:ascii="宋体" w:hAnsi="宋体" w:cs="宋体"/>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72" w:type="dxa"/>
            <w:noWrap w:val="0"/>
            <w:vAlign w:val="center"/>
          </w:tcPr>
          <w:p>
            <w:pPr>
              <w:pStyle w:val="23"/>
              <w:kinsoku w:val="0"/>
              <w:overflowPunct w:val="0"/>
              <w:spacing w:before="73"/>
              <w:ind w:right="14"/>
              <w:jc w:val="center"/>
              <w:rPr>
                <w:rFonts w:hint="eastAsia" w:ascii="宋体" w:hAnsi="宋体" w:eastAsia="宋体" w:cs="宋体"/>
                <w:highlight w:val="none"/>
              </w:rPr>
            </w:pPr>
            <w:r>
              <w:rPr>
                <w:rFonts w:hint="eastAsia" w:ascii="宋体" w:hAnsi="宋体" w:eastAsia="宋体" w:cs="宋体"/>
                <w:highlight w:val="none"/>
              </w:rPr>
              <w:t>8</w:t>
            </w:r>
          </w:p>
        </w:tc>
        <w:tc>
          <w:tcPr>
            <w:tcW w:w="8475" w:type="dxa"/>
            <w:noWrap w:val="0"/>
            <w:vAlign w:val="top"/>
          </w:tcPr>
          <w:p>
            <w:pPr>
              <w:pStyle w:val="23"/>
              <w:kinsoku w:val="0"/>
              <w:overflowPunct w:val="0"/>
              <w:spacing w:before="73"/>
              <w:ind w:left="102"/>
              <w:rPr>
                <w:rFonts w:hint="eastAsia" w:ascii="宋体" w:hAnsi="宋体" w:eastAsia="宋体" w:cs="宋体"/>
                <w:highlight w:val="none"/>
              </w:rPr>
            </w:pPr>
            <w:r>
              <w:rPr>
                <w:rFonts w:hint="eastAsia" w:ascii="宋体" w:hAnsi="宋体" w:eastAsia="宋体" w:cs="宋体"/>
                <w:b/>
                <w:bCs/>
                <w:highlight w:val="none"/>
              </w:rPr>
              <w:t>投标语言：</w:t>
            </w:r>
            <w:r>
              <w:rPr>
                <w:rFonts w:hint="eastAsia" w:ascii="宋体" w:hAnsi="宋体" w:eastAsia="宋体" w:cs="宋体"/>
                <w:highlight w:val="none"/>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spacing w:before="72"/>
              <w:jc w:val="center"/>
              <w:rPr>
                <w:rFonts w:hint="eastAsia" w:ascii="宋体" w:hAnsi="宋体" w:eastAsia="宋体" w:cs="宋体"/>
                <w:highlight w:val="none"/>
              </w:rPr>
            </w:pPr>
            <w:r>
              <w:rPr>
                <w:rFonts w:hint="eastAsia" w:ascii="宋体" w:hAnsi="宋体" w:eastAsia="宋体" w:cs="宋体"/>
                <w:highlight w:val="none"/>
              </w:rPr>
              <w:t>9</w:t>
            </w:r>
          </w:p>
        </w:tc>
        <w:tc>
          <w:tcPr>
            <w:tcW w:w="8475" w:type="dxa"/>
            <w:noWrap w:val="0"/>
            <w:vAlign w:val="top"/>
          </w:tcPr>
          <w:p>
            <w:pPr>
              <w:pStyle w:val="23"/>
              <w:kinsoku w:val="0"/>
              <w:overflowPunct w:val="0"/>
              <w:spacing w:before="72"/>
              <w:ind w:left="102"/>
              <w:rPr>
                <w:rFonts w:hint="eastAsia" w:ascii="宋体" w:hAnsi="宋体" w:eastAsia="宋体" w:cs="宋体"/>
                <w:highlight w:val="none"/>
              </w:rPr>
            </w:pPr>
            <w:r>
              <w:rPr>
                <w:rFonts w:hint="eastAsia" w:ascii="宋体" w:hAnsi="宋体" w:eastAsia="宋体" w:cs="宋体"/>
                <w:b/>
                <w:bCs/>
                <w:highlight w:val="none"/>
              </w:rPr>
              <w:t>投标有效期：</w:t>
            </w:r>
            <w:r>
              <w:rPr>
                <w:rFonts w:hint="eastAsia" w:ascii="宋体" w:hAnsi="宋体" w:cs="宋体"/>
                <w:highlight w:val="none"/>
                <w:lang w:val="en-US" w:eastAsia="zh-CN"/>
              </w:rPr>
              <w:t>9</w:t>
            </w:r>
            <w:r>
              <w:rPr>
                <w:rFonts w:hint="eastAsia" w:ascii="宋体" w:hAnsi="宋体" w:eastAsia="宋体" w:cs="宋体"/>
                <w:highlight w:val="none"/>
              </w:rPr>
              <w:t>0</w:t>
            </w:r>
            <w:r>
              <w:rPr>
                <w:rFonts w:hint="eastAsia" w:ascii="宋体" w:hAnsi="宋体" w:eastAsia="宋体" w:cs="宋体"/>
                <w:spacing w:val="-75"/>
                <w:highlight w:val="none"/>
              </w:rPr>
              <w:t xml:space="preserve"> </w:t>
            </w:r>
            <w:r>
              <w:rPr>
                <w:rFonts w:hint="eastAsia" w:ascii="宋体" w:hAnsi="宋体" w:eastAsia="宋体" w:cs="宋体"/>
                <w:highlight w:val="none"/>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spacing w:before="74"/>
              <w:jc w:val="center"/>
              <w:rPr>
                <w:rFonts w:hint="eastAsia" w:ascii="宋体" w:hAnsi="宋体" w:eastAsia="宋体" w:cs="宋体"/>
                <w:highlight w:val="none"/>
              </w:rPr>
            </w:pPr>
            <w:r>
              <w:rPr>
                <w:rFonts w:hint="eastAsia" w:ascii="宋体" w:hAnsi="宋体" w:eastAsia="宋体" w:cs="宋体"/>
                <w:highlight w:val="none"/>
              </w:rPr>
              <w:t>10</w:t>
            </w:r>
          </w:p>
        </w:tc>
        <w:tc>
          <w:tcPr>
            <w:tcW w:w="8475" w:type="dxa"/>
            <w:noWrap w:val="0"/>
            <w:vAlign w:val="top"/>
          </w:tcPr>
          <w:p>
            <w:pPr>
              <w:pStyle w:val="23"/>
              <w:kinsoku w:val="0"/>
              <w:overflowPunct w:val="0"/>
              <w:spacing w:before="74"/>
              <w:ind w:left="102"/>
              <w:rPr>
                <w:rFonts w:hint="eastAsia" w:ascii="宋体" w:hAnsi="宋体" w:eastAsia="宋体" w:cs="宋体"/>
                <w:highlight w:val="none"/>
              </w:rPr>
            </w:pPr>
            <w:r>
              <w:rPr>
                <w:rFonts w:hint="eastAsia" w:ascii="宋体" w:hAnsi="宋体" w:eastAsia="宋体" w:cs="宋体"/>
                <w:b/>
                <w:bCs/>
                <w:highlight w:val="none"/>
              </w:rPr>
              <w:t>投标截止时间：</w:t>
            </w:r>
            <w:r>
              <w:rPr>
                <w:rFonts w:hint="eastAsia" w:ascii="宋体" w:hAnsi="宋体" w:eastAsia="宋体" w:cs="宋体"/>
                <w:b/>
                <w:bCs/>
                <w:spacing w:val="-3"/>
                <w:highlight w:val="none"/>
              </w:rPr>
              <w:t xml:space="preserve"> </w:t>
            </w:r>
            <w:r>
              <w:rPr>
                <w:rFonts w:hint="eastAsia" w:ascii="宋体" w:hAnsi="宋体" w:eastAsia="宋体" w:cs="宋体"/>
                <w:highlight w:val="none"/>
              </w:rPr>
              <w:t>20</w:t>
            </w:r>
            <w:r>
              <w:rPr>
                <w:rFonts w:hint="eastAsia" w:ascii="宋体" w:hAnsi="宋体" w:cs="宋体"/>
                <w:highlight w:val="none"/>
                <w:lang w:val="en-US" w:eastAsia="zh-CN"/>
              </w:rPr>
              <w:t>22</w:t>
            </w:r>
            <w:r>
              <w:rPr>
                <w:rFonts w:hint="eastAsia" w:ascii="宋体" w:hAnsi="宋体" w:eastAsia="宋体" w:cs="宋体"/>
                <w:highlight w:val="none"/>
              </w:rPr>
              <w:t>年</w:t>
            </w:r>
            <w:r>
              <w:rPr>
                <w:rFonts w:hint="eastAsia" w:ascii="宋体" w:hAnsi="宋体" w:cs="宋体"/>
                <w:highlight w:val="yellow"/>
                <w:lang w:val="en-US" w:eastAsia="zh-CN"/>
              </w:rPr>
              <w:t>12</w:t>
            </w:r>
            <w:r>
              <w:rPr>
                <w:rFonts w:hint="eastAsia" w:ascii="宋体" w:hAnsi="宋体" w:cs="宋体"/>
                <w:highlight w:val="none"/>
                <w:lang w:val="en-US" w:eastAsia="zh-CN"/>
              </w:rPr>
              <w:t>月</w:t>
            </w:r>
            <w:r>
              <w:rPr>
                <w:rFonts w:hint="eastAsia" w:ascii="宋体" w:hAnsi="宋体" w:cs="宋体"/>
                <w:highlight w:val="yellow"/>
                <w:lang w:val="en-US" w:eastAsia="zh-CN"/>
              </w:rPr>
              <w:t>6</w:t>
            </w:r>
            <w:r>
              <w:rPr>
                <w:rFonts w:hint="eastAsia" w:ascii="宋体" w:hAnsi="宋体" w:eastAsia="宋体" w:cs="宋体"/>
                <w:highlight w:val="none"/>
              </w:rPr>
              <w:t>日</w:t>
            </w:r>
            <w:r>
              <w:rPr>
                <w:rFonts w:hint="eastAsia" w:ascii="宋体" w:hAnsi="宋体" w:eastAsia="宋体" w:cs="宋体"/>
                <w:highlight w:val="yellow"/>
              </w:rPr>
              <w:t>1</w:t>
            </w:r>
            <w:r>
              <w:rPr>
                <w:rFonts w:hint="eastAsia" w:ascii="宋体" w:hAnsi="宋体" w:cs="宋体"/>
                <w:highlight w:val="yellow"/>
                <w:lang w:val="en-US" w:eastAsia="zh-CN"/>
              </w:rPr>
              <w:t>6</w:t>
            </w:r>
            <w:r>
              <w:rPr>
                <w:rFonts w:hint="eastAsia" w:ascii="宋体" w:hAnsi="宋体" w:eastAsia="宋体" w:cs="宋体"/>
                <w:highlight w:val="yellow"/>
              </w:rPr>
              <w:t>:</w:t>
            </w:r>
            <w:r>
              <w:rPr>
                <w:rFonts w:hint="eastAsia" w:ascii="宋体" w:hAnsi="宋体" w:cs="宋体"/>
                <w:highlight w:val="yellow"/>
                <w:lang w:val="en-US" w:eastAsia="zh-CN"/>
              </w:rPr>
              <w:t>0</w:t>
            </w:r>
            <w:r>
              <w:rPr>
                <w:rFonts w:hint="eastAsia" w:ascii="宋体" w:hAnsi="宋体" w:eastAsia="宋体" w:cs="宋体"/>
                <w:highlight w:val="yellow"/>
              </w:rPr>
              <w:t>0</w:t>
            </w:r>
            <w:r>
              <w:rPr>
                <w:rFonts w:hint="eastAsia" w:ascii="宋体" w:hAnsi="宋体" w:eastAsia="宋体" w:cs="宋体"/>
                <w:spacing w:val="-62"/>
                <w:highlight w:val="yellow"/>
              </w:rPr>
              <w:t xml:space="preserve"> </w:t>
            </w:r>
            <w:r>
              <w:rPr>
                <w:rFonts w:hint="eastAsia" w:ascii="宋体" w:hAnsi="宋体" w:eastAsia="宋体" w:cs="宋体"/>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11</w:t>
            </w:r>
          </w:p>
        </w:tc>
        <w:tc>
          <w:tcPr>
            <w:tcW w:w="8475" w:type="dxa"/>
            <w:noWrap w:val="0"/>
            <w:vAlign w:val="top"/>
          </w:tcPr>
          <w:p>
            <w:pPr>
              <w:pStyle w:val="23"/>
              <w:kinsoku w:val="0"/>
              <w:overflowPunct w:val="0"/>
              <w:spacing w:before="73"/>
              <w:ind w:left="102"/>
              <w:rPr>
                <w:rFonts w:hint="eastAsia" w:ascii="宋体" w:hAnsi="宋体" w:eastAsia="宋体" w:cs="宋体"/>
                <w:highlight w:val="none"/>
              </w:rPr>
            </w:pPr>
            <w:r>
              <w:rPr>
                <w:rFonts w:hint="eastAsia" w:ascii="宋体" w:hAnsi="宋体" w:eastAsia="宋体" w:cs="宋体"/>
                <w:b/>
                <w:bCs/>
                <w:highlight w:val="none"/>
              </w:rPr>
              <w:t>是否退还磋商响应性文件：否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spacing w:before="72"/>
              <w:jc w:val="center"/>
              <w:rPr>
                <w:rFonts w:hint="eastAsia" w:ascii="宋体" w:hAnsi="宋体" w:eastAsia="宋体" w:cs="宋体"/>
                <w:highlight w:val="none"/>
              </w:rPr>
            </w:pPr>
            <w:r>
              <w:rPr>
                <w:rFonts w:hint="eastAsia" w:ascii="宋体" w:hAnsi="宋体" w:eastAsia="宋体" w:cs="宋体"/>
                <w:highlight w:val="none"/>
              </w:rPr>
              <w:t>12</w:t>
            </w:r>
          </w:p>
        </w:tc>
        <w:tc>
          <w:tcPr>
            <w:tcW w:w="8475" w:type="dxa"/>
            <w:noWrap w:val="0"/>
            <w:vAlign w:val="top"/>
          </w:tcPr>
          <w:p>
            <w:pPr>
              <w:pStyle w:val="23"/>
              <w:kinsoku w:val="0"/>
              <w:overflowPunct w:val="0"/>
              <w:spacing w:before="72"/>
              <w:ind w:left="102"/>
              <w:rPr>
                <w:rFonts w:hint="eastAsia" w:ascii="宋体" w:hAnsi="宋体" w:eastAsia="宋体" w:cs="宋体"/>
                <w:highlight w:val="none"/>
              </w:rPr>
            </w:pPr>
            <w:r>
              <w:rPr>
                <w:rFonts w:hint="eastAsia" w:ascii="宋体" w:hAnsi="宋体" w:eastAsia="宋体" w:cs="宋体"/>
                <w:b/>
                <w:bCs/>
                <w:highlight w:val="none"/>
              </w:rPr>
              <w:t>联合投标：</w:t>
            </w:r>
            <w:r>
              <w:rPr>
                <w:rFonts w:hint="eastAsia" w:ascii="宋体" w:hAnsi="宋体" w:eastAsia="宋体" w:cs="宋体"/>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spacing w:before="74"/>
              <w:jc w:val="center"/>
              <w:rPr>
                <w:rFonts w:hint="eastAsia" w:ascii="宋体" w:hAnsi="宋体" w:eastAsia="宋体" w:cs="宋体"/>
                <w:highlight w:val="none"/>
              </w:rPr>
            </w:pPr>
            <w:r>
              <w:rPr>
                <w:rFonts w:hint="eastAsia" w:ascii="宋体" w:hAnsi="宋体" w:eastAsia="宋体" w:cs="宋体"/>
                <w:highlight w:val="none"/>
              </w:rPr>
              <w:t>13</w:t>
            </w:r>
          </w:p>
        </w:tc>
        <w:tc>
          <w:tcPr>
            <w:tcW w:w="8475" w:type="dxa"/>
            <w:noWrap w:val="0"/>
            <w:vAlign w:val="top"/>
          </w:tcPr>
          <w:p>
            <w:pPr>
              <w:pStyle w:val="23"/>
              <w:kinsoku w:val="0"/>
              <w:overflowPunct w:val="0"/>
              <w:spacing w:before="74"/>
              <w:ind w:left="102"/>
              <w:rPr>
                <w:rFonts w:hint="eastAsia" w:ascii="宋体" w:hAnsi="宋体" w:eastAsia="宋体" w:cs="宋体"/>
                <w:highlight w:val="none"/>
              </w:rPr>
            </w:pPr>
            <w:r>
              <w:rPr>
                <w:rFonts w:hint="eastAsia" w:ascii="宋体" w:hAnsi="宋体" w:eastAsia="宋体" w:cs="宋体"/>
                <w:b/>
                <w:bCs/>
                <w:highlight w:val="none"/>
              </w:rPr>
              <w:t>投标报价货币</w:t>
            </w:r>
            <w:r>
              <w:rPr>
                <w:rFonts w:hint="eastAsia" w:ascii="宋体" w:hAnsi="宋体" w:eastAsia="宋体" w:cs="宋体"/>
                <w:highlight w:val="none"/>
              </w:rPr>
              <w:t>:</w:t>
            </w:r>
            <w:r>
              <w:rPr>
                <w:rFonts w:hint="eastAsia" w:ascii="宋体" w:hAnsi="宋体" w:eastAsia="宋体" w:cs="宋体"/>
                <w:spacing w:val="-15"/>
                <w:highlight w:val="none"/>
              </w:rPr>
              <w:t xml:space="preserve"> </w:t>
            </w:r>
            <w:r>
              <w:rPr>
                <w:rFonts w:hint="eastAsia" w:ascii="宋体" w:hAnsi="宋体" w:eastAsia="宋体" w:cs="宋体"/>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14</w:t>
            </w:r>
          </w:p>
        </w:tc>
        <w:tc>
          <w:tcPr>
            <w:tcW w:w="8475" w:type="dxa"/>
            <w:noWrap w:val="0"/>
            <w:vAlign w:val="top"/>
          </w:tcPr>
          <w:p>
            <w:pPr>
              <w:pStyle w:val="23"/>
              <w:kinsoku w:val="0"/>
              <w:overflowPunct w:val="0"/>
              <w:spacing w:before="73"/>
              <w:ind w:left="102"/>
              <w:rPr>
                <w:rFonts w:hint="eastAsia" w:ascii="宋体" w:hAnsi="宋体" w:eastAsia="宋体" w:cs="宋体"/>
                <w:highlight w:val="none"/>
              </w:rPr>
            </w:pPr>
            <w:r>
              <w:rPr>
                <w:rFonts w:hint="eastAsia" w:ascii="宋体" w:hAnsi="宋体" w:eastAsia="宋体" w:cs="宋体"/>
                <w:b/>
                <w:bCs/>
                <w:highlight w:val="none"/>
              </w:rPr>
              <w:t>采购方式：</w:t>
            </w:r>
            <w:r>
              <w:rPr>
                <w:rFonts w:hint="eastAsia" w:ascii="宋体" w:hAnsi="宋体" w:eastAsia="宋体" w:cs="宋体"/>
                <w:highlight w:val="none"/>
              </w:rPr>
              <w:t>竞争性磋商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spacing w:before="72"/>
              <w:jc w:val="center"/>
              <w:rPr>
                <w:rFonts w:hint="eastAsia" w:ascii="宋体" w:hAnsi="宋体" w:eastAsia="宋体" w:cs="宋体"/>
                <w:highlight w:val="none"/>
              </w:rPr>
            </w:pPr>
            <w:r>
              <w:rPr>
                <w:rFonts w:hint="eastAsia" w:ascii="宋体" w:hAnsi="宋体" w:eastAsia="宋体" w:cs="宋体"/>
                <w:highlight w:val="none"/>
              </w:rPr>
              <w:t>15</w:t>
            </w:r>
          </w:p>
        </w:tc>
        <w:tc>
          <w:tcPr>
            <w:tcW w:w="8475" w:type="dxa"/>
            <w:noWrap w:val="0"/>
            <w:vAlign w:val="top"/>
          </w:tcPr>
          <w:p>
            <w:pPr>
              <w:pStyle w:val="23"/>
              <w:kinsoku w:val="0"/>
              <w:overflowPunct w:val="0"/>
              <w:spacing w:before="72"/>
              <w:ind w:left="102"/>
              <w:rPr>
                <w:rFonts w:hint="eastAsia" w:ascii="宋体" w:hAnsi="宋体" w:eastAsia="宋体" w:cs="宋体"/>
                <w:highlight w:val="none"/>
              </w:rPr>
            </w:pPr>
            <w:r>
              <w:rPr>
                <w:rFonts w:hint="eastAsia" w:ascii="宋体" w:hAnsi="宋体" w:eastAsia="宋体" w:cs="宋体"/>
                <w:b/>
                <w:bCs/>
                <w:highlight w:val="none"/>
              </w:rPr>
              <w:t>评标办法：</w:t>
            </w:r>
            <w:r>
              <w:rPr>
                <w:rFonts w:hint="eastAsia" w:ascii="宋体" w:hAnsi="宋体" w:eastAsia="宋体" w:cs="宋体"/>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1" w:hRule="atLeast"/>
          <w:jc w:val="center"/>
        </w:trPr>
        <w:tc>
          <w:tcPr>
            <w:tcW w:w="672" w:type="dxa"/>
            <w:noWrap w:val="0"/>
            <w:vAlign w:val="center"/>
          </w:tcPr>
          <w:p>
            <w:pPr>
              <w:pStyle w:val="23"/>
              <w:kinsoku w:val="0"/>
              <w:overflowPunct w:val="0"/>
              <w:spacing w:before="201"/>
              <w:jc w:val="center"/>
              <w:rPr>
                <w:rFonts w:hint="eastAsia" w:ascii="宋体" w:hAnsi="宋体" w:eastAsia="宋体" w:cs="宋体"/>
                <w:highlight w:val="none"/>
              </w:rPr>
            </w:pPr>
            <w:r>
              <w:rPr>
                <w:rFonts w:hint="eastAsia" w:ascii="宋体" w:hAnsi="宋体" w:eastAsia="宋体" w:cs="宋体"/>
                <w:highlight w:val="none"/>
              </w:rPr>
              <w:t>16</w:t>
            </w:r>
          </w:p>
        </w:tc>
        <w:tc>
          <w:tcPr>
            <w:tcW w:w="8475" w:type="dxa"/>
            <w:noWrap w:val="0"/>
            <w:vAlign w:val="top"/>
          </w:tcPr>
          <w:p>
            <w:pPr>
              <w:pStyle w:val="23"/>
              <w:kinsoku w:val="0"/>
              <w:overflowPunct w:val="0"/>
              <w:spacing w:before="57"/>
              <w:ind w:left="102"/>
              <w:rPr>
                <w:rFonts w:hint="eastAsia" w:ascii="宋体" w:hAnsi="宋体" w:eastAsia="宋体" w:cs="宋体"/>
                <w:highlight w:val="none"/>
              </w:rPr>
            </w:pPr>
            <w:r>
              <w:rPr>
                <w:rFonts w:hint="eastAsia" w:ascii="宋体" w:hAnsi="宋体" w:eastAsia="宋体" w:cs="宋体"/>
                <w:b/>
                <w:bCs/>
                <w:highlight w:val="none"/>
              </w:rPr>
              <w:t>磋商小组的组建：/</w:t>
            </w:r>
          </w:p>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b/>
                <w:bCs/>
                <w:highlight w:val="none"/>
              </w:rPr>
              <w:t>磋商小组构成：</w:t>
            </w:r>
            <w:r>
              <w:rPr>
                <w:rFonts w:hint="eastAsia" w:ascii="宋体" w:hAnsi="宋体" w:eastAsia="宋体" w:cs="宋体"/>
                <w:highlight w:val="none"/>
              </w:rPr>
              <w:t>共 3人，由</w:t>
            </w:r>
            <w:r>
              <w:rPr>
                <w:rFonts w:hint="eastAsia" w:ascii="宋体" w:hAnsi="宋体" w:cs="宋体"/>
                <w:highlight w:val="none"/>
                <w:lang w:val="en-US" w:eastAsia="zh-CN"/>
              </w:rPr>
              <w:t>采购人</w:t>
            </w:r>
            <w:r>
              <w:rPr>
                <w:rFonts w:hint="eastAsia" w:ascii="宋体" w:hAnsi="宋体" w:cs="宋体"/>
                <w:highlight w:val="none"/>
                <w:lang w:eastAsia="zh-CN"/>
              </w:rPr>
              <w:t>专家</w:t>
            </w:r>
            <w:r>
              <w:rPr>
                <w:rFonts w:hint="eastAsia" w:ascii="宋体" w:hAnsi="宋体" w:eastAsia="宋体" w:cs="宋体"/>
                <w:highlight w:val="none"/>
              </w:rPr>
              <w:t>代表与技术、经济等方面的专家组成。</w:t>
            </w:r>
          </w:p>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b/>
                <w:bCs/>
                <w:highlight w:val="none"/>
              </w:rPr>
              <w:t>磋商小组确定方式：</w:t>
            </w:r>
            <w:r>
              <w:rPr>
                <w:rFonts w:hint="eastAsia" w:ascii="宋体" w:hAnsi="宋体" w:eastAsia="宋体" w:cs="宋体"/>
                <w:highlight w:val="none"/>
              </w:rPr>
              <w:t>从专家库中随机抽取。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672" w:type="dxa"/>
            <w:noWrap w:val="0"/>
            <w:vAlign w:val="center"/>
          </w:tcPr>
          <w:p>
            <w:pPr>
              <w:pStyle w:val="23"/>
              <w:kinsoku w:val="0"/>
              <w:overflowPunct w:val="0"/>
              <w:spacing w:before="72"/>
              <w:jc w:val="center"/>
              <w:rPr>
                <w:rFonts w:hint="eastAsia" w:ascii="宋体" w:hAnsi="宋体" w:eastAsia="宋体" w:cs="宋体"/>
                <w:highlight w:val="none"/>
              </w:rPr>
            </w:pPr>
            <w:r>
              <w:rPr>
                <w:rFonts w:hint="eastAsia" w:ascii="宋体" w:hAnsi="宋体" w:eastAsia="宋体" w:cs="宋体"/>
                <w:highlight w:val="none"/>
              </w:rPr>
              <w:t>17</w:t>
            </w:r>
          </w:p>
        </w:tc>
        <w:tc>
          <w:tcPr>
            <w:tcW w:w="8475" w:type="dxa"/>
            <w:noWrap w:val="0"/>
            <w:vAlign w:val="top"/>
          </w:tcPr>
          <w:p>
            <w:pPr>
              <w:pStyle w:val="23"/>
              <w:kinsoku w:val="0"/>
              <w:overflowPunct w:val="0"/>
              <w:spacing w:before="72"/>
              <w:ind w:left="102"/>
              <w:rPr>
                <w:rFonts w:hint="eastAsia" w:ascii="宋体" w:hAnsi="宋体" w:eastAsia="宋体" w:cs="宋体"/>
                <w:highlight w:val="none"/>
              </w:rPr>
            </w:pPr>
            <w:r>
              <w:rPr>
                <w:rFonts w:hint="eastAsia" w:ascii="宋体" w:hAnsi="宋体" w:eastAsia="宋体" w:cs="宋体"/>
                <w:b/>
                <w:bCs/>
                <w:highlight w:val="none"/>
              </w:rPr>
              <w:t>分包（转让）：</w:t>
            </w:r>
            <w:r>
              <w:rPr>
                <w:rFonts w:hint="eastAsia" w:ascii="宋体" w:hAnsi="宋体" w:eastAsia="宋体" w:cs="宋体"/>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jc w:val="center"/>
              <w:rPr>
                <w:rFonts w:hint="eastAsia" w:ascii="宋体" w:hAnsi="宋体" w:eastAsia="宋体" w:cs="宋体"/>
                <w:highlight w:val="none"/>
              </w:rPr>
            </w:pPr>
            <w:r>
              <w:rPr>
                <w:rFonts w:hint="eastAsia" w:ascii="宋体" w:hAnsi="宋体" w:eastAsia="宋体" w:cs="宋体"/>
                <w:highlight w:val="none"/>
              </w:rPr>
              <w:t>18</w:t>
            </w:r>
          </w:p>
        </w:tc>
        <w:tc>
          <w:tcPr>
            <w:tcW w:w="8475" w:type="dxa"/>
            <w:noWrap w:val="0"/>
            <w:vAlign w:val="top"/>
          </w:tcPr>
          <w:p>
            <w:pPr>
              <w:pageBreakBefore w:val="0"/>
              <w:widowControl w:val="0"/>
              <w:kinsoku/>
              <w:wordWrap/>
              <w:overflowPunct/>
              <w:topLinePunct w:val="0"/>
              <w:autoSpaceDE/>
              <w:autoSpaceDN/>
              <w:bidi w:val="0"/>
              <w:adjustRightInd/>
              <w:snapToGrid/>
              <w:spacing w:line="240" w:lineRule="auto"/>
              <w:ind w:left="239" w:leftChars="114" w:firstLine="24" w:firstLineChars="10"/>
              <w:jc w:val="left"/>
              <w:textAlignment w:val="auto"/>
              <w:outlineLvl w:val="9"/>
              <w:rPr>
                <w:rFonts w:hint="eastAsia" w:ascii="宋体" w:hAnsi="宋体" w:eastAsia="宋体" w:cs="宋体"/>
                <w:b/>
                <w:bCs/>
                <w:highlight w:val="yellow"/>
                <w:lang w:val="en-US" w:eastAsia="zh-CN"/>
              </w:rPr>
            </w:pPr>
            <w:r>
              <w:rPr>
                <w:rFonts w:hint="eastAsia" w:ascii="宋体" w:hAnsi="宋体" w:eastAsia="宋体" w:cs="宋体"/>
                <w:b/>
                <w:bCs/>
                <w:kern w:val="0"/>
                <w:sz w:val="24"/>
                <w:szCs w:val="24"/>
                <w:highlight w:val="yellow"/>
                <w:lang w:val="en-US" w:eastAsia="zh-CN" w:bidi="ar-SA"/>
              </w:rPr>
              <w:t>踏勘现场、磋商前答疑会</w:t>
            </w:r>
            <w:r>
              <w:rPr>
                <w:rFonts w:hint="eastAsia" w:ascii="宋体" w:hAnsi="宋体" w:eastAsia="宋体" w:cs="宋体"/>
                <w:b/>
                <w:bCs/>
                <w:highlight w:val="yellow"/>
              </w:rPr>
              <w:t>：</w:t>
            </w:r>
            <w:r>
              <w:rPr>
                <w:rFonts w:hint="eastAsia" w:ascii="宋体" w:hAnsi="宋体" w:cs="宋体"/>
                <w:b/>
                <w:bCs/>
                <w:highlight w:val="yellow"/>
                <w:lang w:val="en-US" w:eastAsia="zh-CN"/>
              </w:rPr>
              <w:t>组织</w:t>
            </w:r>
          </w:p>
          <w:p>
            <w:pPr>
              <w:pageBreakBefore w:val="0"/>
              <w:widowControl w:val="0"/>
              <w:kinsoku/>
              <w:wordWrap/>
              <w:overflowPunct/>
              <w:topLinePunct w:val="0"/>
              <w:autoSpaceDE/>
              <w:autoSpaceDN/>
              <w:bidi w:val="0"/>
              <w:adjustRightInd/>
              <w:snapToGrid/>
              <w:spacing w:line="240" w:lineRule="auto"/>
              <w:ind w:left="239" w:leftChars="114" w:firstLine="24" w:firstLineChars="10"/>
              <w:jc w:val="left"/>
              <w:textAlignment w:val="auto"/>
              <w:outlineLvl w:val="9"/>
              <w:rPr>
                <w:rFonts w:hint="eastAsia" w:ascii="宋体" w:hAnsi="宋体" w:eastAsia="宋体" w:cs="宋体"/>
                <w:highlight w:val="none"/>
              </w:rPr>
            </w:pPr>
            <w:r>
              <w:rPr>
                <w:rFonts w:hint="eastAsia" w:asciiTheme="minorEastAsia" w:hAnsiTheme="minorEastAsia" w:eastAsiaTheme="minorEastAsia" w:cstheme="minorEastAsia"/>
                <w:i w:val="0"/>
                <w:iCs w:val="0"/>
                <w:color w:val="auto"/>
                <w:sz w:val="24"/>
                <w:szCs w:val="24"/>
                <w:highlight w:val="yellow"/>
              </w:rPr>
              <w:t>联系</w:t>
            </w:r>
            <w:r>
              <w:rPr>
                <w:rFonts w:hint="eastAsia" w:asciiTheme="minorEastAsia" w:hAnsiTheme="minorEastAsia" w:eastAsiaTheme="minorEastAsia" w:cstheme="minorEastAsia"/>
                <w:i w:val="0"/>
                <w:iCs w:val="0"/>
                <w:color w:val="auto"/>
                <w:sz w:val="24"/>
                <w:szCs w:val="24"/>
                <w:highlight w:val="yellow"/>
                <w:lang w:val="en-US" w:eastAsia="zh-CN"/>
              </w:rPr>
              <w:t>人：</w:t>
            </w:r>
            <w:r>
              <w:rPr>
                <w:rFonts w:hint="eastAsia" w:asciiTheme="minorEastAsia" w:hAnsiTheme="minorEastAsia" w:eastAsiaTheme="minorEastAsia" w:cstheme="minorEastAsia"/>
                <w:i w:val="0"/>
                <w:iCs w:val="0"/>
                <w:color w:val="auto"/>
                <w:sz w:val="24"/>
                <w:szCs w:val="24"/>
                <w:highlight w:val="yellow"/>
                <w:u w:val="single"/>
                <w:lang w:val="en-US" w:eastAsia="zh-CN"/>
              </w:rPr>
              <w:t xml:space="preserve">开沙江·库尔班 </w:t>
            </w:r>
            <w:r>
              <w:rPr>
                <w:rFonts w:hint="eastAsia" w:asciiTheme="minorEastAsia" w:hAnsiTheme="minorEastAsia" w:eastAsiaTheme="minorEastAsia" w:cstheme="minorEastAsia"/>
                <w:i w:val="0"/>
                <w:iCs w:val="0"/>
                <w:color w:val="auto"/>
                <w:sz w:val="24"/>
                <w:szCs w:val="24"/>
                <w:highlight w:val="yellow"/>
              </w:rPr>
              <w:t>联系方式：</w:t>
            </w:r>
            <w:r>
              <w:rPr>
                <w:rFonts w:hint="eastAsia" w:asciiTheme="minorEastAsia" w:hAnsiTheme="minorEastAsia" w:eastAsiaTheme="minorEastAsia" w:cstheme="minorEastAsia"/>
                <w:i w:val="0"/>
                <w:iCs w:val="0"/>
                <w:color w:val="auto"/>
                <w:sz w:val="24"/>
                <w:szCs w:val="24"/>
                <w:highlight w:val="yellow"/>
                <w:u w:val="single"/>
                <w:lang w:val="en-US" w:eastAsia="zh-CN"/>
              </w:rPr>
              <w:t>13999280452</w:t>
            </w:r>
            <w:r>
              <w:rPr>
                <w:rFonts w:hint="eastAsia" w:ascii="宋体" w:hAnsi="宋体" w:eastAsia="宋体" w:cs="宋体"/>
                <w:b/>
                <w:bCs/>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19</w:t>
            </w:r>
          </w:p>
        </w:tc>
        <w:tc>
          <w:tcPr>
            <w:tcW w:w="8475" w:type="dxa"/>
            <w:noWrap w:val="0"/>
            <w:vAlign w:val="top"/>
          </w:tcPr>
          <w:p>
            <w:pPr>
              <w:pStyle w:val="23"/>
              <w:kinsoku w:val="0"/>
              <w:overflowPunct w:val="0"/>
              <w:spacing w:before="73"/>
              <w:ind w:left="102"/>
              <w:rPr>
                <w:rFonts w:hint="eastAsia" w:ascii="宋体" w:hAnsi="宋体" w:eastAsia="宋体" w:cs="宋体"/>
                <w:highlight w:val="none"/>
              </w:rPr>
            </w:pPr>
            <w:r>
              <w:rPr>
                <w:rFonts w:hint="eastAsia" w:ascii="宋体" w:hAnsi="宋体" w:eastAsia="宋体" w:cs="宋体"/>
                <w:b/>
                <w:bCs/>
                <w:highlight w:val="none"/>
              </w:rPr>
              <w:t>构成竞争性磋商文件的其他文件：</w:t>
            </w:r>
            <w:r>
              <w:rPr>
                <w:rFonts w:hint="eastAsia" w:ascii="宋体" w:hAnsi="宋体" w:eastAsia="宋体" w:cs="宋体"/>
                <w:highlight w:val="none"/>
              </w:rPr>
              <w:t>竞争性磋商文件的澄清、修改书及有关补充通知为竞争性磋商文件的有效组成部分。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20</w:t>
            </w:r>
          </w:p>
        </w:tc>
        <w:tc>
          <w:tcPr>
            <w:tcW w:w="8475" w:type="dxa"/>
            <w:noWrap w:val="0"/>
            <w:vAlign w:val="top"/>
          </w:tcPr>
          <w:p>
            <w:pPr>
              <w:pStyle w:val="23"/>
              <w:kinsoku w:val="0"/>
              <w:overflowPunct w:val="0"/>
              <w:spacing w:before="57"/>
              <w:ind w:left="102"/>
              <w:rPr>
                <w:rFonts w:hint="eastAsia" w:ascii="宋体" w:hAnsi="宋体" w:eastAsia="宋体" w:cs="宋体"/>
                <w:highlight w:val="none"/>
              </w:rPr>
            </w:pPr>
            <w:r>
              <w:rPr>
                <w:rFonts w:hint="eastAsia" w:ascii="宋体" w:hAnsi="宋体" w:eastAsia="宋体" w:cs="宋体"/>
                <w:b/>
                <w:bCs/>
                <w:highlight w:val="none"/>
              </w:rPr>
              <w:t>投标保证金</w:t>
            </w:r>
          </w:p>
          <w:p>
            <w:pPr>
              <w:rPr>
                <w:rFonts w:hint="eastAsia" w:ascii="宋体" w:hAnsi="宋体" w:cs="宋体" w:eastAsiaTheme="minorEastAsia"/>
                <w:kern w:val="0"/>
                <w:sz w:val="24"/>
                <w:szCs w:val="24"/>
                <w:highlight w:val="none"/>
                <w:lang w:eastAsia="zh-CN"/>
              </w:rPr>
            </w:pPr>
            <w:r>
              <w:rPr>
                <w:rFonts w:hint="eastAsia" w:ascii="宋体" w:hAnsi="宋体" w:eastAsia="宋体" w:cs="宋体"/>
                <w:kern w:val="0"/>
                <w:sz w:val="24"/>
                <w:szCs w:val="24"/>
                <w:highlight w:val="none"/>
              </w:rPr>
              <w:t>投标保证金的形式：电汇、转账等形式</w:t>
            </w:r>
            <w:r>
              <w:rPr>
                <w:rFonts w:hint="eastAsia" w:ascii="宋体" w:hAnsi="宋体" w:cs="宋体"/>
                <w:kern w:val="0"/>
                <w:sz w:val="24"/>
                <w:szCs w:val="24"/>
                <w:highlight w:val="none"/>
                <w:lang w:eastAsia="zh-CN"/>
              </w:rPr>
              <w:t>，</w:t>
            </w:r>
            <w:r>
              <w:rPr>
                <w:rFonts w:hint="eastAsia" w:asciiTheme="minorEastAsia" w:hAnsiTheme="minorEastAsia" w:eastAsiaTheme="minorEastAsia" w:cstheme="minorEastAsia"/>
                <w:color w:val="auto"/>
                <w:sz w:val="24"/>
                <w:highlight w:val="none"/>
              </w:rPr>
              <w:t>均应从基本账户转出</w:t>
            </w:r>
            <w:r>
              <w:rPr>
                <w:rFonts w:hint="eastAsia" w:asciiTheme="minorEastAsia" w:hAnsiTheme="minorEastAsia" w:eastAsiaTheme="minorEastAsia" w:cstheme="minorEastAsia"/>
                <w:color w:val="auto"/>
                <w:sz w:val="24"/>
                <w:highlight w:val="none"/>
                <w:lang w:eastAsia="zh-CN"/>
              </w:rPr>
              <w:t>。</w:t>
            </w:r>
          </w:p>
          <w:p>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投标保证金的金额：</w:t>
            </w:r>
            <w:r>
              <w:rPr>
                <w:rFonts w:hint="eastAsia" w:ascii="宋体" w:hAnsi="宋体" w:cs="宋体"/>
                <w:kern w:val="0"/>
                <w:sz w:val="24"/>
                <w:szCs w:val="24"/>
                <w:highlight w:val="none"/>
                <w:lang w:val="en-US" w:eastAsia="zh-CN"/>
              </w:rPr>
              <w:t>9000</w:t>
            </w:r>
            <w:r>
              <w:rPr>
                <w:rFonts w:hint="eastAsia" w:ascii="宋体" w:hAnsi="宋体" w:eastAsia="宋体" w:cs="宋体"/>
                <w:kern w:val="0"/>
                <w:sz w:val="24"/>
                <w:szCs w:val="24"/>
                <w:highlight w:val="none"/>
              </w:rPr>
              <w:t>元（</w:t>
            </w:r>
            <w:r>
              <w:rPr>
                <w:rFonts w:hint="eastAsia" w:ascii="宋体" w:hAnsi="宋体" w:cs="宋体"/>
                <w:kern w:val="0"/>
                <w:sz w:val="24"/>
                <w:szCs w:val="24"/>
                <w:highlight w:val="none"/>
                <w:lang w:val="en-US" w:eastAsia="zh-CN"/>
              </w:rPr>
              <w:t>玖仟元</w:t>
            </w:r>
            <w:r>
              <w:rPr>
                <w:rFonts w:hint="eastAsia" w:ascii="宋体" w:hAnsi="宋体" w:eastAsia="宋体" w:cs="宋体"/>
                <w:kern w:val="0"/>
                <w:sz w:val="24"/>
                <w:szCs w:val="24"/>
                <w:highlight w:val="none"/>
              </w:rPr>
              <w:t>整）</w:t>
            </w:r>
          </w:p>
          <w:p>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投标保证金必须在开标前一天缴纳至以下账号：</w:t>
            </w:r>
          </w:p>
          <w:p>
            <w:pPr>
              <w:pStyle w:val="23"/>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单位名称：</w:t>
            </w:r>
            <w:r>
              <w:rPr>
                <w:rFonts w:hint="eastAsia" w:asciiTheme="minorEastAsia" w:hAnsiTheme="minorEastAsia" w:eastAsiaTheme="minorEastAsia" w:cstheme="minorEastAsia"/>
                <w:color w:val="auto"/>
                <w:sz w:val="24"/>
                <w:highlight w:val="none"/>
                <w:lang w:eastAsia="zh-CN"/>
              </w:rPr>
              <w:t>新疆天之源项目管理集团有限公司</w:t>
            </w:r>
          </w:p>
          <w:p>
            <w:pPr>
              <w:pStyle w:val="23"/>
              <w:spacing w:before="132" w:line="345" w:lineRule="auto"/>
              <w:ind w:right="15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开户银行：</w:t>
            </w:r>
            <w:r>
              <w:rPr>
                <w:rFonts w:hint="eastAsia"/>
                <w:color w:val="auto"/>
                <w:sz w:val="24"/>
                <w:szCs w:val="24"/>
                <w:highlight w:val="none"/>
              </w:rPr>
              <w:t>招商银行股份有限公司乌鲁木齐人民路支行</w:t>
            </w:r>
          </w:p>
          <w:p>
            <w:pPr>
              <w:pStyle w:val="23"/>
              <w:spacing w:line="343" w:lineRule="auto"/>
              <w:ind w:right="195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银行账号：991902337110201 行号：308881029059</w:t>
            </w:r>
          </w:p>
          <w:p>
            <w:pPr>
              <w:rPr>
                <w:rFonts w:hint="eastAsia" w:ascii="宋体" w:hAnsi="宋体" w:eastAsia="宋体" w:cs="宋体"/>
                <w:b/>
                <w:bCs/>
                <w:highlight w:val="none"/>
              </w:rPr>
            </w:pPr>
            <w:r>
              <w:rPr>
                <w:rFonts w:hint="eastAsia" w:ascii="宋体" w:hAnsi="宋体" w:eastAsia="宋体" w:cs="宋体"/>
                <w:kern w:val="0"/>
                <w:sz w:val="24"/>
                <w:szCs w:val="24"/>
                <w:highlight w:val="none"/>
              </w:rPr>
              <w:t>投标人办理保证金时，须注明“项目名称+投标保证金”（如字数超出规定字数可简写项目名称）。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21</w:t>
            </w:r>
          </w:p>
        </w:tc>
        <w:tc>
          <w:tcPr>
            <w:tcW w:w="8475" w:type="dxa"/>
            <w:noWrap w:val="0"/>
            <w:vAlign w:val="top"/>
          </w:tcPr>
          <w:p>
            <w:pPr>
              <w:pStyle w:val="23"/>
              <w:kinsoku w:val="0"/>
              <w:overflowPunct w:val="0"/>
              <w:spacing w:before="57"/>
              <w:ind w:left="102"/>
              <w:rPr>
                <w:rFonts w:hint="eastAsia" w:ascii="宋体" w:hAnsi="宋体" w:eastAsia="宋体" w:cs="宋体"/>
                <w:highlight w:val="none"/>
              </w:rPr>
            </w:pPr>
            <w:r>
              <w:rPr>
                <w:rFonts w:hint="eastAsia" w:ascii="宋体" w:hAnsi="宋体" w:eastAsia="宋体" w:cs="宋体"/>
                <w:b/>
                <w:bCs/>
                <w:highlight w:val="none"/>
              </w:rPr>
              <w:t>投标保证金退还：</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highlight w:val="none"/>
              </w:rPr>
              <w:t>未中标供应商的投标保证金，在中标结果公示期满后</w:t>
            </w:r>
            <w:r>
              <w:rPr>
                <w:rFonts w:hint="eastAsia" w:ascii="宋体" w:hAnsi="宋体" w:eastAsia="宋体" w:cs="宋体"/>
                <w:spacing w:val="-60"/>
                <w:highlight w:val="none"/>
              </w:rPr>
              <w:t xml:space="preserve"> </w:t>
            </w:r>
            <w:r>
              <w:rPr>
                <w:rFonts w:hint="eastAsia" w:ascii="宋体" w:hAnsi="宋体" w:eastAsia="宋体" w:cs="宋体"/>
                <w:highlight w:val="none"/>
              </w:rPr>
              <w:t>5</w:t>
            </w:r>
            <w:r>
              <w:rPr>
                <w:rFonts w:hint="eastAsia" w:ascii="宋体" w:hAnsi="宋体" w:eastAsia="宋体" w:cs="宋体"/>
                <w:spacing w:val="-60"/>
                <w:highlight w:val="none"/>
              </w:rPr>
              <w:t xml:space="preserve"> </w:t>
            </w:r>
            <w:r>
              <w:rPr>
                <w:rFonts w:hint="eastAsia" w:ascii="宋体" w:hAnsi="宋体" w:eastAsia="宋体" w:cs="宋体"/>
                <w:highlight w:val="none"/>
              </w:rPr>
              <w:t>个工作日内由招</w:t>
            </w:r>
          </w:p>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highlight w:val="none"/>
              </w:rPr>
              <w:t>标代理机构退还。</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highlight w:val="none"/>
              </w:rPr>
              <w:t>中标供应商的投标保证金，在签订合同后</w:t>
            </w:r>
            <w:r>
              <w:rPr>
                <w:rFonts w:hint="eastAsia" w:ascii="宋体" w:hAnsi="宋体" w:eastAsia="宋体" w:cs="宋体"/>
                <w:spacing w:val="-60"/>
                <w:highlight w:val="none"/>
              </w:rPr>
              <w:t xml:space="preserve"> </w:t>
            </w:r>
            <w:r>
              <w:rPr>
                <w:rFonts w:hint="eastAsia" w:ascii="宋体" w:hAnsi="宋体" w:eastAsia="宋体" w:cs="宋体"/>
                <w:highlight w:val="none"/>
              </w:rPr>
              <w:t>5</w:t>
            </w:r>
            <w:r>
              <w:rPr>
                <w:rFonts w:hint="eastAsia" w:ascii="宋体" w:hAnsi="宋体" w:eastAsia="宋体" w:cs="宋体"/>
                <w:spacing w:val="-60"/>
                <w:highlight w:val="none"/>
              </w:rPr>
              <w:t xml:space="preserve"> </w:t>
            </w:r>
            <w:r>
              <w:rPr>
                <w:rFonts w:hint="eastAsia" w:ascii="宋体" w:hAnsi="宋体" w:eastAsia="宋体" w:cs="宋体"/>
                <w:highlight w:val="none"/>
              </w:rPr>
              <w:t>个工作日内由招标代理机构</w:t>
            </w:r>
          </w:p>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highlight w:val="none"/>
              </w:rPr>
              <w:t>退还。</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b/>
                <w:bCs/>
                <w:highlight w:val="none"/>
              </w:rPr>
              <w:t>如供应商有下列情形之一的，投标保证金不予退还</w:t>
            </w:r>
            <w:r>
              <w:rPr>
                <w:rFonts w:hint="eastAsia" w:ascii="宋体" w:hAnsi="宋体" w:eastAsia="宋体" w:cs="宋体"/>
                <w:highlight w:val="none"/>
              </w:rPr>
              <w:t>：</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highlight w:val="none"/>
              </w:rPr>
              <w:t>(1)供应商未按规定的时间、地点参加投标或者开标后投标方撤标的；</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highlight w:val="none"/>
              </w:rPr>
              <w:t>(2)中标人在规定期限内未能按规定签订合同的；</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highlight w:val="none"/>
              </w:rPr>
              <w:t>(3)供应商在磋商响应性文件中提供虚假资质或证明材料</w:t>
            </w:r>
            <w:r>
              <w:rPr>
                <w:rFonts w:hint="eastAsia" w:ascii="宋体" w:hAnsi="宋体" w:eastAsia="宋体" w:cs="宋体"/>
                <w:spacing w:val="-94"/>
                <w:highlight w:val="none"/>
              </w:rPr>
              <w:t>，</w:t>
            </w:r>
            <w:r>
              <w:rPr>
                <w:rFonts w:hint="eastAsia" w:ascii="宋体" w:hAnsi="宋体" w:eastAsia="宋体" w:cs="宋体"/>
                <w:highlight w:val="none"/>
              </w:rPr>
              <w:t>进行无效投标</w:t>
            </w:r>
          </w:p>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highlight w:val="none"/>
              </w:rPr>
              <w:t>的；</w:t>
            </w:r>
          </w:p>
          <w:p>
            <w:pPr>
              <w:pStyle w:val="23"/>
              <w:kinsoku w:val="0"/>
              <w:overflowPunct w:val="0"/>
              <w:spacing w:before="57"/>
              <w:ind w:left="102" w:firstLine="480" w:firstLineChars="200"/>
              <w:rPr>
                <w:rFonts w:hint="eastAsia" w:ascii="宋体" w:hAnsi="宋体" w:eastAsia="宋体" w:cs="宋体"/>
                <w:highlight w:val="none"/>
              </w:rPr>
            </w:pPr>
            <w:r>
              <w:rPr>
                <w:rFonts w:hint="eastAsia" w:ascii="宋体" w:hAnsi="宋体" w:eastAsia="宋体" w:cs="宋体"/>
                <w:highlight w:val="none"/>
              </w:rPr>
              <w:t>(4)有证据证明供应商参与了串标、商业贿赂等违法、违规行为的；</w:t>
            </w:r>
          </w:p>
          <w:p>
            <w:pPr>
              <w:pStyle w:val="23"/>
              <w:kinsoku w:val="0"/>
              <w:overflowPunct w:val="0"/>
              <w:spacing w:before="23"/>
              <w:ind w:left="582"/>
              <w:rPr>
                <w:rFonts w:hint="eastAsia" w:ascii="宋体" w:hAnsi="宋体" w:eastAsia="宋体" w:cs="宋体"/>
                <w:highlight w:val="none"/>
              </w:rPr>
            </w:pPr>
            <w:r>
              <w:rPr>
                <w:rFonts w:hint="eastAsia" w:ascii="宋体" w:hAnsi="宋体" w:eastAsia="宋体" w:cs="宋体"/>
                <w:highlight w:val="none"/>
              </w:rPr>
              <w:t>(5)</w:t>
            </w:r>
            <w:r>
              <w:rPr>
                <w:rFonts w:hint="eastAsia" w:ascii="宋体" w:hAnsi="宋体" w:eastAsia="宋体" w:cs="宋体"/>
                <w:spacing w:val="4"/>
                <w:kern w:val="2"/>
                <w:sz w:val="21"/>
                <w:szCs w:val="22"/>
                <w:highlight w:val="none"/>
              </w:rPr>
              <w:t xml:space="preserve"> </w:t>
            </w:r>
            <w:r>
              <w:rPr>
                <w:rFonts w:hint="eastAsia" w:ascii="宋体" w:hAnsi="宋体" w:eastAsia="宋体" w:cs="宋体"/>
                <w:highlight w:val="none"/>
              </w:rPr>
              <w:t>缴纳投标保证金的供应商无正当理由不参加投标，且开标前</w:t>
            </w:r>
            <w:r>
              <w:rPr>
                <w:rFonts w:hint="eastAsia" w:ascii="宋体" w:hAnsi="宋体" w:eastAsia="宋体" w:cs="宋体"/>
                <w:spacing w:val="-60"/>
                <w:highlight w:val="none"/>
              </w:rPr>
              <w:t xml:space="preserve"> </w:t>
            </w:r>
            <w:r>
              <w:rPr>
                <w:rFonts w:hint="eastAsia" w:ascii="宋体" w:hAnsi="宋体" w:eastAsia="宋体" w:cs="宋体"/>
                <w:highlight w:val="none"/>
              </w:rPr>
              <w:t>24</w:t>
            </w:r>
            <w:r>
              <w:rPr>
                <w:rFonts w:hint="eastAsia" w:ascii="宋体" w:hAnsi="宋体" w:eastAsia="宋体" w:cs="宋体"/>
                <w:spacing w:val="-60"/>
                <w:highlight w:val="none"/>
              </w:rPr>
              <w:t xml:space="preserve"> </w:t>
            </w:r>
            <w:r>
              <w:rPr>
                <w:rFonts w:hint="eastAsia" w:ascii="宋体" w:hAnsi="宋体" w:eastAsia="宋体" w:cs="宋体"/>
                <w:highlight w:val="none"/>
              </w:rPr>
              <w:t>小时</w:t>
            </w:r>
          </w:p>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highlight w:val="none"/>
              </w:rPr>
              <w:t>之前未书面通知招标机构的；</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highlight w:val="none"/>
              </w:rPr>
              <w:t>(6)供应商被通知中标后</w:t>
            </w:r>
            <w:r>
              <w:rPr>
                <w:rFonts w:hint="eastAsia" w:ascii="宋体" w:hAnsi="宋体" w:eastAsia="宋体" w:cs="宋体"/>
                <w:spacing w:val="-94"/>
                <w:highlight w:val="none"/>
              </w:rPr>
              <w:t>，</w:t>
            </w:r>
            <w:r>
              <w:rPr>
                <w:rFonts w:hint="eastAsia" w:ascii="宋体" w:hAnsi="宋体" w:eastAsia="宋体" w:cs="宋体"/>
                <w:highlight w:val="none"/>
              </w:rPr>
              <w:t>不按规定的时间或拒绝按中标状态签订合同的</w:t>
            </w:r>
          </w:p>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highlight w:val="none"/>
              </w:rPr>
              <w:t>（即不按中标时规定的技术要求，投标报价，保修服务等签订合同）；</w:t>
            </w:r>
          </w:p>
          <w:p>
            <w:pPr>
              <w:pStyle w:val="23"/>
              <w:kinsoku w:val="0"/>
              <w:overflowPunct w:val="0"/>
              <w:spacing w:before="57"/>
              <w:ind w:left="102" w:firstLine="480" w:firstLineChars="200"/>
              <w:rPr>
                <w:rFonts w:hint="eastAsia" w:ascii="宋体" w:hAnsi="宋体" w:eastAsia="宋体" w:cs="宋体"/>
                <w:b/>
                <w:bCs/>
                <w:highlight w:val="none"/>
              </w:rPr>
            </w:pPr>
            <w:r>
              <w:rPr>
                <w:rFonts w:hint="eastAsia" w:ascii="宋体" w:hAnsi="宋体" w:eastAsia="宋体" w:cs="宋体"/>
                <w:highlight w:val="none"/>
              </w:rPr>
              <w:t>(7)《竞争性磋商文件》规定的其它情形。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22</w:t>
            </w:r>
          </w:p>
        </w:tc>
        <w:tc>
          <w:tcPr>
            <w:tcW w:w="8475" w:type="dxa"/>
            <w:noWrap w:val="0"/>
            <w:vAlign w:val="top"/>
          </w:tcPr>
          <w:p>
            <w:pPr>
              <w:pStyle w:val="23"/>
              <w:kinsoku w:val="0"/>
              <w:overflowPunct w:val="0"/>
              <w:spacing w:before="56"/>
              <w:ind w:left="102"/>
              <w:rPr>
                <w:rFonts w:hint="eastAsia" w:ascii="宋体" w:hAnsi="宋体" w:eastAsia="宋体" w:cs="宋体"/>
                <w:highlight w:val="none"/>
              </w:rPr>
            </w:pPr>
            <w:r>
              <w:rPr>
                <w:rFonts w:hint="eastAsia" w:ascii="宋体" w:hAnsi="宋体" w:eastAsia="宋体" w:cs="宋体"/>
                <w:b/>
                <w:bCs/>
                <w:highlight w:val="none"/>
              </w:rPr>
              <w:t>《磋商响应性文件》递交份数、时间及地点：</w:t>
            </w:r>
          </w:p>
          <w:p>
            <w:pPr>
              <w:pStyle w:val="23"/>
              <w:kinsoku w:val="0"/>
              <w:overflowPunct w:val="0"/>
              <w:spacing w:before="16"/>
              <w:ind w:left="582" w:right="-34"/>
              <w:rPr>
                <w:rFonts w:hint="eastAsia" w:ascii="宋体" w:hAnsi="宋体" w:eastAsia="宋体" w:cs="宋体"/>
                <w:highlight w:val="none"/>
              </w:rPr>
            </w:pPr>
            <w:r>
              <w:rPr>
                <w:rFonts w:hint="eastAsia" w:ascii="宋体" w:hAnsi="宋体" w:eastAsia="宋体" w:cs="宋体"/>
                <w:b/>
                <w:bCs/>
                <w:spacing w:val="-5"/>
                <w:highlight w:val="none"/>
              </w:rPr>
              <w:t>1、份数：</w:t>
            </w:r>
            <w:r>
              <w:rPr>
                <w:rFonts w:hint="eastAsia" w:ascii="宋体" w:hAnsi="宋体" w:eastAsia="宋体" w:cs="宋体"/>
                <w:spacing w:val="-4"/>
                <w:highlight w:val="none"/>
              </w:rPr>
              <w:t>正本</w:t>
            </w:r>
            <w:r>
              <w:rPr>
                <w:rFonts w:hint="eastAsia" w:ascii="宋体" w:hAnsi="宋体" w:eastAsia="宋体" w:cs="宋体"/>
                <w:highlight w:val="none"/>
              </w:rPr>
              <w:t xml:space="preserve"> 1 份,副本</w:t>
            </w:r>
            <w:r>
              <w:rPr>
                <w:rFonts w:hint="eastAsia" w:ascii="宋体" w:hAnsi="宋体" w:cs="宋体"/>
                <w:highlight w:val="none"/>
                <w:lang w:val="en-US" w:eastAsia="zh-CN"/>
              </w:rPr>
              <w:t>4</w:t>
            </w:r>
            <w:r>
              <w:rPr>
                <w:rFonts w:hint="eastAsia" w:ascii="宋体" w:hAnsi="宋体" w:eastAsia="宋体" w:cs="宋体"/>
                <w:highlight w:val="none"/>
              </w:rPr>
              <w:t xml:space="preserve"> 份，电子版 </w:t>
            </w:r>
            <w:r>
              <w:rPr>
                <w:rFonts w:hint="eastAsia" w:ascii="宋体" w:hAnsi="宋体" w:cs="宋体"/>
                <w:highlight w:val="none"/>
                <w:lang w:val="en-US" w:eastAsia="zh-CN"/>
              </w:rPr>
              <w:t>1</w:t>
            </w:r>
            <w:r>
              <w:rPr>
                <w:rFonts w:hint="eastAsia" w:ascii="宋体" w:hAnsi="宋体" w:eastAsia="宋体" w:cs="宋体"/>
                <w:highlight w:val="none"/>
              </w:rPr>
              <w:t xml:space="preserve"> 份</w:t>
            </w:r>
            <w:r>
              <w:rPr>
                <w:rFonts w:hint="eastAsia" w:ascii="宋体" w:hAnsi="宋体" w:eastAsia="宋体" w:cs="宋体"/>
                <w:spacing w:val="-6"/>
                <w:highlight w:val="none"/>
              </w:rPr>
              <w:t>（U</w:t>
            </w:r>
            <w:r>
              <w:rPr>
                <w:rFonts w:hint="eastAsia" w:ascii="宋体" w:hAnsi="宋体" w:eastAsia="宋体" w:cs="宋体"/>
                <w:spacing w:val="-61"/>
                <w:highlight w:val="none"/>
              </w:rPr>
              <w:t xml:space="preserve"> </w:t>
            </w:r>
            <w:r>
              <w:rPr>
                <w:rFonts w:hint="eastAsia" w:ascii="宋体" w:hAnsi="宋体" w:eastAsia="宋体" w:cs="宋体"/>
                <w:spacing w:val="-3"/>
                <w:highlight w:val="none"/>
              </w:rPr>
              <w:t>盘，含所有签章的正本扫描件、格式：PDF、一份），</w:t>
            </w:r>
            <w:r>
              <w:rPr>
                <w:rFonts w:hint="eastAsia" w:ascii="宋体" w:hAnsi="宋体" w:cs="宋体"/>
                <w:spacing w:val="-3"/>
                <w:highlight w:val="none"/>
                <w:lang w:val="en-US" w:eastAsia="zh-CN"/>
              </w:rPr>
              <w:t>报价一览表1份，</w:t>
            </w:r>
            <w:r>
              <w:rPr>
                <w:rFonts w:hint="eastAsia" w:ascii="宋体" w:hAnsi="宋体" w:eastAsia="宋体" w:cs="宋体"/>
                <w:highlight w:val="none"/>
              </w:rPr>
              <w:t>所有文件递交不退。</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b/>
                <w:bCs/>
                <w:spacing w:val="2"/>
                <w:highlight w:val="none"/>
              </w:rPr>
              <w:t>特</w:t>
            </w:r>
            <w:r>
              <w:rPr>
                <w:rFonts w:hint="eastAsia" w:ascii="宋体" w:hAnsi="宋体" w:eastAsia="宋体" w:cs="宋体"/>
                <w:b/>
                <w:bCs/>
                <w:highlight w:val="none"/>
              </w:rPr>
              <w:t>别</w:t>
            </w:r>
            <w:r>
              <w:rPr>
                <w:rFonts w:hint="eastAsia" w:ascii="宋体" w:hAnsi="宋体" w:eastAsia="宋体" w:cs="宋体"/>
                <w:b/>
                <w:bCs/>
                <w:spacing w:val="2"/>
                <w:highlight w:val="none"/>
              </w:rPr>
              <w:t>提示</w:t>
            </w:r>
            <w:r>
              <w:rPr>
                <w:rFonts w:hint="eastAsia" w:ascii="宋体" w:hAnsi="宋体" w:eastAsia="宋体" w:cs="宋体"/>
                <w:b/>
                <w:bCs/>
                <w:spacing w:val="-30"/>
                <w:highlight w:val="none"/>
              </w:rPr>
              <w:t>：</w:t>
            </w:r>
            <w:r>
              <w:rPr>
                <w:rFonts w:hint="eastAsia" w:ascii="宋体" w:hAnsi="宋体" w:eastAsia="宋体" w:cs="宋体"/>
                <w:b/>
                <w:bCs/>
                <w:spacing w:val="2"/>
                <w:highlight w:val="none"/>
              </w:rPr>
              <w:t>电</w:t>
            </w:r>
            <w:r>
              <w:rPr>
                <w:rFonts w:hint="eastAsia" w:ascii="宋体" w:hAnsi="宋体" w:eastAsia="宋体" w:cs="宋体"/>
                <w:b/>
                <w:bCs/>
                <w:highlight w:val="none"/>
              </w:rPr>
              <w:t>子</w:t>
            </w:r>
            <w:r>
              <w:rPr>
                <w:rFonts w:hint="eastAsia" w:ascii="宋体" w:hAnsi="宋体" w:eastAsia="宋体" w:cs="宋体"/>
                <w:b/>
                <w:bCs/>
                <w:spacing w:val="-28"/>
                <w:highlight w:val="none"/>
              </w:rPr>
              <w:t>版</w:t>
            </w:r>
            <w:r>
              <w:rPr>
                <w:rFonts w:hint="eastAsia" w:ascii="宋体" w:hAnsi="宋体" w:eastAsia="宋体" w:cs="宋体"/>
                <w:b/>
                <w:bCs/>
                <w:highlight w:val="none"/>
              </w:rPr>
              <w:t>《</w:t>
            </w:r>
            <w:r>
              <w:rPr>
                <w:rFonts w:hint="eastAsia" w:ascii="宋体" w:hAnsi="宋体" w:eastAsia="宋体" w:cs="宋体"/>
                <w:b/>
                <w:bCs/>
                <w:spacing w:val="2"/>
                <w:highlight w:val="none"/>
              </w:rPr>
              <w:t>磋</w:t>
            </w:r>
            <w:r>
              <w:rPr>
                <w:rFonts w:hint="eastAsia" w:ascii="宋体" w:hAnsi="宋体" w:eastAsia="宋体" w:cs="宋体"/>
                <w:b/>
                <w:bCs/>
                <w:highlight w:val="none"/>
              </w:rPr>
              <w:t>商</w:t>
            </w:r>
            <w:r>
              <w:rPr>
                <w:rFonts w:hint="eastAsia" w:ascii="宋体" w:hAnsi="宋体" w:eastAsia="宋体" w:cs="宋体"/>
                <w:b/>
                <w:bCs/>
                <w:spacing w:val="2"/>
                <w:highlight w:val="none"/>
              </w:rPr>
              <w:t>响应性</w:t>
            </w:r>
            <w:r>
              <w:rPr>
                <w:rFonts w:hint="eastAsia" w:ascii="宋体" w:hAnsi="宋体" w:eastAsia="宋体" w:cs="宋体"/>
                <w:b/>
                <w:bCs/>
                <w:highlight w:val="none"/>
              </w:rPr>
              <w:t>文</w:t>
            </w:r>
            <w:r>
              <w:rPr>
                <w:rFonts w:hint="eastAsia" w:ascii="宋体" w:hAnsi="宋体" w:eastAsia="宋体" w:cs="宋体"/>
                <w:b/>
                <w:bCs/>
                <w:spacing w:val="2"/>
                <w:highlight w:val="none"/>
              </w:rPr>
              <w:t>件</w:t>
            </w:r>
            <w:r>
              <w:rPr>
                <w:rFonts w:hint="eastAsia" w:ascii="宋体" w:hAnsi="宋体" w:eastAsia="宋体" w:cs="宋体"/>
                <w:b/>
                <w:bCs/>
                <w:spacing w:val="-30"/>
                <w:highlight w:val="none"/>
              </w:rPr>
              <w:t>》</w:t>
            </w:r>
            <w:r>
              <w:rPr>
                <w:rFonts w:hint="eastAsia" w:ascii="宋体" w:hAnsi="宋体" w:eastAsia="宋体" w:cs="宋体"/>
                <w:b/>
                <w:bCs/>
                <w:spacing w:val="2"/>
                <w:highlight w:val="none"/>
              </w:rPr>
              <w:t>必</w:t>
            </w:r>
            <w:r>
              <w:rPr>
                <w:rFonts w:hint="eastAsia" w:ascii="宋体" w:hAnsi="宋体" w:eastAsia="宋体" w:cs="宋体"/>
                <w:b/>
                <w:bCs/>
                <w:highlight w:val="none"/>
              </w:rPr>
              <w:t>须</w:t>
            </w:r>
            <w:r>
              <w:rPr>
                <w:rFonts w:hint="eastAsia" w:ascii="宋体" w:hAnsi="宋体" w:eastAsia="宋体" w:cs="宋体"/>
                <w:b/>
                <w:bCs/>
                <w:spacing w:val="2"/>
                <w:highlight w:val="none"/>
              </w:rPr>
              <w:t>与纸质</w:t>
            </w:r>
            <w:r>
              <w:rPr>
                <w:rFonts w:hint="eastAsia" w:ascii="宋体" w:hAnsi="宋体" w:eastAsia="宋体" w:cs="宋体"/>
                <w:b/>
                <w:bCs/>
                <w:spacing w:val="-30"/>
                <w:highlight w:val="none"/>
              </w:rPr>
              <w:t>版</w:t>
            </w:r>
            <w:r>
              <w:rPr>
                <w:rFonts w:hint="eastAsia" w:ascii="宋体" w:hAnsi="宋体" w:eastAsia="宋体" w:cs="宋体"/>
                <w:b/>
                <w:bCs/>
                <w:spacing w:val="2"/>
                <w:highlight w:val="none"/>
              </w:rPr>
              <w:t>《磋</w:t>
            </w:r>
            <w:r>
              <w:rPr>
                <w:rFonts w:hint="eastAsia" w:ascii="宋体" w:hAnsi="宋体" w:eastAsia="宋体" w:cs="宋体"/>
                <w:b/>
                <w:bCs/>
                <w:highlight w:val="none"/>
              </w:rPr>
              <w:t>商</w:t>
            </w:r>
            <w:r>
              <w:rPr>
                <w:rFonts w:hint="eastAsia" w:ascii="宋体" w:hAnsi="宋体" w:eastAsia="宋体" w:cs="宋体"/>
                <w:b/>
                <w:bCs/>
                <w:spacing w:val="2"/>
                <w:highlight w:val="none"/>
              </w:rPr>
              <w:t>响应性</w:t>
            </w:r>
            <w:r>
              <w:rPr>
                <w:rFonts w:hint="eastAsia" w:ascii="宋体" w:hAnsi="宋体" w:eastAsia="宋体" w:cs="宋体"/>
                <w:b/>
                <w:bCs/>
                <w:highlight w:val="none"/>
              </w:rPr>
              <w:t>文件》</w:t>
            </w:r>
          </w:p>
          <w:p>
            <w:pPr>
              <w:pStyle w:val="23"/>
              <w:kinsoku w:val="0"/>
              <w:overflowPunct w:val="0"/>
              <w:spacing w:before="16"/>
              <w:ind w:left="102"/>
              <w:rPr>
                <w:rFonts w:hint="eastAsia" w:ascii="宋体" w:hAnsi="宋体" w:eastAsia="宋体" w:cs="宋体"/>
                <w:highlight w:val="none"/>
              </w:rPr>
            </w:pPr>
            <w:r>
              <w:rPr>
                <w:rFonts w:hint="eastAsia" w:ascii="宋体" w:hAnsi="宋体" w:eastAsia="宋体" w:cs="宋体"/>
                <w:b/>
                <w:bCs/>
                <w:highlight w:val="none"/>
              </w:rPr>
              <w:t>完全一致。</w:t>
            </w:r>
          </w:p>
          <w:p>
            <w:pPr>
              <w:pStyle w:val="23"/>
              <w:kinsoku w:val="0"/>
              <w:overflowPunct w:val="0"/>
              <w:spacing w:before="16"/>
              <w:ind w:left="582"/>
              <w:rPr>
                <w:rFonts w:hint="eastAsia" w:ascii="宋体" w:hAnsi="宋体" w:eastAsia="宋体" w:cs="宋体"/>
                <w:highlight w:val="none"/>
              </w:rPr>
            </w:pPr>
            <w:r>
              <w:rPr>
                <w:rFonts w:hint="eastAsia" w:ascii="宋体" w:hAnsi="宋体" w:eastAsia="宋体" w:cs="宋体"/>
                <w:b/>
                <w:bCs/>
                <w:highlight w:val="none"/>
              </w:rPr>
              <w:t>2、递交截止时间：</w:t>
            </w:r>
            <w:r>
              <w:rPr>
                <w:rFonts w:hint="eastAsia" w:ascii="宋体" w:hAnsi="宋体" w:eastAsia="宋体" w:cs="宋体"/>
                <w:highlight w:val="none"/>
              </w:rPr>
              <w:t>20</w:t>
            </w:r>
            <w:r>
              <w:rPr>
                <w:rFonts w:hint="eastAsia" w:ascii="宋体" w:hAnsi="宋体" w:cs="宋体"/>
                <w:highlight w:val="none"/>
                <w:lang w:val="en-US" w:eastAsia="zh-CN"/>
              </w:rPr>
              <w:t>22</w:t>
            </w:r>
            <w:r>
              <w:rPr>
                <w:rFonts w:hint="eastAsia" w:ascii="宋体" w:hAnsi="宋体" w:eastAsia="宋体" w:cs="宋体"/>
                <w:highlight w:val="none"/>
              </w:rPr>
              <w:t>年</w:t>
            </w:r>
            <w:r>
              <w:rPr>
                <w:rFonts w:hint="eastAsia" w:ascii="宋体" w:hAnsi="宋体" w:cs="宋体"/>
                <w:highlight w:val="yellow"/>
                <w:lang w:val="en-US" w:eastAsia="zh-CN"/>
              </w:rPr>
              <w:t>12</w:t>
            </w:r>
            <w:r>
              <w:rPr>
                <w:rFonts w:hint="eastAsia" w:ascii="宋体" w:hAnsi="宋体" w:cs="宋体"/>
                <w:highlight w:val="none"/>
                <w:lang w:val="en-US" w:eastAsia="zh-CN"/>
              </w:rPr>
              <w:t>月</w:t>
            </w:r>
            <w:r>
              <w:rPr>
                <w:rFonts w:hint="eastAsia" w:ascii="宋体" w:hAnsi="宋体" w:cs="宋体"/>
                <w:highlight w:val="yellow"/>
                <w:lang w:val="en-US" w:eastAsia="zh-CN"/>
              </w:rPr>
              <w:t>6</w:t>
            </w:r>
            <w:r>
              <w:rPr>
                <w:rFonts w:hint="eastAsia" w:ascii="宋体" w:hAnsi="宋体" w:eastAsia="宋体" w:cs="宋体"/>
                <w:highlight w:val="none"/>
              </w:rPr>
              <w:t>日</w:t>
            </w:r>
            <w:r>
              <w:rPr>
                <w:rFonts w:hint="eastAsia" w:ascii="宋体" w:hAnsi="宋体" w:cs="宋体"/>
                <w:highlight w:val="yellow"/>
                <w:lang w:val="en-US" w:eastAsia="zh-CN"/>
              </w:rPr>
              <w:t>16</w:t>
            </w:r>
            <w:r>
              <w:rPr>
                <w:rFonts w:hint="eastAsia" w:ascii="宋体" w:hAnsi="宋体" w:eastAsia="宋体" w:cs="宋体"/>
                <w:highlight w:val="yellow"/>
              </w:rPr>
              <w:t>:</w:t>
            </w:r>
            <w:r>
              <w:rPr>
                <w:rFonts w:hint="eastAsia" w:ascii="宋体" w:hAnsi="宋体" w:cs="宋体"/>
                <w:highlight w:val="yellow"/>
                <w:lang w:val="en-US" w:eastAsia="zh-CN"/>
              </w:rPr>
              <w:t>0</w:t>
            </w:r>
            <w:r>
              <w:rPr>
                <w:rFonts w:hint="eastAsia" w:ascii="宋体" w:hAnsi="宋体" w:eastAsia="宋体" w:cs="宋体"/>
                <w:highlight w:val="yellow"/>
              </w:rPr>
              <w:t xml:space="preserve">0 </w:t>
            </w:r>
            <w:r>
              <w:rPr>
                <w:rFonts w:hint="eastAsia" w:ascii="宋体" w:hAnsi="宋体" w:eastAsia="宋体" w:cs="宋体"/>
                <w:highlight w:val="none"/>
              </w:rPr>
              <w:t>（北京时间）</w:t>
            </w:r>
          </w:p>
          <w:p>
            <w:pPr>
              <w:pStyle w:val="23"/>
              <w:kinsoku w:val="0"/>
              <w:overflowPunct w:val="0"/>
              <w:spacing w:before="16"/>
              <w:ind w:left="582"/>
              <w:rPr>
                <w:rFonts w:hint="eastAsia" w:ascii="宋体" w:hAnsi="宋体" w:eastAsia="宋体" w:cs="宋体"/>
                <w:b/>
                <w:bCs/>
                <w:highlight w:val="none"/>
              </w:rPr>
            </w:pPr>
            <w:r>
              <w:rPr>
                <w:rFonts w:hint="eastAsia" w:ascii="宋体" w:hAnsi="宋体" w:eastAsia="宋体" w:cs="宋体"/>
                <w:b/>
                <w:bCs/>
                <w:highlight w:val="none"/>
              </w:rPr>
              <w:t>3、递交地点：</w:t>
            </w:r>
            <w:r>
              <w:rPr>
                <w:rFonts w:hint="eastAsia" w:asciiTheme="minorEastAsia" w:hAnsiTheme="minorEastAsia" w:eastAsiaTheme="minorEastAsia" w:cstheme="minorEastAsia"/>
                <w:color w:val="auto"/>
                <w:sz w:val="24"/>
                <w:szCs w:val="24"/>
                <w:highlight w:val="none"/>
                <w:lang w:eastAsia="zh-CN"/>
              </w:rPr>
              <w:t>新疆天之源项目管理集团有限公司（乌鲁木齐市水磨沟区龙盛街2799号浙商大厦11楼</w:t>
            </w:r>
            <w:r>
              <w:rPr>
                <w:rFonts w:hint="eastAsia" w:asciiTheme="minorEastAsia" w:hAnsiTheme="minorEastAsia" w:eastAsiaTheme="minorEastAsia" w:cstheme="minorEastAsia"/>
                <w:color w:val="auto"/>
                <w:sz w:val="24"/>
                <w:szCs w:val="24"/>
                <w:highlight w:val="none"/>
                <w:lang w:val="en-US" w:eastAsia="zh-CN"/>
              </w:rPr>
              <w:t>会议室</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bCs/>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23</w:t>
            </w:r>
          </w:p>
        </w:tc>
        <w:tc>
          <w:tcPr>
            <w:tcW w:w="8475" w:type="dxa"/>
            <w:noWrap w:val="0"/>
            <w:vAlign w:val="top"/>
          </w:tcPr>
          <w:p>
            <w:pPr>
              <w:pStyle w:val="23"/>
              <w:kinsoku w:val="0"/>
              <w:overflowPunct w:val="0"/>
              <w:spacing w:line="277" w:lineRule="exact"/>
              <w:ind w:left="102"/>
              <w:rPr>
                <w:rFonts w:hint="eastAsia" w:ascii="宋体" w:hAnsi="宋体" w:eastAsia="宋体" w:cs="宋体"/>
                <w:highlight w:val="none"/>
              </w:rPr>
            </w:pPr>
            <w:r>
              <w:rPr>
                <w:rFonts w:hint="eastAsia" w:ascii="宋体" w:hAnsi="宋体" w:eastAsia="宋体" w:cs="宋体"/>
                <w:sz w:val="22"/>
                <w:szCs w:val="22"/>
                <w:highlight w:val="none"/>
              </w:rPr>
              <w:t>★</w:t>
            </w:r>
            <w:r>
              <w:rPr>
                <w:rFonts w:hint="eastAsia" w:ascii="宋体" w:hAnsi="宋体" w:eastAsia="宋体" w:cs="宋体"/>
                <w:b/>
                <w:bCs/>
                <w:highlight w:val="none"/>
              </w:rPr>
              <w:t>磋商响应性文件的密封和标记</w:t>
            </w:r>
          </w:p>
          <w:p>
            <w:pPr>
              <w:pStyle w:val="23"/>
              <w:kinsoku w:val="0"/>
              <w:overflowPunct w:val="0"/>
              <w:spacing w:before="38"/>
              <w:ind w:left="102" w:right="-43" w:firstLine="472" w:firstLineChars="200"/>
              <w:rPr>
                <w:rFonts w:hint="eastAsia" w:ascii="宋体" w:hAnsi="宋体" w:eastAsia="宋体" w:cs="宋体"/>
                <w:spacing w:val="-2"/>
                <w:highlight w:val="none"/>
              </w:rPr>
            </w:pPr>
            <w:r>
              <w:rPr>
                <w:rFonts w:hint="eastAsia" w:ascii="宋体" w:hAnsi="宋体" w:eastAsia="宋体" w:cs="宋体"/>
                <w:spacing w:val="-2"/>
                <w:highlight w:val="none"/>
              </w:rPr>
              <w:t>1、磋商响应性文件正本与副本应</w:t>
            </w:r>
            <w:r>
              <w:rPr>
                <w:rFonts w:hint="eastAsia" w:ascii="宋体" w:hAnsi="宋体" w:cs="宋体"/>
                <w:spacing w:val="-2"/>
                <w:highlight w:val="none"/>
                <w:lang w:val="en-US" w:eastAsia="zh-CN"/>
              </w:rPr>
              <w:t>分别</w:t>
            </w:r>
            <w:r>
              <w:rPr>
                <w:rFonts w:hint="eastAsia" w:ascii="宋体" w:hAnsi="宋体" w:eastAsia="宋体" w:cs="宋体"/>
                <w:spacing w:val="-2"/>
                <w:highlight w:val="none"/>
              </w:rPr>
              <w:t>密封，并加贴“密封”字样封条，在封套的封口处应加盖单位公章。供应商未按此要求采用其他包装的，将造成磋商响应性文件被拒收。</w:t>
            </w:r>
          </w:p>
          <w:p>
            <w:pPr>
              <w:pStyle w:val="23"/>
              <w:tabs>
                <w:tab w:val="left" w:pos="5415"/>
                <w:tab w:val="left" w:pos="6023"/>
                <w:tab w:val="left" w:pos="6627"/>
                <w:tab w:val="left" w:pos="7232"/>
                <w:tab w:val="left" w:pos="7839"/>
              </w:tabs>
              <w:kinsoku w:val="0"/>
              <w:overflowPunct w:val="0"/>
              <w:spacing w:before="38"/>
              <w:ind w:left="102" w:firstLine="472" w:firstLineChars="200"/>
              <w:rPr>
                <w:rFonts w:hint="eastAsia" w:ascii="宋体" w:hAnsi="宋体" w:eastAsia="宋体" w:cs="宋体"/>
                <w:spacing w:val="-2"/>
                <w:highlight w:val="none"/>
              </w:rPr>
            </w:pPr>
            <w:r>
              <w:rPr>
                <w:rFonts w:hint="eastAsia" w:ascii="宋体" w:hAnsi="宋体" w:eastAsia="宋体" w:cs="宋体"/>
                <w:spacing w:val="-2"/>
                <w:highlight w:val="none"/>
              </w:rPr>
              <w:t>2、在封套上注明项目名称、项目编号及“在</w:t>
            </w:r>
            <w:r>
              <w:rPr>
                <w:rFonts w:hint="eastAsia" w:ascii="宋体" w:hAnsi="宋体" w:eastAsia="宋体" w:cs="宋体"/>
                <w:spacing w:val="-2"/>
                <w:highlight w:val="none"/>
              </w:rPr>
              <w:tab/>
            </w:r>
            <w:r>
              <w:rPr>
                <w:rFonts w:hint="eastAsia" w:ascii="宋体" w:hAnsi="宋体" w:eastAsia="宋体" w:cs="宋体"/>
                <w:spacing w:val="-2"/>
                <w:highlight w:val="none"/>
              </w:rPr>
              <w:t>年</w:t>
            </w:r>
            <w:r>
              <w:rPr>
                <w:rFonts w:hint="eastAsia" w:ascii="宋体" w:hAnsi="宋体" w:eastAsia="宋体" w:cs="宋体"/>
                <w:spacing w:val="-2"/>
                <w:highlight w:val="none"/>
              </w:rPr>
              <w:tab/>
            </w:r>
            <w:r>
              <w:rPr>
                <w:rFonts w:hint="eastAsia" w:ascii="宋体" w:hAnsi="宋体" w:eastAsia="宋体" w:cs="宋体"/>
                <w:spacing w:val="-2"/>
                <w:highlight w:val="none"/>
              </w:rPr>
              <w:t>月</w:t>
            </w:r>
            <w:r>
              <w:rPr>
                <w:rFonts w:hint="eastAsia" w:ascii="宋体" w:hAnsi="宋体" w:eastAsia="宋体" w:cs="宋体"/>
                <w:spacing w:val="-2"/>
                <w:highlight w:val="none"/>
              </w:rPr>
              <w:tab/>
            </w:r>
            <w:r>
              <w:rPr>
                <w:rFonts w:hint="eastAsia" w:ascii="宋体" w:hAnsi="宋体" w:eastAsia="宋体" w:cs="宋体"/>
                <w:spacing w:val="-2"/>
                <w:highlight w:val="none"/>
              </w:rPr>
              <w:t>日</w:t>
            </w:r>
            <w:r>
              <w:rPr>
                <w:rFonts w:hint="eastAsia" w:ascii="宋体" w:hAnsi="宋体" w:eastAsia="宋体" w:cs="宋体"/>
                <w:spacing w:val="-2"/>
                <w:highlight w:val="none"/>
              </w:rPr>
              <w:tab/>
            </w:r>
            <w:r>
              <w:rPr>
                <w:rFonts w:hint="eastAsia" w:ascii="宋体" w:hAnsi="宋体" w:eastAsia="宋体" w:cs="宋体"/>
                <w:spacing w:val="-2"/>
                <w:highlight w:val="none"/>
              </w:rPr>
              <w:t>时</w:t>
            </w:r>
            <w:r>
              <w:rPr>
                <w:rFonts w:hint="eastAsia" w:ascii="宋体" w:hAnsi="宋体" w:eastAsia="宋体" w:cs="宋体"/>
                <w:spacing w:val="-2"/>
                <w:highlight w:val="none"/>
              </w:rPr>
              <w:tab/>
            </w:r>
            <w:r>
              <w:rPr>
                <w:rFonts w:hint="eastAsia" w:ascii="宋体" w:hAnsi="宋体" w:eastAsia="宋体" w:cs="宋体"/>
                <w:spacing w:val="-2"/>
                <w:highlight w:val="none"/>
              </w:rPr>
              <w:t>分</w:t>
            </w:r>
          </w:p>
          <w:p>
            <w:pPr>
              <w:pStyle w:val="23"/>
              <w:kinsoku w:val="0"/>
              <w:overflowPunct w:val="0"/>
              <w:spacing w:before="127"/>
              <w:ind w:left="102"/>
              <w:rPr>
                <w:rFonts w:hint="eastAsia" w:ascii="宋体" w:hAnsi="宋体" w:eastAsia="宋体" w:cs="宋体"/>
                <w:spacing w:val="-2"/>
                <w:highlight w:val="none"/>
              </w:rPr>
            </w:pPr>
            <w:r>
              <w:rPr>
                <w:rFonts w:hint="eastAsia" w:ascii="宋体" w:hAnsi="宋体" w:eastAsia="宋体" w:cs="宋体"/>
                <w:spacing w:val="-2"/>
                <w:highlight w:val="none"/>
              </w:rPr>
              <w:t>之前不得启封”字样。</w:t>
            </w:r>
          </w:p>
          <w:p>
            <w:pPr>
              <w:pStyle w:val="23"/>
              <w:kinsoku w:val="0"/>
              <w:overflowPunct w:val="0"/>
              <w:spacing w:before="38"/>
              <w:ind w:left="102" w:firstLine="472" w:firstLineChars="200"/>
              <w:rPr>
                <w:rFonts w:hint="eastAsia" w:ascii="宋体" w:hAnsi="宋体" w:eastAsia="宋体" w:cs="宋体"/>
                <w:spacing w:val="-2"/>
                <w:highlight w:val="none"/>
              </w:rPr>
            </w:pPr>
            <w:r>
              <w:rPr>
                <w:rFonts w:hint="eastAsia" w:ascii="宋体" w:hAnsi="宋体" w:eastAsia="宋体" w:cs="宋体"/>
                <w:spacing w:val="-2"/>
                <w:highlight w:val="none"/>
              </w:rPr>
              <w:t>3、供应商必须将“电子版</w:t>
            </w:r>
            <w:r>
              <w:rPr>
                <w:rFonts w:hint="eastAsia" w:ascii="宋体" w:hAnsi="宋体" w:eastAsia="宋体" w:cs="宋体"/>
                <w:spacing w:val="-60"/>
                <w:highlight w:val="none"/>
              </w:rPr>
              <w:t xml:space="preserve"> </w:t>
            </w:r>
            <w:r>
              <w:rPr>
                <w:rFonts w:hint="eastAsia" w:ascii="宋体" w:hAnsi="宋体" w:eastAsia="宋体" w:cs="宋体"/>
                <w:highlight w:val="none"/>
              </w:rPr>
              <w:t>U</w:t>
            </w:r>
            <w:r>
              <w:rPr>
                <w:rFonts w:hint="eastAsia" w:ascii="宋体" w:hAnsi="宋体" w:eastAsia="宋体" w:cs="宋体"/>
                <w:spacing w:val="-60"/>
                <w:highlight w:val="none"/>
              </w:rPr>
              <w:t xml:space="preserve"> </w:t>
            </w:r>
            <w:r>
              <w:rPr>
                <w:rFonts w:hint="eastAsia" w:ascii="宋体" w:hAnsi="宋体" w:eastAsia="宋体" w:cs="宋体"/>
                <w:spacing w:val="-2"/>
                <w:highlight w:val="none"/>
              </w:rPr>
              <w:t>盘”与“</w:t>
            </w:r>
            <w:r>
              <w:rPr>
                <w:rFonts w:hint="eastAsia" w:ascii="宋体" w:hAnsi="宋体" w:eastAsia="宋体" w:cs="宋体"/>
                <w:spacing w:val="-4"/>
                <w:highlight w:val="none"/>
              </w:rPr>
              <w:t>正本</w:t>
            </w:r>
            <w:r>
              <w:rPr>
                <w:rFonts w:hint="eastAsia" w:ascii="宋体" w:hAnsi="宋体" w:eastAsia="宋体" w:cs="宋体"/>
                <w:spacing w:val="-2"/>
                <w:highlight w:val="none"/>
              </w:rPr>
              <w:t>”</w:t>
            </w:r>
            <w:r>
              <w:rPr>
                <w:rFonts w:hint="eastAsia" w:ascii="宋体" w:hAnsi="宋体" w:cs="宋体"/>
                <w:spacing w:val="-2"/>
                <w:highlight w:val="none"/>
                <w:lang w:val="en-US" w:eastAsia="zh-CN"/>
              </w:rPr>
              <w:t>分别</w:t>
            </w:r>
            <w:r>
              <w:rPr>
                <w:rFonts w:hint="eastAsia" w:ascii="宋体" w:hAnsi="宋体" w:eastAsia="宋体" w:cs="宋体"/>
                <w:spacing w:val="-2"/>
                <w:highlight w:val="none"/>
              </w:rPr>
              <w:t>密封提交，并在封面上注明</w:t>
            </w:r>
            <w:r>
              <w:rPr>
                <w:rFonts w:hint="eastAsia" w:ascii="宋体" w:hAnsi="宋体" w:eastAsia="宋体" w:cs="宋体"/>
                <w:highlight w:val="none"/>
              </w:rPr>
              <w:t>项目名称</w:t>
            </w:r>
            <w:r>
              <w:rPr>
                <w:rFonts w:hint="eastAsia" w:ascii="宋体" w:hAnsi="宋体" w:eastAsia="宋体" w:cs="宋体"/>
                <w:spacing w:val="-65"/>
                <w:highlight w:val="none"/>
              </w:rPr>
              <w:t>、</w:t>
            </w:r>
            <w:r>
              <w:rPr>
                <w:rFonts w:hint="eastAsia" w:ascii="宋体" w:hAnsi="宋体" w:eastAsia="宋体" w:cs="宋体"/>
                <w:highlight w:val="none"/>
              </w:rPr>
              <w:t>项目编号</w:t>
            </w:r>
            <w:r>
              <w:rPr>
                <w:rFonts w:hint="eastAsia" w:ascii="宋体" w:hAnsi="宋体" w:eastAsia="宋体" w:cs="宋体"/>
                <w:spacing w:val="-65"/>
                <w:highlight w:val="none"/>
              </w:rPr>
              <w:t>、</w:t>
            </w:r>
            <w:r>
              <w:rPr>
                <w:rFonts w:hint="eastAsia" w:ascii="宋体" w:hAnsi="宋体" w:eastAsia="宋体" w:cs="宋体"/>
                <w:highlight w:val="none"/>
              </w:rPr>
              <w:t>投标单位名</w:t>
            </w:r>
            <w:r>
              <w:rPr>
                <w:rFonts w:hint="eastAsia" w:ascii="宋体" w:hAnsi="宋体" w:eastAsia="宋体" w:cs="宋体"/>
                <w:spacing w:val="-63"/>
                <w:highlight w:val="none"/>
              </w:rPr>
              <w:t>称</w:t>
            </w:r>
            <w:r>
              <w:rPr>
                <w:rFonts w:hint="eastAsia" w:ascii="宋体" w:hAnsi="宋体" w:eastAsia="宋体" w:cs="宋体"/>
                <w:highlight w:val="none"/>
              </w:rPr>
              <w:t>（并加盖公章</w:t>
            </w:r>
            <w:r>
              <w:rPr>
                <w:rFonts w:hint="eastAsia" w:ascii="宋体" w:hAnsi="宋体" w:eastAsia="宋体" w:cs="宋体"/>
                <w:spacing w:val="-65"/>
                <w:highlight w:val="none"/>
              </w:rPr>
              <w:t>）</w:t>
            </w:r>
            <w:r>
              <w:rPr>
                <w:rFonts w:hint="eastAsia" w:ascii="宋体" w:hAnsi="宋体" w:eastAsia="宋体" w:cs="宋体"/>
                <w:spacing w:val="-63"/>
                <w:highlight w:val="none"/>
              </w:rPr>
              <w:t>及</w:t>
            </w:r>
            <w:r>
              <w:rPr>
                <w:rFonts w:hint="eastAsia" w:ascii="宋体" w:hAnsi="宋体" w:eastAsia="宋体" w:cs="宋体"/>
                <w:spacing w:val="-8"/>
                <w:highlight w:val="none"/>
              </w:rPr>
              <w:t>“</w:t>
            </w:r>
            <w:r>
              <w:rPr>
                <w:rFonts w:hint="eastAsia" w:ascii="宋体" w:hAnsi="宋体" w:eastAsia="宋体" w:cs="宋体"/>
                <w:spacing w:val="-1"/>
                <w:highlight w:val="none"/>
              </w:rPr>
              <w:t>在</w:t>
            </w:r>
            <w:r>
              <w:rPr>
                <w:rFonts w:hint="eastAsia" w:ascii="宋体" w:hAnsi="宋体" w:eastAsia="宋体" w:cs="宋体"/>
                <w:spacing w:val="-1"/>
                <w:highlight w:val="none"/>
                <w:u w:val="single"/>
              </w:rPr>
              <w:tab/>
            </w:r>
            <w:r>
              <w:rPr>
                <w:rFonts w:hint="eastAsia" w:ascii="宋体" w:hAnsi="宋体" w:eastAsia="宋体" w:cs="宋体"/>
                <w:spacing w:val="-1"/>
                <w:highlight w:val="none"/>
                <w:u w:val="single"/>
              </w:rPr>
              <w:t xml:space="preserve"> </w:t>
            </w:r>
            <w:r>
              <w:rPr>
                <w:rFonts w:hint="eastAsia" w:ascii="宋体" w:hAnsi="宋体" w:eastAsia="宋体" w:cs="宋体"/>
                <w:spacing w:val="-1"/>
                <w:w w:val="95"/>
                <w:highlight w:val="none"/>
              </w:rPr>
              <w:t>年</w:t>
            </w:r>
            <w:r>
              <w:rPr>
                <w:rFonts w:hint="eastAsia" w:ascii="宋体" w:hAnsi="宋体" w:eastAsia="宋体" w:cs="宋体"/>
                <w:spacing w:val="-1"/>
                <w:w w:val="95"/>
                <w:highlight w:val="none"/>
                <w:u w:val="single"/>
              </w:rPr>
              <w:tab/>
            </w:r>
            <w:r>
              <w:rPr>
                <w:rFonts w:hint="eastAsia" w:ascii="宋体" w:hAnsi="宋体" w:eastAsia="宋体" w:cs="宋体"/>
                <w:spacing w:val="-1"/>
                <w:w w:val="95"/>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spacing w:val="-1"/>
                <w:highlight w:val="none"/>
              </w:rPr>
              <w:t>日</w:t>
            </w:r>
            <w:r>
              <w:rPr>
                <w:rFonts w:hint="eastAsia" w:ascii="宋体" w:hAnsi="宋体" w:eastAsia="宋体" w:cs="宋体"/>
                <w:spacing w:val="-1"/>
                <w:highlight w:val="none"/>
                <w:u w:val="single"/>
              </w:rPr>
              <w:tab/>
            </w:r>
            <w:r>
              <w:rPr>
                <w:rFonts w:hint="eastAsia" w:ascii="宋体" w:hAnsi="宋体" w:eastAsia="宋体" w:cs="宋体"/>
                <w:spacing w:val="-1"/>
                <w:highlight w:val="none"/>
                <w:u w:val="single"/>
              </w:rPr>
              <w:t xml:space="preserve"> </w:t>
            </w:r>
            <w:r>
              <w:rPr>
                <w:rFonts w:hint="eastAsia" w:ascii="宋体" w:hAnsi="宋体" w:eastAsia="宋体" w:cs="宋体"/>
                <w:spacing w:val="-1"/>
                <w:highlight w:val="none"/>
              </w:rPr>
              <w:t>时</w:t>
            </w:r>
            <w:r>
              <w:rPr>
                <w:rFonts w:hint="eastAsia" w:ascii="宋体" w:hAnsi="宋体" w:eastAsia="宋体" w:cs="宋体"/>
                <w:spacing w:val="-1"/>
                <w:highlight w:val="none"/>
                <w:u w:val="single"/>
              </w:rPr>
              <w:tab/>
            </w:r>
            <w:r>
              <w:rPr>
                <w:rFonts w:hint="eastAsia" w:ascii="宋体" w:hAnsi="宋体" w:eastAsia="宋体" w:cs="宋体"/>
                <w:spacing w:val="-1"/>
                <w:highlight w:val="none"/>
                <w:u w:val="single"/>
              </w:rPr>
              <w:t xml:space="preserve">  </w:t>
            </w:r>
            <w:r>
              <w:rPr>
                <w:rFonts w:hint="eastAsia" w:ascii="宋体" w:hAnsi="宋体" w:eastAsia="宋体" w:cs="宋体"/>
                <w:spacing w:val="-1"/>
                <w:highlight w:val="none"/>
              </w:rPr>
              <w:t>分之前不得启封”字样</w:t>
            </w:r>
            <w:r>
              <w:rPr>
                <w:rFonts w:hint="eastAsia" w:ascii="宋体" w:hAnsi="宋体" w:cs="宋体"/>
                <w:spacing w:val="-1"/>
                <w:highlight w:val="none"/>
                <w:lang w:eastAsia="zh-CN"/>
              </w:rPr>
              <w:t>，</w:t>
            </w:r>
            <w:r>
              <w:rPr>
                <w:rFonts w:hint="eastAsia" w:ascii="宋体" w:hAnsi="宋体" w:cs="宋体"/>
                <w:spacing w:val="-3"/>
                <w:highlight w:val="none"/>
                <w:lang w:val="en-US" w:eastAsia="zh-CN"/>
              </w:rPr>
              <w:t>报价</w:t>
            </w:r>
            <w:r>
              <w:rPr>
                <w:rFonts w:hint="eastAsia" w:ascii="宋体" w:hAnsi="宋体" w:cs="宋体"/>
                <w:spacing w:val="-1"/>
                <w:highlight w:val="none"/>
                <w:lang w:val="en-US" w:eastAsia="zh-CN"/>
              </w:rPr>
              <w:t>一览表单独密封</w:t>
            </w:r>
            <w:r>
              <w:rPr>
                <w:rFonts w:hint="eastAsia" w:ascii="宋体" w:hAnsi="宋体" w:eastAsia="宋体" w:cs="宋体"/>
                <w:spacing w:val="-1"/>
                <w:highlight w:val="none"/>
              </w:rPr>
              <w:t>。密封后粘贴密封条。</w:t>
            </w:r>
          </w:p>
          <w:p>
            <w:pPr>
              <w:pStyle w:val="23"/>
              <w:kinsoku w:val="0"/>
              <w:overflowPunct w:val="0"/>
              <w:spacing w:before="86"/>
              <w:ind w:left="102" w:firstLine="472" w:firstLineChars="200"/>
              <w:rPr>
                <w:rFonts w:hint="eastAsia" w:ascii="宋体" w:hAnsi="宋体" w:eastAsia="宋体" w:cs="宋体"/>
                <w:highlight w:val="none"/>
              </w:rPr>
            </w:pPr>
            <w:r>
              <w:rPr>
                <w:rFonts w:hint="eastAsia" w:ascii="宋体" w:hAnsi="宋体" w:eastAsia="宋体" w:cs="宋体"/>
                <w:spacing w:val="-2"/>
                <w:highlight w:val="none"/>
              </w:rPr>
              <w:t>4、未按本章第 1 项</w:t>
            </w:r>
            <w:r>
              <w:rPr>
                <w:rFonts w:hint="eastAsia" w:ascii="宋体" w:hAnsi="宋体" w:cs="宋体"/>
                <w:spacing w:val="-2"/>
                <w:highlight w:val="none"/>
                <w:lang w:val="en-US" w:eastAsia="zh-CN"/>
              </w:rPr>
              <w:t>到</w:t>
            </w:r>
            <w:r>
              <w:rPr>
                <w:rFonts w:hint="eastAsia" w:ascii="宋体" w:hAnsi="宋体" w:eastAsia="宋体" w:cs="宋体"/>
                <w:spacing w:val="-2"/>
                <w:highlight w:val="none"/>
              </w:rPr>
              <w:t xml:space="preserve"> </w:t>
            </w:r>
            <w:r>
              <w:rPr>
                <w:rFonts w:hint="eastAsia" w:ascii="宋体" w:hAnsi="宋体" w:cs="宋体"/>
                <w:spacing w:val="-2"/>
                <w:highlight w:val="none"/>
                <w:lang w:val="en-US" w:eastAsia="zh-CN"/>
              </w:rPr>
              <w:t xml:space="preserve">3 </w:t>
            </w:r>
            <w:r>
              <w:rPr>
                <w:rFonts w:hint="eastAsia" w:ascii="宋体" w:hAnsi="宋体" w:eastAsia="宋体" w:cs="宋体"/>
                <w:spacing w:val="-2"/>
                <w:highlight w:val="none"/>
              </w:rPr>
              <w:t>项密封和加写标记的磋商响应性文件, 造成磋商响应性文件被拒收的不利后果由供应商自行承担。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24</w:t>
            </w:r>
          </w:p>
        </w:tc>
        <w:tc>
          <w:tcPr>
            <w:tcW w:w="8475" w:type="dxa"/>
            <w:noWrap w:val="0"/>
            <w:vAlign w:val="top"/>
          </w:tcPr>
          <w:p>
            <w:pPr>
              <w:pStyle w:val="23"/>
              <w:kinsoku w:val="0"/>
              <w:overflowPunct w:val="0"/>
              <w:spacing w:before="56"/>
              <w:rPr>
                <w:rFonts w:hint="eastAsia" w:ascii="宋体" w:hAnsi="宋体" w:eastAsia="宋体" w:cs="宋体"/>
                <w:highlight w:val="none"/>
                <w:lang w:eastAsia="zh-CN"/>
              </w:rPr>
            </w:pPr>
            <w:r>
              <w:rPr>
                <w:rFonts w:hint="eastAsia" w:ascii="宋体" w:hAnsi="宋体" w:eastAsia="宋体" w:cs="宋体"/>
                <w:b/>
                <w:bCs/>
                <w:highlight w:val="none"/>
              </w:rPr>
              <w:t>开标时间及地点</w:t>
            </w:r>
            <w:r>
              <w:rPr>
                <w:rFonts w:hint="eastAsia" w:ascii="宋体" w:hAnsi="宋体" w:cs="宋体"/>
                <w:b/>
                <w:bCs/>
                <w:highlight w:val="none"/>
                <w:lang w:eastAsia="zh-CN"/>
              </w:rPr>
              <w:t>：</w:t>
            </w:r>
          </w:p>
          <w:p>
            <w:pPr>
              <w:pStyle w:val="23"/>
              <w:kinsoku w:val="0"/>
              <w:overflowPunct w:val="0"/>
              <w:spacing w:before="38"/>
              <w:rPr>
                <w:rFonts w:hint="eastAsia" w:ascii="宋体" w:hAnsi="宋体" w:eastAsia="宋体" w:cs="宋体"/>
                <w:highlight w:val="none"/>
              </w:rPr>
            </w:pPr>
            <w:r>
              <w:rPr>
                <w:rFonts w:hint="eastAsia" w:ascii="宋体" w:hAnsi="宋体" w:eastAsia="宋体" w:cs="宋体"/>
                <w:b/>
                <w:bCs/>
                <w:highlight w:val="none"/>
              </w:rPr>
              <w:t>开标时间：</w:t>
            </w:r>
            <w:r>
              <w:rPr>
                <w:rFonts w:hint="eastAsia" w:ascii="宋体" w:hAnsi="宋体" w:eastAsia="宋体" w:cs="宋体"/>
                <w:highlight w:val="none"/>
              </w:rPr>
              <w:t>同磋商响应性文件递交截止时间</w:t>
            </w:r>
          </w:p>
          <w:p>
            <w:pPr>
              <w:pStyle w:val="23"/>
              <w:kinsoku w:val="0"/>
              <w:overflowPunct w:val="0"/>
              <w:spacing w:before="38"/>
              <w:rPr>
                <w:rFonts w:hint="eastAsia" w:ascii="宋体" w:hAnsi="宋体" w:eastAsia="宋体" w:cs="宋体"/>
                <w:sz w:val="22"/>
                <w:szCs w:val="22"/>
                <w:highlight w:val="none"/>
              </w:rPr>
            </w:pPr>
            <w:r>
              <w:rPr>
                <w:rFonts w:hint="eastAsia" w:ascii="宋体" w:hAnsi="宋体" w:eastAsia="宋体" w:cs="宋体"/>
                <w:b/>
                <w:bCs/>
                <w:spacing w:val="-2"/>
                <w:highlight w:val="none"/>
              </w:rPr>
              <w:t>开标地点：</w:t>
            </w:r>
            <w:r>
              <w:rPr>
                <w:rFonts w:hint="eastAsia" w:ascii="宋体" w:hAnsi="宋体" w:eastAsia="宋体" w:cs="宋体"/>
                <w:highlight w:val="none"/>
              </w:rPr>
              <w:t>同磋商响应性文件递交地点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25</w:t>
            </w:r>
          </w:p>
        </w:tc>
        <w:tc>
          <w:tcPr>
            <w:tcW w:w="8475" w:type="dxa"/>
            <w:noWrap w:val="0"/>
            <w:vAlign w:val="top"/>
          </w:tcPr>
          <w:p>
            <w:pPr>
              <w:pStyle w:val="23"/>
              <w:kinsoku w:val="0"/>
              <w:overflowPunct w:val="0"/>
              <w:spacing w:before="56"/>
              <w:ind w:left="102"/>
              <w:rPr>
                <w:rFonts w:hint="default" w:ascii="宋体" w:hAnsi="宋体" w:eastAsia="宋体" w:cs="宋体"/>
                <w:highlight w:val="none"/>
                <w:lang w:val="en-US" w:eastAsia="zh-CN"/>
              </w:rPr>
            </w:pPr>
            <w:r>
              <w:rPr>
                <w:rFonts w:hint="eastAsia" w:ascii="宋体" w:hAnsi="宋体" w:eastAsia="宋体" w:cs="宋体"/>
                <w:b/>
                <w:bCs/>
                <w:highlight w:val="none"/>
              </w:rPr>
              <w:t>付款方式：</w:t>
            </w:r>
            <w:r>
              <w:rPr>
                <w:rFonts w:hint="eastAsia" w:ascii="宋体" w:hAnsi="宋体" w:eastAsia="宋体" w:cs="宋体"/>
                <w:highlight w:val="none"/>
                <w:lang w:val="en-US" w:eastAsia="zh-CN"/>
              </w:rPr>
              <w:t>见采购需求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26</w:t>
            </w:r>
          </w:p>
        </w:tc>
        <w:tc>
          <w:tcPr>
            <w:tcW w:w="8475" w:type="dxa"/>
            <w:noWrap w:val="0"/>
            <w:vAlign w:val="top"/>
          </w:tcPr>
          <w:p>
            <w:pPr>
              <w:pStyle w:val="23"/>
              <w:kinsoku w:val="0"/>
              <w:overflowPunct w:val="0"/>
              <w:spacing w:line="277" w:lineRule="exact"/>
              <w:ind w:left="102"/>
              <w:rPr>
                <w:rFonts w:hint="eastAsia" w:ascii="宋体" w:hAnsi="宋体" w:eastAsia="宋体" w:cs="宋体"/>
                <w:highlight w:val="none"/>
                <w:lang w:val="en-US" w:eastAsia="zh-CN"/>
              </w:rPr>
            </w:pPr>
            <w:r>
              <w:rPr>
                <w:rFonts w:hint="eastAsia" w:ascii="宋体" w:hAnsi="宋体" w:eastAsia="宋体" w:cs="宋体"/>
                <w:b/>
                <w:bCs/>
                <w:highlight w:val="none"/>
              </w:rPr>
              <w:t>★履约保证金：</w:t>
            </w:r>
            <w:r>
              <w:rPr>
                <w:rFonts w:hint="eastAsia" w:ascii="宋体" w:hAnsi="宋体" w:cs="宋体"/>
                <w:b/>
                <w:bCs/>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25"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27</w:t>
            </w:r>
          </w:p>
        </w:tc>
        <w:tc>
          <w:tcPr>
            <w:tcW w:w="8475" w:type="dxa"/>
            <w:noWrap w:val="0"/>
            <w:vAlign w:val="top"/>
          </w:tcPr>
          <w:p>
            <w:pPr>
              <w:pStyle w:val="23"/>
              <w:kinsoku w:val="0"/>
              <w:overflowPunct w:val="0"/>
              <w:spacing w:line="274" w:lineRule="exact"/>
              <w:ind w:left="102"/>
              <w:rPr>
                <w:rFonts w:hint="eastAsia" w:ascii="宋体" w:hAnsi="宋体" w:eastAsia="宋体" w:cs="宋体"/>
                <w:highlight w:val="none"/>
              </w:rPr>
            </w:pPr>
            <w:r>
              <w:rPr>
                <w:rFonts w:hint="eastAsia" w:ascii="宋体" w:hAnsi="宋体" w:eastAsia="宋体" w:cs="宋体"/>
                <w:b/>
                <w:bCs/>
                <w:highlight w:val="none"/>
              </w:rPr>
              <w:t>代理服务费</w:t>
            </w:r>
            <w:r>
              <w:rPr>
                <w:rFonts w:hint="eastAsia" w:ascii="宋体" w:hAnsi="宋体" w:eastAsia="宋体" w:cs="宋体"/>
                <w:highlight w:val="none"/>
              </w:rPr>
              <w:t>：</w:t>
            </w:r>
          </w:p>
          <w:p>
            <w:pPr>
              <w:pStyle w:val="23"/>
              <w:kinsoku w:val="0"/>
              <w:overflowPunct w:val="0"/>
              <w:spacing w:line="276" w:lineRule="exact"/>
              <w:ind w:left="102" w:firstLine="472" w:firstLineChars="200"/>
              <w:rPr>
                <w:rFonts w:hint="eastAsia" w:ascii="宋体" w:hAnsi="宋体" w:eastAsia="宋体" w:cs="宋体"/>
                <w:highlight w:val="none"/>
              </w:rPr>
            </w:pPr>
            <w:r>
              <w:rPr>
                <w:rFonts w:hint="eastAsia" w:ascii="宋体" w:hAnsi="宋体" w:eastAsia="宋体" w:cs="宋体"/>
                <w:spacing w:val="-2"/>
                <w:highlight w:val="none"/>
              </w:rPr>
              <w:t>参照国家计委《招标代理服务收费管理暂行办法》(计价格﹝2002﹞1980 号)所规定</w:t>
            </w:r>
            <w:r>
              <w:rPr>
                <w:rFonts w:hint="eastAsia" w:ascii="宋体" w:hAnsi="宋体" w:cs="宋体"/>
                <w:spacing w:val="-2"/>
                <w:highlight w:val="none"/>
                <w:lang w:val="en-US" w:eastAsia="zh-CN"/>
              </w:rPr>
              <w:t>及与采购方签订合同所规定的费率</w:t>
            </w:r>
            <w:r>
              <w:rPr>
                <w:rFonts w:hint="eastAsia" w:ascii="宋体" w:hAnsi="宋体" w:eastAsia="宋体" w:cs="宋体"/>
                <w:spacing w:val="-2"/>
                <w:highlight w:val="none"/>
              </w:rPr>
              <w:t>取费，由中标人支付，该代理服务费在中标人领取中标通知书时向招标代理机构缴纳。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28</w:t>
            </w:r>
          </w:p>
        </w:tc>
        <w:tc>
          <w:tcPr>
            <w:tcW w:w="8475" w:type="dxa"/>
            <w:noWrap w:val="0"/>
            <w:vAlign w:val="top"/>
          </w:tcPr>
          <w:p>
            <w:pPr>
              <w:pStyle w:val="23"/>
              <w:kinsoku w:val="0"/>
              <w:overflowPunct w:val="0"/>
              <w:spacing w:line="277" w:lineRule="exact"/>
              <w:ind w:left="102"/>
              <w:rPr>
                <w:rFonts w:hint="eastAsia" w:ascii="宋体" w:hAnsi="宋体" w:eastAsia="宋体" w:cs="宋体"/>
                <w:highlight w:val="none"/>
              </w:rPr>
            </w:pPr>
            <w:r>
              <w:rPr>
                <w:rFonts w:hint="eastAsia" w:ascii="宋体" w:hAnsi="宋体" w:eastAsia="宋体" w:cs="宋体"/>
                <w:b/>
                <w:bCs/>
                <w:highlight w:val="none"/>
              </w:rPr>
              <w:t>采购项目需要落实的政府采购政策:</w:t>
            </w:r>
          </w:p>
          <w:p>
            <w:pPr>
              <w:pStyle w:val="23"/>
              <w:kinsoku w:val="0"/>
              <w:overflowPunct w:val="0"/>
              <w:spacing w:before="38"/>
              <w:ind w:left="102" w:firstLine="472" w:firstLineChars="200"/>
              <w:rPr>
                <w:rFonts w:ascii="宋体" w:hAnsi="宋体" w:cs="宋体"/>
                <w:spacing w:val="-2"/>
              </w:rPr>
            </w:pPr>
            <w:r>
              <w:rPr>
                <w:rFonts w:hint="eastAsia" w:ascii="宋体" w:hAnsi="宋体" w:cs="宋体"/>
                <w:spacing w:val="-2"/>
              </w:rPr>
              <w:t>1、根据</w:t>
            </w:r>
            <w:r>
              <w:rPr>
                <w:rFonts w:hint="eastAsia" w:ascii="宋体" w:hAnsi="宋体" w:cs="宋体"/>
              </w:rPr>
              <w:t>《新财购〔2022〕22</w:t>
            </w:r>
            <w:r>
              <w:rPr>
                <w:rFonts w:hint="eastAsia" w:ascii="宋体" w:hAnsi="宋体" w:cs="宋体"/>
                <w:spacing w:val="-2"/>
              </w:rPr>
              <w:t>号》文件规定，适用政府采购法的政府采购项目对小微企业报价给予10%-20%的扣除；大中型企业与小微企业组成联合体或大中型企业向小微企业分包的，评审给予4%-6%的价格扣除，用扣除后的价格参与评审。</w:t>
            </w:r>
          </w:p>
          <w:p>
            <w:pPr>
              <w:pStyle w:val="23"/>
              <w:kinsoku w:val="0"/>
              <w:overflowPunct w:val="0"/>
              <w:spacing w:before="38"/>
              <w:ind w:left="102" w:firstLine="472" w:firstLineChars="200"/>
              <w:rPr>
                <w:rFonts w:ascii="宋体" w:hAnsi="宋体" w:cs="宋体"/>
                <w:spacing w:val="-2"/>
              </w:rPr>
            </w:pPr>
            <w:r>
              <w:rPr>
                <w:rFonts w:hint="eastAsia" w:ascii="宋体" w:hAnsi="宋体" w:cs="宋体"/>
                <w:spacing w:val="-2"/>
              </w:rPr>
              <w:t>适用招标投标法的政府采购工程建设项目，采用综合评估法但未采用低价优先法计算价格分的，评标时应当在采用原报价进行评分的基础上阶段性增加其价格得分的6%-10%作为其价格分。</w:t>
            </w:r>
          </w:p>
          <w:p>
            <w:pPr>
              <w:pStyle w:val="23"/>
              <w:kinsoku w:val="0"/>
              <w:overflowPunct w:val="0"/>
              <w:spacing w:before="38"/>
              <w:ind w:left="102" w:firstLine="472" w:firstLineChars="200"/>
              <w:rPr>
                <w:rFonts w:hint="eastAsia" w:ascii="宋体" w:hAnsi="宋体" w:eastAsia="宋体" w:cs="宋体"/>
                <w:spacing w:val="-2"/>
                <w:highlight w:val="none"/>
              </w:rPr>
            </w:pPr>
            <w:r>
              <w:rPr>
                <w:rFonts w:hint="eastAsia" w:ascii="宋体" w:hAnsi="宋体" w:cs="宋体"/>
                <w:spacing w:val="-2"/>
              </w:rPr>
              <w:t>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的扣除，用扣除后的价格参加评审。具体办法详见竞争性磋商文件评标办法和标准；</w:t>
            </w:r>
          </w:p>
          <w:p>
            <w:pPr>
              <w:pStyle w:val="23"/>
              <w:kinsoku w:val="0"/>
              <w:overflowPunct w:val="0"/>
              <w:spacing w:before="38"/>
              <w:ind w:left="102" w:firstLine="472" w:firstLineChars="200"/>
              <w:rPr>
                <w:rFonts w:hint="eastAsia" w:ascii="宋体" w:hAnsi="宋体" w:eastAsia="宋体" w:cs="宋体"/>
                <w:spacing w:val="-2"/>
                <w:highlight w:val="none"/>
              </w:rPr>
            </w:pPr>
            <w:r>
              <w:rPr>
                <w:rFonts w:hint="eastAsia" w:ascii="宋体" w:hAnsi="宋体" w:eastAsia="宋体" w:cs="宋体"/>
                <w:spacing w:val="-2"/>
                <w:highlight w:val="none"/>
              </w:rPr>
              <w:t>2、根据《财政部民政部中国残疾人联合会关于促进残疾人就业政府采购政策的通知》（财库【2017】141 号）文件规定，对满足价格扣除条件且在磋商响应性文件中提交了《残疾人福利性单位声明函》等证明文件的投标人，其投标报价扣除 6%-10%后参与评审。具体办法详见竞争性磋商文件评标办法和标准。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eastAsia" w:ascii="宋体" w:hAnsi="宋体" w:eastAsia="宋体" w:cs="宋体"/>
                <w:highlight w:val="none"/>
              </w:rPr>
            </w:pPr>
            <w:r>
              <w:rPr>
                <w:rFonts w:hint="eastAsia" w:ascii="宋体" w:hAnsi="宋体" w:eastAsia="宋体" w:cs="宋体"/>
                <w:highlight w:val="none"/>
              </w:rPr>
              <w:t>29</w:t>
            </w:r>
          </w:p>
        </w:tc>
        <w:tc>
          <w:tcPr>
            <w:tcW w:w="8475" w:type="dxa"/>
            <w:noWrap w:val="0"/>
            <w:vAlign w:val="top"/>
          </w:tcPr>
          <w:p>
            <w:pPr>
              <w:pStyle w:val="23"/>
              <w:kinsoku w:val="0"/>
              <w:overflowPunct w:val="0"/>
              <w:spacing w:line="277" w:lineRule="exact"/>
              <w:ind w:left="102"/>
              <w:rPr>
                <w:rFonts w:hint="eastAsia" w:ascii="宋体" w:hAnsi="宋体" w:eastAsia="宋体" w:cs="宋体"/>
                <w:b/>
                <w:bCs/>
                <w:highlight w:val="none"/>
              </w:rPr>
            </w:pPr>
            <w:r>
              <w:rPr>
                <w:rFonts w:hint="eastAsia" w:ascii="宋体" w:hAnsi="宋体" w:eastAsia="宋体" w:cs="宋体"/>
                <w:b/>
                <w:bCs/>
                <w:highlight w:val="none"/>
              </w:rPr>
              <w:t>磋商响应性文件递交</w:t>
            </w:r>
            <w:bookmarkStart w:id="48" w:name="bookmark3"/>
            <w:bookmarkEnd w:id="48"/>
            <w:bookmarkStart w:id="49" w:name="（二）供应商须知"/>
            <w:bookmarkEnd w:id="49"/>
            <w:r>
              <w:rPr>
                <w:rFonts w:hint="eastAsia" w:ascii="宋体" w:hAnsi="宋体" w:eastAsia="宋体" w:cs="宋体"/>
                <w:b/>
                <w:bCs/>
                <w:highlight w:val="none"/>
              </w:rPr>
              <w:t xml:space="preserve">要求： </w:t>
            </w:r>
          </w:p>
          <w:p>
            <w:pPr>
              <w:pStyle w:val="23"/>
              <w:kinsoku w:val="0"/>
              <w:overflowPunct w:val="0"/>
              <w:spacing w:before="38"/>
              <w:ind w:left="102" w:firstLine="472" w:firstLineChars="200"/>
              <w:rPr>
                <w:rFonts w:hint="eastAsia" w:ascii="宋体" w:hAnsi="宋体" w:eastAsia="宋体" w:cs="宋体"/>
                <w:highlight w:val="none"/>
              </w:rPr>
            </w:pPr>
            <w:r>
              <w:rPr>
                <w:rFonts w:hint="eastAsia" w:ascii="宋体" w:hAnsi="宋体" w:eastAsia="宋体" w:cs="宋体"/>
                <w:spacing w:val="-2"/>
                <w:highlight w:val="none"/>
              </w:rPr>
              <w:t>供应商参加磋商时，供应商的法定代表人或委托代理人在开标时必须到达现场，并提供授权委托书原件和有效的居民身份证备验，现场核查后，方可接收投标人的磋商响应性文件；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672" w:type="dxa"/>
            <w:noWrap w:val="0"/>
            <w:vAlign w:val="center"/>
          </w:tcPr>
          <w:p>
            <w:pPr>
              <w:pStyle w:val="23"/>
              <w:kinsoku w:val="0"/>
              <w:overflowPunct w:val="0"/>
              <w:spacing w:before="73"/>
              <w:jc w:val="center"/>
              <w:rPr>
                <w:rFonts w:hint="default" w:ascii="宋体" w:hAnsi="宋体" w:eastAsia="宋体" w:cs="宋体"/>
                <w:highlight w:val="none"/>
                <w:lang w:val="en-US" w:eastAsia="zh-CN"/>
              </w:rPr>
            </w:pPr>
            <w:r>
              <w:rPr>
                <w:rFonts w:hint="eastAsia" w:ascii="宋体" w:hAnsi="宋体" w:cs="宋体"/>
                <w:highlight w:val="none"/>
                <w:lang w:val="en-US" w:eastAsia="zh-CN"/>
              </w:rPr>
              <w:t>30</w:t>
            </w:r>
          </w:p>
        </w:tc>
        <w:tc>
          <w:tcPr>
            <w:tcW w:w="8475" w:type="dxa"/>
            <w:noWrap w:val="0"/>
            <w:vAlign w:val="top"/>
          </w:tcPr>
          <w:p>
            <w:pPr>
              <w:pStyle w:val="23"/>
              <w:kinsoku w:val="0"/>
              <w:overflowPunct w:val="0"/>
              <w:spacing w:before="38"/>
              <w:ind w:left="102" w:firstLine="472" w:firstLineChars="200"/>
              <w:rPr>
                <w:rFonts w:hint="eastAsia" w:ascii="宋体" w:hAnsi="宋体" w:eastAsia="宋体" w:cs="宋体"/>
                <w:spacing w:val="-2"/>
                <w:highlight w:val="none"/>
                <w:lang w:eastAsia="zh-CN"/>
              </w:rPr>
            </w:pPr>
            <w:r>
              <w:rPr>
                <w:rFonts w:hint="eastAsia" w:ascii="宋体" w:hAnsi="宋体" w:cs="宋体"/>
                <w:spacing w:val="-2"/>
                <w:highlight w:val="none"/>
                <w:lang w:eastAsia="zh-CN"/>
              </w:rPr>
              <w:t>关于放弃磋商：</w:t>
            </w:r>
            <w:r>
              <w:rPr>
                <w:rFonts w:hint="eastAsia" w:ascii="宋体" w:hAnsi="宋体" w:eastAsia="宋体" w:cs="宋体"/>
                <w:b w:val="0"/>
                <w:bCs w:val="0"/>
                <w:color w:val="auto"/>
                <w:kern w:val="0"/>
                <w:sz w:val="24"/>
                <w:szCs w:val="24"/>
                <w:highlight w:val="none"/>
                <w:lang w:val="en-US" w:eastAsia="zh-CN"/>
              </w:rPr>
              <w:t>供应商获取</w:t>
            </w:r>
            <w:r>
              <w:rPr>
                <w:rFonts w:hint="eastAsia" w:cs="宋体"/>
                <w:b w:val="0"/>
                <w:bCs w:val="0"/>
                <w:color w:val="auto"/>
                <w:kern w:val="0"/>
                <w:sz w:val="24"/>
                <w:szCs w:val="24"/>
                <w:highlight w:val="none"/>
                <w:lang w:val="en-US" w:eastAsia="zh-CN"/>
              </w:rPr>
              <w:t>磋商</w:t>
            </w:r>
            <w:r>
              <w:rPr>
                <w:rFonts w:hint="eastAsia" w:ascii="宋体" w:hAnsi="宋体" w:eastAsia="宋体" w:cs="宋体"/>
                <w:b w:val="0"/>
                <w:bCs w:val="0"/>
                <w:color w:val="auto"/>
                <w:kern w:val="0"/>
                <w:sz w:val="24"/>
                <w:szCs w:val="24"/>
                <w:highlight w:val="none"/>
                <w:lang w:val="en-US" w:eastAsia="zh-CN"/>
              </w:rPr>
              <w:t>文件后如放弃</w:t>
            </w:r>
            <w:r>
              <w:rPr>
                <w:rFonts w:hint="eastAsia" w:cs="宋体"/>
                <w:b w:val="0"/>
                <w:bCs w:val="0"/>
                <w:color w:val="auto"/>
                <w:kern w:val="0"/>
                <w:sz w:val="24"/>
                <w:szCs w:val="24"/>
                <w:highlight w:val="none"/>
                <w:lang w:val="en-US" w:eastAsia="zh-CN"/>
              </w:rPr>
              <w:t>磋商</w:t>
            </w:r>
            <w:r>
              <w:rPr>
                <w:rFonts w:hint="eastAsia" w:ascii="宋体" w:hAnsi="宋体" w:eastAsia="宋体" w:cs="宋体"/>
                <w:b w:val="0"/>
                <w:bCs w:val="0"/>
                <w:color w:val="auto"/>
                <w:kern w:val="0"/>
                <w:sz w:val="24"/>
                <w:szCs w:val="24"/>
                <w:highlight w:val="none"/>
                <w:lang w:val="en-US" w:eastAsia="zh-CN"/>
              </w:rPr>
              <w:t>，需在提交响应文件截止前</w:t>
            </w:r>
            <w:r>
              <w:rPr>
                <w:rFonts w:hint="eastAsia" w:ascii="宋体" w:hAnsi="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lang w:val="en-US" w:eastAsia="zh-CN"/>
              </w:rPr>
              <w:t>日提交书面弃标函（如不然，将承担相应的失信</w:t>
            </w:r>
            <w:r>
              <w:rPr>
                <w:rFonts w:hint="eastAsia" w:cs="宋体"/>
                <w:b w:val="0"/>
                <w:bCs w:val="0"/>
                <w:color w:val="auto"/>
                <w:kern w:val="0"/>
                <w:sz w:val="24"/>
                <w:szCs w:val="24"/>
                <w:highlight w:val="none"/>
                <w:lang w:val="en-US" w:eastAsia="zh-CN"/>
              </w:rPr>
              <w:t>后</w:t>
            </w:r>
            <w:r>
              <w:rPr>
                <w:rFonts w:hint="eastAsia" w:ascii="宋体" w:hAnsi="宋体" w:eastAsia="宋体" w:cs="宋体"/>
                <w:b w:val="0"/>
                <w:bCs w:val="0"/>
                <w:color w:val="auto"/>
                <w:kern w:val="0"/>
                <w:sz w:val="24"/>
                <w:szCs w:val="24"/>
                <w:highlight w:val="none"/>
                <w:lang w:val="en-US" w:eastAsia="zh-CN"/>
              </w:rPr>
              <w:t>果）。</w:t>
            </w:r>
          </w:p>
        </w:tc>
      </w:tr>
    </w:tbl>
    <w:p>
      <w:pPr>
        <w:rPr>
          <w:rFonts w:hint="eastAsia" w:ascii="宋体" w:hAnsi="宋体" w:eastAsia="宋体" w:cs="宋体"/>
          <w:highlight w:val="none"/>
        </w:rPr>
      </w:pPr>
    </w:p>
    <w:p>
      <w:pPr>
        <w:outlineLvl w:val="9"/>
        <w:rPr>
          <w:rFonts w:hint="eastAsia" w:ascii="宋体" w:hAnsi="宋体" w:eastAsia="宋体" w:cs="宋体"/>
          <w:highlight w:val="none"/>
        </w:rPr>
      </w:pPr>
    </w:p>
    <w:p>
      <w:pPr>
        <w:pStyle w:val="4"/>
        <w:rPr>
          <w:rFonts w:hint="eastAsia" w:ascii="宋体" w:hAnsi="宋体" w:eastAsia="宋体" w:cs="宋体"/>
          <w:color w:val="000000"/>
          <w:highlight w:val="none"/>
        </w:rPr>
      </w:pPr>
      <w:r>
        <w:rPr>
          <w:rFonts w:hint="eastAsia" w:ascii="宋体" w:hAnsi="宋体" w:eastAsia="宋体" w:cs="宋体"/>
          <w:highlight w:val="none"/>
        </w:rPr>
        <w:br w:type="page"/>
      </w:r>
      <w:bookmarkStart w:id="50" w:name="_Toc24361"/>
      <w:r>
        <w:rPr>
          <w:rFonts w:hint="eastAsia" w:ascii="宋体" w:hAnsi="宋体" w:eastAsia="宋体" w:cs="宋体"/>
          <w:color w:val="000000"/>
          <w:highlight w:val="none"/>
        </w:rPr>
        <w:t>（二）供应商须知</w:t>
      </w:r>
      <w:bookmarkEnd w:id="50"/>
    </w:p>
    <w:p>
      <w:pPr>
        <w:pStyle w:val="8"/>
        <w:kinsoku w:val="0"/>
        <w:overflowPunct w:val="0"/>
        <w:spacing w:before="47" w:line="264" w:lineRule="auto"/>
        <w:ind w:right="5041"/>
        <w:rPr>
          <w:rFonts w:hint="eastAsia" w:ascii="宋体" w:hAnsi="宋体" w:eastAsia="宋体" w:cs="宋体"/>
          <w:b/>
          <w:bCs/>
          <w:color w:val="000000"/>
          <w:highlight w:val="none"/>
        </w:rPr>
      </w:pPr>
      <w:r>
        <w:rPr>
          <w:rFonts w:hint="eastAsia" w:ascii="宋体" w:hAnsi="宋体" w:eastAsia="宋体" w:cs="宋体"/>
          <w:b/>
          <w:bCs/>
          <w:color w:val="000000"/>
          <w:highlight w:val="none"/>
        </w:rPr>
        <w:t>1、综合说明</w:t>
      </w:r>
    </w:p>
    <w:p>
      <w:pPr>
        <w:pStyle w:val="8"/>
        <w:kinsoku w:val="0"/>
        <w:overflowPunct w:val="0"/>
        <w:spacing w:before="130" w:line="355" w:lineRule="auto"/>
        <w:ind w:left="0"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本项目按照《中华人民共和国政府采购法》、《中华人民共和国政府采购法实施条 例》、《政府采购货物和服务招标投标管理办法》、《政府购买服务管理办法（暂行）》、《政府采购竞争性磋商采购方式管理暂行办法》、《财政部关于政府采购竞争性磋商采购方式管理暂行办法有关问题的补充通知》及相关法规，已办理政府采购相关手续，并得到行业主管部门批准，现通过招标来择优选定为本项目提供服务的供应商。本竞争性磋商文件包括本文所列内容及按本须知发出的全部和补充资料。供应商应认真阅读本竞争性磋商文件中所有的事项、格式、条款、技术规范等实质性的条件和要求，并熟悉本招标项目的全部内容及与履行合同有关的全部内容，熟悉竞争性磋商文件的格式、条件和范围。供应商没有按照竞争性磋商文件的要求提交相关资料，或者供应商没有对竞争性磋商文件相关内容都做出实质性响应是供应商的风险，并可能导致其投标无效，其风险由投标供应商自行承担。</w:t>
      </w:r>
    </w:p>
    <w:p>
      <w:pPr>
        <w:pStyle w:val="8"/>
        <w:kinsoku w:val="0"/>
        <w:overflowPunct w:val="0"/>
        <w:spacing w:before="47" w:line="264" w:lineRule="auto"/>
        <w:ind w:right="5041"/>
        <w:rPr>
          <w:rFonts w:hint="eastAsia" w:ascii="宋体" w:hAnsi="宋体" w:eastAsia="宋体" w:cs="宋体"/>
          <w:b/>
          <w:bCs/>
          <w:color w:val="000000"/>
          <w:highlight w:val="none"/>
        </w:rPr>
      </w:pPr>
      <w:r>
        <w:rPr>
          <w:rFonts w:hint="eastAsia" w:ascii="宋体" w:hAnsi="宋体" w:eastAsia="宋体" w:cs="宋体"/>
          <w:b/>
          <w:bCs/>
          <w:color w:val="000000"/>
          <w:highlight w:val="none"/>
        </w:rPr>
        <w:t>2.适用范围</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本竞争性磋商文件仅适用于本次磋商所叙述的磋商项目。</w:t>
      </w:r>
    </w:p>
    <w:p>
      <w:pPr>
        <w:pStyle w:val="8"/>
        <w:kinsoku w:val="0"/>
        <w:overflowPunct w:val="0"/>
        <w:spacing w:before="38"/>
        <w:rPr>
          <w:rFonts w:hint="eastAsia" w:ascii="宋体" w:hAnsi="宋体" w:eastAsia="宋体" w:cs="宋体"/>
          <w:color w:val="000000"/>
          <w:highlight w:val="none"/>
        </w:rPr>
      </w:pPr>
      <w:r>
        <w:rPr>
          <w:rFonts w:hint="eastAsia" w:ascii="宋体" w:hAnsi="宋体" w:eastAsia="宋体" w:cs="宋体"/>
          <w:b/>
          <w:bCs/>
          <w:color w:val="000000"/>
          <w:spacing w:val="-1"/>
          <w:highlight w:val="none"/>
        </w:rPr>
        <w:t>3.定义</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3.1 “政府采购当事人”系指在政府采购活动中享有权利和承担义务的各类主体，包括采购人、供应商和招标代理机构。</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3.2 “采购人”系指</w:t>
      </w:r>
      <w:r>
        <w:rPr>
          <w:rFonts w:hint="eastAsia" w:asciiTheme="minorEastAsia" w:hAnsiTheme="minorEastAsia" w:eastAsiaTheme="minorEastAsia" w:cstheme="minorEastAsia"/>
          <w:i w:val="0"/>
          <w:iCs w:val="0"/>
          <w:color w:val="auto"/>
          <w:sz w:val="24"/>
          <w:szCs w:val="24"/>
          <w:highlight w:val="none"/>
          <w:u w:val="none"/>
          <w:lang w:eastAsia="zh-CN"/>
        </w:rPr>
        <w:t>新疆维吾尔自治区文化和旅游厅</w:t>
      </w:r>
      <w:r>
        <w:rPr>
          <w:rFonts w:hint="eastAsia" w:ascii="宋体" w:hAnsi="宋体" w:eastAsia="宋体" w:cs="宋体"/>
          <w:color w:val="000000"/>
          <w:spacing w:val="4"/>
          <w:highlight w:val="none"/>
        </w:rPr>
        <w:t>；</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3.3 “招标代理机构”系指</w:t>
      </w:r>
      <w:r>
        <w:rPr>
          <w:rFonts w:hint="eastAsia" w:asciiTheme="minorEastAsia" w:hAnsiTheme="minorEastAsia" w:eastAsiaTheme="minorEastAsia" w:cstheme="minorEastAsia"/>
          <w:color w:val="auto"/>
          <w:sz w:val="24"/>
          <w:highlight w:val="none"/>
          <w:lang w:eastAsia="zh-CN"/>
        </w:rPr>
        <w:t>新疆天之源项目管理集团有限公司</w:t>
      </w:r>
      <w:r>
        <w:rPr>
          <w:rFonts w:hint="eastAsia" w:ascii="宋体" w:hAnsi="宋体" w:eastAsia="宋体" w:cs="宋体"/>
          <w:color w:val="000000"/>
          <w:spacing w:val="4"/>
          <w:highlight w:val="none"/>
        </w:rPr>
        <w:t>；</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3.4 “供应商、磋商单位、响应人”系指符合本磋商项目资质要求，参加磋商竞争的法人机构或其他组织。</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3.5 “竞争性磋商文件”系指由采购人和招标代理机构发出的文本、文件，包括全部章节和附件及答疑会议纪要。</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3.6 “磋商响应性文件”系指供应商根据本《竞争性磋商文件》向采购人提交的全部文件。</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3.7 “采购文件”系指包括采购活动的记录、采购预算、竞争性磋商文件、磋商响应性文件、评标标准、评估报告、定标文件、合同文本、验收证明、质疑答复、投诉处理决定及其他有关文件、资料。</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3.8 “书面形式”系指任何手写、打印或印刷的各种函件，不包括电传、电报、传真、电子邮件。</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3.9 “货物”系指供应商中标后根据竞争性磋商文件和合同的规定须向采购人提供的各种形态和种类的货物。</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3.10 “服务”系指供应商中标后根据竞争性磋商文件和合同的规定承担有关的服务。</w:t>
      </w:r>
    </w:p>
    <w:p>
      <w:pPr>
        <w:pStyle w:val="8"/>
        <w:kinsoku w:val="0"/>
        <w:overflowPunct w:val="0"/>
        <w:spacing w:before="38"/>
        <w:rPr>
          <w:rFonts w:hint="eastAsia" w:ascii="宋体" w:hAnsi="宋体" w:eastAsia="宋体" w:cs="宋体"/>
          <w:color w:val="000000"/>
          <w:highlight w:val="none"/>
        </w:rPr>
      </w:pPr>
      <w:r>
        <w:rPr>
          <w:rFonts w:hint="eastAsia" w:ascii="宋体" w:hAnsi="宋体" w:eastAsia="宋体" w:cs="宋体"/>
          <w:b/>
          <w:bCs/>
          <w:color w:val="000000"/>
          <w:highlight w:val="none"/>
        </w:rPr>
        <w:t>4.合格的供应商</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4.1 具备“供应商须知前附表”第六款的基本条件；</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4.2 凡是符合国家工商行政管理部门登记审核，具有相应生产经营许可的，有一定技术实力和生产规模，并有能力提供招标货物的</w:t>
      </w:r>
      <w:r>
        <w:rPr>
          <w:rFonts w:hint="eastAsia" w:ascii="宋体" w:hAnsi="宋体" w:eastAsia="宋体" w:cs="宋体"/>
          <w:color w:val="000000"/>
          <w:spacing w:val="4"/>
          <w:highlight w:val="none"/>
          <w:lang w:eastAsia="zh-CN"/>
        </w:rPr>
        <w:t>供应商</w:t>
      </w:r>
      <w:r>
        <w:rPr>
          <w:rFonts w:hint="eastAsia" w:ascii="宋体" w:hAnsi="宋体" w:eastAsia="宋体" w:cs="宋体"/>
          <w:color w:val="000000"/>
          <w:spacing w:val="4"/>
          <w:highlight w:val="none"/>
        </w:rPr>
        <w:t>。</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4.3 投标单位不得直接或间接地与本次招标进行设计、编制规范和其他文件所委托的咨询公司或其附属机构有任何关联；</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4.4 投标单位与采购人存在利害关系可能影响招标公正性的法人、其他组织或个人，不得参加投标。单位负责人为同一人或者存在控股、管理关系的不同单位，不得参加同一标段投标或者未划分标段的同一招标项目投标；</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4.5 遵守国家有关的法律、法规和条例及《竞争性磋商文件》的规定。</w:t>
      </w:r>
    </w:p>
    <w:p>
      <w:pPr>
        <w:pStyle w:val="8"/>
        <w:kinsoku w:val="0"/>
        <w:overflowPunct w:val="0"/>
        <w:spacing w:before="151"/>
        <w:rPr>
          <w:rFonts w:hint="eastAsia" w:ascii="宋体" w:hAnsi="宋体" w:eastAsia="宋体" w:cs="宋体"/>
          <w:color w:val="000000"/>
          <w:highlight w:val="none"/>
        </w:rPr>
      </w:pPr>
      <w:r>
        <w:rPr>
          <w:rFonts w:hint="eastAsia" w:ascii="宋体" w:hAnsi="宋体" w:eastAsia="宋体" w:cs="宋体"/>
          <w:b/>
          <w:bCs/>
          <w:color w:val="000000"/>
          <w:highlight w:val="none"/>
        </w:rPr>
        <w:t>5.费用承担</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供应商应承担与招标代理活动有关的一切费用。不论招标的结果如何，招标代理机构和采购人在任何情况下均无义务和责任承担这些费用。</w:t>
      </w:r>
    </w:p>
    <w:p>
      <w:pPr>
        <w:pStyle w:val="8"/>
        <w:kinsoku w:val="0"/>
        <w:overflowPunct w:val="0"/>
        <w:spacing w:before="38"/>
        <w:rPr>
          <w:rFonts w:hint="eastAsia" w:ascii="宋体" w:hAnsi="宋体" w:eastAsia="宋体" w:cs="宋体"/>
          <w:color w:val="000000"/>
          <w:highlight w:val="none"/>
        </w:rPr>
      </w:pPr>
      <w:r>
        <w:rPr>
          <w:rFonts w:hint="eastAsia" w:ascii="宋体" w:hAnsi="宋体" w:eastAsia="宋体" w:cs="宋体"/>
          <w:b/>
          <w:bCs/>
          <w:color w:val="000000"/>
          <w:highlight w:val="none"/>
        </w:rPr>
        <w:t>6.</w:t>
      </w:r>
      <w:r>
        <w:rPr>
          <w:rFonts w:hint="eastAsia" w:ascii="宋体" w:hAnsi="宋体" w:eastAsia="宋体" w:cs="宋体"/>
          <w:color w:val="000000"/>
          <w:spacing w:val="4"/>
          <w:kern w:val="2"/>
          <w:sz w:val="21"/>
          <w:szCs w:val="22"/>
          <w:highlight w:val="none"/>
        </w:rPr>
        <w:t xml:space="preserve"> </w:t>
      </w:r>
      <w:r>
        <w:rPr>
          <w:rFonts w:hint="eastAsia" w:ascii="宋体" w:hAnsi="宋体" w:eastAsia="宋体" w:cs="宋体"/>
          <w:b/>
          <w:bCs/>
          <w:color w:val="000000"/>
          <w:highlight w:val="none"/>
        </w:rPr>
        <w:t>招标代理服务费</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bCs/>
          <w:color w:val="000000"/>
          <w:highlight w:val="none"/>
        </w:rPr>
        <w:t>成交供应商</w:t>
      </w:r>
      <w:r>
        <w:rPr>
          <w:rFonts w:hint="eastAsia" w:ascii="宋体" w:hAnsi="宋体" w:eastAsia="宋体" w:cs="宋体"/>
          <w:color w:val="000000"/>
          <w:spacing w:val="4"/>
          <w:highlight w:val="none"/>
        </w:rPr>
        <w:t>应承担所有与准备和参加磋商有关的费用。不论磋商的结果如何，招标代理机构和采购人均无义务和责任承担这些费用；</w:t>
      </w:r>
    </w:p>
    <w:p>
      <w:pPr>
        <w:pStyle w:val="8"/>
        <w:kinsoku w:val="0"/>
        <w:overflowPunct w:val="0"/>
        <w:spacing w:before="130" w:line="355" w:lineRule="auto"/>
        <w:ind w:right="7" w:firstLine="480"/>
        <w:rPr>
          <w:rFonts w:hint="eastAsia" w:ascii="宋体" w:hAnsi="宋体" w:eastAsia="宋体" w:cs="宋体"/>
          <w:bCs/>
          <w:color w:val="000000"/>
          <w:highlight w:val="none"/>
        </w:rPr>
      </w:pPr>
      <w:r>
        <w:rPr>
          <w:rFonts w:hint="eastAsia" w:ascii="宋体" w:hAnsi="宋体" w:eastAsia="宋体" w:cs="宋体"/>
          <w:bCs/>
          <w:color w:val="000000"/>
          <w:highlight w:val="none"/>
        </w:rPr>
        <w:t>成交供应商在领取《成交通知书》时须一次性付给采购代理单位采购代理服务费，招标代理服务费参照国家计委《招标代理服务收费管理暂行办法》(计价格﹝2002﹞1980 号)所规定取费。</w:t>
      </w:r>
    </w:p>
    <w:p>
      <w:pPr>
        <w:pStyle w:val="8"/>
        <w:kinsoku w:val="0"/>
        <w:overflowPunct w:val="0"/>
        <w:rPr>
          <w:rFonts w:hint="eastAsia" w:ascii="宋体" w:hAnsi="宋体" w:eastAsia="宋体" w:cs="宋体"/>
          <w:b/>
          <w:bCs/>
          <w:color w:val="000000"/>
          <w:highlight w:val="none"/>
        </w:rPr>
      </w:pPr>
      <w:r>
        <w:rPr>
          <w:rFonts w:hint="eastAsia" w:ascii="宋体" w:hAnsi="宋体" w:eastAsia="宋体" w:cs="宋体"/>
          <w:b/>
          <w:bCs/>
          <w:color w:val="000000"/>
          <w:spacing w:val="1"/>
          <w:highlight w:val="none"/>
        </w:rPr>
        <w:t>7.</w:t>
      </w:r>
      <w:r>
        <w:rPr>
          <w:rFonts w:hint="eastAsia" w:ascii="宋体" w:hAnsi="宋体" w:eastAsia="宋体" w:cs="宋体"/>
          <w:b/>
          <w:bCs/>
          <w:color w:val="000000"/>
          <w:spacing w:val="-23"/>
          <w:highlight w:val="none"/>
        </w:rPr>
        <w:t xml:space="preserve"> </w:t>
      </w:r>
      <w:r>
        <w:rPr>
          <w:rFonts w:hint="eastAsia" w:ascii="宋体" w:hAnsi="宋体" w:eastAsia="宋体" w:cs="宋体"/>
          <w:b/>
          <w:bCs/>
          <w:color w:val="000000"/>
          <w:highlight w:val="none"/>
        </w:rPr>
        <w:t>踏勘现场和答疑会</w:t>
      </w:r>
    </w:p>
    <w:p>
      <w:pPr>
        <w:pStyle w:val="8"/>
        <w:kinsoku w:val="0"/>
        <w:overflowPunct w:val="0"/>
        <w:spacing w:before="130" w:line="355" w:lineRule="auto"/>
        <w:ind w:right="7" w:firstLine="480"/>
        <w:rPr>
          <w:rFonts w:hint="eastAsia" w:ascii="宋体" w:hAnsi="宋体" w:eastAsia="宋体" w:cs="宋体"/>
          <w:color w:val="000000"/>
          <w:spacing w:val="4"/>
          <w:highlight w:val="none"/>
        </w:rPr>
      </w:pPr>
      <w:r>
        <w:rPr>
          <w:rFonts w:hint="eastAsia" w:ascii="宋体" w:hAnsi="宋体" w:eastAsia="宋体" w:cs="宋体"/>
          <w:color w:val="000000"/>
          <w:spacing w:val="4"/>
          <w:highlight w:val="none"/>
        </w:rPr>
        <w:t>不组织</w:t>
      </w:r>
    </w:p>
    <w:p>
      <w:pPr>
        <w:pStyle w:val="8"/>
        <w:kinsoku w:val="0"/>
        <w:overflowPunct w:val="0"/>
        <w:spacing w:before="151" w:line="357" w:lineRule="auto"/>
        <w:ind w:right="963"/>
        <w:rPr>
          <w:rFonts w:hint="eastAsia" w:ascii="宋体" w:hAnsi="宋体" w:eastAsia="宋体" w:cs="宋体"/>
          <w:color w:val="000000"/>
          <w:highlight w:val="none"/>
        </w:rPr>
      </w:pPr>
      <w:r>
        <w:rPr>
          <w:rFonts w:hint="eastAsia" w:ascii="宋体" w:hAnsi="宋体" w:eastAsia="宋体" w:cs="宋体"/>
          <w:b/>
          <w:bCs/>
          <w:color w:val="000000"/>
          <w:highlight w:val="none"/>
        </w:rPr>
        <w:t>8．保密</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参与招标投标活动的各方应对竞争性磋商文件和磋商响应性文件中的商业和技术等秘密保密，违者应对由此造成的后果承担法律责任。</w:t>
      </w:r>
    </w:p>
    <w:p>
      <w:pPr>
        <w:pStyle w:val="8"/>
        <w:kinsoku w:val="0"/>
        <w:overflowPunct w:val="0"/>
        <w:spacing w:before="38"/>
        <w:rPr>
          <w:rFonts w:hint="eastAsia" w:ascii="宋体" w:hAnsi="宋体" w:eastAsia="宋体" w:cs="宋体"/>
          <w:highlight w:val="none"/>
        </w:rPr>
      </w:pPr>
      <w:r>
        <w:rPr>
          <w:rFonts w:hint="eastAsia" w:ascii="宋体" w:hAnsi="宋体" w:eastAsia="宋体" w:cs="宋体"/>
          <w:b/>
          <w:bCs/>
          <w:highlight w:val="none"/>
        </w:rPr>
        <w:t>9.</w:t>
      </w:r>
      <w:r>
        <w:rPr>
          <w:rFonts w:hint="eastAsia" w:ascii="宋体" w:hAnsi="宋体" w:eastAsia="宋体" w:cs="宋体"/>
          <w:b/>
          <w:bCs/>
          <w:spacing w:val="-12"/>
          <w:highlight w:val="none"/>
        </w:rPr>
        <w:t xml:space="preserve"> </w:t>
      </w:r>
      <w:r>
        <w:rPr>
          <w:rFonts w:hint="eastAsia" w:ascii="宋体" w:hAnsi="宋体" w:eastAsia="宋体" w:cs="宋体"/>
          <w:b/>
          <w:bCs/>
          <w:highlight w:val="none"/>
        </w:rPr>
        <w:t>适用法律</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本次政府采购，招标采购单位、供应商、磋商小组的相关行为均受《《中华人民共和国政府采购法》、《中华人民共和国政府采购法实施条例》、《政府采购货物和服务 招标投标管理办法》、《政府购买服务管理办法（暂行）》、《政府采购竞争性磋商采购方式管理暂行办法》和本项目采购人本级和上级财政部门政府采购有关规定的约束，其权利受到上述法律法规的保护。</w:t>
      </w:r>
    </w:p>
    <w:p>
      <w:pPr>
        <w:pStyle w:val="4"/>
        <w:rPr>
          <w:rFonts w:hint="eastAsia" w:ascii="宋体" w:hAnsi="宋体" w:eastAsia="宋体" w:cs="宋体"/>
          <w:highlight w:val="none"/>
        </w:rPr>
      </w:pPr>
      <w:bookmarkStart w:id="51" w:name="_Toc20516"/>
      <w:r>
        <w:rPr>
          <w:rFonts w:hint="eastAsia" w:ascii="宋体" w:hAnsi="宋体" w:eastAsia="宋体" w:cs="宋体"/>
          <w:highlight w:val="none"/>
        </w:rPr>
        <w:t>（三）《竞争性磋商文件》</w:t>
      </w:r>
      <w:bookmarkEnd w:id="51"/>
    </w:p>
    <w:p>
      <w:pPr>
        <w:pStyle w:val="8"/>
        <w:kinsoku w:val="0"/>
        <w:overflowPunct w:val="0"/>
        <w:spacing w:before="122" w:line="357" w:lineRule="auto"/>
        <w:ind w:left="598" w:hanging="480"/>
        <w:rPr>
          <w:rFonts w:hint="eastAsia" w:ascii="宋体" w:hAnsi="宋体" w:eastAsia="宋体" w:cs="宋体"/>
          <w:b/>
          <w:bCs/>
          <w:spacing w:val="27"/>
          <w:w w:val="99"/>
          <w:highlight w:val="none"/>
        </w:rPr>
      </w:pPr>
      <w:r>
        <w:rPr>
          <w:rFonts w:hint="eastAsia" w:ascii="宋体" w:hAnsi="宋体" w:eastAsia="宋体" w:cs="宋体"/>
          <w:b/>
          <w:bCs/>
          <w:highlight w:val="none"/>
        </w:rPr>
        <w:t>1.《竞争性磋商文件》的组成</w:t>
      </w:r>
      <w:r>
        <w:rPr>
          <w:rFonts w:hint="eastAsia" w:ascii="宋体" w:hAnsi="宋体" w:eastAsia="宋体" w:cs="宋体"/>
          <w:b/>
          <w:bCs/>
          <w:spacing w:val="27"/>
          <w:w w:val="99"/>
          <w:highlight w:val="none"/>
        </w:rPr>
        <w:t xml:space="preserve">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竞争性文件用以阐明招标项目所需的资质、技术、服务及报价等要求、招标投标程序、有关规定和注意事项以及合同主要条款等。本竞争性磋商文件包括以下内容,但不限于这些内容：</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1）投标邀请书</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2）供应商须知及前附表</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3）评标办法</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4）磋商内容</w:t>
      </w:r>
    </w:p>
    <w:p>
      <w:pPr>
        <w:pStyle w:val="8"/>
        <w:kinsoku w:val="0"/>
        <w:overflowPunct w:val="0"/>
        <w:spacing w:before="130" w:line="355" w:lineRule="auto"/>
        <w:ind w:right="7" w:firstLine="480"/>
        <w:rPr>
          <w:rFonts w:hint="eastAsia" w:ascii="宋体" w:hAnsi="宋体" w:eastAsia="宋体" w:cs="宋体"/>
          <w:spacing w:val="4"/>
          <w:highlight w:val="none"/>
        </w:rPr>
      </w:pPr>
      <w:bookmarkStart w:id="52" w:name="（四）《磋商响应性文件》的编制"/>
      <w:bookmarkEnd w:id="52"/>
      <w:bookmarkStart w:id="53" w:name="bookmark5"/>
      <w:bookmarkEnd w:id="53"/>
      <w:r>
        <w:rPr>
          <w:rFonts w:hint="eastAsia" w:ascii="宋体" w:hAnsi="宋体" w:eastAsia="宋体" w:cs="宋体"/>
          <w:spacing w:val="4"/>
          <w:highlight w:val="none"/>
        </w:rPr>
        <w:t>5）合同条款及合同格式</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6）《磋商响应性文件》格式</w:t>
      </w:r>
    </w:p>
    <w:p>
      <w:pPr>
        <w:pStyle w:val="8"/>
        <w:kinsoku w:val="0"/>
        <w:overflowPunct w:val="0"/>
        <w:spacing w:line="355" w:lineRule="auto"/>
        <w:ind w:left="598" w:right="50" w:hanging="480"/>
        <w:rPr>
          <w:rFonts w:hint="eastAsia" w:ascii="宋体" w:hAnsi="宋体" w:eastAsia="宋体" w:cs="宋体"/>
          <w:b/>
          <w:bCs/>
          <w:spacing w:val="27"/>
          <w:w w:val="99"/>
          <w:highlight w:val="none"/>
        </w:rPr>
      </w:pPr>
      <w:r>
        <w:rPr>
          <w:rFonts w:hint="eastAsia" w:ascii="宋体" w:hAnsi="宋体" w:eastAsia="宋体" w:cs="宋体"/>
          <w:b/>
          <w:bCs/>
          <w:highlight w:val="none"/>
        </w:rPr>
        <w:t>2.《竞争性磋商文件》的澄清</w:t>
      </w:r>
      <w:r>
        <w:rPr>
          <w:rFonts w:hint="eastAsia" w:ascii="宋体" w:hAnsi="宋体" w:eastAsia="宋体" w:cs="宋体"/>
          <w:b/>
          <w:bCs/>
          <w:spacing w:val="27"/>
          <w:w w:val="99"/>
          <w:highlight w:val="none"/>
        </w:rPr>
        <w:t xml:space="preserve">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供应商若对《竞争性磋商文件》有任何疑问，根据《政府采购货物和服务招标投标管理办法》相关规定，供应商应于投标截止日期 3 日前以书面形式向招标代理机构提出 澄清要求，送至招标代理机构。如认为有必要，招标代理机构将以书面形式予以澄清，同时将书面澄清文件向所有供应商发送。供应商在收到该澄清文件后，应于 1 日内以书面形式（加盖公章）向招标代理机构予以确认，该答复作为《竞争性磋商文件》的组成部分，具有同《竞争性磋商文件》同样的约束作用。未确认情况应当视为对竞争性磋商文件修改的知晓，也将视为对修改内容接受的默认。对于未在磋商响应性文件中对修改内容做实质性响应的，对其产生的不利因素由未确认者自行承担。</w:t>
      </w:r>
    </w:p>
    <w:p>
      <w:pPr>
        <w:pStyle w:val="8"/>
        <w:kinsoku w:val="0"/>
        <w:overflowPunct w:val="0"/>
        <w:spacing w:before="151" w:line="356" w:lineRule="auto"/>
        <w:ind w:right="106"/>
        <w:jc w:val="both"/>
        <w:rPr>
          <w:rFonts w:hint="eastAsia" w:ascii="宋体" w:hAnsi="宋体" w:eastAsia="宋体" w:cs="宋体"/>
          <w:highlight w:val="none"/>
        </w:rPr>
      </w:pPr>
      <w:r>
        <w:rPr>
          <w:rFonts w:hint="eastAsia" w:ascii="宋体" w:hAnsi="宋体" w:eastAsia="宋体" w:cs="宋体"/>
          <w:highlight w:val="none"/>
        </w:rPr>
        <w:t xml:space="preserve"> </w:t>
      </w:r>
      <w:r>
        <w:rPr>
          <w:rFonts w:hint="eastAsia" w:ascii="宋体" w:hAnsi="宋体" w:eastAsia="宋体" w:cs="宋体"/>
          <w:b/>
          <w:bCs/>
          <w:highlight w:val="none"/>
        </w:rPr>
        <w:t>3.《竞争性磋商文件》的修改</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3.1 投标截止期 3 日前，无论出于何种原因，招标采购单位可主动地或在解答供应商提出的澄清问题时对《竞争性磋商文件》进行修改，《竞争性磋商文件》的修改书将构成《竞争性磋商文件》的组成部分。</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3.2《竞争性磋商文件》的修改将以书面形式通知所有领取《竞争性磋商文件》的投标单位，并对其具有约束力。供应商在收到上述通知后，应于 1 日内以书面形式（加盖公章）向招标代理机构予以确认。未确认情况应当视为对竞争性磋商文件修改的知晓，也将视为对修改内容接受的默认。</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3.3 为使供应商在编制《磋商响应性文件》时有充分时间对《竞争性磋商文件》的修改部分进行研究，招标代理机构可自行决定是否延长投标截止日期和推迟开标时间，并通知全部供应商。</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 xml:space="preserve">3.4 供应商在应当领取竞争性磋商文件的 </w:t>
      </w:r>
      <w:r>
        <w:rPr>
          <w:rFonts w:hint="eastAsia" w:ascii="宋体" w:hAnsi="宋体" w:eastAsia="宋体" w:cs="宋体"/>
          <w:spacing w:val="4"/>
          <w:highlight w:val="none"/>
          <w:lang w:val="en-US" w:eastAsia="zh-CN"/>
        </w:rPr>
        <w:t>5</w:t>
      </w:r>
      <w:r>
        <w:rPr>
          <w:rFonts w:hint="eastAsia" w:ascii="宋体" w:hAnsi="宋体" w:eastAsia="宋体" w:cs="宋体"/>
          <w:spacing w:val="4"/>
          <w:highlight w:val="none"/>
        </w:rPr>
        <w:t xml:space="preserve"> 日内可对竞争性磋商文件的内容提出质疑，招标采购单位按规定时间答复，超过时间的质疑将不予接受。</w:t>
      </w:r>
    </w:p>
    <w:p>
      <w:pPr>
        <w:pStyle w:val="4"/>
        <w:rPr>
          <w:rFonts w:hint="eastAsia" w:ascii="宋体" w:hAnsi="宋体" w:eastAsia="宋体" w:cs="宋体"/>
          <w:highlight w:val="none"/>
        </w:rPr>
      </w:pPr>
      <w:bookmarkStart w:id="54" w:name="_Toc8528"/>
      <w:r>
        <w:rPr>
          <w:rFonts w:hint="eastAsia" w:ascii="宋体" w:hAnsi="宋体" w:eastAsia="宋体" w:cs="宋体"/>
          <w:highlight w:val="none"/>
        </w:rPr>
        <w:t>（四）《磋商响应性文件》的编制</w:t>
      </w:r>
      <w:bookmarkEnd w:id="54"/>
    </w:p>
    <w:p>
      <w:pPr>
        <w:pStyle w:val="8"/>
        <w:kinsoku w:val="0"/>
        <w:overflowPunct w:val="0"/>
        <w:spacing w:before="124"/>
        <w:rPr>
          <w:rFonts w:hint="eastAsia" w:ascii="宋体" w:hAnsi="宋体" w:eastAsia="宋体" w:cs="宋体"/>
          <w:highlight w:val="none"/>
        </w:rPr>
      </w:pPr>
      <w:r>
        <w:rPr>
          <w:rFonts w:hint="eastAsia" w:ascii="宋体" w:hAnsi="宋体" w:eastAsia="宋体" w:cs="宋体"/>
          <w:b/>
          <w:bCs/>
          <w:spacing w:val="1"/>
          <w:highlight w:val="none"/>
        </w:rPr>
        <w:t>1.</w:t>
      </w:r>
      <w:r>
        <w:rPr>
          <w:rFonts w:hint="eastAsia" w:ascii="宋体" w:hAnsi="宋体" w:eastAsia="宋体" w:cs="宋体"/>
          <w:b/>
          <w:bCs/>
          <w:spacing w:val="-22"/>
          <w:highlight w:val="none"/>
        </w:rPr>
        <w:t xml:space="preserve"> </w:t>
      </w:r>
      <w:r>
        <w:rPr>
          <w:rFonts w:hint="eastAsia" w:ascii="宋体" w:hAnsi="宋体" w:eastAsia="宋体" w:cs="宋体"/>
          <w:b/>
          <w:bCs/>
          <w:highlight w:val="none"/>
        </w:rPr>
        <w:t>《磋商响应性文件》编制要求</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 xml:space="preserve">1.1 供应商应仔细阅读和充分理解《竞争性磋商文件》的所有内容，并按照《竞争性磋商文件》的“磋商响应性文件格式”规定及要求内容的格式提交完整的《磋商响应性文件》。磋商响应性文件应使用中文、编排有序，并按要求编制文件目录和页码，准确标明文件内容所在位置。供应商没有对竞争性磋商文件全面做出实质性响应是供应商的风险。没有按照竞争性磋商文件要求作出实质性响应的不利后果由供应商自行承担。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1.2 磋商响应性文件应字迹清楚，内容齐全，不得涂改和增删。如有修改错漏处，必须由供应商法定代表人或其授权代表签字。资格证明材料的复印件应是清晰可辨并加盖供应商鲜章。</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1.3 磋商响应性文件所提供的全部资料必须真实可靠。若磋商响应性文件填报的内容资料不详，或提供了虚假资料，其磋商响应性文件为无效磋商响应性文件。</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1.4 磋商响应性文件应严格按照竞争性磋商文件格式的要求提交，并按规定的统一 格式逐项填写，不准有空项；无相应内容可填的项应填写“无”、“没有相应指标”等明确的回答文字。</w:t>
      </w:r>
    </w:p>
    <w:p>
      <w:pPr>
        <w:pStyle w:val="8"/>
        <w:kinsoku w:val="0"/>
        <w:overflowPunct w:val="0"/>
        <w:spacing w:before="35"/>
        <w:rPr>
          <w:rFonts w:hint="eastAsia" w:ascii="宋体" w:hAnsi="宋体" w:eastAsia="宋体" w:cs="宋体"/>
          <w:highlight w:val="none"/>
        </w:rPr>
      </w:pPr>
      <w:r>
        <w:rPr>
          <w:rFonts w:hint="eastAsia" w:ascii="宋体" w:hAnsi="宋体" w:eastAsia="宋体" w:cs="宋体"/>
          <w:b/>
          <w:bCs/>
          <w:spacing w:val="1"/>
          <w:highlight w:val="none"/>
        </w:rPr>
        <w:t>2.</w:t>
      </w:r>
      <w:r>
        <w:rPr>
          <w:rFonts w:hint="eastAsia" w:ascii="宋体" w:hAnsi="宋体" w:eastAsia="宋体" w:cs="宋体"/>
          <w:b/>
          <w:bCs/>
          <w:spacing w:val="-19"/>
          <w:highlight w:val="none"/>
        </w:rPr>
        <w:t xml:space="preserve"> </w:t>
      </w:r>
      <w:r>
        <w:rPr>
          <w:rFonts w:hint="eastAsia" w:ascii="宋体" w:hAnsi="宋体" w:eastAsia="宋体" w:cs="宋体"/>
          <w:b/>
          <w:bCs/>
          <w:highlight w:val="none"/>
        </w:rPr>
        <w:t>投标语言：</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2.1 专用术语外，与招标投标有关的磋商响应性文件、投标交换的文件和往来信件应均使用中文，必要时专用术语应附有中文注释。</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2.2 磋商响应性文件中如附有外文资料，必须逐一对应翻译成中文并加盖供应商公章后附在相关外文资料后面，否则，供应商的磋商响应性文件将作为无效投标处理。</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2.3 翻译的中文资料与外文资料如果出现差异和矛盾时，以中文为准。但不能故意错误翻译，否则供应商的磋商响应性文件将作为无效投标处理。</w:t>
      </w:r>
    </w:p>
    <w:p>
      <w:pPr>
        <w:pStyle w:val="8"/>
        <w:kinsoku w:val="0"/>
        <w:overflowPunct w:val="0"/>
        <w:spacing w:before="34" w:line="356" w:lineRule="auto"/>
        <w:ind w:left="0" w:right="50"/>
        <w:rPr>
          <w:rFonts w:hint="eastAsia" w:ascii="宋体" w:hAnsi="宋体" w:eastAsia="宋体" w:cs="宋体"/>
          <w:b/>
          <w:bCs/>
          <w:spacing w:val="-2"/>
          <w:highlight w:val="none"/>
        </w:rPr>
      </w:pPr>
      <w:r>
        <w:rPr>
          <w:rFonts w:hint="eastAsia" w:ascii="宋体" w:hAnsi="宋体" w:eastAsia="宋体" w:cs="宋体"/>
          <w:highlight w:val="none"/>
        </w:rPr>
        <w:t xml:space="preserve"> </w:t>
      </w:r>
      <w:r>
        <w:rPr>
          <w:rFonts w:hint="eastAsia" w:ascii="宋体" w:hAnsi="宋体" w:eastAsia="宋体" w:cs="宋体"/>
          <w:b/>
          <w:bCs/>
          <w:spacing w:val="-2"/>
          <w:highlight w:val="none"/>
        </w:rPr>
        <w:t>3.计量单位：</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除工程规范中另有规定外，磋商响应性文件使用的度量衡单位，均应使用中华人民共和国法定计量单位。</w:t>
      </w:r>
    </w:p>
    <w:p>
      <w:pPr>
        <w:pStyle w:val="8"/>
        <w:kinsoku w:val="0"/>
        <w:overflowPunct w:val="0"/>
        <w:spacing w:before="37"/>
        <w:rPr>
          <w:rFonts w:hint="eastAsia" w:ascii="宋体" w:hAnsi="宋体" w:eastAsia="宋体" w:cs="宋体"/>
          <w:b/>
          <w:bCs/>
          <w:highlight w:val="none"/>
        </w:rPr>
      </w:pPr>
      <w:r>
        <w:rPr>
          <w:rFonts w:hint="eastAsia" w:ascii="宋体" w:hAnsi="宋体" w:eastAsia="宋体" w:cs="宋体"/>
          <w:b/>
          <w:bCs/>
          <w:highlight w:val="none"/>
        </w:rPr>
        <w:t>4.投标货币：</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本次招标项目的投标均以人民币报价。</w:t>
      </w:r>
    </w:p>
    <w:p>
      <w:pPr>
        <w:pStyle w:val="8"/>
        <w:kinsoku w:val="0"/>
        <w:overflowPunct w:val="0"/>
        <w:rPr>
          <w:rFonts w:hint="eastAsia" w:ascii="宋体" w:hAnsi="宋体" w:eastAsia="宋体" w:cs="宋体"/>
          <w:b/>
          <w:bCs/>
          <w:highlight w:val="none"/>
        </w:rPr>
      </w:pPr>
      <w:r>
        <w:rPr>
          <w:rFonts w:hint="eastAsia" w:ascii="宋体" w:hAnsi="宋体" w:eastAsia="宋体" w:cs="宋体"/>
          <w:b/>
          <w:bCs/>
          <w:highlight w:val="none"/>
        </w:rPr>
        <w:t>5.联合投标：</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本项目不接受联合体投标。</w:t>
      </w:r>
    </w:p>
    <w:p>
      <w:pPr>
        <w:pStyle w:val="8"/>
        <w:kinsoku w:val="0"/>
        <w:overflowPunct w:val="0"/>
        <w:spacing w:before="151"/>
        <w:rPr>
          <w:rFonts w:hint="eastAsia" w:ascii="宋体" w:hAnsi="宋体" w:eastAsia="宋体" w:cs="宋体"/>
          <w:highlight w:val="none"/>
        </w:rPr>
      </w:pPr>
      <w:r>
        <w:rPr>
          <w:rFonts w:hint="eastAsia" w:ascii="宋体" w:hAnsi="宋体" w:eastAsia="宋体" w:cs="宋体"/>
          <w:b/>
          <w:bCs/>
          <w:highlight w:val="none"/>
        </w:rPr>
        <w:t>6.知识产权</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6.1 供应商应保证在本项目使用的任何技术成果和服务（包括部分使用）时，不会产生因第三方提出侵犯其专利权、商标权或其它知识产权而引起的法律和经济纠纷，如因专利权、商标权或其它知识产权而引起法律和经济纠纷，由供应商承担所有相关责任。</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6.2 采购人享有本项目实施过程中产生的知识成果及知识产权。</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6.3 供应商如欲在项目实施过程中采用自有知识成果，需在磋商响应性文件中声明，并提供相关知识产权证明文件。使用该知识成果后，供应商需提供开发接口和开发手册 等技术文档，并承诺提供无限期技术支持，采购人享有永久使用权。</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6.4 如采用供应商所不拥有的知识产权，则在投标报价中必须包括合法获取该知识产权的相关费用。</w:t>
      </w:r>
    </w:p>
    <w:p>
      <w:pPr>
        <w:pStyle w:val="8"/>
        <w:kinsoku w:val="0"/>
        <w:overflowPunct w:val="0"/>
        <w:spacing w:before="26"/>
        <w:rPr>
          <w:rFonts w:hint="eastAsia" w:ascii="宋体" w:hAnsi="宋体" w:eastAsia="宋体" w:cs="宋体"/>
          <w:highlight w:val="none"/>
        </w:rPr>
      </w:pPr>
      <w:r>
        <w:rPr>
          <w:rFonts w:hint="eastAsia" w:ascii="宋体" w:hAnsi="宋体" w:eastAsia="宋体" w:cs="宋体"/>
          <w:b/>
          <w:bCs/>
          <w:highlight w:val="none"/>
        </w:rPr>
        <w:t>7.《磋商响应性文件》的组成</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《磋商响应性文件》应由商务文件部分（包括资格证明文件）、技术文件部分（包括技术响应、服务方案等）、投标报价及其它部分组成，所有复印件须加盖公章。按如下顺序编制：</w:t>
      </w:r>
    </w:p>
    <w:p>
      <w:pPr>
        <w:pStyle w:val="8"/>
        <w:kinsoku w:val="0"/>
        <w:overflowPunct w:val="0"/>
        <w:spacing w:before="130" w:line="355" w:lineRule="auto"/>
        <w:ind w:right="7" w:firstLine="480"/>
        <w:rPr>
          <w:rFonts w:hint="eastAsia" w:ascii="宋体" w:hAnsi="宋体" w:eastAsia="宋体" w:cs="宋体"/>
          <w:b/>
          <w:spacing w:val="4"/>
          <w:highlight w:val="none"/>
        </w:rPr>
      </w:pPr>
      <w:r>
        <w:rPr>
          <w:rFonts w:hint="eastAsia" w:ascii="宋体" w:hAnsi="宋体" w:eastAsia="宋体" w:cs="宋体"/>
          <w:b/>
          <w:spacing w:val="4"/>
          <w:highlight w:val="none"/>
        </w:rPr>
        <w:t>7.1  商务文件部分、投标报价部分应包括：</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(1)投标函；</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 xml:space="preserve">(2)法定代表人身份证明（附法定代表人身份证复印件）；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 xml:space="preserve">(3)授权委托书（附被授权人身份证复印件）；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 xml:space="preserve">(4)投标保证金缴纳凭证（复印件加盖公章）；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(5</w:t>
      </w:r>
      <w:r>
        <w:rPr>
          <w:rFonts w:hint="eastAsia" w:ascii="宋体" w:hAnsi="宋体" w:eastAsia="宋体" w:cs="宋体"/>
          <w:spacing w:val="4"/>
          <w:highlight w:val="none"/>
          <w:lang w:val="en-US" w:eastAsia="zh-CN"/>
        </w:rPr>
        <w:t xml:space="preserve"> </w:t>
      </w:r>
      <w:r>
        <w:rPr>
          <w:rFonts w:hint="eastAsia" w:ascii="宋体" w:hAnsi="宋体" w:eastAsia="宋体" w:cs="宋体"/>
          <w:highlight w:val="none"/>
        </w:rPr>
        <w:t>报价一览表</w:t>
      </w:r>
      <w:r>
        <w:rPr>
          <w:rFonts w:hint="eastAsia" w:ascii="宋体" w:hAnsi="宋体" w:eastAsia="宋体" w:cs="宋体"/>
          <w:spacing w:val="4"/>
          <w:highlight w:val="none"/>
        </w:rPr>
        <w:t>；</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 xml:space="preserve">(6)投标报价汇总表；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(7)供应商基本情况；</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1）供应商基本情况表；</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2）营业执照副本、税务登记证、组织机构代码证、（三证合一的提供统一社会信用代码的营业执照）、公司资质证书（复印件加盖公章）；</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3）近1年财务状况报告相关材料（复印件加盖公章）；</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4）单位社会保障缴费证明（复印件加盖公章）；</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(8)</w:t>
      </w:r>
      <w:r>
        <w:rPr>
          <w:rFonts w:hint="eastAsia" w:ascii="宋体" w:hAnsi="宋体" w:eastAsia="宋体" w:cs="宋体"/>
          <w:spacing w:val="4"/>
          <w:highlight w:val="none"/>
          <w:lang w:eastAsia="zh-CN"/>
        </w:rPr>
        <w:t>人员配置</w:t>
      </w:r>
      <w:r>
        <w:rPr>
          <w:rFonts w:hint="eastAsia" w:ascii="宋体" w:hAnsi="宋体" w:eastAsia="宋体" w:cs="宋体"/>
          <w:spacing w:val="4"/>
          <w:highlight w:val="none"/>
        </w:rPr>
        <w:t xml:space="preserve">；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 xml:space="preserve">(9)同类项目业绩介绍；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(10)中小企业声明函（符合本声明函填写）；</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(11)残疾人福利性单位声明函（符合本声明函填写） ；</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(12)缴纳招标代理服务费承诺书；</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(13)退还保证金说明函；</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(14)其他商务资格证明资料（格式自定）。</w:t>
      </w:r>
    </w:p>
    <w:p>
      <w:pPr>
        <w:pStyle w:val="8"/>
        <w:kinsoku w:val="0"/>
        <w:overflowPunct w:val="0"/>
        <w:spacing w:before="130" w:line="355" w:lineRule="auto"/>
        <w:ind w:right="7" w:firstLine="480"/>
        <w:rPr>
          <w:rFonts w:hint="eastAsia" w:ascii="宋体" w:hAnsi="宋体" w:eastAsia="宋体" w:cs="宋体"/>
          <w:b/>
          <w:spacing w:val="4"/>
          <w:highlight w:val="none"/>
        </w:rPr>
      </w:pPr>
      <w:r>
        <w:rPr>
          <w:rFonts w:hint="eastAsia" w:ascii="宋体" w:hAnsi="宋体" w:eastAsia="宋体" w:cs="宋体"/>
          <w:b/>
          <w:spacing w:val="4"/>
          <w:highlight w:val="none"/>
        </w:rPr>
        <w:t>7.2 技术文件部分应包括：</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w:t>
      </w:r>
      <w:r>
        <w:rPr>
          <w:rFonts w:hint="eastAsia" w:ascii="宋体" w:hAnsi="宋体" w:eastAsia="宋体" w:cs="宋体"/>
          <w:spacing w:val="4"/>
          <w:highlight w:val="none"/>
          <w:lang w:val="en-US" w:eastAsia="zh-CN"/>
        </w:rPr>
        <w:t>5</w:t>
      </w:r>
      <w:r>
        <w:rPr>
          <w:rFonts w:hint="eastAsia" w:ascii="宋体" w:hAnsi="宋体" w:eastAsia="宋体" w:cs="宋体"/>
          <w:spacing w:val="4"/>
          <w:highlight w:val="none"/>
        </w:rPr>
        <w:t>)项目实施方案；</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w:t>
      </w:r>
      <w:r>
        <w:rPr>
          <w:rFonts w:hint="eastAsia" w:ascii="宋体" w:hAnsi="宋体" w:eastAsia="宋体" w:cs="宋体"/>
          <w:spacing w:val="4"/>
          <w:highlight w:val="none"/>
          <w:lang w:val="en-US" w:eastAsia="zh-CN"/>
        </w:rPr>
        <w:t>6</w:t>
      </w:r>
      <w:r>
        <w:rPr>
          <w:rFonts w:hint="eastAsia" w:ascii="宋体" w:hAnsi="宋体" w:eastAsia="宋体" w:cs="宋体"/>
          <w:spacing w:val="4"/>
          <w:highlight w:val="none"/>
        </w:rPr>
        <w:t>)供应商认为需要提交的技术资料；</w:t>
      </w:r>
    </w:p>
    <w:p>
      <w:pPr>
        <w:pStyle w:val="8"/>
        <w:kinsoku w:val="0"/>
        <w:overflowPunct w:val="0"/>
        <w:spacing w:before="130" w:line="355" w:lineRule="auto"/>
        <w:ind w:right="7" w:firstLine="480"/>
        <w:rPr>
          <w:rFonts w:hint="eastAsia" w:ascii="宋体" w:hAnsi="宋体" w:eastAsia="宋体" w:cs="宋体"/>
          <w:b/>
          <w:spacing w:val="4"/>
          <w:highlight w:val="none"/>
        </w:rPr>
      </w:pPr>
      <w:r>
        <w:rPr>
          <w:rFonts w:hint="eastAsia" w:ascii="宋体" w:hAnsi="宋体" w:eastAsia="宋体" w:cs="宋体"/>
          <w:b/>
          <w:spacing w:val="4"/>
          <w:highlight w:val="none"/>
        </w:rPr>
        <w:t>7.3 本次投标报价要求：</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7.3.1 总价格包括完成采购范围内全部内容采购及相关伴随服务全过程的全部费用。</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7.3.2 供应商只允许在《磋商响应性文件》中有一个报价，并且在合同履行过程中是固定不变的，任何有选择或可调整的报价将不予接受，并按无效投标处理。</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7.3.3 供应商的报价作为评标的重要依据之一，但并不是本项目采购人招标、评标确定中标供应商的唯一依据。拒绝不计成本的故意压低投标报价和恶意以低价投标的行为。</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7.3.4 本项目投标报价是在符合竞争性磋商文件对项目相关要求的情况下，以最大限度的折扣价或优惠后价格的体现。</w:t>
      </w:r>
    </w:p>
    <w:p>
      <w:pPr>
        <w:pStyle w:val="8"/>
        <w:kinsoku w:val="0"/>
        <w:overflowPunct w:val="0"/>
        <w:spacing w:before="36"/>
        <w:rPr>
          <w:rFonts w:hint="eastAsia" w:ascii="宋体" w:hAnsi="宋体" w:eastAsia="宋体" w:cs="宋体"/>
          <w:highlight w:val="none"/>
        </w:rPr>
      </w:pPr>
      <w:r>
        <w:rPr>
          <w:rFonts w:hint="eastAsia" w:ascii="宋体" w:hAnsi="宋体" w:eastAsia="宋体" w:cs="宋体"/>
          <w:b/>
          <w:bCs/>
          <w:highlight w:val="none"/>
        </w:rPr>
        <w:t>8.磋商响应性文件格式</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8.1 供应商应按《竞争性磋商文件》的内容与要求和第六章提供的格式编写其《磋商响应性文件》，供应商不得空留或缺少任何《竞争性磋商文件》要求填写的表格或提交的资料，未列出格式的部分供应商可自行编制。</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8.2 供应商提交的《磋商响应性文件》中全部资料必须真实可靠，并接受采购人、招标代理机构对其中任何资料进一步审查的要求。</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8.3 《磋商响应性文件》的封面及密封袋封面编制格式详见附件。</w:t>
      </w:r>
    </w:p>
    <w:p>
      <w:pPr>
        <w:pStyle w:val="8"/>
        <w:kinsoku w:val="0"/>
        <w:overflowPunct w:val="0"/>
        <w:spacing w:before="151"/>
        <w:rPr>
          <w:rFonts w:hint="eastAsia" w:ascii="宋体" w:hAnsi="宋体" w:eastAsia="宋体" w:cs="宋体"/>
          <w:highlight w:val="none"/>
        </w:rPr>
      </w:pPr>
      <w:r>
        <w:rPr>
          <w:rFonts w:hint="eastAsia" w:ascii="宋体" w:hAnsi="宋体" w:eastAsia="宋体" w:cs="宋体"/>
          <w:b/>
          <w:bCs/>
          <w:highlight w:val="none"/>
        </w:rPr>
        <w:t>9.投标有效期</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9.1 投标有效期见本须知前附表所规定的期限，在此期限内，供应商不得要求撤销或修改其磋商响应性文件。</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9.2 在特殊情况下，采购人在原定投标有效期内，可以根据需要以书面形式向供应商提出延长投标有效期的要求，对此要求供应商须以书面形式予以答复。供应商可以拒绝采购人这种要求</w:t>
      </w:r>
      <w:bookmarkStart w:id="55" w:name="（五）磋商响应性文件的提交及相关事项"/>
      <w:bookmarkEnd w:id="55"/>
      <w:bookmarkStart w:id="56" w:name="bookmark6"/>
      <w:bookmarkEnd w:id="56"/>
      <w:r>
        <w:rPr>
          <w:rFonts w:hint="eastAsia" w:ascii="宋体" w:hAnsi="宋体" w:eastAsia="宋体" w:cs="宋体"/>
          <w:spacing w:val="4"/>
          <w:highlight w:val="none"/>
        </w:rPr>
        <w:t>，而不被没收投标保证金。同意延长投标有效期的供应商既不能要求也不允许修改其磋商响应性文件，但需要相应的延长投标担保的有效期，在延长的投标有效期内须知前附表第 21 条关于投标担保的退还与没收的规定仍然适用。</w:t>
      </w:r>
    </w:p>
    <w:p>
      <w:pPr>
        <w:pStyle w:val="8"/>
        <w:kinsoku w:val="0"/>
        <w:overflowPunct w:val="0"/>
        <w:spacing w:before="37"/>
        <w:jc w:val="both"/>
        <w:rPr>
          <w:rFonts w:hint="eastAsia" w:ascii="宋体" w:hAnsi="宋体" w:eastAsia="宋体" w:cs="宋体"/>
          <w:highlight w:val="none"/>
        </w:rPr>
      </w:pPr>
      <w:r>
        <w:rPr>
          <w:rFonts w:hint="eastAsia" w:ascii="宋体" w:hAnsi="宋体" w:eastAsia="宋体" w:cs="宋体"/>
          <w:b/>
          <w:bCs/>
          <w:highlight w:val="none"/>
        </w:rPr>
        <w:t>10.投标保证金</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10.1投标保证金应用投标货币即人民币，并采用下列任何一种形式：</w:t>
      </w:r>
    </w:p>
    <w:p>
      <w:pPr>
        <w:pStyle w:val="8"/>
        <w:kinsoku w:val="0"/>
        <w:overflowPunct w:val="0"/>
        <w:spacing w:before="130" w:line="355" w:lineRule="auto"/>
        <w:ind w:right="7" w:firstLine="480"/>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投标保证金的形式：电汇、转账等形式</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均应从基本账户转出</w:t>
      </w:r>
      <w:r>
        <w:rPr>
          <w:rFonts w:hint="eastAsia" w:ascii="宋体" w:hAnsi="宋体" w:eastAsia="宋体" w:cs="宋体"/>
          <w:kern w:val="0"/>
          <w:sz w:val="24"/>
          <w:szCs w:val="24"/>
          <w:highlight w:val="none"/>
          <w:lang w:eastAsia="zh-CN"/>
        </w:rPr>
        <w:t>。</w:t>
      </w:r>
    </w:p>
    <w:p>
      <w:pPr>
        <w:pStyle w:val="8"/>
        <w:kinsoku w:val="0"/>
        <w:overflowPunct w:val="0"/>
        <w:spacing w:before="130" w:line="355" w:lineRule="auto"/>
        <w:ind w:right="7"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投标保证金的金额：</w:t>
      </w:r>
      <w:r>
        <w:rPr>
          <w:rFonts w:hint="eastAsia" w:ascii="宋体" w:hAnsi="宋体" w:eastAsia="宋体" w:cs="宋体"/>
          <w:kern w:val="0"/>
          <w:sz w:val="24"/>
          <w:szCs w:val="24"/>
          <w:highlight w:val="none"/>
          <w:lang w:val="en-US" w:eastAsia="zh-CN"/>
        </w:rPr>
        <w:t>9000</w:t>
      </w:r>
      <w:r>
        <w:rPr>
          <w:rFonts w:hint="eastAsia" w:ascii="宋体" w:hAnsi="宋体" w:eastAsia="宋体" w:cs="宋体"/>
          <w:kern w:val="0"/>
          <w:sz w:val="24"/>
          <w:szCs w:val="24"/>
          <w:highlight w:val="none"/>
        </w:rPr>
        <w:t>元（</w:t>
      </w:r>
      <w:r>
        <w:rPr>
          <w:rFonts w:hint="eastAsia" w:ascii="宋体" w:hAnsi="宋体" w:eastAsia="宋体" w:cs="宋体"/>
          <w:kern w:val="0"/>
          <w:sz w:val="24"/>
          <w:szCs w:val="24"/>
          <w:highlight w:val="none"/>
          <w:lang w:val="en-US" w:eastAsia="zh-CN"/>
        </w:rPr>
        <w:t>玖仟元</w:t>
      </w:r>
      <w:r>
        <w:rPr>
          <w:rFonts w:hint="eastAsia" w:ascii="宋体" w:hAnsi="宋体" w:eastAsia="宋体" w:cs="宋体"/>
          <w:kern w:val="0"/>
          <w:sz w:val="24"/>
          <w:szCs w:val="24"/>
          <w:highlight w:val="none"/>
        </w:rPr>
        <w:t>整）</w:t>
      </w:r>
    </w:p>
    <w:p>
      <w:pPr>
        <w:pStyle w:val="8"/>
        <w:kinsoku w:val="0"/>
        <w:overflowPunct w:val="0"/>
        <w:spacing w:before="130" w:line="355" w:lineRule="auto"/>
        <w:ind w:right="7"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投标保证金必须在投标文件递交截止时间</w:t>
      </w:r>
      <w:r>
        <w:rPr>
          <w:rFonts w:hint="eastAsia" w:ascii="宋体" w:hAnsi="宋体" w:eastAsia="宋体" w:cs="宋体"/>
          <w:kern w:val="0"/>
          <w:sz w:val="24"/>
          <w:szCs w:val="24"/>
          <w:highlight w:val="none"/>
          <w:lang w:val="en-US" w:eastAsia="zh-CN"/>
        </w:rPr>
        <w:t>至少</w:t>
      </w:r>
      <w:r>
        <w:rPr>
          <w:rFonts w:hint="eastAsia" w:ascii="宋体" w:hAnsi="宋体" w:eastAsia="宋体" w:cs="宋体"/>
          <w:kern w:val="0"/>
          <w:sz w:val="24"/>
          <w:szCs w:val="24"/>
          <w:highlight w:val="none"/>
        </w:rPr>
        <w:t>前1个工作日确保到帐</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投标人未按</w:t>
      </w:r>
      <w:r>
        <w:rPr>
          <w:rFonts w:hint="eastAsia" w:ascii="宋体" w:hAnsi="宋体" w:eastAsia="宋体" w:cs="宋体"/>
          <w:kern w:val="0"/>
          <w:sz w:val="24"/>
          <w:szCs w:val="24"/>
          <w:highlight w:val="none"/>
          <w:lang w:val="en-US" w:eastAsia="zh-CN"/>
        </w:rPr>
        <w:t>磋商</w:t>
      </w:r>
      <w:r>
        <w:rPr>
          <w:rFonts w:hint="eastAsia" w:ascii="宋体" w:hAnsi="宋体" w:eastAsia="宋体" w:cs="宋体"/>
          <w:kern w:val="0"/>
          <w:sz w:val="24"/>
          <w:szCs w:val="24"/>
          <w:highlight w:val="none"/>
        </w:rPr>
        <w:t>文件要求提交投标保证金的，投标文件无效</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至</w:t>
      </w:r>
      <w:r>
        <w:rPr>
          <w:rFonts w:hint="eastAsia" w:ascii="宋体" w:hAnsi="宋体" w:eastAsia="宋体" w:cs="宋体"/>
          <w:kern w:val="0"/>
          <w:sz w:val="24"/>
          <w:szCs w:val="24"/>
          <w:highlight w:val="none"/>
        </w:rPr>
        <w:t>以下账号：</w:t>
      </w:r>
    </w:p>
    <w:p>
      <w:pPr>
        <w:pStyle w:val="8"/>
        <w:kinsoku w:val="0"/>
        <w:overflowPunct w:val="0"/>
        <w:spacing w:before="130" w:line="355" w:lineRule="auto"/>
        <w:ind w:right="7" w:firstLine="480"/>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单位名称：</w:t>
      </w:r>
      <w:r>
        <w:rPr>
          <w:rFonts w:hint="eastAsia" w:ascii="宋体" w:hAnsi="宋体" w:eastAsia="宋体" w:cs="宋体"/>
          <w:kern w:val="0"/>
          <w:sz w:val="24"/>
          <w:szCs w:val="24"/>
          <w:highlight w:val="none"/>
          <w:lang w:eastAsia="zh-CN"/>
        </w:rPr>
        <w:t>新疆天之源项目管理集团有限公司</w:t>
      </w:r>
    </w:p>
    <w:p>
      <w:pPr>
        <w:pStyle w:val="8"/>
        <w:kinsoku w:val="0"/>
        <w:overflowPunct w:val="0"/>
        <w:spacing w:before="130" w:line="355" w:lineRule="auto"/>
        <w:ind w:right="7"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开户银行：招商银行股份有限公司乌鲁木齐人民路支行</w:t>
      </w:r>
    </w:p>
    <w:p>
      <w:pPr>
        <w:pStyle w:val="8"/>
        <w:kinsoku w:val="0"/>
        <w:overflowPunct w:val="0"/>
        <w:spacing w:before="130" w:line="355" w:lineRule="auto"/>
        <w:ind w:right="7"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银行账号：991902337110201</w:t>
      </w:r>
    </w:p>
    <w:p>
      <w:pPr>
        <w:pStyle w:val="8"/>
        <w:kinsoku w:val="0"/>
        <w:overflowPunct w:val="0"/>
        <w:spacing w:before="130" w:line="355" w:lineRule="auto"/>
        <w:ind w:right="7" w:firstLine="480"/>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 xml:space="preserve"> 行号：</w:t>
      </w:r>
      <w:r>
        <w:rPr>
          <w:rFonts w:hint="eastAsia" w:ascii="宋体" w:hAnsi="宋体" w:eastAsia="宋体" w:cs="宋体"/>
          <w:kern w:val="0"/>
          <w:sz w:val="24"/>
          <w:szCs w:val="24"/>
          <w:highlight w:val="none"/>
          <w:lang w:eastAsia="zh-CN"/>
        </w:rPr>
        <w:t>308881029059</w:t>
      </w:r>
    </w:p>
    <w:p>
      <w:pPr>
        <w:pStyle w:val="8"/>
        <w:kinsoku w:val="0"/>
        <w:overflowPunct w:val="0"/>
        <w:spacing w:before="130" w:line="355" w:lineRule="auto"/>
        <w:ind w:right="7"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投标人办理保证金时，须注明“项目名称+投标保证金”（如字数超出规定字数可简写项目名称）。</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10.2投标保证金为磋商响应性文件的重要组成部分。未按规定提交投标保证金的供应商，将被视为无效投标而予以拒绝。</w:t>
      </w:r>
    </w:p>
    <w:p>
      <w:pPr>
        <w:pStyle w:val="8"/>
        <w:kinsoku w:val="0"/>
        <w:overflowPunct w:val="0"/>
        <w:spacing w:before="130" w:line="355" w:lineRule="auto"/>
        <w:ind w:right="7" w:firstLine="480"/>
        <w:rPr>
          <w:rFonts w:hint="eastAsia" w:ascii="宋体" w:hAnsi="宋体" w:eastAsia="宋体" w:cs="宋体"/>
          <w:spacing w:val="4"/>
          <w:highlight w:val="none"/>
        </w:rPr>
      </w:pPr>
      <w:r>
        <w:rPr>
          <w:rFonts w:hint="eastAsia" w:ascii="宋体" w:hAnsi="宋体" w:eastAsia="宋体" w:cs="宋体"/>
          <w:spacing w:val="4"/>
          <w:highlight w:val="none"/>
        </w:rPr>
        <w:t>10.3成交人的投标保证金，在成交人按规定的金额付清招标代理服务费后予以无息退还。</w:t>
      </w:r>
    </w:p>
    <w:p>
      <w:pPr>
        <w:pStyle w:val="8"/>
        <w:kinsoku w:val="0"/>
        <w:overflowPunct w:val="0"/>
        <w:spacing w:before="38"/>
        <w:ind w:left="598"/>
        <w:rPr>
          <w:rFonts w:hint="eastAsia" w:ascii="宋体" w:hAnsi="宋体" w:eastAsia="宋体" w:cs="宋体"/>
          <w:highlight w:val="none"/>
        </w:rPr>
      </w:pPr>
      <w:r>
        <w:rPr>
          <w:rFonts w:hint="eastAsia" w:ascii="宋体" w:hAnsi="宋体" w:eastAsia="宋体" w:cs="宋体"/>
          <w:highlight w:val="none"/>
        </w:rPr>
        <w:t>10.4</w:t>
      </w:r>
      <w:r>
        <w:rPr>
          <w:rFonts w:hint="eastAsia" w:ascii="宋体" w:hAnsi="宋体" w:eastAsia="宋体" w:cs="宋体"/>
          <w:spacing w:val="-60"/>
          <w:highlight w:val="none"/>
        </w:rPr>
        <w:t xml:space="preserve"> </w:t>
      </w:r>
      <w:r>
        <w:rPr>
          <w:rFonts w:hint="eastAsia" w:ascii="宋体" w:hAnsi="宋体" w:eastAsia="宋体" w:cs="宋体"/>
          <w:highlight w:val="none"/>
        </w:rPr>
        <w:t>投标保证金的</w:t>
      </w:r>
      <w:r>
        <w:rPr>
          <w:rFonts w:hint="eastAsia" w:ascii="宋体" w:hAnsi="宋体" w:eastAsia="宋体" w:cs="宋体"/>
          <w:spacing w:val="4"/>
          <w:highlight w:val="none"/>
        </w:rPr>
        <w:t>缴纳</w:t>
      </w:r>
      <w:r>
        <w:rPr>
          <w:rFonts w:hint="eastAsia" w:ascii="宋体" w:hAnsi="宋体" w:eastAsia="宋体" w:cs="宋体"/>
          <w:highlight w:val="none"/>
        </w:rPr>
        <w:t>和退付（详见“供应商须知前附表”）。</w:t>
      </w:r>
    </w:p>
    <w:p>
      <w:pPr>
        <w:pStyle w:val="8"/>
        <w:kinsoku w:val="0"/>
        <w:overflowPunct w:val="0"/>
        <w:spacing w:before="151"/>
        <w:jc w:val="both"/>
        <w:rPr>
          <w:rFonts w:hint="eastAsia" w:ascii="宋体" w:hAnsi="宋体" w:eastAsia="宋体" w:cs="宋体"/>
          <w:highlight w:val="none"/>
        </w:rPr>
      </w:pPr>
      <w:r>
        <w:rPr>
          <w:rFonts w:hint="eastAsia" w:ascii="宋体" w:hAnsi="宋体" w:eastAsia="宋体" w:cs="宋体"/>
          <w:b/>
          <w:bCs/>
          <w:highlight w:val="none"/>
        </w:rPr>
        <w:t>11.磋商响应性文件的印制和签署</w:t>
      </w:r>
    </w:p>
    <w:p>
      <w:pPr>
        <w:pStyle w:val="8"/>
        <w:kinsoku w:val="0"/>
        <w:overflowPunct w:val="0"/>
        <w:spacing w:line="355" w:lineRule="auto"/>
        <w:ind w:right="234" w:firstLine="480"/>
        <w:jc w:val="both"/>
        <w:rPr>
          <w:rFonts w:hint="eastAsia" w:ascii="宋体" w:hAnsi="宋体" w:eastAsia="宋体" w:cs="宋体"/>
          <w:highlight w:val="none"/>
        </w:rPr>
      </w:pPr>
      <w:r>
        <w:rPr>
          <w:rFonts w:hint="eastAsia" w:ascii="宋体" w:hAnsi="宋体" w:eastAsia="宋体" w:cs="宋体"/>
          <w:highlight w:val="none"/>
        </w:rPr>
        <w:t>11.1</w:t>
      </w:r>
      <w:r>
        <w:rPr>
          <w:rFonts w:hint="eastAsia" w:ascii="宋体" w:hAnsi="宋体" w:eastAsia="宋体" w:cs="宋体"/>
          <w:spacing w:val="-60"/>
          <w:highlight w:val="none"/>
        </w:rPr>
        <w:t xml:space="preserve"> </w:t>
      </w:r>
      <w:r>
        <w:rPr>
          <w:rFonts w:hint="eastAsia" w:ascii="宋体" w:hAnsi="宋体" w:eastAsia="宋体" w:cs="宋体"/>
          <w:highlight w:val="none"/>
        </w:rPr>
        <w:t>供应商应</w:t>
      </w:r>
      <w:r>
        <w:rPr>
          <w:rFonts w:hint="eastAsia" w:ascii="宋体" w:hAnsi="宋体" w:eastAsia="宋体" w:cs="宋体"/>
          <w:spacing w:val="-27"/>
          <w:highlight w:val="none"/>
        </w:rPr>
        <w:t>按</w:t>
      </w:r>
      <w:r>
        <w:rPr>
          <w:rFonts w:hint="eastAsia" w:ascii="宋体" w:hAnsi="宋体" w:eastAsia="宋体" w:cs="宋体"/>
          <w:highlight w:val="none"/>
        </w:rPr>
        <w:t>“供应商须知前附表</w:t>
      </w:r>
      <w:r>
        <w:rPr>
          <w:rFonts w:hint="eastAsia" w:ascii="宋体" w:hAnsi="宋体" w:eastAsia="宋体" w:cs="宋体"/>
          <w:spacing w:val="-27"/>
          <w:highlight w:val="none"/>
        </w:rPr>
        <w:t>”</w:t>
      </w:r>
      <w:r>
        <w:rPr>
          <w:rFonts w:hint="eastAsia" w:ascii="宋体" w:hAnsi="宋体" w:eastAsia="宋体" w:cs="宋体"/>
          <w:highlight w:val="none"/>
        </w:rPr>
        <w:t>规定的份数提</w:t>
      </w:r>
      <w:r>
        <w:rPr>
          <w:rFonts w:hint="eastAsia" w:ascii="宋体" w:hAnsi="宋体" w:eastAsia="宋体" w:cs="宋体"/>
          <w:spacing w:val="-29"/>
          <w:highlight w:val="none"/>
        </w:rPr>
        <w:t>交</w:t>
      </w:r>
      <w:r>
        <w:rPr>
          <w:rFonts w:hint="eastAsia" w:ascii="宋体" w:hAnsi="宋体" w:eastAsia="宋体" w:cs="宋体"/>
          <w:highlight w:val="none"/>
        </w:rPr>
        <w:t>《磋商响应性文</w:t>
      </w:r>
      <w:r>
        <w:rPr>
          <w:rFonts w:hint="eastAsia" w:ascii="宋体" w:hAnsi="宋体" w:eastAsia="宋体" w:cs="宋体"/>
          <w:spacing w:val="2"/>
          <w:highlight w:val="none"/>
        </w:rPr>
        <w:t>件</w:t>
      </w:r>
      <w:r>
        <w:rPr>
          <w:rFonts w:hint="eastAsia" w:ascii="宋体" w:hAnsi="宋体" w:eastAsia="宋体" w:cs="宋体"/>
          <w:spacing w:val="-29"/>
          <w:highlight w:val="none"/>
        </w:rPr>
        <w:t>》</w:t>
      </w:r>
      <w:r>
        <w:rPr>
          <w:rFonts w:hint="eastAsia" w:ascii="宋体" w:hAnsi="宋体" w:eastAsia="宋体" w:cs="宋体"/>
          <w:highlight w:val="none"/>
        </w:rPr>
        <w:t>一正</w:t>
      </w:r>
      <w:r>
        <w:rPr>
          <w:rFonts w:hint="eastAsia" w:ascii="宋体" w:hAnsi="宋体" w:eastAsia="宋体" w:cs="宋体"/>
          <w:highlight w:val="none"/>
          <w:lang w:eastAsia="zh-CN"/>
        </w:rPr>
        <w:t>四</w:t>
      </w:r>
      <w:r>
        <w:rPr>
          <w:rFonts w:hint="eastAsia" w:ascii="宋体" w:hAnsi="宋体" w:eastAsia="宋体" w:cs="宋体"/>
          <w:highlight w:val="none"/>
        </w:rPr>
        <w:t>副</w:t>
      </w:r>
      <w:r>
        <w:rPr>
          <w:rFonts w:hint="eastAsia" w:ascii="宋体" w:hAnsi="宋体" w:eastAsia="宋体" w:cs="宋体"/>
          <w:spacing w:val="-2"/>
          <w:highlight w:val="none"/>
        </w:rPr>
        <w:t>，</w:t>
      </w:r>
      <w:r>
        <w:rPr>
          <w:rFonts w:hint="eastAsia" w:ascii="宋体" w:hAnsi="宋体" w:eastAsia="宋体" w:cs="宋体"/>
          <w:highlight w:val="none"/>
        </w:rPr>
        <w:t>电子版（正本扫描件、PDF格式）</w:t>
      </w:r>
      <w:r>
        <w:rPr>
          <w:rFonts w:hint="eastAsia" w:ascii="宋体" w:hAnsi="宋体" w:eastAsia="宋体" w:cs="宋体"/>
          <w:highlight w:val="none"/>
          <w:lang w:val="en-US" w:eastAsia="zh-CN"/>
        </w:rPr>
        <w:t>一</w:t>
      </w:r>
      <w:r>
        <w:rPr>
          <w:rFonts w:hint="eastAsia" w:ascii="宋体" w:hAnsi="宋体" w:eastAsia="宋体" w:cs="宋体"/>
          <w:highlight w:val="none"/>
        </w:rPr>
        <w:t>份。</w:t>
      </w:r>
    </w:p>
    <w:p>
      <w:pPr>
        <w:pStyle w:val="8"/>
        <w:kinsoku w:val="0"/>
        <w:overflowPunct w:val="0"/>
        <w:spacing w:before="38" w:line="356" w:lineRule="auto"/>
        <w:ind w:right="238" w:firstLine="480"/>
        <w:jc w:val="both"/>
        <w:rPr>
          <w:rFonts w:hint="eastAsia" w:ascii="宋体" w:hAnsi="宋体" w:eastAsia="宋体" w:cs="宋体"/>
          <w:highlight w:val="none"/>
        </w:rPr>
      </w:pPr>
      <w:r>
        <w:rPr>
          <w:rFonts w:hint="eastAsia" w:ascii="宋体" w:hAnsi="宋体" w:eastAsia="宋体" w:cs="宋体"/>
          <w:highlight w:val="none"/>
        </w:rPr>
        <w:t>11.2 《磋商响应性文件》的正本和副本均需打印或使用不褪色墨水笔书写，字迹</w:t>
      </w:r>
      <w:r>
        <w:rPr>
          <w:rFonts w:hint="eastAsia" w:ascii="宋体" w:hAnsi="宋体" w:eastAsia="宋体" w:cs="宋体"/>
          <w:spacing w:val="-2"/>
          <w:highlight w:val="none"/>
        </w:rPr>
        <w:t>应清晰易于辨认，并应在《磋商响应性文件》封面的右上角清楚地注明“正本”或“副</w:t>
      </w:r>
      <w:r>
        <w:rPr>
          <w:rFonts w:hint="eastAsia" w:ascii="宋体" w:hAnsi="宋体" w:eastAsia="宋体" w:cs="宋体"/>
          <w:highlight w:val="none"/>
        </w:rPr>
        <w:t>本”。正本和副本如有不一致之处，以正本为准。</w:t>
      </w:r>
    </w:p>
    <w:p>
      <w:pPr>
        <w:pStyle w:val="8"/>
        <w:kinsoku w:val="0"/>
        <w:overflowPunct w:val="0"/>
        <w:spacing w:before="37" w:line="355" w:lineRule="auto"/>
        <w:ind w:right="238" w:firstLine="480"/>
        <w:jc w:val="both"/>
        <w:rPr>
          <w:rFonts w:hint="eastAsia" w:ascii="宋体" w:hAnsi="宋体" w:eastAsia="宋体" w:cs="宋体"/>
          <w:highlight w:val="none"/>
        </w:rPr>
      </w:pPr>
      <w:r>
        <w:rPr>
          <w:rFonts w:hint="eastAsia" w:ascii="宋体" w:hAnsi="宋体" w:eastAsia="宋体" w:cs="宋体"/>
          <w:highlight w:val="none"/>
        </w:rPr>
        <w:t>11.3 《磋商响应性文件》的正本和副本均应在签字盖章处加盖投标单位公章，并</w:t>
      </w:r>
      <w:r>
        <w:rPr>
          <w:rFonts w:hint="eastAsia" w:ascii="宋体" w:hAnsi="宋体" w:eastAsia="宋体" w:cs="宋体"/>
          <w:spacing w:val="-2"/>
          <w:highlight w:val="none"/>
        </w:rPr>
        <w:t>经法定代表人或被授权人签字或盖章的《磋商响应性文件》，《磋商响应性文件》中</w:t>
      </w:r>
      <w:r>
        <w:rPr>
          <w:rFonts w:hint="eastAsia" w:ascii="宋体" w:hAnsi="宋体" w:eastAsia="宋体" w:cs="宋体"/>
          <w:highlight w:val="none"/>
        </w:rPr>
        <w:t>须同时提交“委托授权书”。</w:t>
      </w:r>
    </w:p>
    <w:p>
      <w:pPr>
        <w:pStyle w:val="8"/>
        <w:kinsoku w:val="0"/>
        <w:overflowPunct w:val="0"/>
        <w:spacing w:before="38" w:line="357" w:lineRule="auto"/>
        <w:ind w:right="238" w:firstLine="480"/>
        <w:jc w:val="both"/>
        <w:rPr>
          <w:rFonts w:hint="eastAsia" w:ascii="宋体" w:hAnsi="宋体" w:eastAsia="宋体" w:cs="宋体"/>
          <w:highlight w:val="none"/>
        </w:rPr>
      </w:pPr>
      <w:r>
        <w:rPr>
          <w:rFonts w:hint="eastAsia" w:ascii="宋体" w:hAnsi="宋体" w:eastAsia="宋体" w:cs="宋体"/>
          <w:highlight w:val="none"/>
        </w:rPr>
        <w:t>11.4 除供应商对错误处须修改外，全套《磋商响应性文件》应无涂改或行间插字</w:t>
      </w:r>
      <w:r>
        <w:rPr>
          <w:rFonts w:hint="eastAsia" w:ascii="宋体" w:hAnsi="宋体" w:eastAsia="宋体" w:cs="宋体"/>
          <w:spacing w:val="-2"/>
          <w:highlight w:val="none"/>
        </w:rPr>
        <w:t>和增删。如有修改，修改处应由供应商加盖投标单位的印章或由《磋商响应性文件》签</w:t>
      </w:r>
      <w:r>
        <w:rPr>
          <w:rFonts w:hint="eastAsia" w:ascii="宋体" w:hAnsi="宋体" w:eastAsia="宋体" w:cs="宋体"/>
          <w:highlight w:val="none"/>
        </w:rPr>
        <w:t>字人签字或盖章</w:t>
      </w:r>
      <w:r>
        <w:rPr>
          <w:rFonts w:hint="eastAsia" w:ascii="宋体" w:hAnsi="宋体" w:eastAsia="宋体" w:cs="宋体"/>
          <w:spacing w:val="-27"/>
          <w:highlight w:val="none"/>
        </w:rPr>
        <w:t>。</w:t>
      </w:r>
      <w:r>
        <w:rPr>
          <w:rFonts w:hint="eastAsia" w:ascii="宋体" w:hAnsi="宋体" w:eastAsia="宋体" w:cs="宋体"/>
          <w:highlight w:val="none"/>
        </w:rPr>
        <w:t>字迹潦草</w:t>
      </w:r>
      <w:r>
        <w:rPr>
          <w:rFonts w:hint="eastAsia" w:ascii="宋体" w:hAnsi="宋体" w:eastAsia="宋体" w:cs="宋体"/>
          <w:spacing w:val="-24"/>
          <w:highlight w:val="none"/>
        </w:rPr>
        <w:t>、</w:t>
      </w:r>
      <w:r>
        <w:rPr>
          <w:rFonts w:hint="eastAsia" w:ascii="宋体" w:hAnsi="宋体" w:eastAsia="宋体" w:cs="宋体"/>
          <w:highlight w:val="none"/>
        </w:rPr>
        <w:t>表达不清或可能导致非唯一理解的磋商响应性文件可能视为无效投标。</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11.5 《磋商响应性文件》的印制应采用70克以上的复印纸打印，采用胶装方式装订，即不可抽取调换内页的书式平装方式，无脱落无散页，有目录、有页码。</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11.6 《磋商响应性文件》应根据《竞争性磋商文件》的要求签署、盖章及密封，内容应完整详细，如有遗漏，将被视为无效投标。</w:t>
      </w:r>
    </w:p>
    <w:p>
      <w:pPr>
        <w:pStyle w:val="4"/>
        <w:rPr>
          <w:rFonts w:hint="eastAsia" w:ascii="宋体" w:hAnsi="宋体" w:eastAsia="宋体" w:cs="宋体"/>
          <w:highlight w:val="none"/>
        </w:rPr>
      </w:pPr>
      <w:bookmarkStart w:id="57" w:name="_Toc32099"/>
      <w:r>
        <w:rPr>
          <w:rFonts w:hint="eastAsia" w:ascii="宋体" w:hAnsi="宋体" w:eastAsia="宋体" w:cs="宋体"/>
          <w:highlight w:val="none"/>
        </w:rPr>
        <w:t>（五）磋商响应性文件的提交及相关事项</w:t>
      </w:r>
      <w:bookmarkEnd w:id="57"/>
    </w:p>
    <w:p>
      <w:pPr>
        <w:pStyle w:val="8"/>
        <w:kinsoku w:val="0"/>
        <w:overflowPunct w:val="0"/>
        <w:spacing w:before="151"/>
        <w:jc w:val="both"/>
        <w:rPr>
          <w:rFonts w:hint="eastAsia" w:ascii="宋体" w:hAnsi="宋体" w:eastAsia="宋体" w:cs="宋体"/>
          <w:b/>
          <w:bCs/>
          <w:highlight w:val="none"/>
        </w:rPr>
      </w:pPr>
      <w:r>
        <w:rPr>
          <w:rFonts w:hint="eastAsia" w:ascii="宋体" w:hAnsi="宋体" w:eastAsia="宋体" w:cs="宋体"/>
          <w:b/>
          <w:bCs/>
          <w:highlight w:val="none"/>
        </w:rPr>
        <w:t>1.磋商响应性文件的密封和标记</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1.1磋商响应性文件正本与副本应</w:t>
      </w:r>
      <w:r>
        <w:rPr>
          <w:rFonts w:hint="eastAsia" w:ascii="宋体" w:hAnsi="宋体" w:eastAsia="宋体" w:cs="宋体"/>
          <w:highlight w:val="none"/>
          <w:lang w:val="en-US" w:eastAsia="zh-CN"/>
        </w:rPr>
        <w:t>分别</w:t>
      </w:r>
      <w:r>
        <w:rPr>
          <w:rFonts w:hint="eastAsia" w:ascii="宋体" w:hAnsi="宋体" w:eastAsia="宋体" w:cs="宋体"/>
          <w:highlight w:val="none"/>
        </w:rPr>
        <w:t>密封，并加贴“密封”字样封条，在封套的封口处应加盖单位公章。供应商未按此要求采用其他包装的，将造成磋商响应性文件被拒收。</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1.2在封套上注明项目名称、项目编号及“在</w:t>
      </w:r>
      <w:r>
        <w:rPr>
          <w:rFonts w:hint="eastAsia" w:ascii="宋体" w:hAnsi="宋体" w:eastAsia="宋体" w:cs="宋体"/>
          <w:highlight w:val="none"/>
          <w:u w:val="single"/>
        </w:rPr>
        <w:tab/>
      </w:r>
      <w:r>
        <w:rPr>
          <w:rFonts w:hint="eastAsia" w:ascii="宋体" w:hAnsi="宋体" w:eastAsia="宋体" w:cs="宋体"/>
          <w:highlight w:val="none"/>
        </w:rPr>
        <w:t>年</w:t>
      </w:r>
      <w:r>
        <w:rPr>
          <w:rFonts w:hint="eastAsia" w:ascii="宋体" w:hAnsi="宋体" w:eastAsia="宋体" w:cs="宋体"/>
          <w:highlight w:val="none"/>
          <w:u w:val="single"/>
        </w:rPr>
        <w:tab/>
      </w:r>
      <w:r>
        <w:rPr>
          <w:rFonts w:hint="eastAsia" w:ascii="宋体" w:hAnsi="宋体" w:eastAsia="宋体" w:cs="宋体"/>
          <w:highlight w:val="none"/>
        </w:rPr>
        <w:t>月</w:t>
      </w:r>
      <w:r>
        <w:rPr>
          <w:rFonts w:hint="eastAsia" w:ascii="宋体" w:hAnsi="宋体" w:eastAsia="宋体" w:cs="宋体"/>
          <w:highlight w:val="none"/>
          <w:u w:val="single"/>
        </w:rPr>
        <w:tab/>
      </w:r>
      <w:r>
        <w:rPr>
          <w:rFonts w:hint="eastAsia" w:ascii="宋体" w:hAnsi="宋体" w:eastAsia="宋体" w:cs="宋体"/>
          <w:highlight w:val="none"/>
        </w:rPr>
        <w:t>日</w:t>
      </w:r>
      <w:r>
        <w:rPr>
          <w:rFonts w:hint="eastAsia" w:ascii="宋体" w:hAnsi="宋体" w:eastAsia="宋体" w:cs="宋体"/>
          <w:highlight w:val="none"/>
          <w:u w:val="single"/>
        </w:rPr>
        <w:tab/>
      </w:r>
      <w:r>
        <w:rPr>
          <w:rFonts w:hint="eastAsia" w:ascii="宋体" w:hAnsi="宋体" w:eastAsia="宋体" w:cs="宋体"/>
          <w:highlight w:val="none"/>
        </w:rPr>
        <w:t>时</w:t>
      </w:r>
      <w:r>
        <w:rPr>
          <w:rFonts w:hint="eastAsia" w:ascii="宋体" w:hAnsi="宋体" w:eastAsia="宋体" w:cs="宋体"/>
          <w:highlight w:val="none"/>
          <w:u w:val="single"/>
        </w:rPr>
        <w:tab/>
      </w:r>
      <w:r>
        <w:rPr>
          <w:rFonts w:hint="eastAsia" w:ascii="宋体" w:hAnsi="宋体" w:eastAsia="宋体" w:cs="宋体"/>
          <w:highlight w:val="none"/>
        </w:rPr>
        <w:t>分之前不得启封”字样。</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1.3供应商必须将“电子版 U 盘”与“正本”</w:t>
      </w:r>
      <w:r>
        <w:rPr>
          <w:rFonts w:hint="eastAsia" w:ascii="宋体" w:hAnsi="宋体" w:eastAsia="宋体" w:cs="宋体"/>
          <w:highlight w:val="none"/>
          <w:lang w:val="en-US" w:eastAsia="zh-CN"/>
        </w:rPr>
        <w:t>分别</w:t>
      </w:r>
      <w:r>
        <w:rPr>
          <w:rFonts w:hint="eastAsia" w:ascii="宋体" w:hAnsi="宋体" w:eastAsia="宋体" w:cs="宋体"/>
          <w:highlight w:val="none"/>
        </w:rPr>
        <w:t>密封提交，并在封面上注明项目名称、项目编号、投标单位名称（并加盖公章）及“在</w:t>
      </w:r>
      <w:r>
        <w:rPr>
          <w:rFonts w:hint="eastAsia" w:ascii="宋体" w:hAnsi="宋体" w:eastAsia="宋体" w:cs="宋体"/>
          <w:highlight w:val="none"/>
        </w:rPr>
        <w:tab/>
      </w:r>
      <w:r>
        <w:rPr>
          <w:rFonts w:hint="eastAsia" w:ascii="宋体" w:hAnsi="宋体" w:eastAsia="宋体" w:cs="宋体"/>
          <w:highlight w:val="none"/>
        </w:rPr>
        <w:t xml:space="preserve"> 年</w:t>
      </w:r>
      <w:r>
        <w:rPr>
          <w:rFonts w:hint="eastAsia" w:ascii="宋体" w:hAnsi="宋体" w:eastAsia="宋体" w:cs="宋体"/>
          <w:highlight w:val="none"/>
        </w:rPr>
        <w:tab/>
      </w:r>
      <w:r>
        <w:rPr>
          <w:rFonts w:hint="eastAsia" w:ascii="宋体" w:hAnsi="宋体" w:eastAsia="宋体" w:cs="宋体"/>
          <w:highlight w:val="none"/>
        </w:rPr>
        <w:t xml:space="preserve">  月   日</w:t>
      </w:r>
      <w:r>
        <w:rPr>
          <w:rFonts w:hint="eastAsia" w:ascii="宋体" w:hAnsi="宋体" w:eastAsia="宋体" w:cs="宋体"/>
          <w:highlight w:val="none"/>
        </w:rPr>
        <w:tab/>
      </w:r>
      <w:r>
        <w:rPr>
          <w:rFonts w:hint="eastAsia" w:ascii="宋体" w:hAnsi="宋体" w:eastAsia="宋体" w:cs="宋体"/>
          <w:highlight w:val="none"/>
        </w:rPr>
        <w:t xml:space="preserve"> 时</w:t>
      </w:r>
      <w:r>
        <w:rPr>
          <w:rFonts w:hint="eastAsia" w:ascii="宋体" w:hAnsi="宋体" w:eastAsia="宋体" w:cs="宋体"/>
          <w:highlight w:val="none"/>
        </w:rPr>
        <w:tab/>
      </w:r>
      <w:r>
        <w:rPr>
          <w:rFonts w:hint="eastAsia" w:ascii="宋体" w:hAnsi="宋体" w:eastAsia="宋体" w:cs="宋体"/>
          <w:highlight w:val="none"/>
        </w:rPr>
        <w:t xml:space="preserve">  分之前不得启封”字样</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报价一览表单独密封</w:t>
      </w:r>
      <w:r>
        <w:rPr>
          <w:rFonts w:hint="eastAsia" w:ascii="宋体" w:hAnsi="宋体" w:eastAsia="宋体" w:cs="宋体"/>
          <w:highlight w:val="none"/>
        </w:rPr>
        <w:t>。密封后粘贴密封条。</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1.4未按本章第1.1项</w:t>
      </w:r>
      <w:r>
        <w:rPr>
          <w:rFonts w:hint="eastAsia" w:ascii="宋体" w:hAnsi="宋体" w:eastAsia="宋体" w:cs="宋体"/>
          <w:highlight w:val="none"/>
          <w:lang w:val="en-US" w:eastAsia="zh-CN"/>
        </w:rPr>
        <w:t>到</w:t>
      </w:r>
      <w:r>
        <w:rPr>
          <w:rFonts w:hint="eastAsia" w:ascii="宋体" w:hAnsi="宋体" w:eastAsia="宋体" w:cs="宋体"/>
          <w:highlight w:val="none"/>
        </w:rPr>
        <w:t>1.</w:t>
      </w:r>
      <w:r>
        <w:rPr>
          <w:rFonts w:hint="eastAsia" w:ascii="宋体" w:hAnsi="宋体" w:eastAsia="宋体" w:cs="宋体"/>
          <w:highlight w:val="none"/>
          <w:lang w:val="en-US" w:eastAsia="zh-CN"/>
        </w:rPr>
        <w:t>3</w:t>
      </w:r>
      <w:r>
        <w:rPr>
          <w:rFonts w:hint="eastAsia" w:ascii="宋体" w:hAnsi="宋体" w:eastAsia="宋体" w:cs="宋体"/>
          <w:highlight w:val="none"/>
        </w:rPr>
        <w:t>项密封和加写标记的磋商响应性文件, 造成磋商响应性文件被拒收的不利后果由供应商自行承担。</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1.5 如果封口处未按要求密封和加写标记，招标代理机构对误投或过早启封概不负责。</w:t>
      </w:r>
    </w:p>
    <w:p>
      <w:pPr>
        <w:pStyle w:val="8"/>
        <w:kinsoku w:val="0"/>
        <w:overflowPunct w:val="0"/>
        <w:spacing w:before="151"/>
        <w:jc w:val="both"/>
        <w:rPr>
          <w:rFonts w:hint="eastAsia" w:ascii="宋体" w:hAnsi="宋体" w:eastAsia="宋体" w:cs="宋体"/>
          <w:b/>
          <w:bCs/>
          <w:highlight w:val="none"/>
        </w:rPr>
      </w:pPr>
      <w:r>
        <w:rPr>
          <w:rFonts w:hint="eastAsia" w:ascii="宋体" w:hAnsi="宋体" w:eastAsia="宋体" w:cs="宋体"/>
          <w:b/>
          <w:bCs/>
          <w:highlight w:val="none"/>
        </w:rPr>
        <w:t>2.磋商响应性文件的提交</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2.1 供应商应按本须知前附表所规定的地点，于递交截止时间前提交磋商响应性文 件。</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2.2 投标截止时间为《竞争性磋商文件》“供应商须知前附表”中规定时间，逾期送达的、未按竞争性磋商文件要求密封的《磋商响应性文件》招标代理机构和采购人概不接受。</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2.3 采购人可按本须知规定以修改补充通知的方式，酌情延长提交磋商响应性文件 的截止时间。在此情况下，供应商的所有权利和义务以及供应商受制约的截止时间，均以延长后新的投标截止时间为准。</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2.4 到投标截止时间止，采购人收到的磋商响应性文件少于</w:t>
      </w:r>
      <w:r>
        <w:rPr>
          <w:rFonts w:hint="eastAsia" w:ascii="宋体" w:hAnsi="宋体" w:eastAsia="宋体" w:cs="宋体"/>
          <w:spacing w:val="4"/>
          <w:highlight w:val="none"/>
        </w:rPr>
        <w:t>《政府采购货物和服务招标投标管理办法》、《政府购买服务管理办法（暂行）》、《政府采购竞争性磋商采购方式管理暂行办法》、《财政部关于政府采购竞争性磋商采购方式管理暂行办法有关问题的补充通知》及相关法规</w:t>
      </w:r>
      <w:r>
        <w:rPr>
          <w:rFonts w:hint="eastAsia" w:ascii="宋体" w:hAnsi="宋体" w:eastAsia="宋体" w:cs="宋体"/>
          <w:highlight w:val="none"/>
        </w:rPr>
        <w:t>规定的家数，采购人将依法重新组织招标。</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2.5 本次招标不接受邮寄的磋商响应性文件。</w:t>
      </w:r>
    </w:p>
    <w:p>
      <w:pPr>
        <w:pStyle w:val="8"/>
        <w:kinsoku w:val="0"/>
        <w:overflowPunct w:val="0"/>
        <w:spacing w:before="151"/>
        <w:jc w:val="both"/>
        <w:rPr>
          <w:rFonts w:hint="eastAsia" w:ascii="宋体" w:hAnsi="宋体" w:eastAsia="宋体" w:cs="宋体"/>
          <w:b/>
          <w:bCs/>
          <w:highlight w:val="none"/>
        </w:rPr>
      </w:pPr>
      <w:r>
        <w:rPr>
          <w:rFonts w:hint="eastAsia" w:ascii="宋体" w:hAnsi="宋体" w:eastAsia="宋体" w:cs="宋体"/>
          <w:b/>
          <w:bCs/>
          <w:highlight w:val="none"/>
        </w:rPr>
        <w:t xml:space="preserve">3.投标截止时间 </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投标截止时间为“供应商须知前附表”中规定时间。</w:t>
      </w:r>
    </w:p>
    <w:p>
      <w:pPr>
        <w:pStyle w:val="8"/>
        <w:kinsoku w:val="0"/>
        <w:overflowPunct w:val="0"/>
        <w:spacing w:before="34" w:line="357" w:lineRule="auto"/>
        <w:ind w:left="598" w:right="101" w:hanging="480"/>
        <w:rPr>
          <w:rFonts w:hint="eastAsia" w:ascii="宋体" w:hAnsi="宋体" w:eastAsia="宋体" w:cs="宋体"/>
          <w:b/>
          <w:bCs/>
          <w:spacing w:val="27"/>
          <w:w w:val="99"/>
          <w:highlight w:val="none"/>
        </w:rPr>
      </w:pPr>
      <w:r>
        <w:rPr>
          <w:rFonts w:hint="eastAsia" w:ascii="宋体" w:hAnsi="宋体" w:eastAsia="宋体" w:cs="宋体"/>
          <w:b/>
          <w:bCs/>
          <w:highlight w:val="none"/>
        </w:rPr>
        <w:t>4.迟交的磋商响应性文件</w:t>
      </w:r>
      <w:r>
        <w:rPr>
          <w:rFonts w:hint="eastAsia" w:ascii="宋体" w:hAnsi="宋体" w:eastAsia="宋体" w:cs="宋体"/>
          <w:b/>
          <w:bCs/>
          <w:spacing w:val="27"/>
          <w:w w:val="99"/>
          <w:highlight w:val="none"/>
        </w:rPr>
        <w:t xml:space="preserve"> </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采购人将拒绝并退回在其规定的截止时间后收到的任何磋商响应性文件。</w:t>
      </w:r>
    </w:p>
    <w:p>
      <w:pPr>
        <w:pStyle w:val="8"/>
        <w:kinsoku w:val="0"/>
        <w:overflowPunct w:val="0"/>
        <w:spacing w:before="34" w:line="357" w:lineRule="auto"/>
        <w:ind w:left="598" w:right="101" w:hanging="480"/>
        <w:rPr>
          <w:rFonts w:hint="eastAsia" w:ascii="宋体" w:hAnsi="宋体" w:eastAsia="宋体" w:cs="宋体"/>
          <w:b/>
          <w:bCs/>
          <w:highlight w:val="none"/>
        </w:rPr>
      </w:pPr>
      <w:r>
        <w:rPr>
          <w:rFonts w:hint="eastAsia" w:ascii="宋体" w:hAnsi="宋体" w:eastAsia="宋体" w:cs="宋体"/>
          <w:b/>
          <w:bCs/>
          <w:highlight w:val="none"/>
        </w:rPr>
        <w:t>5.磋商响应性文件的补充、修改与撤回</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5.1 供应商在提交磋商响应性文件以后，在规定的投标截止时间之前，可以书面形式补充修改或撤回已提交的磋商响应性文件，并以书面形式通知采购人。补充、修改的内容为磋商响应性文件的组成部分。</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5.2 供应商对磋商响应性文件的补充、修改，应按本须知有关规定密封、标记和提交，并在内外层磋商响应性文件密封袋上清楚标明“补充、修改”或“撤回”字样。</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5.3 在投标截止时间之后，供应商不得补充、修改磋商响应性文件。</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5.4 在投标截止时间至投标有效期满之前，供应商不得撤回其磋商响应性文件，否则其投标保证金将被没收。</w:t>
      </w:r>
    </w:p>
    <w:p>
      <w:pPr>
        <w:pStyle w:val="4"/>
        <w:rPr>
          <w:rFonts w:hint="eastAsia" w:ascii="宋体" w:hAnsi="宋体" w:eastAsia="宋体" w:cs="宋体"/>
          <w:highlight w:val="none"/>
          <w:lang w:eastAsia="zh-CN"/>
        </w:rPr>
      </w:pPr>
      <w:bookmarkStart w:id="58" w:name="_Toc1690"/>
      <w:r>
        <w:rPr>
          <w:rFonts w:hint="eastAsia" w:ascii="宋体" w:hAnsi="宋体" w:eastAsia="宋体" w:cs="宋体"/>
          <w:highlight w:val="none"/>
        </w:rPr>
        <w:t>（</w:t>
      </w:r>
      <w:r>
        <w:rPr>
          <w:rFonts w:hint="eastAsia" w:ascii="宋体" w:hAnsi="宋体" w:eastAsia="宋体" w:cs="宋体"/>
          <w:highlight w:val="none"/>
          <w:lang w:eastAsia="zh-CN"/>
        </w:rPr>
        <w:t>六</w:t>
      </w:r>
      <w:r>
        <w:rPr>
          <w:rFonts w:hint="eastAsia" w:ascii="宋体" w:hAnsi="宋体" w:eastAsia="宋体" w:cs="宋体"/>
          <w:highlight w:val="none"/>
        </w:rPr>
        <w:t>）</w:t>
      </w:r>
      <w:r>
        <w:rPr>
          <w:rFonts w:hint="eastAsia" w:ascii="宋体" w:hAnsi="宋体" w:eastAsia="宋体" w:cs="宋体"/>
          <w:highlight w:val="none"/>
          <w:lang w:eastAsia="zh-CN"/>
        </w:rPr>
        <w:t>磋商</w:t>
      </w:r>
      <w:bookmarkEnd w:id="58"/>
    </w:p>
    <w:p>
      <w:pPr>
        <w:pStyle w:val="8"/>
        <w:kinsoku w:val="0"/>
        <w:overflowPunct w:val="0"/>
        <w:spacing w:before="35"/>
        <w:rPr>
          <w:rFonts w:hint="eastAsia" w:ascii="宋体" w:hAnsi="宋体" w:eastAsia="宋体" w:cs="宋体"/>
          <w:b/>
          <w:bCs/>
          <w:spacing w:val="1"/>
          <w:highlight w:val="none"/>
        </w:rPr>
      </w:pPr>
      <w:r>
        <w:rPr>
          <w:rFonts w:hint="eastAsia" w:ascii="宋体" w:hAnsi="宋体" w:eastAsia="宋体" w:cs="宋体"/>
          <w:b/>
          <w:bCs/>
          <w:spacing w:val="1"/>
          <w:highlight w:val="none"/>
        </w:rPr>
        <w:t>1.磋商小组</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1.1</w:t>
      </w:r>
      <w:r>
        <w:rPr>
          <w:rFonts w:hint="eastAsia" w:ascii="宋体" w:hAnsi="宋体" w:eastAsia="宋体" w:cs="宋体"/>
          <w:highlight w:val="none"/>
        </w:rPr>
        <w:tab/>
      </w:r>
      <w:r>
        <w:rPr>
          <w:rFonts w:hint="eastAsia" w:ascii="宋体" w:hAnsi="宋体" w:eastAsia="宋体" w:cs="宋体"/>
          <w:spacing w:val="1"/>
          <w:highlight w:val="none"/>
        </w:rPr>
        <w:t>评标由采购人依法组建的磋商小组负责。磋商小组由采购人熟悉相关业务</w:t>
      </w:r>
      <w:r>
        <w:rPr>
          <w:rFonts w:hint="eastAsia" w:ascii="宋体" w:hAnsi="宋体" w:eastAsia="宋体" w:cs="宋体"/>
          <w:highlight w:val="none"/>
        </w:rPr>
        <w:t>的代表，以及有关技术、经济等方面的专家三人的单数组成。</w:t>
      </w:r>
    </w:p>
    <w:p>
      <w:pPr>
        <w:pStyle w:val="8"/>
        <w:tabs>
          <w:tab w:val="left" w:pos="1438"/>
        </w:tabs>
        <w:kinsoku w:val="0"/>
        <w:overflowPunct w:val="0"/>
        <w:spacing w:before="36"/>
        <w:ind w:left="598"/>
        <w:rPr>
          <w:rFonts w:hint="eastAsia" w:ascii="宋体" w:hAnsi="宋体" w:eastAsia="宋体" w:cs="宋体"/>
          <w:highlight w:val="none"/>
        </w:rPr>
      </w:pPr>
      <w:r>
        <w:rPr>
          <w:rFonts w:hint="eastAsia" w:ascii="宋体" w:hAnsi="宋体" w:eastAsia="宋体" w:cs="宋体"/>
          <w:highlight w:val="none"/>
        </w:rPr>
        <w:t>1.2 磋商小组成员有下列情形之一的，应当回避；</w:t>
      </w:r>
    </w:p>
    <w:p>
      <w:pPr>
        <w:pStyle w:val="8"/>
        <w:kinsoku w:val="0"/>
        <w:overflowPunct w:val="0"/>
        <w:ind w:left="598"/>
        <w:rPr>
          <w:rFonts w:hint="eastAsia" w:ascii="宋体" w:hAnsi="宋体" w:eastAsia="宋体" w:cs="宋体"/>
          <w:highlight w:val="none"/>
        </w:rPr>
      </w:pPr>
      <w:r>
        <w:rPr>
          <w:rFonts w:hint="eastAsia" w:ascii="宋体" w:hAnsi="宋体" w:eastAsia="宋体" w:cs="宋体"/>
          <w:highlight w:val="none"/>
        </w:rPr>
        <w:t>（1）采购人或供应商的主要负责人的近亲属。</w:t>
      </w:r>
    </w:p>
    <w:p>
      <w:pPr>
        <w:pStyle w:val="8"/>
        <w:kinsoku w:val="0"/>
        <w:overflowPunct w:val="0"/>
        <w:ind w:left="598"/>
        <w:rPr>
          <w:rFonts w:hint="eastAsia" w:ascii="宋体" w:hAnsi="宋体" w:eastAsia="宋体" w:cs="宋体"/>
          <w:highlight w:val="none"/>
        </w:rPr>
      </w:pPr>
      <w:r>
        <w:rPr>
          <w:rFonts w:hint="eastAsia" w:ascii="宋体" w:hAnsi="宋体" w:eastAsia="宋体" w:cs="宋体"/>
          <w:highlight w:val="none"/>
        </w:rPr>
        <w:t>（2）项目主管部门或者行政监督部门的人员。</w:t>
      </w:r>
    </w:p>
    <w:p>
      <w:pPr>
        <w:pStyle w:val="8"/>
        <w:kinsoku w:val="0"/>
        <w:overflowPunct w:val="0"/>
        <w:spacing w:before="151"/>
        <w:ind w:left="598"/>
        <w:rPr>
          <w:rFonts w:hint="eastAsia" w:ascii="宋体" w:hAnsi="宋体" w:eastAsia="宋体" w:cs="宋体"/>
          <w:highlight w:val="none"/>
        </w:rPr>
      </w:pPr>
      <w:r>
        <w:rPr>
          <w:rFonts w:hint="eastAsia" w:ascii="宋体" w:hAnsi="宋体" w:eastAsia="宋体" w:cs="宋体"/>
          <w:highlight w:val="none"/>
        </w:rPr>
        <w:t>（3）与供应商有经济利益关系，可能影响对投标公正评审的。</w:t>
      </w:r>
    </w:p>
    <w:p>
      <w:pPr>
        <w:pStyle w:val="8"/>
        <w:kinsoku w:val="0"/>
        <w:overflowPunct w:val="0"/>
        <w:spacing w:line="355" w:lineRule="auto"/>
        <w:ind w:right="50" w:firstLine="480"/>
        <w:rPr>
          <w:rFonts w:hint="eastAsia" w:ascii="宋体" w:hAnsi="宋体" w:eastAsia="宋体" w:cs="宋体"/>
          <w:highlight w:val="none"/>
        </w:rPr>
      </w:pPr>
      <w:r>
        <w:rPr>
          <w:rFonts w:hint="eastAsia" w:ascii="宋体" w:hAnsi="宋体" w:eastAsia="宋体" w:cs="宋体"/>
          <w:spacing w:val="1"/>
          <w:highlight w:val="none"/>
        </w:rPr>
        <w:t>（4）曾因在招标、评标以及其他与招标投标有关活动中从事违法行为而受过行政</w:t>
      </w:r>
      <w:r>
        <w:rPr>
          <w:rFonts w:hint="eastAsia" w:ascii="宋体" w:hAnsi="宋体" w:eastAsia="宋体" w:cs="宋体"/>
          <w:highlight w:val="none"/>
        </w:rPr>
        <w:t>处罚或刑事处罚的。</w:t>
      </w:r>
    </w:p>
    <w:p>
      <w:pPr>
        <w:pStyle w:val="8"/>
        <w:kinsoku w:val="0"/>
        <w:overflowPunct w:val="0"/>
        <w:spacing w:before="34" w:line="357" w:lineRule="auto"/>
        <w:ind w:right="306" w:firstLine="480"/>
        <w:jc w:val="both"/>
        <w:rPr>
          <w:rFonts w:hint="eastAsia" w:ascii="宋体" w:hAnsi="宋体" w:eastAsia="宋体" w:cs="宋体"/>
          <w:highlight w:val="none"/>
        </w:rPr>
      </w:pPr>
      <w:r>
        <w:rPr>
          <w:rFonts w:hint="eastAsia" w:ascii="宋体" w:hAnsi="宋体" w:eastAsia="宋体" w:cs="宋体"/>
          <w:highlight w:val="none"/>
        </w:rPr>
        <w:t>（5）其它可能影响公正评标的情形。</w:t>
      </w:r>
    </w:p>
    <w:p>
      <w:pPr>
        <w:pStyle w:val="8"/>
        <w:kinsoku w:val="0"/>
        <w:overflowPunct w:val="0"/>
        <w:spacing w:before="35"/>
        <w:rPr>
          <w:rFonts w:hint="eastAsia" w:ascii="宋体" w:hAnsi="宋体" w:eastAsia="宋体" w:cs="宋体"/>
          <w:b/>
          <w:bCs/>
          <w:spacing w:val="1"/>
          <w:highlight w:val="none"/>
        </w:rPr>
      </w:pPr>
      <w:r>
        <w:rPr>
          <w:rFonts w:hint="eastAsia" w:ascii="宋体" w:hAnsi="宋体" w:eastAsia="宋体" w:cs="宋体"/>
          <w:b/>
          <w:bCs/>
          <w:spacing w:val="1"/>
          <w:highlight w:val="none"/>
        </w:rPr>
        <w:t>2.评标原则</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2.1 本次磋商遵循公开透明、公平竞争、公正和诚实信用的原则。磋商小组成员按照客观、公正、审慎的原则，根据磋商文件规定的评审程序、评审方法和评审标准进行独立评审。未实质性响应磋商文件的响应文件按无效响应处理，并告知提交响应文件的供应商。</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2.2 项目实施机构成立磋商小组，负责本次项目采购的磋商工作，磋商小组由业主代表与技术、经济等方面专家组成共3人以上组成，其中评审专家人数不得少于磋商小组成员总数的2/3。评审专家应当从政府采购评审庄家库内相关专业的专家名单中随机抽取，符合本办法（财库214号文）第三条第四项规定情形的项目，以及特殊情况。磋商小组应当根据综合评分情况，按照评审得分由高到低顺序推荐 3 名成交候选供应商，并编写评审报告。评审得分相同的，按照最后报价由低到高的顺序推荐；评审得分且最后报价相同的，按照技术指标优劣顺序推荐。</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2.3 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8"/>
        <w:kinsoku w:val="0"/>
        <w:overflowPunct w:val="0"/>
        <w:spacing w:before="35" w:line="357" w:lineRule="auto"/>
        <w:ind w:left="598" w:right="238" w:hanging="480"/>
        <w:rPr>
          <w:rFonts w:hint="eastAsia" w:ascii="宋体" w:hAnsi="宋体" w:eastAsia="宋体" w:cs="宋体"/>
          <w:b/>
          <w:bCs/>
          <w:spacing w:val="22"/>
          <w:w w:val="99"/>
          <w:highlight w:val="none"/>
        </w:rPr>
      </w:pPr>
      <w:r>
        <w:rPr>
          <w:rFonts w:hint="eastAsia" w:ascii="宋体" w:hAnsi="宋体" w:eastAsia="宋体" w:cs="宋体"/>
          <w:b/>
          <w:bCs/>
          <w:w w:val="95"/>
          <w:highlight w:val="none"/>
        </w:rPr>
        <w:t>3.</w:t>
      </w:r>
      <w:r>
        <w:rPr>
          <w:rFonts w:hint="eastAsia" w:ascii="宋体" w:hAnsi="宋体" w:eastAsia="宋体" w:cs="宋体"/>
          <w:b/>
          <w:bCs/>
          <w:highlight w:val="none"/>
        </w:rPr>
        <w:t>评标</w:t>
      </w:r>
      <w:r>
        <w:rPr>
          <w:rFonts w:hint="eastAsia" w:ascii="宋体" w:hAnsi="宋体" w:eastAsia="宋体" w:cs="宋体"/>
          <w:b/>
          <w:bCs/>
          <w:spacing w:val="22"/>
          <w:w w:val="99"/>
          <w:highlight w:val="none"/>
        </w:rPr>
        <w:t xml:space="preserve"> </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3.1磋商小组按照竞争性磋商文件中规定的方法、评审因素、标准和程序对磋商应性文件进行评审。竞争性磋商文件中没有规定的方法、评审因素和标准，不作为评标依据。 详见“评标办法”内容。</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3.2评标过程严格保密。供应商对评委会的评标过程或合同授予决定施加影响的任何行为都可能导致其投标被拒绝。</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3.3 在评标期间，评委会可要求供应商对其磋商响应性文件中非实质性的有关问题进行 澄清、说明或者补正。有关澄清、说明或者补正的要求和答复应以书面形式提交。供应 商的澄清、说明或者补正不得超出磋商响应性文件的范围或者改变磋商响应性文件的实 质性内容。</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3.4 评委会认定实质性响应竞争性磋商文件的投标是磋商响应性文件与竞争性磋商文件 要求的全部条款、条件和规格相符，没有实质性负偏离。评委会评审磋商响应性文件的 响应性依据是磋商响应性文件本身的内容，而不寻求外部的证据。</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3.5 如果磋商响应性文件没有实质性响应竞争性磋商文件的要求，评委会将予以拒绝。 供应商不得通过修正或撤消不合要求的偏离或保留从而使其投标成为实质性响应的投 标。</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3.6 评委会只对确定为实质性响应竞争性磋商文件要求的磋商响应性文件，根据竞争性 磋商文件的评审标准采用相同的评标程序、评分办法进行评价和比较。</w:t>
      </w:r>
    </w:p>
    <w:p>
      <w:pPr>
        <w:pStyle w:val="4"/>
        <w:rPr>
          <w:rFonts w:hint="eastAsia" w:ascii="宋体" w:hAnsi="宋体" w:eastAsia="宋体" w:cs="宋体"/>
          <w:highlight w:val="none"/>
        </w:rPr>
      </w:pPr>
      <w:bookmarkStart w:id="59" w:name="_Toc11796"/>
      <w:r>
        <w:rPr>
          <w:rFonts w:hint="eastAsia" w:ascii="宋体" w:hAnsi="宋体" w:eastAsia="宋体" w:cs="宋体"/>
          <w:highlight w:val="none"/>
        </w:rPr>
        <w:t>（</w:t>
      </w:r>
      <w:r>
        <w:rPr>
          <w:rFonts w:hint="eastAsia" w:ascii="宋体" w:hAnsi="宋体" w:eastAsia="宋体" w:cs="宋体"/>
          <w:highlight w:val="none"/>
          <w:lang w:eastAsia="zh-CN"/>
        </w:rPr>
        <w:t>七</w:t>
      </w:r>
      <w:r>
        <w:rPr>
          <w:rFonts w:hint="eastAsia" w:ascii="宋体" w:hAnsi="宋体" w:eastAsia="宋体" w:cs="宋体"/>
          <w:highlight w:val="none"/>
        </w:rPr>
        <w:t>）定标</w:t>
      </w:r>
      <w:bookmarkEnd w:id="59"/>
    </w:p>
    <w:p>
      <w:pPr>
        <w:pStyle w:val="8"/>
        <w:kinsoku w:val="0"/>
        <w:overflowPunct w:val="0"/>
        <w:spacing w:before="35" w:line="357" w:lineRule="auto"/>
        <w:ind w:left="598" w:right="238" w:hanging="480"/>
        <w:rPr>
          <w:rFonts w:hint="eastAsia" w:ascii="宋体" w:hAnsi="宋体" w:eastAsia="宋体" w:cs="宋体"/>
          <w:b/>
          <w:bCs/>
          <w:w w:val="95"/>
          <w:highlight w:val="none"/>
        </w:rPr>
      </w:pPr>
      <w:r>
        <w:rPr>
          <w:rFonts w:hint="eastAsia" w:ascii="宋体" w:hAnsi="宋体" w:eastAsia="宋体" w:cs="宋体"/>
          <w:b/>
          <w:bCs/>
          <w:w w:val="95"/>
          <w:highlight w:val="none"/>
        </w:rPr>
        <w:t>1.定标</w:t>
      </w:r>
    </w:p>
    <w:p>
      <w:pPr>
        <w:spacing w:line="360" w:lineRule="auto"/>
        <w:ind w:firstLine="480" w:firstLineChars="200"/>
        <w:rPr>
          <w:rFonts w:hint="eastAsia" w:ascii="宋体" w:hAnsi="宋体" w:eastAsia="宋体" w:cs="宋体"/>
          <w:b/>
          <w:bCs/>
          <w:w w:val="95"/>
          <w:kern w:val="0"/>
          <w:sz w:val="24"/>
          <w:szCs w:val="24"/>
          <w:highlight w:val="none"/>
        </w:rPr>
      </w:pPr>
      <w:r>
        <w:rPr>
          <w:rFonts w:hint="eastAsia" w:ascii="宋体" w:hAnsi="宋体" w:eastAsia="宋体" w:cs="宋体"/>
          <w:sz w:val="24"/>
          <w:szCs w:val="24"/>
          <w:highlight w:val="none"/>
        </w:rPr>
        <w:t>1.1 定标原则：磋商小组按照公开、公平、公正、诚实信用的原则对待参与磋商的供应商的响应文件；经磋商确定最终采购需求和提交最后报价的供应商后，由磋商小组采用综合评分法对提交最后报价的供应商的响应文件和最后报价进行综合评分。</w:t>
      </w:r>
      <w:r>
        <w:rPr>
          <w:rFonts w:hint="eastAsia" w:ascii="宋体" w:hAnsi="宋体" w:eastAsia="宋体" w:cs="宋体"/>
          <w:kern w:val="0"/>
          <w:sz w:val="24"/>
          <w:szCs w:val="24"/>
          <w:highlight w:val="none"/>
        </w:rPr>
        <w:t xml:space="preserve">能够最大限度满足竞争性磋商文件中规定的各项综合评价标准且得分最高（但投标价格低于成本价的除外）。 </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1.2 定标方法：综合评分法。</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1.3 定标方式：根据</w:t>
      </w:r>
      <w:r>
        <w:rPr>
          <w:rFonts w:hint="eastAsia" w:ascii="宋体" w:hAnsi="宋体" w:eastAsia="宋体" w:cs="宋体"/>
          <w:highlight w:val="none"/>
          <w:lang w:val="en-US" w:eastAsia="zh-CN"/>
        </w:rPr>
        <w:t>竞争性磋商小组</w:t>
      </w:r>
      <w:r>
        <w:rPr>
          <w:rFonts w:hint="eastAsia" w:ascii="宋体" w:hAnsi="宋体" w:eastAsia="宋体" w:cs="宋体"/>
          <w:highlight w:val="none"/>
        </w:rPr>
        <w:t>推荐的中标候选人名单，采购人确定中标人。</w:t>
      </w:r>
    </w:p>
    <w:p>
      <w:pPr>
        <w:pStyle w:val="8"/>
        <w:kinsoku w:val="0"/>
        <w:overflowPunct w:val="0"/>
        <w:spacing w:before="35" w:line="357" w:lineRule="auto"/>
        <w:ind w:left="598" w:right="238" w:hanging="480"/>
        <w:rPr>
          <w:rFonts w:hint="eastAsia" w:ascii="宋体" w:hAnsi="宋体" w:eastAsia="宋体" w:cs="宋体"/>
          <w:b/>
          <w:bCs/>
          <w:w w:val="95"/>
          <w:highlight w:val="none"/>
        </w:rPr>
      </w:pPr>
      <w:r>
        <w:rPr>
          <w:rFonts w:hint="eastAsia" w:ascii="宋体" w:hAnsi="宋体" w:eastAsia="宋体" w:cs="宋体"/>
          <w:b/>
          <w:bCs/>
          <w:w w:val="95"/>
          <w:highlight w:val="none"/>
        </w:rPr>
        <w:t>2.定标程序</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2.1 磋商小组按照综合评审打分结果由高到低排列顺序。综合得分相同的，按投标报价由低到高顺序排列。得分且投标报价相同的，按技术指标优劣顺序排列。前三名的供应商为拟中标候选人。</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2.2 采购人根据书面评标报告和被推荐的中标候选人，确定得分最高的供应商为拟中标供单位。</w:t>
      </w:r>
    </w:p>
    <w:p>
      <w:pPr>
        <w:spacing w:line="360" w:lineRule="auto"/>
        <w:ind w:left="105" w:leftChars="50" w:firstLine="525" w:firstLineChars="250"/>
        <w:rPr>
          <w:rFonts w:hint="eastAsia" w:ascii="宋体" w:hAnsi="宋体" w:eastAsia="宋体" w:cs="宋体"/>
          <w:sz w:val="24"/>
          <w:szCs w:val="24"/>
          <w:highlight w:val="none"/>
        </w:rPr>
      </w:pPr>
      <w:r>
        <w:rPr>
          <w:rFonts w:hint="eastAsia" w:ascii="宋体" w:hAnsi="宋体" w:eastAsia="宋体" w:cs="宋体"/>
          <w:highlight w:val="none"/>
        </w:rPr>
        <w:t xml:space="preserve">2.3 </w:t>
      </w:r>
      <w:r>
        <w:rPr>
          <w:rFonts w:hint="eastAsia" w:ascii="宋体" w:hAnsi="宋体" w:eastAsia="宋体" w:cs="宋体"/>
          <w:sz w:val="24"/>
          <w:szCs w:val="24"/>
          <w:highlight w:val="none"/>
        </w:rPr>
        <w:t>中标结果在“新疆政府采购网” 上予以公告。同时向中标人发出中标通知书。</w:t>
      </w:r>
    </w:p>
    <w:p>
      <w:pPr>
        <w:pStyle w:val="8"/>
        <w:kinsoku w:val="0"/>
        <w:overflowPunct w:val="0"/>
        <w:spacing w:before="151"/>
        <w:rPr>
          <w:rFonts w:hint="eastAsia" w:ascii="宋体" w:hAnsi="宋体" w:eastAsia="宋体" w:cs="宋体"/>
          <w:highlight w:val="none"/>
        </w:rPr>
      </w:pPr>
      <w:r>
        <w:rPr>
          <w:rFonts w:hint="eastAsia" w:ascii="宋体" w:hAnsi="宋体" w:eastAsia="宋体" w:cs="宋体"/>
          <w:b/>
          <w:bCs/>
          <w:highlight w:val="none"/>
        </w:rPr>
        <w:t>3.中标通知书</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3.1 中标结果在公示期满无质疑或投诉后，该结果将作为正式中标或签订《采购合同》的凭据。招标代理机构将以书面形式《中标通知书》通知中标的供应商其投标被接受。在该通知书发出三十日内，中标单位应与采购人签订采购合同。</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3.2 中标通知书为签订政府采购合同的依据，是合同的有效组成部分。</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3.3 中标通知书对采购人和中标人均具有法律效力。中标通知书发出后，采购人改变中标结果，或者中标人无正当理由放弃中标的，应当承担相应的法律责任。</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3.4 中标人的磋商响应性文件本应作为无效投标处理或者有政府采购法律法规规章制度规定的中标无效情形的，招标代理机构在取得有权主体的认定以后，应当宣布发出的中标通知书无效，并收回发出的中标通知书（中标人也应当缴回），依法重新确定中标人或者重新开展采购活动。</w:t>
      </w:r>
    </w:p>
    <w:p>
      <w:pPr>
        <w:pStyle w:val="4"/>
        <w:rPr>
          <w:rFonts w:hint="eastAsia" w:ascii="宋体" w:hAnsi="宋体" w:eastAsia="宋体" w:cs="宋体"/>
          <w:highlight w:val="none"/>
        </w:rPr>
      </w:pPr>
      <w:bookmarkStart w:id="60" w:name="_Toc23542"/>
      <w:r>
        <w:rPr>
          <w:rFonts w:hint="eastAsia" w:ascii="宋体" w:hAnsi="宋体" w:eastAsia="宋体" w:cs="宋体"/>
          <w:highlight w:val="none"/>
        </w:rPr>
        <w:t>（</w:t>
      </w:r>
      <w:r>
        <w:rPr>
          <w:rFonts w:hint="eastAsia" w:ascii="宋体" w:hAnsi="宋体" w:eastAsia="宋体" w:cs="宋体"/>
          <w:highlight w:val="none"/>
          <w:lang w:eastAsia="zh-CN"/>
        </w:rPr>
        <w:t>八</w:t>
      </w:r>
      <w:r>
        <w:rPr>
          <w:rFonts w:hint="eastAsia" w:ascii="宋体" w:hAnsi="宋体" w:eastAsia="宋体" w:cs="宋体"/>
          <w:highlight w:val="none"/>
        </w:rPr>
        <w:t>）合同签订及履行</w:t>
      </w:r>
      <w:bookmarkEnd w:id="60"/>
    </w:p>
    <w:p>
      <w:pPr>
        <w:pStyle w:val="8"/>
        <w:kinsoku w:val="0"/>
        <w:overflowPunct w:val="0"/>
        <w:spacing w:before="151"/>
        <w:rPr>
          <w:rFonts w:hint="eastAsia" w:ascii="宋体" w:hAnsi="宋体" w:eastAsia="宋体" w:cs="宋体"/>
          <w:b/>
          <w:bCs/>
          <w:highlight w:val="none"/>
        </w:rPr>
      </w:pPr>
      <w:r>
        <w:rPr>
          <w:rFonts w:hint="eastAsia" w:ascii="宋体" w:hAnsi="宋体" w:eastAsia="宋体" w:cs="宋体"/>
          <w:b/>
          <w:bCs/>
          <w:highlight w:val="none"/>
        </w:rPr>
        <w:t>1.合同授予原则</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1.1 采购人将把合同授予经磋商小组评议推荐，在法定公示时间后，收到《中标通知书》的投标单位。若因中标单位违约或因不可抗力等原因不能被授予合同，则合同将授予排序在该中标单位之后的下一个供应商，以此类推。</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1.2 采购人保留在签订合同时调整方案需求和变动所购服务内容的权力。</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1.3 采购人不得向中标人提出任何不合理的要求，作为签订合同的条件，不得与中标人私下订立背离合同实质性内容的任何协议，所签订的合同不得对竞争性磋商文件和中标人磋商响应性文件作实质性修改。</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1.4 中标人应当按照合同约定履行义务，完成中标项目的设计任务，不得将中标项目的转让（转包）给他人。</w:t>
      </w:r>
    </w:p>
    <w:p>
      <w:pPr>
        <w:pStyle w:val="8"/>
        <w:kinsoku w:val="0"/>
        <w:overflowPunct w:val="0"/>
        <w:spacing w:before="34"/>
        <w:rPr>
          <w:rFonts w:hint="eastAsia" w:ascii="宋体" w:hAnsi="宋体" w:eastAsia="宋体" w:cs="宋体"/>
          <w:highlight w:val="none"/>
        </w:rPr>
      </w:pPr>
      <w:r>
        <w:rPr>
          <w:rFonts w:hint="eastAsia" w:ascii="宋体" w:hAnsi="宋体" w:eastAsia="宋体" w:cs="宋体"/>
          <w:b/>
          <w:bCs/>
          <w:highlight w:val="none"/>
        </w:rPr>
        <w:t>2.合同的签署</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2.1 中标人依据《中标通知书》与采购人签订合同，签订时间为《中标通知书》发出之日起三十日内。</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2.2 中标单位按《中标通知书》中规定的时间和地点，在招标代理机构监督下，由法定代表人或授权代表与采购人签订合同。采购人与中标单位是合同权利与义务的直接全部责任承担人。所发出的《中标通知书》对采购人和中标单位具有同等法律效力。</w:t>
      </w:r>
    </w:p>
    <w:p>
      <w:pPr>
        <w:pStyle w:val="8"/>
        <w:tabs>
          <w:tab w:val="left" w:pos="1080"/>
        </w:tabs>
        <w:kinsoku w:val="0"/>
        <w:overflowPunct w:val="0"/>
        <w:spacing w:before="26" w:line="355" w:lineRule="auto"/>
        <w:ind w:right="234" w:firstLine="480"/>
        <w:rPr>
          <w:rFonts w:hint="eastAsia" w:ascii="宋体" w:hAnsi="宋体" w:eastAsia="宋体" w:cs="宋体"/>
          <w:highlight w:val="none"/>
        </w:rPr>
      </w:pPr>
      <w:r>
        <w:rPr>
          <w:rFonts w:hint="eastAsia" w:ascii="宋体" w:hAnsi="宋体" w:eastAsia="宋体" w:cs="宋体"/>
          <w:highlight w:val="none"/>
        </w:rPr>
        <w:t>2.3《中标通知书》发出后，采购人拒绝签订《采购合同》或擅自改变中标内容，按照《中华人民共和国合同法》定金罚则及损害赔偿的原则处罚并办理。若由于中标单位的原因逾期未与采购人签订采购合同的，将视为放弃中标，取消其中标资格并将按照《中华人民共和国政府采购法》相关规定进行处理。</w:t>
      </w:r>
    </w:p>
    <w:p>
      <w:pPr>
        <w:pStyle w:val="8"/>
        <w:kinsoku w:val="0"/>
        <w:overflowPunct w:val="0"/>
        <w:spacing w:before="37" w:line="357" w:lineRule="auto"/>
        <w:ind w:right="2481"/>
        <w:rPr>
          <w:rFonts w:hint="eastAsia" w:ascii="宋体" w:hAnsi="宋体" w:eastAsia="宋体" w:cs="宋体"/>
          <w:highlight w:val="none"/>
        </w:rPr>
      </w:pPr>
      <w:r>
        <w:rPr>
          <w:rFonts w:hint="eastAsia" w:ascii="宋体" w:hAnsi="宋体" w:eastAsia="宋体" w:cs="宋体"/>
          <w:b/>
          <w:bCs/>
          <w:highlight w:val="none"/>
        </w:rPr>
        <w:t>3.履行合同</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3.1 中标人与采购人签订合同后，合同双方应严格执行合同条款，履行合同规定的义务，保证合同的顺利完成。</w:t>
      </w:r>
    </w:p>
    <w:p>
      <w:pPr>
        <w:pStyle w:val="8"/>
        <w:kinsoku w:val="0"/>
        <w:overflowPunct w:val="0"/>
        <w:spacing w:before="34" w:line="355" w:lineRule="auto"/>
        <w:ind w:right="126" w:firstLine="480"/>
        <w:jc w:val="both"/>
        <w:rPr>
          <w:rFonts w:hint="eastAsia" w:ascii="宋体" w:hAnsi="宋体" w:eastAsia="宋体" w:cs="宋体"/>
          <w:highlight w:val="none"/>
        </w:rPr>
      </w:pPr>
      <w:r>
        <w:rPr>
          <w:rFonts w:hint="eastAsia" w:ascii="宋体" w:hAnsi="宋体" w:eastAsia="宋体" w:cs="宋体"/>
          <w:highlight w:val="none"/>
        </w:rPr>
        <w:t>3.2 在合同履行过程中，如发生合同纠纷，合同双方应按照《合同法》的有关规定进行处理。</w:t>
      </w:r>
    </w:p>
    <w:p>
      <w:pPr>
        <w:pStyle w:val="4"/>
        <w:rPr>
          <w:rFonts w:hint="eastAsia" w:ascii="宋体" w:hAnsi="宋体" w:eastAsia="宋体" w:cs="宋体"/>
          <w:highlight w:val="none"/>
        </w:rPr>
      </w:pPr>
      <w:bookmarkStart w:id="61" w:name="_Toc23631"/>
      <w:r>
        <w:rPr>
          <w:rFonts w:hint="eastAsia" w:ascii="宋体" w:hAnsi="宋体" w:eastAsia="宋体" w:cs="宋体"/>
          <w:highlight w:val="none"/>
        </w:rPr>
        <w:t>（</w:t>
      </w:r>
      <w:r>
        <w:rPr>
          <w:rFonts w:hint="eastAsia" w:ascii="宋体" w:hAnsi="宋体" w:eastAsia="宋体" w:cs="宋体"/>
          <w:highlight w:val="none"/>
          <w:lang w:eastAsia="zh-CN"/>
        </w:rPr>
        <w:t>九</w:t>
      </w:r>
      <w:r>
        <w:rPr>
          <w:rFonts w:hint="eastAsia" w:ascii="宋体" w:hAnsi="宋体" w:eastAsia="宋体" w:cs="宋体"/>
          <w:highlight w:val="none"/>
        </w:rPr>
        <w:t>）重新招标和不再招标</w:t>
      </w:r>
      <w:bookmarkEnd w:id="61"/>
    </w:p>
    <w:p>
      <w:pPr>
        <w:pStyle w:val="8"/>
        <w:kinsoku w:val="0"/>
        <w:overflowPunct w:val="0"/>
        <w:spacing w:before="37" w:line="357" w:lineRule="auto"/>
        <w:ind w:right="2481"/>
        <w:rPr>
          <w:rFonts w:hint="eastAsia" w:ascii="宋体" w:hAnsi="宋体" w:eastAsia="宋体" w:cs="宋体"/>
          <w:b/>
          <w:bCs/>
          <w:highlight w:val="none"/>
        </w:rPr>
      </w:pPr>
      <w:r>
        <w:rPr>
          <w:rFonts w:hint="eastAsia" w:ascii="宋体" w:hAnsi="宋体" w:eastAsia="宋体" w:cs="宋体"/>
          <w:b/>
          <w:bCs/>
          <w:highlight w:val="none"/>
        </w:rPr>
        <w:t>1．重新招标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有下列情形之一的，采购人将重新招标：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（1）投标截止时间止，供应商少于</w:t>
      </w:r>
      <w:r>
        <w:rPr>
          <w:rFonts w:hint="eastAsia" w:ascii="宋体" w:hAnsi="宋体" w:eastAsia="宋体" w:cs="宋体"/>
          <w:spacing w:val="4"/>
          <w:highlight w:val="none"/>
        </w:rPr>
        <w:t>《政府采购货物和服务招标投标管理办法》、《政府购买服务管理办法（暂行）》、《政府采购竞争性磋商采购方式管理暂行办法》、《财政部关于政府采购竞争性磋商采购方式管理暂行办法有关问题的补充通知》及相关法规</w:t>
      </w:r>
      <w:r>
        <w:rPr>
          <w:rFonts w:hint="eastAsia" w:ascii="宋体" w:hAnsi="宋体" w:eastAsia="宋体" w:cs="宋体"/>
          <w:highlight w:val="none"/>
        </w:rPr>
        <w:t>规定的家数。</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（2）经磋商小组评审后否决所有投标的。 </w:t>
      </w:r>
    </w:p>
    <w:p>
      <w:pPr>
        <w:pStyle w:val="8"/>
        <w:kinsoku w:val="0"/>
        <w:overflowPunct w:val="0"/>
        <w:spacing w:line="357" w:lineRule="auto"/>
        <w:ind w:right="4044" w:firstLine="24"/>
        <w:rPr>
          <w:rFonts w:hint="eastAsia" w:ascii="宋体" w:hAnsi="宋体" w:eastAsia="宋体" w:cs="宋体"/>
          <w:highlight w:val="none"/>
        </w:rPr>
      </w:pPr>
      <w:r>
        <w:rPr>
          <w:rFonts w:hint="eastAsia" w:ascii="宋体" w:hAnsi="宋体" w:eastAsia="宋体" w:cs="宋体"/>
          <w:b/>
          <w:bCs/>
          <w:highlight w:val="none"/>
        </w:rPr>
        <w:t>2．不再招标</w:t>
      </w:r>
    </w:p>
    <w:p>
      <w:pPr>
        <w:pStyle w:val="8"/>
        <w:kinsoku w:val="0"/>
        <w:overflowPunct w:val="0"/>
        <w:spacing w:before="34" w:line="357" w:lineRule="auto"/>
        <w:ind w:right="126" w:firstLine="480"/>
        <w:jc w:val="both"/>
        <w:rPr>
          <w:rFonts w:hint="eastAsia" w:ascii="宋体" w:hAnsi="宋体" w:eastAsia="宋体" w:cs="宋体"/>
          <w:color w:val="FF0000"/>
          <w:highlight w:val="none"/>
        </w:rPr>
      </w:pPr>
      <w:r>
        <w:rPr>
          <w:rFonts w:hint="eastAsia" w:ascii="宋体" w:hAnsi="宋体" w:eastAsia="宋体" w:cs="宋体"/>
          <w:highlight w:val="none"/>
        </w:rPr>
        <w:t>重新招标后供应商仍少于</w:t>
      </w:r>
      <w:r>
        <w:rPr>
          <w:rFonts w:hint="eastAsia" w:ascii="宋体" w:hAnsi="宋体" w:eastAsia="宋体" w:cs="宋体"/>
          <w:spacing w:val="4"/>
          <w:highlight w:val="none"/>
        </w:rPr>
        <w:t>《政府采购货物和服务招标投标管理办法》、《政府购买服务管理办法（暂行）》、《政府采购竞争性磋商采购方式管理暂行办法》、《财政部关于政府采购竞争性磋商采购方式管理暂行办法有关问题的补充通知》及相关法规</w:t>
      </w:r>
      <w:r>
        <w:rPr>
          <w:rFonts w:hint="eastAsia" w:ascii="宋体" w:hAnsi="宋体" w:eastAsia="宋体" w:cs="宋体"/>
          <w:highlight w:val="none"/>
        </w:rPr>
        <w:t>规定的家数，或者所有投标被否决的，属于必须审批或核准的工程建设、货物、服务项目，经原审批或核准部门批准后不再进行招标。</w:t>
      </w:r>
    </w:p>
    <w:p>
      <w:pPr>
        <w:pStyle w:val="4"/>
        <w:rPr>
          <w:rFonts w:hint="eastAsia" w:ascii="宋体" w:hAnsi="宋体" w:eastAsia="宋体" w:cs="宋体"/>
          <w:highlight w:val="none"/>
        </w:rPr>
      </w:pPr>
      <w:bookmarkStart w:id="62" w:name="_Toc6269"/>
      <w:r>
        <w:rPr>
          <w:rFonts w:hint="eastAsia" w:ascii="宋体" w:hAnsi="宋体" w:eastAsia="宋体" w:cs="宋体"/>
          <w:highlight w:val="none"/>
        </w:rPr>
        <w:t>（十）纪律和监督</w:t>
      </w:r>
      <w:bookmarkEnd w:id="62"/>
    </w:p>
    <w:p>
      <w:pPr>
        <w:pStyle w:val="8"/>
        <w:kinsoku w:val="0"/>
        <w:overflowPunct w:val="0"/>
        <w:spacing w:line="357" w:lineRule="auto"/>
        <w:ind w:right="4044" w:firstLine="24"/>
        <w:rPr>
          <w:rFonts w:hint="eastAsia" w:ascii="宋体" w:hAnsi="宋体" w:eastAsia="宋体" w:cs="宋体"/>
          <w:b/>
          <w:bCs/>
          <w:highlight w:val="none"/>
        </w:rPr>
      </w:pPr>
      <w:r>
        <w:rPr>
          <w:rFonts w:hint="eastAsia" w:ascii="宋体" w:hAnsi="宋体" w:eastAsia="宋体" w:cs="宋体"/>
          <w:b/>
          <w:bCs/>
          <w:highlight w:val="none"/>
        </w:rPr>
        <w:t>1．对采购人的纪律要求</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采购人不得泄漏招标投标活动中应当保密的情况和资料，不得与供应商串通损害国家利益、社会公共利益或者他人合法权益。下列行为视为采购人与供应商串通投标：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(1）采购人在开标前开启磋商响应性文件，并将投标情况告知其它供应商，或者协助供应商撤换磋商响应性文件，更改报价；</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(2）采购人向供应商泄露标底；</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(3）采购人与供应商商定，投标时压低或抬高标价，中标后再给供应商或采购人额外补偿；</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(4）采购人预先内定中标人；</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(5）其它串通投标行为。</w:t>
      </w:r>
    </w:p>
    <w:p>
      <w:pPr>
        <w:pStyle w:val="8"/>
        <w:kinsoku w:val="0"/>
        <w:overflowPunct w:val="0"/>
        <w:spacing w:before="34" w:line="357" w:lineRule="auto"/>
        <w:ind w:left="598" w:right="178" w:hanging="480"/>
        <w:rPr>
          <w:rFonts w:hint="eastAsia" w:ascii="宋体" w:hAnsi="宋体" w:eastAsia="宋体" w:cs="宋体"/>
          <w:b/>
          <w:bCs/>
          <w:spacing w:val="25"/>
          <w:w w:val="99"/>
          <w:highlight w:val="none"/>
        </w:rPr>
      </w:pPr>
      <w:r>
        <w:rPr>
          <w:rFonts w:hint="eastAsia" w:ascii="宋体" w:hAnsi="宋体" w:eastAsia="宋体" w:cs="宋体"/>
          <w:b/>
          <w:bCs/>
          <w:highlight w:val="none"/>
        </w:rPr>
        <w:t>2.对供应商的纪律要求</w:t>
      </w:r>
      <w:r>
        <w:rPr>
          <w:rFonts w:hint="eastAsia" w:ascii="宋体" w:hAnsi="宋体" w:eastAsia="宋体" w:cs="宋体"/>
          <w:b/>
          <w:bCs/>
          <w:spacing w:val="25"/>
          <w:w w:val="99"/>
          <w:highlight w:val="none"/>
        </w:rPr>
        <w:t xml:space="preserve">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供应商不得相互串通投标或者与采购人串通投标，不得向采购人或者磋商小组成员行贿谋取中标，不得以他人名义投标或者以其他方式弄虚作假骗取中标；供应商不得以任何方式干扰、影响评标工作；不得诋毁、排挤其他供应商；不得在招标过程中与招标采购单位进行协商谈判；不得拒绝有关部门的监督检查或者向监督检查部门提供虚假情况。</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2.1 下列行为视为以他人名义投标：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（1）供应商挂靠其他单位；</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（2）供应商从其它单位通过转让或租借的方式获取资格或资质证书；</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（3）由其它单位及法定代表人在自己编制的磋商响应性文件上加盖印章或签字；</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（4）法律法规规定的其它情形。</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2.2 下列行为，视为允许他人以本单位名义承揽工程</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a) 供应商的法定代表人的委托代理人不是供应商本单位人员；</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b) 供应商拟在担任本项目的项目负责人或主要技术人员等不是本单位人员；</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c) 通过出租、出借资质证书或者收取管理费等方式允许他人以本单位名义承接工程；</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d) 投标保证金非投标单位银行基本账户转出，或虽由投标单位银行基本账户转出， 但先由非投标单位人员将投标保证金存入投标单位或有关个人账户，或以其他方式抵押的；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e) 项目资金未实行项目资金专户分账管理或独立核算制度的；财务管理人员（财务主管和出纳）非本单位人员，或项目资金的使用未经项目经理本人签字、审批的；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f) 中标后，实际由他人履行职责且他人非本单位人员的(项目负责人换为非本单位人员，或其他主要技术人员有 2 个及以上换为非本单位人员)；</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g) 法律法规规定的其它情形。上述条件中，供应商本单位人员，必须同时满足以下条件：</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（1）聘任合同必须由供应商单位与之签订，项目负责人的聘任合同投标前已执行合同一年以上；</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（2）与供应商单位有合法的工资关系，且投标前已连续支付工资一年以上；</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（3）供应商单位为其办理社会保险关系，政府人事或社保管理部门出具的有效证明其为本单位人员身份的文件。</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 下列行为均视为供应商串通投标：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2.3.1 供应商串通投标报价：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a）供应商之间相互约定抬高或压低投标报价；</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b）供应商之间相互约定，在招标项目中分别以高、中、低价位报价；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c）供应商之间先进行内部竞价，内定中标人，然后再参加投标；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d）不同供应商的投标报价或报价组成异常一致的；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e）供应商之间其它串通投标报价的行为。</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2.3.2 不同供应商磋商响应性文件的编制人或审核人为同一人或同一单位人员的；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2.3.3 不同供应商磋商响应性文件的授权签署人为同一人或同一单位人员的；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2.3.4 不同供应商委托同一人办理投标事宜的；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2.3.5 不同供应商的磋商响应性文件相互混装的；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2.3.6 不同供应商使用同一单位的资金缴纳投标保证金的；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2.3.7 不同供应商的磋商响应性文件载明的项目成员出现相同人员的；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2.3.8 不同供应商的磋商响应性文件内容存在非正常一致的；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2.3.9 不同供应商的服务方案中专门针对本项目的内容基本雷同的；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2.3.10 不同供应商的磋商响应性文件出现磋商小组认为不应当雷同的情况的；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2.3.11 法律法规规章规定的其他围标串标行为。</w:t>
      </w:r>
    </w:p>
    <w:p>
      <w:pPr>
        <w:pStyle w:val="8"/>
        <w:kinsoku w:val="0"/>
        <w:overflowPunct w:val="0"/>
        <w:spacing w:before="26" w:line="355" w:lineRule="auto"/>
        <w:ind w:right="50"/>
        <w:rPr>
          <w:rFonts w:hint="eastAsia" w:ascii="宋体" w:hAnsi="宋体" w:eastAsia="宋体" w:cs="宋体"/>
          <w:highlight w:val="none"/>
        </w:rPr>
      </w:pPr>
      <w:r>
        <w:rPr>
          <w:rFonts w:hint="eastAsia" w:ascii="宋体" w:hAnsi="宋体" w:eastAsia="宋体" w:cs="宋体"/>
          <w:b/>
          <w:bCs/>
          <w:highlight w:val="none"/>
        </w:rPr>
        <w:t>3.对磋商小组成员的纪律要求</w:t>
      </w:r>
      <w:r>
        <w:rPr>
          <w:rFonts w:hint="eastAsia" w:ascii="宋体" w:hAnsi="宋体" w:eastAsia="宋体" w:cs="宋体"/>
          <w:highlight w:val="none"/>
        </w:rPr>
        <w:t xml:space="preserve">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磋商小组成员不得收受他人的财物或者其他好处，不得向他人透漏对磋商响应性文件的评审和比较、中标候选人的推荐情况以及评标有关的其他情况。在评标活动中，磋商小组成员不得擅离职守，</w:t>
      </w:r>
      <w:bookmarkStart w:id="63" w:name="（十二）无效投标"/>
      <w:bookmarkEnd w:id="63"/>
      <w:bookmarkStart w:id="64" w:name="（十三）废标"/>
      <w:bookmarkEnd w:id="64"/>
      <w:bookmarkStart w:id="65" w:name="bookmark13"/>
      <w:bookmarkEnd w:id="65"/>
      <w:bookmarkStart w:id="66" w:name="bookmark14"/>
      <w:bookmarkEnd w:id="66"/>
      <w:r>
        <w:rPr>
          <w:rFonts w:hint="eastAsia" w:ascii="宋体" w:hAnsi="宋体" w:eastAsia="宋体" w:cs="宋体"/>
          <w:highlight w:val="none"/>
        </w:rPr>
        <w:t>影响评标程序正常进行，不得使用“评标办法”没有规定的 评审因素和标准进行评标。</w:t>
      </w:r>
    </w:p>
    <w:p>
      <w:pPr>
        <w:pStyle w:val="8"/>
        <w:kinsoku w:val="0"/>
        <w:overflowPunct w:val="0"/>
        <w:spacing w:before="38" w:line="357" w:lineRule="auto"/>
        <w:ind w:left="598" w:right="50" w:hanging="480"/>
        <w:rPr>
          <w:rFonts w:hint="eastAsia" w:ascii="宋体" w:hAnsi="宋体" w:eastAsia="宋体" w:cs="宋体"/>
          <w:b/>
          <w:bCs/>
          <w:spacing w:val="26"/>
          <w:w w:val="99"/>
          <w:highlight w:val="none"/>
        </w:rPr>
      </w:pPr>
      <w:r>
        <w:rPr>
          <w:rFonts w:hint="eastAsia" w:ascii="宋体" w:hAnsi="宋体" w:eastAsia="宋体" w:cs="宋体"/>
          <w:b/>
          <w:bCs/>
          <w:highlight w:val="none"/>
        </w:rPr>
        <w:t>4.对与评标活动有关的工作人员的纪律要求</w:t>
      </w:r>
      <w:r>
        <w:rPr>
          <w:rFonts w:hint="eastAsia" w:ascii="宋体" w:hAnsi="宋体" w:eastAsia="宋体" w:cs="宋体"/>
          <w:b/>
          <w:bCs/>
          <w:spacing w:val="26"/>
          <w:w w:val="99"/>
          <w:highlight w:val="none"/>
        </w:rPr>
        <w:t xml:space="preserve">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与评标活动有关的工作人员不得收受他人的财物或者其他好处，不得向他人透漏对标文件的评审和比较、中标候选人的推荐情况以及评标有关的其他情况。在评标活动中，与评标活动有关的工作人员不得擅离职守，影响评标程序正常进行。</w:t>
      </w:r>
    </w:p>
    <w:p>
      <w:pPr>
        <w:pStyle w:val="4"/>
        <w:rPr>
          <w:rFonts w:hint="eastAsia" w:ascii="宋体" w:hAnsi="宋体" w:eastAsia="宋体" w:cs="宋体"/>
          <w:highlight w:val="none"/>
        </w:rPr>
      </w:pPr>
      <w:bookmarkStart w:id="67" w:name="_Toc23224"/>
      <w:r>
        <w:rPr>
          <w:rFonts w:hint="eastAsia" w:ascii="宋体" w:hAnsi="宋体" w:eastAsia="宋体" w:cs="宋体"/>
          <w:highlight w:val="none"/>
        </w:rPr>
        <w:t>（十</w:t>
      </w:r>
      <w:r>
        <w:rPr>
          <w:rFonts w:hint="eastAsia" w:ascii="宋体" w:hAnsi="宋体" w:eastAsia="宋体" w:cs="宋体"/>
          <w:highlight w:val="none"/>
          <w:lang w:eastAsia="zh-CN"/>
        </w:rPr>
        <w:t>一</w:t>
      </w:r>
      <w:r>
        <w:rPr>
          <w:rFonts w:hint="eastAsia" w:ascii="宋体" w:hAnsi="宋体" w:eastAsia="宋体" w:cs="宋体"/>
          <w:highlight w:val="none"/>
        </w:rPr>
        <w:t>）无效投标</w:t>
      </w:r>
      <w:bookmarkEnd w:id="67"/>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遇到下列情况之一时, 投标人的投标将被视为无效投标: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1)未按照招标文件的规定提交投标保证金的；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2)投标文件未按招标文件要求签署、盖章的；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3)不具备招标文件中规定的资格要求的；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 报价超过招标文件中规定的预算金额或者最高限价的；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5) 投标文件含有采购人不能接受的附加条件的；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6)法律、法规和招标文件规定的其他无效情形；</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7)有下列情形之一的，视为投标人串通投标，其投标无效：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A、不同投标人的投标文件由同一单位或者个人编制；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B、不同投标人委托同一单位或者个人办理投标事宜；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C、不同投标人的投标文件载明的项目管理成员或者联系人员为同一人；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D、不同投标人的投标文件异常一致或者投标报价呈规律性差异；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E、不同投标人的投标文件相互混装；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F、不同投标人的投标保证金从同一单位或者个人的账户转出。</w:t>
      </w:r>
    </w:p>
    <w:p>
      <w:pPr>
        <w:pStyle w:val="4"/>
        <w:rPr>
          <w:rFonts w:hint="eastAsia" w:ascii="宋体" w:hAnsi="宋体" w:eastAsia="宋体" w:cs="宋体"/>
          <w:highlight w:val="none"/>
        </w:rPr>
      </w:pPr>
      <w:bookmarkStart w:id="68" w:name="_Toc25703"/>
      <w:r>
        <w:rPr>
          <w:rFonts w:hint="eastAsia" w:ascii="宋体" w:hAnsi="宋体" w:eastAsia="宋体" w:cs="宋体"/>
          <w:highlight w:val="none"/>
        </w:rPr>
        <w:t>（十</w:t>
      </w:r>
      <w:r>
        <w:rPr>
          <w:rFonts w:hint="eastAsia" w:ascii="宋体" w:hAnsi="宋体" w:eastAsia="宋体" w:cs="宋体"/>
          <w:highlight w:val="none"/>
          <w:lang w:eastAsia="zh-CN"/>
        </w:rPr>
        <w:t>二</w:t>
      </w:r>
      <w:r>
        <w:rPr>
          <w:rFonts w:hint="eastAsia" w:ascii="宋体" w:hAnsi="宋体" w:eastAsia="宋体" w:cs="宋体"/>
          <w:highlight w:val="none"/>
        </w:rPr>
        <w:t>）废标</w:t>
      </w:r>
      <w:bookmarkEnd w:id="68"/>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招标采购中，出现下列情形之一的，予以废标：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（1）符合专业条件的投标单位或者对竞争性磋商文件作实质响应的投标单位不足</w:t>
      </w:r>
      <w:r>
        <w:rPr>
          <w:rFonts w:hint="eastAsia" w:ascii="宋体" w:hAnsi="宋体" w:eastAsia="宋体" w:cs="宋体"/>
          <w:spacing w:val="4"/>
          <w:highlight w:val="none"/>
        </w:rPr>
        <w:t>《政府采购货物和服务招标投标管理办法》、《政府购买服务管理办法（暂行）》、《政府采购竞争性磋商采购方式管理暂行办法》、《财政部关于政府采购竞争性磋商采购方式管理暂行办法有关问题的补充通知》及相关法规</w:t>
      </w:r>
      <w:r>
        <w:rPr>
          <w:rFonts w:hint="eastAsia" w:ascii="宋体" w:hAnsi="宋体" w:eastAsia="宋体" w:cs="宋体"/>
          <w:highlight w:val="none"/>
        </w:rPr>
        <w:t>规定的家数；</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（2）出现影响采购公正的违法、违规行为的；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（3）供应商的报价均超过了采购预算，采购人不能支付的；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（4）因重大变故，采购任务取消的。废标后，招标代理机构应在发布公告相同的网站上公告，并公告废标的详细理由。</w:t>
      </w:r>
    </w:p>
    <w:p>
      <w:pPr>
        <w:pStyle w:val="4"/>
        <w:rPr>
          <w:rFonts w:hint="eastAsia" w:ascii="宋体" w:hAnsi="宋体" w:eastAsia="宋体" w:cs="宋体"/>
          <w:highlight w:val="none"/>
        </w:rPr>
      </w:pPr>
      <w:bookmarkStart w:id="69" w:name="_Toc30761"/>
      <w:r>
        <w:rPr>
          <w:rFonts w:hint="eastAsia" w:ascii="宋体" w:hAnsi="宋体" w:eastAsia="宋体" w:cs="宋体"/>
          <w:highlight w:val="none"/>
        </w:rPr>
        <w:t>（十</w:t>
      </w:r>
      <w:r>
        <w:rPr>
          <w:rFonts w:hint="eastAsia" w:ascii="宋体" w:hAnsi="宋体" w:eastAsia="宋体" w:cs="宋体"/>
          <w:highlight w:val="none"/>
          <w:lang w:eastAsia="zh-CN"/>
        </w:rPr>
        <w:t>三</w:t>
      </w:r>
      <w:r>
        <w:rPr>
          <w:rFonts w:hint="eastAsia" w:ascii="宋体" w:hAnsi="宋体" w:eastAsia="宋体" w:cs="宋体"/>
          <w:highlight w:val="none"/>
        </w:rPr>
        <w:t>）质疑和投诉</w:t>
      </w:r>
      <w:bookmarkEnd w:id="69"/>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1.供应商对政府采购活动事项有疑问的，可以向采购人提出询问，采购人应当及时作出答复，但答复的内容不得涉及商业秘密。</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2.供应商认为竞争性磋商文件、采购过程和中标、中标结果使自己的权益受到损害的，可以在知道或者应知其权益受到损害之日起七个工作日内，以规范的格式，详实的证明材料以书面形式向采购人提出质疑。</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3.采购人应当在收到供应商的书面质疑后七个工作日内作出答复，并以书面形式通知质疑供应商和其他有关供应商，但答复的内容不得涉及商业秘密。</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4.采购人委托采购代理机构采购的，供应商可以向采购代理机构提出询问或者质疑，采购代理机构应当依照《中华人民共和国政府采购法》第五十一条、第五十三条的 规定就采购人委托授权范围内的事项作出答复。</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5.质疑供应商对采购人、采购代理机构的答复不满意或者采购人、采购代理机构未在规定的时间内作出答复的，可以在答复期满后十五个工作日内向同级政府采购监督管理部门投诉。</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6.政府采购监督管理部门应当在收到投诉后三十个工作日内，对投诉事项作出处理决定，并以书面形式通知投诉人和与投诉事项有关的当事人。</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7.政府采购监督管理部门在处理投诉事项期间，可以视具体情况书面通知采购人暂停采购活动，但暂停时间最长不得超过三十日。</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8.投诉人对政府采购监督管理部门的投诉处理决定不服或者政府采购监督管理部门逾期未作处理的，可以依法申请行政复议或者向人民法院提起行政诉讼。</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9.质疑、投诉书应当包括下列主要内容：</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（1）投诉人和被投诉人的名称、地址、电话等；</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（2）具体的投诉事项及事实依据；</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（3）提供有关质疑事项真实可靠的书面证明材料；</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（4）提起投诉的日期。 质疑、投诉书应当署名。质疑、投诉人为自然人的，应当由本人签字；质疑、投诉人为法人或者其他组织的，应当由法定代表人签字并加盖公章；质疑、投诉人为委托授 权人的应该出具针对本质疑、投诉事项的法人委托授权书。</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10.投诉人有下列情形之一的，属于虚假、恶意投诉，财政部门应当驳回投诉，将其列入不良行为记录名单，并依法予以处罚：</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（1）1 年内 3 次以上投诉均查无实据的；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（2）捏造事实或者提供虚假投诉材料的。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11.澄清或质疑不予受理的情况有下列情形之一的，属于无效质疑，被质疑人不予受理，由此产生的影响由供应商自行承担：</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（1）不是参与该政府采购项目活动供应商的；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（2）被质疑人为采购人或政府采购代理机构之外的；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（3）所有质疑事项超过质疑有效期的；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（4）以具有法律效力的文书送达之外方式提出的；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（5）未按上述规定递交澄清或质疑函的；</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（6）其它不符合受理条件的情形。</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 12.腐败和欺诈行为</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（1）定义 “腐败行为”系指提供、给予、接受或索取任何有价值的物品来影响招标代理机构和/或采购人在采购过程或合同实施过程中的行为。 “欺诈行为”系指为了影响采购过程或合同实施过程而谎报事实，损害招标代理机构和采购人的利益，包括供应商之间串通投标（递交《磋商响应性文件》之前和之后）， 人为地使投标丧失竞争性，剥夺采购人从自由公开竞争所能获得的权益。</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（2）如果招标代理机构和采购人认为供应商在本项目的竞争中有腐败或欺诈行为， 其投标将被拒绝。</w:t>
      </w:r>
    </w:p>
    <w:p>
      <w:pPr>
        <w:pStyle w:val="2"/>
        <w:outlineLvl w:val="0"/>
        <w:rPr>
          <w:rFonts w:hint="eastAsia" w:ascii="宋体" w:hAnsi="宋体" w:eastAsia="宋体" w:cs="宋体"/>
          <w:spacing w:val="1"/>
          <w:highlight w:val="none"/>
        </w:rPr>
      </w:pPr>
      <w:r>
        <w:rPr>
          <w:rFonts w:hint="eastAsia" w:ascii="宋体" w:hAnsi="宋体" w:eastAsia="宋体" w:cs="宋体"/>
          <w:highlight w:val="none"/>
        </w:rPr>
        <w:br w:type="page"/>
      </w:r>
      <w:bookmarkStart w:id="70" w:name="_Toc1184"/>
      <w:r>
        <w:rPr>
          <w:rFonts w:hint="eastAsia" w:ascii="宋体" w:hAnsi="宋体" w:eastAsia="宋体" w:cs="宋体"/>
          <w:w w:val="95"/>
          <w:highlight w:val="none"/>
        </w:rPr>
        <w:t>第三章</w:t>
      </w:r>
      <w:r>
        <w:rPr>
          <w:rFonts w:hint="eastAsia" w:ascii="宋体" w:hAnsi="宋体" w:eastAsia="宋体" w:cs="宋体"/>
          <w:w w:val="95"/>
          <w:highlight w:val="none"/>
          <w:lang w:val="en-US" w:eastAsia="zh-CN"/>
        </w:rPr>
        <w:t xml:space="preserve"> </w:t>
      </w:r>
      <w:r>
        <w:rPr>
          <w:rFonts w:hint="eastAsia" w:ascii="宋体" w:hAnsi="宋体" w:eastAsia="宋体" w:cs="宋体"/>
          <w:spacing w:val="1"/>
          <w:highlight w:val="none"/>
        </w:rPr>
        <w:t>评标办法</w:t>
      </w:r>
      <w:bookmarkEnd w:id="70"/>
    </w:p>
    <w:p>
      <w:pPr>
        <w:jc w:val="both"/>
        <w:outlineLvl w:val="9"/>
        <w:rPr>
          <w:rFonts w:hint="eastAsia" w:ascii="宋体" w:hAnsi="宋体" w:eastAsia="宋体" w:cs="宋体"/>
          <w:b/>
          <w:bCs/>
          <w:highlight w:val="none"/>
        </w:rPr>
      </w:pPr>
      <w:r>
        <w:rPr>
          <w:rFonts w:hint="eastAsia" w:ascii="宋体" w:hAnsi="宋体" w:eastAsia="宋体" w:cs="宋体"/>
          <w:b/>
          <w:bCs/>
          <w:highlight w:val="none"/>
        </w:rPr>
        <w:t>一、总则</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根据《中华人民共和国政府采购法》、《中华人民共和国政府采购法实施条例》、《政府购买服务管理办法（暂行）》、《政府采购竞争性磋商采购方式管理暂行办法》等法律规章，结合采购项目特点制定本评标办法。</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2.评标工作由招标代理机构负责组织，具体评标事务由招标代理机构依法组建的磋商小组负责。磋商小组成员人数不少于 3 人，为单数，其中技术、经济等方面的专家不少于成员总数的三分之二。磋商小组由有关技术、经济等方面的专家组成。</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3.评标工作应遵循公平、公正、科学及择优的原则，并以相同的评标程序和标准对待所有的供应商。</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4.磋商小组按照竞争性磋商文件规定的评标方法和标准进行评标，并独立履行下列职责：</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（1）审查磋商响应性文件是否符合竞争性磋商文件要求，并做出评价；</w:t>
      </w:r>
    </w:p>
    <w:p>
      <w:pPr>
        <w:pStyle w:val="8"/>
        <w:numPr>
          <w:ilvl w:val="0"/>
          <w:numId w:val="0"/>
        </w:numPr>
        <w:kinsoku w:val="0"/>
        <w:overflowPunct w:val="0"/>
        <w:spacing w:before="34" w:line="357" w:lineRule="auto"/>
        <w:ind w:left="598" w:leftChars="0" w:right="126" w:rightChars="0"/>
        <w:jc w:val="both"/>
        <w:rPr>
          <w:rFonts w:hint="eastAsia" w:ascii="宋体" w:hAnsi="宋体" w:eastAsia="宋体" w:cs="宋体"/>
          <w:highlight w:val="none"/>
        </w:rPr>
      </w:pPr>
      <w:r>
        <w:rPr>
          <w:rFonts w:hint="eastAsia" w:ascii="宋体" w:hAnsi="宋体" w:eastAsia="宋体" w:cs="宋体"/>
          <w:highlight w:val="none"/>
        </w:rPr>
        <w:t>★（2）要求投标供应商对磋商响应性文件有关事项做出解释或者澄清；</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（3）推荐中标候选供应商名单，或者受采购人委托按照事先确定的办法直接确定中标单位；</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（4）向招标采购单位或者有关部门报告非法干预评标工作的行为。</w:t>
      </w: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二、评标、定标组织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1.由磋商小组组织进行评标。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2.磋商小组由业主代表与专家库随机抽取的专家共 3 人组成，磋商小组</w:t>
      </w:r>
      <w:r>
        <w:rPr>
          <w:rFonts w:hint="eastAsia" w:ascii="宋体" w:hAnsi="宋体" w:eastAsia="宋体" w:cs="宋体"/>
          <w:highlight w:val="none"/>
          <w:lang w:eastAsia="zh-CN"/>
        </w:rPr>
        <w:t>组长</w:t>
      </w:r>
      <w:r>
        <w:rPr>
          <w:rFonts w:hint="eastAsia" w:ascii="宋体" w:hAnsi="宋体" w:eastAsia="宋体" w:cs="宋体"/>
          <w:highlight w:val="none"/>
        </w:rPr>
        <w:t>由磋商小组成员共同推举产生，磋商小组</w:t>
      </w:r>
      <w:r>
        <w:rPr>
          <w:rFonts w:hint="eastAsia" w:ascii="宋体" w:hAnsi="宋体" w:eastAsia="宋体" w:cs="宋体"/>
          <w:highlight w:val="none"/>
          <w:lang w:eastAsia="zh-CN"/>
        </w:rPr>
        <w:t>组长</w:t>
      </w:r>
      <w:r>
        <w:rPr>
          <w:rFonts w:hint="eastAsia" w:ascii="宋体" w:hAnsi="宋体" w:eastAsia="宋体" w:cs="宋体"/>
          <w:highlight w:val="none"/>
        </w:rPr>
        <w:t>主持整个评标工作，与磋商小组的其他成员有同等的表决权。</w:t>
      </w: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三、评标原则</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1.磋商小组按照公平、公正、科学、择优的原则对待所有的供应商；</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2.磋商小组成员应当客观、公正地履行职责，遵守职业道德，对所提出的评审意见承担个人责任；磋商小组成员实行主动回避制度；磋商小组成员及工作人员对整个评标活动保密。</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3.磋商小组审查磋商响应性文件是否符合竞争性磋商文件的所有条款、条件和规定。</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4.评标只对实质上响应竞争性磋商文件要求的有效磋商响应性文件进行评审，响应的依据是磋商响应性文件本身的内容，而不寻求其它证据。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5.评标将依据竞争性磋商文件确定的标准和方法，结合磋商响应性文件及其补充文件进行，不得忽视磋商响应性文件的实质性内容进行评标。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6.评标活动依法进行，任何单位和个人不得非法干预、阻挠采购人采购代理机构的正常工作或者影响评标过程和结果。</w:t>
      </w: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四、评标方法</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1.本次采购项目定标采用“综合评分法”。“综合评分法”是指在最大限度地满足竞争性磋商文件实质性要求前提下，以投标报价、技术响应程度、售后服务、商务等综合实力多个因素作为评审指标，全面比较各磋商响应性文件质量、价格、供应商的售后服务、资信情况等因素客观地进行评审，使评审的结果能准确地反映供应商的实际情况，并将各指标量化计分，按总得分排列顺序，确定中标人的方法。总得分最高的供应商作为拟中标单位。</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2.采购人、招标代理机构不向供应商承诺最低价中标，不解释中标或落标原因，不退还磋商响应性文件。</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3.供应商申报的关于资质、业绩等文件和材料必须真实准确，不得弄虚作假。</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4.供应商不得以任何形式搜集评标机密，不得以任何形式干扰评标或授标工作。</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5.供应商在磋商响应性文件的评审、澄清、比较以及授予合同过程中对评标人员施加影响的任何行为，都将导致被取消投标资格。</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6.供应商应具备较强的技术力量及综合实力，在众多项目中业绩、信誉良好，并能确保本次招标采购的长远售后服务。</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7.磋商小组成员对需要共同认定的事项存在争议的，应当按照少数服从多数的原则作出结论。持不同意见的磋商小组成员应当在评标报告上签署不同意见及理由，否则视为同意评标报告。</w:t>
      </w: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 xml:space="preserve">五、评标过程的保密性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1.开标后，至到向中标人授予合同时止，凡与审查、澄清、评价和比较投标的有关资料以及授标意见等，均不得向供应商及与评标无关的其他人透露。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 xml:space="preserve">2.在评标过程中，如果供应商试图在磋商响应性文件审查、澄清、比较及授予合同方面向采购人施加任何影响，其投标将被拒绝。 </w:t>
      </w:r>
    </w:p>
    <w:p>
      <w:pPr>
        <w:pStyle w:val="8"/>
        <w:kinsoku w:val="0"/>
        <w:overflowPunct w:val="0"/>
        <w:spacing w:before="34" w:line="357" w:lineRule="auto"/>
        <w:ind w:right="126" w:firstLine="480"/>
        <w:jc w:val="both"/>
        <w:rPr>
          <w:rFonts w:hint="eastAsia" w:ascii="宋体" w:hAnsi="宋体" w:eastAsia="宋体" w:cs="宋体"/>
          <w:highlight w:val="none"/>
        </w:rPr>
      </w:pPr>
      <w:r>
        <w:rPr>
          <w:rFonts w:hint="eastAsia" w:ascii="宋体" w:hAnsi="宋体" w:eastAsia="宋体" w:cs="宋体"/>
          <w:highlight w:val="none"/>
        </w:rPr>
        <w:t>3.评标人员严格遵守国家的有关保密法律、法规的规定，严格自律，同时接受有关部门的监督、审查。</w:t>
      </w: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六、评标过程中磋商响应性文件的澄清</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为了公平、公正的对《磋商响应性文件》进行审查、评估和比较，磋商小组可以向投标供应商质疑，请供应商对有关情况作必要说明。供应商有责任按照磋商小组提出的质疑，指派专人进行答疑。重要问题供应商应以书面形式解答。但是澄清或者说明不得超过磋商响应性文件的范围或修改磋商响应性文件的实质性内容，解答文件作为《磋商响应性文件》的组成部分。《竞争性磋商文件》、《磋商响应性文件》及其澄清文件等，均作为签订合同的依据。若供应商对磋商小组提出的质疑不予答复，其不利后果由供应商自行承担。</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若磋商小组发现供应商的投标报价或主要单项货物报价明显低于同标段其它供应商投标报价或者在设有参考标底时明显低于参考标底价，使得其投标报价可能低于其个别成本的，应该要求该供应商作出书面说明并提供相关证明材料。如果供应商不能提供材料证明该项报价有效，磋商小组应当认定低于成本价竞标，否决其投标。如果供应商提供了证明材料，且磋商小组无法证明其无效的，磋商小组应当接受该项投标报价。</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3.磋商小组认为投标人的报价明显低于其他通过符合性审查投标人的报价，有可能影响产品质量或者不能诚信履约的，磋商小组有权要求其在评标现场合理的时间内提供书面说明，必要时提交相关证明材料；投标人如不能证明其报价合理性的，磋商小组应当将其作为无效投标处理。</w:t>
      </w: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 xml:space="preserve">七、会议组成成员的职责 </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1.采购人：在监督部门监督下，根据《中华人民共和国政府采购法》、《政府购买服务管理办法（暂行）》、《政府采购竞争性磋商采购方式管理暂行办法》规定构成磋商小组成员之一。</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招标代理机构：根据《中华人民共和国政府采购法》、《中华人民共和国政府采购法实施条例》、《政府购买服务管理办法（暂行）》等文件的规定，由代理机构工作人员组成，负责《竞争性磋商文件》的制作，对外联系，开标、评标的会务工作,整理并向磋商小组成员分发招标资料和《磋商响应性文件》；做好开标和评标会议记录；对评标过程中的原始文件进行归档；随时印发需要的文件资料,对各种咨询函件及档案文件的统收统发；负责对磋商小组推荐的拟中标结果进行审核。</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3.监督部门：根据国家有关法律、法规规定由规定部门对整个开标评标过程进行监督, 其他任何单位和个人不得参与或非法干预正常的评审工作和评审结果，保证评标的公正性,防止违法行为的产生。</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4.审核小组</w:t>
      </w:r>
      <w:r>
        <w:rPr>
          <w:rFonts w:hint="eastAsia" w:ascii="宋体" w:hAnsi="宋体" w:eastAsia="宋体" w:cs="宋体"/>
          <w:spacing w:val="-27"/>
          <w:highlight w:val="none"/>
        </w:rPr>
        <w:t>：</w:t>
      </w:r>
      <w:r>
        <w:rPr>
          <w:rFonts w:hint="eastAsia" w:ascii="宋体" w:hAnsi="宋体" w:eastAsia="宋体" w:cs="宋体"/>
          <w:highlight w:val="none"/>
        </w:rPr>
        <w:t>由监督部门和代理机构项目负责人共同组</w:t>
      </w:r>
      <w:r>
        <w:rPr>
          <w:rFonts w:hint="eastAsia" w:ascii="宋体" w:hAnsi="宋体" w:eastAsia="宋体" w:cs="宋体"/>
          <w:spacing w:val="2"/>
          <w:highlight w:val="none"/>
        </w:rPr>
        <w:t>成</w:t>
      </w:r>
      <w:r>
        <w:rPr>
          <w:rFonts w:hint="eastAsia" w:ascii="宋体" w:hAnsi="宋体" w:eastAsia="宋体" w:cs="宋体"/>
          <w:spacing w:val="-27"/>
          <w:highlight w:val="none"/>
        </w:rPr>
        <w:t>，</w:t>
      </w:r>
      <w:r>
        <w:rPr>
          <w:rFonts w:hint="eastAsia" w:ascii="宋体" w:hAnsi="宋体" w:eastAsia="宋体" w:cs="宋体"/>
          <w:highlight w:val="none"/>
        </w:rPr>
        <w:t>负责对磋商小组填写的商务打分表和技术打分表最终统计结果进行审核，审核无误后由磋商小组签字确认。</w:t>
      </w: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八、定标方法：</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1.磋商小组以开标、评标情况为基本依据，对符合条件的《磋商响应性文件》及供应商进行综合评审打分，总分值设定为 100 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2.投标报价得分由磋商小组按照价格分计算公式计算分值。</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3.商务部分由磋商小组共同评定唯一的得分。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4.技术部分由磋商小组专家分别打分后，取平均分作为技术分最后得分。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5.供应商综合评分最终总分值为商务部分、技术部分和投标报价三部分得分总和。</w:t>
      </w: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九、评标程序及标准（综合评分法）</w:t>
      </w:r>
    </w:p>
    <w:p>
      <w:pPr>
        <w:pStyle w:val="1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96" w:firstLineChars="200"/>
        <w:textAlignment w:val="auto"/>
        <w:outlineLvl w:val="9"/>
        <w:rPr>
          <w:rFonts w:hint="eastAsia"/>
          <w:sz w:val="24"/>
          <w:szCs w:val="24"/>
          <w:highlight w:val="none"/>
        </w:rPr>
      </w:pPr>
      <w:r>
        <w:rPr>
          <w:rFonts w:hint="eastAsia"/>
          <w:sz w:val="24"/>
          <w:szCs w:val="24"/>
          <w:highlight w:val="none"/>
        </w:rPr>
        <w:t>按照竞争性磋商响应文件初审、澄清有关问题、分别磋商、二次报价、比较与评审、推荐成交候选</w:t>
      </w:r>
      <w:r>
        <w:rPr>
          <w:rFonts w:hint="eastAsia"/>
          <w:sz w:val="24"/>
          <w:szCs w:val="24"/>
          <w:highlight w:val="none"/>
          <w:lang w:eastAsia="zh-CN"/>
        </w:rPr>
        <w:t>人</w:t>
      </w:r>
      <w:r>
        <w:rPr>
          <w:rFonts w:hint="eastAsia"/>
          <w:sz w:val="24"/>
          <w:szCs w:val="24"/>
          <w:highlight w:val="none"/>
        </w:rPr>
        <w:t>名单。在上一步评审中被认定为无效磋商者，不进入下一步的评审。</w:t>
      </w:r>
    </w:p>
    <w:p>
      <w:pPr>
        <w:rPr>
          <w:rFonts w:hint="eastAsia"/>
          <w:highlight w:val="none"/>
        </w:rPr>
      </w:pPr>
    </w:p>
    <w:p>
      <w:pPr>
        <w:pStyle w:val="8"/>
        <w:kinsoku w:val="0"/>
        <w:overflowPunct w:val="0"/>
        <w:spacing w:before="38" w:line="357" w:lineRule="auto"/>
        <w:ind w:left="598" w:right="50" w:hanging="480"/>
        <w:rPr>
          <w:rFonts w:hint="eastAsia" w:ascii="宋体" w:hAnsi="宋体" w:eastAsia="宋体" w:cs="宋体"/>
          <w:b/>
          <w:bCs/>
          <w:highlight w:val="none"/>
        </w:rPr>
      </w:pPr>
      <w:r>
        <w:rPr>
          <w:rFonts w:hint="eastAsia" w:ascii="宋体" w:hAnsi="宋体" w:eastAsia="宋体" w:cs="宋体"/>
          <w:b/>
          <w:bCs/>
          <w:highlight w:val="none"/>
        </w:rPr>
        <w:t>1.初步评审：</w:t>
      </w:r>
    </w:p>
    <w:p>
      <w:pPr>
        <w:keepNext w:val="0"/>
        <w:keepLines w:val="0"/>
        <w:pageBreakBefore w:val="0"/>
        <w:widowControl w:val="0"/>
        <w:tabs>
          <w:tab w:val="left" w:pos="0"/>
        </w:tabs>
        <w:kinsoku/>
        <w:wordWrap/>
        <w:overflowPunct/>
        <w:topLinePunct w:val="0"/>
        <w:autoSpaceDE/>
        <w:autoSpaceDN/>
        <w:bidi w:val="0"/>
        <w:adjustRightInd w:val="0"/>
        <w:snapToGrid w:val="0"/>
        <w:spacing w:line="500" w:lineRule="exact"/>
        <w:ind w:right="0" w:rightChars="0" w:firstLine="472" w:firstLineChars="196"/>
        <w:jc w:val="both"/>
        <w:textAlignment w:val="auto"/>
        <w:outlineLvl w:val="9"/>
        <w:rPr>
          <w:rFonts w:hint="eastAsia" w:ascii="宋体" w:hAnsi="宋体" w:eastAsia="宋体" w:cs="宋体"/>
          <w:color w:val="000000"/>
          <w:kern w:val="0"/>
          <w:sz w:val="24"/>
          <w:szCs w:val="24"/>
          <w:highlight w:val="none"/>
          <w:lang w:eastAsia="zh-CN"/>
        </w:rPr>
      </w:pPr>
      <w:r>
        <w:rPr>
          <w:rFonts w:hint="eastAsia" w:ascii="宋体" w:hAnsi="宋体" w:eastAsia="宋体" w:cs="宋体"/>
          <w:b/>
          <w:bCs/>
          <w:sz w:val="24"/>
          <w:szCs w:val="24"/>
          <w:highlight w:val="none"/>
        </w:rPr>
        <w:t>1.1 资格性审查：</w:t>
      </w:r>
      <w:r>
        <w:rPr>
          <w:rFonts w:hint="eastAsia" w:ascii="宋体" w:hAnsi="宋体" w:cs="宋体"/>
          <w:color w:val="000000"/>
          <w:sz w:val="24"/>
          <w:szCs w:val="24"/>
          <w:highlight w:val="none"/>
          <w:lang w:val="en-US" w:eastAsia="zh-CN"/>
        </w:rPr>
        <w:t>采购人</w:t>
      </w:r>
      <w:r>
        <w:rPr>
          <w:rFonts w:hint="eastAsia" w:ascii="宋体" w:hAnsi="宋体" w:eastAsia="宋体" w:cs="宋体"/>
          <w:color w:val="000000"/>
          <w:sz w:val="24"/>
          <w:szCs w:val="24"/>
          <w:highlight w:val="none"/>
        </w:rPr>
        <w:t>将依据</w:t>
      </w:r>
      <w:r>
        <w:rPr>
          <w:rFonts w:hint="eastAsia" w:ascii="宋体" w:hAnsi="宋体" w:eastAsia="宋体" w:cs="宋体"/>
          <w:color w:val="000000"/>
          <w:sz w:val="24"/>
          <w:szCs w:val="24"/>
          <w:highlight w:val="none"/>
          <w:lang w:eastAsia="zh-CN"/>
        </w:rPr>
        <w:t>磋商响应</w:t>
      </w:r>
      <w:r>
        <w:rPr>
          <w:rFonts w:hint="eastAsia" w:ascii="宋体" w:hAnsi="宋体" w:eastAsia="宋体" w:cs="宋体"/>
          <w:color w:val="000000"/>
          <w:sz w:val="24"/>
          <w:szCs w:val="24"/>
          <w:highlight w:val="none"/>
        </w:rPr>
        <w:t>文件，按照</w:t>
      </w:r>
      <w:r>
        <w:rPr>
          <w:rFonts w:hint="eastAsia" w:ascii="宋体" w:hAnsi="宋体" w:eastAsia="宋体" w:cs="宋体"/>
          <w:color w:val="000000"/>
          <w:sz w:val="24"/>
          <w:szCs w:val="24"/>
          <w:highlight w:val="none"/>
          <w:lang w:eastAsia="zh-CN"/>
        </w:rPr>
        <w:t>磋商</w:t>
      </w:r>
      <w:r>
        <w:rPr>
          <w:rFonts w:hint="eastAsia" w:ascii="宋体" w:hAnsi="宋体" w:eastAsia="宋体" w:cs="宋体"/>
          <w:color w:val="000000"/>
          <w:sz w:val="24"/>
          <w:szCs w:val="24"/>
          <w:highlight w:val="none"/>
        </w:rPr>
        <w:t>文件第二章</w:t>
      </w:r>
      <w:r>
        <w:rPr>
          <w:rFonts w:hint="eastAsia" w:ascii="宋体" w:hAnsi="宋体" w:eastAsia="宋体" w:cs="宋体"/>
          <w:color w:val="000000"/>
          <w:sz w:val="24"/>
          <w:szCs w:val="24"/>
          <w:highlight w:val="none"/>
          <w:lang w:eastAsia="zh-CN"/>
        </w:rPr>
        <w:t>“供应商须知</w:t>
      </w:r>
      <w:r>
        <w:rPr>
          <w:rFonts w:hint="eastAsia" w:ascii="宋体" w:hAnsi="宋体" w:cs="宋体"/>
          <w:color w:val="000000"/>
          <w:sz w:val="24"/>
          <w:szCs w:val="24"/>
          <w:highlight w:val="none"/>
          <w:lang w:eastAsia="zh-CN"/>
        </w:rPr>
        <w:t>前附表</w:t>
      </w:r>
      <w:r>
        <w:rPr>
          <w:rFonts w:hint="eastAsia" w:ascii="宋体" w:hAnsi="宋体" w:eastAsia="宋体" w:cs="宋体"/>
          <w:color w:val="000000"/>
          <w:sz w:val="24"/>
          <w:szCs w:val="24"/>
          <w:highlight w:val="none"/>
          <w:lang w:eastAsia="zh-CN"/>
        </w:rPr>
        <w:t>”第</w:t>
      </w: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rPr>
        <w:t>条所述</w:t>
      </w:r>
      <w:r>
        <w:rPr>
          <w:rFonts w:hint="eastAsia" w:ascii="宋体" w:hAnsi="宋体" w:eastAsia="宋体" w:cs="宋体"/>
          <w:color w:val="000000"/>
          <w:sz w:val="24"/>
          <w:szCs w:val="24"/>
          <w:highlight w:val="none"/>
          <w:lang w:eastAsia="zh-CN"/>
        </w:rPr>
        <w:t>资格要求进行资格审查，</w:t>
      </w:r>
      <w:r>
        <w:rPr>
          <w:rFonts w:hint="eastAsia" w:ascii="宋体" w:hAnsi="宋体" w:eastAsia="宋体" w:cs="宋体"/>
          <w:color w:val="000000"/>
          <w:sz w:val="24"/>
          <w:szCs w:val="24"/>
          <w:highlight w:val="none"/>
        </w:rPr>
        <w:t>有一项因素不符合审查标准的，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不能通过</w:t>
      </w:r>
      <w:r>
        <w:rPr>
          <w:rFonts w:hint="eastAsia" w:ascii="宋体" w:hAnsi="宋体" w:eastAsia="宋体" w:cs="宋体"/>
          <w:color w:val="000000"/>
          <w:sz w:val="24"/>
          <w:szCs w:val="24"/>
          <w:highlight w:val="none"/>
          <w:lang w:eastAsia="zh-CN"/>
        </w:rPr>
        <w:t>资格审查，其磋商无效</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eastAsia="zh-CN"/>
        </w:rPr>
        <w:t>有关资格证明材料的证书、证件原件备查。</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资格审查主要审查以下方面的内容（包括但不限于以下内容）：</w:t>
      </w:r>
    </w:p>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1、法人授权委托书和被授权人有效身份证（法人直接参加的需出示法人身份证明及身份证原件）；</w:t>
      </w:r>
    </w:p>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2、投标人为企业法人应提供合法有效的标识有统一社会信用代码的营业执照；事业法人应提供事业单位法人证书；其他组织应提供合法登记证明文件；</w:t>
      </w:r>
    </w:p>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rPr>
          <w:rFonts w:hint="eastAsia" w:ascii="宋体" w:hAnsi="宋体" w:eastAsia="宋体" w:cs="宋体"/>
          <w:b/>
          <w:bCs/>
          <w:kern w:val="0"/>
          <w:sz w:val="24"/>
          <w:szCs w:val="24"/>
          <w:highlight w:val="none"/>
          <w:lang w:val="zh-CN" w:eastAsia="zh-CN" w:bidi="ar-SA"/>
        </w:rPr>
      </w:pPr>
      <w:r>
        <w:rPr>
          <w:rFonts w:hint="eastAsia" w:ascii="宋体" w:hAnsi="宋体" w:eastAsia="宋体" w:cs="宋体"/>
          <w:b/>
          <w:bCs/>
          <w:kern w:val="0"/>
          <w:sz w:val="24"/>
          <w:szCs w:val="24"/>
          <w:highlight w:val="none"/>
          <w:lang w:val="en-US" w:eastAsia="zh-CN" w:bidi="ar-SA"/>
        </w:rPr>
        <w:t>3、社会保障资金缴纳证明：</w:t>
      </w:r>
      <w:r>
        <w:rPr>
          <w:rFonts w:hint="eastAsia" w:ascii="宋体" w:hAnsi="宋体" w:eastAsia="宋体" w:cs="宋体"/>
          <w:b/>
          <w:bCs/>
          <w:kern w:val="0"/>
          <w:sz w:val="24"/>
          <w:szCs w:val="24"/>
          <w:highlight w:val="none"/>
          <w:lang w:val="zh-CN" w:eastAsia="zh-CN" w:bidi="ar-SA"/>
        </w:rPr>
        <w:t>投标人</w:t>
      </w:r>
      <w:r>
        <w:rPr>
          <w:rFonts w:hint="eastAsia" w:ascii="宋体" w:hAnsi="宋体" w:eastAsia="宋体" w:cs="宋体"/>
          <w:b/>
          <w:bCs/>
          <w:kern w:val="0"/>
          <w:sz w:val="24"/>
          <w:szCs w:val="24"/>
          <w:highlight w:val="none"/>
          <w:lang w:val="en-US" w:eastAsia="zh-CN" w:bidi="ar-SA"/>
        </w:rPr>
        <w:t>提供近半年内已缴存的至少一个月的社会保障资金缴存单据或社保机构开具的社会保险参保缴费情况证明，依法不需要缴纳社会保障资金的投标人应提供相关文件证明</w:t>
      </w:r>
      <w:r>
        <w:rPr>
          <w:rFonts w:hint="eastAsia" w:ascii="宋体" w:hAnsi="宋体" w:eastAsia="宋体" w:cs="宋体"/>
          <w:b/>
          <w:bCs/>
          <w:kern w:val="0"/>
          <w:sz w:val="24"/>
          <w:szCs w:val="24"/>
          <w:highlight w:val="none"/>
          <w:lang w:val="zh-CN" w:eastAsia="zh-CN" w:bidi="ar-SA"/>
        </w:rPr>
        <w:t>；</w:t>
      </w:r>
    </w:p>
    <w:p>
      <w:pPr>
        <w:keepNext w:val="0"/>
        <w:keepLines w:val="0"/>
        <w:pageBreakBefore w:val="0"/>
        <w:widowControl w:val="0"/>
        <w:numPr>
          <w:ilvl w:val="0"/>
          <w:numId w:val="0"/>
        </w:numPr>
        <w:kinsoku/>
        <w:wordWrap/>
        <w:overflowPunct/>
        <w:topLinePunct w:val="0"/>
        <w:bidi w:val="0"/>
        <w:snapToGrid/>
        <w:spacing w:line="400" w:lineRule="exact"/>
        <w:ind w:leftChars="0" w:right="0" w:right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4、</w:t>
      </w:r>
      <w:r>
        <w:rPr>
          <w:rFonts w:hint="eastAsia" w:ascii="宋体" w:hAnsi="宋体" w:eastAsia="宋体" w:cs="宋体"/>
          <w:b/>
          <w:bCs/>
          <w:i w:val="0"/>
          <w:iCs w:val="0"/>
          <w:sz w:val="24"/>
          <w:szCs w:val="24"/>
          <w:highlight w:val="none"/>
        </w:rPr>
        <w:t>税收缴纳证明：</w:t>
      </w:r>
      <w:r>
        <w:rPr>
          <w:rFonts w:hint="eastAsia" w:ascii="宋体" w:hAnsi="宋体" w:eastAsia="宋体" w:cs="宋体"/>
          <w:b/>
          <w:bCs/>
          <w:i w:val="0"/>
          <w:iCs w:val="0"/>
          <w:sz w:val="24"/>
          <w:szCs w:val="24"/>
          <w:highlight w:val="none"/>
          <w:lang w:eastAsia="zh-CN"/>
        </w:rPr>
        <w:t>投标人</w:t>
      </w:r>
      <w:r>
        <w:rPr>
          <w:rFonts w:hint="eastAsia" w:ascii="宋体" w:hAnsi="宋体" w:eastAsia="宋体" w:cs="宋体"/>
          <w:b/>
          <w:bCs/>
          <w:i w:val="0"/>
          <w:iCs w:val="0"/>
          <w:sz w:val="24"/>
          <w:szCs w:val="24"/>
          <w:highlight w:val="none"/>
        </w:rPr>
        <w:t>提供近半年内已缴纳的至少一个月的纳税证明或完税证明，纳税证明或完税证明上应有代收机构或税务机关的公章，依法免税的</w:t>
      </w:r>
      <w:r>
        <w:rPr>
          <w:rFonts w:hint="eastAsia" w:ascii="宋体" w:hAnsi="宋体" w:eastAsia="宋体" w:cs="宋体"/>
          <w:b/>
          <w:bCs/>
          <w:i w:val="0"/>
          <w:iCs w:val="0"/>
          <w:sz w:val="24"/>
          <w:szCs w:val="24"/>
          <w:highlight w:val="none"/>
          <w:lang w:eastAsia="zh-CN"/>
        </w:rPr>
        <w:t>投标人</w:t>
      </w:r>
      <w:r>
        <w:rPr>
          <w:rFonts w:hint="eastAsia" w:ascii="宋体" w:hAnsi="宋体" w:eastAsia="宋体" w:cs="宋体"/>
          <w:b/>
          <w:bCs/>
          <w:i w:val="0"/>
          <w:iCs w:val="0"/>
          <w:sz w:val="24"/>
          <w:szCs w:val="24"/>
          <w:highlight w:val="none"/>
        </w:rPr>
        <w:t>应提供相关文件证明；</w:t>
      </w:r>
    </w:p>
    <w:p>
      <w:pPr>
        <w:keepNext w:val="0"/>
        <w:keepLines w:val="0"/>
        <w:pageBreakBefore w:val="0"/>
        <w:widowControl w:val="0"/>
        <w:numPr>
          <w:ilvl w:val="0"/>
          <w:numId w:val="0"/>
        </w:numPr>
        <w:kinsoku/>
        <w:wordWrap/>
        <w:overflowPunct/>
        <w:topLinePunct w:val="0"/>
        <w:bidi w:val="0"/>
        <w:snapToGrid/>
        <w:spacing w:line="400" w:lineRule="exact"/>
        <w:ind w:leftChars="0" w:right="0" w:rightChars="0"/>
        <w:textAlignment w:val="auto"/>
        <w:rPr>
          <w:rFonts w:hint="eastAsia" w:ascii="宋体" w:hAnsi="宋体" w:eastAsia="宋体" w:cs="宋体"/>
          <w:b/>
          <w:bCs/>
          <w:kern w:val="0"/>
          <w:sz w:val="24"/>
          <w:szCs w:val="24"/>
          <w:highlight w:val="none"/>
          <w:lang w:val="zh-CN" w:eastAsia="zh-CN" w:bidi="ar-SA"/>
        </w:rPr>
      </w:pPr>
      <w:r>
        <w:rPr>
          <w:rFonts w:hint="eastAsia" w:ascii="宋体" w:hAnsi="宋体" w:eastAsia="宋体" w:cs="宋体"/>
          <w:b/>
          <w:bCs/>
          <w:kern w:val="0"/>
          <w:sz w:val="24"/>
          <w:szCs w:val="24"/>
          <w:highlight w:val="none"/>
          <w:lang w:val="en-US" w:eastAsia="zh-CN" w:bidi="ar-SA"/>
        </w:rPr>
        <w:t>5、财务状况报告：投标人提供近1年的财务审计报告（至少包括审计报告、资产负债表和利润表，成立时间至提交投标文件截止时间不足一年的可提供成立后任意时段的资产负债表），或其开标前三个月内基本存款账户开户银行出具的资信证明；</w:t>
      </w:r>
    </w:p>
    <w:p>
      <w:pPr>
        <w:keepNext w:val="0"/>
        <w:keepLines w:val="0"/>
        <w:pageBreakBefore w:val="0"/>
        <w:widowControl w:val="0"/>
        <w:numPr>
          <w:ilvl w:val="0"/>
          <w:numId w:val="0"/>
        </w:numPr>
        <w:kinsoku/>
        <w:wordWrap/>
        <w:overflowPunct/>
        <w:topLinePunct w:val="0"/>
        <w:bidi w:val="0"/>
        <w:snapToGrid/>
        <w:spacing w:line="400" w:lineRule="exact"/>
        <w:ind w:leftChars="0" w:right="0" w:right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6、投标人应具备良好的商业信誉，提供参加政府采购活动前3年内在经营活动中没有重大违法记录的书面声明；</w:t>
      </w:r>
    </w:p>
    <w:p>
      <w:pPr>
        <w:keepNext w:val="0"/>
        <w:keepLines w:val="0"/>
        <w:pageBreakBefore w:val="0"/>
        <w:widowControl w:val="0"/>
        <w:numPr>
          <w:ilvl w:val="0"/>
          <w:numId w:val="0"/>
        </w:numPr>
        <w:kinsoku/>
        <w:wordWrap/>
        <w:overflowPunct/>
        <w:topLinePunct w:val="0"/>
        <w:bidi w:val="0"/>
        <w:snapToGrid/>
        <w:spacing w:line="400" w:lineRule="exact"/>
        <w:ind w:leftChars="0" w:right="0" w:rightChars="0"/>
        <w:textAlignment w:val="auto"/>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7、投标人应在“信用中国”网站（www.creditchina.gov.cn）未被列入失信被执行人记录、</w:t>
      </w:r>
      <w:r>
        <w:rPr>
          <w:rFonts w:hint="eastAsia" w:ascii="宋体" w:hAnsi="宋体" w:cs="宋体"/>
          <w:b/>
          <w:bCs/>
          <w:kern w:val="0"/>
          <w:sz w:val="24"/>
          <w:szCs w:val="24"/>
          <w:highlight w:val="none"/>
          <w:lang w:val="en-US" w:eastAsia="zh-CN" w:bidi="ar-SA"/>
        </w:rPr>
        <w:t>重大税收违法失信主体记录</w:t>
      </w:r>
      <w:r>
        <w:rPr>
          <w:rFonts w:hint="eastAsia" w:ascii="宋体" w:hAnsi="宋体" w:eastAsia="宋体" w:cs="宋体"/>
          <w:b/>
          <w:bCs/>
          <w:kern w:val="0"/>
          <w:sz w:val="24"/>
          <w:szCs w:val="24"/>
          <w:highlight w:val="none"/>
          <w:lang w:val="en-US" w:eastAsia="zh-CN" w:bidi="ar-SA"/>
        </w:rPr>
        <w:t>且在中国政府采购网（www.ccgp.gov.cn）没有相关主体政府采购严重违法失信行为记录（被禁止在一定期限内参加政府采购活动但期限届满的除外）（查询日期为从采购文件发售之日起至投标截止日前），以网页截图（需显示查询时间）加盖投标人公章为准；</w:t>
      </w:r>
    </w:p>
    <w:p>
      <w:pPr>
        <w:pStyle w:val="8"/>
        <w:kinsoku w:val="0"/>
        <w:overflowPunct w:val="0"/>
        <w:spacing w:before="34" w:line="357" w:lineRule="auto"/>
        <w:ind w:right="126"/>
        <w:rPr>
          <w:rFonts w:hint="eastAsia" w:ascii="宋体" w:hAnsi="宋体" w:cs="宋体"/>
          <w:b/>
          <w:bCs/>
          <w:i w:val="0"/>
          <w:iCs w:val="0"/>
          <w:sz w:val="24"/>
          <w:szCs w:val="24"/>
          <w:highlight w:val="yellow"/>
          <w:u w:val="none"/>
          <w:lang w:eastAsia="zh-CN"/>
        </w:rPr>
      </w:pPr>
      <w:r>
        <w:rPr>
          <w:rFonts w:hint="eastAsia" w:ascii="宋体" w:hAnsi="宋体" w:cs="宋体"/>
          <w:b/>
          <w:bCs/>
          <w:kern w:val="0"/>
          <w:sz w:val="24"/>
          <w:szCs w:val="24"/>
          <w:highlight w:val="yellow"/>
          <w:lang w:val="en-US" w:eastAsia="zh-CN" w:bidi="ar-SA"/>
        </w:rPr>
        <w:t>8、</w:t>
      </w:r>
      <w:r>
        <w:rPr>
          <w:rFonts w:hint="eastAsia" w:ascii="宋体" w:hAnsi="宋体" w:eastAsia="宋体" w:cs="宋体"/>
          <w:b/>
          <w:bCs/>
          <w:i w:val="0"/>
          <w:iCs w:val="0"/>
          <w:sz w:val="24"/>
          <w:szCs w:val="24"/>
          <w:highlight w:val="yellow"/>
          <w:u w:val="none"/>
          <w:lang w:eastAsia="zh-CN"/>
        </w:rPr>
        <w:t>根据《政府采购促进中小企业发展管理办法》要求，本项目应当专门面向中小企业采购（提供中小微企业声明函）</w:t>
      </w:r>
      <w:r>
        <w:rPr>
          <w:rFonts w:hint="eastAsia" w:ascii="宋体" w:hAnsi="宋体" w:cs="宋体"/>
          <w:b/>
          <w:bCs/>
          <w:i w:val="0"/>
          <w:iCs w:val="0"/>
          <w:sz w:val="24"/>
          <w:szCs w:val="24"/>
          <w:highlight w:val="yellow"/>
          <w:u w:val="none"/>
          <w:lang w:eastAsia="zh-CN"/>
        </w:rPr>
        <w:t>。</w:t>
      </w:r>
    </w:p>
    <w:p>
      <w:pPr>
        <w:pStyle w:val="8"/>
        <w:kinsoku w:val="0"/>
        <w:overflowPunct w:val="0"/>
        <w:spacing w:before="34" w:line="357" w:lineRule="auto"/>
        <w:ind w:right="126"/>
        <w:rPr>
          <w:rFonts w:hint="eastAsia" w:ascii="宋体" w:hAnsi="宋体" w:eastAsia="宋体" w:cs="宋体"/>
          <w:b/>
          <w:bCs/>
          <w:i w:val="0"/>
          <w:iCs w:val="0"/>
          <w:sz w:val="24"/>
          <w:szCs w:val="24"/>
          <w:highlight w:val="yellow"/>
          <w:u w:val="none"/>
          <w:lang w:eastAsia="zh-CN"/>
        </w:rPr>
      </w:pPr>
      <w:r>
        <w:rPr>
          <w:rFonts w:hint="eastAsia" w:ascii="宋体" w:hAnsi="宋体" w:eastAsia="宋体" w:cs="宋体"/>
          <w:b/>
          <w:bCs/>
          <w:i w:val="0"/>
          <w:iCs w:val="0"/>
          <w:sz w:val="24"/>
          <w:szCs w:val="24"/>
          <w:highlight w:val="yellow"/>
          <w:u w:val="none"/>
          <w:lang w:val="en-US" w:eastAsia="zh-CN"/>
        </w:rPr>
        <w:t>9、投标</w:t>
      </w:r>
      <w:r>
        <w:rPr>
          <w:rFonts w:hint="eastAsia" w:ascii="宋体" w:hAnsi="宋体" w:eastAsia="宋体" w:cs="宋体"/>
          <w:b/>
          <w:bCs/>
          <w:i w:val="0"/>
          <w:iCs w:val="0"/>
          <w:sz w:val="24"/>
          <w:szCs w:val="24"/>
          <w:highlight w:val="yellow"/>
          <w:u w:val="none"/>
          <w:lang w:eastAsia="zh-CN"/>
        </w:rPr>
        <w:t>人须具备文物行政主管部门颁发的文物保护工程施工二级以上（含二级）资质，并取得建设行政主管部门颁发有效的《安全生产许可证》。</w:t>
      </w:r>
    </w:p>
    <w:p>
      <w:pPr>
        <w:pStyle w:val="8"/>
        <w:kinsoku w:val="0"/>
        <w:overflowPunct w:val="0"/>
        <w:spacing w:before="34" w:line="357" w:lineRule="auto"/>
        <w:ind w:right="126"/>
        <w:rPr>
          <w:rFonts w:hint="eastAsia"/>
          <w:lang w:eastAsia="zh-CN"/>
        </w:rPr>
      </w:pP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★备注：竞争性磋商文件涉及要求供应商在开标时所带的</w:t>
      </w:r>
      <w:r>
        <w:rPr>
          <w:rFonts w:hint="eastAsia" w:ascii="宋体" w:hAnsi="宋体" w:eastAsia="宋体" w:cs="宋体"/>
          <w:highlight w:val="none"/>
          <w:lang w:val="en-US" w:eastAsia="zh-CN"/>
        </w:rPr>
        <w:t>资料</w:t>
      </w:r>
      <w:r>
        <w:rPr>
          <w:rFonts w:hint="eastAsia" w:ascii="宋体" w:hAnsi="宋体" w:eastAsia="宋体" w:cs="宋体"/>
          <w:highlight w:val="none"/>
        </w:rPr>
        <w:t>，请供应商在开标现场一次性提供。供应商提交的所有证明文件及材料必须清晰、准确、真实、有效；对于不提供或提供不真实或虚假资料者按无效标处理。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b/>
          <w:bCs/>
          <w:highlight w:val="none"/>
        </w:rPr>
        <w:t>1.2 响应性审查：</w:t>
      </w:r>
      <w:r>
        <w:rPr>
          <w:rFonts w:hint="eastAsia" w:ascii="宋体" w:hAnsi="宋体" w:eastAsia="宋体" w:cs="宋体"/>
          <w:highlight w:val="none"/>
        </w:rPr>
        <w:t>依据《竞争性磋商文件》的规定，从《磋商响应性文件》的有效性、完整性和对《竞争性磋商文件》的响应程度进行审查，以确定是否对《竞争性磋商文件》的实质性要求做出响应。响应性审查时有下列情形之一的，由磋商小组按无效《磋商响应性文件》处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（1）未按照招标文件的规定提交投标保证金的；</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（2）投标文件未按招标文件要求签署、盖章的；</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（3）不具备招标文件中规定的资格要求的；</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（4）报价超过招标文件中规定的预算金额或者最高限价的；</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（5）投标文件含有采购人不能接受的附加条件的；</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（6）法律、法规和招标文件规定的其他无效情形；</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1.3 实质上没有响应《竞争性磋商文件》要求的《磋商响应性文件》将被拒绝。</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1.4 供应商不得通过修正或撤销不符合要求的偏离或保留从而使其《磋商响应性文件》成为实质上响应的《磋商响应性文件》。</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1.5 通过资格性及响应性审查且无实质性背离采购人要求的响应文件，即可进行下一步评审。未通过资格性审查、响应性审查的响应文件按无效投标处理。</w:t>
      </w:r>
    </w:p>
    <w:p>
      <w:pPr>
        <w:pStyle w:val="8"/>
        <w:kinsoku w:val="0"/>
        <w:overflowPunct w:val="0"/>
        <w:spacing w:before="34"/>
        <w:jc w:val="both"/>
        <w:outlineLvl w:val="9"/>
        <w:rPr>
          <w:rFonts w:hint="eastAsia" w:ascii="宋体" w:hAnsi="宋体" w:eastAsia="宋体" w:cs="宋体"/>
          <w:b/>
          <w:bCs/>
          <w:highlight w:val="none"/>
        </w:rPr>
      </w:pPr>
      <w:r>
        <w:rPr>
          <w:rFonts w:hint="eastAsia" w:ascii="宋体" w:hAnsi="宋体" w:eastAsia="宋体" w:cs="宋体"/>
          <w:b/>
          <w:bCs/>
          <w:highlight w:val="none"/>
        </w:rPr>
        <w:t>2.磋商及详细评审：</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2.1 磋商小组审阅响应文件： 以确定是否对磋商文件的要求做出实质性响应。未对磋商文件做实质性响应的供应商，不得进入具体磋商程序。</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2.2 开始磋商，磋商小组所有成员集中与单一供应商分别进行磋商。磋商小组可根据供应商的报价，响应内容及磋商的情况，给予每个正在参加磋商的供应商相同的机会。先依据供应商制定的方案进行审查，经过磋商小组所有成员集中讨论及磋商讨论，再给予每个合格的供应商二次报价资格。</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在磋商过程中，磋商小组可以根据磋商文件和磋商情况实质性变动采购需求中的技术、服务要求以及合同草案条款，但不得变动磋商文件中的其他内容。实质性变动的内容，须经采购人代表确认。</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对磋商文件作出的实质性变动是磋商文件的有效组成部分，磋商小组应当及时以书面形式同时通知所有参加磋商的供应商。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供应商应当按照磋商文件的变动情况和磋商小组的要求重新提交响应文件，并由其全权代表签章。</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2.3 磋商结束后，参加磋商的供应商应当对磋商的承诺和最后报价以书面形式确认， 并由授权委托人签章。各供应商对本项目进行二次（最终）报价。</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2.4 由磋商小组采用综合评分法对提交最终报价的供应商的响应文件和最终报价进 行打分；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2.5 磋商小组可以对确定为实质上响应竞争性磋商文件要求的磋商响应性文件进行校对、审核，对出现的算术错误，由磋商小组予以改正，并让供应商澄清确认。修正计算错误按如下原则进行：</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2.6《磋商响应性文件》的大写金额和小写金额不一致的，以大写金额为准；总价金额与单项单价汇总金额不一致的，以单价金额计算结果为准；单价金额小数点有明显错位的，应以总价为准，并修改单价；对不同文字文本《磋商响应性文件》的解释发生异议的，以中文文本为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2.7 若供应商不接受对其错误的更正，其投标将被视为无效投标。</w:t>
      </w:r>
    </w:p>
    <w:p>
      <w:pPr>
        <w:pStyle w:val="8"/>
        <w:kinsoku w:val="0"/>
        <w:overflowPunct w:val="0"/>
        <w:spacing w:before="34"/>
        <w:jc w:val="both"/>
        <w:outlineLvl w:val="2"/>
        <w:rPr>
          <w:rFonts w:hint="eastAsia" w:ascii="宋体" w:hAnsi="宋体" w:eastAsia="宋体" w:cs="宋体"/>
          <w:b/>
          <w:bCs/>
          <w:highlight w:val="none"/>
        </w:rPr>
      </w:pPr>
      <w:r>
        <w:rPr>
          <w:rFonts w:hint="eastAsia" w:ascii="宋体" w:hAnsi="宋体" w:eastAsia="宋体" w:cs="宋体"/>
          <w:b/>
          <w:bCs/>
          <w:highlight w:val="none"/>
        </w:rPr>
        <w:br w:type="page"/>
      </w:r>
      <w:r>
        <w:rPr>
          <w:rFonts w:hint="eastAsia" w:ascii="宋体" w:hAnsi="宋体" w:eastAsia="宋体" w:cs="宋体"/>
          <w:b/>
          <w:bCs/>
          <w:highlight w:val="none"/>
        </w:rPr>
        <w:t>3. 综合评分表</w:t>
      </w:r>
    </w:p>
    <w:p>
      <w:pPr>
        <w:spacing w:line="300" w:lineRule="exact"/>
        <w:jc w:val="left"/>
        <w:rPr>
          <w:rFonts w:hint="eastAsia" w:ascii="微软雅黑" w:hAnsi="微软雅黑" w:eastAsia="微软雅黑" w:cs="仿宋"/>
          <w:color w:val="191919"/>
          <w:sz w:val="28"/>
          <w:szCs w:val="28"/>
          <w:highlight w:val="none"/>
          <w:lang w:val="en-US" w:eastAsia="zh-CN"/>
        </w:rPr>
      </w:pPr>
    </w:p>
    <w:p>
      <w:pPr>
        <w:adjustRightInd w:val="0"/>
        <w:snapToGrid w:val="0"/>
        <w:spacing w:line="280" w:lineRule="exact"/>
        <w:ind w:left="0" w:leftChars="0" w:firstLine="0" w:firstLineChars="0"/>
        <w:jc w:val="both"/>
        <w:outlineLvl w:val="1"/>
        <w:rPr>
          <w:rFonts w:hint="eastAsia" w:ascii="仿宋" w:hAnsi="仿宋" w:eastAsia="仿宋"/>
          <w:b/>
          <w:bCs/>
          <w:szCs w:val="21"/>
        </w:rPr>
      </w:pPr>
      <w:r>
        <w:rPr>
          <w:rFonts w:hint="default" w:ascii="仿宋" w:hAnsi="仿宋" w:eastAsia="仿宋"/>
          <w:b/>
          <w:bCs/>
          <w:sz w:val="28"/>
          <w:szCs w:val="28"/>
        </w:rPr>
        <w:t>1、</w:t>
      </w:r>
      <w:r>
        <w:rPr>
          <w:rFonts w:hint="eastAsia" w:ascii="仿宋" w:hAnsi="仿宋" w:eastAsia="仿宋"/>
          <w:b/>
          <w:bCs/>
          <w:sz w:val="28"/>
          <w:szCs w:val="28"/>
        </w:rPr>
        <w:t>技术标评审标准</w:t>
      </w:r>
    </w:p>
    <w:tbl>
      <w:tblPr>
        <w:tblStyle w:val="18"/>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13"/>
        <w:gridCol w:w="735"/>
        <w:gridCol w:w="2243"/>
        <w:gridCol w:w="1049"/>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626" w:hRule="atLeast"/>
          <w:tblHeader/>
          <w:jc w:val="center"/>
        </w:trPr>
        <w:tc>
          <w:tcPr>
            <w:tcW w:w="735" w:type="dxa"/>
            <w:noWrap w:val="0"/>
            <w:vAlign w:val="center"/>
          </w:tcPr>
          <w:p>
            <w:pPr>
              <w:tabs>
                <w:tab w:val="left" w:pos="749"/>
                <w:tab w:val="left" w:pos="3346"/>
                <w:tab w:val="left" w:pos="3873"/>
                <w:tab w:val="left" w:pos="9611"/>
              </w:tabs>
              <w:adjustRightInd w:val="0"/>
              <w:snapToGrid w:val="0"/>
              <w:spacing w:line="280" w:lineRule="exact"/>
              <w:rPr>
                <w:rFonts w:hint="eastAsia" w:ascii="仿宋" w:hAnsi="仿宋" w:eastAsia="仿宋"/>
                <w:szCs w:val="21"/>
              </w:rPr>
            </w:pPr>
            <w:r>
              <w:rPr>
                <w:rFonts w:hint="eastAsia" w:ascii="仿宋" w:hAnsi="仿宋" w:eastAsia="仿宋"/>
                <w:szCs w:val="21"/>
              </w:rPr>
              <w:t>序号</w:t>
            </w:r>
          </w:p>
        </w:tc>
        <w:tc>
          <w:tcPr>
            <w:tcW w:w="2243" w:type="dxa"/>
            <w:noWrap w:val="0"/>
            <w:vAlign w:val="center"/>
          </w:tcPr>
          <w:p>
            <w:pPr>
              <w:tabs>
                <w:tab w:val="left" w:pos="749"/>
                <w:tab w:val="left" w:pos="3346"/>
                <w:tab w:val="left" w:pos="3873"/>
                <w:tab w:val="left" w:pos="9611"/>
              </w:tabs>
              <w:adjustRightInd w:val="0"/>
              <w:snapToGrid w:val="0"/>
              <w:spacing w:line="280" w:lineRule="exact"/>
              <w:ind w:left="227"/>
              <w:rPr>
                <w:rFonts w:hint="eastAsia" w:ascii="仿宋" w:hAnsi="仿宋" w:eastAsia="仿宋"/>
                <w:szCs w:val="21"/>
              </w:rPr>
            </w:pPr>
            <w:r>
              <w:rPr>
                <w:rFonts w:hint="eastAsia" w:ascii="仿宋" w:hAnsi="仿宋" w:eastAsia="仿宋"/>
                <w:szCs w:val="21"/>
              </w:rPr>
              <w:t>评审项目</w:t>
            </w:r>
          </w:p>
        </w:tc>
        <w:tc>
          <w:tcPr>
            <w:tcW w:w="1049" w:type="dxa"/>
            <w:noWrap w:val="0"/>
            <w:vAlign w:val="center"/>
          </w:tcPr>
          <w:p>
            <w:pPr>
              <w:tabs>
                <w:tab w:val="left" w:pos="749"/>
                <w:tab w:val="left" w:pos="3346"/>
                <w:tab w:val="left" w:pos="3873"/>
                <w:tab w:val="left" w:pos="9611"/>
              </w:tabs>
              <w:adjustRightInd w:val="0"/>
              <w:snapToGrid w:val="0"/>
              <w:spacing w:line="280" w:lineRule="exact"/>
              <w:rPr>
                <w:rFonts w:hint="eastAsia" w:ascii="仿宋" w:hAnsi="仿宋" w:eastAsia="仿宋"/>
                <w:szCs w:val="21"/>
              </w:rPr>
            </w:pPr>
            <w:r>
              <w:rPr>
                <w:rFonts w:hint="eastAsia" w:ascii="仿宋" w:hAnsi="仿宋" w:eastAsia="仿宋"/>
                <w:szCs w:val="21"/>
              </w:rPr>
              <w:t>标准分</w:t>
            </w:r>
          </w:p>
        </w:tc>
        <w:tc>
          <w:tcPr>
            <w:tcW w:w="5585" w:type="dxa"/>
            <w:noWrap w:val="0"/>
            <w:vAlign w:val="center"/>
          </w:tcPr>
          <w:p>
            <w:pPr>
              <w:tabs>
                <w:tab w:val="left" w:pos="749"/>
                <w:tab w:val="left" w:pos="3346"/>
                <w:tab w:val="left" w:pos="3873"/>
                <w:tab w:val="left" w:pos="9611"/>
              </w:tabs>
              <w:adjustRightInd w:val="0"/>
              <w:snapToGrid w:val="0"/>
              <w:spacing w:line="280" w:lineRule="exact"/>
              <w:jc w:val="center"/>
              <w:rPr>
                <w:rFonts w:hint="eastAsia" w:ascii="仿宋" w:hAnsi="仿宋" w:eastAsia="仿宋"/>
                <w:szCs w:val="21"/>
              </w:rPr>
            </w:pPr>
            <w:r>
              <w:rPr>
                <w:rFonts w:hint="eastAsia" w:ascii="仿宋" w:hAnsi="仿宋" w:eastAsia="仿宋"/>
                <w:szCs w:val="21"/>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582" w:hRule="atLeast"/>
          <w:tblHeader/>
          <w:jc w:val="center"/>
        </w:trPr>
        <w:tc>
          <w:tcPr>
            <w:tcW w:w="735" w:type="dxa"/>
            <w:tcBorders>
              <w:bottom w:val="single" w:color="auto" w:sz="4" w:space="0"/>
            </w:tcBorders>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1</w:t>
            </w:r>
          </w:p>
        </w:tc>
        <w:tc>
          <w:tcPr>
            <w:tcW w:w="2243" w:type="dxa"/>
            <w:tcBorders>
              <w:bottom w:val="single" w:color="auto" w:sz="4" w:space="0"/>
            </w:tcBorders>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工程概况及特点</w:t>
            </w:r>
          </w:p>
        </w:tc>
        <w:tc>
          <w:tcPr>
            <w:tcW w:w="1049" w:type="dxa"/>
            <w:tcBorders>
              <w:bottom w:val="single" w:color="auto" w:sz="4" w:space="0"/>
            </w:tcBorders>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1</w:t>
            </w:r>
          </w:p>
        </w:tc>
        <w:tc>
          <w:tcPr>
            <w:tcW w:w="5585" w:type="dxa"/>
            <w:tcBorders>
              <w:bottom w:val="single" w:color="auto" w:sz="4" w:space="0"/>
            </w:tcBorders>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工程概况及特点叙述正确，符合实际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626" w:hRule="atLeast"/>
          <w:tblHeader/>
          <w:jc w:val="center"/>
        </w:trPr>
        <w:tc>
          <w:tcPr>
            <w:tcW w:w="73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2</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施工准备计划</w:t>
            </w:r>
          </w:p>
        </w:tc>
        <w:tc>
          <w:tcPr>
            <w:tcW w:w="1049" w:type="dxa"/>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2</w:t>
            </w:r>
          </w:p>
        </w:tc>
        <w:tc>
          <w:tcPr>
            <w:tcW w:w="558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施工技术、现场、物资与机械、队伍准备计划应能充分保证工程需要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626" w:hRule="atLeast"/>
          <w:tblHeader/>
          <w:jc w:val="center"/>
        </w:trPr>
        <w:tc>
          <w:tcPr>
            <w:tcW w:w="73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3</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施工方案</w:t>
            </w:r>
          </w:p>
        </w:tc>
        <w:tc>
          <w:tcPr>
            <w:tcW w:w="1049" w:type="dxa"/>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20</w:t>
            </w:r>
          </w:p>
        </w:tc>
        <w:tc>
          <w:tcPr>
            <w:tcW w:w="558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施工方案应能符合工程实际情况，提高生产率、缩短工期、提高质量、降低消耗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626" w:hRule="atLeast"/>
          <w:tblHeader/>
          <w:jc w:val="center"/>
        </w:trPr>
        <w:tc>
          <w:tcPr>
            <w:tcW w:w="73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4</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施工进度计划</w:t>
            </w:r>
          </w:p>
        </w:tc>
        <w:tc>
          <w:tcPr>
            <w:tcW w:w="1049" w:type="dxa"/>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10</w:t>
            </w:r>
          </w:p>
        </w:tc>
        <w:tc>
          <w:tcPr>
            <w:tcW w:w="558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进度计划应在空间和时间上做合理的统筹安排且符合施工的科学规律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626" w:hRule="atLeast"/>
          <w:tblHeader/>
          <w:jc w:val="center"/>
        </w:trPr>
        <w:tc>
          <w:tcPr>
            <w:tcW w:w="73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5</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施工平面图</w:t>
            </w:r>
          </w:p>
        </w:tc>
        <w:tc>
          <w:tcPr>
            <w:tcW w:w="1049" w:type="dxa"/>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5</w:t>
            </w:r>
          </w:p>
        </w:tc>
        <w:tc>
          <w:tcPr>
            <w:tcW w:w="558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施工平面图应符合工程实际，布置紧凑，便于施工和管理并符合劳保、安全要求。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313" w:hRule="atLeast"/>
          <w:tblHeader/>
          <w:jc w:val="center"/>
        </w:trPr>
        <w:tc>
          <w:tcPr>
            <w:tcW w:w="73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6</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劳动力需用量计划</w:t>
            </w:r>
          </w:p>
        </w:tc>
        <w:tc>
          <w:tcPr>
            <w:tcW w:w="1049" w:type="dxa"/>
            <w:noWrap w:val="0"/>
            <w:vAlign w:val="center"/>
          </w:tcPr>
          <w:p>
            <w:pPr>
              <w:pStyle w:val="16"/>
              <w:adjustRightInd w:val="0"/>
              <w:snapToGrid w:val="0"/>
              <w:spacing w:line="280" w:lineRule="exact"/>
              <w:rPr>
                <w:rFonts w:hint="eastAsia" w:ascii="仿宋" w:hAnsi="仿宋" w:eastAsia="仿宋"/>
                <w:sz w:val="21"/>
                <w:szCs w:val="21"/>
                <w:lang w:val="en-US" w:eastAsia="zh-CN"/>
              </w:rPr>
            </w:pPr>
            <w:r>
              <w:rPr>
                <w:rFonts w:hint="eastAsia" w:ascii="仿宋" w:hAnsi="仿宋" w:eastAsia="仿宋"/>
                <w:sz w:val="21"/>
                <w:szCs w:val="21"/>
                <w:lang w:val="en-US" w:eastAsia="zh-CN"/>
              </w:rPr>
              <w:t>4</w:t>
            </w:r>
          </w:p>
        </w:tc>
        <w:tc>
          <w:tcPr>
            <w:tcW w:w="5585" w:type="dxa"/>
            <w:vMerge w:val="restart"/>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需用量计划应是根据工程进度计划的安排计算出的，并与工程进度计划相一致。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cantSplit/>
          <w:trHeight w:val="313" w:hRule="atLeast"/>
          <w:tblHeader/>
          <w:jc w:val="center"/>
        </w:trPr>
        <w:tc>
          <w:tcPr>
            <w:tcW w:w="748" w:type="dxa"/>
            <w:gridSpan w:val="2"/>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7</w:t>
            </w:r>
          </w:p>
        </w:tc>
        <w:tc>
          <w:tcPr>
            <w:tcW w:w="2243" w:type="dxa"/>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材料需用量计划</w:t>
            </w:r>
          </w:p>
        </w:tc>
        <w:tc>
          <w:tcPr>
            <w:tcW w:w="1049" w:type="dxa"/>
            <w:noWrap w:val="0"/>
            <w:vAlign w:val="center"/>
          </w:tcPr>
          <w:p>
            <w:pPr>
              <w:pStyle w:val="16"/>
              <w:adjustRightInd w:val="0"/>
              <w:snapToGrid w:val="0"/>
              <w:spacing w:line="280" w:lineRule="exact"/>
              <w:rPr>
                <w:rFonts w:hint="eastAsia" w:ascii="仿宋" w:hAnsi="仿宋" w:eastAsia="仿宋"/>
                <w:sz w:val="21"/>
                <w:szCs w:val="21"/>
                <w:lang w:val="en-US" w:eastAsia="zh-CN"/>
              </w:rPr>
            </w:pPr>
            <w:r>
              <w:rPr>
                <w:rFonts w:hint="eastAsia" w:ascii="仿宋" w:hAnsi="仿宋" w:eastAsia="仿宋"/>
                <w:sz w:val="21"/>
                <w:szCs w:val="21"/>
                <w:lang w:val="en-US" w:eastAsia="zh-CN"/>
              </w:rPr>
              <w:t>4</w:t>
            </w:r>
          </w:p>
        </w:tc>
        <w:tc>
          <w:tcPr>
            <w:tcW w:w="5585" w:type="dxa"/>
            <w:vMerge w:val="continue"/>
            <w:noWrap w:val="0"/>
            <w:vAlign w:val="center"/>
          </w:tcPr>
          <w:p>
            <w:pPr>
              <w:pStyle w:val="16"/>
              <w:adjustRightInd w:val="0"/>
              <w:snapToGrid w:val="0"/>
              <w:spacing w:line="280" w:lineRule="exact"/>
              <w:rPr>
                <w:rFonts w:hint="eastAsia" w:ascii="仿宋" w:hAnsi="仿宋" w:eastAsia="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blHeader/>
          <w:jc w:val="center"/>
        </w:trPr>
        <w:tc>
          <w:tcPr>
            <w:tcW w:w="754" w:type="dxa"/>
            <w:gridSpan w:val="3"/>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8</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机械设备需用量计划</w:t>
            </w:r>
          </w:p>
        </w:tc>
        <w:tc>
          <w:tcPr>
            <w:tcW w:w="1049"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4</w:t>
            </w:r>
          </w:p>
        </w:tc>
        <w:tc>
          <w:tcPr>
            <w:tcW w:w="5585" w:type="dxa"/>
            <w:vMerge w:val="continue"/>
            <w:noWrap w:val="0"/>
            <w:vAlign w:val="center"/>
          </w:tcPr>
          <w:p>
            <w:pPr>
              <w:adjustRightInd w:val="0"/>
              <w:snapToGrid w:val="0"/>
              <w:spacing w:line="280" w:lineRule="exact"/>
              <w:rPr>
                <w:rFonts w:hint="eastAsia" w:ascii="仿宋" w:hAnsi="仿宋"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313" w:hRule="atLeast"/>
          <w:tblHeader/>
          <w:jc w:val="center"/>
        </w:trPr>
        <w:tc>
          <w:tcPr>
            <w:tcW w:w="73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9</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质量保证措施和体系</w:t>
            </w:r>
          </w:p>
        </w:tc>
        <w:tc>
          <w:tcPr>
            <w:tcW w:w="1049" w:type="dxa"/>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10</w:t>
            </w:r>
          </w:p>
        </w:tc>
        <w:tc>
          <w:tcPr>
            <w:tcW w:w="5585" w:type="dxa"/>
            <w:vMerge w:val="restart"/>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szCs w:val="21"/>
              </w:rPr>
              <w:t>保证措施应符合科学的施工规律、国家规定的强制性标准并有针对性，同时要符合实际情况，切实可行</w:t>
            </w:r>
            <w:r>
              <w:rPr>
                <w:rFonts w:hint="eastAsia" w:ascii="仿宋" w:hAnsi="仿宋" w:eastAsia="仿宋"/>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cantSplit/>
          <w:trHeight w:val="313" w:hRule="atLeast"/>
          <w:tblHeader/>
          <w:jc w:val="center"/>
        </w:trPr>
        <w:tc>
          <w:tcPr>
            <w:tcW w:w="748" w:type="dxa"/>
            <w:gridSpan w:val="2"/>
            <w:noWrap w:val="0"/>
            <w:vAlign w:val="center"/>
          </w:tcPr>
          <w:p>
            <w:pPr>
              <w:adjustRightInd w:val="0"/>
              <w:snapToGrid w:val="0"/>
              <w:spacing w:line="280" w:lineRule="exact"/>
              <w:rPr>
                <w:rFonts w:ascii="仿宋" w:hAnsi="仿宋" w:eastAsia="仿宋"/>
                <w:bCs/>
                <w:szCs w:val="21"/>
              </w:rPr>
            </w:pPr>
            <w:r>
              <w:rPr>
                <w:rFonts w:ascii="仿宋" w:hAnsi="仿宋" w:eastAsia="仿宋"/>
                <w:bCs/>
                <w:szCs w:val="21"/>
              </w:rPr>
              <w:t>10</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工期保证措施和体系</w:t>
            </w:r>
          </w:p>
        </w:tc>
        <w:tc>
          <w:tcPr>
            <w:tcW w:w="1049" w:type="dxa"/>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10</w:t>
            </w:r>
          </w:p>
        </w:tc>
        <w:tc>
          <w:tcPr>
            <w:tcW w:w="5585" w:type="dxa"/>
            <w:vMerge w:val="continue"/>
            <w:noWrap w:val="0"/>
            <w:vAlign w:val="center"/>
          </w:tcPr>
          <w:p>
            <w:pPr>
              <w:adjustRightInd w:val="0"/>
              <w:snapToGrid w:val="0"/>
              <w:spacing w:line="280" w:lineRule="exact"/>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626" w:hRule="atLeast"/>
          <w:tblHeader/>
          <w:jc w:val="center"/>
        </w:trPr>
        <w:tc>
          <w:tcPr>
            <w:tcW w:w="73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11</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降低成本技术组织措施和保证体系</w:t>
            </w:r>
          </w:p>
        </w:tc>
        <w:tc>
          <w:tcPr>
            <w:tcW w:w="1049"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10</w:t>
            </w:r>
          </w:p>
        </w:tc>
        <w:tc>
          <w:tcPr>
            <w:tcW w:w="5585" w:type="dxa"/>
            <w:vMerge w:val="restart"/>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保证措施应符合</w:t>
            </w:r>
            <w:r>
              <w:rPr>
                <w:rFonts w:hint="eastAsia" w:ascii="仿宋" w:hAnsi="仿宋" w:eastAsia="仿宋"/>
                <w:szCs w:val="21"/>
              </w:rPr>
              <w:t>国家规定的强制性标准并有针对性，同时要符合实际情况，切实可行。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cantSplit/>
          <w:trHeight w:val="626" w:hRule="atLeast"/>
          <w:tblHeader/>
          <w:jc w:val="center"/>
        </w:trPr>
        <w:tc>
          <w:tcPr>
            <w:tcW w:w="748" w:type="dxa"/>
            <w:gridSpan w:val="2"/>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12</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安全保证措施和体系</w:t>
            </w:r>
          </w:p>
        </w:tc>
        <w:tc>
          <w:tcPr>
            <w:tcW w:w="1049"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10</w:t>
            </w:r>
          </w:p>
        </w:tc>
        <w:tc>
          <w:tcPr>
            <w:tcW w:w="5585" w:type="dxa"/>
            <w:vMerge w:val="continue"/>
            <w:noWrap w:val="0"/>
            <w:vAlign w:val="center"/>
          </w:tcPr>
          <w:p>
            <w:pPr>
              <w:adjustRightInd w:val="0"/>
              <w:snapToGrid w:val="0"/>
              <w:spacing w:line="280" w:lineRule="exact"/>
              <w:rPr>
                <w:rFonts w:hint="eastAsia" w:ascii="仿宋" w:hAnsi="仿宋"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90" w:hRule="atLeast"/>
          <w:tblHeader/>
          <w:jc w:val="center"/>
        </w:trPr>
        <w:tc>
          <w:tcPr>
            <w:tcW w:w="735"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13</w:t>
            </w:r>
          </w:p>
        </w:tc>
        <w:tc>
          <w:tcPr>
            <w:tcW w:w="2243" w:type="dxa"/>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现场文明施工措施</w:t>
            </w:r>
          </w:p>
        </w:tc>
        <w:tc>
          <w:tcPr>
            <w:tcW w:w="1049" w:type="dxa"/>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10</w:t>
            </w:r>
          </w:p>
        </w:tc>
        <w:tc>
          <w:tcPr>
            <w:tcW w:w="5585" w:type="dxa"/>
            <w:noWrap w:val="0"/>
            <w:vAlign w:val="center"/>
          </w:tcPr>
          <w:p>
            <w:pPr>
              <w:adjustRightInd w:val="0"/>
              <w:snapToGrid w:val="0"/>
              <w:spacing w:line="280" w:lineRule="exact"/>
              <w:rPr>
                <w:rFonts w:hint="eastAsia" w:ascii="仿宋" w:hAnsi="仿宋" w:eastAsia="仿宋"/>
                <w:b/>
                <w:szCs w:val="21"/>
              </w:rPr>
            </w:pPr>
            <w:r>
              <w:rPr>
                <w:rFonts w:hint="eastAsia" w:ascii="仿宋" w:hAnsi="仿宋" w:eastAsia="仿宋"/>
                <w:szCs w:val="21"/>
              </w:rPr>
              <w:t>措施应符合工程实际情况，切实可行。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296" w:hRule="atLeast"/>
          <w:tblHeader/>
          <w:jc w:val="center"/>
        </w:trPr>
        <w:tc>
          <w:tcPr>
            <w:tcW w:w="2978" w:type="dxa"/>
            <w:gridSpan w:val="2"/>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合计</w:t>
            </w:r>
          </w:p>
        </w:tc>
        <w:tc>
          <w:tcPr>
            <w:tcW w:w="6634" w:type="dxa"/>
            <w:gridSpan w:val="2"/>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331" w:hRule="atLeast"/>
          <w:tblHeader/>
          <w:jc w:val="center"/>
        </w:trPr>
        <w:tc>
          <w:tcPr>
            <w:tcW w:w="2978" w:type="dxa"/>
            <w:gridSpan w:val="2"/>
            <w:noWrap w:val="0"/>
            <w:vAlign w:val="center"/>
          </w:tcPr>
          <w:p>
            <w:pPr>
              <w:adjustRightInd w:val="0"/>
              <w:snapToGrid w:val="0"/>
              <w:spacing w:line="280" w:lineRule="exact"/>
              <w:rPr>
                <w:rFonts w:hint="eastAsia" w:ascii="仿宋" w:hAnsi="仿宋" w:eastAsia="仿宋"/>
                <w:bCs/>
                <w:szCs w:val="21"/>
              </w:rPr>
            </w:pPr>
            <w:r>
              <w:rPr>
                <w:rFonts w:hint="eastAsia" w:ascii="仿宋" w:hAnsi="仿宋" w:eastAsia="仿宋"/>
                <w:bCs/>
                <w:szCs w:val="21"/>
              </w:rPr>
              <w:t>得分</w:t>
            </w:r>
          </w:p>
        </w:tc>
        <w:tc>
          <w:tcPr>
            <w:tcW w:w="6634" w:type="dxa"/>
            <w:gridSpan w:val="2"/>
            <w:noWrap w:val="0"/>
            <w:vAlign w:val="center"/>
          </w:tcPr>
          <w:p>
            <w:pPr>
              <w:adjustRightInd w:val="0"/>
              <w:snapToGrid w:val="0"/>
              <w:spacing w:line="280" w:lineRule="exact"/>
              <w:rPr>
                <w:rFonts w:hint="eastAsia" w:ascii="仿宋" w:hAnsi="仿宋" w:eastAsia="仿宋"/>
                <w:szCs w:val="21"/>
                <w:lang w:eastAsia="zh-CN"/>
              </w:rPr>
            </w:pPr>
            <w:r>
              <w:rPr>
                <w:rFonts w:hint="eastAsia" w:ascii="仿宋" w:hAnsi="仿宋" w:eastAsia="仿宋"/>
                <w:szCs w:val="21"/>
              </w:rPr>
              <w:t>合计×0.</w:t>
            </w:r>
            <w:r>
              <w:rPr>
                <w:rFonts w:hint="default" w:ascii="仿宋" w:hAnsi="仿宋" w:eastAsia="仿宋"/>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9" w:type="dxa"/>
          <w:cantSplit/>
          <w:trHeight w:val="1583" w:hRule="atLeast"/>
          <w:tblHeader/>
          <w:jc w:val="center"/>
        </w:trPr>
        <w:tc>
          <w:tcPr>
            <w:tcW w:w="9612" w:type="dxa"/>
            <w:gridSpan w:val="4"/>
            <w:noWrap w:val="0"/>
            <w:vAlign w:val="center"/>
          </w:tcPr>
          <w:p>
            <w:pPr>
              <w:adjustRightInd w:val="0"/>
              <w:snapToGrid w:val="0"/>
              <w:spacing w:line="280" w:lineRule="exact"/>
              <w:rPr>
                <w:rFonts w:hint="eastAsia" w:ascii="仿宋" w:hAnsi="仿宋" w:eastAsia="仿宋"/>
                <w:szCs w:val="21"/>
              </w:rPr>
            </w:pPr>
            <w:r>
              <w:rPr>
                <w:rFonts w:hint="eastAsia" w:ascii="仿宋" w:hAnsi="仿宋" w:eastAsia="仿宋"/>
                <w:szCs w:val="21"/>
              </w:rPr>
              <w:t>注：1、各评委应认真了解本招标文件和工程有关情况后，做出须自己负责的评审。</w:t>
            </w:r>
          </w:p>
          <w:p>
            <w:pPr>
              <w:adjustRightInd w:val="0"/>
              <w:snapToGrid w:val="0"/>
              <w:spacing w:line="280" w:lineRule="exact"/>
              <w:ind w:firstLine="420" w:firstLineChars="200"/>
              <w:rPr>
                <w:rFonts w:hint="eastAsia" w:ascii="仿宋" w:hAnsi="仿宋" w:eastAsia="仿宋"/>
                <w:szCs w:val="21"/>
              </w:rPr>
            </w:pPr>
            <w:r>
              <w:rPr>
                <w:rFonts w:hint="eastAsia" w:ascii="仿宋" w:hAnsi="仿宋" w:eastAsia="仿宋"/>
                <w:szCs w:val="21"/>
              </w:rPr>
              <w:t>2、技术标评审标准满分为100分，占总分</w:t>
            </w:r>
            <w:r>
              <w:rPr>
                <w:rFonts w:hint="default" w:ascii="仿宋" w:hAnsi="仿宋" w:eastAsia="仿宋"/>
                <w:szCs w:val="21"/>
              </w:rPr>
              <w:t>5</w:t>
            </w:r>
            <w:r>
              <w:rPr>
                <w:rFonts w:hint="eastAsia" w:ascii="仿宋" w:hAnsi="仿宋" w:eastAsia="仿宋"/>
                <w:szCs w:val="21"/>
              </w:rPr>
              <w:t>0%。</w:t>
            </w:r>
          </w:p>
          <w:p>
            <w:pPr>
              <w:adjustRightInd w:val="0"/>
              <w:snapToGrid w:val="0"/>
              <w:spacing w:line="280" w:lineRule="exact"/>
              <w:ind w:firstLine="420" w:firstLineChars="200"/>
              <w:rPr>
                <w:rFonts w:hint="eastAsia" w:ascii="仿宋" w:hAnsi="仿宋" w:eastAsia="仿宋"/>
                <w:szCs w:val="21"/>
              </w:rPr>
            </w:pPr>
            <w:r>
              <w:rPr>
                <w:rFonts w:hint="eastAsia" w:ascii="仿宋" w:hAnsi="仿宋" w:eastAsia="仿宋"/>
                <w:szCs w:val="21"/>
              </w:rPr>
              <w:t>3、每项内容扣分比例超过20%，请评委依据投标文件在评委评审意见书中写明原因。</w:t>
            </w:r>
          </w:p>
        </w:tc>
      </w:tr>
    </w:tbl>
    <w:p>
      <w:pPr>
        <w:pStyle w:val="8"/>
        <w:rPr>
          <w:rFonts w:hint="eastAsia"/>
          <w:b/>
          <w:bCs/>
          <w:color w:val="C00000"/>
          <w:highlight w:val="yellow"/>
          <w:lang w:val="en-US" w:eastAsia="zh-CN"/>
        </w:rPr>
      </w:pPr>
    </w:p>
    <w:p>
      <w:pPr>
        <w:rPr>
          <w:rFonts w:hint="eastAsia" w:ascii="仿宋" w:hAnsi="仿宋" w:eastAsia="仿宋"/>
          <w:b/>
          <w:bCs/>
          <w:szCs w:val="21"/>
        </w:rPr>
      </w:pPr>
      <w:r>
        <w:rPr>
          <w:rFonts w:hint="eastAsia" w:ascii="仿宋" w:hAnsi="仿宋" w:eastAsia="仿宋"/>
          <w:b/>
          <w:bCs/>
          <w:szCs w:val="21"/>
        </w:rPr>
        <w:br w:type="page"/>
      </w:r>
    </w:p>
    <w:p>
      <w:pPr>
        <w:numPr>
          <w:ilvl w:val="0"/>
          <w:numId w:val="2"/>
        </w:numPr>
        <w:autoSpaceDE w:val="0"/>
        <w:autoSpaceDN w:val="0"/>
        <w:adjustRightInd w:val="0"/>
        <w:snapToGrid w:val="0"/>
        <w:spacing w:line="280" w:lineRule="exact"/>
        <w:jc w:val="both"/>
        <w:outlineLvl w:val="1"/>
        <w:rPr>
          <w:rFonts w:hint="eastAsia" w:ascii="仿宋" w:hAnsi="仿宋" w:eastAsia="仿宋" w:cs="宋体"/>
          <w:b/>
          <w:bCs/>
          <w:kern w:val="2"/>
          <w:sz w:val="28"/>
          <w:szCs w:val="22"/>
          <w:lang w:val="en-US" w:eastAsia="zh-CN" w:bidi="ar-SA"/>
        </w:rPr>
      </w:pPr>
      <w:r>
        <w:rPr>
          <w:rFonts w:hint="eastAsia" w:ascii="仿宋" w:hAnsi="仿宋" w:eastAsia="仿宋" w:cs="宋体"/>
          <w:b/>
          <w:bCs/>
          <w:kern w:val="2"/>
          <w:sz w:val="28"/>
          <w:szCs w:val="22"/>
          <w:lang w:val="en-US" w:eastAsia="zh-CN" w:bidi="ar-SA"/>
        </w:rPr>
        <w:t>商务标评审标准</w:t>
      </w:r>
    </w:p>
    <w:p>
      <w:pPr>
        <w:numPr>
          <w:ilvl w:val="0"/>
          <w:numId w:val="0"/>
        </w:numPr>
        <w:outlineLvl w:val="9"/>
        <w:rPr>
          <w:rFonts w:hint="eastAsia"/>
          <w:lang w:val="en-US" w:eastAsia="zh-CN"/>
        </w:rPr>
      </w:pPr>
    </w:p>
    <w:tbl>
      <w:tblPr>
        <w:tblStyle w:val="18"/>
        <w:tblW w:w="99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0"/>
        <w:gridCol w:w="1753"/>
        <w:gridCol w:w="906"/>
        <w:gridCol w:w="658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3" w:hRule="atLeast"/>
          <w:jc w:val="center"/>
        </w:trPr>
        <w:tc>
          <w:tcPr>
            <w:tcW w:w="710" w:type="dxa"/>
            <w:tcBorders>
              <w:top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jc w:val="center"/>
              <w:rPr>
                <w:rFonts w:ascii="仿宋" w:hAnsi="仿宋" w:eastAsia="仿宋"/>
                <w:szCs w:val="21"/>
              </w:rPr>
            </w:pPr>
            <w:r>
              <w:rPr>
                <w:rFonts w:hint="eastAsia" w:ascii="仿宋" w:hAnsi="仿宋" w:eastAsia="仿宋"/>
                <w:szCs w:val="21"/>
                <w:lang w:val="zh-CN"/>
              </w:rPr>
              <w:t>序号</w:t>
            </w:r>
          </w:p>
        </w:tc>
        <w:tc>
          <w:tcPr>
            <w:tcW w:w="175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jc w:val="center"/>
              <w:rPr>
                <w:rFonts w:ascii="仿宋" w:hAnsi="仿宋" w:eastAsia="仿宋"/>
                <w:szCs w:val="21"/>
              </w:rPr>
            </w:pPr>
            <w:r>
              <w:rPr>
                <w:rFonts w:hint="eastAsia" w:ascii="仿宋" w:hAnsi="仿宋" w:eastAsia="仿宋"/>
                <w:szCs w:val="21"/>
                <w:lang w:val="zh-CN"/>
              </w:rPr>
              <w:t>评审项目</w:t>
            </w:r>
          </w:p>
        </w:tc>
        <w:tc>
          <w:tcPr>
            <w:tcW w:w="906" w:type="dxa"/>
            <w:tcBorders>
              <w:top w:val="single" w:color="auto" w:sz="4" w:space="0"/>
              <w:left w:val="single" w:color="auto" w:sz="4" w:space="0"/>
              <w:bottom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rPr>
            </w:pPr>
            <w:r>
              <w:rPr>
                <w:rFonts w:hint="eastAsia" w:ascii="仿宋" w:hAnsi="仿宋" w:eastAsia="仿宋"/>
                <w:szCs w:val="21"/>
              </w:rPr>
              <w:t>标准分</w:t>
            </w:r>
          </w:p>
        </w:tc>
        <w:tc>
          <w:tcPr>
            <w:tcW w:w="6589" w:type="dxa"/>
            <w:tcBorders>
              <w:top w:val="single" w:color="auto" w:sz="4" w:space="0"/>
              <w:left w:val="single" w:color="auto" w:sz="4" w:space="0"/>
              <w:bottom w:val="single" w:color="auto" w:sz="4" w:space="0"/>
            </w:tcBorders>
            <w:noWrap w:val="0"/>
            <w:vAlign w:val="center"/>
          </w:tcPr>
          <w:p>
            <w:pPr>
              <w:autoSpaceDE w:val="0"/>
              <w:autoSpaceDN w:val="0"/>
              <w:adjustRightInd w:val="0"/>
              <w:snapToGrid w:val="0"/>
              <w:spacing w:line="360" w:lineRule="auto"/>
              <w:jc w:val="center"/>
              <w:rPr>
                <w:rFonts w:ascii="仿宋" w:hAnsi="仿宋" w:eastAsia="仿宋"/>
                <w:szCs w:val="21"/>
              </w:rPr>
            </w:pPr>
            <w:r>
              <w:rPr>
                <w:rFonts w:hint="eastAsia" w:ascii="仿宋" w:hAnsi="仿宋" w:eastAsia="仿宋"/>
                <w:szCs w:val="21"/>
                <w:lang w:val="zh-CN"/>
              </w:rPr>
              <w:t>评审内容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9" w:hRule="atLeast"/>
          <w:jc w:val="center"/>
        </w:trPr>
        <w:tc>
          <w:tcPr>
            <w:tcW w:w="710" w:type="dxa"/>
            <w:tcBorders>
              <w:top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lang w:val="zh-CN"/>
              </w:rPr>
            </w:pPr>
            <w:r>
              <w:rPr>
                <w:rFonts w:ascii="仿宋" w:hAnsi="仿宋" w:eastAsia="仿宋"/>
                <w:szCs w:val="21"/>
                <w:lang w:val="zh-CN"/>
              </w:rPr>
              <w:t>1</w:t>
            </w:r>
          </w:p>
        </w:tc>
        <w:tc>
          <w:tcPr>
            <w:tcW w:w="175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lang w:val="en-US" w:eastAsia="zh-Hans"/>
              </w:rPr>
            </w:pPr>
            <w:r>
              <w:rPr>
                <w:rFonts w:hint="eastAsia" w:ascii="仿宋" w:hAnsi="仿宋" w:eastAsia="仿宋"/>
                <w:szCs w:val="21"/>
                <w:lang w:val="en-US" w:eastAsia="zh-Hans"/>
              </w:rPr>
              <w:t>人员配置</w:t>
            </w:r>
          </w:p>
        </w:tc>
        <w:tc>
          <w:tcPr>
            <w:tcW w:w="906" w:type="dxa"/>
            <w:tcBorders>
              <w:top w:val="single" w:color="auto" w:sz="4" w:space="0"/>
              <w:left w:val="single" w:color="auto" w:sz="4" w:space="0"/>
              <w:bottom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lang w:val="zh-CN"/>
              </w:rPr>
            </w:pPr>
            <w:r>
              <w:rPr>
                <w:rFonts w:hint="default" w:ascii="仿宋" w:hAnsi="仿宋" w:eastAsia="仿宋"/>
                <w:szCs w:val="21"/>
              </w:rPr>
              <w:t>15</w:t>
            </w:r>
          </w:p>
        </w:tc>
        <w:tc>
          <w:tcPr>
            <w:tcW w:w="6589" w:type="dxa"/>
            <w:tcBorders>
              <w:top w:val="single" w:color="auto" w:sz="4" w:space="0"/>
              <w:left w:val="single" w:color="auto" w:sz="4" w:space="0"/>
              <w:bottom w:val="single" w:color="auto" w:sz="4" w:space="0"/>
            </w:tcBorders>
            <w:noWrap w:val="0"/>
            <w:vAlign w:val="center"/>
          </w:tcPr>
          <w:p>
            <w:pPr>
              <w:pStyle w:val="7"/>
              <w:numPr>
                <w:ilvl w:val="0"/>
                <w:numId w:val="0"/>
              </w:numPr>
              <w:rPr>
                <w:rFonts w:hint="eastAsia" w:ascii="仿宋" w:hAnsi="仿宋" w:eastAsia="仿宋" w:cstheme="minorBidi"/>
                <w:kern w:val="2"/>
                <w:sz w:val="21"/>
                <w:szCs w:val="21"/>
                <w:lang w:val="zh-CN" w:eastAsia="zh-Hans" w:bidi="ar-SA"/>
              </w:rPr>
            </w:pPr>
            <w:r>
              <w:rPr>
                <w:rFonts w:hint="eastAsia" w:ascii="仿宋" w:hAnsi="仿宋" w:eastAsia="仿宋" w:cstheme="minorBidi"/>
                <w:kern w:val="2"/>
                <w:sz w:val="21"/>
                <w:szCs w:val="21"/>
                <w:lang w:val="zh-CN" w:eastAsia="zh-Hans" w:bidi="ar-SA"/>
              </w:rPr>
              <w:t>主要参与技术人员：</w:t>
            </w:r>
          </w:p>
          <w:p>
            <w:pPr>
              <w:pStyle w:val="7"/>
              <w:rPr>
                <w:rFonts w:hint="eastAsia" w:ascii="仿宋" w:hAnsi="仿宋" w:eastAsia="仿宋" w:cstheme="minorBidi"/>
                <w:kern w:val="2"/>
                <w:sz w:val="21"/>
                <w:szCs w:val="21"/>
                <w:lang w:val="zh-CN" w:eastAsia="zh-Hans" w:bidi="ar-SA"/>
              </w:rPr>
            </w:pPr>
            <w:r>
              <w:rPr>
                <w:rFonts w:hint="default" w:ascii="仿宋" w:hAnsi="仿宋" w:eastAsia="仿宋" w:cstheme="minorBidi"/>
                <w:kern w:val="2"/>
                <w:sz w:val="21"/>
                <w:szCs w:val="21"/>
                <w:lang w:eastAsia="zh-Hans" w:bidi="ar-SA"/>
              </w:rPr>
              <w:t>（1）</w:t>
            </w:r>
            <w:r>
              <w:rPr>
                <w:rFonts w:hint="eastAsia" w:ascii="仿宋" w:hAnsi="仿宋" w:eastAsia="仿宋" w:cstheme="minorBidi"/>
                <w:kern w:val="2"/>
                <w:sz w:val="21"/>
                <w:szCs w:val="21"/>
                <w:lang w:val="zh-CN" w:eastAsia="zh-Hans" w:bidi="ar-SA"/>
              </w:rPr>
              <w:t>技术人员配置中具有</w:t>
            </w:r>
            <w:r>
              <w:rPr>
                <w:rFonts w:hint="eastAsia" w:ascii="仿宋" w:hAnsi="仿宋" w:eastAsia="仿宋" w:cstheme="minorBidi"/>
                <w:kern w:val="2"/>
                <w:sz w:val="21"/>
                <w:szCs w:val="21"/>
                <w:lang w:val="en-US" w:eastAsia="zh-CN" w:bidi="ar-SA"/>
              </w:rPr>
              <w:t>与本项目相关专业</w:t>
            </w:r>
            <w:r>
              <w:rPr>
                <w:rFonts w:hint="default" w:ascii="仿宋" w:hAnsi="仿宋" w:eastAsia="仿宋" w:cstheme="minorBidi"/>
                <w:kern w:val="2"/>
                <w:sz w:val="21"/>
                <w:szCs w:val="21"/>
                <w:lang w:eastAsia="zh-CN" w:bidi="ar-SA"/>
              </w:rPr>
              <w:t>（</w:t>
            </w:r>
            <w:r>
              <w:rPr>
                <w:rFonts w:hint="eastAsia" w:ascii="仿宋" w:hAnsi="仿宋" w:eastAsia="仿宋" w:cstheme="minorBidi"/>
                <w:kern w:val="2"/>
                <w:sz w:val="21"/>
                <w:szCs w:val="21"/>
                <w:lang w:val="en-US" w:eastAsia="zh-Hans" w:bidi="ar-SA"/>
              </w:rPr>
              <w:t>结构或建筑</w:t>
            </w:r>
            <w:r>
              <w:rPr>
                <w:rFonts w:hint="default" w:ascii="仿宋" w:hAnsi="仿宋" w:eastAsia="仿宋" w:cstheme="minorBidi"/>
                <w:kern w:val="2"/>
                <w:sz w:val="21"/>
                <w:szCs w:val="21"/>
                <w:lang w:eastAsia="zh-CN" w:bidi="ar-SA"/>
              </w:rPr>
              <w:t>）</w:t>
            </w:r>
            <w:r>
              <w:rPr>
                <w:rFonts w:hint="eastAsia" w:ascii="仿宋" w:hAnsi="仿宋" w:eastAsia="仿宋" w:cstheme="minorBidi"/>
                <w:kern w:val="2"/>
                <w:sz w:val="21"/>
                <w:szCs w:val="21"/>
                <w:lang w:val="en-US" w:eastAsia="zh-CN" w:bidi="ar-SA"/>
              </w:rPr>
              <w:t>的</w:t>
            </w:r>
            <w:r>
              <w:rPr>
                <w:rFonts w:hint="eastAsia" w:ascii="仿宋" w:hAnsi="仿宋" w:eastAsia="仿宋" w:cstheme="minorBidi"/>
                <w:kern w:val="2"/>
                <w:sz w:val="21"/>
                <w:szCs w:val="21"/>
                <w:lang w:val="zh-CN" w:eastAsia="zh-Hans" w:bidi="ar-SA"/>
              </w:rPr>
              <w:t>高级或以上职称</w:t>
            </w:r>
            <w:r>
              <w:rPr>
                <w:rFonts w:hint="eastAsia" w:ascii="仿宋" w:hAnsi="仿宋" w:eastAsia="仿宋" w:cstheme="minorBidi"/>
                <w:kern w:val="2"/>
                <w:sz w:val="21"/>
                <w:szCs w:val="21"/>
                <w:lang w:val="en-US" w:eastAsia="zh-CN" w:bidi="ar-SA"/>
              </w:rPr>
              <w:t>人员</w:t>
            </w:r>
            <w:r>
              <w:rPr>
                <w:rFonts w:hint="eastAsia" w:ascii="仿宋" w:hAnsi="仿宋" w:eastAsia="仿宋" w:cstheme="minorBidi"/>
                <w:kern w:val="2"/>
                <w:sz w:val="21"/>
                <w:szCs w:val="21"/>
                <w:lang w:val="zh-CN" w:eastAsia="zh-Hans" w:bidi="ar-SA"/>
              </w:rPr>
              <w:t>得</w:t>
            </w:r>
            <w:r>
              <w:rPr>
                <w:rFonts w:hint="eastAsia" w:ascii="仿宋" w:hAnsi="仿宋" w:eastAsia="仿宋" w:cstheme="minorBidi"/>
                <w:kern w:val="2"/>
                <w:sz w:val="21"/>
                <w:szCs w:val="21"/>
                <w:lang w:val="en-US" w:eastAsia="zh-CN" w:bidi="ar-SA"/>
              </w:rPr>
              <w:t>5</w:t>
            </w:r>
            <w:r>
              <w:rPr>
                <w:rFonts w:hint="eastAsia" w:ascii="仿宋" w:hAnsi="仿宋" w:eastAsia="仿宋" w:cstheme="minorBidi"/>
                <w:kern w:val="2"/>
                <w:sz w:val="21"/>
                <w:szCs w:val="21"/>
                <w:lang w:val="zh-CN" w:eastAsia="zh-Hans" w:bidi="ar-SA"/>
              </w:rPr>
              <w:t>分，</w:t>
            </w:r>
            <w:r>
              <w:rPr>
                <w:rFonts w:hint="eastAsia" w:ascii="仿宋" w:hAnsi="仿宋" w:eastAsia="仿宋" w:cstheme="minorBidi"/>
                <w:kern w:val="2"/>
                <w:sz w:val="21"/>
                <w:szCs w:val="21"/>
                <w:lang w:val="en-US" w:eastAsia="zh-CN" w:bidi="ar-SA"/>
              </w:rPr>
              <w:t>具有与本项目</w:t>
            </w:r>
            <w:r>
              <w:rPr>
                <w:rFonts w:hint="default" w:ascii="仿宋" w:hAnsi="仿宋" w:eastAsia="仿宋" w:cstheme="minorBidi"/>
                <w:kern w:val="2"/>
                <w:sz w:val="21"/>
                <w:szCs w:val="21"/>
                <w:lang w:val="zh-CN" w:eastAsia="zh-CN" w:bidi="ar-SA"/>
              </w:rPr>
              <w:t>（</w:t>
            </w:r>
            <w:r>
              <w:rPr>
                <w:rFonts w:hint="eastAsia" w:ascii="仿宋" w:hAnsi="仿宋" w:eastAsia="仿宋" w:cstheme="minorBidi"/>
                <w:kern w:val="2"/>
                <w:sz w:val="21"/>
                <w:szCs w:val="21"/>
                <w:lang w:val="en-US" w:eastAsia="zh-Hans" w:bidi="ar-SA"/>
              </w:rPr>
              <w:t>结构或建筑</w:t>
            </w:r>
            <w:r>
              <w:rPr>
                <w:rFonts w:hint="default" w:ascii="仿宋" w:hAnsi="仿宋" w:eastAsia="仿宋" w:cstheme="minorBidi"/>
                <w:kern w:val="2"/>
                <w:sz w:val="21"/>
                <w:szCs w:val="21"/>
                <w:lang w:val="zh-CN" w:eastAsia="zh-CN" w:bidi="ar-SA"/>
              </w:rPr>
              <w:t>）</w:t>
            </w:r>
            <w:r>
              <w:rPr>
                <w:rFonts w:hint="eastAsia" w:ascii="仿宋" w:hAnsi="仿宋" w:eastAsia="仿宋" w:cstheme="minorBidi"/>
                <w:kern w:val="2"/>
                <w:sz w:val="21"/>
                <w:szCs w:val="21"/>
                <w:lang w:val="en-US" w:eastAsia="zh-CN" w:bidi="ar-SA"/>
              </w:rPr>
              <w:t>相关专业的中级职称人员得2分，不累计得分</w:t>
            </w:r>
            <w:r>
              <w:rPr>
                <w:rFonts w:hint="eastAsia" w:ascii="仿宋" w:hAnsi="仿宋" w:eastAsia="仿宋" w:cstheme="minorBidi"/>
                <w:kern w:val="2"/>
                <w:sz w:val="21"/>
                <w:szCs w:val="21"/>
                <w:lang w:val="zh-CN" w:eastAsia="zh-Hans" w:bidi="ar-SA"/>
              </w:rPr>
              <w:t>；</w:t>
            </w:r>
          </w:p>
          <w:p>
            <w:pPr>
              <w:adjustRightInd w:val="0"/>
              <w:snapToGrid w:val="0"/>
              <w:spacing w:line="360" w:lineRule="exact"/>
              <w:jc w:val="left"/>
              <w:rPr>
                <w:rFonts w:hint="eastAsia" w:ascii="仿宋" w:hAnsi="仿宋" w:eastAsia="仿宋" w:cstheme="minorBidi"/>
                <w:kern w:val="2"/>
                <w:sz w:val="21"/>
                <w:szCs w:val="21"/>
                <w:lang w:val="zh-CN" w:eastAsia="zh-Hans" w:bidi="ar-SA"/>
              </w:rPr>
            </w:pPr>
            <w:r>
              <w:rPr>
                <w:rFonts w:hint="default" w:ascii="仿宋" w:hAnsi="仿宋" w:eastAsia="仿宋" w:cstheme="minorBidi"/>
                <w:kern w:val="2"/>
                <w:sz w:val="21"/>
                <w:szCs w:val="21"/>
                <w:lang w:val="zh-CN" w:eastAsia="zh-Hans" w:bidi="ar-SA"/>
              </w:rPr>
              <w:t>（</w:t>
            </w:r>
            <w:r>
              <w:rPr>
                <w:rFonts w:hint="default" w:ascii="仿宋" w:hAnsi="仿宋" w:eastAsia="仿宋" w:cstheme="minorBidi"/>
                <w:kern w:val="2"/>
                <w:sz w:val="21"/>
                <w:szCs w:val="21"/>
                <w:lang w:eastAsia="zh-Hans" w:bidi="ar-SA"/>
              </w:rPr>
              <w:t>2</w:t>
            </w:r>
            <w:r>
              <w:rPr>
                <w:rFonts w:hint="default" w:ascii="仿宋" w:hAnsi="仿宋" w:eastAsia="仿宋" w:cstheme="minorBidi"/>
                <w:kern w:val="2"/>
                <w:sz w:val="21"/>
                <w:szCs w:val="21"/>
                <w:lang w:val="zh-CN" w:eastAsia="zh-Hans" w:bidi="ar-SA"/>
              </w:rPr>
              <w:t>）</w:t>
            </w:r>
            <w:r>
              <w:rPr>
                <w:rFonts w:hint="eastAsia" w:ascii="仿宋" w:hAnsi="仿宋" w:eastAsia="仿宋" w:cstheme="minorBidi"/>
                <w:kern w:val="2"/>
                <w:sz w:val="21"/>
                <w:szCs w:val="21"/>
                <w:lang w:val="zh-CN" w:eastAsia="zh-Hans" w:bidi="ar-SA"/>
              </w:rPr>
              <w:t>技术人员配置</w:t>
            </w:r>
            <w:r>
              <w:rPr>
                <w:rFonts w:hint="eastAsia" w:ascii="仿宋" w:hAnsi="仿宋" w:eastAsia="仿宋" w:cstheme="minorBidi"/>
                <w:kern w:val="2"/>
                <w:sz w:val="21"/>
                <w:szCs w:val="21"/>
                <w:lang w:val="en-US" w:eastAsia="zh-CN" w:bidi="ar-SA"/>
              </w:rPr>
              <w:t>须持有二级建造师注册证书或持有文物保护责任工程师注册证书（近现代项执业资格）。其</w:t>
            </w:r>
            <w:r>
              <w:rPr>
                <w:rFonts w:hint="eastAsia" w:ascii="仿宋" w:hAnsi="仿宋" w:eastAsia="仿宋" w:cstheme="minorBidi"/>
                <w:kern w:val="2"/>
                <w:sz w:val="21"/>
                <w:szCs w:val="21"/>
                <w:lang w:val="zh-CN" w:eastAsia="zh-Hans" w:bidi="ar-SA"/>
              </w:rPr>
              <w:t>中具有</w:t>
            </w:r>
            <w:r>
              <w:rPr>
                <w:rFonts w:hint="eastAsia" w:ascii="仿宋" w:hAnsi="仿宋" w:eastAsia="仿宋" w:cstheme="minorBidi"/>
                <w:kern w:val="2"/>
                <w:sz w:val="21"/>
                <w:szCs w:val="21"/>
                <w:lang w:val="en-US" w:eastAsia="zh-Hans" w:bidi="ar-SA"/>
              </w:rPr>
              <w:t>一级建造师注册证书</w:t>
            </w:r>
            <w:r>
              <w:rPr>
                <w:rFonts w:hint="default" w:ascii="仿宋" w:hAnsi="仿宋" w:eastAsia="仿宋" w:cstheme="minorBidi"/>
                <w:kern w:val="2"/>
                <w:sz w:val="21"/>
                <w:szCs w:val="21"/>
                <w:lang w:eastAsia="zh-Hans" w:bidi="ar-SA"/>
              </w:rPr>
              <w:t>（</w:t>
            </w:r>
            <w:r>
              <w:rPr>
                <w:rFonts w:hint="eastAsia" w:ascii="仿宋" w:hAnsi="仿宋" w:eastAsia="仿宋" w:cstheme="minorBidi"/>
                <w:kern w:val="2"/>
                <w:sz w:val="21"/>
                <w:szCs w:val="21"/>
                <w:lang w:val="en-US" w:eastAsia="zh-Hans" w:bidi="ar-SA"/>
              </w:rPr>
              <w:t>建筑工程相关</w:t>
            </w:r>
            <w:r>
              <w:rPr>
                <w:rFonts w:hint="default" w:ascii="仿宋" w:hAnsi="仿宋" w:eastAsia="仿宋" w:cstheme="minorBidi"/>
                <w:kern w:val="2"/>
                <w:sz w:val="21"/>
                <w:szCs w:val="21"/>
                <w:lang w:eastAsia="zh-Hans" w:bidi="ar-SA"/>
              </w:rPr>
              <w:t>）</w:t>
            </w:r>
            <w:r>
              <w:rPr>
                <w:rFonts w:hint="eastAsia" w:ascii="仿宋" w:hAnsi="仿宋" w:eastAsia="仿宋" w:cstheme="minorBidi"/>
                <w:kern w:val="2"/>
                <w:sz w:val="21"/>
                <w:szCs w:val="21"/>
                <w:lang w:val="zh-CN" w:eastAsia="zh-Hans" w:bidi="ar-SA"/>
              </w:rPr>
              <w:t>的得</w:t>
            </w:r>
            <w:r>
              <w:rPr>
                <w:rFonts w:hint="eastAsia" w:ascii="仿宋" w:hAnsi="仿宋" w:eastAsia="仿宋" w:cstheme="minorBidi"/>
                <w:kern w:val="2"/>
                <w:sz w:val="21"/>
                <w:szCs w:val="21"/>
                <w:lang w:val="en-US" w:eastAsia="zh-CN" w:bidi="ar-SA"/>
              </w:rPr>
              <w:t>5</w:t>
            </w:r>
            <w:r>
              <w:rPr>
                <w:rFonts w:hint="eastAsia" w:ascii="仿宋" w:hAnsi="仿宋" w:eastAsia="仿宋" w:cstheme="minorBidi"/>
                <w:kern w:val="2"/>
                <w:sz w:val="21"/>
                <w:szCs w:val="21"/>
                <w:lang w:val="zh-CN" w:eastAsia="zh-Hans" w:bidi="ar-SA"/>
              </w:rPr>
              <w:t>分；</w:t>
            </w:r>
          </w:p>
          <w:p>
            <w:pPr>
              <w:adjustRightInd w:val="0"/>
              <w:snapToGrid w:val="0"/>
              <w:spacing w:line="360" w:lineRule="exact"/>
              <w:jc w:val="left"/>
              <w:rPr>
                <w:rFonts w:hint="eastAsia" w:ascii="仿宋" w:hAnsi="仿宋" w:eastAsia="仿宋" w:cstheme="minorBidi"/>
                <w:kern w:val="2"/>
                <w:sz w:val="21"/>
                <w:szCs w:val="21"/>
                <w:lang w:val="en-US" w:eastAsia="zh-Hans" w:bidi="ar-SA"/>
              </w:rPr>
            </w:pPr>
            <w:r>
              <w:rPr>
                <w:rFonts w:hint="default" w:ascii="仿宋" w:hAnsi="仿宋" w:eastAsia="仿宋" w:cstheme="minorBidi"/>
                <w:kern w:val="2"/>
                <w:sz w:val="21"/>
                <w:szCs w:val="21"/>
                <w:lang w:eastAsia="zh-Hans" w:bidi="ar-SA"/>
              </w:rPr>
              <w:t>（3）</w:t>
            </w:r>
            <w:r>
              <w:rPr>
                <w:rFonts w:hint="eastAsia" w:ascii="仿宋" w:hAnsi="仿宋" w:eastAsia="仿宋" w:cstheme="minorBidi"/>
                <w:kern w:val="2"/>
                <w:sz w:val="21"/>
                <w:szCs w:val="21"/>
                <w:lang w:val="en-US" w:eastAsia="zh-Hans" w:bidi="ar-SA"/>
              </w:rPr>
              <w:t>提供质量员、安全员、材料员、土建施工员、造价师证书的</w:t>
            </w:r>
            <w:r>
              <w:rPr>
                <w:rFonts w:hint="default" w:ascii="仿宋" w:hAnsi="仿宋" w:eastAsia="仿宋" w:cstheme="minorBidi"/>
                <w:kern w:val="2"/>
                <w:sz w:val="21"/>
                <w:szCs w:val="21"/>
                <w:lang w:eastAsia="zh-Hans" w:bidi="ar-SA"/>
              </w:rPr>
              <w:t>，</w:t>
            </w:r>
            <w:r>
              <w:rPr>
                <w:rFonts w:hint="eastAsia" w:ascii="仿宋" w:hAnsi="仿宋" w:eastAsia="仿宋" w:cstheme="minorBidi"/>
                <w:kern w:val="2"/>
                <w:sz w:val="21"/>
                <w:szCs w:val="21"/>
                <w:lang w:val="en-US" w:eastAsia="zh-Hans" w:bidi="ar-SA"/>
              </w:rPr>
              <w:t>每提供一个得</w:t>
            </w:r>
            <w:r>
              <w:rPr>
                <w:rFonts w:hint="default" w:ascii="仿宋" w:hAnsi="仿宋" w:eastAsia="仿宋" w:cstheme="minorBidi"/>
                <w:kern w:val="2"/>
                <w:sz w:val="21"/>
                <w:szCs w:val="21"/>
                <w:lang w:eastAsia="zh-Hans" w:bidi="ar-SA"/>
              </w:rPr>
              <w:t>1</w:t>
            </w:r>
            <w:r>
              <w:rPr>
                <w:rFonts w:hint="eastAsia" w:ascii="仿宋" w:hAnsi="仿宋" w:eastAsia="仿宋" w:cstheme="minorBidi"/>
                <w:kern w:val="2"/>
                <w:sz w:val="21"/>
                <w:szCs w:val="21"/>
                <w:lang w:val="en-US" w:eastAsia="zh-Hans" w:bidi="ar-SA"/>
              </w:rPr>
              <w:t>分</w:t>
            </w:r>
            <w:r>
              <w:rPr>
                <w:rFonts w:hint="default" w:ascii="仿宋" w:hAnsi="仿宋" w:eastAsia="仿宋" w:cstheme="minorBidi"/>
                <w:kern w:val="2"/>
                <w:sz w:val="21"/>
                <w:szCs w:val="21"/>
                <w:lang w:eastAsia="zh-Hans" w:bidi="ar-SA"/>
              </w:rPr>
              <w:t>，</w:t>
            </w:r>
            <w:r>
              <w:rPr>
                <w:rFonts w:hint="eastAsia" w:ascii="仿宋" w:hAnsi="仿宋" w:eastAsia="仿宋" w:cstheme="minorBidi"/>
                <w:kern w:val="2"/>
                <w:sz w:val="21"/>
                <w:szCs w:val="21"/>
                <w:lang w:val="en-US" w:eastAsia="zh-Hans" w:bidi="ar-SA"/>
              </w:rPr>
              <w:t>最高</w:t>
            </w:r>
            <w:r>
              <w:rPr>
                <w:rFonts w:hint="default" w:ascii="仿宋" w:hAnsi="仿宋" w:eastAsia="仿宋" w:cstheme="minorBidi"/>
                <w:kern w:val="2"/>
                <w:sz w:val="21"/>
                <w:szCs w:val="21"/>
                <w:lang w:eastAsia="zh-Hans" w:bidi="ar-SA"/>
              </w:rPr>
              <w:t>5</w:t>
            </w:r>
            <w:r>
              <w:rPr>
                <w:rFonts w:hint="eastAsia" w:ascii="仿宋" w:hAnsi="仿宋" w:eastAsia="仿宋" w:cstheme="minorBidi"/>
                <w:kern w:val="2"/>
                <w:sz w:val="21"/>
                <w:szCs w:val="21"/>
                <w:lang w:val="en-US" w:eastAsia="zh-Hans" w:bidi="ar-SA"/>
              </w:rPr>
              <w:t>分</w:t>
            </w:r>
            <w:r>
              <w:rPr>
                <w:rFonts w:hint="default" w:ascii="仿宋" w:hAnsi="仿宋" w:eastAsia="仿宋" w:cstheme="minorBidi"/>
                <w:kern w:val="2"/>
                <w:sz w:val="21"/>
                <w:szCs w:val="21"/>
                <w:lang w:eastAsia="zh-Hans" w:bidi="ar-SA"/>
              </w:rPr>
              <w:t>。</w:t>
            </w:r>
          </w:p>
          <w:p>
            <w:pPr>
              <w:rPr>
                <w:rFonts w:hint="eastAsia"/>
                <w:lang w:val="en-US" w:eastAsia="zh-Han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710" w:type="dxa"/>
            <w:tcBorders>
              <w:top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rPr>
            </w:pPr>
            <w:r>
              <w:rPr>
                <w:rFonts w:hint="default" w:ascii="仿宋" w:hAnsi="仿宋" w:eastAsia="仿宋"/>
                <w:szCs w:val="21"/>
              </w:rPr>
              <w:t>2</w:t>
            </w:r>
          </w:p>
        </w:tc>
        <w:tc>
          <w:tcPr>
            <w:tcW w:w="175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lang w:val="en-US" w:eastAsia="zh-Hans"/>
              </w:rPr>
            </w:pPr>
            <w:r>
              <w:rPr>
                <w:rFonts w:hint="eastAsia" w:ascii="仿宋" w:hAnsi="仿宋" w:eastAsia="仿宋"/>
                <w:szCs w:val="21"/>
                <w:lang w:val="zh-CN" w:eastAsia="zh-CN"/>
              </w:rPr>
              <w:t>体系认证</w:t>
            </w:r>
            <w:r>
              <w:rPr>
                <w:rFonts w:hint="eastAsia" w:ascii="仿宋" w:hAnsi="仿宋" w:eastAsia="仿宋"/>
                <w:szCs w:val="21"/>
                <w:lang w:val="en-US" w:eastAsia="zh-Hans"/>
              </w:rPr>
              <w:t>和资质能力</w:t>
            </w:r>
          </w:p>
        </w:tc>
        <w:tc>
          <w:tcPr>
            <w:tcW w:w="906" w:type="dxa"/>
            <w:tcBorders>
              <w:top w:val="single" w:color="auto" w:sz="4" w:space="0"/>
              <w:left w:val="single" w:color="auto" w:sz="4" w:space="0"/>
              <w:bottom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rPr>
            </w:pPr>
            <w:r>
              <w:rPr>
                <w:rFonts w:hint="default" w:ascii="仿宋" w:hAnsi="仿宋" w:eastAsia="仿宋"/>
                <w:szCs w:val="21"/>
              </w:rPr>
              <w:t>10</w:t>
            </w:r>
          </w:p>
        </w:tc>
        <w:tc>
          <w:tcPr>
            <w:tcW w:w="6589" w:type="dxa"/>
            <w:tcBorders>
              <w:top w:val="single" w:color="auto" w:sz="4" w:space="0"/>
              <w:left w:val="single" w:color="auto" w:sz="4" w:space="0"/>
              <w:bottom w:val="single" w:color="auto" w:sz="4" w:space="0"/>
            </w:tcBorders>
            <w:noWrap w:val="0"/>
            <w:vAlign w:val="center"/>
          </w:tcPr>
          <w:p>
            <w:pPr>
              <w:pStyle w:val="6"/>
              <w:numPr>
                <w:ilvl w:val="0"/>
                <w:numId w:val="3"/>
              </w:numPr>
              <w:ind w:left="0" w:leftChars="0" w:firstLine="0" w:firstLineChars="0"/>
              <w:rPr>
                <w:rFonts w:hint="eastAsia" w:ascii="仿宋" w:hAnsi="仿宋" w:eastAsia="仿宋" w:cstheme="minorBidi"/>
                <w:kern w:val="2"/>
                <w:sz w:val="21"/>
                <w:szCs w:val="21"/>
                <w:lang w:val="zh-CN" w:eastAsia="zh-CN" w:bidi="ar-SA"/>
              </w:rPr>
            </w:pPr>
            <w:r>
              <w:rPr>
                <w:rFonts w:hint="eastAsia" w:ascii="仿宋" w:hAnsi="仿宋" w:eastAsia="仿宋" w:cstheme="minorBidi"/>
                <w:kern w:val="2"/>
                <w:sz w:val="21"/>
                <w:szCs w:val="21"/>
                <w:lang w:val="en-US" w:eastAsia="zh-Hans" w:bidi="ar-SA"/>
              </w:rPr>
              <w:t>投标人</w:t>
            </w:r>
            <w:r>
              <w:rPr>
                <w:rFonts w:hint="eastAsia" w:ascii="仿宋" w:hAnsi="仿宋" w:eastAsia="仿宋" w:cstheme="minorBidi"/>
                <w:kern w:val="2"/>
                <w:sz w:val="21"/>
                <w:szCs w:val="21"/>
                <w:lang w:val="zh-CN" w:eastAsia="zh-CN" w:bidi="ar-SA"/>
              </w:rPr>
              <w:t xml:space="preserve">具有《ISO9001质量管理体系认证》且在有效期内，得1分； </w:t>
            </w:r>
          </w:p>
          <w:p>
            <w:pPr>
              <w:pStyle w:val="6"/>
              <w:numPr>
                <w:ilvl w:val="0"/>
                <w:numId w:val="3"/>
              </w:numPr>
              <w:ind w:left="0" w:leftChars="0" w:firstLine="0" w:firstLineChars="0"/>
              <w:rPr>
                <w:rFonts w:hint="eastAsia"/>
                <w:lang w:val="zh-CN" w:eastAsia="zh-CN"/>
              </w:rPr>
            </w:pPr>
            <w:r>
              <w:rPr>
                <w:rFonts w:hint="eastAsia" w:ascii="仿宋" w:hAnsi="仿宋" w:eastAsia="仿宋" w:cstheme="minorBidi"/>
                <w:kern w:val="2"/>
                <w:sz w:val="21"/>
                <w:szCs w:val="21"/>
                <w:lang w:val="en-US" w:eastAsia="zh-Hans" w:bidi="ar-SA"/>
              </w:rPr>
              <w:t>投标人</w:t>
            </w:r>
            <w:r>
              <w:rPr>
                <w:rFonts w:hint="eastAsia" w:ascii="仿宋" w:hAnsi="仿宋" w:eastAsia="仿宋" w:cstheme="minorBidi"/>
                <w:kern w:val="2"/>
                <w:sz w:val="21"/>
                <w:szCs w:val="21"/>
                <w:lang w:val="zh-CN" w:eastAsia="zh-CN" w:bidi="ar-SA"/>
              </w:rPr>
              <w:t xml:space="preserve">具有《ISO14001环境管理体系认证》且在有效期内，得1分； </w:t>
            </w:r>
          </w:p>
          <w:p>
            <w:pPr>
              <w:pStyle w:val="6"/>
              <w:numPr>
                <w:ilvl w:val="0"/>
                <w:numId w:val="3"/>
              </w:numPr>
              <w:ind w:left="0" w:leftChars="0" w:firstLine="0" w:firstLineChars="0"/>
              <w:rPr>
                <w:rFonts w:hint="eastAsia"/>
                <w:lang w:val="zh-CN" w:eastAsia="zh-CN"/>
              </w:rPr>
            </w:pPr>
            <w:r>
              <w:rPr>
                <w:rFonts w:hint="eastAsia" w:ascii="仿宋" w:hAnsi="仿宋" w:eastAsia="仿宋" w:cstheme="minorBidi"/>
                <w:kern w:val="2"/>
                <w:sz w:val="21"/>
                <w:szCs w:val="21"/>
                <w:lang w:val="en-US" w:eastAsia="zh-Hans" w:bidi="ar-SA"/>
              </w:rPr>
              <w:t>投标人</w:t>
            </w:r>
            <w:r>
              <w:rPr>
                <w:rFonts w:hint="eastAsia" w:ascii="仿宋" w:hAnsi="仿宋" w:eastAsia="仿宋" w:cstheme="minorBidi"/>
                <w:kern w:val="2"/>
                <w:sz w:val="21"/>
                <w:szCs w:val="21"/>
                <w:lang w:val="zh-CN" w:eastAsia="zh-CN" w:bidi="ar-SA"/>
              </w:rPr>
              <w:t>具有《OHSAS18001职业健康安全管理体系认证》且在有效期内，得</w:t>
            </w:r>
            <w:r>
              <w:rPr>
                <w:rFonts w:hint="default" w:ascii="仿宋" w:hAnsi="仿宋" w:eastAsia="仿宋" w:cstheme="minorBidi"/>
                <w:kern w:val="2"/>
                <w:sz w:val="21"/>
                <w:szCs w:val="21"/>
                <w:lang w:eastAsia="zh-CN" w:bidi="ar-SA"/>
              </w:rPr>
              <w:t>1</w:t>
            </w:r>
            <w:r>
              <w:rPr>
                <w:rFonts w:hint="eastAsia" w:ascii="仿宋" w:hAnsi="仿宋" w:eastAsia="仿宋" w:cstheme="minorBidi"/>
                <w:kern w:val="2"/>
                <w:sz w:val="21"/>
                <w:szCs w:val="21"/>
                <w:lang w:val="zh-CN" w:eastAsia="zh-CN" w:bidi="ar-SA"/>
              </w:rPr>
              <w:t xml:space="preserve">分。 </w:t>
            </w:r>
          </w:p>
          <w:p>
            <w:pPr>
              <w:pStyle w:val="6"/>
              <w:numPr>
                <w:ilvl w:val="0"/>
                <w:numId w:val="3"/>
              </w:numPr>
              <w:ind w:left="0" w:leftChars="0" w:firstLine="0" w:firstLineChars="0"/>
              <w:rPr>
                <w:rFonts w:hint="eastAsia"/>
                <w:lang w:val="zh-CN" w:eastAsia="zh-CN"/>
              </w:rPr>
            </w:pPr>
            <w:r>
              <w:rPr>
                <w:rFonts w:hint="eastAsia" w:ascii="仿宋" w:hAnsi="仿宋" w:eastAsia="仿宋" w:cstheme="minorBidi"/>
                <w:kern w:val="2"/>
                <w:sz w:val="21"/>
                <w:szCs w:val="21"/>
                <w:lang w:val="en-US" w:eastAsia="zh-Hans" w:bidi="ar-SA"/>
              </w:rPr>
              <w:t>投标人</w:t>
            </w:r>
            <w:r>
              <w:rPr>
                <w:rFonts w:hint="eastAsia" w:ascii="仿宋" w:hAnsi="仿宋" w:eastAsia="仿宋" w:cstheme="minorBidi"/>
                <w:kern w:val="2"/>
                <w:sz w:val="21"/>
                <w:szCs w:val="21"/>
                <w:lang w:val="zh-CN" w:eastAsia="zh-CN" w:bidi="ar-SA"/>
              </w:rPr>
              <w:t>具有《知识产权管理体系认证证书》且在有效期内，得1分；</w:t>
            </w:r>
          </w:p>
          <w:p>
            <w:pPr>
              <w:numPr>
                <w:ilvl w:val="0"/>
                <w:numId w:val="3"/>
              </w:numPr>
              <w:ind w:left="0" w:leftChars="0" w:firstLine="0" w:firstLineChars="0"/>
              <w:rPr>
                <w:rFonts w:hint="default" w:ascii="仿宋" w:hAnsi="仿宋" w:eastAsia="仿宋" w:cstheme="minorBidi"/>
                <w:kern w:val="2"/>
                <w:sz w:val="21"/>
                <w:szCs w:val="21"/>
                <w:lang w:eastAsia="zh-Hans" w:bidi="ar-SA"/>
              </w:rPr>
            </w:pPr>
            <w:r>
              <w:rPr>
                <w:rFonts w:hint="eastAsia" w:ascii="仿宋" w:hAnsi="仿宋" w:eastAsia="仿宋" w:cstheme="minorBidi"/>
                <w:kern w:val="2"/>
                <w:sz w:val="21"/>
                <w:szCs w:val="21"/>
                <w:lang w:val="en-US" w:eastAsia="zh-Hans" w:bidi="ar-SA"/>
              </w:rPr>
              <w:t>投标人具有建筑工程施工总承包三级及以上资质且在有效期内的</w:t>
            </w:r>
            <w:r>
              <w:rPr>
                <w:rFonts w:hint="default" w:ascii="仿宋" w:hAnsi="仿宋" w:eastAsia="仿宋" w:cstheme="minorBidi"/>
                <w:kern w:val="2"/>
                <w:sz w:val="21"/>
                <w:szCs w:val="21"/>
                <w:lang w:eastAsia="zh-Hans" w:bidi="ar-SA"/>
              </w:rPr>
              <w:t>，</w:t>
            </w:r>
            <w:r>
              <w:rPr>
                <w:rFonts w:hint="eastAsia" w:ascii="仿宋" w:hAnsi="仿宋" w:eastAsia="仿宋" w:cstheme="minorBidi"/>
                <w:kern w:val="2"/>
                <w:sz w:val="21"/>
                <w:szCs w:val="21"/>
                <w:lang w:val="en-US" w:eastAsia="zh-Hans" w:bidi="ar-SA"/>
              </w:rPr>
              <w:t>得</w:t>
            </w:r>
            <w:r>
              <w:rPr>
                <w:rFonts w:hint="default" w:ascii="仿宋" w:hAnsi="仿宋" w:eastAsia="仿宋" w:cstheme="minorBidi"/>
                <w:kern w:val="2"/>
                <w:sz w:val="21"/>
                <w:szCs w:val="21"/>
                <w:lang w:eastAsia="zh-Hans" w:bidi="ar-SA"/>
              </w:rPr>
              <w:t>2</w:t>
            </w:r>
            <w:r>
              <w:rPr>
                <w:rFonts w:hint="eastAsia" w:ascii="仿宋" w:hAnsi="仿宋" w:eastAsia="仿宋" w:cstheme="minorBidi"/>
                <w:kern w:val="2"/>
                <w:sz w:val="21"/>
                <w:szCs w:val="21"/>
                <w:lang w:val="en-US" w:eastAsia="zh-Hans" w:bidi="ar-SA"/>
              </w:rPr>
              <w:t>分</w:t>
            </w:r>
            <w:r>
              <w:rPr>
                <w:rFonts w:hint="default" w:ascii="仿宋" w:hAnsi="仿宋" w:eastAsia="仿宋" w:cstheme="minorBidi"/>
                <w:kern w:val="2"/>
                <w:sz w:val="21"/>
                <w:szCs w:val="21"/>
                <w:lang w:eastAsia="zh-Hans" w:bidi="ar-SA"/>
              </w:rPr>
              <w:t>；</w:t>
            </w:r>
          </w:p>
          <w:p>
            <w:pPr>
              <w:numPr>
                <w:ilvl w:val="0"/>
                <w:numId w:val="3"/>
              </w:numPr>
              <w:ind w:left="0" w:leftChars="0" w:firstLine="0" w:firstLineChars="0"/>
              <w:rPr>
                <w:rFonts w:hint="default" w:ascii="仿宋" w:hAnsi="仿宋" w:eastAsia="仿宋" w:cstheme="minorBidi"/>
                <w:kern w:val="2"/>
                <w:sz w:val="21"/>
                <w:szCs w:val="21"/>
                <w:lang w:eastAsia="zh-Hans" w:bidi="ar-SA"/>
              </w:rPr>
            </w:pPr>
            <w:r>
              <w:rPr>
                <w:rFonts w:hint="eastAsia" w:ascii="仿宋" w:hAnsi="仿宋" w:eastAsia="仿宋" w:cstheme="minorBidi"/>
                <w:kern w:val="2"/>
                <w:sz w:val="21"/>
                <w:szCs w:val="21"/>
                <w:lang w:val="en-US" w:eastAsia="zh-Hans" w:bidi="ar-SA"/>
              </w:rPr>
              <w:t>投标人具有建筑装饰装修工程专业承包二级及以上资质且在有效期内的</w:t>
            </w:r>
            <w:r>
              <w:rPr>
                <w:rFonts w:hint="default" w:ascii="仿宋" w:hAnsi="仿宋" w:eastAsia="仿宋" w:cstheme="minorBidi"/>
                <w:kern w:val="2"/>
                <w:sz w:val="21"/>
                <w:szCs w:val="21"/>
                <w:lang w:eastAsia="zh-Hans" w:bidi="ar-SA"/>
              </w:rPr>
              <w:t>，</w:t>
            </w:r>
            <w:r>
              <w:rPr>
                <w:rFonts w:hint="eastAsia" w:ascii="仿宋" w:hAnsi="仿宋" w:eastAsia="仿宋" w:cstheme="minorBidi"/>
                <w:kern w:val="2"/>
                <w:sz w:val="21"/>
                <w:szCs w:val="21"/>
                <w:lang w:val="en-US" w:eastAsia="zh-Hans" w:bidi="ar-SA"/>
              </w:rPr>
              <w:t>得</w:t>
            </w:r>
            <w:r>
              <w:rPr>
                <w:rFonts w:hint="default" w:ascii="仿宋" w:hAnsi="仿宋" w:eastAsia="仿宋" w:cstheme="minorBidi"/>
                <w:kern w:val="2"/>
                <w:sz w:val="21"/>
                <w:szCs w:val="21"/>
                <w:lang w:eastAsia="zh-Hans" w:bidi="ar-SA"/>
              </w:rPr>
              <w:t>2</w:t>
            </w:r>
            <w:r>
              <w:rPr>
                <w:rFonts w:hint="eastAsia" w:ascii="仿宋" w:hAnsi="仿宋" w:eastAsia="仿宋" w:cstheme="minorBidi"/>
                <w:kern w:val="2"/>
                <w:sz w:val="21"/>
                <w:szCs w:val="21"/>
                <w:lang w:val="en-US" w:eastAsia="zh-Hans" w:bidi="ar-SA"/>
              </w:rPr>
              <w:t>分</w:t>
            </w:r>
            <w:r>
              <w:rPr>
                <w:rFonts w:hint="default" w:ascii="仿宋" w:hAnsi="仿宋" w:eastAsia="仿宋" w:cstheme="minorBidi"/>
                <w:kern w:val="2"/>
                <w:sz w:val="21"/>
                <w:szCs w:val="21"/>
                <w:lang w:eastAsia="zh-Hans" w:bidi="ar-SA"/>
              </w:rPr>
              <w:t>；</w:t>
            </w:r>
          </w:p>
          <w:p>
            <w:pPr>
              <w:numPr>
                <w:ilvl w:val="0"/>
                <w:numId w:val="3"/>
              </w:numPr>
              <w:ind w:left="0" w:leftChars="0" w:firstLine="0" w:firstLineChars="0"/>
              <w:rPr>
                <w:rFonts w:hint="eastAsia" w:ascii="仿宋" w:hAnsi="仿宋" w:eastAsia="仿宋"/>
                <w:szCs w:val="21"/>
                <w:highlight w:val="yellow"/>
                <w:lang w:val="zh-CN"/>
              </w:rPr>
            </w:pPr>
            <w:r>
              <w:rPr>
                <w:rFonts w:hint="eastAsia" w:ascii="仿宋" w:hAnsi="仿宋" w:eastAsia="仿宋" w:cstheme="minorBidi"/>
                <w:kern w:val="2"/>
                <w:sz w:val="21"/>
                <w:szCs w:val="21"/>
                <w:lang w:val="en-US" w:eastAsia="zh-Hans" w:bidi="ar-SA"/>
              </w:rPr>
              <w:t>投标人具有特种工程(结构补强)专业承包不分级资质且在有效期内的</w:t>
            </w:r>
            <w:r>
              <w:rPr>
                <w:rFonts w:hint="default" w:ascii="仿宋" w:hAnsi="仿宋" w:eastAsia="仿宋" w:cstheme="minorBidi"/>
                <w:kern w:val="2"/>
                <w:sz w:val="21"/>
                <w:szCs w:val="21"/>
                <w:lang w:eastAsia="zh-Hans" w:bidi="ar-SA"/>
              </w:rPr>
              <w:t>，</w:t>
            </w:r>
            <w:r>
              <w:rPr>
                <w:rFonts w:hint="eastAsia" w:ascii="仿宋" w:hAnsi="仿宋" w:eastAsia="仿宋" w:cstheme="minorBidi"/>
                <w:kern w:val="2"/>
                <w:sz w:val="21"/>
                <w:szCs w:val="21"/>
                <w:lang w:val="en-US" w:eastAsia="zh-Hans" w:bidi="ar-SA"/>
              </w:rPr>
              <w:t>得</w:t>
            </w:r>
            <w:r>
              <w:rPr>
                <w:rFonts w:hint="default" w:ascii="仿宋" w:hAnsi="仿宋" w:eastAsia="仿宋" w:cstheme="minorBidi"/>
                <w:kern w:val="2"/>
                <w:sz w:val="21"/>
                <w:szCs w:val="21"/>
                <w:lang w:eastAsia="zh-Hans" w:bidi="ar-SA"/>
              </w:rPr>
              <w:t>2</w:t>
            </w:r>
            <w:r>
              <w:rPr>
                <w:rFonts w:hint="eastAsia" w:ascii="仿宋" w:hAnsi="仿宋" w:eastAsia="仿宋" w:cstheme="minorBidi"/>
                <w:kern w:val="2"/>
                <w:sz w:val="21"/>
                <w:szCs w:val="21"/>
                <w:lang w:val="en-US" w:eastAsia="zh-Hans" w:bidi="ar-SA"/>
              </w:rPr>
              <w:t>分</w:t>
            </w:r>
            <w:r>
              <w:rPr>
                <w:rFonts w:hint="default" w:ascii="仿宋" w:hAnsi="仿宋" w:eastAsia="仿宋" w:cstheme="minorBidi"/>
                <w:kern w:val="2"/>
                <w:sz w:val="21"/>
                <w:szCs w:val="21"/>
                <w:lang w:eastAsia="zh-Hans" w:bidi="ar-S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710" w:type="dxa"/>
            <w:tcBorders>
              <w:top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rPr>
            </w:pPr>
            <w:r>
              <w:rPr>
                <w:rFonts w:hint="default" w:ascii="仿宋" w:hAnsi="仿宋" w:eastAsia="仿宋"/>
                <w:szCs w:val="21"/>
              </w:rPr>
              <w:t>3</w:t>
            </w:r>
          </w:p>
        </w:tc>
        <w:tc>
          <w:tcPr>
            <w:tcW w:w="175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lang w:val="en-US" w:eastAsia="zh-Hans"/>
              </w:rPr>
            </w:pPr>
            <w:r>
              <w:rPr>
                <w:rFonts w:hint="eastAsia" w:ascii="仿宋" w:hAnsi="仿宋" w:eastAsia="仿宋"/>
                <w:szCs w:val="21"/>
                <w:lang w:val="en-US" w:eastAsia="zh-Hans"/>
              </w:rPr>
              <w:t>企业综合能力</w:t>
            </w:r>
          </w:p>
        </w:tc>
        <w:tc>
          <w:tcPr>
            <w:tcW w:w="906" w:type="dxa"/>
            <w:tcBorders>
              <w:top w:val="single" w:color="auto" w:sz="4" w:space="0"/>
              <w:left w:val="single" w:color="auto" w:sz="4" w:space="0"/>
              <w:bottom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rPr>
            </w:pPr>
            <w:r>
              <w:rPr>
                <w:rFonts w:hint="default" w:ascii="仿宋" w:hAnsi="仿宋" w:eastAsia="仿宋"/>
                <w:szCs w:val="21"/>
              </w:rPr>
              <w:t>25</w:t>
            </w:r>
          </w:p>
        </w:tc>
        <w:tc>
          <w:tcPr>
            <w:tcW w:w="6589" w:type="dxa"/>
            <w:tcBorders>
              <w:top w:val="single" w:color="auto" w:sz="4" w:space="0"/>
              <w:left w:val="single" w:color="auto" w:sz="4" w:space="0"/>
              <w:bottom w:val="single" w:color="auto" w:sz="4" w:space="0"/>
            </w:tcBorders>
            <w:noWrap w:val="0"/>
            <w:vAlign w:val="center"/>
          </w:tcPr>
          <w:p>
            <w:pPr>
              <w:widowControl/>
              <w:adjustRightInd w:val="0"/>
              <w:snapToGrid w:val="0"/>
              <w:spacing w:line="360" w:lineRule="exact"/>
              <w:jc w:val="left"/>
              <w:rPr>
                <w:rFonts w:hint="eastAsia" w:ascii="仿宋" w:hAnsi="仿宋" w:eastAsia="仿宋" w:cstheme="minorBidi"/>
                <w:kern w:val="2"/>
                <w:sz w:val="21"/>
                <w:szCs w:val="21"/>
                <w:lang w:val="zh-CN" w:eastAsia="zh-Hans" w:bidi="ar-SA"/>
              </w:rPr>
            </w:pPr>
            <w:r>
              <w:rPr>
                <w:rFonts w:hint="default" w:ascii="仿宋" w:hAnsi="仿宋" w:eastAsia="仿宋" w:cstheme="minorBidi"/>
                <w:kern w:val="2"/>
                <w:sz w:val="21"/>
                <w:szCs w:val="21"/>
                <w:lang w:eastAsia="zh-Hans" w:bidi="ar-SA"/>
              </w:rPr>
              <w:t>（1）</w:t>
            </w:r>
            <w:r>
              <w:rPr>
                <w:rFonts w:hint="eastAsia" w:ascii="仿宋" w:hAnsi="仿宋" w:eastAsia="仿宋" w:cstheme="minorBidi"/>
                <w:kern w:val="2"/>
                <w:sz w:val="21"/>
                <w:szCs w:val="21"/>
                <w:lang w:val="en-US" w:eastAsia="zh-Hans" w:bidi="ar-SA"/>
              </w:rPr>
              <w:t>投标人</w:t>
            </w:r>
            <w:r>
              <w:rPr>
                <w:rFonts w:hint="eastAsia" w:ascii="仿宋" w:hAnsi="仿宋" w:eastAsia="仿宋" w:cstheme="minorBidi"/>
                <w:kern w:val="2"/>
                <w:sz w:val="21"/>
                <w:szCs w:val="21"/>
                <w:lang w:val="zh-CN" w:eastAsia="zh-Hans" w:bidi="ar-SA"/>
              </w:rPr>
              <w:t>具有文物保护相关的发明专利，每提供一个得</w:t>
            </w:r>
            <w:r>
              <w:rPr>
                <w:rFonts w:hint="eastAsia" w:ascii="仿宋" w:hAnsi="仿宋" w:eastAsia="仿宋" w:cstheme="minorBidi"/>
                <w:kern w:val="2"/>
                <w:sz w:val="21"/>
                <w:szCs w:val="21"/>
                <w:lang w:val="en-US" w:eastAsia="zh-CN" w:bidi="ar-SA"/>
              </w:rPr>
              <w:t>3</w:t>
            </w:r>
            <w:r>
              <w:rPr>
                <w:rFonts w:hint="eastAsia" w:ascii="仿宋" w:hAnsi="仿宋" w:eastAsia="仿宋" w:cstheme="minorBidi"/>
                <w:kern w:val="2"/>
                <w:sz w:val="21"/>
                <w:szCs w:val="21"/>
                <w:lang w:val="zh-CN" w:eastAsia="zh-Hans" w:bidi="ar-SA"/>
              </w:rPr>
              <w:t>分，本项最高得</w:t>
            </w:r>
            <w:r>
              <w:rPr>
                <w:rFonts w:hint="default" w:ascii="仿宋" w:hAnsi="仿宋" w:eastAsia="仿宋" w:cstheme="minorBidi"/>
                <w:kern w:val="2"/>
                <w:sz w:val="21"/>
                <w:szCs w:val="21"/>
                <w:lang w:eastAsia="zh-Hans" w:bidi="ar-SA"/>
              </w:rPr>
              <w:t>10</w:t>
            </w:r>
            <w:r>
              <w:rPr>
                <w:rFonts w:hint="eastAsia" w:ascii="仿宋" w:hAnsi="仿宋" w:eastAsia="仿宋" w:cstheme="minorBidi"/>
                <w:kern w:val="2"/>
                <w:sz w:val="21"/>
                <w:szCs w:val="21"/>
                <w:lang w:val="zh-CN" w:eastAsia="zh-Hans" w:bidi="ar-SA"/>
              </w:rPr>
              <w:t>分。</w:t>
            </w:r>
          </w:p>
          <w:p>
            <w:pPr>
              <w:widowControl/>
              <w:adjustRightInd w:val="0"/>
              <w:snapToGrid w:val="0"/>
              <w:spacing w:line="360" w:lineRule="exact"/>
              <w:jc w:val="left"/>
              <w:rPr>
                <w:rFonts w:hint="eastAsia" w:ascii="仿宋" w:hAnsi="仿宋" w:eastAsia="仿宋" w:cstheme="minorBidi"/>
                <w:kern w:val="2"/>
                <w:sz w:val="21"/>
                <w:szCs w:val="21"/>
                <w:lang w:val="zh-CN" w:eastAsia="zh-CN" w:bidi="ar-SA"/>
              </w:rPr>
            </w:pPr>
            <w:r>
              <w:rPr>
                <w:rFonts w:hint="default" w:ascii="仿宋" w:hAnsi="仿宋" w:eastAsia="仿宋" w:cstheme="minorBidi"/>
                <w:kern w:val="2"/>
                <w:sz w:val="21"/>
                <w:szCs w:val="21"/>
                <w:lang w:eastAsia="zh-Hans" w:bidi="ar-SA"/>
              </w:rPr>
              <w:t>（2）</w:t>
            </w:r>
            <w:r>
              <w:rPr>
                <w:rFonts w:hint="eastAsia" w:ascii="仿宋" w:hAnsi="仿宋" w:eastAsia="仿宋" w:cstheme="minorBidi"/>
                <w:kern w:val="2"/>
                <w:sz w:val="21"/>
                <w:szCs w:val="21"/>
                <w:lang w:val="en-US" w:eastAsia="zh-Hans" w:bidi="ar-SA"/>
              </w:rPr>
              <w:t>投标人</w:t>
            </w:r>
            <w:r>
              <w:rPr>
                <w:rFonts w:hint="eastAsia" w:ascii="仿宋" w:hAnsi="仿宋" w:eastAsia="仿宋" w:cstheme="minorBidi"/>
                <w:kern w:val="2"/>
                <w:sz w:val="21"/>
                <w:szCs w:val="21"/>
                <w:lang w:val="zh-CN" w:eastAsia="zh-Hans" w:bidi="ar-SA"/>
              </w:rPr>
              <w:t>曾获得过文博行业相关奖项的，每提供一个得</w:t>
            </w:r>
            <w:r>
              <w:rPr>
                <w:rFonts w:hint="default" w:ascii="仿宋" w:hAnsi="仿宋" w:eastAsia="仿宋" w:cstheme="minorBidi"/>
                <w:kern w:val="2"/>
                <w:sz w:val="21"/>
                <w:szCs w:val="21"/>
                <w:lang w:eastAsia="zh-Hans" w:bidi="ar-SA"/>
              </w:rPr>
              <w:t>5</w:t>
            </w:r>
            <w:r>
              <w:rPr>
                <w:rFonts w:hint="eastAsia" w:ascii="仿宋" w:hAnsi="仿宋" w:eastAsia="仿宋" w:cstheme="minorBidi"/>
                <w:kern w:val="2"/>
                <w:sz w:val="21"/>
                <w:szCs w:val="21"/>
                <w:lang w:val="zh-CN" w:eastAsia="zh-Hans" w:bidi="ar-SA"/>
              </w:rPr>
              <w:t>分，本项最高</w:t>
            </w:r>
            <w:r>
              <w:rPr>
                <w:rFonts w:hint="default" w:ascii="仿宋" w:hAnsi="仿宋" w:eastAsia="仿宋" w:cstheme="minorBidi"/>
                <w:kern w:val="2"/>
                <w:sz w:val="21"/>
                <w:szCs w:val="21"/>
                <w:lang w:eastAsia="zh-Hans" w:bidi="ar-SA"/>
              </w:rPr>
              <w:t>10</w:t>
            </w:r>
            <w:r>
              <w:rPr>
                <w:rFonts w:hint="eastAsia" w:ascii="仿宋" w:hAnsi="仿宋" w:eastAsia="仿宋" w:cstheme="minorBidi"/>
                <w:kern w:val="2"/>
                <w:sz w:val="21"/>
                <w:szCs w:val="21"/>
                <w:lang w:val="zh-CN" w:eastAsia="zh-Hans" w:bidi="ar-SA"/>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710" w:type="dxa"/>
            <w:tcBorders>
              <w:top w:val="single" w:color="auto" w:sz="4" w:space="0"/>
              <w:right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lang w:val="zh-CN"/>
              </w:rPr>
            </w:pPr>
            <w:r>
              <w:rPr>
                <w:rFonts w:hint="default" w:ascii="仿宋" w:hAnsi="仿宋" w:eastAsia="仿宋"/>
                <w:szCs w:val="21"/>
              </w:rPr>
              <w:t>4</w:t>
            </w:r>
          </w:p>
        </w:tc>
        <w:tc>
          <w:tcPr>
            <w:tcW w:w="1753" w:type="dxa"/>
            <w:tcBorders>
              <w:top w:val="single" w:color="auto" w:sz="4" w:space="0"/>
              <w:left w:val="single" w:color="auto" w:sz="4" w:space="0"/>
              <w:right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lang w:val="zh-CN"/>
              </w:rPr>
            </w:pPr>
            <w:r>
              <w:rPr>
                <w:rFonts w:hint="eastAsia" w:ascii="仿宋" w:hAnsi="仿宋" w:eastAsia="仿宋"/>
                <w:szCs w:val="21"/>
                <w:lang w:val="zh-CN"/>
              </w:rPr>
              <w:t>企业类似业绩</w:t>
            </w:r>
          </w:p>
        </w:tc>
        <w:tc>
          <w:tcPr>
            <w:tcW w:w="906" w:type="dxa"/>
            <w:tcBorders>
              <w:top w:val="single" w:color="auto" w:sz="4" w:space="0"/>
              <w:left w:val="single" w:color="auto" w:sz="4" w:space="0"/>
              <w:bottom w:val="single" w:color="auto" w:sz="4" w:space="0"/>
            </w:tcBorders>
            <w:noWrap w:val="0"/>
            <w:vAlign w:val="center"/>
          </w:tcPr>
          <w:p>
            <w:pPr>
              <w:autoSpaceDE w:val="0"/>
              <w:autoSpaceDN w:val="0"/>
              <w:adjustRightInd w:val="0"/>
              <w:snapToGrid w:val="0"/>
              <w:spacing w:line="360" w:lineRule="auto"/>
              <w:jc w:val="center"/>
              <w:rPr>
                <w:rFonts w:hint="eastAsia" w:ascii="仿宋" w:hAnsi="仿宋" w:eastAsia="仿宋"/>
                <w:szCs w:val="21"/>
                <w:lang w:val="zh-CN"/>
              </w:rPr>
            </w:pPr>
            <w:r>
              <w:rPr>
                <w:rFonts w:hint="eastAsia" w:ascii="仿宋" w:hAnsi="仿宋" w:eastAsia="仿宋"/>
                <w:szCs w:val="21"/>
                <w:lang w:val="zh-CN"/>
              </w:rPr>
              <w:t>50</w:t>
            </w:r>
          </w:p>
        </w:tc>
        <w:tc>
          <w:tcPr>
            <w:tcW w:w="6589" w:type="dxa"/>
            <w:tcBorders>
              <w:top w:val="single" w:color="auto" w:sz="4" w:space="0"/>
              <w:left w:val="single" w:color="auto" w:sz="4" w:space="0"/>
              <w:bottom w:val="single" w:color="auto" w:sz="4" w:space="0"/>
            </w:tcBorders>
            <w:noWrap w:val="0"/>
            <w:vAlign w:val="center"/>
          </w:tcPr>
          <w:p>
            <w:pPr>
              <w:widowControl/>
              <w:adjustRightInd w:val="0"/>
              <w:snapToGrid w:val="0"/>
              <w:spacing w:line="360" w:lineRule="exact"/>
              <w:jc w:val="left"/>
              <w:rPr>
                <w:rFonts w:hint="eastAsia" w:ascii="仿宋" w:hAnsi="仿宋" w:eastAsia="仿宋"/>
                <w:szCs w:val="21"/>
                <w:lang w:val="zh-CN"/>
              </w:rPr>
            </w:pPr>
            <w:r>
              <w:rPr>
                <w:rFonts w:hint="eastAsia" w:ascii="仿宋" w:hAnsi="仿宋" w:eastAsia="仿宋"/>
                <w:szCs w:val="21"/>
                <w:lang w:val="zh-CN"/>
              </w:rPr>
              <w:t>1.提供201</w:t>
            </w:r>
            <w:r>
              <w:rPr>
                <w:rFonts w:hint="eastAsia" w:ascii="仿宋" w:hAnsi="仿宋" w:eastAsia="仿宋"/>
                <w:szCs w:val="21"/>
                <w:lang w:val="zh-CN" w:eastAsia="zh-CN"/>
              </w:rPr>
              <w:t>9</w:t>
            </w:r>
            <w:r>
              <w:rPr>
                <w:rFonts w:hint="eastAsia" w:ascii="仿宋" w:hAnsi="仿宋" w:eastAsia="仿宋"/>
                <w:szCs w:val="21"/>
                <w:lang w:val="zh-CN"/>
              </w:rPr>
              <w:t>年1月1日至今类似项目业绩，每提供1个得</w:t>
            </w:r>
            <w:r>
              <w:rPr>
                <w:rFonts w:hint="eastAsia" w:ascii="仿宋" w:hAnsi="仿宋" w:eastAsia="仿宋"/>
                <w:szCs w:val="21"/>
                <w:lang w:val="en-US" w:eastAsia="zh-CN"/>
              </w:rPr>
              <w:t>10</w:t>
            </w:r>
            <w:r>
              <w:rPr>
                <w:rFonts w:hint="eastAsia" w:ascii="仿宋" w:hAnsi="仿宋" w:eastAsia="仿宋"/>
                <w:szCs w:val="21"/>
                <w:lang w:val="zh-CN"/>
              </w:rPr>
              <w:t>分，满分</w:t>
            </w:r>
            <w:r>
              <w:rPr>
                <w:rFonts w:hint="eastAsia" w:ascii="仿宋" w:hAnsi="仿宋" w:eastAsia="仿宋"/>
                <w:szCs w:val="21"/>
                <w:lang w:val="en-US" w:eastAsia="zh-CN"/>
              </w:rPr>
              <w:t>5</w:t>
            </w:r>
            <w:r>
              <w:rPr>
                <w:rFonts w:hint="eastAsia" w:ascii="仿宋" w:hAnsi="仿宋" w:eastAsia="仿宋"/>
                <w:szCs w:val="21"/>
                <w:lang w:val="zh-CN" w:eastAsia="zh-CN"/>
              </w:rPr>
              <w:t>0</w:t>
            </w:r>
            <w:r>
              <w:rPr>
                <w:rFonts w:hint="eastAsia" w:ascii="仿宋" w:hAnsi="仿宋" w:eastAsia="仿宋"/>
                <w:szCs w:val="21"/>
                <w:lang w:val="zh-CN"/>
              </w:rPr>
              <w:t>分；（以合同或成交（中标）通知书复印件加盖公章为准，原件备查）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7" w:hRule="atLeast"/>
          <w:jc w:val="center"/>
        </w:trPr>
        <w:tc>
          <w:tcPr>
            <w:tcW w:w="710" w:type="dxa"/>
            <w:tcBorders>
              <w:top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rPr>
                <w:rFonts w:hint="eastAsia" w:ascii="仿宋" w:hAnsi="仿宋" w:eastAsia="仿宋"/>
                <w:szCs w:val="21"/>
                <w:lang w:val="zh-CN"/>
              </w:rPr>
            </w:pPr>
            <w:r>
              <w:rPr>
                <w:rFonts w:hint="eastAsia" w:ascii="仿宋" w:hAnsi="仿宋" w:eastAsia="仿宋"/>
                <w:szCs w:val="21"/>
                <w:lang w:val="zh-CN"/>
              </w:rPr>
              <w:t>合计</w:t>
            </w:r>
          </w:p>
        </w:tc>
        <w:tc>
          <w:tcPr>
            <w:tcW w:w="9248" w:type="dxa"/>
            <w:gridSpan w:val="3"/>
            <w:tcBorders>
              <w:top w:val="single" w:color="auto" w:sz="4" w:space="0"/>
              <w:left w:val="single" w:color="auto" w:sz="4" w:space="0"/>
              <w:bottom w:val="single" w:color="auto" w:sz="4" w:space="0"/>
            </w:tcBorders>
            <w:noWrap w:val="0"/>
            <w:vAlign w:val="center"/>
          </w:tcPr>
          <w:p>
            <w:pPr>
              <w:autoSpaceDE w:val="0"/>
              <w:autoSpaceDN w:val="0"/>
              <w:adjustRightInd w:val="0"/>
              <w:snapToGrid w:val="0"/>
              <w:spacing w:line="360" w:lineRule="exact"/>
              <w:ind w:left="222"/>
              <w:rPr>
                <w:rFonts w:hint="eastAsia" w:ascii="仿宋" w:hAnsi="仿宋" w:eastAsia="仿宋"/>
                <w:szCs w:val="21"/>
                <w:lang w:val="zh-CN"/>
              </w:rPr>
            </w:pPr>
            <w:r>
              <w:rPr>
                <w:rFonts w:hint="eastAsia" w:ascii="仿宋" w:hAnsi="仿宋" w:eastAsia="仿宋"/>
                <w:szCs w:val="21"/>
                <w:lang w:val="zh-CN"/>
              </w:rPr>
              <w:t>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7" w:hRule="atLeast"/>
          <w:jc w:val="center"/>
        </w:trPr>
        <w:tc>
          <w:tcPr>
            <w:tcW w:w="710" w:type="dxa"/>
            <w:tcBorders>
              <w:top w:val="single" w:color="auto" w:sz="4" w:space="0"/>
              <w:bottom w:val="single" w:color="auto" w:sz="4" w:space="0"/>
              <w:right w:val="single" w:color="auto" w:sz="4" w:space="0"/>
            </w:tcBorders>
            <w:noWrap w:val="0"/>
            <w:vAlign w:val="center"/>
          </w:tcPr>
          <w:p>
            <w:pPr>
              <w:autoSpaceDE w:val="0"/>
              <w:autoSpaceDN w:val="0"/>
              <w:adjustRightInd w:val="0"/>
              <w:snapToGrid w:val="0"/>
              <w:spacing w:line="360" w:lineRule="auto"/>
              <w:rPr>
                <w:rFonts w:hint="eastAsia" w:ascii="仿宋" w:hAnsi="仿宋" w:eastAsia="仿宋"/>
                <w:szCs w:val="21"/>
                <w:lang w:val="zh-CN"/>
              </w:rPr>
            </w:pPr>
            <w:r>
              <w:rPr>
                <w:rFonts w:hint="eastAsia" w:ascii="仿宋" w:hAnsi="仿宋" w:eastAsia="仿宋"/>
                <w:szCs w:val="21"/>
                <w:lang w:val="zh-CN"/>
              </w:rPr>
              <w:t>得分</w:t>
            </w:r>
          </w:p>
        </w:tc>
        <w:tc>
          <w:tcPr>
            <w:tcW w:w="9248" w:type="dxa"/>
            <w:gridSpan w:val="3"/>
            <w:tcBorders>
              <w:top w:val="single" w:color="auto" w:sz="4" w:space="0"/>
              <w:left w:val="single" w:color="auto" w:sz="4" w:space="0"/>
              <w:bottom w:val="single" w:color="auto" w:sz="4" w:space="0"/>
            </w:tcBorders>
            <w:noWrap w:val="0"/>
            <w:vAlign w:val="center"/>
          </w:tcPr>
          <w:p>
            <w:pPr>
              <w:autoSpaceDE w:val="0"/>
              <w:autoSpaceDN w:val="0"/>
              <w:adjustRightInd w:val="0"/>
              <w:snapToGrid w:val="0"/>
              <w:spacing w:line="360" w:lineRule="exact"/>
              <w:ind w:left="222"/>
              <w:rPr>
                <w:rFonts w:hint="eastAsia" w:ascii="仿宋" w:hAnsi="仿宋" w:eastAsia="仿宋"/>
                <w:szCs w:val="21"/>
                <w:lang w:val="zh-CN" w:eastAsia="zh-CN"/>
              </w:rPr>
            </w:pPr>
            <w:r>
              <w:rPr>
                <w:rFonts w:hint="eastAsia" w:ascii="仿宋" w:hAnsi="仿宋" w:eastAsia="仿宋"/>
                <w:szCs w:val="21"/>
              </w:rPr>
              <w:t>合计×0.</w:t>
            </w:r>
            <w:r>
              <w:rPr>
                <w:rFonts w:hint="eastAsia" w:ascii="仿宋" w:hAnsi="仿宋" w:eastAsia="仿宋"/>
                <w:szCs w:val="21"/>
                <w:lang w:val="en-US" w:eastAsia="zh-CN"/>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5" w:hRule="atLeast"/>
          <w:jc w:val="center"/>
        </w:trPr>
        <w:tc>
          <w:tcPr>
            <w:tcW w:w="9958" w:type="dxa"/>
            <w:gridSpan w:val="4"/>
            <w:tcBorders>
              <w:top w:val="single" w:color="auto" w:sz="4" w:space="0"/>
              <w:bottom w:val="single" w:color="auto" w:sz="4" w:space="0"/>
            </w:tcBorders>
            <w:noWrap w:val="0"/>
            <w:vAlign w:val="center"/>
          </w:tcPr>
          <w:p>
            <w:pPr>
              <w:adjustRightInd w:val="0"/>
              <w:snapToGrid w:val="0"/>
              <w:spacing w:line="360" w:lineRule="exact"/>
              <w:rPr>
                <w:rFonts w:hint="eastAsia" w:ascii="仿宋" w:hAnsi="仿宋" w:eastAsia="仿宋"/>
                <w:szCs w:val="21"/>
              </w:rPr>
            </w:pPr>
            <w:r>
              <w:rPr>
                <w:rFonts w:hint="eastAsia" w:ascii="仿宋" w:hAnsi="仿宋" w:eastAsia="仿宋" w:cs="宋体"/>
                <w:szCs w:val="21"/>
              </w:rPr>
              <w:t>注：</w:t>
            </w:r>
            <w:r>
              <w:rPr>
                <w:rFonts w:hint="eastAsia" w:ascii="仿宋" w:hAnsi="仿宋" w:eastAsia="仿宋"/>
                <w:szCs w:val="21"/>
              </w:rPr>
              <w:t>1、评委应认真了解本招标文件和工程有关情况后，做出须自己负责的评审。</w:t>
            </w:r>
          </w:p>
          <w:p>
            <w:pPr>
              <w:adjustRightInd w:val="0"/>
              <w:snapToGrid w:val="0"/>
              <w:spacing w:line="36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2</w:t>
            </w:r>
            <w:r>
              <w:rPr>
                <w:rFonts w:hint="eastAsia" w:ascii="仿宋" w:hAnsi="仿宋" w:eastAsia="仿宋"/>
                <w:szCs w:val="21"/>
              </w:rPr>
              <w:t>、商务标评审标准满分为100分，占总分</w:t>
            </w:r>
            <w:r>
              <w:rPr>
                <w:rFonts w:hint="eastAsia" w:ascii="仿宋" w:hAnsi="仿宋" w:eastAsia="仿宋"/>
                <w:szCs w:val="21"/>
                <w:lang w:val="en-US" w:eastAsia="zh-CN"/>
              </w:rPr>
              <w:t>3</w:t>
            </w:r>
            <w:r>
              <w:rPr>
                <w:rFonts w:hint="eastAsia" w:ascii="仿宋" w:hAnsi="仿宋" w:eastAsia="仿宋"/>
                <w:szCs w:val="21"/>
              </w:rPr>
              <w:t>0%。</w:t>
            </w:r>
          </w:p>
          <w:p>
            <w:pPr>
              <w:autoSpaceDE w:val="0"/>
              <w:autoSpaceDN w:val="0"/>
              <w:adjustRightInd w:val="0"/>
              <w:snapToGrid w:val="0"/>
              <w:spacing w:line="360" w:lineRule="exact"/>
              <w:ind w:left="222" w:firstLine="210"/>
              <w:rPr>
                <w:rFonts w:hint="eastAsia" w:ascii="仿宋" w:hAnsi="仿宋" w:eastAsia="仿宋" w:cs="宋体"/>
                <w:szCs w:val="21"/>
              </w:rPr>
            </w:pPr>
            <w:r>
              <w:rPr>
                <w:rFonts w:hint="eastAsia" w:ascii="仿宋" w:hAnsi="仿宋" w:eastAsia="仿宋"/>
                <w:szCs w:val="21"/>
                <w:lang w:val="en-US" w:eastAsia="zh-CN"/>
              </w:rPr>
              <w:t>3</w:t>
            </w:r>
            <w:r>
              <w:rPr>
                <w:rFonts w:hint="eastAsia" w:ascii="仿宋" w:hAnsi="仿宋" w:eastAsia="仿宋"/>
                <w:szCs w:val="21"/>
              </w:rPr>
              <w:t>、每项内容扣分比例超过20%，请评委依据投标文件在评委评审意见书中写明原因</w:t>
            </w:r>
            <w:r>
              <w:rPr>
                <w:rFonts w:hint="eastAsia" w:ascii="仿宋" w:hAnsi="仿宋" w:eastAsia="仿宋" w:cs="宋体"/>
                <w:szCs w:val="21"/>
              </w:rPr>
              <w:t>。</w:t>
            </w:r>
          </w:p>
        </w:tc>
      </w:tr>
    </w:tbl>
    <w:p>
      <w:pPr>
        <w:rPr>
          <w:rFonts w:hint="default"/>
          <w:lang w:eastAsia="zh-CN"/>
        </w:rPr>
      </w:pPr>
      <w:r>
        <w:rPr>
          <w:rFonts w:hint="default" w:ascii="仿宋" w:hAnsi="仿宋" w:eastAsia="仿宋"/>
          <w:b/>
          <w:bCs/>
          <w:sz w:val="28"/>
          <w:szCs w:val="22"/>
          <w:lang w:eastAsia="zh-CN"/>
        </w:rPr>
        <w:br w:type="page"/>
      </w:r>
    </w:p>
    <w:p>
      <w:pPr>
        <w:pStyle w:val="8"/>
        <w:jc w:val="both"/>
        <w:outlineLvl w:val="1"/>
        <w:rPr>
          <w:rFonts w:hint="eastAsia"/>
          <w:sz w:val="28"/>
          <w:szCs w:val="28"/>
          <w:lang w:val="en-US" w:eastAsia="zh-CN"/>
        </w:rPr>
      </w:pPr>
      <w:r>
        <w:rPr>
          <w:rFonts w:hint="default" w:ascii="仿宋" w:hAnsi="仿宋" w:eastAsia="仿宋"/>
          <w:b/>
          <w:bCs/>
          <w:sz w:val="28"/>
          <w:szCs w:val="22"/>
          <w:lang w:eastAsia="zh-CN"/>
        </w:rPr>
        <w:t>3、</w:t>
      </w:r>
      <w:r>
        <w:rPr>
          <w:rFonts w:hint="eastAsia" w:ascii="仿宋" w:hAnsi="仿宋" w:eastAsia="仿宋"/>
          <w:b/>
          <w:bCs/>
          <w:sz w:val="28"/>
          <w:szCs w:val="22"/>
          <w:lang w:val="en-US" w:eastAsia="zh-CN"/>
        </w:rPr>
        <w:t>经济</w:t>
      </w:r>
      <w:r>
        <w:rPr>
          <w:rFonts w:hint="eastAsia" w:ascii="仿宋" w:hAnsi="仿宋" w:eastAsia="仿宋"/>
          <w:b/>
          <w:bCs/>
          <w:sz w:val="28"/>
          <w:szCs w:val="22"/>
        </w:rPr>
        <w:t>标评审标准</w:t>
      </w:r>
    </w:p>
    <w:tbl>
      <w:tblPr>
        <w:tblStyle w:val="18"/>
        <w:tblW w:w="9653" w:type="dxa"/>
        <w:tblInd w:w="-5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0"/>
        <w:gridCol w:w="1172"/>
        <w:gridCol w:w="6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30" w:type="dxa"/>
            <w:noWrap w:val="0"/>
            <w:vAlign w:val="center"/>
          </w:tcPr>
          <w:p>
            <w:pPr>
              <w:adjustRightInd w:val="0"/>
              <w:snapToGrid w:val="0"/>
              <w:spacing w:line="360" w:lineRule="exact"/>
              <w:rPr>
                <w:rFonts w:hint="eastAsia" w:ascii="仿宋" w:hAnsi="仿宋" w:eastAsia="仿宋"/>
                <w:szCs w:val="21"/>
                <w:lang w:val="en-US" w:eastAsia="zh-CN"/>
              </w:rPr>
            </w:pPr>
            <w:r>
              <w:rPr>
                <w:rFonts w:hint="eastAsia" w:ascii="仿宋" w:hAnsi="仿宋" w:eastAsia="仿宋"/>
                <w:szCs w:val="21"/>
                <w:lang w:val="en-US" w:eastAsia="zh-CN"/>
              </w:rPr>
              <w:t>评审项目</w:t>
            </w:r>
          </w:p>
        </w:tc>
        <w:tc>
          <w:tcPr>
            <w:tcW w:w="1172" w:type="dxa"/>
            <w:noWrap w:val="0"/>
            <w:vAlign w:val="center"/>
          </w:tcPr>
          <w:p>
            <w:pPr>
              <w:adjustRightInd w:val="0"/>
              <w:snapToGrid w:val="0"/>
              <w:spacing w:line="360" w:lineRule="exact"/>
              <w:rPr>
                <w:rFonts w:hint="eastAsia" w:ascii="仿宋" w:hAnsi="仿宋" w:eastAsia="仿宋"/>
                <w:szCs w:val="21"/>
                <w:lang w:val="en-US" w:eastAsia="zh-CN"/>
              </w:rPr>
            </w:pPr>
            <w:r>
              <w:rPr>
                <w:rFonts w:hint="eastAsia" w:ascii="仿宋" w:hAnsi="仿宋" w:eastAsia="仿宋"/>
                <w:szCs w:val="21"/>
                <w:lang w:val="en-US" w:eastAsia="zh-CN"/>
              </w:rPr>
              <w:t>权重值%</w:t>
            </w:r>
          </w:p>
        </w:tc>
        <w:tc>
          <w:tcPr>
            <w:tcW w:w="6451" w:type="dxa"/>
            <w:noWrap w:val="0"/>
            <w:vAlign w:val="center"/>
          </w:tcPr>
          <w:p>
            <w:pPr>
              <w:adjustRightInd w:val="0"/>
              <w:snapToGrid w:val="0"/>
              <w:spacing w:line="360" w:lineRule="exact"/>
              <w:rPr>
                <w:rFonts w:hint="eastAsia" w:ascii="仿宋" w:hAnsi="仿宋" w:eastAsia="仿宋"/>
                <w:szCs w:val="21"/>
                <w:lang w:val="en-US" w:eastAsia="zh-CN"/>
              </w:rPr>
            </w:pPr>
            <w:r>
              <w:rPr>
                <w:rFonts w:hint="eastAsia" w:ascii="仿宋" w:hAnsi="仿宋" w:eastAsia="仿宋"/>
                <w:szCs w:val="21"/>
                <w:lang w:val="en-US" w:eastAsia="zh-CN"/>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653" w:type="dxa"/>
            <w:gridSpan w:val="3"/>
            <w:noWrap w:val="0"/>
            <w:vAlign w:val="center"/>
          </w:tcPr>
          <w:p>
            <w:pPr>
              <w:adjustRightInd w:val="0"/>
              <w:snapToGrid w:val="0"/>
              <w:spacing w:line="360" w:lineRule="exact"/>
              <w:rPr>
                <w:rFonts w:hint="eastAsia" w:ascii="仿宋" w:hAnsi="仿宋" w:eastAsia="仿宋"/>
                <w:szCs w:val="21"/>
                <w:lang w:val="en-US" w:eastAsia="zh-CN"/>
              </w:rPr>
            </w:pPr>
            <w:r>
              <w:rPr>
                <w:rFonts w:hint="eastAsia" w:ascii="仿宋" w:hAnsi="仿宋" w:eastAsia="仿宋"/>
                <w:szCs w:val="21"/>
                <w:lang w:val="en-US" w:eastAsia="zh-CN"/>
              </w:rPr>
              <w:t>价格部分20分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trPr>
        <w:tc>
          <w:tcPr>
            <w:tcW w:w="2030" w:type="dxa"/>
            <w:noWrap w:val="0"/>
            <w:vAlign w:val="center"/>
          </w:tcPr>
          <w:p>
            <w:pPr>
              <w:adjustRightInd w:val="0"/>
              <w:snapToGrid w:val="0"/>
              <w:spacing w:line="360" w:lineRule="exact"/>
              <w:rPr>
                <w:rFonts w:hint="eastAsia" w:ascii="仿宋" w:hAnsi="仿宋" w:eastAsia="仿宋"/>
                <w:szCs w:val="21"/>
                <w:lang w:val="en-US" w:eastAsia="zh-CN"/>
              </w:rPr>
            </w:pPr>
            <w:r>
              <w:rPr>
                <w:rFonts w:hint="eastAsia" w:ascii="仿宋" w:hAnsi="仿宋" w:eastAsia="仿宋"/>
                <w:szCs w:val="21"/>
                <w:lang w:val="en-US" w:eastAsia="zh-CN"/>
              </w:rPr>
              <w:t>价格</w:t>
            </w:r>
          </w:p>
        </w:tc>
        <w:tc>
          <w:tcPr>
            <w:tcW w:w="1172" w:type="dxa"/>
            <w:noWrap w:val="0"/>
            <w:vAlign w:val="center"/>
          </w:tcPr>
          <w:p>
            <w:pPr>
              <w:adjustRightInd w:val="0"/>
              <w:snapToGrid w:val="0"/>
              <w:spacing w:line="360" w:lineRule="exact"/>
              <w:rPr>
                <w:rFonts w:hint="eastAsia" w:ascii="仿宋" w:hAnsi="仿宋" w:eastAsia="仿宋"/>
                <w:szCs w:val="21"/>
                <w:lang w:val="en-US" w:eastAsia="zh-CN"/>
              </w:rPr>
            </w:pPr>
            <w:r>
              <w:rPr>
                <w:rFonts w:hint="eastAsia" w:ascii="仿宋" w:hAnsi="仿宋" w:eastAsia="仿宋"/>
                <w:szCs w:val="21"/>
                <w:lang w:val="en-US" w:eastAsia="zh-CN"/>
              </w:rPr>
              <w:t>20 分</w:t>
            </w:r>
          </w:p>
        </w:tc>
        <w:tc>
          <w:tcPr>
            <w:tcW w:w="6451" w:type="dxa"/>
            <w:noWrap w:val="0"/>
            <w:vAlign w:val="center"/>
          </w:tcPr>
          <w:p>
            <w:pPr>
              <w:adjustRightInd w:val="0"/>
              <w:snapToGrid w:val="0"/>
              <w:spacing w:line="360" w:lineRule="exact"/>
              <w:rPr>
                <w:rFonts w:hint="eastAsia" w:ascii="仿宋" w:hAnsi="仿宋" w:eastAsia="仿宋"/>
                <w:szCs w:val="21"/>
                <w:lang w:val="en-US" w:eastAsia="zh-CN"/>
              </w:rPr>
            </w:pPr>
            <w:r>
              <w:rPr>
                <w:rFonts w:hint="eastAsia" w:ascii="仿宋" w:hAnsi="仿宋" w:eastAsia="仿宋"/>
                <w:szCs w:val="21"/>
                <w:lang w:val="en-US" w:eastAsia="zh-CN"/>
              </w:rPr>
              <w:t>投标基准价为满足磋商文件要求且最终报价最低的供应商的价格，即为满分20分，其他供应商报价计算公式如下：</w:t>
            </w:r>
          </w:p>
          <w:p>
            <w:pPr>
              <w:adjustRightInd w:val="0"/>
              <w:snapToGrid w:val="0"/>
              <w:spacing w:line="360" w:lineRule="exact"/>
              <w:rPr>
                <w:rFonts w:hint="default" w:ascii="仿宋" w:hAnsi="仿宋" w:eastAsia="仿宋"/>
                <w:szCs w:val="21"/>
                <w:lang w:val="en-US" w:eastAsia="zh-CN"/>
              </w:rPr>
            </w:pPr>
            <w:r>
              <w:rPr>
                <w:rFonts w:hint="eastAsia" w:ascii="仿宋" w:hAnsi="仿宋" w:eastAsia="仿宋"/>
                <w:szCs w:val="21"/>
                <w:lang w:val="en-US" w:eastAsia="zh-CN"/>
              </w:rPr>
              <w:t>报价得分 =(最低报价/投标报价)*20%</w:t>
            </w:r>
          </w:p>
          <w:p>
            <w:pPr>
              <w:adjustRightInd w:val="0"/>
              <w:snapToGrid w:val="0"/>
              <w:spacing w:line="360" w:lineRule="exact"/>
              <w:rPr>
                <w:rFonts w:hint="eastAsia" w:ascii="仿宋" w:hAnsi="仿宋" w:eastAsia="仿宋"/>
                <w:szCs w:val="21"/>
                <w:lang w:val="en-US" w:eastAsia="zh-CN"/>
              </w:rPr>
            </w:pPr>
            <w:r>
              <w:rPr>
                <w:rFonts w:hint="eastAsia" w:ascii="仿宋" w:hAnsi="仿宋" w:eastAsia="仿宋"/>
                <w:szCs w:val="21"/>
                <w:lang w:val="en-US" w:eastAsia="zh-CN"/>
              </w:rPr>
              <w:t>计算公式的计算结果值在小数点后均保留两位小数，后余位数四舍五入计。</w:t>
            </w:r>
          </w:p>
        </w:tc>
      </w:tr>
    </w:tbl>
    <w:p>
      <w:pPr>
        <w:pStyle w:val="8"/>
        <w:kinsoku w:val="0"/>
        <w:overflowPunct w:val="0"/>
        <w:spacing w:before="34"/>
        <w:ind w:left="0"/>
        <w:jc w:val="both"/>
        <w:rPr>
          <w:rFonts w:hint="eastAsia" w:ascii="宋体" w:hAnsi="宋体" w:eastAsia="宋体" w:cs="宋体"/>
          <w:b/>
          <w:bCs/>
          <w:highlight w:val="none"/>
        </w:rPr>
      </w:pPr>
      <w:r>
        <w:rPr>
          <w:rFonts w:hint="eastAsia" w:ascii="宋体" w:hAnsi="宋体" w:eastAsia="宋体" w:cs="宋体"/>
          <w:b/>
          <w:bCs/>
          <w:highlight w:val="none"/>
        </w:rPr>
        <w:t>投标报价计算备注：</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根据《新财购〔2022〕22号》文件规定，适用政府采购法的政府采购项目对小微企业报价给予10%-20%的扣除；大中型企业与小微企业组成联合体或大中型企业向小微企业分包的，评审给予4%-6%的价格扣除，用扣除后的价格参与评审。</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适用招标投标法的政府采购工程建设项目，采用综合评估法但未采用低价优先法计算价格分的，评标时应当在采用原报价进行评分的基础上阶段性增加其价格得分的6%-10%作为其价格分。</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的扣除，用扣除后的价格参加评审。具体办法详见竞争性磋商文件评标办法和标准；</w:t>
      </w:r>
    </w:p>
    <w:p>
      <w:pPr>
        <w:pStyle w:val="8"/>
        <w:kinsoku w:val="0"/>
        <w:overflowPunct w:val="0"/>
        <w:spacing w:before="34" w:line="357" w:lineRule="auto"/>
        <w:ind w:right="126" w:firstLine="480"/>
        <w:rPr>
          <w:rFonts w:hint="eastAsia" w:ascii="宋体" w:hAnsi="宋体" w:eastAsia="宋体" w:cs="宋体"/>
          <w:color w:val="FF0000"/>
          <w:highlight w:val="none"/>
        </w:rPr>
      </w:pPr>
      <w:r>
        <w:rPr>
          <w:rFonts w:hint="eastAsia" w:ascii="宋体" w:hAnsi="宋体" w:eastAsia="宋体" w:cs="宋体"/>
          <w:highlight w:val="none"/>
        </w:rPr>
        <w:t>2、根据《财政部民政部中国残疾人联合会关于促进残疾人就业政府采购政策的通知》（财库【2017】141号）文件规定，对满足价格扣除条件且在投标文件中提交了《残疾人福利性单位声明函》等证明文件的投标人，其投标报价扣除</w:t>
      </w:r>
      <w:r>
        <w:rPr>
          <w:rFonts w:hint="eastAsia" w:ascii="宋体" w:hAnsi="宋体" w:eastAsia="宋体" w:cs="宋体"/>
          <w:highlight w:val="none"/>
          <w:lang w:val="en-US" w:eastAsia="zh-CN"/>
        </w:rPr>
        <w:t>10</w:t>
      </w:r>
      <w:r>
        <w:rPr>
          <w:rFonts w:hint="eastAsia" w:ascii="宋体" w:hAnsi="宋体" w:eastAsia="宋体" w:cs="宋体"/>
          <w:highlight w:val="none"/>
        </w:rPr>
        <w:t>%后参与评审，不与第1条叠加。</w:t>
      </w:r>
    </w:p>
    <w:p>
      <w:pPr>
        <w:pStyle w:val="8"/>
        <w:kinsoku w:val="0"/>
        <w:overflowPunct w:val="0"/>
        <w:spacing w:before="34" w:line="357" w:lineRule="auto"/>
        <w:ind w:right="126"/>
        <w:rPr>
          <w:rFonts w:hint="eastAsia" w:ascii="宋体" w:hAnsi="宋体" w:eastAsia="宋体" w:cs="宋体"/>
          <w:highlight w:val="none"/>
        </w:rPr>
      </w:pPr>
      <w:r>
        <w:rPr>
          <w:rFonts w:hint="eastAsia" w:ascii="宋体" w:hAnsi="宋体" w:eastAsia="宋体" w:cs="宋体"/>
          <w:b/>
          <w:bCs/>
          <w:highlight w:val="none"/>
        </w:rPr>
        <w:t>计分原则：</w:t>
      </w:r>
      <w:r>
        <w:rPr>
          <w:rFonts w:hint="eastAsia" w:ascii="宋体" w:hAnsi="宋体" w:eastAsia="宋体" w:cs="宋体"/>
          <w:highlight w:val="none"/>
        </w:rPr>
        <w:t>1、投标报价得分由磋商小组按照价格分计算公式计算分值。</w:t>
      </w:r>
    </w:p>
    <w:p>
      <w:pPr>
        <w:pStyle w:val="8"/>
        <w:kinsoku w:val="0"/>
        <w:overflowPunct w:val="0"/>
        <w:spacing w:before="34" w:line="357" w:lineRule="auto"/>
        <w:ind w:right="126" w:firstLine="1262" w:firstLineChars="526"/>
        <w:rPr>
          <w:rFonts w:hint="eastAsia" w:ascii="宋体" w:hAnsi="宋体" w:eastAsia="宋体" w:cs="宋体"/>
          <w:highlight w:val="none"/>
        </w:rPr>
      </w:pPr>
      <w:r>
        <w:rPr>
          <w:rFonts w:hint="eastAsia" w:ascii="宋体" w:hAnsi="宋体" w:eastAsia="宋体" w:cs="宋体"/>
          <w:highlight w:val="none"/>
        </w:rPr>
        <w:t>2、商务部分由磋商小组共同评定唯一的得分。</w:t>
      </w:r>
    </w:p>
    <w:p>
      <w:pPr>
        <w:pStyle w:val="8"/>
        <w:kinsoku w:val="0"/>
        <w:overflowPunct w:val="0"/>
        <w:spacing w:before="34" w:line="357" w:lineRule="auto"/>
        <w:ind w:right="126" w:firstLine="1262" w:firstLineChars="526"/>
        <w:rPr>
          <w:rFonts w:hint="eastAsia" w:ascii="宋体" w:hAnsi="宋体" w:eastAsia="宋体" w:cs="宋体"/>
          <w:highlight w:val="none"/>
        </w:rPr>
      </w:pPr>
      <w:r>
        <w:rPr>
          <w:rFonts w:hint="eastAsia" w:ascii="宋体" w:hAnsi="宋体" w:eastAsia="宋体" w:cs="宋体"/>
          <w:highlight w:val="none"/>
        </w:rPr>
        <w:t>3、技术部分由磋商小组专家分别打分后，取平均分作为技术分最后得分。</w:t>
      </w:r>
    </w:p>
    <w:p>
      <w:pPr>
        <w:pStyle w:val="8"/>
        <w:kinsoku w:val="0"/>
        <w:overflowPunct w:val="0"/>
        <w:spacing w:before="34" w:line="357" w:lineRule="auto"/>
        <w:ind w:left="836" w:leftChars="398" w:right="126" w:firstLine="540" w:firstLineChars="225"/>
        <w:rPr>
          <w:rFonts w:hint="eastAsia" w:ascii="宋体" w:hAnsi="宋体" w:eastAsia="宋体" w:cs="宋体"/>
          <w:highlight w:val="none"/>
        </w:rPr>
      </w:pPr>
      <w:r>
        <w:rPr>
          <w:rFonts w:hint="eastAsia" w:ascii="宋体" w:hAnsi="宋体" w:eastAsia="宋体" w:cs="宋体"/>
          <w:highlight w:val="none"/>
        </w:rPr>
        <w:t>4、供应商综合评分最终总分值为投标报价、商务部分和技术部分三部分得分总和。评分计算保留 2 位小数，第三位小数四舍五入。</w:t>
      </w:r>
    </w:p>
    <w:p>
      <w:pPr>
        <w:pStyle w:val="8"/>
        <w:kinsoku w:val="0"/>
        <w:overflowPunct w:val="0"/>
        <w:spacing w:before="34" w:line="357" w:lineRule="auto"/>
        <w:ind w:left="836" w:leftChars="398" w:right="126" w:firstLine="540" w:firstLineChars="225"/>
        <w:rPr>
          <w:rFonts w:hint="eastAsia" w:ascii="宋体" w:hAnsi="宋体" w:eastAsia="宋体" w:cs="宋体"/>
          <w:highlight w:val="none"/>
        </w:rPr>
      </w:pPr>
      <w:r>
        <w:rPr>
          <w:rFonts w:hint="eastAsia" w:ascii="宋体" w:hAnsi="宋体" w:eastAsia="宋体" w:cs="宋体"/>
          <w:highlight w:val="none"/>
        </w:rPr>
        <w:t>5、得分相同的，按投标报价由低到高顺序排列。得分且投标报价相同的，按技术指标优劣顺序排列。</w:t>
      </w:r>
    </w:p>
    <w:p>
      <w:pPr>
        <w:pStyle w:val="8"/>
        <w:kinsoku w:val="0"/>
        <w:overflowPunct w:val="0"/>
        <w:spacing w:before="34" w:line="357" w:lineRule="auto"/>
        <w:ind w:left="836" w:leftChars="398" w:right="126" w:firstLine="540" w:firstLineChars="225"/>
        <w:rPr>
          <w:rFonts w:hint="eastAsia" w:ascii="宋体" w:hAnsi="宋体" w:eastAsia="宋体" w:cs="宋体"/>
          <w:highlight w:val="none"/>
        </w:rPr>
      </w:pPr>
      <w:r>
        <w:rPr>
          <w:rFonts w:hint="eastAsia" w:ascii="宋体" w:hAnsi="宋体" w:eastAsia="宋体" w:cs="宋体"/>
          <w:highlight w:val="none"/>
        </w:rPr>
        <w:t>6、磋商小组按评分排序确定中标人，同时提交评标报告，由磋商小组成员集体签名。第一中标候选人放弃中标后，由第二名作为中标候选人，依次类推。</w:t>
      </w:r>
    </w:p>
    <w:p>
      <w:pPr>
        <w:pStyle w:val="8"/>
        <w:kinsoku w:val="0"/>
        <w:overflowPunct w:val="0"/>
        <w:spacing w:before="34" w:line="357" w:lineRule="auto"/>
        <w:ind w:right="126" w:firstLine="1262" w:firstLineChars="526"/>
        <w:rPr>
          <w:rFonts w:hint="eastAsia" w:ascii="宋体" w:hAnsi="宋体" w:eastAsia="宋体" w:cs="宋体"/>
          <w:highlight w:val="none"/>
        </w:rPr>
      </w:pPr>
      <w:r>
        <w:rPr>
          <w:rFonts w:hint="eastAsia" w:ascii="宋体" w:hAnsi="宋体" w:eastAsia="宋体" w:cs="宋体"/>
          <w:highlight w:val="none"/>
        </w:rPr>
        <w:t>7、评标中如遇未考虑到的问题，由磋商小组成员集体研究处理决定。</w:t>
      </w:r>
    </w:p>
    <w:p>
      <w:pPr>
        <w:pStyle w:val="8"/>
        <w:kinsoku w:val="0"/>
        <w:overflowPunct w:val="0"/>
        <w:spacing w:before="34"/>
        <w:jc w:val="both"/>
        <w:rPr>
          <w:rFonts w:hint="eastAsia" w:ascii="宋体" w:hAnsi="宋体" w:eastAsia="宋体" w:cs="宋体"/>
          <w:b/>
          <w:bCs/>
          <w:highlight w:val="none"/>
        </w:rPr>
      </w:pPr>
      <w:r>
        <w:rPr>
          <w:rFonts w:hint="eastAsia" w:ascii="宋体" w:hAnsi="宋体" w:eastAsia="宋体" w:cs="宋体"/>
          <w:b/>
          <w:bCs/>
          <w:highlight w:val="none"/>
        </w:rPr>
        <w:t xml:space="preserve"> 其他注意事项：</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（1）评审工作在磋商小组内独立进行。</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2）为了有助于对投标进行审查、评估和比较，磋商小组有权向供应商质疑、查看有关资质原件、供应商解释投标内容。供应商有责任按照磋商小组通知的时间、地点指派专人进行答疑、澄清、提供有关资质原件。</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（3）在开标、评标期间，供应商不得向磋商小组成员询问情况，不得进行影响评标结果的活动。</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（4）采购人、招标机构及磋商小组不向落标方解释原因，不保证最低价中标，不退还磋商响应性文件。</w:t>
      </w:r>
    </w:p>
    <w:p>
      <w:pPr>
        <w:pStyle w:val="8"/>
        <w:kinsoku w:val="0"/>
        <w:overflowPunct w:val="0"/>
        <w:spacing w:before="34" w:line="357" w:lineRule="auto"/>
        <w:ind w:right="126" w:firstLine="480"/>
        <w:rPr>
          <w:rFonts w:hint="eastAsia" w:ascii="宋体" w:hAnsi="宋体" w:eastAsia="宋体" w:cs="宋体"/>
          <w:highlight w:val="none"/>
        </w:rPr>
      </w:pPr>
      <w:r>
        <w:rPr>
          <w:rFonts w:hint="eastAsia" w:ascii="宋体" w:hAnsi="宋体" w:eastAsia="宋体" w:cs="宋体"/>
          <w:highlight w:val="none"/>
        </w:rPr>
        <w:t>（5）在招标过程中如供应商有不正当行为时，磋商小组有权中止其投标资格。</w:t>
      </w:r>
    </w:p>
    <w:p>
      <w:pPr>
        <w:pStyle w:val="8"/>
        <w:kinsoku w:val="0"/>
        <w:overflowPunct w:val="0"/>
        <w:spacing w:before="34" w:line="357" w:lineRule="auto"/>
        <w:ind w:left="598"/>
        <w:rPr>
          <w:rFonts w:hint="eastAsia" w:ascii="宋体" w:hAnsi="宋体" w:eastAsia="宋体" w:cs="宋体"/>
          <w:highlight w:val="none"/>
        </w:rPr>
      </w:pPr>
      <w:r>
        <w:rPr>
          <w:rFonts w:hint="eastAsia" w:ascii="宋体" w:hAnsi="宋体" w:eastAsia="宋体" w:cs="宋体"/>
          <w:b/>
          <w:bCs/>
          <w:highlight w:val="none"/>
        </w:rPr>
        <w:t>本评标办法解释权归采购人。</w:t>
      </w:r>
    </w:p>
    <w:p>
      <w:pPr>
        <w:pStyle w:val="2"/>
        <w:numPr>
          <w:ilvl w:val="0"/>
          <w:numId w:val="4"/>
        </w:numPr>
        <w:rPr>
          <w:rFonts w:hint="eastAsia" w:ascii="方正小标宋_GBK" w:hAnsi="方正小标宋_GBK" w:eastAsia="方正小标宋_GBK" w:cs="方正小标宋_GBK"/>
          <w:sz w:val="28"/>
          <w:szCs w:val="28"/>
        </w:rPr>
      </w:pPr>
      <w:r>
        <w:rPr>
          <w:rFonts w:hint="eastAsia" w:ascii="宋体" w:hAnsi="宋体" w:eastAsia="宋体" w:cs="宋体"/>
          <w:highlight w:val="none"/>
        </w:rPr>
        <w:br w:type="page"/>
      </w:r>
      <w:bookmarkStart w:id="71" w:name="_Toc14707"/>
      <w:r>
        <w:rPr>
          <w:rFonts w:hint="eastAsia" w:ascii="宋体" w:hAnsi="宋体" w:eastAsia="宋体" w:cs="宋体"/>
          <w:highlight w:val="none"/>
          <w:lang w:val="en-US" w:eastAsia="zh-CN"/>
        </w:rPr>
        <w:t xml:space="preserve"> </w:t>
      </w:r>
      <w:r>
        <w:rPr>
          <w:rFonts w:hint="eastAsia" w:ascii="宋体" w:hAnsi="宋体" w:eastAsia="宋体" w:cs="宋体"/>
          <w:spacing w:val="1"/>
          <w:highlight w:val="none"/>
        </w:rPr>
        <w:t>磋商内容</w:t>
      </w:r>
      <w:bookmarkEnd w:id="71"/>
    </w:p>
    <w:p>
      <w:pPr>
        <w:pStyle w:val="4"/>
        <w:spacing w:line="348" w:lineRule="auto"/>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项目概况</w:t>
      </w:r>
    </w:p>
    <w:p>
      <w:pPr>
        <w:spacing w:line="348" w:lineRule="auto"/>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乌鲁木齐市天山区团结路471号（原47号）有一座土木结构的苏式平房，建筑面积为574平方米，该建筑原为迪化友协俱乐部一部分，隶属中苏友协新疆分会。始建于1947年，1956年后以放映电影为主，1962年交由自治区文化厅管理，1968年停止营业，1970年俱乐部主体拆除，该房产作为迪化友协俱乐部附属建筑仍保留至今。中苏友协新疆分会旧址建筑平面呈矩形，坐东朝西，南北长28.2米，东西宽17.7米。主体结构为双层屋顶的土木结构形式，墙体采用砖包皮作法，属典型的苏式建筑风格。本次工作仅对旧址建筑外立面进行日常保养性加固。</w:t>
      </w:r>
    </w:p>
    <w:p>
      <w:pPr>
        <w:spacing w:line="348"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采购预算金额：920084.25元；</w:t>
      </w:r>
    </w:p>
    <w:p>
      <w:pPr>
        <w:spacing w:line="348" w:lineRule="auto"/>
        <w:ind w:firstLine="480" w:firstLineChars="200"/>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建筑安装工程费预算：838040.97元</w:t>
      </w:r>
    </w:p>
    <w:p>
      <w:pPr>
        <w:spacing w:line="348" w:lineRule="auto"/>
        <w:ind w:firstLine="480" w:firstLineChars="200"/>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地勘费预算：15000元</w:t>
      </w:r>
    </w:p>
    <w:p>
      <w:pPr>
        <w:spacing w:line="348" w:lineRule="auto"/>
        <w:ind w:firstLine="480" w:firstLineChars="200"/>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设计费预算：67043.28元</w:t>
      </w:r>
    </w:p>
    <w:p>
      <w:pPr>
        <w:spacing w:line="348" w:lineRule="auto"/>
        <w:ind w:firstLine="480" w:firstLineChars="200"/>
        <w:rPr>
          <w:rFonts w:hint="default" w:ascii="宋体" w:hAnsi="宋体" w:cs="宋体"/>
          <w:color w:val="000000"/>
          <w:sz w:val="24"/>
          <w:szCs w:val="24"/>
          <w:highlight w:val="yellow"/>
          <w:lang w:val="en-US" w:eastAsia="zh-CN"/>
        </w:rPr>
      </w:pPr>
      <w:r>
        <w:rPr>
          <w:rFonts w:hint="eastAsia" w:ascii="宋体" w:hAnsi="宋体" w:cs="宋体"/>
          <w:color w:val="000000"/>
          <w:sz w:val="24"/>
          <w:szCs w:val="24"/>
          <w:highlight w:val="none"/>
          <w:lang w:val="en-US" w:eastAsia="zh-CN"/>
        </w:rPr>
        <w:t>本项目前期设计费用和地勘费用由中标单位支付。</w:t>
      </w:r>
    </w:p>
    <w:p>
      <w:pPr>
        <w:spacing w:line="348" w:lineRule="auto"/>
        <w:ind w:firstLine="480" w:firstLineChars="200"/>
        <w:rPr>
          <w:rFonts w:hint="default" w:ascii="宋体" w:hAnsi="宋体" w:cs="宋体"/>
          <w:color w:val="000000"/>
          <w:sz w:val="24"/>
          <w:szCs w:val="24"/>
          <w:lang w:val="en-US" w:eastAsia="zh-CN"/>
        </w:rPr>
      </w:pPr>
      <w:r>
        <w:rPr>
          <w:rFonts w:hint="eastAsia" w:ascii="宋体" w:hAnsi="宋体" w:cs="宋体"/>
          <w:color w:val="000000"/>
          <w:sz w:val="24"/>
          <w:szCs w:val="24"/>
          <w:highlight w:val="none"/>
          <w:lang w:val="en-US" w:eastAsia="zh-CN"/>
        </w:rPr>
        <w:t>项目工期：自合同签订起，150个日历日</w:t>
      </w:r>
    </w:p>
    <w:p>
      <w:pPr>
        <w:pStyle w:val="4"/>
        <w:spacing w:line="348" w:lineRule="auto"/>
        <w:jc w:val="left"/>
        <w:rPr>
          <w:rFonts w:hint="eastAsia" w:ascii="宋体" w:hAnsi="宋体" w:eastAsia="宋体" w:cs="宋体"/>
          <w:color w:val="000000"/>
          <w:sz w:val="28"/>
          <w:szCs w:val="28"/>
        </w:rPr>
      </w:pPr>
      <w:bookmarkStart w:id="72" w:name="_Toc7585"/>
      <w:bookmarkStart w:id="73" w:name="_Toc14511"/>
      <w:bookmarkStart w:id="74" w:name="_Toc20793"/>
      <w:bookmarkStart w:id="75" w:name="_Toc1560414653"/>
      <w:r>
        <w:rPr>
          <w:rFonts w:hint="eastAsia" w:ascii="宋体" w:hAnsi="宋体" w:eastAsia="宋体" w:cs="宋体"/>
          <w:color w:val="000000"/>
          <w:sz w:val="28"/>
          <w:szCs w:val="28"/>
        </w:rPr>
        <w:t>2.工程概述</w:t>
      </w:r>
      <w:bookmarkEnd w:id="72"/>
      <w:bookmarkEnd w:id="73"/>
      <w:bookmarkEnd w:id="74"/>
      <w:bookmarkEnd w:id="75"/>
    </w:p>
    <w:p>
      <w:pPr>
        <w:pStyle w:val="3"/>
        <w:spacing w:line="348" w:lineRule="auto"/>
        <w:rPr>
          <w:rFonts w:hint="eastAsia" w:ascii="宋体" w:hAnsi="宋体" w:eastAsia="宋体" w:cs="宋体"/>
          <w:sz w:val="28"/>
          <w:szCs w:val="28"/>
        </w:rPr>
      </w:pPr>
      <w:bookmarkStart w:id="76" w:name="_Toc13737"/>
      <w:bookmarkStart w:id="77" w:name="_Toc25612"/>
      <w:bookmarkStart w:id="78" w:name="_Toc26854"/>
      <w:bookmarkStart w:id="79" w:name="_Toc818775807"/>
      <w:r>
        <w:rPr>
          <w:rFonts w:hint="eastAsia" w:ascii="宋体" w:hAnsi="宋体" w:eastAsia="宋体" w:cs="宋体"/>
          <w:sz w:val="28"/>
          <w:szCs w:val="28"/>
        </w:rPr>
        <w:t>2.1工程性质</w:t>
      </w:r>
      <w:bookmarkEnd w:id="76"/>
      <w:bookmarkEnd w:id="77"/>
      <w:bookmarkEnd w:id="78"/>
      <w:bookmarkEnd w:id="79"/>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针对</w:t>
      </w:r>
      <w:r>
        <w:rPr>
          <w:rFonts w:hint="eastAsia" w:ascii="宋体" w:hAnsi="宋体" w:cs="宋体"/>
          <w:color w:val="000000"/>
          <w:sz w:val="24"/>
          <w:szCs w:val="24"/>
          <w:lang w:eastAsia="zh-CN"/>
        </w:rPr>
        <w:t>中苏友协新疆分会旧址</w:t>
      </w:r>
      <w:r>
        <w:rPr>
          <w:rFonts w:hint="eastAsia" w:ascii="宋体" w:hAnsi="宋体" w:cs="宋体"/>
          <w:color w:val="000000"/>
          <w:sz w:val="24"/>
          <w:szCs w:val="24"/>
        </w:rPr>
        <w:t>建筑残损内容、程度及原因，结构部位残损点受力状态，依据现行近现代文物建筑保护工程设计文件编制规范评估</w:t>
      </w:r>
      <w:r>
        <w:rPr>
          <w:rFonts w:hint="eastAsia" w:ascii="宋体" w:hAnsi="宋体" w:cs="宋体"/>
          <w:color w:val="000000"/>
          <w:sz w:val="24"/>
          <w:szCs w:val="24"/>
          <w:lang w:eastAsia="zh-CN"/>
        </w:rPr>
        <w:t>中苏友协新疆分会旧址</w:t>
      </w:r>
      <w:r>
        <w:rPr>
          <w:rFonts w:hint="eastAsia" w:ascii="宋体" w:hAnsi="宋体" w:cs="宋体"/>
          <w:color w:val="000000"/>
          <w:sz w:val="24"/>
          <w:szCs w:val="24"/>
        </w:rPr>
        <w:t>，最后得出勘察结论，确定本次工程性质为</w:t>
      </w:r>
      <w:r>
        <w:rPr>
          <w:rFonts w:hint="eastAsia" w:ascii="宋体" w:hAnsi="宋体" w:cs="宋体"/>
          <w:color w:val="000000"/>
          <w:sz w:val="24"/>
          <w:szCs w:val="24"/>
          <w:lang w:val="en-US" w:eastAsia="zh-CN"/>
        </w:rPr>
        <w:t>日常保养</w:t>
      </w:r>
      <w:r>
        <w:rPr>
          <w:rFonts w:hint="eastAsia" w:ascii="宋体" w:hAnsi="宋体" w:cs="宋体"/>
          <w:color w:val="000000"/>
          <w:sz w:val="24"/>
          <w:szCs w:val="24"/>
        </w:rPr>
        <w:t>工程。</w:t>
      </w:r>
    </w:p>
    <w:p>
      <w:pPr>
        <w:pStyle w:val="3"/>
        <w:spacing w:line="348" w:lineRule="auto"/>
        <w:rPr>
          <w:rFonts w:hint="eastAsia" w:ascii="宋体" w:hAnsi="宋体" w:eastAsia="宋体" w:cs="宋体"/>
          <w:sz w:val="28"/>
          <w:szCs w:val="28"/>
        </w:rPr>
      </w:pPr>
      <w:bookmarkStart w:id="80" w:name="_Toc30788"/>
      <w:bookmarkStart w:id="81" w:name="_Toc18622"/>
      <w:bookmarkStart w:id="82" w:name="_Toc89778273"/>
      <w:bookmarkStart w:id="83" w:name="_Toc31994"/>
      <w:r>
        <w:rPr>
          <w:rFonts w:hint="eastAsia" w:ascii="宋体" w:hAnsi="宋体" w:eastAsia="宋体" w:cs="宋体"/>
          <w:sz w:val="28"/>
          <w:szCs w:val="28"/>
        </w:rPr>
        <w:t>2.2工程范围</w:t>
      </w:r>
      <w:bookmarkEnd w:id="80"/>
      <w:bookmarkEnd w:id="81"/>
      <w:r>
        <w:rPr>
          <w:rFonts w:hint="eastAsia" w:ascii="宋体" w:hAnsi="宋体" w:eastAsia="宋体" w:cs="宋体"/>
          <w:sz w:val="28"/>
          <w:szCs w:val="28"/>
        </w:rPr>
        <w:t>及规模</w:t>
      </w:r>
      <w:bookmarkEnd w:id="82"/>
      <w:bookmarkEnd w:id="83"/>
    </w:p>
    <w:p>
      <w:pPr>
        <w:widowControl/>
        <w:spacing w:line="348"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本次修缮工程范围是</w:t>
      </w:r>
      <w:r>
        <w:rPr>
          <w:rFonts w:hint="eastAsia" w:ascii="宋体" w:hAnsi="宋体" w:cs="宋体"/>
          <w:color w:val="000000"/>
          <w:sz w:val="24"/>
          <w:szCs w:val="24"/>
          <w:lang w:eastAsia="zh-CN"/>
        </w:rPr>
        <w:t>中苏友协新疆分会旧址</w:t>
      </w:r>
      <w:r>
        <w:rPr>
          <w:rFonts w:hint="eastAsia" w:ascii="宋体" w:hAnsi="宋体" w:cs="宋体"/>
          <w:color w:val="000000"/>
          <w:sz w:val="24"/>
          <w:szCs w:val="24"/>
        </w:rPr>
        <w:t>建筑本体</w:t>
      </w:r>
      <w:r>
        <w:rPr>
          <w:rFonts w:ascii="宋体" w:hAnsi="宋体" w:cs="宋体"/>
          <w:color w:val="000000"/>
          <w:sz w:val="24"/>
          <w:szCs w:val="24"/>
        </w:rPr>
        <w:t>及周边环境</w:t>
      </w:r>
      <w:r>
        <w:rPr>
          <w:rFonts w:hint="eastAsia" w:ascii="宋体" w:hAnsi="宋体" w:cs="宋体"/>
          <w:color w:val="000000"/>
          <w:sz w:val="24"/>
          <w:szCs w:val="24"/>
        </w:rPr>
        <w:t>。</w:t>
      </w:r>
    </w:p>
    <w:p>
      <w:pPr>
        <w:widowControl/>
        <w:spacing w:before="156" w:beforeLines="50" w:line="348" w:lineRule="auto"/>
        <w:jc w:val="center"/>
        <w:rPr>
          <w:rFonts w:hint="eastAsia" w:ascii="宋体" w:hAnsi="宋体" w:cs="宋体"/>
          <w:color w:val="000000"/>
          <w:sz w:val="20"/>
          <w:szCs w:val="20"/>
        </w:rPr>
      </w:pPr>
      <w:r>
        <w:rPr>
          <w:rFonts w:hint="eastAsia" w:ascii="宋体" w:hAnsi="宋体" w:cs="宋体"/>
          <w:color w:val="000000"/>
          <w:sz w:val="20"/>
          <w:szCs w:val="20"/>
        </w:rPr>
        <w:drawing>
          <wp:inline distT="0" distB="0" distL="114300" distR="114300">
            <wp:extent cx="5287645" cy="4243070"/>
            <wp:effectExtent l="9525" t="9525" r="21590" b="14605"/>
            <wp:docPr id="122" name="图片 3" descr="C:\Users\Administrator\Desktop\1416311556492.jpg1416311556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3" descr="C:\Users\Administrator\Desktop\1416311556492.jpg1416311556492"/>
                    <pic:cNvPicPr>
                      <a:picLocks noChangeAspect="1"/>
                    </pic:cNvPicPr>
                  </pic:nvPicPr>
                  <pic:blipFill>
                    <a:blip r:embed="rId8"/>
                    <a:stretch>
                      <a:fillRect/>
                    </a:stretch>
                  </pic:blipFill>
                  <pic:spPr>
                    <a:xfrm>
                      <a:off x="0" y="0"/>
                      <a:ext cx="5287645" cy="4243070"/>
                    </a:xfrm>
                    <a:prstGeom prst="rect">
                      <a:avLst/>
                    </a:prstGeom>
                    <a:noFill/>
                    <a:ln w="9525" cap="flat" cmpd="sng">
                      <a:solidFill>
                        <a:srgbClr val="000000"/>
                      </a:solidFill>
                      <a:prstDash val="solid"/>
                      <a:miter/>
                      <a:headEnd type="none" w="med" len="med"/>
                      <a:tailEnd type="none" w="med" len="med"/>
                    </a:ln>
                  </pic:spPr>
                </pic:pic>
              </a:graphicData>
            </a:graphic>
          </wp:inline>
        </w:drawing>
      </w:r>
    </w:p>
    <w:p>
      <w:pPr>
        <w:widowControl/>
        <w:spacing w:before="156" w:beforeLines="50" w:line="348" w:lineRule="auto"/>
        <w:jc w:val="center"/>
        <w:rPr>
          <w:rFonts w:hint="eastAsia" w:ascii="宋体" w:hAnsi="宋体" w:cs="宋体"/>
          <w:color w:val="000000"/>
          <w:sz w:val="20"/>
          <w:szCs w:val="20"/>
        </w:rPr>
      </w:pPr>
      <w:r>
        <w:rPr>
          <w:rFonts w:hint="eastAsia" w:ascii="宋体" w:hAnsi="宋体" w:cs="宋体"/>
          <w:color w:val="000000"/>
          <w:sz w:val="20"/>
          <w:szCs w:val="20"/>
        </w:rPr>
        <w:t>本次工程拟修缮范围</w:t>
      </w:r>
    </w:p>
    <w:p>
      <w:pPr>
        <w:rPr>
          <w:rFonts w:hint="eastAsia"/>
          <w:sz w:val="20"/>
          <w:szCs w:val="22"/>
        </w:rPr>
      </w:pPr>
    </w:p>
    <w:p>
      <w:pPr>
        <w:pStyle w:val="4"/>
        <w:spacing w:line="348" w:lineRule="auto"/>
        <w:jc w:val="left"/>
        <w:rPr>
          <w:rFonts w:hint="eastAsia" w:ascii="宋体" w:hAnsi="宋体" w:eastAsia="宋体" w:cs="宋体"/>
          <w:color w:val="000000"/>
          <w:sz w:val="28"/>
          <w:szCs w:val="28"/>
        </w:rPr>
      </w:pPr>
      <w:bookmarkStart w:id="84" w:name="_Toc3727"/>
      <w:bookmarkStart w:id="85" w:name="_Toc31223"/>
      <w:bookmarkStart w:id="86" w:name="_Toc25386"/>
      <w:bookmarkStart w:id="87" w:name="_Toc1369914117"/>
      <w:r>
        <w:rPr>
          <w:rFonts w:hint="eastAsia" w:ascii="宋体" w:hAnsi="宋体" w:eastAsia="宋体" w:cs="宋体"/>
          <w:color w:val="000000"/>
          <w:sz w:val="28"/>
          <w:szCs w:val="28"/>
        </w:rPr>
        <w:t>3.保护措施</w:t>
      </w:r>
      <w:bookmarkEnd w:id="84"/>
      <w:bookmarkEnd w:id="85"/>
      <w:r>
        <w:rPr>
          <w:rFonts w:hint="eastAsia" w:ascii="宋体" w:hAnsi="宋体" w:eastAsia="宋体" w:cs="宋体"/>
          <w:color w:val="000000"/>
          <w:sz w:val="28"/>
          <w:szCs w:val="28"/>
        </w:rPr>
        <w:t>说明</w:t>
      </w:r>
      <w:bookmarkEnd w:id="86"/>
      <w:bookmarkEnd w:id="87"/>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严格遵守不改变文物原状的原则，尽可能真实完整的保存</w:t>
      </w:r>
      <w:r>
        <w:rPr>
          <w:rFonts w:hint="eastAsia" w:ascii="宋体" w:hAnsi="宋体" w:cs="宋体"/>
          <w:color w:val="000000"/>
          <w:sz w:val="24"/>
          <w:szCs w:val="24"/>
          <w:lang w:eastAsia="zh-CN"/>
        </w:rPr>
        <w:t>中苏友协新疆分会旧址</w:t>
      </w:r>
      <w:r>
        <w:rPr>
          <w:rFonts w:hint="eastAsia" w:ascii="宋体" w:hAnsi="宋体" w:cs="宋体"/>
          <w:color w:val="000000"/>
          <w:sz w:val="24"/>
          <w:szCs w:val="24"/>
        </w:rPr>
        <w:t>的历史原貌和建筑特色。在维修过程中以本建筑现有传统做法为主要的修复手法，对于近代改变原状的做法和工程上的错误做法，要在本次维修中予以纠正，恢复原貌。</w:t>
      </w:r>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以实地勘察结果及对结构可靠性进行的评估作为基本判断标准，根据“中国文物古迹保护准则”所提出的修缮原则作为基本修缮策略。针对文物建筑现状，本次修缮主要的策略为：重点修复、原状修整、日常保养和防护加固。</w:t>
      </w:r>
    </w:p>
    <w:p>
      <w:pPr>
        <w:spacing w:line="348" w:lineRule="auto"/>
        <w:ind w:firstLine="480" w:firstLineChars="200"/>
        <w:rPr>
          <w:rFonts w:hint="eastAsia" w:ascii="宋体" w:hAnsi="宋体" w:cs="宋体"/>
          <w:color w:val="000000"/>
          <w:sz w:val="24"/>
          <w:szCs w:val="24"/>
        </w:rPr>
      </w:pPr>
      <w:bookmarkStart w:id="88" w:name="_Toc1962"/>
      <w:bookmarkStart w:id="89" w:name="_Toc3304"/>
      <w:bookmarkStart w:id="90" w:name="_Toc26030"/>
      <w:bookmarkStart w:id="91" w:name="_Toc3836"/>
      <w:r>
        <w:rPr>
          <w:rFonts w:hint="eastAsia" w:ascii="宋体" w:hAnsi="宋体" w:cs="宋体"/>
          <w:color w:val="000000"/>
          <w:sz w:val="24"/>
          <w:szCs w:val="24"/>
          <w:lang w:eastAsia="zh-CN"/>
        </w:rPr>
        <w:t>中苏友协新疆分会旧址</w:t>
      </w:r>
      <w:r>
        <w:rPr>
          <w:rFonts w:hint="eastAsia" w:ascii="宋体" w:hAnsi="宋体" w:cs="宋体"/>
          <w:color w:val="000000"/>
          <w:sz w:val="24"/>
          <w:szCs w:val="24"/>
        </w:rPr>
        <w:t>：主要包括对</w:t>
      </w:r>
      <w:r>
        <w:rPr>
          <w:rFonts w:ascii="宋体" w:hAnsi="宋体" w:cs="宋体"/>
          <w:color w:val="000000"/>
          <w:sz w:val="24"/>
          <w:szCs w:val="24"/>
        </w:rPr>
        <w:t>基础、</w:t>
      </w:r>
      <w:r>
        <w:rPr>
          <w:rFonts w:hint="eastAsia" w:ascii="宋体" w:hAnsi="宋体" w:cs="宋体"/>
          <w:color w:val="000000"/>
          <w:sz w:val="24"/>
          <w:szCs w:val="24"/>
        </w:rPr>
        <w:t>散水、室内外地面、内外墙体、门窗进行修缮。</w:t>
      </w:r>
    </w:p>
    <w:p>
      <w:pPr>
        <w:spacing w:line="348" w:lineRule="auto"/>
        <w:ind w:firstLine="482" w:firstLineChars="200"/>
        <w:outlineLvl w:val="2"/>
        <w:rPr>
          <w:rFonts w:hint="eastAsia" w:ascii="宋体" w:hAnsi="宋体" w:cs="宋体"/>
          <w:b/>
          <w:bCs/>
          <w:color w:val="000000"/>
          <w:sz w:val="24"/>
          <w:szCs w:val="24"/>
        </w:rPr>
      </w:pPr>
      <w:bookmarkStart w:id="92" w:name="_Toc28190"/>
      <w:bookmarkStart w:id="93" w:name="_Toc974384932"/>
      <w:r>
        <w:rPr>
          <w:rFonts w:hint="eastAsia" w:ascii="宋体" w:hAnsi="宋体" w:cs="宋体"/>
          <w:b/>
          <w:bCs/>
          <w:color w:val="000000"/>
          <w:sz w:val="24"/>
          <w:szCs w:val="24"/>
        </w:rPr>
        <w:t>3.1基础</w:t>
      </w:r>
      <w:bookmarkEnd w:id="88"/>
      <w:bookmarkEnd w:id="89"/>
      <w:bookmarkEnd w:id="90"/>
      <w:bookmarkEnd w:id="91"/>
      <w:bookmarkEnd w:id="92"/>
      <w:bookmarkEnd w:id="93"/>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lang w:val="en-US" w:eastAsia="zh-CN"/>
        </w:rPr>
        <w:t>由于受现场环境等因素影响，本次设计勘察深度未涉及基础部分，待施工单位进场满足勘察条件时，可由设计方赴现场二次勘察，给出基础加固建议及方案。</w:t>
      </w:r>
    </w:p>
    <w:p>
      <w:pPr>
        <w:spacing w:line="348" w:lineRule="auto"/>
        <w:ind w:firstLine="482" w:firstLineChars="200"/>
        <w:outlineLvl w:val="2"/>
        <w:rPr>
          <w:rFonts w:hint="eastAsia" w:ascii="宋体" w:hAnsi="宋体" w:cs="宋体"/>
          <w:b/>
          <w:bCs/>
          <w:color w:val="000000"/>
          <w:sz w:val="24"/>
          <w:szCs w:val="24"/>
        </w:rPr>
      </w:pPr>
      <w:bookmarkStart w:id="94" w:name="_Toc25446"/>
      <w:bookmarkStart w:id="95" w:name="_Toc1924743749"/>
      <w:r>
        <w:rPr>
          <w:rFonts w:hint="eastAsia" w:ascii="宋体" w:hAnsi="宋体" w:cs="宋体"/>
          <w:b/>
          <w:bCs/>
          <w:color w:val="000000"/>
          <w:sz w:val="24"/>
          <w:szCs w:val="24"/>
        </w:rPr>
        <w:t>3.2散水</w:t>
      </w:r>
      <w:bookmarkEnd w:id="94"/>
      <w:bookmarkEnd w:id="95"/>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lang w:eastAsia="zh-CN"/>
        </w:rPr>
        <w:t>中苏友协新疆分会旧址</w:t>
      </w:r>
      <w:r>
        <w:rPr>
          <w:rFonts w:ascii="宋体" w:hAnsi="宋体" w:cs="宋体"/>
          <w:color w:val="000000"/>
          <w:sz w:val="24"/>
          <w:szCs w:val="24"/>
        </w:rPr>
        <w:t>需要</w:t>
      </w:r>
      <w:r>
        <w:rPr>
          <w:rFonts w:hint="eastAsia" w:ascii="宋体" w:hAnsi="宋体" w:cs="宋体"/>
          <w:color w:val="000000"/>
          <w:sz w:val="24"/>
          <w:szCs w:val="24"/>
        </w:rPr>
        <w:t>重新恢复室外地面散水。</w:t>
      </w:r>
    </w:p>
    <w:p>
      <w:pPr>
        <w:spacing w:line="348" w:lineRule="auto"/>
        <w:ind w:firstLine="482" w:firstLineChars="200"/>
        <w:rPr>
          <w:rFonts w:hint="eastAsia" w:ascii="宋体" w:hAnsi="宋体" w:cs="宋体"/>
          <w:color w:val="000000"/>
          <w:sz w:val="24"/>
          <w:szCs w:val="24"/>
        </w:rPr>
      </w:pPr>
      <w:r>
        <w:rPr>
          <w:rFonts w:hint="eastAsia" w:ascii="宋体" w:hAnsi="宋体" w:cs="宋体"/>
          <w:b/>
          <w:bCs/>
          <w:color w:val="000000"/>
          <w:sz w:val="24"/>
          <w:szCs w:val="24"/>
        </w:rPr>
        <w:t>3.2.1 散水做法</w:t>
      </w:r>
    </w:p>
    <w:p>
      <w:pPr>
        <w:numPr>
          <w:ilvl w:val="0"/>
          <w:numId w:val="5"/>
        </w:num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散水与外墙面断缝，打封闭胶或灌沥青砂。断缝宽度一致，胶面平整、光滑。断缝宽度：20mm。</w:t>
      </w:r>
    </w:p>
    <w:p>
      <w:pPr>
        <w:numPr>
          <w:ilvl w:val="0"/>
          <w:numId w:val="5"/>
        </w:num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散水拐角处均设置断缝，注封闭胶或沥青砂。</w:t>
      </w:r>
    </w:p>
    <w:p>
      <w:pPr>
        <w:numPr>
          <w:ilvl w:val="0"/>
          <w:numId w:val="5"/>
        </w:num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室外台阶、坡道、散水等部位，应与建筑物主体断开设缝，缝应宽窄一致、顺直，缝中填柔性材料。砼散水应在外墙饰面工程完成后再施工。首先必须确保基土回填土和灰土垫层的夯填质量，杜绝不均匀下沉现象发生。模板的支设要拉通线、抄平，要做到通顺平直，坡向正确(向外坡4%)。严禁用砖砌代替模板，散水与建筑物外墙分离，缝宽20mm，不准用油毡隔缝。</w:t>
      </w:r>
    </w:p>
    <w:p>
      <w:pPr>
        <w:numPr>
          <w:ilvl w:val="0"/>
          <w:numId w:val="5"/>
        </w:num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纵向6m左右分格，缝宽20mm，施工时应分块筑打，震实压光，随打随抹一次成活。要求散水表面密实光洁，无裂缝、脱皮、麻面和起砂等现象。缝内填塞1：2沥青砂浆(宜掺适量滑石粉)要勾抹烫压平整，或在其表面再用油膏嵌缝，则观感效果更好，不允许用热沥青灌缝。并注意纵向分格缝要避开落水管出口处，以免雨水从缝内浸入基础。</w:t>
      </w:r>
    </w:p>
    <w:p>
      <w:pPr>
        <w:numPr>
          <w:ilvl w:val="0"/>
          <w:numId w:val="5"/>
        </w:num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塞缝工作要认真，不得污染外饰面墙裙。分格条要及时取出，不得残留少许木分格条不填缝。散水分格缝也可采用予制沥青砂浆锯末板隔缝，但要统一规格，精心制作，散水砼完工后，上表面再用油膏嵌缝。此外要严禁在已完成的砼散水有面上拌和砂浆，影响观感质量。</w:t>
      </w:r>
    </w:p>
    <w:p>
      <w:pPr>
        <w:numPr>
          <w:ilvl w:val="0"/>
          <w:numId w:val="5"/>
        </w:num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散水、台阶必须做到内高外低，按规范要求找坡确保不积水，散水与墙面处、沉降缝处、伸缩缝及沿散水纵长度每4m均留出变形缝，断缝宽度一律为20mm宽，缝深为基层和面层混凝土之和，用沥青砂浆勾平缝，为保证散水外观质量，散水下的回填土密实度要达到规范要求，散水外观线条要顺直，楞角整齐，分色清晰，填缝深浅一致。</w:t>
      </w:r>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散水注意事项：</w:t>
      </w:r>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1、散水要在外墙的饰面工程完成之后再施工。</w:t>
      </w:r>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2、模板的支设要拉通线，然后再进行抄平，要做到通顺且平直，坡向要保持正确。</w:t>
      </w:r>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3、不能用砖砌来代替模板，散水和建筑物的外墙要进行分离，缝宽20mm左右就可以了，不可以用油毡进行隔缝。</w:t>
      </w:r>
    </w:p>
    <w:p>
      <w:pPr>
        <w:spacing w:line="348"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4、纵向保持在6m左右进行分格，缝宽20mm左右，在施工的时要进行分块筑打，震实压光。同时，要求散水的表面密实光洁，没有出现裂缝和起砂等等的现象。</w:t>
      </w:r>
    </w:p>
    <w:p>
      <w:pPr>
        <w:spacing w:line="348" w:lineRule="auto"/>
        <w:ind w:firstLine="482" w:firstLineChars="200"/>
        <w:outlineLvl w:val="2"/>
        <w:rPr>
          <w:rFonts w:hint="eastAsia" w:ascii="宋体" w:hAnsi="宋体" w:cs="宋体"/>
          <w:b/>
          <w:bCs/>
          <w:color w:val="000000"/>
          <w:sz w:val="24"/>
          <w:szCs w:val="24"/>
        </w:rPr>
      </w:pPr>
      <w:bookmarkStart w:id="96" w:name="_Toc1043345356"/>
      <w:bookmarkStart w:id="97" w:name="_Toc4015"/>
      <w:r>
        <w:rPr>
          <w:rFonts w:hint="eastAsia" w:ascii="宋体" w:hAnsi="宋体" w:cs="宋体"/>
          <w:b/>
          <w:bCs/>
          <w:color w:val="000000"/>
          <w:sz w:val="24"/>
          <w:szCs w:val="24"/>
        </w:rPr>
        <w:t>3.</w:t>
      </w:r>
      <w:r>
        <w:rPr>
          <w:rFonts w:hint="eastAsia" w:ascii="宋体" w:hAnsi="宋体" w:cs="宋体"/>
          <w:b/>
          <w:bCs/>
          <w:color w:val="000000"/>
          <w:sz w:val="24"/>
          <w:szCs w:val="24"/>
          <w:lang w:val="en-US" w:eastAsia="zh-CN"/>
        </w:rPr>
        <w:t>3</w:t>
      </w:r>
      <w:r>
        <w:rPr>
          <w:rFonts w:hint="eastAsia" w:ascii="宋体" w:hAnsi="宋体" w:cs="宋体"/>
          <w:b/>
          <w:bCs/>
          <w:color w:val="000000"/>
          <w:sz w:val="24"/>
          <w:szCs w:val="24"/>
        </w:rPr>
        <w:t>室内、外地面</w:t>
      </w:r>
      <w:bookmarkEnd w:id="96"/>
      <w:bookmarkEnd w:id="97"/>
    </w:p>
    <w:p>
      <w:pPr>
        <w:spacing w:line="348" w:lineRule="auto"/>
        <w:ind w:firstLine="480" w:firstLineChars="200"/>
        <w:rPr>
          <w:rFonts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lang w:val="en-US" w:eastAsia="zh-CN"/>
        </w:rPr>
        <w:t>3</w:t>
      </w:r>
      <w:r>
        <w:rPr>
          <w:rFonts w:ascii="宋体" w:hAnsi="宋体" w:cs="宋体"/>
          <w:color w:val="000000"/>
          <w:sz w:val="24"/>
          <w:szCs w:val="24"/>
        </w:rPr>
        <w:t>.1室内地面：</w:t>
      </w:r>
    </w:p>
    <w:p>
      <w:pPr>
        <w:spacing w:line="348" w:lineRule="auto"/>
        <w:ind w:firstLine="600" w:firstLineChars="25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清理室内垃圾，现有室内地面为木地板，由于板面及龙骨损坏严重，本次工程予以全部换新。</w:t>
      </w:r>
    </w:p>
    <w:p>
      <w:pPr>
        <w:tabs>
          <w:tab w:val="left" w:pos="4860"/>
        </w:tabs>
        <w:spacing w:line="360" w:lineRule="auto"/>
        <w:ind w:firstLine="480" w:firstLineChars="200"/>
        <w:rPr>
          <w:rFonts w:hint="default" w:ascii="宋体" w:hAnsi="宋体"/>
          <w:sz w:val="24"/>
          <w:szCs w:val="24"/>
          <w:lang w:val="en-US" w:eastAsia="zh-CN"/>
        </w:rPr>
      </w:pPr>
      <w:r>
        <w:rPr>
          <w:rFonts w:hint="eastAsia" w:ascii="宋体" w:hAnsi="宋体"/>
          <w:sz w:val="24"/>
          <w:szCs w:val="24"/>
          <w:lang w:eastAsia="zh-CN"/>
        </w:rPr>
        <w:t>材料要求：木龙骨、木地板选用烘干后的落叶松或杉木成品龙骨，木材含水率不大于</w:t>
      </w:r>
      <w:r>
        <w:rPr>
          <w:rFonts w:hint="eastAsia" w:ascii="宋体" w:hAnsi="宋体"/>
          <w:sz w:val="24"/>
          <w:szCs w:val="24"/>
          <w:lang w:val="en-US" w:eastAsia="zh-CN"/>
        </w:rPr>
        <w:t>16%；木材使用前</w:t>
      </w:r>
      <w:r>
        <w:rPr>
          <w:rFonts w:hint="eastAsia" w:ascii="宋体" w:hAnsi="宋体" w:eastAsia="宋体"/>
          <w:sz w:val="24"/>
          <w:szCs w:val="24"/>
          <w:lang w:val="en-US" w:eastAsia="zh-CN"/>
        </w:rPr>
        <w:t>应先刷桐油，做防火、防虫、防腐处理。</w:t>
      </w:r>
    </w:p>
    <w:p>
      <w:pPr>
        <w:tabs>
          <w:tab w:val="left" w:pos="4860"/>
        </w:tabs>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木地板做法：</w:t>
      </w:r>
    </w:p>
    <w:p>
      <w:pPr>
        <w:tabs>
          <w:tab w:val="left" w:pos="4860"/>
        </w:tabs>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（1）基层处理：素土回填夯实，夯实系数不小于0.9；素土夯实后铺设3:7灰土夯实，夯层厚40mm，夯实系数不小于0.9；灰土夯实后铺设水泥砂浆垫层20mm；</w:t>
      </w:r>
    </w:p>
    <w:p>
      <w:pPr>
        <w:tabs>
          <w:tab w:val="left" w:pos="4860"/>
        </w:tabs>
        <w:spacing w:line="36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（3）龙骨铺设：铺设160mm*120mm（宽×厚） 木龙骨，木龙骨间距不大于600mm；木龙骨下方铺设垫木，垫木规格为180mm*50mm（宽×厚），垫木间距不大于1000mm；龙骨中间可填一些轻质材料，以减低人行走时的空鼓声，并改善保温隔热效果；木龙骨与垫木，垫木与基层连接固定用美固钉固定，固定点间距不大于400mm，龙骨端头固定点距离头不大于100mm；</w:t>
      </w:r>
    </w:p>
    <w:p>
      <w:pPr>
        <w:tabs>
          <w:tab w:val="left" w:pos="4860"/>
        </w:tabs>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（4）地板铺设：在龙骨上铺设12mm厚多层板，多层板上铺设防潮垫。防潮垫上层铺设宽150mm*30mm（宽×厚）松木或杉木地板。板与板之间采用企口拼接。木地板铺装应与墙体预留5mm-10mm缝隙并用踢脚板压盖。</w:t>
      </w:r>
    </w:p>
    <w:p>
      <w:pPr>
        <w:tabs>
          <w:tab w:val="left" w:pos="4860"/>
        </w:tabs>
        <w:spacing w:line="360" w:lineRule="auto"/>
        <w:ind w:firstLine="480" w:firstLineChars="200"/>
        <w:rPr>
          <w:rFonts w:hint="default" w:ascii="宋体" w:hAnsi="宋体" w:cs="宋体"/>
          <w:color w:val="000000"/>
          <w:sz w:val="24"/>
          <w:szCs w:val="24"/>
          <w:lang w:val="en-US" w:eastAsia="zh-CN"/>
        </w:rPr>
      </w:pPr>
      <w:r>
        <w:rPr>
          <w:rFonts w:hint="eastAsia" w:ascii="宋体" w:hAnsi="宋体" w:eastAsia="宋体"/>
          <w:sz w:val="24"/>
          <w:szCs w:val="24"/>
          <w:lang w:val="en-US" w:eastAsia="zh-CN"/>
        </w:rPr>
        <w:t>（5）油饰：木地板铺设完成后应做着漆前的基层处理，用桐油、石灰、面粉调和剂刮腻找平，着红漆，抛光，打蜡。</w:t>
      </w:r>
    </w:p>
    <w:p>
      <w:pPr>
        <w:spacing w:line="348" w:lineRule="auto"/>
        <w:ind w:firstLine="600" w:firstLineChars="250"/>
        <w:rPr>
          <w:rFonts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lang w:val="en-US" w:eastAsia="zh-CN"/>
        </w:rPr>
        <w:t>3</w:t>
      </w:r>
      <w:r>
        <w:rPr>
          <w:rFonts w:ascii="宋体" w:hAnsi="宋体" w:cs="宋体"/>
          <w:color w:val="000000"/>
          <w:sz w:val="24"/>
          <w:szCs w:val="24"/>
        </w:rPr>
        <w:t>.2室外地面：</w:t>
      </w:r>
    </w:p>
    <w:p>
      <w:pPr>
        <w:spacing w:line="348" w:lineRule="auto"/>
        <w:ind w:firstLine="600" w:firstLineChars="250"/>
        <w:rPr>
          <w:rFonts w:hint="eastAsia" w:ascii="宋体" w:hAnsi="宋体" w:cs="宋体"/>
          <w:color w:val="000000"/>
          <w:sz w:val="24"/>
          <w:szCs w:val="24"/>
        </w:rPr>
      </w:pPr>
      <w:r>
        <w:rPr>
          <w:rFonts w:hint="eastAsia" w:ascii="宋体" w:hAnsi="宋体" w:cs="宋体"/>
          <w:color w:val="000000"/>
          <w:sz w:val="24"/>
          <w:szCs w:val="24"/>
        </w:rPr>
        <w:t>室内外地面恢复到原地面</w:t>
      </w:r>
      <w:r>
        <w:rPr>
          <w:rFonts w:ascii="宋体" w:hAnsi="宋体" w:cs="宋体"/>
          <w:color w:val="000000"/>
          <w:sz w:val="24"/>
          <w:szCs w:val="24"/>
        </w:rPr>
        <w:t>，对表面浮土、废弃堆积物等杂物予以清理，并做到定期维护。</w:t>
      </w:r>
    </w:p>
    <w:p>
      <w:pPr>
        <w:spacing w:line="348" w:lineRule="auto"/>
        <w:ind w:firstLine="482" w:firstLineChars="200"/>
        <w:outlineLvl w:val="2"/>
        <w:rPr>
          <w:rFonts w:hint="eastAsia" w:ascii="宋体" w:hAnsi="宋体" w:cs="宋体"/>
          <w:b/>
          <w:bCs/>
          <w:color w:val="000000"/>
          <w:sz w:val="24"/>
          <w:szCs w:val="24"/>
        </w:rPr>
      </w:pPr>
      <w:bookmarkStart w:id="98" w:name="_Toc32402"/>
      <w:bookmarkStart w:id="99" w:name="_Toc1301420537"/>
      <w:r>
        <w:rPr>
          <w:rFonts w:hint="eastAsia" w:ascii="宋体" w:hAnsi="宋体" w:cs="宋体"/>
          <w:b/>
          <w:bCs/>
          <w:color w:val="000000"/>
          <w:sz w:val="24"/>
          <w:szCs w:val="24"/>
        </w:rPr>
        <w:t>3.</w:t>
      </w:r>
      <w:r>
        <w:rPr>
          <w:rFonts w:hint="eastAsia" w:ascii="宋体" w:hAnsi="宋体" w:cs="宋体"/>
          <w:b/>
          <w:bCs/>
          <w:color w:val="000000"/>
          <w:sz w:val="24"/>
          <w:szCs w:val="24"/>
          <w:lang w:val="en-US" w:eastAsia="zh-CN"/>
        </w:rPr>
        <w:t>4</w:t>
      </w:r>
      <w:r>
        <w:rPr>
          <w:rFonts w:hint="eastAsia" w:ascii="宋体" w:hAnsi="宋体" w:cs="宋体"/>
          <w:b/>
          <w:bCs/>
          <w:color w:val="000000"/>
          <w:sz w:val="24"/>
          <w:szCs w:val="24"/>
        </w:rPr>
        <w:t>墙体</w:t>
      </w:r>
      <w:bookmarkEnd w:id="98"/>
      <w:bookmarkEnd w:id="99"/>
    </w:p>
    <w:p>
      <w:pPr>
        <w:spacing w:line="348" w:lineRule="auto"/>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本次工程仅对建筑</w:t>
      </w:r>
      <w:r>
        <w:rPr>
          <w:rFonts w:ascii="宋体" w:hAnsi="宋体" w:cs="宋体"/>
          <w:color w:val="000000"/>
          <w:sz w:val="24"/>
          <w:szCs w:val="24"/>
        </w:rPr>
        <w:t>外墙</w:t>
      </w:r>
      <w:r>
        <w:rPr>
          <w:rFonts w:hint="eastAsia" w:ascii="宋体" w:hAnsi="宋体" w:cs="宋体"/>
          <w:color w:val="000000"/>
          <w:sz w:val="24"/>
          <w:szCs w:val="24"/>
          <w:lang w:val="en-US" w:eastAsia="zh-CN"/>
        </w:rPr>
        <w:t>进行保养加固，存在裂缝、坍塌及底部酥碱严重的墙体应拆除重砌，新砌墙体必须符合建筑原设计工艺，为外红砖包砌土坯做法。</w:t>
      </w:r>
    </w:p>
    <w:p>
      <w:pPr>
        <w:spacing w:line="348" w:lineRule="auto"/>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本次工程新旧墙体均做岩棉外墙保温，面层刷仿石质感漆。</w:t>
      </w:r>
    </w:p>
    <w:p>
      <w:pPr>
        <w:spacing w:line="348" w:lineRule="auto"/>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岩棉保温做法如图所示：</w:t>
      </w:r>
    </w:p>
    <w:p>
      <w:pPr>
        <w:spacing w:line="348" w:lineRule="auto"/>
        <w:ind w:firstLine="480" w:firstLineChars="200"/>
        <w:jc w:val="center"/>
        <w:outlineLvl w:val="9"/>
        <w:rPr>
          <w:rFonts w:hint="default" w:ascii="宋体" w:hAnsi="宋体" w:cs="宋体"/>
          <w:color w:val="000000"/>
          <w:sz w:val="24"/>
          <w:szCs w:val="24"/>
          <w:lang w:val="en-US" w:eastAsia="zh-CN"/>
        </w:rPr>
      </w:pPr>
      <w:bookmarkStart w:id="100" w:name="_Toc14627"/>
      <w:bookmarkStart w:id="101" w:name="_Toc854020664"/>
      <w:r>
        <w:rPr>
          <w:rFonts w:hint="default" w:ascii="宋体" w:hAnsi="宋体" w:cs="宋体"/>
          <w:color w:val="000000"/>
          <w:sz w:val="24"/>
          <w:szCs w:val="24"/>
          <w:lang w:val="en-US" w:eastAsia="zh-CN"/>
        </w:rPr>
        <w:drawing>
          <wp:inline distT="0" distB="0" distL="114300" distR="114300">
            <wp:extent cx="5255260" cy="4152900"/>
            <wp:effectExtent l="0" t="0" r="2540" b="7620"/>
            <wp:docPr id="123" name="图片 4" descr="166877522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4" descr="1668775222478"/>
                    <pic:cNvPicPr>
                      <a:picLocks noChangeAspect="1"/>
                    </pic:cNvPicPr>
                  </pic:nvPicPr>
                  <pic:blipFill>
                    <a:blip r:embed="rId9"/>
                    <a:stretch>
                      <a:fillRect/>
                    </a:stretch>
                  </pic:blipFill>
                  <pic:spPr>
                    <a:xfrm>
                      <a:off x="0" y="0"/>
                      <a:ext cx="5255260" cy="4152900"/>
                    </a:xfrm>
                    <a:prstGeom prst="rect">
                      <a:avLst/>
                    </a:prstGeom>
                    <a:noFill/>
                    <a:ln>
                      <a:noFill/>
                    </a:ln>
                  </pic:spPr>
                </pic:pic>
              </a:graphicData>
            </a:graphic>
          </wp:inline>
        </w:drawing>
      </w:r>
    </w:p>
    <w:p>
      <w:pPr>
        <w:spacing w:line="348" w:lineRule="auto"/>
        <w:ind w:firstLine="480" w:firstLineChars="200"/>
        <w:outlineLvl w:val="9"/>
        <w:rPr>
          <w:rFonts w:hint="default" w:ascii="宋体" w:hAnsi="宋体" w:cs="宋体"/>
          <w:color w:val="000000"/>
          <w:sz w:val="24"/>
          <w:szCs w:val="24"/>
          <w:lang w:val="en-US" w:eastAsia="zh-CN"/>
        </w:rPr>
      </w:pPr>
    </w:p>
    <w:p>
      <w:pPr>
        <w:spacing w:line="348" w:lineRule="auto"/>
        <w:ind w:firstLine="482" w:firstLineChars="200"/>
        <w:outlineLvl w:val="2"/>
        <w:rPr>
          <w:rFonts w:hint="eastAsia" w:ascii="宋体" w:hAnsi="宋体" w:cs="宋体"/>
          <w:b/>
          <w:bCs/>
          <w:color w:val="000000"/>
          <w:sz w:val="24"/>
          <w:szCs w:val="24"/>
        </w:rPr>
      </w:pPr>
      <w:r>
        <w:rPr>
          <w:rFonts w:hint="eastAsia" w:ascii="宋体" w:hAnsi="宋体" w:cs="宋体"/>
          <w:b/>
          <w:bCs/>
          <w:color w:val="000000"/>
          <w:sz w:val="24"/>
          <w:szCs w:val="24"/>
        </w:rPr>
        <w:t>3.</w:t>
      </w:r>
      <w:r>
        <w:rPr>
          <w:rFonts w:hint="eastAsia" w:ascii="宋体" w:hAnsi="宋体" w:cs="宋体"/>
          <w:b/>
          <w:bCs/>
          <w:color w:val="000000"/>
          <w:sz w:val="24"/>
          <w:szCs w:val="24"/>
          <w:lang w:val="en-US" w:eastAsia="zh-CN"/>
        </w:rPr>
        <w:t>5</w:t>
      </w:r>
      <w:r>
        <w:rPr>
          <w:rFonts w:hint="eastAsia" w:ascii="宋体" w:hAnsi="宋体" w:cs="宋体"/>
          <w:b/>
          <w:bCs/>
          <w:color w:val="000000"/>
          <w:sz w:val="24"/>
          <w:szCs w:val="24"/>
        </w:rPr>
        <w:t>门窗</w:t>
      </w:r>
      <w:bookmarkEnd w:id="100"/>
      <w:bookmarkEnd w:id="101"/>
    </w:p>
    <w:p>
      <w:pPr>
        <w:spacing w:line="348" w:lineRule="auto"/>
        <w:ind w:firstLine="482" w:firstLineChars="200"/>
        <w:outlineLvl w:val="2"/>
        <w:rPr>
          <w:rFonts w:ascii="宋体" w:hAnsi="宋体" w:cs="宋体"/>
          <w:b/>
          <w:bCs/>
          <w:color w:val="000000"/>
          <w:sz w:val="24"/>
          <w:szCs w:val="24"/>
        </w:rPr>
      </w:pPr>
      <w:r>
        <w:rPr>
          <w:rFonts w:ascii="宋体" w:hAnsi="宋体" w:cs="宋体"/>
          <w:b/>
          <w:bCs/>
          <w:color w:val="000000"/>
          <w:sz w:val="24"/>
          <w:szCs w:val="24"/>
        </w:rPr>
        <w:t>3.</w:t>
      </w:r>
      <w:r>
        <w:rPr>
          <w:rFonts w:hint="eastAsia" w:ascii="宋体" w:hAnsi="宋体" w:cs="宋体"/>
          <w:b/>
          <w:bCs/>
          <w:color w:val="000000"/>
          <w:sz w:val="24"/>
          <w:szCs w:val="24"/>
          <w:lang w:val="en-US" w:eastAsia="zh-CN"/>
        </w:rPr>
        <w:t>5</w:t>
      </w:r>
      <w:r>
        <w:rPr>
          <w:rFonts w:ascii="宋体" w:hAnsi="宋体" w:cs="宋体"/>
          <w:b/>
          <w:bCs/>
          <w:color w:val="000000"/>
          <w:sz w:val="24"/>
          <w:szCs w:val="24"/>
        </w:rPr>
        <w:t>.1 窗户</w:t>
      </w:r>
    </w:p>
    <w:p>
      <w:pPr>
        <w:spacing w:line="348" w:lineRule="auto"/>
        <w:ind w:firstLine="480" w:firstLineChars="200"/>
        <w:rPr>
          <w:rFonts w:ascii="宋体" w:hAnsi="宋体" w:cs="宋体"/>
          <w:color w:val="000000"/>
          <w:sz w:val="24"/>
          <w:szCs w:val="24"/>
        </w:rPr>
      </w:pPr>
      <w:r>
        <w:rPr>
          <w:rFonts w:ascii="宋体" w:hAnsi="宋体" w:cs="宋体"/>
          <w:color w:val="000000"/>
          <w:sz w:val="24"/>
          <w:szCs w:val="24"/>
        </w:rPr>
        <w:t>窗户改造为塑钢门窗，其有违整体建筑风格，应全部替换为原尺寸</w:t>
      </w:r>
      <w:r>
        <w:rPr>
          <w:rFonts w:hint="eastAsia" w:ascii="宋体" w:hAnsi="宋体" w:cs="宋体"/>
          <w:color w:val="000000"/>
          <w:sz w:val="24"/>
          <w:szCs w:val="24"/>
          <w:lang w:val="en-US" w:eastAsia="zh-CN"/>
        </w:rPr>
        <w:t>实木</w:t>
      </w:r>
      <w:r>
        <w:rPr>
          <w:rFonts w:hint="eastAsia" w:ascii="宋体" w:hAnsi="宋体" w:cs="宋体"/>
          <w:color w:val="000000"/>
          <w:sz w:val="24"/>
          <w:szCs w:val="24"/>
        </w:rPr>
        <w:t>双层玻璃</w:t>
      </w:r>
      <w:r>
        <w:rPr>
          <w:rFonts w:ascii="宋体" w:hAnsi="宋体" w:cs="宋体"/>
          <w:color w:val="000000"/>
          <w:sz w:val="24"/>
          <w:szCs w:val="24"/>
        </w:rPr>
        <w:t>窗。新替换窗</w:t>
      </w:r>
      <w:r>
        <w:rPr>
          <w:rFonts w:hint="eastAsia" w:ascii="宋体" w:hAnsi="宋体" w:cs="宋体"/>
          <w:color w:val="000000"/>
          <w:sz w:val="24"/>
          <w:szCs w:val="24"/>
        </w:rPr>
        <w:t>尺寸</w:t>
      </w:r>
      <w:r>
        <w:rPr>
          <w:rFonts w:hint="eastAsia" w:ascii="宋体" w:hAnsi="宋体" w:cs="宋体"/>
          <w:color w:val="000000"/>
          <w:sz w:val="24"/>
          <w:szCs w:val="24"/>
          <w:lang w:val="en-US" w:eastAsia="zh-CN"/>
        </w:rPr>
        <w:t>参考设计图纸</w:t>
      </w:r>
      <w:r>
        <w:rPr>
          <w:rFonts w:ascii="宋体" w:hAnsi="宋体" w:cs="宋体"/>
          <w:color w:val="000000"/>
          <w:sz w:val="24"/>
          <w:szCs w:val="24"/>
        </w:rPr>
        <w:t>，以保持整体建筑装修风格。</w:t>
      </w:r>
    </w:p>
    <w:p>
      <w:pPr>
        <w:spacing w:line="348" w:lineRule="auto"/>
        <w:ind w:firstLine="482" w:firstLineChars="200"/>
        <w:outlineLvl w:val="2"/>
        <w:rPr>
          <w:rFonts w:ascii="宋体" w:hAnsi="宋体" w:cs="宋体"/>
          <w:b/>
          <w:bCs/>
          <w:color w:val="000000"/>
          <w:sz w:val="24"/>
          <w:szCs w:val="24"/>
        </w:rPr>
      </w:pPr>
      <w:r>
        <w:rPr>
          <w:rFonts w:ascii="宋体" w:hAnsi="宋体" w:cs="宋体"/>
          <w:b/>
          <w:bCs/>
          <w:color w:val="000000"/>
          <w:sz w:val="24"/>
          <w:szCs w:val="24"/>
        </w:rPr>
        <w:t>3.</w:t>
      </w:r>
      <w:r>
        <w:rPr>
          <w:rFonts w:hint="eastAsia" w:ascii="宋体" w:hAnsi="宋体" w:cs="宋体"/>
          <w:b/>
          <w:bCs/>
          <w:color w:val="000000"/>
          <w:sz w:val="24"/>
          <w:szCs w:val="24"/>
          <w:lang w:val="en-US" w:eastAsia="zh-CN"/>
        </w:rPr>
        <w:t>5</w:t>
      </w:r>
      <w:r>
        <w:rPr>
          <w:rFonts w:ascii="宋体" w:hAnsi="宋体" w:cs="宋体"/>
          <w:b/>
          <w:bCs/>
          <w:color w:val="000000"/>
          <w:sz w:val="24"/>
          <w:szCs w:val="24"/>
        </w:rPr>
        <w:t>.2 门</w:t>
      </w:r>
    </w:p>
    <w:p>
      <w:pPr>
        <w:spacing w:line="348" w:lineRule="auto"/>
        <w:ind w:firstLine="480" w:firstLineChars="200"/>
        <w:outlineLvl w:val="9"/>
        <w:rPr>
          <w:rFonts w:hint="eastAsia" w:ascii="宋体" w:hAnsi="宋体" w:cs="宋体"/>
          <w:color w:val="000000"/>
          <w:sz w:val="24"/>
          <w:szCs w:val="24"/>
        </w:rPr>
      </w:pPr>
      <w:r>
        <w:rPr>
          <w:rFonts w:hint="eastAsia" w:ascii="宋体" w:hAnsi="宋体" w:cs="宋体"/>
          <w:color w:val="000000"/>
          <w:sz w:val="24"/>
          <w:szCs w:val="24"/>
          <w:lang w:val="en-US" w:eastAsia="zh-CN"/>
        </w:rPr>
        <w:t>此建筑门</w:t>
      </w:r>
      <w:r>
        <w:rPr>
          <w:rFonts w:ascii="宋体" w:hAnsi="宋体" w:cs="宋体"/>
          <w:color w:val="000000"/>
          <w:sz w:val="24"/>
          <w:szCs w:val="24"/>
        </w:rPr>
        <w:t>皆为后期加装改造，其有违整体建筑风格，应全部替换为原尺寸木门，封堵的，予以拆除恢复。新替换门</w:t>
      </w:r>
      <w:r>
        <w:rPr>
          <w:rFonts w:hint="eastAsia" w:ascii="宋体" w:hAnsi="宋体" w:cs="宋体"/>
          <w:color w:val="000000"/>
          <w:sz w:val="24"/>
          <w:szCs w:val="24"/>
        </w:rPr>
        <w:t>尺寸</w:t>
      </w:r>
      <w:r>
        <w:rPr>
          <w:rFonts w:hint="eastAsia" w:ascii="宋体" w:hAnsi="宋体" w:cs="宋体"/>
          <w:color w:val="000000"/>
          <w:sz w:val="24"/>
          <w:szCs w:val="24"/>
          <w:lang w:val="en-US" w:eastAsia="zh-CN"/>
        </w:rPr>
        <w:t>参考设计图纸</w:t>
      </w:r>
      <w:r>
        <w:rPr>
          <w:rFonts w:ascii="宋体" w:hAnsi="宋体" w:cs="宋体"/>
          <w:color w:val="000000"/>
          <w:sz w:val="24"/>
          <w:szCs w:val="24"/>
        </w:rPr>
        <w:t>，以保持整体建筑装修风格。</w:t>
      </w:r>
    </w:p>
    <w:p>
      <w:pPr>
        <w:pStyle w:val="4"/>
        <w:spacing w:line="348" w:lineRule="auto"/>
        <w:jc w:val="left"/>
        <w:rPr>
          <w:rFonts w:hint="eastAsia" w:ascii="宋体" w:hAnsi="宋体" w:eastAsia="宋体" w:cs="宋体"/>
          <w:color w:val="000000"/>
          <w:sz w:val="28"/>
          <w:szCs w:val="28"/>
        </w:rPr>
      </w:pPr>
      <w:bookmarkStart w:id="102" w:name="_Toc15230"/>
      <w:bookmarkStart w:id="103" w:name="_Toc2110839446"/>
      <w:bookmarkStart w:id="104" w:name="_Toc28885"/>
      <w:bookmarkStart w:id="105" w:name="_Toc11231"/>
      <w:r>
        <w:rPr>
          <w:rFonts w:hint="eastAsia" w:ascii="宋体" w:hAnsi="宋体" w:eastAsia="宋体" w:cs="宋体"/>
          <w:color w:val="000000"/>
          <w:sz w:val="28"/>
          <w:szCs w:val="28"/>
        </w:rPr>
        <w:t>4.补充说明</w:t>
      </w:r>
      <w:bookmarkEnd w:id="102"/>
      <w:bookmarkEnd w:id="103"/>
      <w:bookmarkEnd w:id="104"/>
      <w:bookmarkEnd w:id="105"/>
    </w:p>
    <w:p>
      <w:pPr>
        <w:spacing w:line="348" w:lineRule="auto"/>
        <w:ind w:firstLine="570"/>
        <w:rPr>
          <w:rFonts w:hint="eastAsia" w:ascii="宋体" w:hAnsi="宋体" w:cs="宋体"/>
          <w:color w:val="000000"/>
          <w:sz w:val="24"/>
          <w:szCs w:val="24"/>
        </w:rPr>
      </w:pPr>
      <w:r>
        <w:rPr>
          <w:rFonts w:hint="eastAsia" w:ascii="宋体" w:hAnsi="宋体" w:cs="宋体"/>
          <w:color w:val="000000"/>
          <w:sz w:val="24"/>
          <w:szCs w:val="24"/>
        </w:rPr>
        <w:t>（1）由于现场勘测条件所限，施工时若发现构件尺寸和个别隐蔽部位与图纸不符时，应以现存实物为准，本说明与图纸参照阅读，如施工遇到特殊情况及施工中出现的技术性问题需及时通知设计单位，多方洽商解决。</w:t>
      </w:r>
    </w:p>
    <w:p>
      <w:pPr>
        <w:widowControl/>
        <w:spacing w:line="348" w:lineRule="auto"/>
        <w:ind w:firstLine="596"/>
        <w:jc w:val="left"/>
        <w:rPr>
          <w:rFonts w:hint="eastAsia" w:ascii="宋体" w:hAnsi="宋体" w:cs="宋体"/>
          <w:color w:val="000000"/>
          <w:sz w:val="24"/>
          <w:szCs w:val="24"/>
        </w:rPr>
      </w:pPr>
      <w:r>
        <w:rPr>
          <w:rFonts w:hint="eastAsia" w:ascii="宋体" w:hAnsi="宋体" w:cs="宋体"/>
          <w:color w:val="000000"/>
          <w:sz w:val="24"/>
          <w:szCs w:val="24"/>
        </w:rPr>
        <w:t>（2）该建筑属于近现代建筑，</w:t>
      </w:r>
      <w:r>
        <w:rPr>
          <w:rFonts w:ascii="宋体" w:hAnsi="宋体" w:cs="宋体"/>
          <w:color w:val="000000"/>
          <w:sz w:val="24"/>
          <w:szCs w:val="24"/>
        </w:rPr>
        <w:t>年代略长，其</w:t>
      </w:r>
      <w:r>
        <w:rPr>
          <w:rFonts w:hint="eastAsia" w:ascii="宋体" w:hAnsi="宋体" w:cs="宋体"/>
          <w:color w:val="000000"/>
          <w:sz w:val="24"/>
          <w:szCs w:val="24"/>
        </w:rPr>
        <w:t>主体结构、门窗、立面均</w:t>
      </w:r>
      <w:r>
        <w:rPr>
          <w:rFonts w:ascii="宋体" w:hAnsi="宋体" w:cs="宋体"/>
          <w:color w:val="000000"/>
          <w:sz w:val="24"/>
          <w:szCs w:val="24"/>
        </w:rPr>
        <w:t>遭不同程度的损毁与后期改造</w:t>
      </w:r>
      <w:r>
        <w:rPr>
          <w:rFonts w:hint="eastAsia" w:ascii="宋体" w:hAnsi="宋体" w:cs="宋体"/>
          <w:color w:val="000000"/>
          <w:sz w:val="24"/>
          <w:szCs w:val="24"/>
        </w:rPr>
        <w:t>，因此，本次</w:t>
      </w:r>
      <w:r>
        <w:rPr>
          <w:rFonts w:hint="eastAsia" w:ascii="宋体" w:hAnsi="宋体" w:cs="宋体"/>
          <w:color w:val="000000"/>
          <w:sz w:val="24"/>
          <w:szCs w:val="24"/>
          <w:lang w:val="en-US" w:eastAsia="zh-CN"/>
        </w:rPr>
        <w:t>工程</w:t>
      </w:r>
      <w:r>
        <w:rPr>
          <w:rFonts w:hint="eastAsia" w:ascii="宋体" w:hAnsi="宋体" w:cs="宋体"/>
          <w:color w:val="000000"/>
          <w:sz w:val="24"/>
          <w:szCs w:val="24"/>
        </w:rPr>
        <w:t>尽可能对原有保存完好的部分进行现状保护，对需要</w:t>
      </w:r>
      <w:r>
        <w:rPr>
          <w:rFonts w:hint="eastAsia" w:ascii="宋体" w:hAnsi="宋体" w:cs="宋体"/>
          <w:color w:val="000000"/>
          <w:sz w:val="24"/>
          <w:szCs w:val="24"/>
          <w:lang w:val="en-US" w:eastAsia="zh-CN"/>
        </w:rPr>
        <w:t>更换</w:t>
      </w:r>
      <w:r>
        <w:rPr>
          <w:rFonts w:ascii="宋体" w:hAnsi="宋体" w:cs="宋体"/>
          <w:color w:val="000000"/>
          <w:sz w:val="24"/>
          <w:szCs w:val="24"/>
        </w:rPr>
        <w:t>的</w:t>
      </w:r>
      <w:r>
        <w:rPr>
          <w:rFonts w:hint="eastAsia" w:ascii="宋体" w:hAnsi="宋体" w:cs="宋体"/>
          <w:color w:val="000000"/>
          <w:sz w:val="24"/>
          <w:szCs w:val="24"/>
        </w:rPr>
        <w:t>部位进行</w:t>
      </w:r>
      <w:r>
        <w:rPr>
          <w:rFonts w:hint="eastAsia" w:ascii="宋体" w:hAnsi="宋体" w:cs="宋体"/>
          <w:color w:val="000000"/>
          <w:sz w:val="24"/>
          <w:szCs w:val="24"/>
          <w:lang w:val="en-US" w:eastAsia="zh-CN"/>
        </w:rPr>
        <w:t>换新</w:t>
      </w:r>
      <w:r>
        <w:rPr>
          <w:rFonts w:hint="eastAsia" w:ascii="宋体" w:hAnsi="宋体" w:cs="宋体"/>
          <w:color w:val="000000"/>
          <w:sz w:val="24"/>
          <w:szCs w:val="24"/>
        </w:rPr>
        <w:t>工作。</w:t>
      </w:r>
    </w:p>
    <w:p>
      <w:pPr>
        <w:spacing w:line="348" w:lineRule="auto"/>
        <w:ind w:firstLine="570"/>
        <w:rPr>
          <w:rFonts w:hint="eastAsia" w:ascii="宋体" w:hAnsi="宋体" w:cs="宋体"/>
          <w:color w:val="000000"/>
          <w:sz w:val="24"/>
          <w:szCs w:val="24"/>
        </w:rPr>
      </w:pPr>
      <w:r>
        <w:rPr>
          <w:rFonts w:hint="eastAsia" w:ascii="宋体" w:hAnsi="宋体" w:cs="宋体"/>
          <w:color w:val="000000"/>
          <w:sz w:val="24"/>
          <w:szCs w:val="24"/>
        </w:rPr>
        <w:t>（3）此次维修工作后，要求定期实施日常的保养工作，制定合理的保养制度，及时化解外力侵害可能对文物已修缮部位造成的损伤。</w:t>
      </w:r>
    </w:p>
    <w:p>
      <w:pPr>
        <w:spacing w:line="348" w:lineRule="auto"/>
        <w:ind w:firstLine="480" w:firstLineChars="200"/>
        <w:rPr>
          <w:rFonts w:hint="eastAsia" w:ascii="宋体" w:hAnsi="宋体" w:cs="宋体"/>
          <w:color w:val="000000"/>
          <w:sz w:val="24"/>
          <w:szCs w:val="24"/>
        </w:rPr>
      </w:pPr>
    </w:p>
    <w:p>
      <w:pPr>
        <w:pStyle w:val="4"/>
        <w:spacing w:line="348" w:lineRule="auto"/>
        <w:jc w:val="left"/>
        <w:rPr>
          <w:rFonts w:hint="eastAsia" w:ascii="宋体" w:hAnsi="宋体" w:cs="宋体"/>
          <w:color w:val="000000"/>
          <w:sz w:val="24"/>
          <w:szCs w:val="24"/>
        </w:rPr>
      </w:pP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修缮做法一览表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880"/>
        <w:gridCol w:w="4826"/>
        <w:gridCol w:w="1076"/>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序号</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构件名称</w:t>
            </w:r>
          </w:p>
        </w:tc>
        <w:tc>
          <w:tcPr>
            <w:tcW w:w="5385"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修缮措施</w:t>
            </w:r>
          </w:p>
        </w:tc>
        <w:tc>
          <w:tcPr>
            <w:tcW w:w="1111"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工程量</w:t>
            </w:r>
          </w:p>
        </w:tc>
        <w:tc>
          <w:tcPr>
            <w:tcW w:w="168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1</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b/>
                <w:bCs/>
                <w:sz w:val="24"/>
                <w:szCs w:val="24"/>
              </w:rPr>
              <w:t>基础</w:t>
            </w:r>
          </w:p>
        </w:tc>
        <w:tc>
          <w:tcPr>
            <w:tcW w:w="5385"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eastAsia="宋体" w:cs="宋体"/>
                <w:color w:val="000000"/>
                <w:sz w:val="24"/>
                <w:szCs w:val="24"/>
              </w:rPr>
              <w:t>此次</w:t>
            </w:r>
            <w:r>
              <w:rPr>
                <w:rFonts w:hint="eastAsia" w:ascii="宋体" w:hAnsi="宋体" w:eastAsia="宋体" w:cs="宋体"/>
                <w:color w:val="000000"/>
                <w:sz w:val="24"/>
                <w:szCs w:val="24"/>
                <w:lang w:val="en-US" w:eastAsia="zh-CN"/>
              </w:rPr>
              <w:t>工程</w:t>
            </w:r>
            <w:r>
              <w:rPr>
                <w:rFonts w:hint="eastAsia" w:ascii="宋体" w:hAnsi="宋体" w:eastAsia="宋体" w:cs="宋体"/>
                <w:color w:val="000000"/>
                <w:sz w:val="24"/>
                <w:szCs w:val="24"/>
                <w:lang w:eastAsia="zh-CN"/>
              </w:rPr>
              <w:t>不涉及基础部分</w:t>
            </w:r>
          </w:p>
        </w:tc>
        <w:tc>
          <w:tcPr>
            <w:tcW w:w="1111" w:type="dxa"/>
            <w:noWrap w:val="0"/>
            <w:vAlign w:val="top"/>
          </w:tcPr>
          <w:p>
            <w:pPr>
              <w:jc w:val="center"/>
              <w:rPr>
                <w:rFonts w:hint="eastAsia" w:ascii="宋体" w:hAnsi="宋体" w:eastAsia="宋体" w:cs="宋体"/>
                <w:sz w:val="24"/>
                <w:szCs w:val="24"/>
                <w:vertAlign w:val="baseline"/>
                <w:lang w:val="en-US" w:eastAsia="zh-CN"/>
              </w:rPr>
            </w:pPr>
          </w:p>
        </w:tc>
        <w:tc>
          <w:tcPr>
            <w:tcW w:w="1687" w:type="dxa"/>
            <w:noWrap w:val="0"/>
            <w:vAlign w:val="top"/>
          </w:tcPr>
          <w:p>
            <w:pPr>
              <w:jc w:val="center"/>
              <w:rPr>
                <w:rFonts w:hint="eastAsia"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2</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b/>
                <w:bCs/>
                <w:sz w:val="24"/>
                <w:szCs w:val="24"/>
              </w:rPr>
              <w:t>室内地面</w:t>
            </w:r>
          </w:p>
        </w:tc>
        <w:tc>
          <w:tcPr>
            <w:tcW w:w="5385"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sz w:val="24"/>
                <w:szCs w:val="24"/>
                <w:lang w:val="en-US" w:eastAsia="zh-CN"/>
              </w:rPr>
              <w:t>清理室内垃圾，</w:t>
            </w:r>
            <w:r>
              <w:rPr>
                <w:rFonts w:hint="eastAsia" w:ascii="宋体" w:hAnsi="宋体"/>
                <w:sz w:val="24"/>
                <w:szCs w:val="24"/>
                <w:lang w:eastAsia="zh-CN"/>
              </w:rPr>
              <w:t>揭除室内</w:t>
            </w:r>
            <w:r>
              <w:rPr>
                <w:rFonts w:hint="eastAsia" w:ascii="宋体" w:hAnsi="宋体"/>
                <w:sz w:val="24"/>
                <w:szCs w:val="24"/>
                <w:lang w:val="en-US" w:eastAsia="zh-CN"/>
              </w:rPr>
              <w:t>原地板</w:t>
            </w:r>
            <w:r>
              <w:rPr>
                <w:rFonts w:hint="eastAsia" w:ascii="宋体" w:hAnsi="宋体"/>
                <w:sz w:val="24"/>
                <w:szCs w:val="24"/>
                <w:lang w:eastAsia="zh-CN"/>
              </w:rPr>
              <w:t>，恢复为木龙骨实木地板（工艺见设计说明）</w:t>
            </w:r>
          </w:p>
        </w:tc>
        <w:tc>
          <w:tcPr>
            <w:tcW w:w="1111"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450㎡</w:t>
            </w:r>
          </w:p>
        </w:tc>
        <w:tc>
          <w:tcPr>
            <w:tcW w:w="1687" w:type="dxa"/>
            <w:noWrap w:val="0"/>
            <w:vAlign w:val="top"/>
          </w:tcPr>
          <w:p>
            <w:pPr>
              <w:jc w:val="center"/>
              <w:rPr>
                <w:rFonts w:hint="eastAsia"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47"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3</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b/>
                <w:bCs/>
                <w:sz w:val="24"/>
                <w:szCs w:val="24"/>
              </w:rPr>
              <w:t>室外地面</w:t>
            </w:r>
          </w:p>
        </w:tc>
        <w:tc>
          <w:tcPr>
            <w:tcW w:w="5385"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sz w:val="24"/>
                <w:szCs w:val="24"/>
                <w:lang w:val="en-US" w:eastAsia="zh-CN"/>
              </w:rPr>
              <w:t>清理室外垃圾，拆除附属建筑，恢复散水</w:t>
            </w:r>
          </w:p>
        </w:tc>
        <w:tc>
          <w:tcPr>
            <w:tcW w:w="1111"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90㎡</w:t>
            </w:r>
          </w:p>
        </w:tc>
        <w:tc>
          <w:tcPr>
            <w:tcW w:w="1687" w:type="dxa"/>
            <w:noWrap w:val="0"/>
            <w:vAlign w:val="top"/>
          </w:tcPr>
          <w:p>
            <w:pPr>
              <w:jc w:val="center"/>
              <w:rPr>
                <w:rFonts w:hint="eastAsia"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4</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b/>
                <w:bCs/>
                <w:sz w:val="24"/>
                <w:szCs w:val="24"/>
                <w:lang w:eastAsia="zh-CN"/>
              </w:rPr>
              <w:t>窗户</w:t>
            </w:r>
          </w:p>
        </w:tc>
        <w:tc>
          <w:tcPr>
            <w:tcW w:w="5385"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sz w:val="24"/>
                <w:szCs w:val="24"/>
                <w:lang w:eastAsia="zh-CN"/>
              </w:rPr>
              <w:t>所有窗按</w:t>
            </w:r>
            <w:r>
              <w:rPr>
                <w:rFonts w:hint="eastAsia" w:ascii="宋体" w:hAnsi="宋体"/>
                <w:sz w:val="24"/>
                <w:szCs w:val="24"/>
                <w:lang w:val="en-US" w:eastAsia="zh-CN"/>
              </w:rPr>
              <w:t>设计图纸</w:t>
            </w:r>
            <w:r>
              <w:rPr>
                <w:rFonts w:hint="eastAsia" w:ascii="宋体" w:hAnsi="宋体"/>
                <w:sz w:val="24"/>
                <w:szCs w:val="24"/>
                <w:lang w:eastAsia="zh-CN"/>
              </w:rPr>
              <w:t>尺寸替换为双层实木窗</w:t>
            </w:r>
          </w:p>
        </w:tc>
        <w:tc>
          <w:tcPr>
            <w:tcW w:w="1111"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25扇</w:t>
            </w:r>
          </w:p>
        </w:tc>
        <w:tc>
          <w:tcPr>
            <w:tcW w:w="168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定制小五金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5</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b/>
                <w:bCs/>
                <w:sz w:val="24"/>
                <w:szCs w:val="24"/>
                <w:lang w:val="en-US" w:eastAsia="zh-CN"/>
              </w:rPr>
              <w:t>门</w:t>
            </w:r>
          </w:p>
        </w:tc>
        <w:tc>
          <w:tcPr>
            <w:tcW w:w="5385"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sz w:val="24"/>
                <w:szCs w:val="24"/>
                <w:lang w:val="en-US" w:eastAsia="zh-CN"/>
              </w:rPr>
              <w:t>所有门按设计图纸尺寸替换为实木门</w:t>
            </w:r>
          </w:p>
        </w:tc>
        <w:tc>
          <w:tcPr>
            <w:tcW w:w="1111"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5扇</w:t>
            </w:r>
          </w:p>
        </w:tc>
        <w:tc>
          <w:tcPr>
            <w:tcW w:w="168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定制小五金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6</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b/>
                <w:bCs/>
                <w:sz w:val="24"/>
                <w:szCs w:val="24"/>
              </w:rPr>
              <w:t>墙体</w:t>
            </w:r>
          </w:p>
        </w:tc>
        <w:tc>
          <w:tcPr>
            <w:tcW w:w="5385"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sz w:val="24"/>
                <w:szCs w:val="24"/>
                <w:lang w:val="en-US" w:eastAsia="zh-CN"/>
              </w:rPr>
              <w:t>开裂、坍塌墙体拆除重砌</w:t>
            </w:r>
          </w:p>
        </w:tc>
        <w:tc>
          <w:tcPr>
            <w:tcW w:w="1111"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120m³</w:t>
            </w:r>
          </w:p>
        </w:tc>
        <w:tc>
          <w:tcPr>
            <w:tcW w:w="1687" w:type="dxa"/>
            <w:noWrap w:val="0"/>
            <w:vAlign w:val="top"/>
          </w:tcPr>
          <w:p>
            <w:pPr>
              <w:jc w:val="center"/>
              <w:rPr>
                <w:rFonts w:hint="eastAsia"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7</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b/>
                <w:bCs/>
                <w:sz w:val="24"/>
                <w:szCs w:val="24"/>
                <w:lang w:eastAsia="zh-CN"/>
              </w:rPr>
              <w:t>室外</w:t>
            </w:r>
            <w:r>
              <w:rPr>
                <w:rFonts w:hint="eastAsia" w:ascii="宋体" w:hAnsi="宋体"/>
                <w:b/>
                <w:bCs/>
                <w:sz w:val="24"/>
                <w:szCs w:val="24"/>
              </w:rPr>
              <w:t>墙面</w:t>
            </w:r>
          </w:p>
        </w:tc>
        <w:tc>
          <w:tcPr>
            <w:tcW w:w="5385"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sz w:val="24"/>
                <w:szCs w:val="24"/>
                <w:lang w:val="en-US" w:eastAsia="zh-CN"/>
              </w:rPr>
              <w:t>做80mm厚岩棉保温，刷黄色仿石质感外墙涂料2遍</w:t>
            </w:r>
          </w:p>
        </w:tc>
        <w:tc>
          <w:tcPr>
            <w:tcW w:w="1111"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320㎡</w:t>
            </w:r>
          </w:p>
        </w:tc>
        <w:tc>
          <w:tcPr>
            <w:tcW w:w="1687" w:type="dxa"/>
            <w:noWrap w:val="0"/>
            <w:vAlign w:val="top"/>
          </w:tcPr>
          <w:p>
            <w:pPr>
              <w:jc w:val="center"/>
              <w:rPr>
                <w:rFonts w:hint="eastAsia" w:ascii="宋体" w:hAnsi="宋体" w:eastAsia="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dxa"/>
            <w:noWrap w:val="0"/>
            <w:vAlign w:val="top"/>
          </w:tcPr>
          <w:p>
            <w:pPr>
              <w:jc w:val="center"/>
              <w:rPr>
                <w:rFonts w:hint="default"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8</w:t>
            </w:r>
          </w:p>
        </w:tc>
        <w:tc>
          <w:tcPr>
            <w:tcW w:w="937"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b/>
                <w:bCs/>
                <w:sz w:val="24"/>
                <w:szCs w:val="24"/>
                <w:lang w:eastAsia="zh-CN"/>
              </w:rPr>
              <w:t>室内</w:t>
            </w:r>
            <w:r>
              <w:rPr>
                <w:rFonts w:hint="eastAsia" w:ascii="宋体" w:hAnsi="宋体"/>
                <w:b/>
                <w:bCs/>
                <w:sz w:val="24"/>
                <w:szCs w:val="24"/>
              </w:rPr>
              <w:t>墙面</w:t>
            </w:r>
          </w:p>
        </w:tc>
        <w:tc>
          <w:tcPr>
            <w:tcW w:w="5385" w:type="dxa"/>
            <w:noWrap w:val="0"/>
            <w:vAlign w:val="top"/>
          </w:tcPr>
          <w:p>
            <w:pPr>
              <w:jc w:val="center"/>
              <w:rPr>
                <w:rFonts w:hint="default" w:ascii="宋体" w:hAnsi="宋体"/>
                <w:sz w:val="24"/>
                <w:szCs w:val="24"/>
                <w:lang w:val="en-US" w:eastAsia="zh-CN"/>
              </w:rPr>
            </w:pPr>
            <w:r>
              <w:rPr>
                <w:rFonts w:hint="eastAsia" w:ascii="宋体" w:hAnsi="宋体"/>
                <w:sz w:val="24"/>
                <w:szCs w:val="24"/>
                <w:lang w:eastAsia="zh-CN"/>
              </w:rPr>
              <w:t>室内墙面重新抹灰，</w:t>
            </w:r>
            <w:r>
              <w:rPr>
                <w:rFonts w:hint="eastAsia" w:ascii="宋体" w:hAnsi="宋体"/>
                <w:sz w:val="24"/>
                <w:szCs w:val="24"/>
                <w:lang w:val="en-US" w:eastAsia="zh-CN"/>
              </w:rPr>
              <w:t>刮腻子，刷白色乳胶漆</w:t>
            </w:r>
          </w:p>
        </w:tc>
        <w:tc>
          <w:tcPr>
            <w:tcW w:w="1111" w:type="dxa"/>
            <w:noWrap w:val="0"/>
            <w:vAlign w:val="top"/>
          </w:tcPr>
          <w:p>
            <w:pPr>
              <w:jc w:val="center"/>
              <w:rPr>
                <w:rFonts w:hint="eastAsia" w:ascii="宋体" w:hAnsi="宋体" w:eastAsia="宋体" w:cs="宋体"/>
                <w:sz w:val="24"/>
                <w:szCs w:val="24"/>
                <w:vertAlign w:val="baseline"/>
                <w:lang w:val="en-US" w:eastAsia="zh-CN"/>
              </w:rPr>
            </w:pPr>
            <w:r>
              <w:rPr>
                <w:rFonts w:hint="eastAsia" w:ascii="宋体" w:hAnsi="宋体" w:cs="宋体"/>
                <w:sz w:val="24"/>
                <w:szCs w:val="24"/>
                <w:vertAlign w:val="baseline"/>
                <w:lang w:val="en-US" w:eastAsia="zh-CN"/>
              </w:rPr>
              <w:t>320㎡</w:t>
            </w:r>
          </w:p>
        </w:tc>
        <w:tc>
          <w:tcPr>
            <w:tcW w:w="1687" w:type="dxa"/>
            <w:noWrap w:val="0"/>
            <w:vAlign w:val="top"/>
          </w:tcPr>
          <w:p>
            <w:pPr>
              <w:jc w:val="center"/>
              <w:rPr>
                <w:rFonts w:hint="eastAsia" w:ascii="宋体" w:hAnsi="宋体" w:eastAsia="宋体" w:cs="宋体"/>
                <w:sz w:val="24"/>
                <w:szCs w:val="24"/>
                <w:vertAlign w:val="baseline"/>
                <w:lang w:val="en-US" w:eastAsia="zh-CN"/>
              </w:rPr>
            </w:pPr>
          </w:p>
        </w:tc>
      </w:tr>
    </w:tbl>
    <w:p>
      <w:pPr>
        <w:rPr>
          <w:sz w:val="20"/>
          <w:szCs w:val="22"/>
        </w:rPr>
      </w:pPr>
      <w:r>
        <w:rPr>
          <w:sz w:val="20"/>
          <w:szCs w:val="22"/>
        </w:rPr>
        <w:br w:type="page"/>
      </w:r>
    </w:p>
    <w:p>
      <w:pPr>
        <w:pStyle w:val="5"/>
        <w:jc w:val="both"/>
        <w:outlineLvl w:val="1"/>
        <w:rPr>
          <w:rFonts w:hint="eastAsia" w:ascii="宋体" w:hAnsi="宋体" w:eastAsia="宋体" w:cs="宋体"/>
          <w:b/>
          <w:bCs/>
          <w:color w:val="000000"/>
          <w:kern w:val="2"/>
          <w:sz w:val="28"/>
          <w:szCs w:val="28"/>
          <w:lang w:val="en-US" w:eastAsia="zh-CN" w:bidi="ar-SA"/>
        </w:rPr>
      </w:pPr>
      <w:bookmarkStart w:id="106" w:name="_Toc644952754"/>
      <w:r>
        <w:rPr>
          <w:rFonts w:hint="eastAsia" w:ascii="宋体" w:hAnsi="宋体" w:eastAsia="宋体" w:cs="宋体"/>
          <w:b/>
          <w:bCs/>
          <w:color w:val="000000"/>
          <w:kern w:val="2"/>
          <w:sz w:val="28"/>
          <w:szCs w:val="28"/>
          <w:lang w:val="en-US" w:eastAsia="zh-CN" w:bidi="ar-SA"/>
        </w:rPr>
        <w:t>6.中苏友协新疆分会旧址现状勘察残损记录表</w:t>
      </w:r>
      <w:bookmarkEnd w:id="106"/>
    </w:p>
    <w:p>
      <w:pPr>
        <w:pStyle w:val="6"/>
        <w:rPr>
          <w:rFonts w:hint="eastAsia"/>
        </w:rPr>
      </w:pPr>
    </w:p>
    <w:tbl>
      <w:tblPr>
        <w:tblStyle w:val="18"/>
        <w:tblW w:w="9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493"/>
        <w:gridCol w:w="1400"/>
        <w:gridCol w:w="2249"/>
        <w:gridCol w:w="2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084" w:type="dxa"/>
            <w:shd w:val="clear" w:color="auto" w:fill="E0E0E0"/>
            <w:noWrap w:val="0"/>
            <w:vAlign w:val="center"/>
          </w:tcPr>
          <w:p>
            <w:pPr>
              <w:pStyle w:val="5"/>
              <w:ind w:left="0" w:leftChars="0" w:firstLine="0" w:firstLineChars="0"/>
              <w:jc w:val="center"/>
              <w:rPr>
                <w:rFonts w:hint="eastAsia"/>
              </w:rPr>
            </w:pPr>
            <w:r>
              <w:rPr>
                <w:rFonts w:hint="eastAsia"/>
              </w:rPr>
              <w:t>部位</w:t>
            </w:r>
          </w:p>
        </w:tc>
        <w:tc>
          <w:tcPr>
            <w:tcW w:w="2493" w:type="dxa"/>
            <w:shd w:val="clear" w:color="auto" w:fill="E0E0E0"/>
            <w:noWrap w:val="0"/>
            <w:vAlign w:val="center"/>
          </w:tcPr>
          <w:p>
            <w:pPr>
              <w:pStyle w:val="5"/>
              <w:ind w:left="0" w:leftChars="0" w:firstLine="0" w:firstLineChars="0"/>
              <w:jc w:val="center"/>
              <w:rPr>
                <w:rFonts w:hint="eastAsia"/>
              </w:rPr>
            </w:pPr>
            <w:r>
              <w:rPr>
                <w:rFonts w:hint="eastAsia"/>
              </w:rPr>
              <w:t>内容</w:t>
            </w:r>
          </w:p>
        </w:tc>
        <w:tc>
          <w:tcPr>
            <w:tcW w:w="1400" w:type="dxa"/>
            <w:shd w:val="clear" w:color="auto" w:fill="E0E0E0"/>
            <w:noWrap w:val="0"/>
            <w:vAlign w:val="center"/>
          </w:tcPr>
          <w:p>
            <w:pPr>
              <w:pStyle w:val="5"/>
              <w:ind w:left="0" w:leftChars="0" w:firstLine="0" w:firstLineChars="0"/>
              <w:jc w:val="center"/>
              <w:rPr>
                <w:rFonts w:hint="eastAsia"/>
              </w:rPr>
            </w:pPr>
            <w:r>
              <w:rPr>
                <w:rFonts w:hint="eastAsia"/>
              </w:rPr>
              <w:t>残损位置</w:t>
            </w:r>
          </w:p>
        </w:tc>
        <w:tc>
          <w:tcPr>
            <w:tcW w:w="2249" w:type="dxa"/>
            <w:shd w:val="clear" w:color="auto" w:fill="E0E0E0"/>
            <w:noWrap w:val="0"/>
            <w:vAlign w:val="center"/>
          </w:tcPr>
          <w:p>
            <w:pPr>
              <w:pStyle w:val="5"/>
              <w:ind w:left="0" w:leftChars="0" w:firstLine="0" w:firstLineChars="0"/>
              <w:jc w:val="center"/>
              <w:rPr>
                <w:rFonts w:hint="eastAsia"/>
              </w:rPr>
            </w:pPr>
            <w:r>
              <w:rPr>
                <w:rFonts w:hint="eastAsia"/>
              </w:rPr>
              <w:t>现状残损</w:t>
            </w:r>
          </w:p>
        </w:tc>
        <w:tc>
          <w:tcPr>
            <w:tcW w:w="2111" w:type="dxa"/>
            <w:shd w:val="clear" w:color="auto" w:fill="E0E0E0"/>
            <w:noWrap w:val="0"/>
            <w:vAlign w:val="center"/>
          </w:tcPr>
          <w:p>
            <w:pPr>
              <w:pStyle w:val="5"/>
              <w:ind w:left="0" w:leftChars="0" w:right="-44" w:rightChars="-21" w:firstLine="0" w:firstLineChars="0"/>
              <w:jc w:val="center"/>
              <w:rPr>
                <w:rFonts w:hint="eastAsia"/>
              </w:rPr>
            </w:pPr>
            <w:r>
              <w:rPr>
                <w:rFonts w:hint="eastAsia"/>
              </w:rPr>
              <w:t>破坏原因分析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084" w:type="dxa"/>
            <w:noWrap w:val="0"/>
            <w:vAlign w:val="center"/>
          </w:tcPr>
          <w:p>
            <w:pPr>
              <w:pStyle w:val="5"/>
              <w:ind w:left="0" w:leftChars="0" w:firstLine="0" w:firstLineChars="0"/>
              <w:jc w:val="center"/>
              <w:rPr>
                <w:rFonts w:hint="eastAsia"/>
              </w:rPr>
            </w:pPr>
            <w:r>
              <w:rPr>
                <w:rFonts w:hint="eastAsia"/>
              </w:rPr>
              <w:t>基础</w:t>
            </w:r>
          </w:p>
        </w:tc>
        <w:tc>
          <w:tcPr>
            <w:tcW w:w="2493" w:type="dxa"/>
            <w:noWrap w:val="0"/>
            <w:vAlign w:val="center"/>
          </w:tcPr>
          <w:p>
            <w:pPr>
              <w:pStyle w:val="5"/>
              <w:ind w:left="0" w:leftChars="0" w:firstLine="0" w:firstLineChars="0"/>
              <w:jc w:val="center"/>
              <w:rPr>
                <w:rFonts w:hint="eastAsia"/>
              </w:rPr>
            </w:pPr>
            <w:r>
              <w:rPr>
                <w:rFonts w:hint="eastAsia"/>
                <w:lang w:val="en-US" w:eastAsia="zh-CN"/>
              </w:rPr>
              <w:t>中苏友协新疆分会旧址</w:t>
            </w:r>
            <w:r>
              <w:rPr>
                <w:rFonts w:hint="eastAsia"/>
              </w:rPr>
              <w:t>基础整体保存较好</w:t>
            </w:r>
          </w:p>
        </w:tc>
        <w:tc>
          <w:tcPr>
            <w:tcW w:w="1400" w:type="dxa"/>
            <w:noWrap w:val="0"/>
            <w:vAlign w:val="center"/>
          </w:tcPr>
          <w:p>
            <w:pPr>
              <w:pStyle w:val="5"/>
              <w:ind w:left="0" w:leftChars="0" w:firstLine="0" w:firstLineChars="0"/>
              <w:jc w:val="center"/>
              <w:rPr>
                <w:rFonts w:hint="eastAsia"/>
              </w:rPr>
            </w:pPr>
            <w:r>
              <w:rPr>
                <w:rFonts w:hint="eastAsia"/>
              </w:rPr>
              <w:t>无</w:t>
            </w:r>
          </w:p>
        </w:tc>
        <w:tc>
          <w:tcPr>
            <w:tcW w:w="2249" w:type="dxa"/>
            <w:noWrap w:val="0"/>
            <w:vAlign w:val="center"/>
          </w:tcPr>
          <w:p>
            <w:pPr>
              <w:pStyle w:val="5"/>
              <w:ind w:left="0" w:leftChars="0" w:firstLine="0" w:firstLineChars="0"/>
              <w:jc w:val="center"/>
              <w:rPr>
                <w:rFonts w:hint="eastAsia"/>
              </w:rPr>
            </w:pPr>
            <w:r>
              <w:t>无</w:t>
            </w:r>
          </w:p>
        </w:tc>
        <w:tc>
          <w:tcPr>
            <w:tcW w:w="2111" w:type="dxa"/>
            <w:noWrap w:val="0"/>
            <w:vAlign w:val="center"/>
          </w:tcPr>
          <w:p>
            <w:pPr>
              <w:pStyle w:val="5"/>
              <w:ind w:left="0" w:leftChars="0" w:right="-44" w:rightChars="-21" w:firstLine="0" w:firstLineChars="0"/>
              <w:jc w:val="center"/>
              <w:rPr>
                <w:rFonts w:hint="eastAsia"/>
              </w:rP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84" w:type="dxa"/>
            <w:vMerge w:val="restart"/>
            <w:noWrap w:val="0"/>
            <w:vAlign w:val="center"/>
          </w:tcPr>
          <w:p>
            <w:pPr>
              <w:pStyle w:val="5"/>
              <w:ind w:left="0" w:leftChars="0" w:firstLine="0" w:firstLineChars="0"/>
              <w:jc w:val="center"/>
              <w:rPr>
                <w:rFonts w:hint="eastAsia"/>
              </w:rPr>
            </w:pPr>
            <w:r>
              <w:rPr>
                <w:rFonts w:hint="eastAsia"/>
              </w:rPr>
              <w:t>散水</w:t>
            </w:r>
          </w:p>
        </w:tc>
        <w:tc>
          <w:tcPr>
            <w:tcW w:w="2493" w:type="dxa"/>
            <w:vMerge w:val="restart"/>
            <w:noWrap w:val="0"/>
            <w:vAlign w:val="center"/>
          </w:tcPr>
          <w:p>
            <w:pPr>
              <w:pStyle w:val="5"/>
              <w:ind w:left="0" w:leftChars="0" w:firstLine="0" w:firstLineChars="0"/>
              <w:jc w:val="center"/>
              <w:rPr>
                <w:rFonts w:hint="eastAsia"/>
              </w:rPr>
            </w:pPr>
            <w:r>
              <w:rPr>
                <w:rFonts w:hint="eastAsia"/>
              </w:rPr>
              <w:t>散水</w:t>
            </w:r>
            <w:r>
              <w:rPr>
                <w:rFonts w:hint="eastAsia"/>
                <w:lang w:val="en-US" w:eastAsia="zh-CN"/>
              </w:rPr>
              <w:t>大部分</w:t>
            </w:r>
            <w:r>
              <w:rPr>
                <w:rFonts w:hint="eastAsia"/>
              </w:rPr>
              <w:t>缺失、破碎、断裂、植被生长</w:t>
            </w:r>
          </w:p>
        </w:tc>
        <w:tc>
          <w:tcPr>
            <w:tcW w:w="1400" w:type="dxa"/>
            <w:noWrap w:val="0"/>
            <w:vAlign w:val="center"/>
          </w:tcPr>
          <w:p>
            <w:pPr>
              <w:pStyle w:val="5"/>
              <w:ind w:left="0" w:leftChars="0" w:firstLine="0" w:firstLineChars="0"/>
              <w:jc w:val="center"/>
              <w:rPr>
                <w:rFonts w:hint="eastAsia"/>
              </w:rPr>
            </w:pPr>
            <w:r>
              <w:rPr>
                <w:rFonts w:hint="eastAsia"/>
              </w:rPr>
              <w:t>北侧</w:t>
            </w:r>
          </w:p>
        </w:tc>
        <w:tc>
          <w:tcPr>
            <w:tcW w:w="2249" w:type="dxa"/>
            <w:vMerge w:val="restart"/>
            <w:noWrap w:val="0"/>
            <w:vAlign w:val="center"/>
          </w:tcPr>
          <w:p>
            <w:pPr>
              <w:pStyle w:val="5"/>
              <w:ind w:left="0" w:leftChars="0" w:firstLine="0" w:firstLineChars="0"/>
              <w:jc w:val="center"/>
              <w:rPr>
                <w:rFonts w:hint="eastAsia"/>
              </w:rPr>
            </w:pPr>
            <w:r>
              <w:rPr>
                <w:rFonts w:hint="eastAsia"/>
              </w:rPr>
              <w:t>散水</w:t>
            </w:r>
            <w:r>
              <w:rPr>
                <w:rFonts w:hint="eastAsia"/>
                <w:lang w:val="en-US" w:eastAsia="zh-CN"/>
              </w:rPr>
              <w:t>大部分</w:t>
            </w:r>
            <w:r>
              <w:rPr>
                <w:rFonts w:hint="eastAsia"/>
              </w:rPr>
              <w:t>缺失、破碎、断裂、植被生长</w:t>
            </w:r>
          </w:p>
        </w:tc>
        <w:tc>
          <w:tcPr>
            <w:tcW w:w="2111" w:type="dxa"/>
            <w:vMerge w:val="restart"/>
            <w:noWrap w:val="0"/>
            <w:vAlign w:val="center"/>
          </w:tcPr>
          <w:p>
            <w:pPr>
              <w:pStyle w:val="5"/>
              <w:ind w:left="0" w:leftChars="0" w:right="-44" w:rightChars="-21" w:firstLine="0" w:firstLineChars="0"/>
              <w:jc w:val="center"/>
              <w:rPr>
                <w:rFonts w:hint="eastAsia"/>
              </w:rPr>
            </w:pPr>
            <w:r>
              <w:rPr>
                <w:rFonts w:hint="eastAsia"/>
              </w:rPr>
              <w:t>人为因素，排水不畅，自然因素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084" w:type="dxa"/>
            <w:vMerge w:val="continue"/>
            <w:noWrap w:val="0"/>
            <w:vAlign w:val="center"/>
          </w:tcPr>
          <w:p>
            <w:pPr>
              <w:pStyle w:val="5"/>
              <w:ind w:left="0" w:leftChars="0" w:firstLine="0" w:firstLineChars="0"/>
              <w:jc w:val="center"/>
              <w:rPr>
                <w:rFonts w:hint="eastAsia"/>
              </w:rPr>
            </w:pPr>
          </w:p>
        </w:tc>
        <w:tc>
          <w:tcPr>
            <w:tcW w:w="2493" w:type="dxa"/>
            <w:vMerge w:val="continue"/>
            <w:noWrap w:val="0"/>
            <w:vAlign w:val="center"/>
          </w:tcPr>
          <w:p>
            <w:pPr>
              <w:pStyle w:val="5"/>
              <w:ind w:left="0" w:leftChars="0" w:firstLine="0" w:firstLineChars="0"/>
              <w:jc w:val="center"/>
              <w:rPr>
                <w:rFonts w:hint="eastAsia"/>
              </w:rPr>
            </w:pPr>
          </w:p>
        </w:tc>
        <w:tc>
          <w:tcPr>
            <w:tcW w:w="1400" w:type="dxa"/>
            <w:noWrap w:val="0"/>
            <w:vAlign w:val="center"/>
          </w:tcPr>
          <w:p>
            <w:pPr>
              <w:pStyle w:val="5"/>
              <w:ind w:left="0" w:leftChars="0" w:firstLine="0" w:firstLineChars="0"/>
              <w:jc w:val="center"/>
              <w:rPr>
                <w:rFonts w:hint="eastAsia"/>
              </w:rPr>
            </w:pPr>
            <w:r>
              <w:rPr>
                <w:rFonts w:hint="eastAsia"/>
              </w:rPr>
              <w:t>南侧</w:t>
            </w:r>
          </w:p>
        </w:tc>
        <w:tc>
          <w:tcPr>
            <w:tcW w:w="2249" w:type="dxa"/>
            <w:vMerge w:val="continue"/>
            <w:noWrap w:val="0"/>
            <w:vAlign w:val="center"/>
          </w:tcPr>
          <w:p>
            <w:pPr>
              <w:pStyle w:val="5"/>
              <w:ind w:left="0" w:leftChars="0" w:firstLine="0" w:firstLineChars="0"/>
              <w:jc w:val="center"/>
              <w:rPr>
                <w:rFonts w:hint="eastAsia"/>
              </w:rPr>
            </w:pPr>
          </w:p>
        </w:tc>
        <w:tc>
          <w:tcPr>
            <w:tcW w:w="2111" w:type="dxa"/>
            <w:vMerge w:val="continue"/>
            <w:noWrap w:val="0"/>
            <w:vAlign w:val="center"/>
          </w:tcPr>
          <w:p>
            <w:pPr>
              <w:pStyle w:val="5"/>
              <w:ind w:left="0" w:leftChars="0" w:right="-44" w:rightChars="-21" w:firstLine="0" w:firstLineChars="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084" w:type="dxa"/>
            <w:vMerge w:val="continue"/>
            <w:noWrap w:val="0"/>
            <w:vAlign w:val="center"/>
          </w:tcPr>
          <w:p>
            <w:pPr>
              <w:pStyle w:val="5"/>
              <w:ind w:left="0" w:leftChars="0" w:firstLine="0" w:firstLineChars="0"/>
              <w:jc w:val="center"/>
              <w:rPr>
                <w:rFonts w:hint="eastAsia"/>
              </w:rPr>
            </w:pPr>
          </w:p>
        </w:tc>
        <w:tc>
          <w:tcPr>
            <w:tcW w:w="2493" w:type="dxa"/>
            <w:vMerge w:val="continue"/>
            <w:noWrap w:val="0"/>
            <w:vAlign w:val="center"/>
          </w:tcPr>
          <w:p>
            <w:pPr>
              <w:pStyle w:val="5"/>
              <w:ind w:left="0" w:leftChars="0" w:firstLine="0" w:firstLineChars="0"/>
              <w:jc w:val="center"/>
              <w:rPr>
                <w:rFonts w:hint="eastAsia"/>
              </w:rPr>
            </w:pPr>
          </w:p>
        </w:tc>
        <w:tc>
          <w:tcPr>
            <w:tcW w:w="1400" w:type="dxa"/>
            <w:noWrap w:val="0"/>
            <w:vAlign w:val="center"/>
          </w:tcPr>
          <w:p>
            <w:pPr>
              <w:pStyle w:val="5"/>
              <w:ind w:left="0" w:leftChars="0" w:firstLine="0" w:firstLineChars="0"/>
              <w:jc w:val="center"/>
              <w:rPr>
                <w:rFonts w:hint="eastAsia"/>
              </w:rPr>
            </w:pPr>
            <w:r>
              <w:rPr>
                <w:rFonts w:hint="eastAsia"/>
              </w:rPr>
              <w:t>东侧</w:t>
            </w:r>
          </w:p>
        </w:tc>
        <w:tc>
          <w:tcPr>
            <w:tcW w:w="2249" w:type="dxa"/>
            <w:vMerge w:val="continue"/>
            <w:noWrap w:val="0"/>
            <w:vAlign w:val="center"/>
          </w:tcPr>
          <w:p>
            <w:pPr>
              <w:pStyle w:val="5"/>
              <w:ind w:left="0" w:leftChars="0" w:firstLine="0" w:firstLineChars="0"/>
              <w:jc w:val="center"/>
              <w:rPr>
                <w:rFonts w:hint="eastAsia"/>
              </w:rPr>
            </w:pPr>
          </w:p>
        </w:tc>
        <w:tc>
          <w:tcPr>
            <w:tcW w:w="2111" w:type="dxa"/>
            <w:vMerge w:val="continue"/>
            <w:noWrap w:val="0"/>
            <w:vAlign w:val="center"/>
          </w:tcPr>
          <w:p>
            <w:pPr>
              <w:pStyle w:val="5"/>
              <w:ind w:left="0" w:leftChars="0" w:right="-44" w:rightChars="-21" w:firstLine="0" w:firstLineChars="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4" w:type="dxa"/>
            <w:vMerge w:val="continue"/>
            <w:noWrap w:val="0"/>
            <w:vAlign w:val="center"/>
          </w:tcPr>
          <w:p>
            <w:pPr>
              <w:pStyle w:val="5"/>
              <w:ind w:left="0" w:leftChars="0" w:firstLine="0" w:firstLineChars="0"/>
              <w:jc w:val="center"/>
              <w:rPr>
                <w:rFonts w:hint="eastAsia"/>
              </w:rPr>
            </w:pPr>
          </w:p>
        </w:tc>
        <w:tc>
          <w:tcPr>
            <w:tcW w:w="2493" w:type="dxa"/>
            <w:vMerge w:val="continue"/>
            <w:noWrap w:val="0"/>
            <w:vAlign w:val="center"/>
          </w:tcPr>
          <w:p>
            <w:pPr>
              <w:pStyle w:val="5"/>
              <w:ind w:left="0" w:leftChars="0" w:firstLine="0" w:firstLineChars="0"/>
              <w:jc w:val="center"/>
              <w:rPr>
                <w:rFonts w:hint="eastAsia"/>
              </w:rPr>
            </w:pPr>
          </w:p>
        </w:tc>
        <w:tc>
          <w:tcPr>
            <w:tcW w:w="1400" w:type="dxa"/>
            <w:noWrap w:val="0"/>
            <w:vAlign w:val="center"/>
          </w:tcPr>
          <w:p>
            <w:pPr>
              <w:pStyle w:val="5"/>
              <w:ind w:left="0" w:leftChars="0" w:firstLine="0" w:firstLineChars="0"/>
              <w:jc w:val="center"/>
              <w:rPr>
                <w:rFonts w:hint="eastAsia"/>
              </w:rPr>
            </w:pPr>
            <w:r>
              <w:rPr>
                <w:rFonts w:hint="eastAsia"/>
              </w:rPr>
              <w:t>西侧</w:t>
            </w:r>
          </w:p>
        </w:tc>
        <w:tc>
          <w:tcPr>
            <w:tcW w:w="2249" w:type="dxa"/>
            <w:vMerge w:val="continue"/>
            <w:noWrap w:val="0"/>
            <w:vAlign w:val="center"/>
          </w:tcPr>
          <w:p>
            <w:pPr>
              <w:pStyle w:val="5"/>
              <w:ind w:left="0" w:leftChars="0" w:firstLine="0" w:firstLineChars="0"/>
              <w:jc w:val="center"/>
              <w:rPr>
                <w:rFonts w:hint="eastAsia"/>
              </w:rPr>
            </w:pPr>
          </w:p>
        </w:tc>
        <w:tc>
          <w:tcPr>
            <w:tcW w:w="2111" w:type="dxa"/>
            <w:vMerge w:val="continue"/>
            <w:noWrap w:val="0"/>
            <w:vAlign w:val="center"/>
          </w:tcPr>
          <w:p>
            <w:pPr>
              <w:pStyle w:val="5"/>
              <w:ind w:left="0" w:leftChars="0" w:right="-44" w:rightChars="-21" w:firstLine="0" w:firstLineChars="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1084" w:type="dxa"/>
            <w:noWrap w:val="0"/>
            <w:vAlign w:val="center"/>
          </w:tcPr>
          <w:p>
            <w:pPr>
              <w:pStyle w:val="5"/>
              <w:ind w:left="0" w:leftChars="0" w:firstLine="0" w:firstLineChars="0"/>
              <w:jc w:val="center"/>
              <w:rPr>
                <w:rFonts w:hint="eastAsia"/>
              </w:rPr>
            </w:pPr>
            <w:r>
              <w:rPr>
                <w:rFonts w:hint="eastAsia"/>
              </w:rPr>
              <w:t>台阶</w:t>
            </w:r>
          </w:p>
        </w:tc>
        <w:tc>
          <w:tcPr>
            <w:tcW w:w="2493" w:type="dxa"/>
            <w:noWrap w:val="0"/>
            <w:vAlign w:val="center"/>
          </w:tcPr>
          <w:p>
            <w:pPr>
              <w:pStyle w:val="5"/>
              <w:ind w:left="0" w:leftChars="0" w:firstLine="0" w:firstLineChars="0"/>
              <w:jc w:val="center"/>
              <w:rPr>
                <w:rFonts w:hint="eastAsia"/>
                <w:lang w:val="en-US" w:eastAsia="zh-CN"/>
              </w:rPr>
            </w:pPr>
            <w:r>
              <w:rPr>
                <w:rFonts w:hint="eastAsia"/>
                <w:lang w:val="en-US" w:eastAsia="zh-CN"/>
              </w:rPr>
              <w:t>正立面</w:t>
            </w:r>
            <w:r>
              <w:rPr>
                <w:rFonts w:hint="eastAsia"/>
              </w:rPr>
              <w:t>室外台阶</w:t>
            </w:r>
            <w:r>
              <w:rPr>
                <w:rFonts w:hint="eastAsia"/>
                <w:lang w:val="en-US" w:eastAsia="zh-CN"/>
              </w:rPr>
              <w:t>缺失</w:t>
            </w:r>
          </w:p>
        </w:tc>
        <w:tc>
          <w:tcPr>
            <w:tcW w:w="1400" w:type="dxa"/>
            <w:noWrap w:val="0"/>
            <w:vAlign w:val="center"/>
          </w:tcPr>
          <w:p>
            <w:pPr>
              <w:pStyle w:val="5"/>
              <w:ind w:left="0" w:leftChars="0" w:firstLine="0" w:firstLineChars="0"/>
              <w:jc w:val="center"/>
              <w:rPr>
                <w:rFonts w:hint="eastAsia"/>
                <w:lang w:val="en-US" w:eastAsia="zh-CN"/>
              </w:rPr>
            </w:pPr>
            <w:r>
              <w:rPr>
                <w:rFonts w:hint="eastAsia"/>
              </w:rPr>
              <w:t>南</w:t>
            </w:r>
            <w:r>
              <w:rPr>
                <w:rFonts w:hint="eastAsia"/>
                <w:lang w:val="en-US" w:eastAsia="zh-CN"/>
              </w:rPr>
              <w:t>立面</w:t>
            </w:r>
          </w:p>
        </w:tc>
        <w:tc>
          <w:tcPr>
            <w:tcW w:w="2249" w:type="dxa"/>
            <w:noWrap w:val="0"/>
            <w:vAlign w:val="center"/>
          </w:tcPr>
          <w:p>
            <w:pPr>
              <w:pStyle w:val="5"/>
              <w:ind w:left="0" w:leftChars="0" w:firstLine="0" w:firstLineChars="0"/>
              <w:jc w:val="center"/>
              <w:rPr>
                <w:rFonts w:hint="default"/>
                <w:lang w:val="en-US" w:eastAsia="zh-CN"/>
              </w:rPr>
            </w:pPr>
            <w:r>
              <w:rPr>
                <w:rFonts w:hint="eastAsia"/>
              </w:rPr>
              <w:t>后期改造</w:t>
            </w:r>
            <w:r>
              <w:rPr>
                <w:rFonts w:hint="eastAsia"/>
                <w:lang w:val="en-US" w:eastAsia="zh-CN"/>
              </w:rPr>
              <w:t>后台阶缺失</w:t>
            </w:r>
          </w:p>
        </w:tc>
        <w:tc>
          <w:tcPr>
            <w:tcW w:w="2111" w:type="dxa"/>
            <w:noWrap w:val="0"/>
            <w:vAlign w:val="center"/>
          </w:tcPr>
          <w:p>
            <w:pPr>
              <w:pStyle w:val="5"/>
              <w:ind w:left="0" w:leftChars="0" w:right="-44" w:rightChars="-21" w:firstLine="0" w:firstLineChars="0"/>
              <w:jc w:val="center"/>
              <w:rPr>
                <w:rFonts w:hint="eastAsia"/>
              </w:rPr>
            </w:pPr>
            <w:r>
              <w:rPr>
                <w:rFonts w:hint="eastAsia"/>
              </w:rPr>
              <w:t>人为因素，自然因素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1084" w:type="dxa"/>
            <w:noWrap w:val="0"/>
            <w:vAlign w:val="center"/>
          </w:tcPr>
          <w:p>
            <w:pPr>
              <w:pStyle w:val="5"/>
              <w:ind w:left="0" w:leftChars="0" w:firstLine="0" w:firstLineChars="0"/>
              <w:jc w:val="center"/>
              <w:rPr>
                <w:rFonts w:hint="eastAsia"/>
              </w:rPr>
            </w:pPr>
            <w:r>
              <w:rPr>
                <w:rFonts w:hint="eastAsia"/>
              </w:rPr>
              <w:t>立柱</w:t>
            </w:r>
          </w:p>
        </w:tc>
        <w:tc>
          <w:tcPr>
            <w:tcW w:w="2493" w:type="dxa"/>
            <w:noWrap w:val="0"/>
            <w:vAlign w:val="center"/>
          </w:tcPr>
          <w:p>
            <w:pPr>
              <w:pStyle w:val="5"/>
              <w:ind w:left="0" w:leftChars="0" w:firstLine="0" w:firstLineChars="0"/>
              <w:jc w:val="center"/>
              <w:rPr>
                <w:rFonts w:hint="eastAsia"/>
              </w:rPr>
            </w:pPr>
            <w:r>
              <w:rPr>
                <w:rFonts w:hint="eastAsia"/>
                <w:lang w:val="en-US" w:eastAsia="zh-CN"/>
              </w:rPr>
              <w:t>正立面</w:t>
            </w:r>
            <w:r>
              <w:rPr>
                <w:rFonts w:hint="eastAsia"/>
              </w:rPr>
              <w:t>砖混</w:t>
            </w:r>
            <w:r>
              <w:t>外</w:t>
            </w:r>
            <w:r>
              <w:rPr>
                <w:rFonts w:hint="eastAsia"/>
                <w:lang w:val="en-US" w:eastAsia="zh-CN"/>
              </w:rPr>
              <w:t>装饰</w:t>
            </w:r>
            <w:r>
              <w:t>柱</w:t>
            </w:r>
          </w:p>
        </w:tc>
        <w:tc>
          <w:tcPr>
            <w:tcW w:w="1400" w:type="dxa"/>
            <w:noWrap w:val="0"/>
            <w:vAlign w:val="center"/>
          </w:tcPr>
          <w:p>
            <w:pPr>
              <w:pStyle w:val="5"/>
              <w:ind w:left="0" w:leftChars="0" w:firstLine="0" w:firstLineChars="0"/>
              <w:jc w:val="center"/>
              <w:rPr>
                <w:rFonts w:hint="eastAsia"/>
              </w:rPr>
            </w:pPr>
            <w:r>
              <w:rPr>
                <w:rFonts w:hint="eastAsia"/>
              </w:rPr>
              <w:t>柱础与柱身</w:t>
            </w:r>
          </w:p>
        </w:tc>
        <w:tc>
          <w:tcPr>
            <w:tcW w:w="2249" w:type="dxa"/>
            <w:noWrap w:val="0"/>
            <w:vAlign w:val="center"/>
          </w:tcPr>
          <w:p>
            <w:pPr>
              <w:pStyle w:val="5"/>
              <w:ind w:left="0" w:leftChars="0" w:firstLine="0" w:firstLineChars="0"/>
              <w:jc w:val="center"/>
              <w:rPr>
                <w:rFonts w:hint="eastAsia"/>
              </w:rPr>
            </w:pPr>
            <w:r>
              <w:rPr>
                <w:rFonts w:hint="eastAsia"/>
                <w:lang w:val="en-US" w:eastAsia="zh-CN"/>
              </w:rPr>
              <w:t>正立面</w:t>
            </w:r>
            <w:r>
              <w:rPr>
                <w:rFonts w:hint="eastAsia"/>
              </w:rPr>
              <w:t>砖混</w:t>
            </w:r>
            <w:r>
              <w:t>外</w:t>
            </w:r>
            <w:r>
              <w:rPr>
                <w:rFonts w:hint="eastAsia"/>
                <w:lang w:val="en-US" w:eastAsia="zh-CN"/>
              </w:rPr>
              <w:t>装饰</w:t>
            </w:r>
            <w:r>
              <w:t>柱：共</w:t>
            </w:r>
            <w:r>
              <w:rPr>
                <w:rFonts w:hint="eastAsia"/>
                <w:lang w:val="en-US" w:eastAsia="zh-CN"/>
              </w:rPr>
              <w:t>4</w:t>
            </w:r>
            <w:r>
              <w:rPr>
                <w:rFonts w:hint="eastAsia"/>
              </w:rPr>
              <w:t>根，柱表面粉刷层脱落、起甲，根部酥碱，部分存在轻微破损。</w:t>
            </w:r>
          </w:p>
        </w:tc>
        <w:tc>
          <w:tcPr>
            <w:tcW w:w="2111" w:type="dxa"/>
            <w:noWrap w:val="0"/>
            <w:vAlign w:val="center"/>
          </w:tcPr>
          <w:p>
            <w:pPr>
              <w:pStyle w:val="5"/>
              <w:ind w:left="0" w:leftChars="0" w:right="-44" w:rightChars="-21" w:firstLine="0" w:firstLineChars="0"/>
              <w:jc w:val="center"/>
              <w:rPr>
                <w:rFonts w:hint="eastAsia"/>
              </w:rPr>
            </w:pPr>
            <w:r>
              <w:rPr>
                <w:rFonts w:hint="eastAsia"/>
              </w:rPr>
              <w:t>自然因素，人为因素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1084" w:type="dxa"/>
            <w:noWrap w:val="0"/>
            <w:vAlign w:val="center"/>
          </w:tcPr>
          <w:p>
            <w:pPr>
              <w:pStyle w:val="5"/>
              <w:ind w:left="0" w:leftChars="0" w:firstLine="0" w:firstLineChars="0"/>
              <w:jc w:val="center"/>
              <w:rPr>
                <w:rFonts w:hint="eastAsia"/>
              </w:rPr>
            </w:pPr>
            <w:r>
              <w:rPr>
                <w:rFonts w:hint="eastAsia"/>
              </w:rPr>
              <w:t>墙体</w:t>
            </w:r>
          </w:p>
        </w:tc>
        <w:tc>
          <w:tcPr>
            <w:tcW w:w="2493" w:type="dxa"/>
            <w:noWrap w:val="0"/>
            <w:vAlign w:val="center"/>
          </w:tcPr>
          <w:p>
            <w:pPr>
              <w:pStyle w:val="5"/>
              <w:ind w:left="0" w:leftChars="0" w:firstLine="0" w:firstLineChars="0"/>
              <w:jc w:val="center"/>
              <w:rPr>
                <w:rFonts w:hint="eastAsia"/>
                <w:lang w:val="en-US" w:eastAsia="zh-CN"/>
              </w:rPr>
            </w:pPr>
            <w:r>
              <w:rPr>
                <w:rFonts w:hint="eastAsia"/>
                <w:lang w:val="en-US" w:eastAsia="zh-CN"/>
              </w:rPr>
              <w:t>内外装饰损坏严重，外墙存在附属建筑搭接现象</w:t>
            </w:r>
          </w:p>
        </w:tc>
        <w:tc>
          <w:tcPr>
            <w:tcW w:w="1400" w:type="dxa"/>
            <w:noWrap w:val="0"/>
            <w:vAlign w:val="center"/>
          </w:tcPr>
          <w:p>
            <w:pPr>
              <w:pStyle w:val="5"/>
              <w:ind w:left="0" w:leftChars="0" w:firstLine="0" w:firstLineChars="0"/>
              <w:jc w:val="center"/>
              <w:rPr>
                <w:rFonts w:hint="default"/>
                <w:lang w:val="en-US" w:eastAsia="zh-CN"/>
              </w:rPr>
            </w:pPr>
            <w:r>
              <w:rPr>
                <w:rFonts w:hint="eastAsia"/>
                <w:lang w:val="en-US" w:eastAsia="zh-CN"/>
              </w:rPr>
              <w:t>室内所有墙面、外墙正立面、侧立面</w:t>
            </w:r>
          </w:p>
        </w:tc>
        <w:tc>
          <w:tcPr>
            <w:tcW w:w="2249" w:type="dxa"/>
            <w:noWrap w:val="0"/>
            <w:vAlign w:val="center"/>
          </w:tcPr>
          <w:p>
            <w:pPr>
              <w:pStyle w:val="5"/>
              <w:ind w:left="0" w:leftChars="0" w:firstLine="0" w:firstLineChars="0"/>
              <w:jc w:val="center"/>
              <w:rPr>
                <w:rFonts w:hint="eastAsia"/>
              </w:rPr>
            </w:pPr>
            <w:r>
              <w:rPr>
                <w:rFonts w:hint="eastAsia"/>
              </w:rPr>
              <w:t>内墙：墙体存在部分强度较低、灰浆不饱满的问题。其中，内墙后期改造大，部分隔间或拆除或用水泥封堵，难辨原来面貌，粉刷抹灰脱落、水泥抹面不规则。</w:t>
            </w:r>
          </w:p>
          <w:p>
            <w:pPr>
              <w:pStyle w:val="5"/>
              <w:ind w:left="0" w:leftChars="0" w:firstLine="0" w:firstLineChars="0"/>
              <w:jc w:val="center"/>
              <w:rPr>
                <w:rFonts w:hint="eastAsia"/>
              </w:rPr>
            </w:pPr>
            <w:r>
              <w:rPr>
                <w:rFonts w:hint="eastAsia"/>
              </w:rPr>
              <w:t>外墙：因建筑年代久远，在雨水侵蚀、风化等自然因素作用下，墙体外立面局部风化、粉化现象。</w:t>
            </w:r>
            <w:r>
              <w:t>由于</w:t>
            </w:r>
            <w:r>
              <w:rPr>
                <w:rFonts w:hint="eastAsia"/>
              </w:rPr>
              <w:t>散水现多有开裂、沉降，几乎无排水坡度，致使雨水无法快速、有效排离建筑本体</w:t>
            </w:r>
            <w:r>
              <w:t>，阴面墙体根部受潮、酥碱、风化脱落严重</w:t>
            </w:r>
            <w:r>
              <w:rPr>
                <w:rFonts w:hint="eastAsia"/>
              </w:rPr>
              <w:t>。</w:t>
            </w:r>
            <w:r>
              <w:t>外墙水泥抹灰层</w:t>
            </w:r>
            <w:r>
              <w:rPr>
                <w:rFonts w:hint="eastAsia"/>
              </w:rPr>
              <w:t>部分脱落。</w:t>
            </w:r>
          </w:p>
        </w:tc>
        <w:tc>
          <w:tcPr>
            <w:tcW w:w="2111" w:type="dxa"/>
            <w:noWrap w:val="0"/>
            <w:vAlign w:val="center"/>
          </w:tcPr>
          <w:p>
            <w:pPr>
              <w:pStyle w:val="5"/>
              <w:ind w:left="0" w:leftChars="0" w:right="-44" w:rightChars="-21" w:firstLine="0" w:firstLineChars="0"/>
              <w:jc w:val="center"/>
              <w:rPr>
                <w:rFonts w:hint="eastAsia"/>
              </w:rPr>
            </w:pPr>
            <w:r>
              <w:rPr>
                <w:rFonts w:hint="eastAsia"/>
              </w:rPr>
              <w:t>墙体材料老化、人为</w:t>
            </w:r>
            <w:r>
              <w:rPr>
                <w:rFonts w:hint="eastAsia"/>
                <w:lang w:val="en-US" w:eastAsia="zh-CN"/>
              </w:rPr>
              <w:t>改造</w:t>
            </w:r>
            <w:r>
              <w:rPr>
                <w:rFonts w:hint="eastAsia"/>
              </w:rPr>
              <w:t>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1084" w:type="dxa"/>
            <w:noWrap w:val="0"/>
            <w:vAlign w:val="center"/>
          </w:tcPr>
          <w:p>
            <w:pPr>
              <w:pStyle w:val="5"/>
              <w:ind w:left="0" w:leftChars="0" w:firstLine="0" w:firstLineChars="0"/>
              <w:jc w:val="center"/>
              <w:rPr>
                <w:rFonts w:hint="eastAsia"/>
              </w:rPr>
            </w:pPr>
            <w:r>
              <w:rPr>
                <w:rFonts w:hint="eastAsia"/>
              </w:rPr>
              <w:t>室内外地面</w:t>
            </w:r>
          </w:p>
        </w:tc>
        <w:tc>
          <w:tcPr>
            <w:tcW w:w="2493" w:type="dxa"/>
            <w:noWrap w:val="0"/>
            <w:vAlign w:val="center"/>
          </w:tcPr>
          <w:p>
            <w:pPr>
              <w:pStyle w:val="5"/>
              <w:ind w:left="0" w:leftChars="0" w:firstLine="0" w:firstLineChars="0"/>
              <w:jc w:val="center"/>
              <w:rPr>
                <w:rFonts w:hint="eastAsia"/>
                <w:lang w:eastAsia="zh-CN"/>
              </w:rPr>
            </w:pPr>
            <w:r>
              <w:rPr>
                <w:rFonts w:hint="eastAsia"/>
              </w:rPr>
              <w:t>室</w:t>
            </w:r>
            <w:r>
              <w:rPr>
                <w:rFonts w:hint="eastAsia"/>
                <w:lang w:val="en-US" w:eastAsia="zh-CN"/>
              </w:rPr>
              <w:t>内</w:t>
            </w:r>
            <w:r>
              <w:rPr>
                <w:rFonts w:hint="eastAsia"/>
              </w:rPr>
              <w:t>均为</w:t>
            </w:r>
            <w:r>
              <w:rPr>
                <w:rFonts w:hint="eastAsia"/>
                <w:lang w:val="en-US" w:eastAsia="zh-CN"/>
              </w:rPr>
              <w:t>木地板</w:t>
            </w:r>
          </w:p>
          <w:p>
            <w:pPr>
              <w:pStyle w:val="5"/>
              <w:ind w:left="0" w:leftChars="0" w:firstLine="0" w:firstLineChars="0"/>
              <w:jc w:val="center"/>
              <w:rPr>
                <w:rFonts w:hint="default"/>
                <w:lang w:val="en-US" w:eastAsia="zh-CN"/>
              </w:rPr>
            </w:pPr>
            <w:r>
              <w:rPr>
                <w:rFonts w:hint="eastAsia"/>
              </w:rPr>
              <w:t>室</w:t>
            </w:r>
            <w:r>
              <w:rPr>
                <w:rFonts w:hint="eastAsia"/>
                <w:lang w:val="en-US" w:eastAsia="zh-CN"/>
              </w:rPr>
              <w:t>外水泥地面</w:t>
            </w:r>
          </w:p>
        </w:tc>
        <w:tc>
          <w:tcPr>
            <w:tcW w:w="1400" w:type="dxa"/>
            <w:noWrap w:val="0"/>
            <w:vAlign w:val="center"/>
          </w:tcPr>
          <w:p>
            <w:pPr>
              <w:pStyle w:val="5"/>
              <w:ind w:left="0" w:leftChars="0" w:firstLine="0" w:firstLineChars="0"/>
              <w:jc w:val="center"/>
              <w:rPr>
                <w:rFonts w:hint="eastAsia"/>
              </w:rPr>
            </w:pPr>
            <w:r>
              <w:rPr>
                <w:rFonts w:hint="eastAsia"/>
              </w:rPr>
              <w:t>室内、外地面</w:t>
            </w:r>
          </w:p>
        </w:tc>
        <w:tc>
          <w:tcPr>
            <w:tcW w:w="2249" w:type="dxa"/>
            <w:noWrap w:val="0"/>
            <w:vAlign w:val="center"/>
          </w:tcPr>
          <w:p>
            <w:pPr>
              <w:pStyle w:val="5"/>
              <w:ind w:left="0" w:leftChars="0" w:firstLine="0" w:firstLineChars="0"/>
              <w:jc w:val="center"/>
              <w:rPr>
                <w:rFonts w:hint="eastAsia"/>
              </w:rPr>
            </w:pPr>
            <w:r>
              <w:rPr>
                <w:rFonts w:hint="eastAsia"/>
              </w:rPr>
              <w:t>室</w:t>
            </w:r>
            <w:r>
              <w:t>内</w:t>
            </w:r>
            <w:r>
              <w:rPr>
                <w:rFonts w:hint="eastAsia"/>
              </w:rPr>
              <w:t>地面</w:t>
            </w:r>
            <w:r>
              <w:t>因后期装修缘故遭破坏，</w:t>
            </w:r>
            <w:r>
              <w:rPr>
                <w:rFonts w:hint="eastAsia"/>
                <w:lang w:val="en-US" w:eastAsia="zh-CN"/>
              </w:rPr>
              <w:t>木地板</w:t>
            </w:r>
            <w:r>
              <w:t>呈</w:t>
            </w:r>
            <w:r>
              <w:rPr>
                <w:rFonts w:hint="eastAsia"/>
              </w:rPr>
              <w:t>不同程度破碎、裂隙等；</w:t>
            </w:r>
          </w:p>
          <w:p>
            <w:pPr>
              <w:pStyle w:val="5"/>
              <w:ind w:left="0" w:leftChars="0" w:firstLine="0" w:firstLineChars="0"/>
              <w:jc w:val="center"/>
              <w:rPr>
                <w:rFonts w:hint="eastAsia"/>
              </w:rPr>
            </w:pPr>
            <w:r>
              <w:rPr>
                <w:rFonts w:hint="eastAsia"/>
              </w:rPr>
              <w:t>室外水泥地面</w:t>
            </w:r>
            <w:r>
              <w:rPr>
                <w:rFonts w:hint="eastAsia"/>
                <w:lang w:val="en-US" w:eastAsia="zh-CN"/>
              </w:rPr>
              <w:t>存在</w:t>
            </w:r>
            <w:r>
              <w:rPr>
                <w:rFonts w:hint="eastAsia"/>
              </w:rPr>
              <w:t>裂隙与坑洼不平的残损。</w:t>
            </w:r>
          </w:p>
        </w:tc>
        <w:tc>
          <w:tcPr>
            <w:tcW w:w="2111" w:type="dxa"/>
            <w:noWrap w:val="0"/>
            <w:vAlign w:val="center"/>
          </w:tcPr>
          <w:p>
            <w:pPr>
              <w:pStyle w:val="5"/>
              <w:ind w:left="0" w:leftChars="0" w:right="-44" w:rightChars="-21" w:firstLine="0" w:firstLineChars="0"/>
              <w:jc w:val="center"/>
              <w:rPr>
                <w:rFonts w:hint="eastAsia"/>
              </w:rPr>
            </w:pPr>
            <w:r>
              <w:rPr>
                <w:rFonts w:hint="eastAsia"/>
              </w:rPr>
              <w:t>人为因素，自然因素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084" w:type="dxa"/>
            <w:noWrap w:val="0"/>
            <w:vAlign w:val="center"/>
          </w:tcPr>
          <w:p>
            <w:pPr>
              <w:pStyle w:val="5"/>
              <w:ind w:left="0" w:leftChars="0" w:firstLine="0" w:firstLineChars="0"/>
              <w:jc w:val="center"/>
              <w:rPr>
                <w:rFonts w:hint="eastAsia"/>
              </w:rPr>
            </w:pPr>
            <w:r>
              <w:rPr>
                <w:rFonts w:hint="eastAsia"/>
              </w:rPr>
              <w:t>屋面</w:t>
            </w:r>
            <w:r>
              <w:t>及屋顶</w:t>
            </w:r>
          </w:p>
        </w:tc>
        <w:tc>
          <w:tcPr>
            <w:tcW w:w="2493" w:type="dxa"/>
            <w:noWrap w:val="0"/>
            <w:vAlign w:val="center"/>
          </w:tcPr>
          <w:p>
            <w:pPr>
              <w:pStyle w:val="5"/>
              <w:ind w:left="0" w:leftChars="0" w:firstLine="0" w:firstLineChars="0"/>
              <w:jc w:val="center"/>
              <w:rPr>
                <w:rFonts w:hint="eastAsia"/>
              </w:rPr>
            </w:pPr>
            <w:r>
              <w:t>屋顶</w:t>
            </w:r>
            <w:r>
              <w:rPr>
                <w:rFonts w:hint="eastAsia"/>
              </w:rPr>
              <w:t>保存</w:t>
            </w:r>
            <w:r>
              <w:t>基本良</w:t>
            </w:r>
            <w:r>
              <w:rPr>
                <w:rFonts w:hint="eastAsia"/>
              </w:rPr>
              <w:t>好</w:t>
            </w:r>
          </w:p>
          <w:p>
            <w:pPr>
              <w:pStyle w:val="5"/>
              <w:ind w:left="0" w:leftChars="0" w:firstLine="0" w:firstLineChars="0"/>
              <w:jc w:val="center"/>
              <w:rPr>
                <w:rFonts w:hint="eastAsia"/>
              </w:rPr>
            </w:pPr>
            <w:r>
              <w:t>屋面</w:t>
            </w:r>
            <w:r>
              <w:rPr>
                <w:rFonts w:hint="eastAsia"/>
              </w:rPr>
              <w:t>存在部分病害与残损</w:t>
            </w:r>
          </w:p>
        </w:tc>
        <w:tc>
          <w:tcPr>
            <w:tcW w:w="1400" w:type="dxa"/>
            <w:noWrap w:val="0"/>
            <w:vAlign w:val="center"/>
          </w:tcPr>
          <w:p>
            <w:pPr>
              <w:pStyle w:val="5"/>
              <w:ind w:left="0" w:leftChars="0" w:firstLine="0" w:firstLineChars="0"/>
              <w:jc w:val="center"/>
              <w:rPr>
                <w:rFonts w:hint="eastAsia"/>
              </w:rPr>
            </w:pPr>
            <w:r>
              <w:rPr>
                <w:rFonts w:hint="eastAsia"/>
              </w:rPr>
              <w:t>屋面</w:t>
            </w:r>
          </w:p>
        </w:tc>
        <w:tc>
          <w:tcPr>
            <w:tcW w:w="2249" w:type="dxa"/>
            <w:noWrap w:val="0"/>
            <w:vAlign w:val="center"/>
          </w:tcPr>
          <w:p>
            <w:pPr>
              <w:pStyle w:val="5"/>
              <w:ind w:left="0" w:leftChars="0" w:firstLine="0" w:firstLineChars="0"/>
              <w:jc w:val="center"/>
              <w:rPr>
                <w:rFonts w:hint="eastAsia"/>
              </w:rPr>
            </w:pPr>
          </w:p>
          <w:p>
            <w:pPr>
              <w:pStyle w:val="5"/>
              <w:ind w:left="0" w:leftChars="0" w:firstLine="0" w:firstLineChars="0"/>
              <w:jc w:val="center"/>
              <w:rPr>
                <w:rFonts w:hint="eastAsia"/>
              </w:rPr>
            </w:pPr>
            <w:r>
              <w:rPr>
                <w:rFonts w:hint="eastAsia"/>
                <w:lang w:val="en-US" w:eastAsia="zh-CN"/>
              </w:rPr>
              <w:t>室外排水管道缺失</w:t>
            </w:r>
            <w:r>
              <w:rPr>
                <w:rFonts w:hint="eastAsia"/>
              </w:rPr>
              <w:t>；</w:t>
            </w:r>
          </w:p>
          <w:p>
            <w:pPr>
              <w:pStyle w:val="5"/>
              <w:ind w:left="0" w:leftChars="0" w:firstLine="0" w:firstLineChars="0"/>
              <w:jc w:val="center"/>
              <w:rPr>
                <w:rFonts w:hint="eastAsia"/>
              </w:rPr>
            </w:pPr>
            <w:r>
              <w:rPr>
                <w:rFonts w:hint="eastAsia"/>
              </w:rPr>
              <w:t>屋面</w:t>
            </w:r>
            <w:r>
              <w:rPr>
                <w:rFonts w:hint="eastAsia"/>
                <w:lang w:val="en-US" w:eastAsia="zh-CN"/>
              </w:rPr>
              <w:t>局部坍塌、卷材脱落、</w:t>
            </w:r>
            <w:r>
              <w:rPr>
                <w:rFonts w:hint="eastAsia"/>
              </w:rPr>
              <w:t>铁皮生锈、脱落；</w:t>
            </w:r>
          </w:p>
        </w:tc>
        <w:tc>
          <w:tcPr>
            <w:tcW w:w="2111" w:type="dxa"/>
            <w:noWrap w:val="0"/>
            <w:vAlign w:val="center"/>
          </w:tcPr>
          <w:p>
            <w:pPr>
              <w:pStyle w:val="5"/>
              <w:ind w:left="0" w:leftChars="0" w:right="-44" w:rightChars="-21" w:firstLine="0" w:firstLineChars="0"/>
              <w:jc w:val="center"/>
              <w:rPr>
                <w:rFonts w:hint="eastAsia"/>
              </w:rPr>
            </w:pPr>
            <w:r>
              <w:rPr>
                <w:rFonts w:hint="eastAsia"/>
              </w:rPr>
              <w:t>自然因素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1084" w:type="dxa"/>
            <w:noWrap w:val="0"/>
            <w:vAlign w:val="center"/>
          </w:tcPr>
          <w:p>
            <w:pPr>
              <w:pStyle w:val="5"/>
              <w:ind w:left="0" w:leftChars="0" w:firstLine="0" w:firstLineChars="0"/>
              <w:jc w:val="center"/>
              <w:rPr>
                <w:rFonts w:hint="eastAsia"/>
              </w:rPr>
            </w:pPr>
            <w:r>
              <w:rPr>
                <w:rFonts w:hint="eastAsia"/>
              </w:rPr>
              <w:t>门窗</w:t>
            </w:r>
          </w:p>
        </w:tc>
        <w:tc>
          <w:tcPr>
            <w:tcW w:w="2493" w:type="dxa"/>
            <w:noWrap w:val="0"/>
            <w:vAlign w:val="center"/>
          </w:tcPr>
          <w:p>
            <w:pPr>
              <w:pStyle w:val="5"/>
              <w:ind w:left="0" w:leftChars="0" w:firstLine="0" w:firstLineChars="0"/>
              <w:jc w:val="center"/>
              <w:rPr>
                <w:rFonts w:hint="eastAsia"/>
              </w:rPr>
            </w:pPr>
            <w:r>
              <w:rPr>
                <w:rFonts w:hint="eastAsia"/>
              </w:rPr>
              <w:t>所有门窗均经过后期改造，部分原有门窗破损严重，且门窗变形、翘曲、玻璃缺失。</w:t>
            </w:r>
          </w:p>
        </w:tc>
        <w:tc>
          <w:tcPr>
            <w:tcW w:w="1400" w:type="dxa"/>
            <w:noWrap w:val="0"/>
            <w:vAlign w:val="center"/>
          </w:tcPr>
          <w:p>
            <w:pPr>
              <w:pStyle w:val="5"/>
              <w:ind w:left="0" w:leftChars="0" w:firstLine="0" w:firstLineChars="0"/>
              <w:jc w:val="center"/>
              <w:rPr>
                <w:rFonts w:hint="eastAsia"/>
              </w:rPr>
            </w:pPr>
            <w:r>
              <w:rPr>
                <w:rFonts w:hint="eastAsia"/>
              </w:rPr>
              <w:t>门窗</w:t>
            </w:r>
          </w:p>
        </w:tc>
        <w:tc>
          <w:tcPr>
            <w:tcW w:w="2249" w:type="dxa"/>
            <w:noWrap w:val="0"/>
            <w:vAlign w:val="center"/>
          </w:tcPr>
          <w:p>
            <w:pPr>
              <w:pStyle w:val="5"/>
              <w:ind w:left="0" w:leftChars="0" w:firstLine="0" w:firstLineChars="0"/>
              <w:jc w:val="center"/>
              <w:rPr>
                <w:rFonts w:hint="eastAsia"/>
              </w:rPr>
            </w:pPr>
            <w:r>
              <w:rPr>
                <w:rFonts w:hint="eastAsia"/>
                <w:lang w:val="zh-CN"/>
              </w:rPr>
              <w:t>变形，油漆褪色、缺失、所有窗户玻璃缺失。个别门窗户窗扇缺失，封堵。</w:t>
            </w:r>
          </w:p>
        </w:tc>
        <w:tc>
          <w:tcPr>
            <w:tcW w:w="2111" w:type="dxa"/>
            <w:noWrap w:val="0"/>
            <w:vAlign w:val="center"/>
          </w:tcPr>
          <w:p>
            <w:pPr>
              <w:pStyle w:val="5"/>
              <w:ind w:left="0" w:leftChars="0" w:right="-44" w:rightChars="-21" w:firstLine="0" w:firstLineChars="0"/>
              <w:jc w:val="center"/>
              <w:rPr>
                <w:rFonts w:hint="eastAsia"/>
                <w:lang w:val="zh-CN"/>
              </w:rPr>
            </w:pPr>
            <w:r>
              <w:rPr>
                <w:rFonts w:hint="eastAsia"/>
                <w:lang w:val="zh-CN"/>
              </w:rPr>
              <w:t>无防腐处理、遭朽、老化、自然因素、人为因素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1084" w:type="dxa"/>
            <w:noWrap w:val="0"/>
            <w:vAlign w:val="center"/>
          </w:tcPr>
          <w:p>
            <w:pPr>
              <w:pStyle w:val="5"/>
              <w:ind w:left="0" w:leftChars="0" w:firstLine="0" w:firstLineChars="0"/>
              <w:jc w:val="center"/>
              <w:rPr>
                <w:rFonts w:hint="eastAsia"/>
              </w:rPr>
            </w:pPr>
            <w:r>
              <w:rPr>
                <w:rFonts w:hint="eastAsia"/>
              </w:rPr>
              <w:t>吊顶</w:t>
            </w:r>
          </w:p>
        </w:tc>
        <w:tc>
          <w:tcPr>
            <w:tcW w:w="2493" w:type="dxa"/>
            <w:noWrap w:val="0"/>
            <w:vAlign w:val="center"/>
          </w:tcPr>
          <w:p>
            <w:pPr>
              <w:pStyle w:val="5"/>
              <w:ind w:left="0" w:leftChars="0" w:firstLine="0" w:firstLineChars="0"/>
              <w:jc w:val="center"/>
              <w:rPr>
                <w:rFonts w:hint="default"/>
                <w:lang w:val="en-US" w:eastAsia="zh-CN"/>
              </w:rPr>
            </w:pPr>
            <w:r>
              <w:rPr>
                <w:rFonts w:hint="eastAsia"/>
              </w:rPr>
              <w:t>吊顶</w:t>
            </w:r>
            <w:r>
              <w:rPr>
                <w:rFonts w:hint="eastAsia"/>
                <w:lang w:val="en-US" w:eastAsia="zh-CN"/>
              </w:rPr>
              <w:t>为方格木板天棚吊顶</w:t>
            </w:r>
          </w:p>
        </w:tc>
        <w:tc>
          <w:tcPr>
            <w:tcW w:w="1400" w:type="dxa"/>
            <w:noWrap w:val="0"/>
            <w:vAlign w:val="center"/>
          </w:tcPr>
          <w:p>
            <w:pPr>
              <w:pStyle w:val="5"/>
              <w:ind w:left="0" w:leftChars="0" w:firstLine="0" w:firstLineChars="0"/>
              <w:jc w:val="center"/>
              <w:rPr>
                <w:rFonts w:hint="eastAsia"/>
              </w:rPr>
            </w:pPr>
            <w:r>
              <w:rPr>
                <w:rFonts w:hint="eastAsia"/>
              </w:rPr>
              <w:t>吊顶</w:t>
            </w:r>
          </w:p>
        </w:tc>
        <w:tc>
          <w:tcPr>
            <w:tcW w:w="2249" w:type="dxa"/>
            <w:noWrap w:val="0"/>
            <w:vAlign w:val="center"/>
          </w:tcPr>
          <w:p>
            <w:pPr>
              <w:pStyle w:val="5"/>
              <w:ind w:left="0" w:leftChars="0" w:firstLine="0" w:firstLineChars="0"/>
              <w:jc w:val="center"/>
              <w:rPr>
                <w:rFonts w:hint="eastAsia"/>
                <w:lang w:val="zh-CN"/>
              </w:rPr>
            </w:pPr>
            <w:r>
              <w:rPr>
                <w:rFonts w:hint="eastAsia"/>
                <w:lang w:val="zh-CN"/>
              </w:rPr>
              <w:t>变形、缺失、破损严重。</w:t>
            </w:r>
          </w:p>
        </w:tc>
        <w:tc>
          <w:tcPr>
            <w:tcW w:w="2111" w:type="dxa"/>
            <w:noWrap w:val="0"/>
            <w:vAlign w:val="center"/>
          </w:tcPr>
          <w:p>
            <w:pPr>
              <w:pStyle w:val="5"/>
              <w:ind w:left="0" w:leftChars="0" w:right="-44" w:rightChars="-21" w:firstLine="0" w:firstLineChars="0"/>
              <w:jc w:val="center"/>
              <w:rPr>
                <w:rFonts w:hint="eastAsia"/>
                <w:lang w:val="zh-CN"/>
              </w:rPr>
            </w:pPr>
            <w:r>
              <w:rPr>
                <w:rFonts w:hint="eastAsia"/>
                <w:lang w:val="zh-CN"/>
              </w:rPr>
              <w:t>老化、自然因素、人为因素</w:t>
            </w:r>
          </w:p>
        </w:tc>
      </w:tr>
    </w:tbl>
    <w:p>
      <w:pPr>
        <w:pStyle w:val="5"/>
        <w:rPr>
          <w:rFonts w:hint="eastAsia"/>
          <w:b/>
          <w:bCs/>
        </w:rPr>
      </w:pPr>
    </w:p>
    <w:p>
      <w:pPr>
        <w:pStyle w:val="5"/>
        <w:rPr>
          <w:rFonts w:hint="eastAsia"/>
          <w:b/>
          <w:bCs/>
        </w:rPr>
      </w:pPr>
      <w:r>
        <w:rPr>
          <w:rFonts w:hint="eastAsia"/>
          <w:b/>
          <w:bCs/>
        </w:rPr>
        <w:t>注：</w:t>
      </w:r>
    </w:p>
    <w:p>
      <w:pPr>
        <w:pStyle w:val="5"/>
        <w:rPr>
          <w:rFonts w:hint="eastAsia"/>
          <w:b/>
          <w:bCs/>
        </w:rPr>
      </w:pPr>
      <w:r>
        <w:rPr>
          <w:rFonts w:hint="eastAsia"/>
          <w:b/>
          <w:bCs/>
        </w:rPr>
        <w:t>残损程度、做法及规格若与现场不符,以现场为准；</w:t>
      </w:r>
    </w:p>
    <w:p>
      <w:pPr>
        <w:pStyle w:val="5"/>
        <w:rPr>
          <w:rFonts w:hint="eastAsia"/>
          <w:b/>
          <w:bCs/>
        </w:rPr>
      </w:pPr>
      <w:r>
        <w:rPr>
          <w:rFonts w:hint="eastAsia"/>
          <w:b/>
          <w:bCs/>
        </w:rPr>
        <w:t>本表格未描述隐蔽部位的残损程度、构件做法及规格；</w:t>
      </w:r>
    </w:p>
    <w:p>
      <w:pPr>
        <w:rPr>
          <w:rFonts w:hint="eastAsia"/>
          <w:b/>
          <w:bCs/>
        </w:rPr>
      </w:pPr>
      <w:r>
        <w:rPr>
          <w:rFonts w:hint="eastAsia"/>
          <w:b/>
          <w:bCs/>
        </w:rPr>
        <w:br w:type="page"/>
      </w:r>
    </w:p>
    <w:p>
      <w:pPr>
        <w:pStyle w:val="5"/>
        <w:outlineLvl w:val="1"/>
        <w:rPr>
          <w:rFonts w:hint="eastAsia" w:ascii="宋体" w:hAnsi="宋体" w:eastAsia="宋体" w:cs="宋体"/>
          <w:b/>
          <w:bCs/>
          <w:color w:val="000000"/>
          <w:kern w:val="2"/>
          <w:sz w:val="28"/>
          <w:szCs w:val="28"/>
          <w:lang w:val="en-US" w:eastAsia="zh-CN" w:bidi="ar-SA"/>
        </w:rPr>
      </w:pPr>
      <w:r>
        <w:rPr>
          <w:rFonts w:hint="eastAsia" w:ascii="宋体" w:hAnsi="宋体" w:eastAsia="宋体" w:cs="宋体"/>
          <w:b/>
          <w:bCs/>
          <w:color w:val="000000"/>
          <w:kern w:val="2"/>
          <w:sz w:val="28"/>
          <w:szCs w:val="28"/>
          <w:lang w:val="en-US" w:eastAsia="zh-CN" w:bidi="ar-SA"/>
        </w:rPr>
        <w:t>7.图纸和技术资料及工程量清单</w:t>
      </w:r>
    </w:p>
    <w:p>
      <w:pPr>
        <w:spacing w:line="440" w:lineRule="exact"/>
        <w:ind w:firstLine="420"/>
        <w:rPr>
          <w:rFonts w:hint="eastAsia" w:ascii="仿宋" w:hAnsi="仿宋" w:eastAsia="仿宋"/>
          <w:lang w:val="en-US" w:eastAsia="zh-CN"/>
        </w:rPr>
      </w:pPr>
    </w:p>
    <w:p>
      <w:pPr>
        <w:widowControl/>
        <w:spacing w:line="348" w:lineRule="auto"/>
        <w:ind w:firstLine="596"/>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.1、招标人将提供给每个投标人一份本工程施工图纸，作为招标文件附件</w:t>
      </w:r>
      <w:r>
        <w:rPr>
          <w:rFonts w:hint="eastAsia" w:ascii="宋体" w:hAnsi="宋体" w:eastAsia="宋体" w:cs="宋体"/>
          <w:color w:val="000000"/>
          <w:sz w:val="24"/>
          <w:szCs w:val="24"/>
          <w:lang w:eastAsia="zh-CN"/>
        </w:rPr>
        <w:t>；</w:t>
      </w:r>
    </w:p>
    <w:p>
      <w:pPr>
        <w:widowControl/>
        <w:spacing w:line="348" w:lineRule="auto"/>
        <w:ind w:firstLine="596"/>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2、招标人如有图纸变更等其他技术资料也将给各投标人提供一份</w:t>
      </w:r>
      <w:r>
        <w:rPr>
          <w:rFonts w:hint="eastAsia" w:ascii="宋体" w:hAnsi="宋体" w:eastAsia="宋体" w:cs="宋体"/>
          <w:color w:val="000000"/>
          <w:sz w:val="24"/>
          <w:szCs w:val="24"/>
          <w:lang w:val="en-US" w:eastAsia="zh-CN"/>
        </w:rPr>
        <w:t>；</w:t>
      </w:r>
    </w:p>
    <w:p>
      <w:pPr>
        <w:widowControl/>
        <w:spacing w:line="348" w:lineRule="auto"/>
        <w:ind w:firstLine="596"/>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7.3、图纸及控制价清单见招标文件附件。</w:t>
      </w:r>
    </w:p>
    <w:p>
      <w:pPr>
        <w:numPr>
          <w:ilvl w:val="0"/>
          <w:numId w:val="0"/>
        </w:numPr>
        <w:spacing w:line="560" w:lineRule="exact"/>
        <w:ind w:leftChars="200"/>
        <w:jc w:val="center"/>
        <w:outlineLvl w:val="9"/>
        <w:rPr>
          <w:rFonts w:hint="eastAsia" w:ascii="宋体" w:hAnsi="宋体" w:eastAsia="宋体" w:cs="宋体"/>
          <w:highlight w:val="none"/>
        </w:rPr>
      </w:pPr>
      <w:r>
        <w:rPr>
          <w:rFonts w:hint="eastAsia" w:ascii="宋体" w:hAnsi="宋体" w:eastAsia="宋体" w:cs="宋体"/>
          <w:color w:val="000000"/>
          <w:kern w:val="0"/>
          <w:sz w:val="28"/>
          <w:szCs w:val="28"/>
          <w:lang w:val="en-US" w:eastAsia="zh-CN" w:bidi="ar"/>
        </w:rPr>
        <w:br w:type="page"/>
      </w:r>
      <w:bookmarkStart w:id="107" w:name="_Toc14342"/>
      <w:r>
        <w:rPr>
          <w:rFonts w:hint="eastAsia" w:ascii="宋体" w:hAnsi="宋体" w:eastAsia="宋体" w:cs="宋体"/>
          <w:b/>
          <w:bCs/>
          <w:w w:val="95"/>
          <w:kern w:val="0"/>
          <w:sz w:val="32"/>
          <w:szCs w:val="32"/>
          <w:highlight w:val="none"/>
          <w:lang w:val="en-US" w:eastAsia="zh-CN" w:bidi="ar-SA"/>
        </w:rPr>
        <w:t>第五章</w:t>
      </w:r>
      <w:r>
        <w:rPr>
          <w:rFonts w:hint="eastAsia" w:ascii="宋体" w:hAnsi="宋体" w:eastAsia="宋体" w:cs="宋体"/>
          <w:b/>
          <w:bCs/>
          <w:w w:val="95"/>
          <w:kern w:val="0"/>
          <w:sz w:val="32"/>
          <w:szCs w:val="32"/>
          <w:highlight w:val="none"/>
          <w:lang w:val="en-US" w:eastAsia="zh-CN" w:bidi="ar-SA"/>
        </w:rPr>
        <w:tab/>
      </w:r>
      <w:r>
        <w:rPr>
          <w:rFonts w:hint="eastAsia" w:ascii="宋体" w:hAnsi="宋体" w:eastAsia="宋体" w:cs="宋体"/>
          <w:b/>
          <w:bCs/>
          <w:w w:val="95"/>
          <w:kern w:val="0"/>
          <w:sz w:val="32"/>
          <w:szCs w:val="32"/>
          <w:highlight w:val="none"/>
          <w:lang w:val="en-US" w:eastAsia="zh-CN" w:bidi="ar-SA"/>
        </w:rPr>
        <w:t>合同条款及合同格式</w:t>
      </w:r>
      <w:bookmarkEnd w:id="107"/>
    </w:p>
    <w:p>
      <w:pPr>
        <w:jc w:val="center"/>
        <w:rPr>
          <w:rFonts w:hint="eastAsia" w:ascii="宋体" w:hAnsi="宋体" w:cs="宋体"/>
          <w:highlight w:val="none"/>
          <w:lang w:eastAsia="zh-CN"/>
        </w:rPr>
      </w:pPr>
      <w:r>
        <w:rPr>
          <w:rFonts w:hint="eastAsia" w:ascii="宋体" w:hAnsi="宋体" w:cs="宋体"/>
          <w:highlight w:val="none"/>
          <w:lang w:eastAsia="zh-CN"/>
        </w:rPr>
        <w:t>此合同格式为参考模板，以实际签订合同为准</w:t>
      </w:r>
    </w:p>
    <w:p>
      <w:pPr>
        <w:pStyle w:val="22"/>
        <w:rPr>
          <w:rFonts w:hint="eastAsia" w:ascii="宋体" w:hAnsi="宋体" w:cs="宋体"/>
          <w:highlight w:val="none"/>
          <w:lang w:eastAsia="zh-CN"/>
        </w:rPr>
      </w:pPr>
    </w:p>
    <w:p>
      <w:pPr>
        <w:pStyle w:val="22"/>
        <w:rPr>
          <w:rFonts w:hint="eastAsia" w:ascii="宋体" w:hAnsi="宋体" w:cs="宋体"/>
          <w:highlight w:val="none"/>
          <w:lang w:eastAsia="zh-CN"/>
        </w:rPr>
      </w:pPr>
    </w:p>
    <w:p>
      <w:pPr>
        <w:pStyle w:val="8"/>
        <w:pageBreakBefore w:val="0"/>
        <w:widowControl w:val="0"/>
        <w:kinsoku/>
        <w:wordWrap/>
        <w:overflowPunct/>
        <w:topLinePunct w:val="0"/>
        <w:bidi w:val="0"/>
        <w:snapToGrid/>
        <w:spacing w:before="0" w:line="360" w:lineRule="auto"/>
        <w:ind w:left="0" w:leftChars="0" w:right="0" w:firstLine="45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本合同条款将作为中标合同的基础，具体合同内容在签订合同时由甲乙双方协商</w:t>
      </w:r>
      <w:r>
        <w:rPr>
          <w:rFonts w:hint="eastAsia" w:asciiTheme="minorEastAsia" w:hAnsiTheme="minorEastAsia" w:eastAsiaTheme="minorEastAsia" w:cstheme="minorEastAsia"/>
          <w:sz w:val="24"/>
          <w:szCs w:val="24"/>
        </w:rPr>
        <w:t xml:space="preserve">确定。 </w:t>
      </w:r>
    </w:p>
    <w:p>
      <w:pPr>
        <w:pStyle w:val="8"/>
        <w:pageBreakBefore w:val="0"/>
        <w:widowControl w:val="0"/>
        <w:kinsoku/>
        <w:wordWrap/>
        <w:overflowPunct/>
        <w:topLinePunct w:val="0"/>
        <w:bidi w:val="0"/>
        <w:snapToGrid/>
        <w:spacing w:before="0" w:line="360" w:lineRule="auto"/>
        <w:ind w:left="0"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8"/>
        <w:pageBreakBefore w:val="0"/>
        <w:widowControl w:val="0"/>
        <w:kinsoku/>
        <w:wordWrap/>
        <w:overflowPunct/>
        <w:topLinePunct w:val="0"/>
        <w:bidi w:val="0"/>
        <w:snapToGrid/>
        <w:spacing w:before="0" w:line="480" w:lineRule="auto"/>
        <w:ind w:left="0" w:right="0" w:hanging="1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12"/>
          <w:sz w:val="24"/>
          <w:szCs w:val="24"/>
        </w:rPr>
        <w:t>简称“      ”</w:t>
      </w:r>
      <w:r>
        <w:rPr>
          <w:rFonts w:hint="eastAsia" w:asciiTheme="minorEastAsia" w:hAnsiTheme="minorEastAsia" w:eastAsiaTheme="minorEastAsia" w:cstheme="minorEastAsia"/>
          <w:sz w:val="24"/>
          <w:szCs w:val="24"/>
        </w:rPr>
        <w:t xml:space="preserve">） </w:t>
      </w:r>
    </w:p>
    <w:p>
      <w:pPr>
        <w:pStyle w:val="8"/>
        <w:pageBreakBefore w:val="0"/>
        <w:widowControl w:val="0"/>
        <w:kinsoku/>
        <w:wordWrap/>
        <w:overflowPunct/>
        <w:topLinePunct w:val="0"/>
        <w:bidi w:val="0"/>
        <w:snapToGrid/>
        <w:spacing w:before="0" w:line="480" w:lineRule="auto"/>
        <w:ind w:left="0" w:right="0" w:hanging="12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乙方：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pacing w:val="-12"/>
          <w:sz w:val="24"/>
          <w:szCs w:val="24"/>
        </w:rPr>
        <w:t>简称“      ”</w:t>
      </w:r>
      <w:r>
        <w:rPr>
          <w:rFonts w:hint="eastAsia" w:asciiTheme="minorEastAsia" w:hAnsiTheme="minorEastAsia" w:eastAsiaTheme="minorEastAsia" w:cstheme="minorEastAsia"/>
          <w:sz w:val="24"/>
          <w:szCs w:val="24"/>
        </w:rPr>
        <w:t xml:space="preserve">） </w:t>
      </w:r>
    </w:p>
    <w:p>
      <w:pPr>
        <w:pStyle w:val="8"/>
        <w:pageBreakBefore w:val="0"/>
        <w:widowControl w:val="0"/>
        <w:kinsoku/>
        <w:wordWrap/>
        <w:overflowPunct/>
        <w:topLinePunct w:val="0"/>
        <w:bidi w:val="0"/>
        <w:snapToGrid/>
        <w:spacing w:before="0" w:line="360" w:lineRule="auto"/>
        <w:ind w:left="0" w:right="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8"/>
        <w:pageBreakBefore w:val="0"/>
        <w:widowControl w:val="0"/>
        <w:kinsoku/>
        <w:wordWrap/>
        <w:overflowPunct/>
        <w:topLinePunct w:val="0"/>
        <w:bidi w:val="0"/>
        <w:snapToGrid/>
        <w:spacing w:before="0" w:line="360" w:lineRule="auto"/>
        <w:ind w:left="0" w:right="0" w:firstLine="44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根据《中华人民共和国合同法》及相关法律法规的规定，经甲、乙双方协商</w:t>
      </w:r>
      <w:r>
        <w:rPr>
          <w:rFonts w:hint="eastAsia" w:asciiTheme="minorEastAsia" w:hAnsiTheme="minorEastAsia" w:eastAsiaTheme="minorEastAsia" w:cstheme="minorEastAsia"/>
          <w:spacing w:val="-5"/>
          <w:sz w:val="24"/>
          <w:szCs w:val="24"/>
        </w:rPr>
        <w:t xml:space="preserve">一致，就甲方委托乙方承担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pacing w:val="-8"/>
          <w:sz w:val="24"/>
          <w:szCs w:val="24"/>
        </w:rPr>
        <w:t>事宜达成如下协议，共同遵守。</w:t>
      </w:r>
    </w:p>
    <w:p>
      <w:pPr>
        <w:pStyle w:val="4"/>
        <w:pageBreakBefore w:val="0"/>
        <w:widowControl w:val="0"/>
        <w:kinsoku/>
        <w:wordWrap/>
        <w:overflowPunct/>
        <w:topLinePunct w:val="0"/>
        <w:bidi w:val="0"/>
        <w:snapToGrid/>
        <w:spacing w:line="360" w:lineRule="auto"/>
        <w:ind w:left="0" w:right="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委托内容及要求</w:t>
      </w:r>
      <w:r>
        <w:rPr>
          <w:rFonts w:hint="eastAsia" w:asciiTheme="minorEastAsia" w:hAnsiTheme="minorEastAsia" w:eastAsiaTheme="minorEastAsia" w:cstheme="minorEastAsia"/>
          <w:w w:val="99"/>
          <w:sz w:val="24"/>
          <w:szCs w:val="24"/>
        </w:rPr>
        <w:t xml:space="preserve"> </w:t>
      </w:r>
    </w:p>
    <w:p>
      <w:pPr>
        <w:pStyle w:val="8"/>
        <w:pageBreakBefore w:val="0"/>
        <w:widowControl w:val="0"/>
        <w:kinsoku/>
        <w:wordWrap/>
        <w:overflowPunct/>
        <w:topLinePunct w:val="0"/>
        <w:bidi w:val="0"/>
        <w:snapToGrid/>
        <w:spacing w:before="0" w:line="480" w:lineRule="auto"/>
        <w:ind w:left="0" w:right="0" w:firstLine="456"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 xml:space="preserve">甲方委托乙方全面承担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 xml:space="preserve">，具体包括： </w:t>
      </w:r>
    </w:p>
    <w:p>
      <w:pPr>
        <w:pStyle w:val="4"/>
        <w:pageBreakBefore w:val="0"/>
        <w:widowControl w:val="0"/>
        <w:kinsoku/>
        <w:wordWrap/>
        <w:overflowPunct/>
        <w:topLinePunct w:val="0"/>
        <w:bidi w:val="0"/>
        <w:snapToGrid/>
        <w:spacing w:line="360" w:lineRule="auto"/>
        <w:ind w:left="0" w:right="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第二条 时间进度 </w:t>
      </w:r>
    </w:p>
    <w:p>
      <w:pPr>
        <w:pStyle w:val="8"/>
        <w:pageBreakBefore w:val="0"/>
        <w:widowControl w:val="0"/>
        <w:kinsoku/>
        <w:wordWrap/>
        <w:overflowPunct/>
        <w:topLinePunct w:val="0"/>
        <w:bidi w:val="0"/>
        <w:snapToGrid/>
        <w:spacing w:before="0" w:line="48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本项目服务期限为：</w:t>
      </w:r>
      <w:r>
        <w:rPr>
          <w:rFonts w:hint="eastAsia" w:asciiTheme="minorEastAsia" w:hAnsiTheme="minorEastAsia" w:eastAsiaTheme="minorEastAsia" w:cstheme="minorEastAsia"/>
          <w:sz w:val="24"/>
          <w:szCs w:val="24"/>
          <w:u w:val="single"/>
          <w:lang w:eastAsia="zh-CN"/>
        </w:rPr>
        <w:t>2022</w:t>
      </w:r>
      <w:r>
        <w:rPr>
          <w:rFonts w:hint="eastAsia" w:asciiTheme="minorEastAsia" w:hAnsiTheme="minorEastAsia" w:eastAsiaTheme="minorEastAsia" w:cstheme="minorEastAsia"/>
          <w:spacing w:val="-30"/>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pacing w:val="-15"/>
          <w:sz w:val="24"/>
          <w:szCs w:val="24"/>
        </w:rPr>
        <w:t xml:space="preserve">日起至 </w:t>
      </w:r>
      <w:r>
        <w:rPr>
          <w:rFonts w:hint="eastAsia" w:asciiTheme="minorEastAsia" w:hAnsiTheme="minorEastAsia" w:eastAsiaTheme="minorEastAsia" w:cstheme="minorEastAsia"/>
          <w:sz w:val="24"/>
          <w:szCs w:val="24"/>
          <w:u w:val="single"/>
          <w:lang w:eastAsia="zh-CN"/>
        </w:rPr>
        <w:t>2022</w:t>
      </w:r>
      <w:r>
        <w:rPr>
          <w:rFonts w:hint="eastAsia" w:asciiTheme="minorEastAsia" w:hAnsiTheme="minorEastAsia" w:eastAsiaTheme="minorEastAsia" w:cstheme="minorEastAsia"/>
          <w:spacing w:val="-30"/>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日止。</w:t>
      </w:r>
    </w:p>
    <w:p>
      <w:pPr>
        <w:pStyle w:val="8"/>
        <w:pageBreakBefore w:val="0"/>
        <w:widowControl w:val="0"/>
        <w:kinsoku/>
        <w:wordWrap/>
        <w:overflowPunct/>
        <w:topLinePunct w:val="0"/>
        <w:bidi w:val="0"/>
        <w:snapToGrid/>
        <w:spacing w:before="0" w:line="360" w:lineRule="auto"/>
        <w:ind w:left="0" w:leftChars="0" w:right="0" w:firstLine="0" w:firstLineChars="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第三条 合同价款</w:t>
      </w:r>
    </w:p>
    <w:p>
      <w:pPr>
        <w:pStyle w:val="8"/>
        <w:pageBreakBefore w:val="0"/>
        <w:widowControl w:val="0"/>
        <w:kinsoku/>
        <w:wordWrap/>
        <w:overflowPunct/>
        <w:topLinePunct w:val="0"/>
        <w:bidi w:val="0"/>
        <w:snapToGrid/>
        <w:spacing w:before="0" w:line="48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经甲乙双方协商确定合同总价为人民币（大写）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，计人民币（小写）￥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元，最终支付费用以实际结算金额为准。 </w:t>
      </w:r>
    </w:p>
    <w:p>
      <w:pPr>
        <w:pStyle w:val="4"/>
        <w:pageBreakBefore w:val="0"/>
        <w:widowControl w:val="0"/>
        <w:tabs>
          <w:tab w:val="left" w:pos="396"/>
          <w:tab w:val="center" w:pos="5319"/>
        </w:tabs>
        <w:kinsoku/>
        <w:wordWrap/>
        <w:overflowPunct/>
        <w:topLinePunct w:val="0"/>
        <w:bidi w:val="0"/>
        <w:snapToGrid/>
        <w:spacing w:line="360" w:lineRule="auto"/>
        <w:ind w:left="0" w:right="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付款方式</w:t>
      </w:r>
      <w:r>
        <w:rPr>
          <w:rFonts w:hint="eastAsia" w:asciiTheme="minorEastAsia" w:hAnsiTheme="minorEastAsia" w:eastAsiaTheme="minorEastAsia" w:cstheme="minorEastAsia"/>
          <w:w w:val="99"/>
          <w:sz w:val="24"/>
          <w:szCs w:val="24"/>
        </w:rPr>
        <w:t xml:space="preserve"> </w:t>
      </w:r>
    </w:p>
    <w:p>
      <w:pPr>
        <w:pStyle w:val="8"/>
        <w:pageBreakBefore w:val="0"/>
        <w:widowControl w:val="0"/>
        <w:kinsoku/>
        <w:wordWrap/>
        <w:overflowPunct/>
        <w:topLinePunct w:val="0"/>
        <w:bidi w:val="0"/>
        <w:snapToGrid/>
        <w:spacing w:before="0" w:line="480" w:lineRule="auto"/>
        <w:ind w:left="0" w:leftChars="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（一）合同项下所有款额应通过甲乙双方指定的银行用人民币支付。 </w:t>
      </w:r>
    </w:p>
    <w:p>
      <w:pPr>
        <w:pStyle w:val="8"/>
        <w:pageBreakBefore w:val="0"/>
        <w:widowControl w:val="0"/>
        <w:kinsoku/>
        <w:wordWrap/>
        <w:overflowPunct/>
        <w:topLinePunct w:val="0"/>
        <w:bidi w:val="0"/>
        <w:snapToGrid/>
        <w:spacing w:before="0" w:line="480" w:lineRule="auto"/>
        <w:ind w:left="0" w:leftChars="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（二）甲方付款后，乙方应向甲方交付与本合同价款等额且符合合同性质的中华人民共和国法定国税通用机打发票。 </w:t>
      </w:r>
    </w:p>
    <w:p>
      <w:pPr>
        <w:pStyle w:val="8"/>
        <w:pageBreakBefore w:val="0"/>
        <w:widowControl w:val="0"/>
        <w:kinsoku/>
        <w:wordWrap/>
        <w:overflowPunct/>
        <w:topLinePunct w:val="0"/>
        <w:bidi w:val="0"/>
        <w:snapToGrid/>
        <w:spacing w:before="0" w:line="480" w:lineRule="auto"/>
        <w:ind w:left="0" w:leftChars="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（三）合同第三条中确定的合同总价由甲方向乙方按如下方式及比例支付： </w:t>
      </w:r>
    </w:p>
    <w:tbl>
      <w:tblPr>
        <w:tblStyle w:val="18"/>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76"/>
        <w:gridCol w:w="1505"/>
        <w:gridCol w:w="1681"/>
        <w:gridCol w:w="29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2" w:hRule="atLeast"/>
          <w:jc w:val="center"/>
        </w:trPr>
        <w:tc>
          <w:tcPr>
            <w:tcW w:w="2276" w:type="dxa"/>
          </w:tcPr>
          <w:p>
            <w:pPr>
              <w:pStyle w:val="23"/>
              <w:spacing w:before="21"/>
              <w:ind w:left="695" w:right="557"/>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付款节点</w:t>
            </w:r>
            <w:r>
              <w:rPr>
                <w:rFonts w:hint="eastAsia" w:asciiTheme="minorEastAsia" w:hAnsiTheme="minorEastAsia" w:eastAsiaTheme="minorEastAsia" w:cstheme="minorEastAsia"/>
                <w:b/>
                <w:w w:val="99"/>
                <w:sz w:val="24"/>
                <w:szCs w:val="24"/>
              </w:rPr>
              <w:t xml:space="preserve"> </w:t>
            </w:r>
          </w:p>
        </w:tc>
        <w:tc>
          <w:tcPr>
            <w:tcW w:w="1505" w:type="dxa"/>
          </w:tcPr>
          <w:p>
            <w:pPr>
              <w:pStyle w:val="23"/>
              <w:spacing w:before="21"/>
              <w:ind w:left="308" w:right="172"/>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付款比例</w:t>
            </w:r>
            <w:r>
              <w:rPr>
                <w:rFonts w:hint="eastAsia" w:asciiTheme="minorEastAsia" w:hAnsiTheme="minorEastAsia" w:eastAsiaTheme="minorEastAsia" w:cstheme="minorEastAsia"/>
                <w:b/>
                <w:w w:val="99"/>
                <w:sz w:val="24"/>
                <w:szCs w:val="24"/>
              </w:rPr>
              <w:t xml:space="preserve"> </w:t>
            </w:r>
          </w:p>
        </w:tc>
        <w:tc>
          <w:tcPr>
            <w:tcW w:w="1681" w:type="dxa"/>
          </w:tcPr>
          <w:p>
            <w:pPr>
              <w:pStyle w:val="23"/>
              <w:spacing w:before="21"/>
              <w:ind w:left="154" w:right="3"/>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pacing w:val="-26"/>
                <w:sz w:val="24"/>
                <w:szCs w:val="24"/>
              </w:rPr>
              <w:t>付款金额</w:t>
            </w:r>
            <w:r>
              <w:rPr>
                <w:rFonts w:hint="eastAsia" w:asciiTheme="minorEastAsia" w:hAnsiTheme="minorEastAsia" w:eastAsiaTheme="minorEastAsia" w:cstheme="minorEastAsia"/>
                <w:b/>
                <w:sz w:val="24"/>
                <w:szCs w:val="24"/>
              </w:rPr>
              <w:t>（元</w:t>
            </w:r>
            <w:r>
              <w:rPr>
                <w:rFonts w:hint="eastAsia" w:asciiTheme="minorEastAsia" w:hAnsiTheme="minorEastAsia" w:eastAsiaTheme="minorEastAsia" w:cstheme="minorEastAsia"/>
                <w:b/>
                <w:spacing w:val="-119"/>
                <w:sz w:val="24"/>
                <w:szCs w:val="24"/>
              </w:rPr>
              <w:t>）</w:t>
            </w:r>
            <w:r>
              <w:rPr>
                <w:rFonts w:hint="eastAsia" w:asciiTheme="minorEastAsia" w:hAnsiTheme="minorEastAsia" w:eastAsiaTheme="minorEastAsia" w:cstheme="minorEastAsia"/>
                <w:b/>
                <w:w w:val="99"/>
                <w:sz w:val="24"/>
                <w:szCs w:val="24"/>
              </w:rPr>
              <w:t xml:space="preserve"> </w:t>
            </w:r>
          </w:p>
        </w:tc>
        <w:tc>
          <w:tcPr>
            <w:tcW w:w="2963" w:type="dxa"/>
          </w:tcPr>
          <w:p>
            <w:pPr>
              <w:pStyle w:val="23"/>
              <w:spacing w:before="21"/>
              <w:ind w:left="1035" w:right="904"/>
              <w:jc w:val="both"/>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付款条件</w:t>
            </w:r>
            <w:r>
              <w:rPr>
                <w:rFonts w:hint="eastAsia" w:asciiTheme="minorEastAsia" w:hAnsiTheme="minorEastAsia" w:eastAsiaTheme="minorEastAsia" w:cstheme="minorEastAsia"/>
                <w:b/>
                <w:w w:val="99"/>
                <w:sz w:val="24"/>
                <w:szCs w:val="24"/>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2276" w:type="dxa"/>
          </w:tcPr>
          <w:p>
            <w:pPr>
              <w:pStyle w:val="23"/>
              <w:spacing w:line="291" w:lineRule="exact"/>
              <w:ind w:left="138"/>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505" w:type="dxa"/>
          </w:tcPr>
          <w:p>
            <w:pPr>
              <w:pStyle w:val="23"/>
              <w:spacing w:line="291" w:lineRule="exact"/>
              <w:ind w:left="136"/>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681" w:type="dxa"/>
          </w:tcPr>
          <w:p>
            <w:pPr>
              <w:pStyle w:val="23"/>
              <w:spacing w:line="291" w:lineRule="exact"/>
              <w:ind w:left="138"/>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2963" w:type="dxa"/>
          </w:tcPr>
          <w:p>
            <w:pPr>
              <w:pStyle w:val="23"/>
              <w:spacing w:line="291" w:lineRule="exact"/>
              <w:ind w:left="13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2276" w:type="dxa"/>
          </w:tcPr>
          <w:p>
            <w:pPr>
              <w:pStyle w:val="23"/>
              <w:spacing w:line="291" w:lineRule="exact"/>
              <w:ind w:left="138"/>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505" w:type="dxa"/>
          </w:tcPr>
          <w:p>
            <w:pPr>
              <w:pStyle w:val="23"/>
              <w:spacing w:line="291" w:lineRule="exact"/>
              <w:ind w:left="136"/>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1681" w:type="dxa"/>
          </w:tcPr>
          <w:p>
            <w:pPr>
              <w:pStyle w:val="23"/>
              <w:spacing w:line="291" w:lineRule="exact"/>
              <w:ind w:left="138"/>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c>
          <w:tcPr>
            <w:tcW w:w="2963" w:type="dxa"/>
          </w:tcPr>
          <w:p>
            <w:pPr>
              <w:pStyle w:val="23"/>
              <w:spacing w:line="291" w:lineRule="exact"/>
              <w:ind w:left="13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1" w:hRule="atLeast"/>
          <w:jc w:val="center"/>
        </w:trPr>
        <w:tc>
          <w:tcPr>
            <w:tcW w:w="2276" w:type="dxa"/>
          </w:tcPr>
          <w:p>
            <w:pPr>
              <w:pStyle w:val="23"/>
              <w:spacing w:line="291" w:lineRule="exact"/>
              <w:ind w:left="692" w:right="557"/>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合计</w:t>
            </w:r>
            <w:r>
              <w:rPr>
                <w:rFonts w:hint="eastAsia" w:asciiTheme="minorEastAsia" w:hAnsiTheme="minorEastAsia" w:eastAsiaTheme="minorEastAsia" w:cstheme="minorEastAsia"/>
                <w:b/>
                <w:w w:val="99"/>
                <w:sz w:val="24"/>
                <w:szCs w:val="24"/>
              </w:rPr>
              <w:t xml:space="preserve"> </w:t>
            </w:r>
          </w:p>
        </w:tc>
        <w:tc>
          <w:tcPr>
            <w:tcW w:w="1505" w:type="dxa"/>
          </w:tcPr>
          <w:p>
            <w:pPr>
              <w:pStyle w:val="23"/>
              <w:spacing w:line="291" w:lineRule="exact"/>
              <w:ind w:left="136"/>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w w:val="99"/>
                <w:sz w:val="24"/>
                <w:szCs w:val="24"/>
              </w:rPr>
              <w:t xml:space="preserve"> </w:t>
            </w:r>
          </w:p>
        </w:tc>
        <w:tc>
          <w:tcPr>
            <w:tcW w:w="1681" w:type="dxa"/>
          </w:tcPr>
          <w:p>
            <w:pPr>
              <w:pStyle w:val="23"/>
              <w:spacing w:line="291" w:lineRule="exact"/>
              <w:ind w:left="138"/>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w w:val="99"/>
                <w:sz w:val="24"/>
                <w:szCs w:val="24"/>
              </w:rPr>
              <w:t xml:space="preserve"> </w:t>
            </w:r>
          </w:p>
        </w:tc>
        <w:tc>
          <w:tcPr>
            <w:tcW w:w="2963" w:type="dxa"/>
          </w:tcPr>
          <w:p>
            <w:pPr>
              <w:pStyle w:val="23"/>
              <w:spacing w:line="291" w:lineRule="exact"/>
              <w:ind w:left="130"/>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w w:val="99"/>
                <w:sz w:val="24"/>
                <w:szCs w:val="24"/>
              </w:rPr>
              <w:t xml:space="preserve"> </w:t>
            </w:r>
          </w:p>
        </w:tc>
      </w:tr>
    </w:tbl>
    <w:p>
      <w:pPr>
        <w:pStyle w:val="8"/>
        <w:pageBreakBefore w:val="0"/>
        <w:widowControl w:val="0"/>
        <w:numPr>
          <w:ilvl w:val="0"/>
          <w:numId w:val="0"/>
        </w:numPr>
        <w:kinsoku/>
        <w:wordWrap/>
        <w:overflowPunct/>
        <w:topLinePunct w:val="0"/>
        <w:bidi w:val="0"/>
        <w:snapToGrid/>
        <w:spacing w:before="0" w:line="360" w:lineRule="auto"/>
        <w:ind w:left="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在合同签订后，若甲方要求增加的服务，协商一致后，以书面形式约定，并由甲方追加相应的服务费，计入合同总价。</w:t>
      </w:r>
    </w:p>
    <w:p>
      <w:pPr>
        <w:pStyle w:val="8"/>
        <w:pageBreakBefore w:val="0"/>
        <w:widowControl w:val="0"/>
        <w:numPr>
          <w:ilvl w:val="0"/>
          <w:numId w:val="0"/>
        </w:numPr>
        <w:kinsoku/>
        <w:wordWrap/>
        <w:overflowPunct/>
        <w:topLinePunct w:val="0"/>
        <w:bidi w:val="0"/>
        <w:snapToGrid/>
        <w:spacing w:before="0" w:line="360" w:lineRule="auto"/>
        <w:ind w:left="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（五）若甲方中途变更委托要求，甲乙双方在平等协商的基础上，调整因变更引起的费用项目金额。 </w:t>
      </w:r>
    </w:p>
    <w:p>
      <w:pPr>
        <w:pStyle w:val="8"/>
        <w:pageBreakBefore w:val="0"/>
        <w:widowControl w:val="0"/>
        <w:numPr>
          <w:ilvl w:val="0"/>
          <w:numId w:val="0"/>
        </w:numPr>
        <w:kinsoku/>
        <w:wordWrap/>
        <w:overflowPunct/>
        <w:topLinePunct w:val="0"/>
        <w:bidi w:val="0"/>
        <w:snapToGrid/>
        <w:spacing w:before="0" w:line="360" w:lineRule="auto"/>
        <w:ind w:left="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（六）乙方指定的银行帐户信息： </w:t>
      </w:r>
    </w:p>
    <w:p>
      <w:pPr>
        <w:pStyle w:val="8"/>
        <w:pageBreakBefore w:val="0"/>
        <w:widowControl w:val="0"/>
        <w:numPr>
          <w:ilvl w:val="0"/>
          <w:numId w:val="0"/>
        </w:numPr>
        <w:kinsoku/>
        <w:wordWrap/>
        <w:overflowPunct/>
        <w:topLinePunct w:val="0"/>
        <w:bidi w:val="0"/>
        <w:snapToGrid/>
        <w:spacing w:before="0" w:line="360" w:lineRule="auto"/>
        <w:ind w:left="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账户名称： </w:t>
      </w:r>
    </w:p>
    <w:p>
      <w:pPr>
        <w:pStyle w:val="8"/>
        <w:pageBreakBefore w:val="0"/>
        <w:widowControl w:val="0"/>
        <w:kinsoku/>
        <w:wordWrap/>
        <w:overflowPunct/>
        <w:topLinePunct w:val="0"/>
        <w:bidi w:val="0"/>
        <w:snapToGrid/>
        <w:spacing w:before="0" w:line="360" w:lineRule="auto"/>
        <w:ind w:left="0" w:leftChars="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p>
      <w:pPr>
        <w:pStyle w:val="8"/>
        <w:pageBreakBefore w:val="0"/>
        <w:widowControl w:val="0"/>
        <w:kinsoku/>
        <w:wordWrap/>
        <w:overflowPunct/>
        <w:topLinePunct w:val="0"/>
        <w:bidi w:val="0"/>
        <w:snapToGrid/>
        <w:spacing w:before="0" w:line="360" w:lineRule="auto"/>
        <w:ind w:left="0" w:leftChars="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账号： </w:t>
      </w:r>
    </w:p>
    <w:p>
      <w:pPr>
        <w:pStyle w:val="4"/>
        <w:pageBreakBefore w:val="0"/>
        <w:widowControl w:val="0"/>
        <w:kinsoku/>
        <w:wordWrap/>
        <w:overflowPunct/>
        <w:topLinePunct w:val="0"/>
        <w:bidi w:val="0"/>
        <w:snapToGrid/>
        <w:spacing w:line="360" w:lineRule="auto"/>
        <w:ind w:left="0" w:right="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第五条 双方权利义务</w:t>
      </w:r>
      <w:r>
        <w:rPr>
          <w:rFonts w:hint="eastAsia" w:asciiTheme="minorEastAsia" w:hAnsiTheme="minorEastAsia" w:eastAsiaTheme="minorEastAsia" w:cstheme="minorEastAsia"/>
          <w:spacing w:val="-1"/>
          <w:w w:val="99"/>
          <w:sz w:val="24"/>
          <w:szCs w:val="24"/>
        </w:rPr>
        <w:t xml:space="preserve"> </w:t>
      </w:r>
    </w:p>
    <w:p>
      <w:pPr>
        <w:pStyle w:val="8"/>
        <w:pageBreakBefore w:val="0"/>
        <w:widowControl w:val="0"/>
        <w:kinsoku/>
        <w:wordWrap/>
        <w:overflowPunct/>
        <w:topLinePunct w:val="0"/>
        <w:bidi w:val="0"/>
        <w:snapToGrid/>
        <w:spacing w:before="0" w:line="360" w:lineRule="auto"/>
        <w:ind w:left="0" w:leftChars="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（一）甲方权利和义务 </w:t>
      </w:r>
    </w:p>
    <w:p>
      <w:pPr>
        <w:pStyle w:val="24"/>
        <w:pageBreakBefore w:val="0"/>
        <w:widowControl w:val="0"/>
        <w:numPr>
          <w:ilvl w:val="0"/>
          <w:numId w:val="0"/>
        </w:numPr>
        <w:tabs>
          <w:tab w:val="left" w:pos="1182"/>
        </w:tabs>
        <w:kinsoku/>
        <w:wordWrap/>
        <w:overflowPunct/>
        <w:topLinePunct w:val="0"/>
        <w:bidi w:val="0"/>
        <w:snapToGrid/>
        <w:spacing w:before="0" w:after="0" w:line="360" w:lineRule="auto"/>
        <w:ind w:left="0"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 xml:space="preserve">甲方有权要求乙方按照本合同约定提供各项服务。 </w:t>
      </w:r>
    </w:p>
    <w:p>
      <w:pPr>
        <w:pStyle w:val="24"/>
        <w:pageBreakBefore w:val="0"/>
        <w:widowControl w:val="0"/>
        <w:numPr>
          <w:ilvl w:val="0"/>
          <w:numId w:val="0"/>
        </w:numPr>
        <w:tabs>
          <w:tab w:val="left" w:pos="1182"/>
        </w:tabs>
        <w:kinsoku/>
        <w:wordWrap/>
        <w:overflowPunct/>
        <w:topLinePunct w:val="0"/>
        <w:bidi w:val="0"/>
        <w:snapToGrid/>
        <w:spacing w:before="0" w:after="0" w:line="360" w:lineRule="auto"/>
        <w:ind w:left="0"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甲方有权对乙方提供各项服务的情况进行监督和检查。 </w:t>
      </w:r>
    </w:p>
    <w:p>
      <w:pPr>
        <w:pStyle w:val="24"/>
        <w:pageBreakBefore w:val="0"/>
        <w:widowControl w:val="0"/>
        <w:numPr>
          <w:ilvl w:val="0"/>
          <w:numId w:val="0"/>
        </w:numPr>
        <w:tabs>
          <w:tab w:val="left" w:pos="1182"/>
        </w:tabs>
        <w:kinsoku/>
        <w:wordWrap/>
        <w:overflowPunct/>
        <w:topLinePunct w:val="0"/>
        <w:bidi w:val="0"/>
        <w:snapToGrid/>
        <w:spacing w:before="0" w:after="0" w:line="360" w:lineRule="auto"/>
        <w:ind w:left="0"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 xml:space="preserve">甲方应当按照本合同约定向乙方支付费用。 </w:t>
      </w:r>
    </w:p>
    <w:p>
      <w:pPr>
        <w:pStyle w:val="8"/>
        <w:pageBreakBefore w:val="0"/>
        <w:widowControl w:val="0"/>
        <w:numPr>
          <w:ilvl w:val="0"/>
          <w:numId w:val="0"/>
        </w:numPr>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 xml:space="preserve">其他：                              </w:t>
      </w:r>
    </w:p>
    <w:p>
      <w:pPr>
        <w:pStyle w:val="8"/>
        <w:pageBreakBefore w:val="0"/>
        <w:widowControl w:val="0"/>
        <w:numPr>
          <w:ilvl w:val="0"/>
          <w:numId w:val="0"/>
        </w:numPr>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（二）乙方权利和义务 </w:t>
      </w:r>
    </w:p>
    <w:p>
      <w:pPr>
        <w:pStyle w:val="24"/>
        <w:pageBreakBefore w:val="0"/>
        <w:widowControl w:val="0"/>
        <w:numPr>
          <w:ilvl w:val="0"/>
          <w:numId w:val="0"/>
        </w:numPr>
        <w:tabs>
          <w:tab w:val="left" w:pos="1122"/>
        </w:tabs>
        <w:kinsoku/>
        <w:wordWrap/>
        <w:overflowPunct/>
        <w:topLinePunct w:val="0"/>
        <w:bidi w:val="0"/>
        <w:snapToGrid/>
        <w:spacing w:before="0" w:after="0" w:line="360" w:lineRule="auto"/>
        <w:ind w:left="0" w:right="0" w:rightChars="0" w:firstLine="468"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lang w:val="en-US" w:eastAsia="zh-CN"/>
        </w:rPr>
        <w:t>1.</w:t>
      </w:r>
      <w:r>
        <w:rPr>
          <w:rFonts w:hint="eastAsia" w:asciiTheme="minorEastAsia" w:hAnsiTheme="minorEastAsia" w:eastAsiaTheme="minorEastAsia" w:cstheme="minorEastAsia"/>
          <w:spacing w:val="-3"/>
          <w:sz w:val="24"/>
          <w:szCs w:val="24"/>
        </w:rPr>
        <w:t>乙方应按照本合同约定向甲方提供本合同项下服务，确保服务质量符合本</w:t>
      </w:r>
      <w:r>
        <w:rPr>
          <w:rFonts w:hint="eastAsia" w:asciiTheme="minorEastAsia" w:hAnsiTheme="minorEastAsia" w:eastAsiaTheme="minorEastAsia" w:cstheme="minorEastAsia"/>
          <w:spacing w:val="-4"/>
          <w:sz w:val="24"/>
          <w:szCs w:val="24"/>
        </w:rPr>
        <w:t>合同约定或甲方要求；如因乙方提供服务质量不合格给甲方造成损失的，乙</w:t>
      </w:r>
      <w:r>
        <w:rPr>
          <w:rFonts w:hint="eastAsia" w:asciiTheme="minorEastAsia" w:hAnsiTheme="minorEastAsia" w:eastAsiaTheme="minorEastAsia" w:cstheme="minorEastAsia"/>
          <w:spacing w:val="-6"/>
          <w:sz w:val="24"/>
          <w:szCs w:val="24"/>
        </w:rPr>
        <w:t>方应予不超过合同总额</w:t>
      </w:r>
      <w:r>
        <w:rPr>
          <w:rFonts w:hint="eastAsia" w:asciiTheme="minorEastAsia" w:hAnsiTheme="minorEastAsia" w:eastAsiaTheme="minorEastAsia" w:cstheme="minorEastAsia"/>
          <w:spacing w:val="-6"/>
          <w:sz w:val="24"/>
          <w:szCs w:val="24"/>
          <w:u w:val="single"/>
          <w:lang w:val="en-US" w:eastAsia="zh-CN"/>
        </w:rPr>
        <w:t xml:space="preserve">  </w:t>
      </w:r>
      <w:r>
        <w:rPr>
          <w:rFonts w:hint="eastAsia" w:asciiTheme="minorEastAsia" w:hAnsiTheme="minorEastAsia" w:eastAsiaTheme="minorEastAsia" w:cstheme="minorEastAsia"/>
          <w:spacing w:val="-6"/>
          <w:sz w:val="24"/>
          <w:szCs w:val="24"/>
          <w:lang w:val="en-US" w:eastAsia="zh-CN"/>
        </w:rPr>
        <w:t xml:space="preserve"> </w:t>
      </w:r>
      <w:r>
        <w:rPr>
          <w:rFonts w:hint="eastAsia" w:asciiTheme="minorEastAsia" w:hAnsiTheme="minorEastAsia" w:eastAsiaTheme="minorEastAsia" w:cstheme="minorEastAsia"/>
          <w:sz w:val="24"/>
          <w:szCs w:val="24"/>
        </w:rPr>
        <w:t xml:space="preserve">%的赔偿。 </w:t>
      </w:r>
    </w:p>
    <w:p>
      <w:pPr>
        <w:pStyle w:val="24"/>
        <w:pageBreakBefore w:val="0"/>
        <w:widowControl w:val="0"/>
        <w:numPr>
          <w:ilvl w:val="0"/>
          <w:numId w:val="0"/>
        </w:numPr>
        <w:tabs>
          <w:tab w:val="left" w:pos="1122"/>
        </w:tabs>
        <w:kinsoku/>
        <w:wordWrap/>
        <w:overflowPunct/>
        <w:topLinePunct w:val="0"/>
        <w:bidi w:val="0"/>
        <w:snapToGrid/>
        <w:spacing w:before="0" w:after="0" w:line="360" w:lineRule="auto"/>
        <w:ind w:left="0" w:right="0" w:rightChars="0" w:firstLine="476"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val="en-US" w:eastAsia="zh-CN"/>
        </w:rPr>
        <w:t>2.</w:t>
      </w:r>
      <w:r>
        <w:rPr>
          <w:rFonts w:hint="eastAsia" w:asciiTheme="minorEastAsia" w:hAnsiTheme="minorEastAsia" w:eastAsiaTheme="minorEastAsia" w:cstheme="minorEastAsia"/>
          <w:spacing w:val="-1"/>
          <w:sz w:val="24"/>
          <w:szCs w:val="24"/>
        </w:rPr>
        <w:t xml:space="preserve">乙方的项目经费使用应当符合甲方资金使用的相关规定和有关审计要求， </w:t>
      </w:r>
      <w:r>
        <w:rPr>
          <w:rFonts w:hint="eastAsia" w:asciiTheme="minorEastAsia" w:hAnsiTheme="minorEastAsia" w:eastAsiaTheme="minorEastAsia" w:cstheme="minorEastAsia"/>
          <w:spacing w:val="-12"/>
          <w:sz w:val="24"/>
          <w:szCs w:val="24"/>
        </w:rPr>
        <w:t>专项用于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等相关工</w:t>
      </w:r>
      <w:r>
        <w:rPr>
          <w:rFonts w:hint="eastAsia" w:asciiTheme="minorEastAsia" w:hAnsiTheme="minorEastAsia" w:eastAsiaTheme="minorEastAsia" w:cstheme="minorEastAsia"/>
          <w:spacing w:val="-6"/>
          <w:sz w:val="24"/>
          <w:szCs w:val="24"/>
        </w:rPr>
        <w:t xml:space="preserve">作，不得用于与本工作无关的活动支出，专款专用，并配合财政、审计等部门的监督检查。 </w:t>
      </w:r>
    </w:p>
    <w:p>
      <w:pPr>
        <w:pStyle w:val="24"/>
        <w:pageBreakBefore w:val="0"/>
        <w:widowControl w:val="0"/>
        <w:numPr>
          <w:ilvl w:val="0"/>
          <w:numId w:val="0"/>
        </w:numPr>
        <w:tabs>
          <w:tab w:val="left" w:pos="1122"/>
        </w:tabs>
        <w:kinsoku/>
        <w:wordWrap/>
        <w:overflowPunct/>
        <w:topLinePunct w:val="0"/>
        <w:bidi w:val="0"/>
        <w:snapToGrid/>
        <w:spacing w:before="0" w:after="0" w:line="360" w:lineRule="auto"/>
        <w:ind w:left="0" w:right="0" w:rightChars="0" w:firstLine="468"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lang w:val="en-US" w:eastAsia="zh-CN"/>
        </w:rPr>
        <w:t>3.</w:t>
      </w:r>
      <w:r>
        <w:rPr>
          <w:rFonts w:hint="eastAsia" w:asciiTheme="minorEastAsia" w:hAnsiTheme="minorEastAsia" w:eastAsiaTheme="minorEastAsia" w:cstheme="minorEastAsia"/>
          <w:spacing w:val="-3"/>
          <w:sz w:val="24"/>
          <w:szCs w:val="24"/>
        </w:rPr>
        <w:t>乙方保证其向甲方提供的服务不存在任何侵犯第三方著作权、商标权、专</w:t>
      </w:r>
      <w:r>
        <w:rPr>
          <w:rFonts w:hint="eastAsia" w:asciiTheme="minorEastAsia" w:hAnsiTheme="minorEastAsia" w:eastAsiaTheme="minorEastAsia" w:cstheme="minorEastAsia"/>
          <w:sz w:val="24"/>
          <w:szCs w:val="24"/>
        </w:rPr>
        <w:t xml:space="preserve">利权等合法权益的情形。 </w:t>
      </w:r>
    </w:p>
    <w:p>
      <w:pPr>
        <w:pStyle w:val="24"/>
        <w:pageBreakBefore w:val="0"/>
        <w:widowControl w:val="0"/>
        <w:numPr>
          <w:ilvl w:val="0"/>
          <w:numId w:val="0"/>
        </w:numPr>
        <w:tabs>
          <w:tab w:val="left" w:pos="1122"/>
        </w:tabs>
        <w:kinsoku/>
        <w:wordWrap/>
        <w:overflowPunct/>
        <w:topLinePunct w:val="0"/>
        <w:bidi w:val="0"/>
        <w:snapToGrid/>
        <w:spacing w:before="0" w:after="0" w:line="360" w:lineRule="auto"/>
        <w:ind w:left="0" w:right="0" w:rightChars="0" w:firstLine="468"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lang w:val="en-US" w:eastAsia="zh-CN"/>
        </w:rPr>
        <w:t>4.</w:t>
      </w:r>
      <w:r>
        <w:rPr>
          <w:rFonts w:hint="eastAsia" w:asciiTheme="minorEastAsia" w:hAnsiTheme="minorEastAsia" w:eastAsiaTheme="minorEastAsia" w:cstheme="minorEastAsia"/>
          <w:spacing w:val="-3"/>
          <w:sz w:val="24"/>
          <w:szCs w:val="24"/>
        </w:rPr>
        <w:t>乙方应接受甲方对其提供服务情况进行的监督和检查，并应及时按照甲方</w:t>
      </w:r>
      <w:r>
        <w:rPr>
          <w:rFonts w:hint="eastAsia" w:asciiTheme="minorEastAsia" w:hAnsiTheme="minorEastAsia" w:eastAsiaTheme="minorEastAsia" w:cstheme="minorEastAsia"/>
          <w:sz w:val="24"/>
          <w:szCs w:val="24"/>
        </w:rPr>
        <w:t xml:space="preserve">要求对所提供的服务进行改进或调整，使服务质量符合甲方要求。 </w:t>
      </w:r>
    </w:p>
    <w:p>
      <w:pPr>
        <w:pStyle w:val="24"/>
        <w:pageBreakBefore w:val="0"/>
        <w:widowControl w:val="0"/>
        <w:numPr>
          <w:ilvl w:val="0"/>
          <w:numId w:val="0"/>
        </w:numPr>
        <w:tabs>
          <w:tab w:val="left" w:pos="1122"/>
        </w:tabs>
        <w:kinsoku/>
        <w:wordWrap/>
        <w:overflowPunct/>
        <w:topLinePunct w:val="0"/>
        <w:bidi w:val="0"/>
        <w:snapToGrid/>
        <w:spacing w:before="0" w:after="0" w:line="360" w:lineRule="auto"/>
        <w:ind w:left="0" w:right="0" w:rightChars="0" w:firstLine="464"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lang w:val="en-US" w:eastAsia="zh-CN"/>
        </w:rPr>
        <w:t>5.</w:t>
      </w:r>
      <w:r>
        <w:rPr>
          <w:rFonts w:hint="eastAsia" w:asciiTheme="minorEastAsia" w:hAnsiTheme="minorEastAsia" w:eastAsiaTheme="minorEastAsia" w:cstheme="minorEastAsia"/>
          <w:spacing w:val="-4"/>
          <w:sz w:val="24"/>
          <w:szCs w:val="24"/>
        </w:rPr>
        <w:t>本项目知识产权归甲方所有。乙方承诺在工作过程中按照国家保密法律法规以及甲方的要求，做好有关保密工作。乙方对工作过程中甲方提供的有关</w:t>
      </w:r>
      <w:r>
        <w:rPr>
          <w:rFonts w:hint="eastAsia" w:asciiTheme="minorEastAsia" w:hAnsiTheme="minorEastAsia" w:eastAsiaTheme="minorEastAsia" w:cstheme="minorEastAsia"/>
          <w:spacing w:val="-8"/>
          <w:sz w:val="24"/>
          <w:szCs w:val="24"/>
        </w:rPr>
        <w:t>信息、文件、资料等有保密义务，非经甲方书面同意，不得公开或向第三方</w:t>
      </w:r>
      <w:r>
        <w:rPr>
          <w:rFonts w:hint="eastAsia" w:asciiTheme="minorEastAsia" w:hAnsiTheme="minorEastAsia" w:eastAsiaTheme="minorEastAsia" w:cstheme="minorEastAsia"/>
          <w:sz w:val="24"/>
          <w:szCs w:val="24"/>
        </w:rPr>
        <w:t xml:space="preserve">提供。 </w:t>
      </w:r>
    </w:p>
    <w:p>
      <w:pPr>
        <w:pStyle w:val="8"/>
        <w:pageBreakBefore w:val="0"/>
        <w:widowControl w:val="0"/>
        <w:kinsoku/>
        <w:wordWrap/>
        <w:overflowPunct/>
        <w:topLinePunct w:val="0"/>
        <w:bidi w:val="0"/>
        <w:snapToGrid/>
        <w:spacing w:before="0" w:line="360" w:lineRule="auto"/>
        <w:ind w:left="0" w:leftChars="0" w:right="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乙方应保证为甲方提供服务的员工具备提供本合同项下服务所需的相应</w:t>
      </w:r>
      <w:r>
        <w:rPr>
          <w:rFonts w:hint="eastAsia" w:asciiTheme="minorEastAsia" w:hAnsiTheme="minorEastAsia" w:eastAsiaTheme="minorEastAsia" w:cstheme="minorEastAsia"/>
          <w:spacing w:val="-5"/>
          <w:sz w:val="24"/>
          <w:szCs w:val="24"/>
        </w:rPr>
        <w:t>资质和许可，并保证乙方人员在为甲方提供服务的过程中，严格遵守甲方的</w:t>
      </w:r>
      <w:r>
        <w:rPr>
          <w:rFonts w:hint="eastAsia" w:asciiTheme="minorEastAsia" w:hAnsiTheme="minorEastAsia" w:eastAsiaTheme="minorEastAsia" w:cstheme="minorEastAsia"/>
          <w:spacing w:val="-6"/>
          <w:sz w:val="24"/>
          <w:szCs w:val="24"/>
        </w:rPr>
        <w:t>各项规定、服从甲方安排。如因乙方人员原因，给甲方或第三方造成人员人</w:t>
      </w:r>
      <w:r>
        <w:rPr>
          <w:rFonts w:hint="eastAsia" w:asciiTheme="minorEastAsia" w:hAnsiTheme="minorEastAsia" w:eastAsiaTheme="minorEastAsia" w:cstheme="minorEastAsia"/>
          <w:sz w:val="24"/>
          <w:szCs w:val="24"/>
        </w:rPr>
        <w:t xml:space="preserve">身伤害或财产损失的，乙方应承担赔偿责任。 </w:t>
      </w:r>
    </w:p>
    <w:p>
      <w:pPr>
        <w:pageBreakBefore w:val="0"/>
        <w:widowControl w:val="0"/>
        <w:numPr>
          <w:ilvl w:val="0"/>
          <w:numId w:val="0"/>
        </w:numPr>
        <w:kinsoku/>
        <w:wordWrap/>
        <w:overflowPunct/>
        <w:topLinePunct w:val="0"/>
        <w:bidi w:val="0"/>
        <w:snapToGrid/>
        <w:spacing w:line="360" w:lineRule="auto"/>
        <w:ind w:left="0"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 xml:space="preserve">其他：                                    </w:t>
      </w:r>
    </w:p>
    <w:p>
      <w:pPr>
        <w:pageBreakBefore w:val="0"/>
        <w:widowControl w:val="0"/>
        <w:numPr>
          <w:ilvl w:val="0"/>
          <w:numId w:val="0"/>
        </w:numPr>
        <w:kinsoku/>
        <w:wordWrap/>
        <w:overflowPunct/>
        <w:topLinePunct w:val="0"/>
        <w:bidi w:val="0"/>
        <w:snapToGrid/>
        <w:spacing w:line="360" w:lineRule="auto"/>
        <w:ind w:left="0" w:right="0" w:rightChars="0"/>
        <w:jc w:val="left"/>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第六条 合同的变更、补充和解除</w:t>
      </w:r>
      <w:r>
        <w:rPr>
          <w:rFonts w:hint="eastAsia" w:asciiTheme="minorEastAsia" w:hAnsiTheme="minorEastAsia" w:eastAsiaTheme="minorEastAsia" w:cstheme="minorEastAsia"/>
          <w:b/>
          <w:w w:val="99"/>
          <w:sz w:val="24"/>
          <w:szCs w:val="24"/>
        </w:rPr>
        <w:t xml:space="preserve"> </w:t>
      </w:r>
    </w:p>
    <w:p>
      <w:pPr>
        <w:pStyle w:val="8"/>
        <w:pageBreakBefore w:val="0"/>
        <w:widowControl w:val="0"/>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（一）本合同的变更或补充必须由双方协商一致，并以书面形式确定。 </w:t>
      </w:r>
    </w:p>
    <w:p>
      <w:pPr>
        <w:pStyle w:val="8"/>
        <w:pageBreakBefore w:val="0"/>
        <w:widowControl w:val="0"/>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w:t>
      </w:r>
      <w:r>
        <w:rPr>
          <w:rFonts w:hint="eastAsia" w:asciiTheme="minorEastAsia" w:hAnsiTheme="minorEastAsia" w:eastAsiaTheme="minorEastAsia" w:cstheme="minorEastAsia"/>
          <w:spacing w:val="-32"/>
          <w:sz w:val="24"/>
          <w:szCs w:val="24"/>
        </w:rPr>
        <w:t>）</w:t>
      </w:r>
      <w:r>
        <w:rPr>
          <w:rFonts w:hint="eastAsia" w:asciiTheme="minorEastAsia" w:hAnsiTheme="minorEastAsia" w:eastAsiaTheme="minorEastAsia" w:cstheme="minorEastAsia"/>
          <w:spacing w:val="-10"/>
          <w:sz w:val="24"/>
          <w:szCs w:val="24"/>
        </w:rPr>
        <w:t xml:space="preserve">双方确定，出现下列情形，致使本合同的履行成为不必要或不可能的， </w:t>
      </w:r>
      <w:r>
        <w:rPr>
          <w:rFonts w:hint="eastAsia" w:asciiTheme="minorEastAsia" w:hAnsiTheme="minorEastAsia" w:eastAsiaTheme="minorEastAsia" w:cstheme="minorEastAsia"/>
          <w:sz w:val="24"/>
          <w:szCs w:val="24"/>
        </w:rPr>
        <w:t xml:space="preserve">可以解除本合同： </w:t>
      </w:r>
    </w:p>
    <w:p>
      <w:pPr>
        <w:pStyle w:val="24"/>
        <w:pageBreakBefore w:val="0"/>
        <w:widowControl w:val="0"/>
        <w:numPr>
          <w:ilvl w:val="0"/>
          <w:numId w:val="0"/>
        </w:numPr>
        <w:tabs>
          <w:tab w:val="left" w:pos="1182"/>
        </w:tabs>
        <w:kinsoku/>
        <w:wordWrap/>
        <w:overflowPunct/>
        <w:topLinePunct w:val="0"/>
        <w:bidi w:val="0"/>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 xml:space="preserve">发生不可抗力。 </w:t>
      </w:r>
    </w:p>
    <w:p>
      <w:pPr>
        <w:pStyle w:val="24"/>
        <w:pageBreakBefore w:val="0"/>
        <w:widowControl w:val="0"/>
        <w:numPr>
          <w:ilvl w:val="0"/>
          <w:numId w:val="0"/>
        </w:numPr>
        <w:tabs>
          <w:tab w:val="left" w:pos="1182"/>
        </w:tabs>
        <w:kinsoku/>
        <w:wordWrap/>
        <w:overflowPunct/>
        <w:topLinePunct w:val="0"/>
        <w:bidi w:val="0"/>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与本项目直接相关的国家政策发生重大变更，双方同意解除合同。 </w:t>
      </w:r>
    </w:p>
    <w:p>
      <w:pPr>
        <w:pStyle w:val="24"/>
        <w:pageBreakBefore w:val="0"/>
        <w:widowControl w:val="0"/>
        <w:numPr>
          <w:ilvl w:val="0"/>
          <w:numId w:val="0"/>
        </w:numPr>
        <w:tabs>
          <w:tab w:val="left" w:pos="1182"/>
        </w:tabs>
        <w:kinsoku/>
        <w:wordWrap/>
        <w:overflowPunct/>
        <w:topLinePunct w:val="0"/>
        <w:bidi w:val="0"/>
        <w:snapToGrid/>
        <w:spacing w:before="0" w:after="0" w:line="360" w:lineRule="auto"/>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一方严重违约。</w:t>
      </w:r>
    </w:p>
    <w:p>
      <w:pPr>
        <w:pStyle w:val="24"/>
        <w:pageBreakBefore w:val="0"/>
        <w:widowControl w:val="0"/>
        <w:numPr>
          <w:ilvl w:val="0"/>
          <w:numId w:val="0"/>
        </w:numPr>
        <w:tabs>
          <w:tab w:val="left" w:pos="1182"/>
        </w:tabs>
        <w:kinsoku/>
        <w:wordWrap/>
        <w:overflowPunct/>
        <w:topLinePunct w:val="0"/>
        <w:bidi w:val="0"/>
        <w:snapToGrid/>
        <w:spacing w:before="0" w:after="0" w:line="360" w:lineRule="auto"/>
        <w:ind w:left="0" w:right="0" w:rightChars="0"/>
        <w:jc w:val="left"/>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第七条 违约责任</w:t>
      </w:r>
      <w:r>
        <w:rPr>
          <w:rFonts w:hint="eastAsia" w:asciiTheme="minorEastAsia" w:hAnsiTheme="minorEastAsia" w:eastAsiaTheme="minorEastAsia" w:cstheme="minorEastAsia"/>
          <w:b/>
          <w:w w:val="99"/>
          <w:sz w:val="24"/>
          <w:szCs w:val="24"/>
        </w:rPr>
        <w:t xml:space="preserve"> </w:t>
      </w:r>
    </w:p>
    <w:p>
      <w:pPr>
        <w:pStyle w:val="8"/>
        <w:pageBreakBefore w:val="0"/>
        <w:widowControl w:val="0"/>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（一）甲方未按约定的期限向乙方支付服务费，应在最后付款日的次日起每日按照服务费总额的千分之一向乙方支付违约金，乙方并有权顺延相应工作期限。 </w:t>
      </w:r>
    </w:p>
    <w:p>
      <w:pPr>
        <w:pStyle w:val="8"/>
        <w:pageBreakBefore w:val="0"/>
        <w:widowControl w:val="0"/>
        <w:kinsoku/>
        <w:wordWrap/>
        <w:overflowPunct/>
        <w:topLinePunct w:val="0"/>
        <w:bidi w:val="0"/>
        <w:snapToGrid/>
        <w:spacing w:before="0" w:line="360" w:lineRule="auto"/>
        <w:ind w:left="0" w:right="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w:t>
      </w:r>
      <w:r>
        <w:rPr>
          <w:rFonts w:hint="eastAsia" w:asciiTheme="minorEastAsia" w:hAnsiTheme="minorEastAsia" w:eastAsiaTheme="minorEastAsia" w:cstheme="minorEastAsia"/>
          <w:spacing w:val="-32"/>
          <w:sz w:val="24"/>
          <w:szCs w:val="24"/>
        </w:rPr>
        <w:t>）</w:t>
      </w:r>
      <w:r>
        <w:rPr>
          <w:rFonts w:hint="eastAsia" w:asciiTheme="minorEastAsia" w:hAnsiTheme="minorEastAsia" w:eastAsiaTheme="minorEastAsia" w:cstheme="minorEastAsia"/>
          <w:spacing w:val="-6"/>
          <w:sz w:val="24"/>
          <w:szCs w:val="24"/>
        </w:rPr>
        <w:t>乙方未按合同约定完成委托工作，每逾期一日，按照服务费总额的千</w:t>
      </w:r>
      <w:r>
        <w:rPr>
          <w:rFonts w:hint="eastAsia" w:asciiTheme="minorEastAsia" w:hAnsiTheme="minorEastAsia" w:eastAsiaTheme="minorEastAsia" w:cstheme="minorEastAsia"/>
          <w:spacing w:val="-9"/>
          <w:sz w:val="24"/>
          <w:szCs w:val="24"/>
        </w:rPr>
        <w:t>分之一向甲方支付违约金，但因甲方未按期提供资料或资金等甲方或第三方原因</w:t>
      </w:r>
      <w:r>
        <w:rPr>
          <w:rFonts w:hint="eastAsia" w:asciiTheme="minorEastAsia" w:hAnsiTheme="minorEastAsia" w:eastAsiaTheme="minorEastAsia" w:cstheme="minorEastAsia"/>
          <w:sz w:val="24"/>
          <w:szCs w:val="24"/>
        </w:rPr>
        <w:t xml:space="preserve">而导致延误的，不视为乙方违约，可以顺延相应期限。 </w:t>
      </w:r>
    </w:p>
    <w:p>
      <w:pPr>
        <w:pStyle w:val="4"/>
        <w:pageBreakBefore w:val="0"/>
        <w:widowControl w:val="0"/>
        <w:kinsoku/>
        <w:wordWrap/>
        <w:overflowPunct/>
        <w:topLinePunct w:val="0"/>
        <w:bidi w:val="0"/>
        <w:snapToGrid/>
        <w:spacing w:line="360" w:lineRule="auto"/>
        <w:ind w:left="0" w:right="0"/>
        <w:jc w:val="both"/>
        <w:textAlignment w:val="auto"/>
        <w:rPr>
          <w:rFonts w:hint="eastAsia" w:asciiTheme="minorEastAsia" w:hAnsiTheme="minorEastAsia" w:eastAsiaTheme="minorEastAsia" w:cstheme="minorEastAsia"/>
          <w:b/>
          <w:bCs w:val="0"/>
          <w:kern w:val="0"/>
          <w:sz w:val="24"/>
          <w:szCs w:val="24"/>
          <w:lang w:val="zh-CN" w:eastAsia="zh-CN" w:bidi="ar-SA"/>
        </w:rPr>
      </w:pPr>
      <w:r>
        <w:rPr>
          <w:rFonts w:hint="eastAsia" w:asciiTheme="minorEastAsia" w:hAnsiTheme="minorEastAsia" w:eastAsiaTheme="minorEastAsia" w:cstheme="minorEastAsia"/>
          <w:b/>
          <w:bCs w:val="0"/>
          <w:kern w:val="0"/>
          <w:sz w:val="24"/>
          <w:szCs w:val="24"/>
          <w:lang w:val="zh-CN" w:eastAsia="zh-CN" w:bidi="ar-SA"/>
        </w:rPr>
        <w:t xml:space="preserve">第八条 争议解决和法律适用 </w:t>
      </w:r>
    </w:p>
    <w:p>
      <w:pPr>
        <w:pStyle w:val="8"/>
        <w:pageBreakBefore w:val="0"/>
        <w:widowControl w:val="0"/>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（一）在任何争议解决期间，乙方应该继续提供不在争议项目范围内、并完全不受争议所影响的服务。甲方亦应该按照合同继续支付不在争议项目范围内、并完全不受争议所影响的部分服务费用。 </w:t>
      </w:r>
    </w:p>
    <w:p>
      <w:pPr>
        <w:pStyle w:val="8"/>
        <w:pageBreakBefore w:val="0"/>
        <w:widowControl w:val="0"/>
        <w:kinsoku/>
        <w:wordWrap/>
        <w:overflowPunct/>
        <w:topLinePunct w:val="0"/>
        <w:bidi w:val="0"/>
        <w:snapToGrid/>
        <w:spacing w:before="0" w:line="360" w:lineRule="auto"/>
        <w:ind w:left="0" w:right="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w:t>
      </w:r>
      <w:r>
        <w:rPr>
          <w:rFonts w:hint="eastAsia" w:asciiTheme="minorEastAsia" w:hAnsiTheme="minorEastAsia" w:eastAsiaTheme="minorEastAsia" w:cstheme="minorEastAsia"/>
          <w:spacing w:val="-48"/>
          <w:sz w:val="24"/>
          <w:szCs w:val="24"/>
        </w:rPr>
        <w:t>）</w:t>
      </w:r>
      <w:r>
        <w:rPr>
          <w:rFonts w:hint="eastAsia" w:asciiTheme="minorEastAsia" w:hAnsiTheme="minorEastAsia" w:eastAsiaTheme="minorEastAsia" w:cstheme="minorEastAsia"/>
          <w:spacing w:val="-4"/>
          <w:sz w:val="24"/>
          <w:szCs w:val="24"/>
        </w:rPr>
        <w:t>所有与合同有关的争议将通过各方友好协商解决。如果不能通过友好</w:t>
      </w:r>
      <w:r>
        <w:rPr>
          <w:rFonts w:hint="eastAsia" w:asciiTheme="minorEastAsia" w:hAnsiTheme="minorEastAsia" w:eastAsiaTheme="minorEastAsia" w:cstheme="minorEastAsia"/>
          <w:spacing w:val="-10"/>
          <w:sz w:val="24"/>
          <w:szCs w:val="24"/>
        </w:rPr>
        <w:t>协商解决争议，则该争议应提交北京仲裁委员会进行仲裁。仲裁应依据该委员会</w:t>
      </w:r>
      <w:r>
        <w:rPr>
          <w:rFonts w:hint="eastAsia" w:asciiTheme="minorEastAsia" w:hAnsiTheme="minorEastAsia" w:eastAsiaTheme="minorEastAsia" w:cstheme="minorEastAsia"/>
          <w:sz w:val="24"/>
          <w:szCs w:val="24"/>
        </w:rPr>
        <w:t xml:space="preserve">的仲裁规则和程序进行。 </w:t>
      </w:r>
    </w:p>
    <w:p>
      <w:pPr>
        <w:pStyle w:val="8"/>
        <w:pageBreakBefore w:val="0"/>
        <w:widowControl w:val="0"/>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（三）仲裁为终局，对双方均有约束力，仲裁费用由败诉方承担。 </w:t>
      </w:r>
    </w:p>
    <w:p>
      <w:pPr>
        <w:pStyle w:val="8"/>
        <w:pageBreakBefore w:val="0"/>
        <w:widowControl w:val="0"/>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（四）仲裁进行过程中，双方将继续执行仲裁部分以外的合同其他部分。 </w:t>
      </w:r>
    </w:p>
    <w:p>
      <w:pPr>
        <w:pageBreakBefore w:val="0"/>
        <w:widowControl w:val="0"/>
        <w:kinsoku/>
        <w:wordWrap/>
        <w:overflowPunct/>
        <w:topLinePunct w:val="0"/>
        <w:bidi w:val="0"/>
        <w:snapToGrid/>
        <w:spacing w:line="36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（五）本合同适用中华人民共和国相关法律。</w:t>
      </w:r>
    </w:p>
    <w:p>
      <w:pPr>
        <w:pStyle w:val="8"/>
        <w:pageBreakBefore w:val="0"/>
        <w:widowControl w:val="0"/>
        <w:kinsoku/>
        <w:wordWrap/>
        <w:overflowPunct/>
        <w:topLinePunct w:val="0"/>
        <w:bidi w:val="0"/>
        <w:snapToGrid/>
        <w:spacing w:before="0" w:line="360" w:lineRule="auto"/>
        <w:ind w:left="0" w:right="0"/>
        <w:textAlignment w:val="auto"/>
        <w:rPr>
          <w:rFonts w:hint="eastAsia" w:asciiTheme="minorEastAsia" w:hAnsiTheme="minorEastAsia" w:eastAsiaTheme="minorEastAsia" w:cstheme="minorEastAsia"/>
          <w:b/>
          <w:w w:val="99"/>
          <w:sz w:val="24"/>
          <w:szCs w:val="24"/>
        </w:rPr>
      </w:pPr>
      <w:r>
        <w:rPr>
          <w:rFonts w:hint="eastAsia" w:asciiTheme="minorEastAsia" w:hAnsiTheme="minorEastAsia" w:eastAsiaTheme="minorEastAsia" w:cstheme="minorEastAsia"/>
          <w:b/>
          <w:sz w:val="24"/>
          <w:szCs w:val="24"/>
        </w:rPr>
        <w:t>第九条 合同的生效、终止及其他</w:t>
      </w:r>
      <w:r>
        <w:rPr>
          <w:rFonts w:hint="eastAsia" w:asciiTheme="minorEastAsia" w:hAnsiTheme="minorEastAsia" w:eastAsiaTheme="minorEastAsia" w:cstheme="minorEastAsia"/>
          <w:b/>
          <w:w w:val="99"/>
          <w:sz w:val="24"/>
          <w:szCs w:val="24"/>
        </w:rPr>
        <w:t xml:space="preserve"> </w:t>
      </w:r>
    </w:p>
    <w:p>
      <w:pPr>
        <w:pStyle w:val="8"/>
        <w:pageBreakBefore w:val="0"/>
        <w:widowControl w:val="0"/>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（一）本合同由双方代表签字盖章后生效。 </w:t>
      </w:r>
    </w:p>
    <w:p>
      <w:pPr>
        <w:pStyle w:val="8"/>
        <w:pageBreakBefore w:val="0"/>
        <w:widowControl w:val="0"/>
        <w:kinsoku/>
        <w:wordWrap/>
        <w:overflowPunct/>
        <w:topLinePunct w:val="0"/>
        <w:bidi w:val="0"/>
        <w:snapToGrid/>
        <w:spacing w:before="0" w:line="360" w:lineRule="auto"/>
        <w:ind w:left="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w:t>
      </w:r>
      <w:r>
        <w:rPr>
          <w:rFonts w:hint="eastAsia" w:asciiTheme="minorEastAsia" w:hAnsiTheme="minorEastAsia" w:eastAsiaTheme="minorEastAsia" w:cstheme="minorEastAsia"/>
          <w:spacing w:val="-4"/>
          <w:sz w:val="24"/>
          <w:szCs w:val="24"/>
        </w:rPr>
        <w:t>合同双方同意所有附件是合同不可分割的一部分，与合同正文具有同</w:t>
      </w:r>
      <w:r>
        <w:rPr>
          <w:rFonts w:hint="eastAsia" w:asciiTheme="minorEastAsia" w:hAnsiTheme="minorEastAsia" w:eastAsiaTheme="minorEastAsia" w:cstheme="minorEastAsia"/>
          <w:sz w:val="24"/>
          <w:szCs w:val="24"/>
        </w:rPr>
        <w:t xml:space="preserve">等效力。若附件与合同正文有任何不一致，以合同正文为准。 </w:t>
      </w:r>
    </w:p>
    <w:p>
      <w:pPr>
        <w:pStyle w:val="8"/>
        <w:pageBreakBefore w:val="0"/>
        <w:widowControl w:val="0"/>
        <w:kinsoku/>
        <w:wordWrap/>
        <w:overflowPunct/>
        <w:topLinePunct w:val="0"/>
        <w:bidi w:val="0"/>
        <w:snapToGrid/>
        <w:spacing w:before="0" w:line="360" w:lineRule="auto"/>
        <w:ind w:left="0" w:right="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（三）本合同及其附件为中文文本，一式四份，甲乙双方各执两份。 </w:t>
      </w:r>
    </w:p>
    <w:p>
      <w:pPr>
        <w:pStyle w:val="8"/>
        <w:pageBreakBefore w:val="0"/>
        <w:widowControl w:val="0"/>
        <w:tabs>
          <w:tab w:val="left" w:pos="7980"/>
        </w:tabs>
        <w:kinsoku/>
        <w:wordWrap/>
        <w:overflowPunct/>
        <w:topLinePunct w:val="0"/>
        <w:bidi w:val="0"/>
        <w:snapToGrid/>
        <w:spacing w:before="0" w:line="360" w:lineRule="auto"/>
        <w:ind w:left="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w:t>
      </w:r>
      <w:r>
        <w:rPr>
          <w:rFonts w:hint="eastAsia" w:asciiTheme="minorEastAsia" w:hAnsiTheme="minorEastAsia" w:eastAsiaTheme="minorEastAsia" w:cstheme="minorEastAsia"/>
          <w:spacing w:val="-4"/>
          <w:sz w:val="24"/>
          <w:szCs w:val="24"/>
        </w:rPr>
        <w:t>对合同内容做出的任何修改和补充应为书面形式，由双方授权代表签</w:t>
      </w:r>
      <w:r>
        <w:rPr>
          <w:rFonts w:hint="eastAsia" w:asciiTheme="minorEastAsia" w:hAnsiTheme="minorEastAsia" w:eastAsiaTheme="minorEastAsia" w:cstheme="minorEastAsia"/>
          <w:sz w:val="24"/>
          <w:szCs w:val="24"/>
        </w:rPr>
        <w:t xml:space="preserve">字后成为合同不可分割的部分。 </w:t>
      </w:r>
    </w:p>
    <w:p>
      <w:pPr>
        <w:pStyle w:val="8"/>
        <w:pageBreakBefore w:val="0"/>
        <w:widowControl w:val="0"/>
        <w:kinsoku/>
        <w:wordWrap/>
        <w:overflowPunct/>
        <w:topLinePunct w:val="0"/>
        <w:bidi w:val="0"/>
        <w:snapToGrid/>
        <w:spacing w:before="0" w:line="360" w:lineRule="auto"/>
        <w:ind w:left="0"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w:t>
      </w:r>
      <w:r>
        <w:rPr>
          <w:rFonts w:hint="eastAsia" w:asciiTheme="minorEastAsia" w:hAnsiTheme="minorEastAsia" w:eastAsiaTheme="minorEastAsia" w:cstheme="minorEastAsia"/>
          <w:spacing w:val="-1"/>
          <w:sz w:val="24"/>
          <w:szCs w:val="24"/>
        </w:rPr>
        <w:t>任何与合同相关但未在合同中明确规定的事项将由双方友好协商并以</w:t>
      </w:r>
      <w:r>
        <w:rPr>
          <w:rFonts w:hint="eastAsia" w:asciiTheme="minorEastAsia" w:hAnsiTheme="minorEastAsia" w:eastAsiaTheme="minorEastAsia" w:cstheme="minorEastAsia"/>
          <w:sz w:val="24"/>
          <w:szCs w:val="24"/>
        </w:rPr>
        <w:t xml:space="preserve">补充协议予以解决。 </w:t>
      </w:r>
    </w:p>
    <w:p>
      <w:pPr>
        <w:pStyle w:val="8"/>
        <w:spacing w:before="2"/>
        <w:ind w:left="9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8"/>
        <w:spacing w:before="161"/>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[以下无正文，供双方签字盖章] </w:t>
      </w:r>
    </w:p>
    <w:p>
      <w:pPr>
        <w:pStyle w:val="8"/>
        <w:spacing w:before="160"/>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8"/>
        <w:spacing w:before="161"/>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甲方（公章</w:t>
      </w:r>
      <w:r>
        <w:rPr>
          <w:rFonts w:hint="eastAsia" w:asciiTheme="minorEastAsia" w:hAnsiTheme="minorEastAsia" w:eastAsiaTheme="minorEastAsia" w:cstheme="minorEastAsia"/>
          <w:spacing w:val="-120"/>
          <w:sz w:val="24"/>
          <w:szCs w:val="24"/>
        </w:rPr>
        <w:t>）</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pacing w:val="-1"/>
          <w:sz w:val="24"/>
          <w:szCs w:val="24"/>
        </w:rPr>
        <w:t xml:space="preserve">                             乙方</w:t>
      </w:r>
      <w:r>
        <w:rPr>
          <w:rFonts w:hint="eastAsia" w:asciiTheme="minorEastAsia" w:hAnsiTheme="minorEastAsia" w:eastAsiaTheme="minorEastAsia" w:cstheme="minorEastAsia"/>
          <w:sz w:val="24"/>
          <w:szCs w:val="24"/>
        </w:rPr>
        <w:t>（公章</w:t>
      </w:r>
      <w:r>
        <w:rPr>
          <w:rFonts w:hint="eastAsia" w:asciiTheme="minorEastAsia" w:hAnsiTheme="minorEastAsia" w:eastAsiaTheme="minorEastAsia" w:cstheme="minorEastAsia"/>
          <w:spacing w:val="-120"/>
          <w:sz w:val="24"/>
          <w:szCs w:val="24"/>
        </w:rPr>
        <w:t>）</w:t>
      </w:r>
      <w:r>
        <w:rPr>
          <w:rFonts w:hint="eastAsia" w:asciiTheme="minorEastAsia" w:hAnsiTheme="minorEastAsia" w:eastAsiaTheme="minorEastAsia" w:cstheme="minorEastAsia"/>
          <w:sz w:val="24"/>
          <w:szCs w:val="24"/>
        </w:rPr>
        <w:t xml:space="preserve">） </w:t>
      </w:r>
    </w:p>
    <w:p>
      <w:pPr>
        <w:pStyle w:val="8"/>
        <w:spacing w:before="160"/>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8"/>
        <w:spacing w:before="160"/>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 定 代 表 人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法 定 代 表 人 ： </w:t>
      </w:r>
    </w:p>
    <w:p>
      <w:pPr>
        <w:pStyle w:val="8"/>
        <w:spacing w:before="161"/>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8"/>
        <w:spacing w:before="161"/>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(或授权代表人)签字：</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(或授权代表)签字： </w:t>
      </w:r>
    </w:p>
    <w:p>
      <w:pPr>
        <w:pStyle w:val="8"/>
        <w:spacing w:before="161"/>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pStyle w:val="8"/>
        <w:tabs>
          <w:tab w:val="left" w:pos="3820"/>
        </w:tabs>
        <w:spacing w:before="160"/>
        <w:ind w:left="460"/>
        <w:jc w:val="both"/>
        <w:outlineLvl w:val="9"/>
        <w:rPr>
          <w:rFonts w:hint="eastAsia" w:ascii="宋体" w:hAnsi="宋体" w:eastAsia="宋体" w:cs="宋体"/>
          <w:kern w:val="0"/>
          <w:sz w:val="24"/>
          <w:szCs w:val="24"/>
          <w:highlight w:val="none"/>
        </w:rPr>
      </w:pPr>
      <w:r>
        <w:rPr>
          <w:rFonts w:hint="eastAsia" w:asciiTheme="minorEastAsia" w:hAnsiTheme="minorEastAsia" w:eastAsiaTheme="minorEastAsia" w:cstheme="minorEastAsia"/>
          <w:sz w:val="24"/>
          <w:szCs w:val="24"/>
        </w:rPr>
        <w:t>日 期 ：</w:t>
      </w:r>
      <w:r>
        <w:rPr>
          <w:rFonts w:hint="eastAsia" w:asciiTheme="minorEastAsia" w:hAnsiTheme="minorEastAsia" w:eastAsiaTheme="minorEastAsia" w:cstheme="minorEastAsia"/>
          <w:sz w:val="24"/>
          <w:szCs w:val="24"/>
          <w:lang w:eastAsia="zh-CN"/>
        </w:rPr>
        <w:t>2022</w:t>
      </w:r>
      <w:r>
        <w:rPr>
          <w:rFonts w:hint="eastAsia" w:asciiTheme="minorEastAsia" w:hAnsiTheme="minorEastAsia" w:eastAsiaTheme="minorEastAsia" w:cstheme="minorEastAsia"/>
          <w:sz w:val="24"/>
          <w:szCs w:val="24"/>
        </w:rPr>
        <w:t xml:space="preserve"> 年</w:t>
      </w:r>
      <w:r>
        <w:rPr>
          <w:rFonts w:hint="eastAsia" w:asciiTheme="minorEastAsia" w:hAnsiTheme="minorEastAsia" w:eastAsiaTheme="minorEastAsia" w:cstheme="minorEastAsia"/>
          <w:spacing w:val="59"/>
          <w:sz w:val="24"/>
          <w:szCs w:val="24"/>
        </w:rPr>
        <w:t xml:space="preserve"> </w:t>
      </w:r>
      <w:r>
        <w:rPr>
          <w:rFonts w:hint="eastAsia" w:asciiTheme="minorEastAsia" w:hAnsiTheme="minorEastAsia" w:eastAsiaTheme="minorEastAsia" w:cstheme="minorEastAsia"/>
          <w:sz w:val="24"/>
          <w:szCs w:val="24"/>
        </w:rPr>
        <w:t>月    日</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 期 ：</w:t>
      </w:r>
      <w:r>
        <w:rPr>
          <w:rFonts w:hint="eastAsia" w:asciiTheme="minorEastAsia" w:hAnsiTheme="minorEastAsia" w:eastAsiaTheme="minorEastAsia" w:cstheme="minorEastAsia"/>
          <w:sz w:val="24"/>
          <w:szCs w:val="24"/>
          <w:lang w:eastAsia="zh-CN"/>
        </w:rPr>
        <w:t>2022</w:t>
      </w:r>
      <w:r>
        <w:rPr>
          <w:rFonts w:hint="eastAsia" w:asciiTheme="minorEastAsia" w:hAnsiTheme="minorEastAsia" w:eastAsiaTheme="minorEastAsia" w:cstheme="minorEastAsia"/>
          <w:sz w:val="24"/>
          <w:szCs w:val="24"/>
        </w:rPr>
        <w:t xml:space="preserve"> 年 月</w:t>
      </w:r>
      <w:r>
        <w:rPr>
          <w:rFonts w:hint="eastAsia" w:asciiTheme="minorEastAsia" w:hAnsiTheme="minorEastAsia" w:eastAsiaTheme="minorEastAsia" w:cstheme="minorEastAsia"/>
          <w:spacing w:val="60"/>
          <w:sz w:val="24"/>
          <w:szCs w:val="24"/>
        </w:rPr>
        <w:t xml:space="preserve"> </w:t>
      </w:r>
      <w:r>
        <w:rPr>
          <w:rFonts w:hint="eastAsia" w:asciiTheme="minorEastAsia" w:hAnsiTheme="minorEastAsia" w:eastAsiaTheme="minorEastAsia" w:cstheme="minorEastAsia"/>
          <w:sz w:val="24"/>
          <w:szCs w:val="24"/>
        </w:rPr>
        <w:t>日</w:t>
      </w:r>
      <w:r>
        <w:rPr>
          <w:rFonts w:hint="eastAsia" w:ascii="宋体" w:hAnsi="宋体" w:eastAsia="宋体" w:cs="宋体"/>
          <w:kern w:val="0"/>
          <w:sz w:val="24"/>
          <w:szCs w:val="24"/>
          <w:highlight w:val="none"/>
        </w:rPr>
        <w:br w:type="page"/>
      </w:r>
      <w:bookmarkStart w:id="108" w:name="_Toc8733"/>
    </w:p>
    <w:p>
      <w:pPr>
        <w:pStyle w:val="8"/>
        <w:tabs>
          <w:tab w:val="left" w:pos="3820"/>
        </w:tabs>
        <w:spacing w:before="160"/>
        <w:ind w:left="460"/>
        <w:jc w:val="center"/>
        <w:outlineLvl w:val="0"/>
        <w:rPr>
          <w:rFonts w:hint="eastAsia" w:ascii="宋体" w:hAnsi="宋体" w:eastAsia="宋体" w:cs="宋体"/>
          <w:highlight w:val="none"/>
        </w:rPr>
      </w:pPr>
      <w:r>
        <w:rPr>
          <w:rFonts w:hint="eastAsia" w:ascii="宋体" w:hAnsi="宋体" w:eastAsia="宋体" w:cs="宋体"/>
          <w:b/>
          <w:bCs/>
          <w:w w:val="95"/>
          <w:sz w:val="32"/>
          <w:szCs w:val="32"/>
          <w:highlight w:val="none"/>
        </w:rPr>
        <w:t>第六章</w:t>
      </w:r>
      <w:r>
        <w:rPr>
          <w:rFonts w:hint="eastAsia" w:ascii="宋体" w:hAnsi="宋体" w:eastAsia="宋体" w:cs="宋体"/>
          <w:b/>
          <w:bCs/>
          <w:w w:val="95"/>
          <w:sz w:val="32"/>
          <w:szCs w:val="32"/>
          <w:highlight w:val="none"/>
          <w:lang w:val="en-US" w:eastAsia="zh-CN"/>
        </w:rPr>
        <w:t xml:space="preserve"> </w:t>
      </w:r>
      <w:r>
        <w:rPr>
          <w:rFonts w:hint="eastAsia" w:ascii="宋体" w:hAnsi="宋体" w:eastAsia="宋体" w:cs="宋体"/>
          <w:b/>
          <w:bCs/>
          <w:sz w:val="32"/>
          <w:szCs w:val="32"/>
          <w:highlight w:val="none"/>
        </w:rPr>
        <w:t>磋商响应性文件格式</w:t>
      </w:r>
      <w:bookmarkEnd w:id="108"/>
    </w:p>
    <w:p>
      <w:pPr>
        <w:rPr>
          <w:rFonts w:hint="eastAsia" w:ascii="宋体" w:hAnsi="宋体" w:eastAsia="宋体" w:cs="宋体"/>
          <w:highlight w:val="none"/>
        </w:rPr>
      </w:pPr>
    </w:p>
    <w:p>
      <w:pPr>
        <w:widowControl/>
        <w:spacing w:line="460" w:lineRule="exact"/>
        <w:jc w:val="right"/>
        <w:rPr>
          <w:rFonts w:hint="eastAsia" w:ascii="宋体" w:hAnsi="宋体" w:cs="宋体"/>
          <w:sz w:val="36"/>
          <w:szCs w:val="36"/>
          <w:highlight w:val="none"/>
        </w:rPr>
      </w:pPr>
      <w:r>
        <w:rPr>
          <w:rFonts w:hint="eastAsia" w:ascii="宋体" w:hAnsi="宋体" w:cs="宋体"/>
          <w:sz w:val="36"/>
          <w:szCs w:val="36"/>
          <w:highlight w:val="none"/>
        </w:rPr>
        <w:t xml:space="preserve"> 正/副本 </w:t>
      </w:r>
    </w:p>
    <w:p>
      <w:pPr>
        <w:widowControl/>
        <w:spacing w:line="460" w:lineRule="exact"/>
        <w:jc w:val="center"/>
        <w:rPr>
          <w:rFonts w:hint="eastAsia" w:ascii="宋体" w:hAnsi="宋体" w:cs="宋体"/>
          <w:sz w:val="36"/>
          <w:szCs w:val="36"/>
          <w:highlight w:val="none"/>
        </w:rPr>
      </w:pPr>
    </w:p>
    <w:p>
      <w:pPr>
        <w:widowControl/>
        <w:spacing w:line="460" w:lineRule="exact"/>
        <w:jc w:val="center"/>
        <w:rPr>
          <w:rFonts w:hint="eastAsia" w:ascii="宋体" w:hAnsi="宋体" w:cs="宋体"/>
          <w:sz w:val="36"/>
          <w:szCs w:val="36"/>
          <w:highlight w:val="none"/>
        </w:rPr>
      </w:pPr>
    </w:p>
    <w:p>
      <w:pPr>
        <w:widowControl/>
        <w:spacing w:line="460" w:lineRule="exact"/>
        <w:jc w:val="center"/>
        <w:rPr>
          <w:rFonts w:hint="eastAsia" w:ascii="宋体" w:hAnsi="宋体" w:cs="宋体"/>
          <w:sz w:val="36"/>
          <w:szCs w:val="36"/>
          <w:highlight w:val="none"/>
        </w:rPr>
      </w:pPr>
    </w:p>
    <w:p>
      <w:pPr>
        <w:widowControl/>
        <w:spacing w:line="460" w:lineRule="exact"/>
        <w:jc w:val="center"/>
        <w:rPr>
          <w:rFonts w:hint="eastAsia" w:ascii="宋体" w:hAnsi="宋体" w:cs="宋体"/>
          <w:sz w:val="36"/>
          <w:szCs w:val="36"/>
          <w:highlight w:val="none"/>
        </w:rPr>
      </w:pPr>
    </w:p>
    <w:p>
      <w:pPr>
        <w:widowControl/>
        <w:spacing w:line="460" w:lineRule="exact"/>
        <w:jc w:val="center"/>
        <w:rPr>
          <w:rFonts w:hint="eastAsia" w:ascii="宋体" w:hAnsi="宋体" w:cs="宋体"/>
          <w:sz w:val="36"/>
          <w:szCs w:val="36"/>
          <w:highlight w:val="none"/>
        </w:rPr>
      </w:pPr>
    </w:p>
    <w:p>
      <w:pPr>
        <w:widowControl/>
        <w:spacing w:line="460" w:lineRule="exact"/>
        <w:jc w:val="center"/>
        <w:rPr>
          <w:rFonts w:hint="eastAsia" w:ascii="宋体" w:hAnsi="宋体" w:cs="宋体"/>
          <w:sz w:val="36"/>
          <w:szCs w:val="36"/>
          <w:highlight w:val="none"/>
        </w:rPr>
      </w:pPr>
    </w:p>
    <w:p>
      <w:pPr>
        <w:widowControl/>
        <w:spacing w:line="480" w:lineRule="auto"/>
        <w:jc w:val="center"/>
        <w:rPr>
          <w:rFonts w:hint="eastAsia" w:ascii="宋体" w:hAnsi="宋体" w:cs="宋体"/>
          <w:b/>
          <w:sz w:val="84"/>
          <w:szCs w:val="84"/>
          <w:highlight w:val="none"/>
        </w:rPr>
      </w:pPr>
      <w:r>
        <w:rPr>
          <w:rFonts w:hint="eastAsia" w:ascii="宋体" w:hAnsi="宋体" w:eastAsia="宋体" w:cs="宋体"/>
          <w:b/>
          <w:bCs/>
          <w:spacing w:val="2"/>
          <w:sz w:val="96"/>
          <w:szCs w:val="96"/>
          <w:highlight w:val="none"/>
        </w:rPr>
        <w:t>磋商响应性文件</w:t>
      </w:r>
    </w:p>
    <w:p>
      <w:pPr>
        <w:widowControl/>
        <w:spacing w:line="460" w:lineRule="exact"/>
        <w:jc w:val="center"/>
        <w:rPr>
          <w:rFonts w:hint="eastAsia" w:ascii="宋体" w:hAnsi="宋体" w:cs="宋体"/>
          <w:sz w:val="36"/>
          <w:szCs w:val="36"/>
          <w:highlight w:val="none"/>
        </w:rPr>
      </w:pPr>
    </w:p>
    <w:p>
      <w:pPr>
        <w:pStyle w:val="25"/>
        <w:spacing w:line="460" w:lineRule="exact"/>
        <w:rPr>
          <w:rFonts w:hint="eastAsia"/>
          <w:highlight w:val="none"/>
        </w:rPr>
      </w:pPr>
    </w:p>
    <w:p>
      <w:pPr>
        <w:widowControl/>
        <w:spacing w:line="460" w:lineRule="exact"/>
        <w:ind w:firstLine="1792" w:firstLineChars="850"/>
        <w:rPr>
          <w:rFonts w:hint="eastAsia" w:ascii="宋体" w:hAnsi="宋体" w:cs="宋体"/>
          <w:b/>
          <w:szCs w:val="30"/>
          <w:highlight w:val="none"/>
        </w:rPr>
      </w:pPr>
    </w:p>
    <w:p>
      <w:pPr>
        <w:widowControl/>
        <w:spacing w:line="460" w:lineRule="exact"/>
        <w:rPr>
          <w:rFonts w:hint="eastAsia" w:ascii="宋体" w:hAnsi="宋体" w:cs="宋体"/>
          <w:b/>
          <w:szCs w:val="30"/>
          <w:highlight w:val="none"/>
        </w:rPr>
      </w:pPr>
      <w:r>
        <w:rPr>
          <w:rFonts w:hint="eastAsia" w:ascii="宋体" w:hAnsi="宋体" w:cs="宋体"/>
          <w:b/>
          <w:sz w:val="30"/>
          <w:szCs w:val="30"/>
          <w:highlight w:val="none"/>
          <w:lang w:bidi="ar"/>
        </w:rPr>
        <w:t xml:space="preserve">    项目名称：</w:t>
      </w:r>
    </w:p>
    <w:p>
      <w:pPr>
        <w:widowControl/>
        <w:spacing w:line="460" w:lineRule="exact"/>
        <w:ind w:firstLine="600"/>
        <w:rPr>
          <w:rFonts w:hint="eastAsia" w:ascii="宋体" w:hAnsi="宋体" w:cs="宋体"/>
          <w:b/>
          <w:sz w:val="30"/>
          <w:szCs w:val="30"/>
          <w:highlight w:val="none"/>
          <w:lang w:bidi="ar"/>
        </w:rPr>
      </w:pPr>
      <w:r>
        <w:rPr>
          <w:rFonts w:hint="eastAsia" w:ascii="宋体" w:hAnsi="宋体" w:cs="宋体"/>
          <w:b/>
          <w:sz w:val="30"/>
          <w:szCs w:val="30"/>
          <w:highlight w:val="none"/>
          <w:lang w:bidi="ar"/>
        </w:rPr>
        <w:t>项目编号：</w:t>
      </w:r>
    </w:p>
    <w:p>
      <w:pPr>
        <w:widowControl/>
        <w:spacing w:line="460" w:lineRule="exact"/>
        <w:ind w:firstLine="600"/>
        <w:rPr>
          <w:rFonts w:hint="eastAsia" w:ascii="宋体" w:hAnsi="宋体" w:cs="宋体"/>
          <w:b/>
          <w:sz w:val="30"/>
          <w:szCs w:val="30"/>
          <w:highlight w:val="none"/>
          <w:lang w:bidi="ar"/>
        </w:rPr>
      </w:pPr>
    </w:p>
    <w:p>
      <w:pPr>
        <w:widowControl/>
        <w:spacing w:line="460" w:lineRule="exact"/>
        <w:jc w:val="center"/>
        <w:rPr>
          <w:rFonts w:hint="eastAsia" w:ascii="宋体" w:hAnsi="宋体" w:cs="宋体"/>
          <w:sz w:val="36"/>
          <w:szCs w:val="36"/>
          <w:highlight w:val="none"/>
        </w:rPr>
      </w:pPr>
    </w:p>
    <w:p>
      <w:pPr>
        <w:pStyle w:val="25"/>
        <w:spacing w:line="460" w:lineRule="exact"/>
        <w:rPr>
          <w:rFonts w:hint="eastAsia"/>
          <w:highlight w:val="none"/>
        </w:rPr>
      </w:pPr>
    </w:p>
    <w:p>
      <w:pPr>
        <w:widowControl/>
        <w:spacing w:line="460" w:lineRule="exact"/>
        <w:ind w:firstLine="562" w:firstLineChars="200"/>
        <w:rPr>
          <w:rFonts w:hint="eastAsia" w:ascii="宋体" w:hAnsi="宋体" w:cs="宋体"/>
          <w:b/>
          <w:sz w:val="28"/>
          <w:szCs w:val="28"/>
          <w:highlight w:val="none"/>
          <w:lang w:bidi="ar"/>
        </w:rPr>
      </w:pPr>
      <w:r>
        <w:rPr>
          <w:rFonts w:hint="eastAsia" w:ascii="宋体" w:hAnsi="宋体" w:cs="宋体"/>
          <w:b/>
          <w:sz w:val="28"/>
          <w:szCs w:val="28"/>
          <w:highlight w:val="none"/>
          <w:lang w:bidi="ar"/>
        </w:rPr>
        <w:t>供应商（加盖公章）：</w:t>
      </w:r>
    </w:p>
    <w:p>
      <w:pPr>
        <w:widowControl/>
        <w:spacing w:line="460" w:lineRule="exact"/>
        <w:ind w:firstLine="562" w:firstLineChars="200"/>
        <w:rPr>
          <w:rFonts w:hint="eastAsia" w:ascii="宋体" w:hAnsi="宋体" w:cs="宋体"/>
          <w:b/>
          <w:sz w:val="28"/>
          <w:szCs w:val="28"/>
          <w:highlight w:val="none"/>
        </w:rPr>
      </w:pPr>
      <w:r>
        <w:rPr>
          <w:rFonts w:hint="eastAsia" w:ascii="宋体" w:hAnsi="宋体" w:eastAsia="宋体" w:cs="宋体"/>
          <w:b/>
          <w:sz w:val="28"/>
          <w:szCs w:val="28"/>
          <w:highlight w:val="none"/>
          <w:lang w:bidi="ar"/>
        </w:rPr>
        <w:t>法定代表人（或授权委托人）：</w:t>
      </w:r>
      <w:r>
        <w:rPr>
          <w:rFonts w:hint="eastAsia" w:ascii="宋体" w:hAnsi="宋体" w:eastAsia="宋体" w:cs="宋体"/>
          <w:spacing w:val="-1"/>
          <w:sz w:val="30"/>
          <w:szCs w:val="30"/>
          <w:highlight w:val="none"/>
          <w:u w:val="single"/>
        </w:rPr>
        <w:tab/>
      </w:r>
      <w:r>
        <w:rPr>
          <w:rFonts w:hint="eastAsia" w:ascii="宋体" w:hAnsi="宋体" w:eastAsia="宋体" w:cs="宋体"/>
          <w:sz w:val="30"/>
          <w:szCs w:val="30"/>
          <w:highlight w:val="none"/>
          <w:u w:val="single"/>
        </w:rPr>
        <w:t>（签字）</w:t>
      </w:r>
      <w:r>
        <w:rPr>
          <w:rFonts w:hint="eastAsia" w:ascii="宋体" w:hAnsi="宋体" w:cs="宋体"/>
          <w:b/>
          <w:sz w:val="28"/>
          <w:szCs w:val="28"/>
          <w:highlight w:val="none"/>
          <w:lang w:bidi="ar"/>
        </w:rPr>
        <w:t xml:space="preserve">                 </w:t>
      </w:r>
    </w:p>
    <w:p>
      <w:pPr>
        <w:widowControl/>
        <w:spacing w:line="460" w:lineRule="exact"/>
        <w:ind w:firstLine="422" w:firstLineChars="150"/>
        <w:rPr>
          <w:rFonts w:hint="eastAsia" w:ascii="宋体" w:hAnsi="宋体" w:cs="宋体"/>
          <w:b/>
          <w:sz w:val="28"/>
          <w:szCs w:val="28"/>
          <w:highlight w:val="none"/>
        </w:rPr>
      </w:pPr>
      <w:r>
        <w:rPr>
          <w:rFonts w:hint="eastAsia" w:ascii="宋体" w:hAnsi="宋体" w:cs="宋体"/>
          <w:b/>
          <w:sz w:val="28"/>
          <w:szCs w:val="28"/>
          <w:highlight w:val="none"/>
          <w:lang w:bidi="ar"/>
        </w:rPr>
        <w:t xml:space="preserve"> 电    话：</w:t>
      </w:r>
    </w:p>
    <w:p>
      <w:pPr>
        <w:widowControl/>
        <w:spacing w:line="460" w:lineRule="exact"/>
        <w:ind w:firstLine="422" w:firstLineChars="150"/>
        <w:rPr>
          <w:rFonts w:hint="eastAsia" w:ascii="宋体" w:hAnsi="宋体" w:cs="宋体"/>
          <w:b/>
          <w:sz w:val="28"/>
          <w:szCs w:val="28"/>
          <w:highlight w:val="none"/>
        </w:rPr>
      </w:pPr>
      <w:r>
        <w:rPr>
          <w:rFonts w:hint="eastAsia" w:ascii="宋体" w:hAnsi="宋体" w:cs="宋体"/>
          <w:b/>
          <w:sz w:val="28"/>
          <w:szCs w:val="28"/>
          <w:highlight w:val="none"/>
          <w:lang w:bidi="ar"/>
        </w:rPr>
        <w:t xml:space="preserve"> 日</w:t>
      </w:r>
      <w:r>
        <w:rPr>
          <w:rFonts w:hint="eastAsia" w:ascii="宋体" w:hAnsi="宋体" w:cs="宋体"/>
          <w:b/>
          <w:sz w:val="28"/>
          <w:szCs w:val="28"/>
          <w:highlight w:val="none"/>
          <w:lang w:val="en-US" w:eastAsia="zh-CN" w:bidi="ar"/>
        </w:rPr>
        <w:t xml:space="preserve">    </w:t>
      </w:r>
      <w:r>
        <w:rPr>
          <w:rFonts w:hint="eastAsia" w:ascii="宋体" w:hAnsi="宋体" w:cs="宋体"/>
          <w:b/>
          <w:sz w:val="28"/>
          <w:szCs w:val="28"/>
          <w:highlight w:val="none"/>
          <w:lang w:bidi="ar"/>
        </w:rPr>
        <w:t>期：</w:t>
      </w:r>
    </w:p>
    <w:p>
      <w:pPr>
        <w:pStyle w:val="8"/>
        <w:kinsoku w:val="0"/>
        <w:overflowPunct w:val="0"/>
        <w:spacing w:before="4"/>
        <w:ind w:left="0"/>
        <w:jc w:val="center"/>
        <w:rPr>
          <w:rFonts w:hint="eastAsia" w:ascii="宋体" w:hAnsi="宋体" w:eastAsia="宋体" w:cs="宋体"/>
          <w:b/>
          <w:sz w:val="36"/>
          <w:szCs w:val="36"/>
          <w:highlight w:val="none"/>
        </w:rPr>
      </w:pPr>
    </w:p>
    <w:p>
      <w:pPr>
        <w:rPr>
          <w:rFonts w:hint="eastAsia"/>
          <w:highlight w:val="none"/>
        </w:rPr>
      </w:pPr>
    </w:p>
    <w:p>
      <w:pPr>
        <w:rPr>
          <w:rFonts w:hint="eastAsia" w:ascii="宋体" w:hAnsi="宋体" w:eastAsia="宋体" w:cs="宋体"/>
          <w:highlight w:val="none"/>
        </w:rPr>
      </w:pPr>
    </w:p>
    <w:p>
      <w:pPr>
        <w:pStyle w:val="8"/>
        <w:kinsoku w:val="0"/>
        <w:overflowPunct w:val="0"/>
        <w:spacing w:before="130" w:line="355" w:lineRule="auto"/>
        <w:ind w:right="7" w:firstLine="480"/>
        <w:jc w:val="center"/>
        <w:rPr>
          <w:rFonts w:hint="eastAsia" w:ascii="宋体" w:hAnsi="宋体" w:eastAsia="宋体" w:cs="宋体"/>
          <w:b/>
          <w:spacing w:val="4"/>
          <w:highlight w:val="none"/>
        </w:rPr>
      </w:pPr>
      <w:r>
        <w:rPr>
          <w:rFonts w:hint="eastAsia" w:ascii="宋体" w:hAnsi="宋体" w:eastAsia="宋体" w:cs="宋体"/>
          <w:highlight w:val="none"/>
        </w:rPr>
        <w:br w:type="page"/>
      </w:r>
      <w:r>
        <w:rPr>
          <w:rFonts w:hint="eastAsia" w:ascii="宋体" w:hAnsi="宋体" w:eastAsia="宋体" w:cs="宋体"/>
          <w:b/>
          <w:spacing w:val="4"/>
          <w:highlight w:val="none"/>
        </w:rPr>
        <w:t>目录</w:t>
      </w:r>
    </w:p>
    <w:p>
      <w:pPr>
        <w:pStyle w:val="8"/>
        <w:spacing w:before="0"/>
        <w:rPr>
          <w:rFonts w:hint="eastAsia" w:ascii="宋体" w:hAnsi="宋体" w:eastAsia="宋体" w:cs="宋体"/>
          <w:b/>
          <w:highlight w:val="none"/>
        </w:rPr>
      </w:pP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(1)投标函；</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 xml:space="preserve">(2)法定代表人身份证明（附法定代表人身份证复印件）； </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 xml:space="preserve">(3)委托授权书（附被授权人身份证复印件）； </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 xml:space="preserve">(4)投标保证金缴纳凭证（复印件加盖公章）； </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报价一览表；</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 xml:space="preserve">(6)投标报价汇总表； </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(7)供应商基本情况；</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1）供应商基本情况表；</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2）营业执照副本、税务登记证、组织机构代码证、（三证合一的提供统一社会信用代码的营业执照）、公司资质证书（复印件加盖公章）；</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3）近一年财务状况报告相关材料（复印件加盖公章）；</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4）税收缴纳证明（复印件加盖公章）</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5</w:t>
      </w:r>
      <w:r>
        <w:rPr>
          <w:rFonts w:hint="eastAsia" w:ascii="宋体" w:hAnsi="宋体" w:eastAsia="宋体" w:cs="宋体"/>
          <w:highlight w:val="none"/>
        </w:rPr>
        <w:t>）单位社会保障缴费证明（复印件加盖公章）</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w:t>
      </w:r>
      <w:r>
        <w:rPr>
          <w:rFonts w:hint="eastAsia" w:ascii="宋体" w:hAnsi="宋体" w:eastAsia="宋体" w:cs="宋体"/>
          <w:highlight w:val="none"/>
          <w:lang w:val="en-US" w:eastAsia="zh-CN"/>
        </w:rPr>
        <w:t>企业综合能力、体系认证和资质能力</w:t>
      </w:r>
      <w:r>
        <w:rPr>
          <w:rFonts w:hint="eastAsia" w:ascii="宋体" w:hAnsi="宋体" w:eastAsia="宋体" w:cs="宋体"/>
          <w:highlight w:val="none"/>
        </w:rPr>
        <w:t>（复印件加盖公章）</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7</w:t>
      </w:r>
      <w:r>
        <w:rPr>
          <w:rFonts w:hint="eastAsia" w:ascii="宋体" w:hAnsi="宋体" w:eastAsia="宋体" w:cs="宋体"/>
          <w:highlight w:val="none"/>
        </w:rPr>
        <w:t>）其他证明材料（复印件加盖公章）</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(8)</w:t>
      </w:r>
      <w:r>
        <w:rPr>
          <w:rFonts w:hint="eastAsia" w:ascii="宋体" w:hAnsi="宋体" w:eastAsia="宋体" w:cs="宋体"/>
          <w:highlight w:val="none"/>
          <w:lang w:eastAsia="zh-CN"/>
        </w:rPr>
        <w:t>人员配置</w:t>
      </w:r>
      <w:r>
        <w:rPr>
          <w:rFonts w:hint="eastAsia" w:ascii="宋体" w:hAnsi="宋体" w:eastAsia="宋体" w:cs="宋体"/>
          <w:highlight w:val="none"/>
        </w:rPr>
        <w:t xml:space="preserve">； </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 xml:space="preserve">(9)同类项目业绩介绍； </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(10)中小企业声明函（符合本声明函填写）；</w:t>
      </w:r>
    </w:p>
    <w:p>
      <w:pPr>
        <w:pStyle w:val="8"/>
        <w:spacing w:before="0"/>
        <w:ind w:left="0" w:firstLine="480" w:firstLineChars="200"/>
        <w:rPr>
          <w:rFonts w:hint="eastAsia" w:ascii="宋体" w:hAnsi="宋体" w:eastAsia="宋体" w:cs="宋体"/>
          <w:color w:val="FF0000"/>
          <w:highlight w:val="none"/>
        </w:rPr>
      </w:pPr>
      <w:r>
        <w:rPr>
          <w:rFonts w:hint="eastAsia" w:ascii="宋体" w:hAnsi="宋体" w:eastAsia="宋体" w:cs="宋体"/>
          <w:highlight w:val="none"/>
        </w:rPr>
        <w:t>(11)残疾人福利性单位声明函（符合本声明函填写） ；</w:t>
      </w:r>
    </w:p>
    <w:p>
      <w:pPr>
        <w:pStyle w:val="8"/>
        <w:spacing w:before="0"/>
        <w:ind w:leftChars="56" w:firstLine="240" w:firstLineChars="100"/>
        <w:rPr>
          <w:rFonts w:hint="eastAsia" w:ascii="宋体" w:hAnsi="宋体" w:eastAsia="宋体" w:cs="宋体"/>
          <w:highlight w:val="none"/>
        </w:rPr>
      </w:pPr>
      <w:r>
        <w:rPr>
          <w:rFonts w:hint="eastAsia" w:ascii="宋体" w:hAnsi="宋体" w:eastAsia="宋体" w:cs="宋体"/>
          <w:highlight w:val="none"/>
        </w:rPr>
        <w:t xml:space="preserve"> (12)缴纳招标代理服务费承诺书；</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(13)退还保证金说明函；</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(14)其他商务资格证明资料（格式自定）。</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(15)项目实施方案；</w:t>
      </w: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(16)供应商认为需要提交的技术资料；</w:t>
      </w:r>
    </w:p>
    <w:p>
      <w:pPr>
        <w:pStyle w:val="8"/>
        <w:spacing w:before="0"/>
        <w:ind w:left="0" w:firstLine="480" w:firstLineChars="200"/>
        <w:rPr>
          <w:rFonts w:hint="eastAsia" w:ascii="宋体" w:hAnsi="宋体" w:eastAsia="宋体" w:cs="宋体"/>
          <w:highlight w:val="none"/>
        </w:rPr>
      </w:pPr>
    </w:p>
    <w:p>
      <w:pPr>
        <w:pStyle w:val="8"/>
        <w:spacing w:before="0"/>
        <w:ind w:left="0" w:firstLine="480" w:firstLineChars="200"/>
        <w:rPr>
          <w:rFonts w:hint="eastAsia" w:ascii="宋体" w:hAnsi="宋体" w:eastAsia="宋体" w:cs="宋体"/>
          <w:highlight w:val="none"/>
        </w:rPr>
      </w:pPr>
    </w:p>
    <w:p>
      <w:pPr>
        <w:pStyle w:val="8"/>
        <w:spacing w:before="0"/>
        <w:ind w:left="0" w:firstLine="480" w:firstLineChars="200"/>
        <w:rPr>
          <w:rFonts w:hint="eastAsia" w:ascii="宋体" w:hAnsi="宋体" w:eastAsia="宋体" w:cs="宋体"/>
          <w:highlight w:val="none"/>
        </w:rPr>
      </w:pPr>
      <w:r>
        <w:rPr>
          <w:rFonts w:hint="eastAsia" w:ascii="宋体" w:hAnsi="宋体" w:eastAsia="宋体" w:cs="宋体"/>
          <w:highlight w:val="none"/>
        </w:rPr>
        <w:t>注：1.请投标供应商按照文件的要求格式、内容，顺序制作投标文件，并请编制目录及页码，否则可能将影响对投标文件的评价。</w:t>
      </w:r>
    </w:p>
    <w:p>
      <w:pPr>
        <w:rPr>
          <w:rFonts w:hint="eastAsia" w:ascii="宋体" w:hAnsi="宋体" w:eastAsia="宋体" w:cs="宋体"/>
          <w:highlight w:val="none"/>
        </w:rPr>
      </w:pPr>
      <w:r>
        <w:rPr>
          <w:rFonts w:hint="eastAsia" w:ascii="宋体" w:hAnsi="宋体" w:eastAsia="宋体" w:cs="宋体"/>
          <w:highlight w:val="none"/>
        </w:rPr>
        <w:br w:type="page"/>
      </w:r>
    </w:p>
    <w:p>
      <w:pPr>
        <w:pStyle w:val="8"/>
        <w:kinsoku w:val="0"/>
        <w:overflowPunct w:val="0"/>
        <w:spacing w:before="130" w:line="355" w:lineRule="auto"/>
        <w:ind w:right="7" w:firstLine="480"/>
        <w:jc w:val="center"/>
        <w:outlineLvl w:val="1"/>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一、投标函</w:t>
      </w:r>
    </w:p>
    <w:p>
      <w:pPr>
        <w:spacing w:line="480" w:lineRule="exact"/>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致：</w:t>
      </w:r>
      <w:r>
        <w:rPr>
          <w:rFonts w:hint="eastAsia" w:ascii="宋体" w:hAnsi="宋体" w:eastAsia="宋体" w:cs="宋体"/>
          <w:kern w:val="0"/>
          <w:sz w:val="24"/>
          <w:szCs w:val="24"/>
          <w:highlight w:val="none"/>
          <w:u w:val="single"/>
        </w:rPr>
        <w:t xml:space="preserve">                     </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为响应你方组织的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项目的招标[项目编号为：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]，我方愿参与投标。</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我方确认收到贵方提供的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磋商文件的全部内容。</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方在参与投标前已详细研究了招标文件的所有内容，包括澄清、修改文件（如果有）和所有已提供的参考资料以及有关附件，我方完全明白并认为此招标文件没有倾向性，也不存在排斥潜在报价供应商的内容，我方同意招标文件的相关条款，放弃对招标文件提出误解和质疑的一切权力。</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      (磋商供应商名称)      </w:t>
      </w:r>
      <w:r>
        <w:rPr>
          <w:rFonts w:hint="eastAsia" w:ascii="宋体" w:hAnsi="宋体" w:eastAsia="宋体" w:cs="宋体"/>
          <w:kern w:val="0"/>
          <w:sz w:val="24"/>
          <w:szCs w:val="24"/>
          <w:highlight w:val="none"/>
        </w:rPr>
        <w:t>作为投标供应商正式授权</w:t>
      </w:r>
      <w:r>
        <w:rPr>
          <w:rFonts w:hint="eastAsia" w:ascii="宋体" w:hAnsi="宋体" w:eastAsia="宋体" w:cs="宋体"/>
          <w:kern w:val="0"/>
          <w:sz w:val="24"/>
          <w:szCs w:val="24"/>
          <w:highlight w:val="none"/>
          <w:u w:val="single"/>
        </w:rPr>
        <w:t xml:space="preserve">  (授权代表全名, 职务)  </w:t>
      </w:r>
      <w:r>
        <w:rPr>
          <w:rFonts w:hint="eastAsia" w:ascii="宋体" w:hAnsi="宋体" w:eastAsia="宋体" w:cs="宋体"/>
          <w:kern w:val="0"/>
          <w:sz w:val="24"/>
          <w:szCs w:val="24"/>
          <w:highlight w:val="none"/>
        </w:rPr>
        <w:t>代表我方全权处理有关本报价的一切事宜。</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在此提交的投标文件，正本壹份，副本</w:t>
      </w:r>
      <w:r>
        <w:rPr>
          <w:rFonts w:hint="eastAsia" w:ascii="宋体" w:hAnsi="宋体" w:cs="宋体"/>
          <w:kern w:val="0"/>
          <w:sz w:val="24"/>
          <w:szCs w:val="24"/>
          <w:highlight w:val="none"/>
          <w:lang w:eastAsia="zh-CN"/>
        </w:rPr>
        <w:t>肆</w:t>
      </w:r>
      <w:r>
        <w:rPr>
          <w:rFonts w:hint="eastAsia" w:ascii="宋体" w:hAnsi="宋体" w:eastAsia="宋体" w:cs="宋体"/>
          <w:kern w:val="0"/>
          <w:sz w:val="24"/>
          <w:szCs w:val="24"/>
          <w:highlight w:val="none"/>
        </w:rPr>
        <w:t>份。</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我方已完全明白招标文件的所有条款要求，并申明如下：</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（一）按招标文件提供的全部货物与相关服务</w:t>
      </w:r>
      <w:r>
        <w:rPr>
          <w:rFonts w:hint="eastAsia" w:ascii="宋体" w:hAnsi="宋体" w:cs="宋体"/>
          <w:kern w:val="0"/>
          <w:sz w:val="24"/>
          <w:szCs w:val="24"/>
          <w:highlight w:val="none"/>
          <w:lang w:val="en-US" w:eastAsia="zh-CN"/>
        </w:rPr>
        <w:t xml:space="preserve"> </w:t>
      </w:r>
      <w:r>
        <w:rPr>
          <w:rFonts w:hint="eastAsia" w:ascii="宋体" w:hAnsi="宋体" w:eastAsia="宋体" w:cs="宋体"/>
          <w:kern w:val="0"/>
          <w:sz w:val="24"/>
          <w:szCs w:val="24"/>
          <w:highlight w:val="none"/>
        </w:rPr>
        <w:t>的投标总价详见《报价一览表》。</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（二）本投标文件的有效期为投标截止时间起</w:t>
      </w:r>
      <w:r>
        <w:rPr>
          <w:rFonts w:hint="eastAsia" w:ascii="宋体" w:hAnsi="宋体" w:cs="宋体"/>
          <w:kern w:val="0"/>
          <w:sz w:val="24"/>
          <w:szCs w:val="24"/>
          <w:highlight w:val="none"/>
          <w:u w:val="single"/>
          <w:lang w:val="en-US" w:eastAsia="zh-CN"/>
        </w:rPr>
        <w:t>9</w:t>
      </w:r>
      <w:r>
        <w:rPr>
          <w:rFonts w:hint="eastAsia" w:ascii="宋体" w:hAnsi="宋体" w:eastAsia="宋体" w:cs="宋体"/>
          <w:kern w:val="0"/>
          <w:sz w:val="24"/>
          <w:szCs w:val="24"/>
          <w:highlight w:val="none"/>
          <w:u w:val="single"/>
        </w:rPr>
        <w:t>0天</w:t>
      </w:r>
      <w:r>
        <w:rPr>
          <w:rFonts w:hint="eastAsia" w:ascii="宋体" w:hAnsi="宋体" w:eastAsia="宋体" w:cs="宋体"/>
          <w:kern w:val="0"/>
          <w:sz w:val="24"/>
          <w:szCs w:val="24"/>
          <w:highlight w:val="none"/>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（三）我方明白并同意，在规定的开标日之后，投标有效期之内撤回投标或中标后不按规定与采购人签订合同或不提交履约保证金, 则贵方将不予退还投标保证金。</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（四）我方同意按照贵方可能提出的要求而提供与投标有关的任何其它数据、信息或资料。</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（五）我方理解贵方不一定接受最低投标价或任何贵方可能收到的投标。</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（六）我方如果中标，将保证履行招标文件及其澄清、修改文件（如果有）中的全部责任和义务，按质、按量、按期完成《磋商内容》及《合同书》中的全部任务。</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（七）如我方被授予合同，我方承诺支付就本次招标应支付或将支付的中标服务费（详见按招标文件要求格式填写的《中标服务费支付承诺书》）。</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（八）我方作为</w:t>
      </w:r>
      <w:r>
        <w:rPr>
          <w:rFonts w:hint="eastAsia" w:ascii="宋体" w:hAnsi="宋体" w:eastAsia="宋体" w:cs="宋体"/>
          <w:kern w:val="0"/>
          <w:sz w:val="24"/>
          <w:szCs w:val="24"/>
          <w:highlight w:val="none"/>
          <w:u w:val="single"/>
        </w:rPr>
        <w:t xml:space="preserve">   （制造商/代理商）   </w:t>
      </w:r>
      <w:r>
        <w:rPr>
          <w:rFonts w:hint="eastAsia" w:ascii="宋体" w:hAnsi="宋体" w:eastAsia="宋体" w:cs="宋体"/>
          <w:kern w:val="0"/>
          <w:sz w:val="24"/>
          <w:szCs w:val="24"/>
          <w:highlight w:val="none"/>
        </w:rPr>
        <w:t>是在法律、财务和运作上独立于采购人、招标代理机构的投标供应商，在此保证所提交的所有文件和全部说明是真实的和正确的。</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（九）我方投标报价已包含应向知识产权所有权人支付的所有相关税费，并保证采购人在中国使用我方提供的货物时，如有第三方提出侵犯其知识产权主张的，责任由我方承担。</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（十）我方与其他投标供应商不存在单位负责人为同一人或者存在直接控股、管理关系。</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（十一）我方承诺未为本项目提供整体设计、规范编制或者项目管理、监理、检测等服务。</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（十二）我方具备《政府采购法》第二十二条规定的条件，承诺如下：</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（1）我方已依法缴纳了各项税费及社会保险费用，如有需要，可随时向采购人提供近三个月内的相关缴费证明，以便核查。</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（2）我方已依法建立健全的财务会计制度，如有需要，可随时向采购人提供相关的证明材料，以便核查。</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（3）我方参加本项目政府采购活动前3年内在经营活动中没有重大违法记录。</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（4）我方具备履行合同所必需的设备和专业技术能力。</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（5）我方符合法律、行政法规规定的其他条件。</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以上内容如有虚假或与事实不符的，评审委员会可将我方做无效投标处理，我方愿意承担相应的法律责任。</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（十三）我方对在本函及投标文件中所作的所有承诺承担法律责任。</w:t>
      </w:r>
    </w:p>
    <w:p>
      <w:pPr>
        <w:spacing w:line="48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（十四）所有与本招标有关的函件请发往下列地址：</w:t>
      </w:r>
    </w:p>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.邮政编码：</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电    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传    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代表姓名：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.职    务：</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pPr>
        <w:rPr>
          <w:rFonts w:hint="eastAsia" w:ascii="宋体" w:hAnsi="宋体" w:eastAsia="宋体" w:cs="宋体"/>
          <w:color w:val="000000"/>
          <w:szCs w:val="21"/>
          <w:highlight w:val="none"/>
          <w:u w:val="single"/>
        </w:rPr>
      </w:pPr>
    </w:p>
    <w:p>
      <w:pPr>
        <w:spacing w:line="420" w:lineRule="exact"/>
        <w:ind w:firstLine="480" w:firstLineChars="200"/>
        <w:rPr>
          <w:rFonts w:hint="eastAsia" w:ascii="宋体" w:hAnsi="宋体" w:eastAsia="宋体" w:cs="宋体"/>
          <w:kern w:val="0"/>
          <w:sz w:val="24"/>
          <w:szCs w:val="24"/>
          <w:highlight w:val="none"/>
        </w:rPr>
      </w:pPr>
    </w:p>
    <w:p>
      <w:pPr>
        <w:spacing w:line="420" w:lineRule="exact"/>
        <w:ind w:right="480"/>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供应商：</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（公章） </w:t>
      </w:r>
    </w:p>
    <w:p>
      <w:pPr>
        <w:wordWrap w:val="0"/>
        <w:spacing w:line="420" w:lineRule="exact"/>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法定代表人或委托人：</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（签字）    </w:t>
      </w:r>
    </w:p>
    <w:p>
      <w:pPr>
        <w:spacing w:line="420" w:lineRule="exact"/>
        <w:ind w:right="480" w:firstLine="5280" w:firstLineChars="2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8"/>
        <w:kinsoku w:val="0"/>
        <w:overflowPunct w:val="0"/>
        <w:spacing w:before="34" w:line="357" w:lineRule="auto"/>
        <w:ind w:right="126" w:firstLine="480"/>
        <w:jc w:val="center"/>
        <w:outlineLvl w:val="1"/>
        <w:rPr>
          <w:rFonts w:hint="eastAsia" w:ascii="宋体" w:hAnsi="宋体" w:eastAsia="宋体" w:cs="宋体"/>
          <w:sz w:val="36"/>
          <w:szCs w:val="36"/>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二、法定代表人身份证明</w:t>
      </w:r>
    </w:p>
    <w:p>
      <w:pPr>
        <w:spacing w:line="420" w:lineRule="exact"/>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投标单位名称：</w:t>
      </w:r>
      <w:r>
        <w:rPr>
          <w:rFonts w:hint="eastAsia" w:ascii="宋体" w:hAnsi="宋体" w:eastAsia="宋体" w:cs="宋体"/>
          <w:kern w:val="0"/>
          <w:sz w:val="24"/>
          <w:szCs w:val="24"/>
          <w:highlight w:val="none"/>
          <w:u w:val="single"/>
        </w:rPr>
        <w:t xml:space="preserve">                       </w:t>
      </w:r>
    </w:p>
    <w:p>
      <w:pPr>
        <w:spacing w:line="420" w:lineRule="exact"/>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单位性质：</w:t>
      </w:r>
      <w:r>
        <w:rPr>
          <w:rFonts w:hint="eastAsia" w:ascii="宋体" w:hAnsi="宋体" w:eastAsia="宋体" w:cs="宋体"/>
          <w:kern w:val="0"/>
          <w:sz w:val="24"/>
          <w:szCs w:val="24"/>
          <w:highlight w:val="none"/>
          <w:u w:val="single"/>
        </w:rPr>
        <w:t xml:space="preserve">                           </w:t>
      </w:r>
    </w:p>
    <w:p>
      <w:pPr>
        <w:spacing w:line="420" w:lineRule="exact"/>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rPr>
        <w:t xml:space="preserve">                               </w:t>
      </w:r>
    </w:p>
    <w:p>
      <w:pPr>
        <w:spacing w:line="42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成立时间：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spacing w:line="420" w:lineRule="exact"/>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经营期限：</w:t>
      </w:r>
      <w:r>
        <w:rPr>
          <w:rFonts w:hint="eastAsia" w:ascii="宋体" w:hAnsi="宋体" w:eastAsia="宋体" w:cs="宋体"/>
          <w:kern w:val="0"/>
          <w:sz w:val="24"/>
          <w:szCs w:val="24"/>
          <w:highlight w:val="none"/>
          <w:u w:val="single"/>
        </w:rPr>
        <w:t xml:space="preserve">             </w:t>
      </w:r>
    </w:p>
    <w:p>
      <w:pPr>
        <w:spacing w:line="420" w:lineRule="exact"/>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pPr>
        <w:spacing w:line="42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身份证号码：</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（投标单位名称）的法定代表人。</w:t>
      </w:r>
    </w:p>
    <w:p>
      <w:pPr>
        <w:spacing w:line="420" w:lineRule="exact"/>
        <w:ind w:firstLine="960" w:firstLineChars="4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pPr>
        <w:pStyle w:val="8"/>
        <w:kinsoku w:val="0"/>
        <w:overflowPunct w:val="0"/>
        <w:spacing w:before="0"/>
        <w:ind w:left="0"/>
        <w:rPr>
          <w:rFonts w:hint="eastAsia" w:ascii="宋体" w:hAnsi="宋体" w:eastAsia="宋体" w:cs="宋体"/>
          <w:sz w:val="20"/>
          <w:szCs w:val="20"/>
          <w:highlight w:val="none"/>
        </w:rPr>
      </w:pPr>
    </w:p>
    <w:p>
      <w:pPr>
        <w:pStyle w:val="8"/>
        <w:kinsoku w:val="0"/>
        <w:overflowPunct w:val="0"/>
        <w:spacing w:before="7"/>
        <w:ind w:left="0"/>
        <w:rPr>
          <w:rFonts w:hint="eastAsia" w:ascii="宋体" w:hAnsi="宋体" w:eastAsia="宋体" w:cs="宋体"/>
          <w:sz w:val="25"/>
          <w:szCs w:val="25"/>
          <w:highlight w:val="none"/>
        </w:rPr>
      </w:pPr>
    </w:p>
    <w:p>
      <w:pPr>
        <w:pStyle w:val="8"/>
        <w:kinsoku w:val="0"/>
        <w:overflowPunct w:val="0"/>
        <w:spacing w:before="0" w:line="200" w:lineRule="atLeast"/>
        <w:ind w:left="608"/>
        <w:rPr>
          <w:rFonts w:hint="eastAsia" w:ascii="宋体" w:hAnsi="宋体" w:eastAsia="宋体" w:cs="宋体"/>
          <w:sz w:val="20"/>
          <w:szCs w:val="20"/>
          <w:highlight w:val="none"/>
        </w:rPr>
      </w:pPr>
      <w:r>
        <w:rPr>
          <w:rFonts w:hint="eastAsia" w:ascii="宋体" w:hAnsi="宋体" w:eastAsia="宋体" w:cs="宋体"/>
          <w:sz w:val="20"/>
          <w:szCs w:val="20"/>
          <w:highlight w:val="none"/>
        </w:rPr>
        <mc:AlternateContent>
          <mc:Choice Requires="wpg">
            <w:drawing>
              <wp:inline distT="0" distB="0" distL="114300" distR="114300">
                <wp:extent cx="5136515" cy="1458595"/>
                <wp:effectExtent l="0" t="0" r="8255" b="9525"/>
                <wp:docPr id="120" name="组合 120"/>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108" name="任意多边形 108"/>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109" name="任意多边形 109"/>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110" name="任意多边形 110"/>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111" name="任意多边形 111"/>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112" name="任意多边形 112"/>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113" name="任意多边形 113"/>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114" name="任意多边形 114"/>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15" name="任意多边形 115"/>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16" name="任意多边形 116"/>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17" name="任意多边形 117"/>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118" name="文本框 118"/>
                        <wps:cNvSpPr txBox="1"/>
                        <wps:spPr>
                          <a:xfrm>
                            <a:off x="19" y="19"/>
                            <a:ext cx="4025" cy="2258"/>
                          </a:xfrm>
                          <a:prstGeom prst="rect">
                            <a:avLst/>
                          </a:prstGeom>
                          <a:noFill/>
                          <a:ln>
                            <a:noFill/>
                          </a:ln>
                        </wps:spPr>
                        <wps:txbx>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13"/>
                                <w:ind w:left="0"/>
                                <w:rPr>
                                  <w:sz w:val="28"/>
                                  <w:szCs w:val="28"/>
                                </w:rPr>
                              </w:pPr>
                            </w:p>
                            <w:p>
                              <w:pPr>
                                <w:pStyle w:val="8"/>
                                <w:kinsoku w:val="0"/>
                                <w:overflowPunct w:val="0"/>
                                <w:spacing w:before="0"/>
                                <w:ind w:left="107"/>
                              </w:pPr>
                              <w:r>
                                <w:rPr>
                                  <w:rFonts w:hint="eastAsia"/>
                                </w:rPr>
                                <w:t>法定代表人身份证复印件（正面）</w:t>
                              </w:r>
                            </w:p>
                          </w:txbxContent>
                        </wps:txbx>
                        <wps:bodyPr lIns="0" tIns="0" rIns="0" bIns="0" upright="1"/>
                      </wps:wsp>
                      <wps:wsp>
                        <wps:cNvPr id="119" name="文本框 119"/>
                        <wps:cNvSpPr txBox="1"/>
                        <wps:spPr>
                          <a:xfrm>
                            <a:off x="4044" y="19"/>
                            <a:ext cx="4025" cy="2258"/>
                          </a:xfrm>
                          <a:prstGeom prst="rect">
                            <a:avLst/>
                          </a:prstGeom>
                          <a:noFill/>
                          <a:ln>
                            <a:noFill/>
                          </a:ln>
                        </wps:spPr>
                        <wps:txbx>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13"/>
                                <w:ind w:left="0"/>
                                <w:rPr>
                                  <w:sz w:val="28"/>
                                  <w:szCs w:val="28"/>
                                </w:rPr>
                              </w:pPr>
                            </w:p>
                            <w:p>
                              <w:pPr>
                                <w:pStyle w:val="8"/>
                                <w:kinsoku w:val="0"/>
                                <w:overflowPunct w:val="0"/>
                                <w:spacing w:before="0"/>
                                <w:ind w:left="107"/>
                              </w:pPr>
                              <w:r>
                                <w:rPr>
                                  <w:rFonts w:hint="eastAsia"/>
                                </w:rPr>
                                <w:t>法定代表人身份证复印件（反面）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OqGQq6xBAAAPyEAAA4AAABkcnMvZTJvRG9jLnhtbO1azY7j&#10;RBC+I/EOLd+Z2I6TSazJrASzO0JawYpdHqBjt2ML2211dyaZ+wr2BicOiAuIIy+ARvA0zMBjUFVt&#10;529kSDYMO0LOISm7293VVV+Xv+rK2ZNlkbMroXQmy4njnbgOE2Uk46ycTZzPXz37YOQwbXgZ81yW&#10;YuJcC+08OX//vbNFFQpfpjKPhWIwSKnDRTVxUmOqsNfTUSoKrk9kJUpoTKQquIFLNevFii9g9CLv&#10;+a477C2kiislI6E13L2wjU49otpnQJkkWSQuZDQvRGnsqErk3MCSdJpV2jknbZNERObTJNHCsHzi&#10;wEoNfcMkIE/xu3d+xsOZ4lWaRbUKfB8VdtZU8KyESVdDXXDD2Vxl94YqskhJLRNzEsmiZxdCFoFV&#10;eO6ObS6VnFe0llm4mFUro4Ojdqz+1sNGn1y9UCyLAQk+2KTkBbj8j5vXt9+8YXgH7LOoZiF0u1TV&#10;y+qFsosE8bmMvtCslJ9JMKqHHXu7PfF6tn5smagCH4dVsyW54HrlArE0LIKbA68/HHgDh0XQ5gWD&#10;0WA8sE6KUvDkveei9Gn95Mgdje1jvj8+JX14aKckxVaKLCoArl5bUx9nzZcprwQ5SaOZGmu6sI2s&#10;NX+/ubl7/fXtT9/9+dsvt7/+yDxoIrNSf7RpfaVr8+7YKXAY2GJsrdDYaeSeNqslJ/WatfIwmmtz&#10;KSSZml891waGB2DGjcTTRoqWZSNW3OBt7IkiW0wcO0U6cQAGeL+QV+KVpB5mxw8w+7o1Lzd7wShg&#10;icbR0NE2g4DzAGisQHODvKl8KZ9leU7a5yVqNHTHQ3Axh6iTwG4HsagAubqckYJa5lmMj6COWs2m&#10;H+WKXXHc+fSpMbHVrVLaXHCd2n7UZA2dCh4/LWNmrivYESWEQgdVKETssFxA5ESJdDM8y/fpSWun&#10;XaJD62pE4lTG14CZeaWyWbqxkwijuPn+E7ACltrASsBDNQDc/wxW36LVJ4jzcA3XwKs358PBFac4&#10;Hq4BhMEOrrQx8/JxwtVbvanuxVZogk15MFz9Ib0xOsB28fUoatVCBjyITC3xFZoOAWwdXv3R0L58&#10;1gG24wMdH8AE7KBUoA2vfjte/YPwCsQCXqbBNlgx00B+7/ujbaK+zf+OIa84BXIBnOHtyaulAjAI&#10;7TYicMhta866Ejry+i7Jq9dvB2v/ILACa0W0AoclYt/E1jVcAyLD4P4mRdtMV/4VuMIMx8M1IPbd&#10;wRVPJB5druXBK7yNCxDw9iavgduv6UArYPsPDliY4XjA9jvA4sHII8224DSuDbB0NncAYAcQq/82&#10;wnaA7U6z9j4fb2OvkMS2AZaI3N6AHbkDS2D7RCTWxwNrStABtgPs0YA9bQcsJUgHALY+bQeW0cJh&#10;oQO0PCSHhRmOpwSnTWbY1QseIYddFbfuvv3q7vuf7374knkeAWsDqswsP5RQ01udcLUUuDwbY+Fn&#10;C7KB69d1QN8f7IIW6zZY5GIoTBwFhV4CXZOEYYped0EsbpWStm5QlnSPeJnldAnK4GLqAk3+cQmF&#10;QjgQMI2gGmHaCO+2iINmtK+9Tafslm/2dUrgBja5+P+6hcrCUFenaFj/BwAL95vXhIz1/x7O/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gBwAA&#10;W0NvbnRlbnRfVHlwZXNdLnhtbFBLAQIUAAoAAAAAAIdO4kAAAAAAAAAAAAAAAAAGAAAAAAAAAAAA&#10;EAAAAAIGAABfcmVscy9QSwECFAAUAAAACACHTuJAihRmPNEAAACUAQAACwAAAAAAAAABACAAAAAm&#10;BgAAX3JlbHMvLnJlbHNQSwECFAAKAAAAAACHTuJAAAAAAAAAAAAAAAAABAAAAAAAAAAAABAAAAAA&#10;AAAAZHJzL1BLAQIUABQAAAAIAIdO4kCX+X3P1gAAAAUBAAAPAAAAAAAAAAEAIAAAACIAAABkcnMv&#10;ZG93bnJldi54bWxQSwECFAAUAAAACACHTuJA6oZCrrEEAAA/IQAADgAAAAAAAAABACAAAAAlAQAA&#10;ZHJzL2Uyb0RvYy54bWxQSwUGAAAAAAYABgBZAQAASAgAAAAA&#10;">
                <o:lock v:ext="edit" rotation="t" aspectratio="f"/>
                <v:shape id="_x0000_s1026" o:spid="_x0000_s1026" o:spt="100" style="position:absolute;left:4;top:9;height:20;width:8079;" filled="f" stroked="t" coordsize="8079,20" o:gfxdata="UEsDBAoAAAAAAIdO4kAAAAAAAAAAAAAAAAAEAAAAZHJzL1BLAwQUAAAACACHTuJAe8omSb4AAADc&#10;AAAADwAAAGRycy9kb3ducmV2LnhtbEWPT2vDMAzF74N9B6NCb6vdQMfI6vZQuj90p3U77ChiJQ6N&#10;5WB7bfrtq8NgN4n39N5P6+0UBnWmlPvIFpYLA4q4ia7nzsL318vDE6hckB0OkcnClTJsN/d3a6xd&#10;vPAnnY+lUxLCuUYLvpSx1jo3ngLmRRyJRWtjClhkTZ12CS8SHgZdGfOoA/YsDR5H2nlqTsffYOGj&#10;batTMtVh9fq2R5xWfffjd9bOZ0vzDKrQVP7Nf9fvTvCN0MozMoHe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8omSb4A&#10;AADcAAAADwAAAAAAAAABACAAAAAiAAAAZHJzL2Rvd25yZXYueG1sUEsBAhQAFAAAAAgAh07iQDMv&#10;BZ47AAAAOQAAABAAAAAAAAAAAQAgAAAADQEAAGRycy9zaGFwZXhtbC54bWxQSwUGAAAAAAYABgBb&#10;AQAAtwM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RzdCdrsAAADc&#10;AAAADwAAAGRycy9kb3ducmV2LnhtbEVPzWrCQBC+C77DMkJvuhuhpaZucqgUxNJDow8wZMckJDsb&#10;drca+/TdguBtPr7f2ZaTHcSFfOgca8hWCgRx7UzHjYbT8WP5CiJEZIODY9JwowBlMZ9tMTfuyt90&#10;qWIjUgiHHDW0MY65lKFuyWJYuZE4cWfnLcYEfSONx2sKt4NcK/UiLXacGloc6b2luq9+rIad98cv&#10;OZ6r38PnzmWN6p83U6/10yJTbyAiTfEhvrv3Js1XG/h/Jl0g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zdCdrsAAADc&#10;AAAADwAAAAAAAAABACAAAAAiAAAAZHJzL2Rvd25yZXYueG1sUEsBAhQAFAAAAAgAh07iQDMvBZ47&#10;AAAAOQAAABAAAAAAAAAAAQAgAAAACgEAAGRycy9zaGFwZXhtbC54bWxQSwUGAAAAAAYABgBbAQAA&#10;tAM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U9R9Nr4AAADc&#10;AAAADwAAAGRycy9kb3ducmV2LnhtbEWPQWvDMAyF74X9B6PCbq2dwcqa1u2hZTA2eljaHyBiNQmJ&#10;5WB7bbZfPx0Gu0m8p/c+bfeTH9SNYuoCWyiWBhRxHVzHjYXL+XXxAiplZIdDYLLwTQn2u4fZFksX&#10;7vxJtyo3SkI4lWihzXkstU51Sx7TMozEol1D9JhljY12Ee8S7gf9ZMxKe+xYGloc6dBS3Vdf3sIx&#10;xvNJj9fq5/3jGIrG9M/rqbf2cV6YDahMU/43/12/OcEvBF+ekQn0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9R9Nr4A&#10;AADcAAAADwAAAAAAAAABACAAAAAiAAAAZHJzL2Rvd25yZXYueG1sUEsBAhQAFAAAAAgAh07iQDMv&#10;BZ47AAAAOQAAABAAAAAAAAAAAQAgAAAADQEAAGRycy9zaGFwZXhtbC54bWxQSwUGAAAAAAYABgBb&#10;AQAAtwM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bykZCbsAAADc&#10;AAAADwAAAGRycy9kb3ducmV2LnhtbEVPTWsCMRC9F/wPYYTearILimyNHqStpZ7UHnocNrObxc1k&#10;SaJu/31TELzN433OajO6XlwpxM6zhmKmQBDX3nTcavg+vb8sQcSEbLD3TBp+KcJmPXlaYWX8jQ90&#10;PaZW5BCOFWqwKQ2VlLG25DDO/ECcucYHhynD0EoT8JbDXS9LpRbSYce5weJAW0v1+XhxGvZNU56D&#10;Kr/mH7s3xHHetT92q/XztFCvIBKN6SG+uz9Nnl8U8P9Mvk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ykZCbsAAADc&#10;AAAADwAAAAAAAAABACAAAAAiAAAAZHJzL2Rvd25yZXYueG1sUEsBAhQAFAAAAAgAh07iQDMvBZ47&#10;AAAAOQAAABAAAAAAAAAAAQAgAAAACgEAAGRycy9zaGFwZXhtbC54bWxQSwUGAAAAAAYABgBbAQAA&#10;tAM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GPtzx7sAAADc&#10;AAAADwAAAGRycy9kb3ducmV2LnhtbEVPTWsCMRC9F/wPYYReiiYrtKyr0YNYEDx1q/dhM24WN5M1&#10;SdX665tCobd5vM9Zru+uF1cKsfOsoZgqEMSNNx23Gg6f75MSREzIBnvPpOGbIqxXo6clVsbf+IOu&#10;dWpFDuFYoQab0lBJGRtLDuPUD8SZO/ngMGUYWmkC3nK46+VMqTfpsOPcYHGgjaXmXH85DY/Ty+51&#10;a3FbN+VR7cv55oKh1vp5XKgFiET39C/+c+9Mnl/M4PeZfIFc/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Ptzx7sAAADc&#10;AAAADwAAAAAAAAABACAAAAAiAAAAZHJzL2Rvd25yZXYueG1sUEsBAhQAFAAAAAgAh07iQDMvBZ47&#10;AAAAOQAAABAAAAAAAAAAAQAgAAAACgEAAGRycy9zaGFwZXhtbC54bWxQSwUGAAAAAAYABgBbAQAA&#10;tAM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45lnMr4AAADc&#10;AAAADwAAAGRycy9kb3ducmV2LnhtbEVPS2vCQBC+C/6HZYRepG5SS6mpaygtQg4Fnwd7G7JjEpud&#10;Ddk1if++KxR6m4/vOct0MLXoqHWVZQXxLAJBnFtdcaHgeFg/voJwHlljbZkU3MhBuhqPlpho2/OO&#10;ur0vRAhhl6CC0vsmkdLlJRl0M9sQB+5sW4M+wLaQusU+hJtaPkXRizRYcWgosaGPkvKf/dUo6LNP&#10;WR39Jp8Wu6/D8+L03ly+t0o9TOLoDYSnwf+L/9yZDvPjOdyfCRfI1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5lnMr4A&#10;AADcAAAADwAAAAAAAAABACAAAAAiAAAAZHJzL2Rvd25yZXYueG1sUEsBAhQAFAAAAAgAh07iQDMv&#10;BZ47AAAAOQAAABAAAAAAAAAAAQAgAAAADQEAAGRycy9zaGFwZXhtbC54bWxQSwUGAAAAAAYABgBb&#10;AQAAtwM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bJBF3LgAAADc&#10;AAAADwAAAGRycy9kb3ducmV2LnhtbEVPS4vCMBC+L/gfwgje1rS+kGoUKQieFnzdh2Zsis2kTeJj&#10;//1mYWFv8/E9Z71921Y8yYfGsYJ8nIEgrpxuuFZwOe8/lyBCRNbYOiYF3xRguxl8rLHQ7sVHep5i&#10;LVIIhwIVmBi7QspQGbIYxq4jTtzNeYsxQV9L7fGVwm0rJ1m2kBYbTg0GOyoNVffTwyrwVSh1P+3N&#10;tey/rrzDzi2mc6VGwzxbgYj0jv/iP/dBp/n5DH6fSRfIzQ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JBF3LgAAADcAAAA&#10;DwAAAAAAAAABACAAAAAiAAAAZHJzL2Rvd25yZXYueG1sUEsBAhQAFAAAAAgAh07iQDMvBZ47AAAA&#10;OQAAABAAAAAAAAAAAQAgAAAABwEAAGRycy9zaGFwZXhtbC54bWxQSwUGAAAAAAYABgBbAQAAsQMA&#10;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A9zgR7kAAADc&#10;AAAADwAAAGRycy9kb3ducmV2LnhtbEVPyWrDMBC9F/IPYgK91bIbHIJjJRRDoKdA3eY+WBPL1BrZ&#10;krL9fVUo9DaPt069v9tRXMmHwbGCIstBEHdOD9wr+Po8vGxAhIiscXRMCh4UYL9bPNVYaXfjD7q2&#10;sRcphEOFCkyMUyVl6AxZDJmbiBN3dt5iTND3Unu8pXA7ytc8X0uLA6cGgxM1hrrv9mIV+C40el7N&#10;5tTMxxO/4eTWq1Kp52WRb0FEusd/8Z/7Xaf5RQm/z6QL5O4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Pc4Ee5AAAA3AAA&#10;AA8AAAAAAAAAAQAgAAAAIgAAAGRycy9kb3ducmV2LnhtbFBLAQIUABQAAAAIAIdO4kAzLwWeOwAA&#10;ADkAAAAQAAAAAAAAAAEAIAAAAAgBAABkcnMvc2hhcGV4bWwueG1sUEsFBgAAAAAGAAYAWwEAALID&#10;AAAA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8w5+MLgAAADc&#10;AAAADwAAAGRycy9kb3ducmV2LnhtbEVPTYvCMBC9C/sfwgh707SKRapRpCDsaUF3vQ/N2BSbSZtk&#10;1f33RhC8zeN9znp7t524kg+tYwX5NANBXDvdcqPg92c/WYIIEVlj55gU/FOA7eZjtMZSuxsf6HqM&#10;jUghHEpUYGLsSylDbchimLqeOHFn5y3GBH0jtcdbCrednGVZIS22nBoM9lQZqi/HP6vA16HSw3ww&#10;p2r4PvEOe1fMF0p9jvNsBSLSPb7FL/eXTvPzAp7PpAvk5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w5+MLgAAADcAAAA&#10;DwAAAAAAAAABACAAAAAiAAAAZHJzL2Rvd25yZXYueG1sUEsBAhQAFAAAAAgAh07iQDMvBZ47AAAA&#10;OQAAABAAAAAAAAAAAQAgAAAABwEAAGRycy9zaGFwZXhtbC54bWxQSwUGAAAAAAYABgBbAQAAsQMA&#10;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6YiwK70AAADc&#10;AAAADwAAAGRycy9kb3ducmV2LnhtbEVPTWvCQBC9F/oflin0ppvYYtPUVaho9SLStNDrmB2zwexs&#10;yK5R/70rCL3N433OZHa2jeip87VjBekwAUFcOl1zpeD3ZznIQPiArLFxTAou5GE2fXyYYK7dib+p&#10;L0IlYgj7HBWYENpcSl8asuiHriWO3N51FkOEXSV1h6cYbhs5SpKxtFhzbDDY0txQeSiOVsHB9+Zz&#10;9/q12r7w+yYrdov2b79Q6vkpTT5ABDqHf/HdvdZxfvoGt2fiBXJ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iLArvQAA&#10;ANwAAAAPAAAAAAAAAAEAIAAAACIAAABkcnMvZG93bnJldi54bWxQSwECFAAUAAAACACHTuJAMy8F&#10;njsAAAA5AAAAEAAAAAAAAAABACAAAAAMAQAAZHJzL3NoYXBleG1sLnhtbFBLBQYAAAAABgAGAFsB&#10;AAC2AwAAAAA=&#10;" path="m0,0l0,2277e">
                  <v:fill on="f" focussize="0,0"/>
                  <v:stroke weight="0.48pt" color="#000000" joinstyle="round"/>
                  <v:imagedata o:title=""/>
                  <o:lock v:ext="edit" aspectratio="f"/>
                </v:shape>
                <v:shape id="_x0000_s1026" o:spid="_x0000_s1026" o:spt="202" type="#_x0000_t202" style="position:absolute;left:19;top:19;height:2258;width:4025;" filled="f" stroked="f" coordsize="21600,21600" o:gfxdata="UEsDBAoAAAAAAIdO4kAAAAAAAAAAAAAAAAAEAAAAZHJzL1BLAwQUAAAACACHTuJA3C/Mub8AAADc&#10;AAAADwAAAGRycy9kb3ducmV2LnhtbEWPT2vDMAzF74N9B6PBbqudHkqb1S1jrDAYlKXZYUctVhPT&#10;WM5ir3++/XQo9Cbxnt77abk+h14daUw+soViYkARN9F5bi181ZunOaiUkR32kcnChRKsV/d3Syxd&#10;PHFFx11ulYRwKtFCl/NQap2ajgKmSRyIRdvHMWCWdWy1G/Ek4aHXU2NmOqBnaehwoNeOmsPuL1h4&#10;+ebqzf9ufz6rfeXremH4Y3aw9vGhMM+gMp3zzXy9fneCXwitPCMT6N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wvzLm/&#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13"/>
                          <w:ind w:left="0"/>
                          <w:rPr>
                            <w:sz w:val="28"/>
                            <w:szCs w:val="28"/>
                          </w:rPr>
                        </w:pPr>
                      </w:p>
                      <w:p>
                        <w:pPr>
                          <w:pStyle w:val="8"/>
                          <w:kinsoku w:val="0"/>
                          <w:overflowPunct w:val="0"/>
                          <w:spacing w:before="0"/>
                          <w:ind w:left="107"/>
                        </w:pPr>
                        <w:r>
                          <w:rPr>
                            <w:rFonts w:hint="eastAsia"/>
                          </w:rPr>
                          <w:t>法定代表人身份证复印件（正面）</w:t>
                        </w:r>
                      </w:p>
                    </w:txbxContent>
                  </v:textbox>
                </v:shape>
                <v:shape id="_x0000_s1026" o:spid="_x0000_s1026" o:spt="202" type="#_x0000_t202" style="position:absolute;left:4044;top:19;height:2258;width:4025;" filled="f" stroked="f" coordsize="21600,21600" o:gfxdata="UEsDBAoAAAAAAIdO4kAAAAAAAAAAAAAAAAAEAAAAZHJzL1BLAwQUAAAACACHTuJAs2NpIrwAAADc&#10;AAAADwAAAGRycy9kb3ducmV2LnhtbEVPTWvCQBC9C/6HZYTedDc9SE3diEgLhUIxpocep9lJspid&#10;TbNbtf/eLQje5vE+Z725uF6caAzWs4ZsoUAQ195YbjV8Vq/zJxAhIhvsPZOGPwqwKaaTNebGn7mk&#10;0yG2IoVwyFFDF+OQSxnqjhyGhR+IE9f40WFMcGylGfGcwl0vH5VaSoeWU0OHA+06qo+HX6dh+8Xl&#10;i/35+N6XTWmraqX4fXnU+mGWqWcQkS7xLr6530yan63g/5l0gSy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NjaSK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13"/>
                          <w:ind w:left="0"/>
                          <w:rPr>
                            <w:sz w:val="28"/>
                            <w:szCs w:val="28"/>
                          </w:rPr>
                        </w:pPr>
                      </w:p>
                      <w:p>
                        <w:pPr>
                          <w:pStyle w:val="8"/>
                          <w:kinsoku w:val="0"/>
                          <w:overflowPunct w:val="0"/>
                          <w:spacing w:before="0"/>
                          <w:ind w:left="107"/>
                        </w:pPr>
                        <w:r>
                          <w:rPr>
                            <w:rFonts w:hint="eastAsia"/>
                          </w:rPr>
                          <w:t>法定代表人身份证复印件（反面）</w:t>
                        </w:r>
                      </w:p>
                    </w:txbxContent>
                  </v:textbox>
                </v:shape>
                <w10:wrap type="none"/>
                <w10:anchorlock/>
              </v:group>
            </w:pict>
          </mc:Fallback>
        </mc:AlternateContent>
      </w:r>
    </w:p>
    <w:p>
      <w:pPr>
        <w:pStyle w:val="8"/>
        <w:kinsoku w:val="0"/>
        <w:overflowPunct w:val="0"/>
        <w:spacing w:before="0"/>
        <w:ind w:left="0"/>
        <w:rPr>
          <w:rFonts w:hint="eastAsia" w:ascii="宋体" w:hAnsi="宋体" w:eastAsia="宋体" w:cs="宋体"/>
          <w:sz w:val="20"/>
          <w:szCs w:val="20"/>
          <w:highlight w:val="none"/>
        </w:rPr>
      </w:pPr>
    </w:p>
    <w:p>
      <w:pPr>
        <w:wordWrap w:val="0"/>
        <w:spacing w:line="420" w:lineRule="exact"/>
        <w:ind w:firstLine="480" w:firstLineChars="200"/>
        <w:jc w:val="right"/>
        <w:rPr>
          <w:rFonts w:hint="eastAsia" w:ascii="宋体" w:hAnsi="宋体" w:eastAsia="宋体" w:cs="宋体"/>
          <w:kern w:val="0"/>
          <w:sz w:val="24"/>
          <w:szCs w:val="24"/>
          <w:highlight w:val="none"/>
        </w:rPr>
      </w:pPr>
    </w:p>
    <w:p>
      <w:pPr>
        <w:spacing w:line="420" w:lineRule="exact"/>
        <w:ind w:firstLine="480" w:firstLineChars="200"/>
        <w:jc w:val="right"/>
        <w:rPr>
          <w:rFonts w:hint="eastAsia" w:ascii="宋体" w:hAnsi="宋体" w:eastAsia="宋体" w:cs="宋体"/>
          <w:kern w:val="0"/>
          <w:sz w:val="24"/>
          <w:szCs w:val="24"/>
          <w:highlight w:val="none"/>
        </w:rPr>
      </w:pPr>
    </w:p>
    <w:p>
      <w:pPr>
        <w:spacing w:line="420" w:lineRule="exact"/>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供应商：</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（公章）</w:t>
      </w:r>
    </w:p>
    <w:p>
      <w:pPr>
        <w:wordWrap w:val="0"/>
        <w:spacing w:line="420" w:lineRule="exact"/>
        <w:ind w:right="480" w:firstLine="480" w:firstLineChars="200"/>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日 </w:t>
      </w:r>
    </w:p>
    <w:p>
      <w:pPr>
        <w:pStyle w:val="8"/>
        <w:kinsoku w:val="0"/>
        <w:overflowPunct w:val="0"/>
        <w:spacing w:before="34" w:line="357" w:lineRule="auto"/>
        <w:ind w:right="126" w:firstLine="480"/>
        <w:jc w:val="center"/>
        <w:outlineLvl w:val="1"/>
        <w:rPr>
          <w:rFonts w:hint="eastAsia" w:ascii="宋体" w:hAnsi="宋体" w:eastAsia="宋体" w:cs="宋体"/>
          <w:b/>
          <w:bCs/>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三、授权委托书</w:t>
      </w:r>
    </w:p>
    <w:p>
      <w:pPr>
        <w:pStyle w:val="8"/>
        <w:kinsoku w:val="0"/>
        <w:overflowPunct w:val="0"/>
        <w:spacing w:before="2"/>
        <w:ind w:left="0"/>
        <w:rPr>
          <w:rFonts w:hint="eastAsia" w:ascii="宋体" w:hAnsi="宋体" w:eastAsia="宋体" w:cs="宋体"/>
          <w:b/>
          <w:bCs/>
          <w:sz w:val="21"/>
          <w:szCs w:val="21"/>
          <w:highlight w:val="none"/>
        </w:rPr>
      </w:pPr>
    </w:p>
    <w:p>
      <w:pPr>
        <w:spacing w:line="420" w:lineRule="exac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致：采购人名称 </w:t>
      </w:r>
    </w:p>
    <w:p>
      <w:pPr>
        <w:spacing w:line="42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本授权书声明：注册于</w:t>
      </w:r>
      <w:r>
        <w:rPr>
          <w:rFonts w:hint="eastAsia" w:ascii="宋体" w:hAnsi="宋体" w:eastAsia="宋体" w:cs="宋体"/>
          <w:kern w:val="0"/>
          <w:sz w:val="24"/>
          <w:szCs w:val="24"/>
          <w:highlight w:val="none"/>
          <w:u w:val="single"/>
        </w:rPr>
        <w:t>（投标人地址）</w:t>
      </w:r>
      <w:r>
        <w:rPr>
          <w:rFonts w:hint="eastAsia" w:ascii="宋体" w:hAnsi="宋体" w:eastAsia="宋体" w:cs="宋体"/>
          <w:kern w:val="0"/>
          <w:sz w:val="24"/>
          <w:szCs w:val="24"/>
          <w:highlight w:val="none"/>
        </w:rPr>
        <w:t>的</w:t>
      </w:r>
      <w:r>
        <w:rPr>
          <w:rFonts w:hint="eastAsia" w:ascii="宋体" w:hAnsi="宋体" w:eastAsia="宋体" w:cs="宋体"/>
          <w:kern w:val="0"/>
          <w:sz w:val="24"/>
          <w:szCs w:val="24"/>
          <w:highlight w:val="none"/>
          <w:u w:val="single"/>
        </w:rPr>
        <w:t>（投标人名称）</w:t>
      </w:r>
      <w:r>
        <w:rPr>
          <w:rFonts w:hint="eastAsia" w:ascii="宋体" w:hAnsi="宋体" w:eastAsia="宋体" w:cs="宋体"/>
          <w:kern w:val="0"/>
          <w:sz w:val="24"/>
          <w:szCs w:val="24"/>
          <w:highlight w:val="none"/>
        </w:rPr>
        <w:t>法定代表人（负责人）</w:t>
      </w:r>
      <w:r>
        <w:rPr>
          <w:rFonts w:hint="eastAsia" w:ascii="宋体" w:hAnsi="宋体" w:eastAsia="宋体" w:cs="宋体"/>
          <w:kern w:val="0"/>
          <w:sz w:val="24"/>
          <w:szCs w:val="24"/>
          <w:highlight w:val="none"/>
          <w:u w:val="single"/>
        </w:rPr>
        <w:t>姓名、职务或职称）</w:t>
      </w:r>
      <w:r>
        <w:rPr>
          <w:rFonts w:hint="eastAsia" w:ascii="宋体" w:hAnsi="宋体" w:eastAsia="宋体" w:cs="宋体"/>
          <w:kern w:val="0"/>
          <w:sz w:val="24"/>
          <w:szCs w:val="24"/>
          <w:highlight w:val="none"/>
        </w:rPr>
        <w:t>代表本公司授权</w:t>
      </w:r>
      <w:r>
        <w:rPr>
          <w:rFonts w:hint="eastAsia" w:ascii="宋体" w:hAnsi="宋体" w:eastAsia="宋体" w:cs="宋体"/>
          <w:kern w:val="0"/>
          <w:sz w:val="24"/>
          <w:szCs w:val="24"/>
          <w:highlight w:val="none"/>
          <w:u w:val="single"/>
        </w:rPr>
        <w:t>（姓名）</w:t>
      </w:r>
      <w:r>
        <w:rPr>
          <w:rFonts w:hint="eastAsia" w:ascii="宋体" w:hAnsi="宋体" w:eastAsia="宋体" w:cs="宋体"/>
          <w:kern w:val="0"/>
          <w:sz w:val="24"/>
          <w:szCs w:val="24"/>
          <w:highlight w:val="none"/>
        </w:rPr>
        <w:t>为本单位的合法代理人，参与贵方组织的</w:t>
      </w:r>
      <w:r>
        <w:rPr>
          <w:rFonts w:hint="eastAsia" w:ascii="宋体" w:hAnsi="宋体" w:eastAsia="宋体" w:cs="宋体"/>
          <w:kern w:val="0"/>
          <w:sz w:val="24"/>
          <w:szCs w:val="24"/>
          <w:highlight w:val="none"/>
          <w:u w:val="single"/>
        </w:rPr>
        <w:t>（项目名称及项目编号）</w:t>
      </w:r>
      <w:r>
        <w:rPr>
          <w:rFonts w:hint="eastAsia" w:ascii="宋体" w:hAnsi="宋体" w:eastAsia="宋体" w:cs="宋体"/>
          <w:kern w:val="0"/>
          <w:sz w:val="24"/>
          <w:szCs w:val="24"/>
          <w:highlight w:val="none"/>
        </w:rPr>
        <w:t xml:space="preserve"> 的投标、谈判、签约等具体工作，并签署全部有关文件、协议及合同。</w:t>
      </w:r>
    </w:p>
    <w:p>
      <w:pPr>
        <w:spacing w:line="42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我单位对被授权人的上述经济活动负全部责任。在撤销授权的书面通知前，本授权书一直有效。被授权人在授权书有效期内签署的所有文件不因授权的撤消而失效。</w:t>
      </w:r>
    </w:p>
    <w:p>
      <w:pPr>
        <w:pStyle w:val="8"/>
        <w:kinsoku w:val="0"/>
        <w:overflowPunct w:val="0"/>
        <w:spacing w:before="12"/>
        <w:ind w:left="0"/>
        <w:rPr>
          <w:rFonts w:hint="eastAsia" w:ascii="宋体" w:hAnsi="宋体" w:eastAsia="宋体" w:cs="宋体"/>
          <w:sz w:val="4"/>
          <w:szCs w:val="4"/>
          <w:highlight w:val="none"/>
        </w:rPr>
      </w:pPr>
    </w:p>
    <w:p>
      <w:pPr>
        <w:pStyle w:val="8"/>
        <w:kinsoku w:val="0"/>
        <w:overflowPunct w:val="0"/>
        <w:spacing w:before="0" w:line="200" w:lineRule="atLeast"/>
        <w:ind w:left="628"/>
        <w:rPr>
          <w:rFonts w:hint="eastAsia" w:ascii="宋体" w:hAnsi="宋体" w:eastAsia="宋体" w:cs="宋体"/>
          <w:sz w:val="20"/>
          <w:szCs w:val="20"/>
          <w:highlight w:val="none"/>
        </w:rPr>
      </w:pPr>
      <w:r>
        <w:rPr>
          <w:rFonts w:hint="eastAsia" w:ascii="宋体" w:hAnsi="宋体" w:eastAsia="宋体" w:cs="宋体"/>
          <w:sz w:val="20"/>
          <w:szCs w:val="20"/>
          <w:highlight w:val="none"/>
        </w:rPr>
        <mc:AlternateContent>
          <mc:Choice Requires="wpg">
            <w:drawing>
              <wp:inline distT="0" distB="0" distL="114300" distR="114300">
                <wp:extent cx="5136515" cy="1458595"/>
                <wp:effectExtent l="0" t="0" r="8255" b="9525"/>
                <wp:docPr id="107" name="组合 107"/>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95" name="任意多边形 95"/>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96" name="任意多边形 96"/>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97" name="任意多边形 97"/>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98" name="任意多边形 98"/>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99" name="任意多边形 99"/>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100" name="任意多边形 100"/>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101" name="任意多边形 101"/>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2" name="任意多边形 102"/>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3" name="任意多边形 103"/>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4" name="任意多边形 104"/>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105" name="文本框 105"/>
                        <wps:cNvSpPr txBox="1"/>
                        <wps:spPr>
                          <a:xfrm>
                            <a:off x="19" y="19"/>
                            <a:ext cx="4025" cy="2258"/>
                          </a:xfrm>
                          <a:prstGeom prst="rect">
                            <a:avLst/>
                          </a:prstGeom>
                          <a:noFill/>
                          <a:ln>
                            <a:noFill/>
                          </a:ln>
                        </wps:spPr>
                        <wps:txbx>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12"/>
                                <w:ind w:left="0"/>
                                <w:rPr>
                                  <w:sz w:val="28"/>
                                  <w:szCs w:val="28"/>
                                </w:rPr>
                              </w:pPr>
                            </w:p>
                            <w:p>
                              <w:pPr>
                                <w:pStyle w:val="8"/>
                                <w:kinsoku w:val="0"/>
                                <w:overflowPunct w:val="0"/>
                                <w:spacing w:before="0"/>
                                <w:ind w:left="107"/>
                              </w:pPr>
                              <w:r>
                                <w:rPr>
                                  <w:rFonts w:hint="eastAsia"/>
                                </w:rPr>
                                <w:t>授权人身份证复印件（正面）</w:t>
                              </w:r>
                            </w:p>
                          </w:txbxContent>
                        </wps:txbx>
                        <wps:bodyPr lIns="0" tIns="0" rIns="0" bIns="0" upright="1"/>
                      </wps:wsp>
                      <wps:wsp>
                        <wps:cNvPr id="106" name="文本框 106"/>
                        <wps:cNvSpPr txBox="1"/>
                        <wps:spPr>
                          <a:xfrm>
                            <a:off x="4044" y="19"/>
                            <a:ext cx="4025" cy="2258"/>
                          </a:xfrm>
                          <a:prstGeom prst="rect">
                            <a:avLst/>
                          </a:prstGeom>
                          <a:noFill/>
                          <a:ln>
                            <a:noFill/>
                          </a:ln>
                        </wps:spPr>
                        <wps:txbx>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12"/>
                                <w:ind w:left="0"/>
                                <w:rPr>
                                  <w:sz w:val="28"/>
                                  <w:szCs w:val="28"/>
                                </w:rPr>
                              </w:pPr>
                            </w:p>
                            <w:p>
                              <w:pPr>
                                <w:pStyle w:val="8"/>
                                <w:kinsoku w:val="0"/>
                                <w:overflowPunct w:val="0"/>
                                <w:spacing w:before="0"/>
                                <w:ind w:left="107"/>
                              </w:pPr>
                              <w:r>
                                <w:rPr>
                                  <w:rFonts w:hint="eastAsia"/>
                                </w:rPr>
                                <w:t>授权人身份证复印件（反面）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EY+Gk64BAAANSEAAA4AAABkcnMvZTJvRG9jLnhtbO1azY7j&#10;RBC+I/EOLd+Z2I6TSazJrASzO0JawYpdHqBjt3+E7ba6Oz9zX8He4MQBcQFx5AXQCJ6GGXgMqqtt&#10;528tOWSHHSHPIVNx/1VXfV39lSsXT9Z5RpZMyJQXM8s5sy3CioCHaRHPrC9fPftoYhGpaBHSjBds&#10;Zt0waT25/PCDi1XpM5cnPAuZIDBJIf1VObMSpUp/MJBBwnIqz3jJCmiMuMipgq8iHoSCrmD2PBu4&#10;tj0erLgIS8EDJiU8vTKNVjWj6DIhj6I0YFc8WOSsUGZWwTKqYEsySUtpXaK2UcQC9XkUSaZINrNg&#10;pwo/YRGQ5/pzcHlB/VjQMkmDSgXaRYW9PeU0LWDRZqorqihZiPRgqjwNBJc8UmcBzwdmI2gR2IVj&#10;79nmWvBFiXuJ/VVcNkYHR+1Z/V9PG3y2fCFIGgIS7HOLFDQHl/91+/ruuzdEPwH7rMrYh27XonxZ&#10;vhBmkyA+58FXkhT8Cw5GdXTHwX5P/T3eDFtHItfDYddkjS64aVzA1ooE8HDkDMcjZ2SRANocbzQZ&#10;TUfGSUECnjwYFyRPq5ETezI1w1x3iooPqG+WRMUaRVYlAFdurClPs+bLhJYMnSS1mSprgtaVMf+8&#10;vb1//e3dLz/8/cdvd7//TMx+tBLQW1sUTSx9WRl3z0qeRcASU2OD2koT+7zeK0K42Sn1g4VU14yj&#10;oenyuVQG4WEt0aSWgnVRiyVV+rF2jhbJamaZJZKZ5doI7Jwv2SuOPdSeF2D1TWtWbPeCWSCc1G6G&#10;jqYZBL0OQMYIuDbI28oX/FmaZah9VmiNxvZ0DA6mEHMiOOsg5iXgVhYxKih5loZ6iNZRinj+SSbI&#10;kupzj3+IUGjZ7lYKqa6oTEw/bDKGThgNnxYhUTclnIcCAqGlVchZaJGMQdzUEuqmaJp16Yl7xzNS&#10;u1pDYM7DG0DMohRpnGydI0SoPnr/BVTBqubcH0B1rPfYGaquwao7MZbZgNVzqoP5cGDVS5wOVg+u&#10;hR6seCyz4nGCtbmkDsBaXVYd42oNVneM46jfw7WPrbtU9ihS1UID4PZria0YJTvH1iq0uhMMydto&#10;7ZlAzwR04vUu0AqksgWtSEA7oxXmgWvU2+UBQCSR1bvuZJee7/K+U0irXkKzAL2CpoEbWloeQVoN&#10;CYBJ8KwhcdOctuKqjdCT1vdIWh0bvPR2rOqmo2iryVCAECChr3nABq4egh/cX6dm22nKO4ErrHA6&#10;XD28UXq46vcQjy3HcmzIT9rgii9POsdWzx5WZKAVsMMHByyscDpghz1g9QuRR5lnObbbDlj3qPjq&#10;2aMh8oH2CNsDtn+L1fmt+NszLccGkLVF2OFRgJ3YI0Nghzhuk2xtKEEP2B6wJwMWrvE2wOLV3pkS&#10;NG/ZnVZKAK/hgd0+JIeFFU6nBOd1ZtjXCR4hh21qWvfff3P/46/3P30NNUIsz21Blaj1xxwqeQ2r&#10;bSlsOSbGwr+dtMuz3ar657qjfdDqeo0ubhEtzCwB5V0EXZ2E6RS96qKxuFNC2nmAWdIB8VLr+brK&#10;HKvCTPZpAeVBSDVVLYhamNfCey3eOHZTvdl2yn7hpqtTPNszycX/1y1YDIZqOkbDqvKvy/Xb3xEZ&#10;m187XP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wcAAFtDb250ZW50X1R5cGVzXS54bWxQSwECFAAKAAAAAACHTuJAAAAAAAAAAAAAAAAABgAA&#10;AAAAAAAAABAAAAAJBgAAX3JlbHMvUEsBAhQAFAAAAAgAh07iQIoUZjzRAAAAlAEAAAsAAAAAAAAA&#10;AQAgAAAALQYAAF9yZWxzLy5yZWxzUEsBAhQACgAAAAAAh07iQAAAAAAAAAAAAAAAAAQAAAAAAAAA&#10;AAAQAAAAAAAAAGRycy9QSwECFAAUAAAACACHTuJAl/l9z9YAAAAFAQAADwAAAAAAAAABACAAAAAi&#10;AAAAZHJzL2Rvd25yZXYueG1sUEsBAhQAFAAAAAgAh07iQEY+Gk64BAAANSEAAA4AAAAAAAAAAQAg&#10;AAAAJQEAAGRycy9lMm9Eb2MueG1sUEsFBgAAAAAGAAYAWQEAAE8IAAAAAA==&#10;">
                <o:lock v:ext="edit" rotation="t" aspectratio="f"/>
                <v:shape id="_x0000_s1026" o:spid="_x0000_s1026" o:spt="100" style="position:absolute;left:4;top:9;height:20;width:8079;" filled="f" stroked="t" coordsize="8079,20" o:gfxdata="UEsDBAoAAAAAAIdO4kAAAAAAAAAAAAAAAAAEAAAAZHJzL1BLAwQUAAAACACHTuJAiAGCBL0AAADb&#10;AAAADwAAAGRycy9kb3ducmV2LnhtbEWPQWsCMRSE74X+h/AEbzVxYaVdjR6ktkVPtT30+Ni83Sxu&#10;XpYk6vrvm0LB4zAz3zCrzeh6caEQO88a5jMFgrj2puNWw/fX7ukZREzIBnvPpOFGETbrx4cVVsZf&#10;+ZMux9SKDOFYoQab0lBJGWtLDuPMD8TZa3xwmLIMrTQBrxnuelkotZAOO84LFgfaWqpPx7PTcGia&#10;4hRUsS/f3l8Rx7Jrf+xW6+lkrpYgEo3pHv5vfxgNLyX8fck/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AYIEvQAA&#10;ANsAAAAPAAAAAAAAAAEAIAAAACIAAABkcnMvZG93bnJldi54bWxQSwECFAAUAAAACACHTuJAMy8F&#10;njsAAAA5AAAAEAAAAAAAAAABACAAAAAMAQAAZHJzL3NoYXBleG1sLnhtbFBLBQYAAAAABgAGAFsB&#10;AAC2Aw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Hu1pY7wAAADb&#10;AAAADwAAAGRycy9kb3ducmV2LnhtbEWPQYvCMBSE7wv+h/CEva1JFxStRg/Kgih7sPoDHs2zLW1e&#10;ShK17q83Cwt7HGbmG2a1GWwn7uRD41hDNlEgiEtnGq40XM5fH3MQISIb7ByThicF2KxHbyvMjXvw&#10;ie5FrESCcMhRQx1jn0sZyposhonriZN3dd5iTNJX0nh8JLjt5KdSM2mx4bRQY0/bmsq2uFkNO+/P&#10;37K/Fj+H485llWqni6HV+n2cqSWISEP8D/+190bDYga/X9IPkO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7taWO8AAAA&#10;2wAAAA8AAAAAAAAAAQAgAAAAIgAAAGRycy9kb3ducmV2LnhtbFBLAQIUABQAAAAIAIdO4kAzLwWe&#10;OwAAADkAAAAQAAAAAAAAAAEAIAAAAAsBAABkcnMvc2hhcGV4bWwueG1sUEsFBgAAAAAGAAYAWwEA&#10;ALUDA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caHM+L0AAADb&#10;AAAADwAAAGRycy9kb3ducmV2LnhtbEWPQWsCMRSE7wX/Q3iCt5qsYKur0YMiSEsPXf0Bj81zd9nN&#10;y5JEXf31TaHQ4zAz3zDr7WA7cSMfGscasqkCQVw603Cl4Xw6vC5AhIhssHNMGh4UYLsZvawxN+7O&#10;33QrYiUShEOOGuoY+1zKUNZkMUxdT5y8i/MWY5K+ksbjPcFtJ2dKvUmLDaeFGnva1VS2xdVq2Ht/&#10;+pL9pXh+fO5dVql2vhxarSfjTK1ARBrif/ivfTQalu/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ocz4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ZgAtmrkAAADb&#10;AAAADwAAAGRycy9kb3ducmV2LnhtbEVPPW/CMBDdK/EfrENiKzaRqErAMCAoqJ0KDIyn+BJHxOfI&#10;diH8+3qo1PHpfa82g+vEnUJsPWuYTRUI4sqblhsNl/P+9R1ETMgGO8+k4UkRNuvRywpL4x/8TfdT&#10;akQO4ViiBptSX0oZK0sO49T3xJmrfXCYMgyNNAEfOdx1slDqTTpsOTdY7GlrqbqdfpyGr7oubkEV&#10;n/OPww5xmLfN1W61noxnagki0ZD+xX/uo9GwyGPzl/w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YALZq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f8Jck70AAADb&#10;AAAADwAAAGRycy9kb3ducmV2LnhtbEWPT2sCMRTE7wW/Q3iCl1ITBcvu1uhBFISeurX3x+a5Wbp5&#10;2Sapf/rpG0HwOMzMb5jl+uJ6caIQO88aZlMFgrjxpuNWw+Fz91KAiAnZYO+ZNFwpwno1elpiZfyZ&#10;P+hUp1ZkCMcKNdiUhkrK2FhyGKd+IM7e0QeHKcvQShPwnOGul3OlXqXDjvOCxYE2lprv+tdp+Ds+&#10;7xdbi9u6Kb7Ue1FufjDUWk/GM/UGItElPcL39t5oKEu4fck/QK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lyTvQAA&#10;ANsAAAAPAAAAAAAAAAEAIAAAACIAAABkcnMvZG93bnJldi54bWxQSwECFAAUAAAACACHTuJAMy8F&#10;njsAAAA5AAAAEAAAAAAAAAABACAAAAAMAQAAZHJzL3NoYXBleG1sLnhtbFBLBQYAAAAABgAGAFsB&#10;AAC2Aw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lpJvmMAAAADc&#10;AAAADwAAAGRycy9kb3ducmV2LnhtbEWPT2sCQQzF74V+hyEFL0VnLFLa1VFKS8GDYP1z0FvYibtr&#10;dzLLzujqtzcHwVvCe3nvl8ns4mt1pjZWgS0MBwYUcR5cxYWF7ea3/wEqJmSHdWCycKUIs+nz0wQz&#10;Fzpe0XmdCiUhHDO0UKbUZFrHvCSPcRAaYtEOofWYZG0L7VrsJNzX+s2Yd+2xYmkosaHvkvL/9clb&#10;6OY/utqmZf5arBab0efuqznu/6ztvQzNGFSiS3qY79dzJ/hG8OUZmUBP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Wkm+Y&#10;wAAAANwAAAAPAAAAAAAAAAEAIAAAACIAAABkcnMvZG93bnJldi54bWxQSwECFAAUAAAACACHTuJA&#10;My8FnjsAAAA5AAAAEAAAAAAAAAABACAAAAAPAQAAZHJzL3NoYXBleG1sLnhtbFBLBQYAAAAABgAG&#10;AFsBAAC5Aw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T5wmbkAAADc&#10;AAAADwAAAGRycy9kb3ducmV2LnhtbEVPyWrDMBC9B/oPYgK5JZIbGoob2QRDoadAs9wHa2qZWiNb&#10;UpP076tAoLd5vHW29c0N4kIh9p41FCsFgrj1pudOw+n4vnwFEROywcEzafilCHX1NNtiafyVP+ly&#10;SJ3IIRxL1GBTGkspY2vJYVz5kThzXz44TBmGTpqA1xzuBvms1EY67Dk3WBypsdR+H36chtDGxkzr&#10;yZ6baX/mHY5+s37RejEv1BuIRLf0L364P0yerwq4P5MvkNU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cJm5AAAA3AAA&#10;AA8AAAAAAAAAAQAgAAAAIgAAAGRycy9kb3ducmV2LnhtbFBLAQIUABQAAAAIAIdO4kAzLwWeOwAA&#10;ADkAAAAQAAAAAAAAAAEAIAAAAAgBAABkcnMvc2hhcGV4bWwueG1sUEsFBgAAAAAGAAYAWwEAALID&#10;A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Cezu7rgAAADc&#10;AAAADwAAAGRycy9kb3ducmV2LnhtbEVPS4vCMBC+C/sfwizsTRMVRapRpCDsaUF3vQ/N2BSbSZvE&#10;x/57Iwje5uN7zmpzd624UoiNZw3jkQJBXHnTcK3h73c3XICICdlg65k0/FOEzfpjsMLC+Bvv6XpI&#10;tcghHAvUYFPqCiljZclhHPmOOHMnHxymDEMtTcBbDnetnCg1lw4bzg0WOyotVefDxWkIVSxNP+3t&#10;sex/jrzFzs+nM62/PsdqCSLRPb3FL/e3yfPVBJ7P5Avk+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ezu7rgAAADcAAAA&#10;DwAAAAAAAAABACAAAAAiAAAAZHJzL2Rvd25yZXYueG1sUEsBAhQAFAAAAAgAh07iQDMvBZ47AAAA&#10;OQAAABAAAAAAAAAAAQAgAAAABwEAAGRycy9zaGFwZXhtbC54bWxQSwUGAAAAAAYABgBbAQAAsQMA&#10;AA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ZqBLdbkAAADc&#10;AAAADwAAAGRycy9kb3ducmV2LnhtbEVP32vCMBB+F/Y/hBN808SVyehMixQGexJ08/1obk1Zc2mT&#10;TN1/bwRhb/fx/bxtfXWDOFOIvWcN65UCQdx603On4evzffkKIiZkg4Nn0vBHEerqabbF0vgLH+h8&#10;TJ3IIRxL1GBTGkspY2vJYVz5kThz3z44TBmGTpqAlxzuBvms1EY67Dk3WBypsdT+HH+dhtDGxkzF&#10;ZE/NtD/xDke/KV60XszX6g1Eomv6Fz/cHybPVwXcn8kXyOo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agS3W5AAAA3AAA&#10;AA8AAAAAAAAAAQAgAAAAIgAAAGRycy9kb3ducmV2LnhtbFBLAQIUABQAAAAIAIdO4kAzLwWeOwAA&#10;ADkAAAAQAAAAAAAAAAEAIAAAAAgBAABkcnMvc2hhcGV4bWwueG1sUEsFBgAAAAAGAAYAWwEAALID&#10;A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nIO4gbwAAADc&#10;AAAADwAAAGRycy9kb3ducmV2LnhtbEVPTWsCMRC9F/ofwhR600QrRbdGoWLVSyldBa/jZtwsbibL&#10;Jl313xtB6G0e73Om84urRUdtqDxrGPQVCOLCm4pLDbvtV28MIkRkg7Vn0nClAPPZ89MUM+PP/Etd&#10;HkuRQjhkqMHG2GRShsKSw9D3DXHijr51GBNsS2laPKdwV8uhUu/SYcWpwWJDC0vFKf9zGk6hs5+H&#10;0Wr988aT73F+WDb741Lr15eB+gAR6RL/xQ/3xqT5agT3Z9IFcnY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yDuIG8AAAA&#10;3AAAAA8AAAAAAAAAAQAgAAAAIgAAAGRycy9kb3ducmV2LnhtbFBLAQIUABQAAAAIAIdO4kAzLwWe&#10;OwAAADkAAAAQAAAAAAAAAAEAIAAAAAsBAABkcnMvc2hhcGV4bWwueG1sUEsFBgAAAAAGAAYAWwEA&#10;ALUDAAAAAA==&#10;" path="m0,0l0,2277e">
                  <v:fill on="f" focussize="0,0"/>
                  <v:stroke weight="0.48pt" color="#000000" joinstyle="round"/>
                  <v:imagedata o:title=""/>
                  <o:lock v:ext="edit" aspectratio="f"/>
                </v:shape>
                <v:shape id="_x0000_s1026" o:spid="_x0000_s1026" o:spt="202" type="#_x0000_t202" style="position:absolute;left:19;top:19;height:2258;width:4025;" filled="f" stroked="f" coordsize="21600,21600" o:gfxdata="UEsDBAoAAAAAAIdO4kAAAAAAAAAAAAAAAAAEAAAAZHJzL1BLAwQUAAAACACHTuJAt/f1+rwAAADc&#10;AAAADwAAAGRycy9kb3ducmV2LnhtbEVPS2sCMRC+C/6HMAVvmlhQ6tYoRSwIheK6HjxON+NucDNZ&#10;N/HRf98IBW/z8T1nvry7RlypC9azhvFIgSAuvbFcadgXn8M3ECEiG2w8k4ZfCrBc9HtzzIy/cU7X&#10;XaxECuGQoYY6xjaTMpQ1OQwj3xIn7ug7hzHBrpKmw1sKd418VWoqHVpODTW2tKqpPO0uTsPHgfO1&#10;PX//bPNjbotipvhretJ68DJW7yAi3eNT/O/emDRfTeDxTLp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39fq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12"/>
                          <w:ind w:left="0"/>
                          <w:rPr>
                            <w:sz w:val="28"/>
                            <w:szCs w:val="28"/>
                          </w:rPr>
                        </w:pPr>
                      </w:p>
                      <w:p>
                        <w:pPr>
                          <w:pStyle w:val="8"/>
                          <w:kinsoku w:val="0"/>
                          <w:overflowPunct w:val="0"/>
                          <w:spacing w:before="0"/>
                          <w:ind w:left="107"/>
                        </w:pPr>
                        <w:r>
                          <w:rPr>
                            <w:rFonts w:hint="eastAsia"/>
                          </w:rPr>
                          <w:t>授权人身份证复印件（正面）</w:t>
                        </w:r>
                      </w:p>
                    </w:txbxContent>
                  </v:textbox>
                </v:shape>
                <v:shape id="_x0000_s1026" o:spid="_x0000_s1026" o:spt="202" type="#_x0000_t202" style="position:absolute;left:4044;top:19;height:2258;width:4025;" filled="f" stroked="f" coordsize="21600,21600" o:gfxdata="UEsDBAoAAAAAAIdO4kAAAAAAAAAAAAAAAAAEAAAAZHJzL1BLAwQUAAAACACHTuJARyVrjbwAAADc&#10;AAAADwAAAGRycy9kb3ducmV2LnhtbEVPTWvCQBC9C/0Pywi96a49BI1upEgLhUIxxoPHaXaSLGZn&#10;0+xW7b/vFgre5vE+Z7O9uV5caAzWs4bFXIEgrr2x3Go4Vq+zJYgQkQ32nknDDwXYFg+TDebGX7mk&#10;yyG2IoVwyFFDF+OQSxnqjhyGuR+IE9f40WFMcGylGfGawl0vn5TKpEPLqaHDgXYd1efDt9PwfOLy&#10;xX59fO7LprRVtVL8np21fpwu1BpEpFu8i//dbybNVxn8PZMuk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cla42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12"/>
                          <w:ind w:left="0"/>
                          <w:rPr>
                            <w:sz w:val="28"/>
                            <w:szCs w:val="28"/>
                          </w:rPr>
                        </w:pPr>
                      </w:p>
                      <w:p>
                        <w:pPr>
                          <w:pStyle w:val="8"/>
                          <w:kinsoku w:val="0"/>
                          <w:overflowPunct w:val="0"/>
                          <w:spacing w:before="0"/>
                          <w:ind w:left="107"/>
                        </w:pPr>
                        <w:r>
                          <w:rPr>
                            <w:rFonts w:hint="eastAsia"/>
                          </w:rPr>
                          <w:t>授权人身份证复印件（反面）</w:t>
                        </w:r>
                      </w:p>
                    </w:txbxContent>
                  </v:textbox>
                </v:shape>
                <w10:wrap type="none"/>
                <w10:anchorlock/>
              </v:group>
            </w:pict>
          </mc:Fallback>
        </mc:AlternateContent>
      </w:r>
    </w:p>
    <w:p>
      <w:pPr>
        <w:pStyle w:val="8"/>
        <w:kinsoku w:val="0"/>
        <w:overflowPunct w:val="0"/>
        <w:spacing w:before="0"/>
        <w:ind w:left="0"/>
        <w:rPr>
          <w:rFonts w:hint="eastAsia" w:ascii="宋体" w:hAnsi="宋体" w:eastAsia="宋体" w:cs="宋体"/>
          <w:sz w:val="20"/>
          <w:szCs w:val="20"/>
          <w:highlight w:val="none"/>
        </w:rPr>
      </w:pPr>
    </w:p>
    <w:p>
      <w:pPr>
        <w:pStyle w:val="8"/>
        <w:kinsoku w:val="0"/>
        <w:overflowPunct w:val="0"/>
        <w:spacing w:before="1"/>
        <w:ind w:left="0"/>
        <w:rPr>
          <w:rFonts w:hint="eastAsia" w:ascii="宋体" w:hAnsi="宋体" w:eastAsia="宋体" w:cs="宋体"/>
          <w:sz w:val="19"/>
          <w:szCs w:val="19"/>
          <w:highlight w:val="none"/>
        </w:rPr>
      </w:pPr>
    </w:p>
    <w:p>
      <w:pPr>
        <w:pStyle w:val="8"/>
        <w:kinsoku w:val="0"/>
        <w:overflowPunct w:val="0"/>
        <w:spacing w:before="0" w:line="200" w:lineRule="atLeast"/>
        <w:ind w:left="628"/>
        <w:rPr>
          <w:rFonts w:hint="eastAsia" w:ascii="宋体" w:hAnsi="宋体" w:eastAsia="宋体" w:cs="宋体"/>
          <w:sz w:val="20"/>
          <w:szCs w:val="20"/>
          <w:highlight w:val="none"/>
        </w:rPr>
      </w:pPr>
      <w:r>
        <w:rPr>
          <w:rFonts w:hint="eastAsia" w:ascii="宋体" w:hAnsi="宋体" w:eastAsia="宋体" w:cs="宋体"/>
          <w:sz w:val="20"/>
          <w:szCs w:val="20"/>
          <w:highlight w:val="none"/>
        </w:rPr>
        <mc:AlternateContent>
          <mc:Choice Requires="wpg">
            <w:drawing>
              <wp:inline distT="0" distB="0" distL="114300" distR="114300">
                <wp:extent cx="5136515" cy="1384935"/>
                <wp:effectExtent l="0" t="0" r="7620" b="6985"/>
                <wp:docPr id="94" name="组合 94"/>
                <wp:cNvGraphicFramePr/>
                <a:graphic xmlns:a="http://schemas.openxmlformats.org/drawingml/2006/main">
                  <a:graphicData uri="http://schemas.microsoft.com/office/word/2010/wordprocessingGroup">
                    <wpg:wgp>
                      <wpg:cNvGrpSpPr>
                        <a:grpSpLocks noRot="1"/>
                      </wpg:cNvGrpSpPr>
                      <wpg:grpSpPr>
                        <a:xfrm>
                          <a:off x="0" y="0"/>
                          <a:ext cx="5136515" cy="1384935"/>
                          <a:chOff x="0" y="0"/>
                          <a:chExt cx="8089" cy="2181"/>
                        </a:xfrm>
                      </wpg:grpSpPr>
                      <wps:wsp>
                        <wps:cNvPr id="82" name="任意多边形 82"/>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83" name="任意多边形 83"/>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84" name="任意多边形 84"/>
                        <wps:cNvSpPr/>
                        <wps:spPr>
                          <a:xfrm>
                            <a:off x="24" y="2151"/>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85" name="任意多边形 85"/>
                        <wps:cNvSpPr/>
                        <wps:spPr>
                          <a:xfrm>
                            <a:off x="4" y="2170"/>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86" name="任意多边形 86"/>
                        <wps:cNvSpPr/>
                        <wps:spPr>
                          <a:xfrm>
                            <a:off x="9" y="4"/>
                            <a:ext cx="20" cy="2171"/>
                          </a:xfrm>
                          <a:custGeom>
                            <a:avLst/>
                            <a:gdLst/>
                            <a:ahLst/>
                            <a:cxnLst/>
                            <a:pathLst>
                              <a:path w="20" h="2171">
                                <a:moveTo>
                                  <a:pt x="0" y="0"/>
                                </a:moveTo>
                                <a:lnTo>
                                  <a:pt x="0" y="2170"/>
                                </a:lnTo>
                              </a:path>
                            </a:pathLst>
                          </a:custGeom>
                          <a:noFill/>
                          <a:ln w="6096" cap="flat" cmpd="sng">
                            <a:solidFill>
                              <a:srgbClr val="000000"/>
                            </a:solidFill>
                            <a:prstDash val="solid"/>
                            <a:headEnd type="none" w="med" len="med"/>
                            <a:tailEnd type="none" w="med" len="med"/>
                          </a:ln>
                        </wps:spPr>
                        <wps:bodyPr upright="1"/>
                      </wps:wsp>
                      <wps:wsp>
                        <wps:cNvPr id="87" name="任意多边形 87"/>
                        <wps:cNvSpPr/>
                        <wps:spPr>
                          <a:xfrm>
                            <a:off x="28" y="24"/>
                            <a:ext cx="20" cy="2133"/>
                          </a:xfrm>
                          <a:custGeom>
                            <a:avLst/>
                            <a:gdLst/>
                            <a:ahLst/>
                            <a:cxnLst/>
                            <a:pathLst>
                              <a:path w="20" h="2133">
                                <a:moveTo>
                                  <a:pt x="0" y="0"/>
                                </a:moveTo>
                                <a:lnTo>
                                  <a:pt x="0" y="2132"/>
                                </a:lnTo>
                              </a:path>
                            </a:pathLst>
                          </a:custGeom>
                          <a:noFill/>
                          <a:ln w="6096" cap="flat" cmpd="sng">
                            <a:solidFill>
                              <a:srgbClr val="000000"/>
                            </a:solidFill>
                            <a:prstDash val="solid"/>
                            <a:headEnd type="none" w="med" len="med"/>
                            <a:tailEnd type="none" w="med" len="med"/>
                          </a:ln>
                        </wps:spPr>
                        <wps:bodyPr upright="1"/>
                      </wps:wsp>
                      <wps:wsp>
                        <wps:cNvPr id="88" name="任意多边形 88"/>
                        <wps:cNvSpPr/>
                        <wps:spPr>
                          <a:xfrm>
                            <a:off x="4034"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89" name="任意多边形 89"/>
                        <wps:cNvSpPr/>
                        <wps:spPr>
                          <a:xfrm>
                            <a:off x="4053"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90" name="任意多边形 90"/>
                        <wps:cNvSpPr/>
                        <wps:spPr>
                          <a:xfrm>
                            <a:off x="8059" y="33"/>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91" name="任意多边形 91"/>
                        <wps:cNvSpPr/>
                        <wps:spPr>
                          <a:xfrm>
                            <a:off x="8078" y="14"/>
                            <a:ext cx="20" cy="2162"/>
                          </a:xfrm>
                          <a:custGeom>
                            <a:avLst/>
                            <a:gdLst/>
                            <a:ahLst/>
                            <a:cxnLst/>
                            <a:pathLst>
                              <a:path w="20" h="2162">
                                <a:moveTo>
                                  <a:pt x="0" y="0"/>
                                </a:moveTo>
                                <a:lnTo>
                                  <a:pt x="0" y="2161"/>
                                </a:lnTo>
                              </a:path>
                            </a:pathLst>
                          </a:custGeom>
                          <a:noFill/>
                          <a:ln w="6096" cap="flat" cmpd="sng">
                            <a:solidFill>
                              <a:srgbClr val="000000"/>
                            </a:solidFill>
                            <a:prstDash val="solid"/>
                            <a:headEnd type="none" w="med" len="med"/>
                            <a:tailEnd type="none" w="med" len="med"/>
                          </a:ln>
                        </wps:spPr>
                        <wps:bodyPr upright="1"/>
                      </wps:wsp>
                      <wps:wsp>
                        <wps:cNvPr id="92" name="文本框 92"/>
                        <wps:cNvSpPr txBox="1"/>
                        <wps:spPr>
                          <a:xfrm>
                            <a:off x="19" y="19"/>
                            <a:ext cx="4025" cy="2142"/>
                          </a:xfrm>
                          <a:prstGeom prst="rect">
                            <a:avLst/>
                          </a:prstGeom>
                          <a:noFill/>
                          <a:ln>
                            <a:noFill/>
                          </a:ln>
                        </wps:spPr>
                        <wps:txbx>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7"/>
                                <w:ind w:left="0"/>
                              </w:pPr>
                            </w:p>
                            <w:p>
                              <w:pPr>
                                <w:pStyle w:val="8"/>
                                <w:kinsoku w:val="0"/>
                                <w:overflowPunct w:val="0"/>
                                <w:spacing w:before="0"/>
                                <w:ind w:left="107"/>
                              </w:pPr>
                              <w:r>
                                <w:rPr>
                                  <w:rFonts w:hint="eastAsia"/>
                                </w:rPr>
                                <w:t>被授权代表身份证复印件（正面）</w:t>
                              </w:r>
                            </w:p>
                          </w:txbxContent>
                        </wps:txbx>
                        <wps:bodyPr lIns="0" tIns="0" rIns="0" bIns="0" upright="1"/>
                      </wps:wsp>
                      <wps:wsp>
                        <wps:cNvPr id="93" name="文本框 93"/>
                        <wps:cNvSpPr txBox="1"/>
                        <wps:spPr>
                          <a:xfrm>
                            <a:off x="4044" y="19"/>
                            <a:ext cx="4025" cy="2142"/>
                          </a:xfrm>
                          <a:prstGeom prst="rect">
                            <a:avLst/>
                          </a:prstGeom>
                          <a:noFill/>
                          <a:ln>
                            <a:noFill/>
                          </a:ln>
                        </wps:spPr>
                        <wps:txbx>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7"/>
                                <w:ind w:left="0"/>
                              </w:pPr>
                            </w:p>
                            <w:p>
                              <w:pPr>
                                <w:pStyle w:val="8"/>
                                <w:kinsoku w:val="0"/>
                                <w:overflowPunct w:val="0"/>
                                <w:spacing w:before="0"/>
                                <w:ind w:left="107"/>
                              </w:pPr>
                              <w:r>
                                <w:rPr>
                                  <w:rFonts w:hint="eastAsia"/>
                                </w:rPr>
                                <w:t>被授权代表身份证复印件（反面）</w:t>
                              </w:r>
                            </w:p>
                          </w:txbxContent>
                        </wps:txbx>
                        <wps:bodyPr lIns="0" tIns="0" rIns="0" bIns="0" upright="1"/>
                      </wps:wsp>
                    </wpg:wgp>
                  </a:graphicData>
                </a:graphic>
              </wp:inline>
            </w:drawing>
          </mc:Choice>
          <mc:Fallback>
            <w:pict>
              <v:group id="_x0000_s1026" o:spid="_x0000_s1026" o:spt="203" style="height:109.05pt;width:404.45pt;" coordsize="8089,2181" o:gfxdata="UEsDBAoAAAAAAIdO4kAAAAAAAAAAAAAAAAAEAAAAZHJzL1BLAwQUAAAACACHTuJAIUvYTNYAAAAF&#10;AQAADwAAAGRycy9kb3ducmV2LnhtbE2PQUvDQBCF74L/YRnBm93dipLGbIoU9VQEW0F6m2anSWh2&#10;NmS3SfvvXb3oZeDxHu99UyzPrhMjDaH1bEDPFAjiytuWawOf29e7DESIyBY7z2TgQgGW5fVVgbn1&#10;E3/QuIm1SCUccjTQxNjnUoaqIYdh5nvi5B384DAmOdTSDjilctfJuVKP0mHLaaHBnlYNVcfNyRl4&#10;m3B6vtcv4/p4WF1224f3r7UmY25vtHoCEekc/8Lwg5/QoUxMe39iG0RnID0Sf2/yMpUtQOwNzHWm&#10;QZaF/E9ffgNQSwMEFAAAAAgAh07iQE3d1bOrBAAAJSEAAA4AAABkcnMvZTJvRG9jLnhtbO1azY7k&#10;NBC+I/EOVu5Mfvo/mp6VYHZHSCtY7S4P4E6cH5HYlu3+mfsKuMGJA9oLiCMvgEbwNMzAY1C2k053&#10;zwS66R1oocxhphI7Lrvqc/kr15w/WZUFWhAhc0anjn/mOYjQiMU5TafOZ6+ffTB2kFSYxrhglEyd&#10;ayKdJxfvv3e+5CEJWMaKmAgEg1AZLvnUyZTioevKKCMllmeMEwqNCRMlVvAoUjcWeAmjl4UbeN7Q&#10;XTIRc8EiIiW8vbSNTjWi2GdAliR5RC5ZNC8JVXZUQQqsYEkyy7l0Lsxsk4RE6tMkkUShYurASpX5&#10;DUpAnunf7sU5DlOBeZZH1RTwPlPYWVOJcwpK10NdYoXRXOT3hirzSDDJEnUWsdK1CzEWgVX43o5t&#10;rgSbc7OWNFymfG10cNSO1f/xsNEnixcC5fHUmfQdRHEJHv/95s3tN18heAHWWfI0hE5Xgr/iL4Rd&#10;IojPWfS5RJS9ZGBSX3d0d3vq57T5bJWIUn8Oa0Yr44DrtQPISqEIXg783nDgDxwUQZvfG/cnvYF1&#10;UZSBH+99F2VPqy/H3nhiPwv8sZ0PDq1KM7H1RJYcYCsbW8rjbPkqw5wYF0ltpsqW46C25W83N3dv&#10;vr798bs/fv359pcfELQYo5re2qLVk6yMu2Ml8AlYYmJtUFtp7I3qtRoAu/VKcRjNpboizBgaL55L&#10;BcMDKONawlktRStaixwr/Vr31CJaTh2rIps6gWdgXbIFec1MD7XjBdDetBZ0sxeMAsGkdjN0tM0g&#10;aD0AGSsY3SBvTp6yZ3lRmNkXVM9o6E2G4GAMESeBnQ5iyQG1kqZmgpIVeaw/0XOUIp19VAi0wHrX&#10;mx9tQVCx1Y0LqS6xzGw/02QNnREcP6UxUtcctgOFMOjoKZQkdlBBIGpqycxN4bzYpyeoLqjZIzK0&#10;rtY4nLH4GhAz5yJPs419ZBCqt96/AdVeK1R7eo16EgDsv4dqYLEajK1lGrD2/WpjPh5YtYrjwdqH&#10;Q6EDq9knpwpWwJg9o+7F1eqwOhCs/sCcFTjs4NrF1m0iexClaqEBwGRa4Gpozd6xtQqt/qgirA1a&#10;OybQMQGddr0LtAK/akHr8CAmAOQUjlETkJvACkTSsPrAH23T823edwxp1So0C9AaNA1saCk/gLRa&#10;EgCD1HSlI61AAU+MtI5aoTo6CKrAVjVWgbsaOl/H1QasPUOCgb7XidlmkvJOwAoajgdrz6SVJsvQ&#10;CRgIXYZ1MhkWYKwlrppcaX8W4PUqItAK1+DR4Qoajodr0MH1dC8E4Phugau5hzoArgO4W/jL6NrB&#10;tbu/2vs2/OEcawJ87WG4Qssh91djb2CJqz3yH2KuHVw7uB4LV7ipbIGrSYv2jq7ru3W/lQwM61P2&#10;0bgraDieDAzrfLBLtE4u0ZqsC1l333559/anu++/QPBuO64itfqQQfVuDeCWYpZv4yv82Uq2+l5Q&#10;VfwCv78LWV2j0QUtpIWpI6CgayBXp14606m6aCRulY22Xpjc6F4FRq1mq2oxVTGm+JhCSRAOFVUL&#10;ohZmtfCfFmwm64LNhkt2SzX7uqTv9W1K8f91iin/QvXcZMVVpV+X5zefDS6a/264+B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aBwAAW0NvbnRl&#10;bnRfVHlwZXNdLnhtbFBLAQIUAAoAAAAAAIdO4kAAAAAAAAAAAAAAAAAGAAAAAAAAAAAAEAAAAPwF&#10;AABfcmVscy9QSwECFAAUAAAACACHTuJAihRmPNEAAACUAQAACwAAAAAAAAABACAAAAAgBgAAX3Jl&#10;bHMvLnJlbHNQSwECFAAKAAAAAACHTuJAAAAAAAAAAAAAAAAABAAAAAAAAAAAABAAAAAAAAAAZHJz&#10;L1BLAQIUABQAAAAIAIdO4kAhS9hM1gAAAAUBAAAPAAAAAAAAAAEAIAAAACIAAABkcnMvZG93bnJl&#10;di54bWxQSwECFAAUAAAACACHTuJATd3Vs6sEAAAlIQAADgAAAAAAAAABACAAAAAlAQAAZHJzL2Uy&#10;b0RvYy54bWxQSwUGAAAAAAYABgBZAQAAQggAAAAA&#10;">
                <o:lock v:ext="edit" rotation="t" aspectratio="f"/>
                <v:shape id="_x0000_s1026" o:spid="_x0000_s1026" o:spt="100" style="position:absolute;left:4;top:9;height:20;width:8079;" filled="f" stroked="t" coordsize="8079,20" o:gfxdata="UEsDBAoAAAAAAIdO4kAAAAAAAAAAAAAAAAAEAAAAZHJzL1BLAwQUAAAACACHTuJAgjGMrbwAAADb&#10;AAAADwAAAGRycy9kb3ducmV2LnhtbEWPT2sCMRTE74V+h/AK3mrigiJbowdpVdqTfw49PjZvN4ub&#10;lyWJun77piB4HGbmN8xiNbhOXCnE1rOGyViBIK68abnRcDp+vc9BxIRssPNMGu4UYbV8fVlgafyN&#10;93Q9pEZkCMcSNdiU+lLKWFlyGMe+J85e7YPDlGVopAl4y3DXyUKpmXTYcl6w2NPaUnU+XJyGn7ou&#10;zkEV39PN9hNxmLbNr11rPXqbqA8QiYb0DD/aO6NhXsD/l/wD5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IxjK28AAAA&#10;2w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i0NcJr0AAADb&#10;AAAADwAAAGRycy9kb3ducmV2LnhtbEWPwWrDMBBE74X8g9hAb43klobUsZxDQiC09BCnH7BYG9vY&#10;WhlJTdx+fRUI9DjMzBum2Ex2EBfyoXOsIVsoEMS1Mx03Gr5O+6cViBCRDQ6OScMPBdiUs4cCc+Ou&#10;fKRLFRuRIBxy1NDGOOZShroli2HhRuLknZ23GJP0jTQerwluB/ms1FJa7DgttDjStqW6r76thp33&#10;p085nqvf94+dyxrVv75NvdaP80ytQUSa4n/43j4YDasXuH1JP0CW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Q1wm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_x0000_s1026" o:spid="_x0000_s1026" o:spt="100" style="position:absolute;left:24;top:2151;height:20;width:8041;" filled="f" stroked="t" coordsize="8041,20" o:gfxdata="UEsDBAoAAAAAAIdO4kAAAAAAAAAAAAAAAAAEAAAAZHJzL1BLAwQUAAAACACHTuJABKrEUr0AAADb&#10;AAAADwAAAGRycy9kb3ducmV2LnhtbEWPwWrDMBBE74X8g9hAb43k0obUsZxDQiC09BCnH7BYG9vY&#10;WhlJTdx+fRUI9DjMzBum2Ex2EBfyoXOsIVsoEMS1Mx03Gr5O+6cViBCRDQ6OScMPBdiUs4cCc+Ou&#10;fKRLFRuRIBxy1NDGOOZShroli2HhRuLknZ23GJP0jTQerwluB/ms1FJa7DgttDjStqW6r76thp33&#10;p085nqvf94+dyxrVv75NvdaP80ytQUSa4n/43j4YDasXuH1JP0CW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qsRS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_x0000_s1026" o:spid="_x0000_s1026" o:spt="100" style="position:absolute;left:4;top:2170;height:20;width:8079;" filled="f" stroked="t" coordsize="8079,20" o:gfxdata="UEsDBAoAAAAAAIdO4kAAAAAAAAAAAAAAAAAEAAAAZHJzL1BLAwQUAAAACACHTuJADdgU2bwAAADb&#10;AAAADwAAAGRycy9kb3ducmV2LnhtbEWPT2sCMRTE74V+h/AEbzVxYUW2Rg9i/1BP2h56fGzebhY3&#10;L0uS6vrtG0HwOMzMb5jVZnS9OFOInWcN85kCQVx703Gr4ef77WUJIiZkg71n0nClCJv189MKK+Mv&#10;fKDzMbUiQzhWqMGmNFRSxtqSwzjzA3H2Gh8cpixDK03AS4a7XhZKLaTDjvOCxYG2lurT8c9p2DdN&#10;cQqq+CrfP3aIY9m1v3ar9XQyV68gEo3pEb63P42GZQm3L/kHyP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3YFNm8AAAA&#10;2w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9;top:4;height:2171;width:20;" filled="f" stroked="t" coordsize="20,2171" o:gfxdata="UEsDBAoAAAAAAIdO4kAAAAAAAAAAAAAAAAAEAAAAZHJzL1BLAwQUAAAACACHTuJANDr6obcAAADb&#10;AAAADwAAAGRycy9kb3ducmV2LnhtbEWPwQrCMBBE74L/EFbwpqkeRKtRVBQ8CVbxvDZrW2w2pYm2&#10;/r0RBI/DzLxhFqvWlOJFtSssKxgNIxDEqdUFZwou5/1gCsJ5ZI2lZVLwJgerZbezwFjbhk/0Snwm&#10;AoRdjApy76tYSpfmZNANbUUcvLutDfog60zqGpsAN6UcR9FEGiw4LORY0Tan9JE8jYK9pXuzaW6U&#10;GD7u7Pqq39t2plS/N4rmIDy1/h/+tQ9awXQC3y/hB8jl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0OvqhtwAAANsAAAAP&#10;AAAAAAAAAAEAIAAAACIAAABkcnMvZG93bnJldi54bWxQSwECFAAUAAAACACHTuJAMy8FnjsAAAA5&#10;AAAAEAAAAAAAAAABACAAAAAGAQAAZHJzL3NoYXBleG1sLnhtbFBLBQYAAAAABgAGAFsBAACwAwAA&#10;AAA=&#10;" path="m0,0l0,2170e">
                  <v:fill on="f" focussize="0,0"/>
                  <v:stroke weight="0.48pt" color="#000000" joinstyle="round"/>
                  <v:imagedata o:title=""/>
                  <o:lock v:ext="edit" aspectratio="f"/>
                </v:shape>
                <v:shape id="_x0000_s1026" o:spid="_x0000_s1026" o:spt="100" style="position:absolute;left:28;top:24;height:2133;width:20;" filled="f" stroked="t" coordsize="20,2133" o:gfxdata="UEsDBAoAAAAAAIdO4kAAAAAAAAAAAAAAAAAEAAAAZHJzL1BLAwQUAAAACACHTuJAthqKvr0AAADb&#10;AAAADwAAAGRycy9kb3ducmV2LnhtbEWPT4vCMBTE7wt+h/CEva2pIirVKCIoHhZh4yL19miebbF5&#10;KU38++k3grDHYWZ+w8wWd1uLK7W+cqyg30tAEOfOVFwo+N2vvyYgfEA2WDsmBQ/ysJh3PmaYGnfj&#10;H7rqUIgIYZ+igjKEJpXS5yVZ9D3XEEfv5FqLIcq2kKbFW4TbWg6SZCQtVhwXSmxoVVJ+1her4Lkf&#10;7A6ZprH+dtlRb5ZZ8dwNlfrs9pMpiED38B9+t7dGwWQMry/xB8j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Goq+vQAA&#10;ANsAAAAPAAAAAAAAAAEAIAAAACIAAABkcnMvZG93bnJldi54bWxQSwECFAAUAAAACACHTuJAMy8F&#10;njsAAAA5AAAAEAAAAAAAAAABACAAAAAMAQAAZHJzL3NoYXBleG1sLnhtbFBLBQYAAAAABgAGAFsB&#10;AAC2AwAAAAA=&#10;" path="m0,0l0,2132e">
                  <v:fill on="f" focussize="0,0"/>
                  <v:stroke weight="0.48pt" color="#000000" joinstyle="round"/>
                  <v:imagedata o:title=""/>
                  <o:lock v:ext="edit" aspectratio="f"/>
                </v:shape>
                <v:shape id="_x0000_s1026" o:spid="_x0000_s1026" o:spt="100" style="position:absolute;left:4034;top:24;height:2123;width:20;" filled="f" stroked="t" coordsize="20,2123" o:gfxdata="UEsDBAoAAAAAAIdO4kAAAAAAAAAAAAAAAAAEAAAAZHJzL1BLAwQUAAAACACHTuJAMyg1X7kAAADb&#10;AAAADwAAAGRycy9kb3ducmV2LnhtbEVPO2/CMBDekfgP1iF1AwcGmgYMKqAgpgpo1fkUH3HU+C6K&#10;XR7/vh4qMX763sv13bfqSn1ohA1MJxko4kpsw7WBr89ynIMKEdliK0wGHhRgvRoOllhYufGJrudY&#10;qxTCoUADLsau0DpUjjyGiXTEibtI7zEm2Nfa9nhL4b7Vsyyba48NpwaHHW0dVT/nX29APg7H17ns&#10;d9/i3gJufJnH99KYl9E0W4CKdI9P8b/7YA3kaWz6kn6AXv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MoNV+5AAAA2wAA&#10;AA8AAAAAAAAAAQAgAAAAIgAAAGRycy9kb3ducmV2LnhtbFBLAQIUABQAAAAIAIdO4kAzLwWeOwAA&#10;ADkAAAAQAAAAAAAAAAEAIAAAAAgBAABkcnMvc2hhcGV4bWwueG1sUEsFBgAAAAAGAAYAWwEAALID&#10;AAAAAA==&#10;" path="m0,0l0,2122e">
                  <v:fill on="f" focussize="0,0"/>
                  <v:stroke weight="0.48pt" color="#000000" joinstyle="round"/>
                  <v:imagedata o:title=""/>
                  <o:lock v:ext="edit" aspectratio="f"/>
                </v:shape>
                <v:shape id="_x0000_s1026" o:spid="_x0000_s1026" o:spt="100" style="position:absolute;left:4053;top:24;height:2123;width:20;" filled="f" stroked="t" coordsize="20,2123" o:gfxdata="UEsDBAoAAAAAAIdO4kAAAAAAAAAAAAAAAAAEAAAAZHJzL1BLAwQUAAAACACHTuJAXGSQxLwAAADb&#10;AAAADwAAAGRycy9kb3ducmV2LnhtbEWPQWvCQBSE7wX/w/KE3urGHmwSXUVbUjwVtcXzI/vMBrPv&#10;hexW7b/vFgoeh5n5hlmsbr5TFxpCK2xgOslAEddiW24MfH1WTzmoEJEtdsJk4IcCrJajhwWWVq68&#10;p8shNipBOJRowMXYl1qH2pHHMJGeOHknGTzGJIdG2wGvCe47/ZxlM+2x5bTgsKdXR/X58O0NyMd2&#10;9zKT97ejuCLgxld5XFfGPI6n2RxUpFu8h//bW2sgL+DvS/oBe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xkkMS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_x0000_s1026" o:spid="_x0000_s1026" o:spt="100" style="position:absolute;left:8059;top:33;height:2123;width:20;" filled="f" stroked="t" coordsize="20,2123" o:gfxdata="UEsDBAoAAAAAAIdO4kAAAAAAAAAAAAAAAAAEAAAAZHJzL1BLAwQUAAAACACHTuJASIevhLkAAADb&#10;AAAADwAAAGRycy9kb3ducmV2LnhtbEVPyW7CMBC9I/UfrKnUGzj0ACRgEG0VxKliqXoexUMcEc9E&#10;scvy9/hQiePT2xerm2/VhfrQCBsYjzJQxJXYhmsDP8dyOAMVIrLFVpgM3CnAavkyWGBh5cp7uhxi&#10;rVIIhwINuBi7QutQOfIYRtIRJ+4kvceYYF9r2+M1hftWv2fZRHtsODU47OjTUXU+/HkD8r3dTSey&#10;+foVlwf88OUsrktj3l7H2RxUpFt8iv/dW2sgT+vTl/QD9P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iHr4S5AAAA2wAA&#10;AA8AAAAAAAAAAQAgAAAAIgAAAGRycy9kb3ducmV2LnhtbFBLAQIUABQAAAAIAIdO4kAzLwWeOwAA&#10;ADkAAAAQAAAAAAAAAAEAIAAAAAgBAABkcnMvc2hhcGV4bWwueG1sUEsFBgAAAAAGAAYAWwEAALID&#10;AAAAAA==&#10;" path="m0,0l0,2122e">
                  <v:fill on="f" focussize="0,0"/>
                  <v:stroke weight="0.48pt" color="#000000" joinstyle="round"/>
                  <v:imagedata o:title=""/>
                  <o:lock v:ext="edit" aspectratio="f"/>
                </v:shape>
                <v:shape id="_x0000_s1026" o:spid="_x0000_s1026" o:spt="100" style="position:absolute;left:8078;top:14;height:2162;width:20;" filled="f" stroked="t" coordsize="20,2162" o:gfxdata="UEsDBAoAAAAAAIdO4kAAAAAAAAAAAAAAAAAEAAAAZHJzL1BLAwQUAAAACACHTuJAR/vZALcAAADb&#10;AAAADwAAAGRycy9kb3ducmV2LnhtbEWPwQrCMBBE74L/EFbwpmkVRavRgyCKJ61+wNqsbbHZlCZW&#10;/XsjCB6HmXnDLNcvU4mWGldaVhAPIxDEmdUl5wou5+1gBsJ5ZI2VZVLwJgfrVbezxETbJ5+oTX0u&#10;AoRdggoK7+tESpcVZNANbU0cvJttDPogm1zqBp8Bbio5iqKpNFhyWCiwpk1B2T19GAWzzRhxcn/Q&#10;7ng44XF/LQ22qVL9XhwtQHh6+X/4195rBfMYvl/CD5Cr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H+9kAtwAAANsAAAAP&#10;AAAAAAAAAAEAIAAAACIAAABkcnMvZG93bnJldi54bWxQSwECFAAUAAAACACHTuJAMy8FnjsAAAA5&#10;AAAAEAAAAAAAAAABACAAAAAGAQAAZHJzL3NoYXBleG1sLnhtbFBLBQYAAAAABgAGAFsBAACwAwAA&#10;AAA=&#10;" path="m0,0l0,2161e">
                  <v:fill on="f" focussize="0,0"/>
                  <v:stroke weight="0.48pt" color="#000000" joinstyle="round"/>
                  <v:imagedata o:title=""/>
                  <o:lock v:ext="edit" aspectratio="f"/>
                </v:shape>
                <v:shape id="_x0000_s1026" o:spid="_x0000_s1026" o:spt="202" type="#_x0000_t202" style="position:absolute;left:19;top:19;height:2142;width:4025;" filled="f" stroked="f" coordsize="21600,21600" o:gfxdata="UEsDBAoAAAAAAIdO4kAAAAAAAAAAAAAAAAAEAAAAZHJzL1BLAwQUAAAACACHTuJA+EfJDr0AAADb&#10;AAAADwAAAGRycy9kb3ducmV2LnhtbEWPT2sCMRTE74V+h/CE3mqiB9HVKEUqCAVxXQ8eXzfP3eDm&#10;Zd3Ef9/eCIUeh5n5DTNb3F0jrtQF61nDoK9AEJfeWK407IvV5xhEiMgGG8+k4UEBFvP3txlmxt84&#10;p+suViJBOGSooY6xzaQMZU0OQ9+3xMk7+s5hTLKrpOnwluCukUOlRtKh5bRQY0vLmsrT7uI0fB04&#10;/7bnze82P+a2KCaKf0YnrT96AzUFEeke/8N/7bXRMBnC60v6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R8kO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7"/>
                          <w:ind w:left="0"/>
                        </w:pPr>
                      </w:p>
                      <w:p>
                        <w:pPr>
                          <w:pStyle w:val="8"/>
                          <w:kinsoku w:val="0"/>
                          <w:overflowPunct w:val="0"/>
                          <w:spacing w:before="0"/>
                          <w:ind w:left="107"/>
                        </w:pPr>
                        <w:r>
                          <w:rPr>
                            <w:rFonts w:hint="eastAsia"/>
                          </w:rPr>
                          <w:t>被授权代表身份证复印件（正面）</w:t>
                        </w:r>
                      </w:p>
                    </w:txbxContent>
                  </v:textbox>
                </v:shape>
                <v:shape id="_x0000_s1026" o:spid="_x0000_s1026" o:spt="202" type="#_x0000_t202" style="position:absolute;left:4044;top:19;height:2142;width:4025;" filled="f" stroked="f" coordsize="21600,21600" o:gfxdata="UEsDBAoAAAAAAIdO4kAAAAAAAAAAAAAAAAAEAAAAZHJzL1BLAwQUAAAACACHTuJAlwtslb0AAADb&#10;AAAADwAAAGRycy9kb3ducmV2LnhtbEWPQWsCMRSE74L/ITyhN01sQepqFBELhUJxXQ8en5vnbnDz&#10;sm5Stf++EQoeh5n5hpkv764RV+qC9axhPFIgiEtvLFca9sXH8B1EiMgGG8+k4ZcCLBf93hwz42+c&#10;03UXK5EgHDLUUMfYZlKGsiaHYeRb4uSdfOcwJtlV0nR4S3DXyFelJtKh5bRQY0vrmsrz7sdpWB04&#10;39jL93Gbn3JbFFPFX5Oz1i+DsZqBiHSPz/B/+9NomL7B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C2yV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8"/>
                          <w:kinsoku w:val="0"/>
                          <w:overflowPunct w:val="0"/>
                          <w:spacing w:before="0"/>
                          <w:ind w:left="0"/>
                        </w:pPr>
                      </w:p>
                      <w:p>
                        <w:pPr>
                          <w:pStyle w:val="8"/>
                          <w:kinsoku w:val="0"/>
                          <w:overflowPunct w:val="0"/>
                          <w:spacing w:before="0"/>
                          <w:ind w:left="0"/>
                        </w:pPr>
                      </w:p>
                      <w:p>
                        <w:pPr>
                          <w:pStyle w:val="8"/>
                          <w:kinsoku w:val="0"/>
                          <w:overflowPunct w:val="0"/>
                          <w:spacing w:before="7"/>
                          <w:ind w:left="0"/>
                        </w:pPr>
                      </w:p>
                      <w:p>
                        <w:pPr>
                          <w:pStyle w:val="8"/>
                          <w:kinsoku w:val="0"/>
                          <w:overflowPunct w:val="0"/>
                          <w:spacing w:before="0"/>
                          <w:ind w:left="107"/>
                        </w:pPr>
                        <w:r>
                          <w:rPr>
                            <w:rFonts w:hint="eastAsia"/>
                          </w:rPr>
                          <w:t>被授权代表身份证复印件（反面）</w:t>
                        </w:r>
                      </w:p>
                    </w:txbxContent>
                  </v:textbox>
                </v:shape>
                <w10:wrap type="none"/>
                <w10:anchorlock/>
              </v:group>
            </w:pict>
          </mc:Fallback>
        </mc:AlternateContent>
      </w:r>
    </w:p>
    <w:p>
      <w:pPr>
        <w:pStyle w:val="8"/>
        <w:kinsoku w:val="0"/>
        <w:overflowPunct w:val="0"/>
        <w:spacing w:before="0"/>
        <w:ind w:left="0"/>
        <w:rPr>
          <w:rFonts w:hint="eastAsia" w:ascii="宋体" w:hAnsi="宋体" w:eastAsia="宋体" w:cs="宋体"/>
          <w:sz w:val="20"/>
          <w:szCs w:val="20"/>
          <w:highlight w:val="none"/>
        </w:rPr>
      </w:pPr>
    </w:p>
    <w:p>
      <w:pPr>
        <w:pStyle w:val="8"/>
        <w:kinsoku w:val="0"/>
        <w:overflowPunct w:val="0"/>
        <w:spacing w:before="7"/>
        <w:ind w:left="0"/>
        <w:rPr>
          <w:rFonts w:hint="eastAsia" w:ascii="宋体" w:hAnsi="宋体" w:eastAsia="宋体" w:cs="宋体"/>
          <w:sz w:val="20"/>
          <w:szCs w:val="20"/>
          <w:highlight w:val="none"/>
        </w:rPr>
      </w:pPr>
    </w:p>
    <w:p>
      <w:pPr>
        <w:pStyle w:val="8"/>
        <w:tabs>
          <w:tab w:val="left" w:pos="5295"/>
        </w:tabs>
        <w:kinsoku w:val="0"/>
        <w:overflowPunct w:val="0"/>
        <w:spacing w:before="26"/>
        <w:ind w:left="618"/>
        <w:rPr>
          <w:rFonts w:hint="eastAsia" w:ascii="宋体" w:hAnsi="宋体" w:eastAsia="宋体" w:cs="宋体"/>
          <w:highlight w:val="none"/>
        </w:rPr>
      </w:pPr>
      <w:r>
        <w:rPr>
          <w:rFonts w:hint="eastAsia" w:ascii="宋体" w:hAnsi="宋体" w:eastAsia="宋体" w:cs="宋体"/>
          <w:highlight w:val="none"/>
        </w:rPr>
        <w:t>被授权代表（签字）：</w:t>
      </w:r>
      <w:r>
        <w:rPr>
          <w:rFonts w:hint="eastAsia" w:ascii="宋体" w:hAnsi="宋体" w:eastAsia="宋体" w:cs="宋体"/>
          <w:highlight w:val="none"/>
        </w:rPr>
        <w:tab/>
      </w:r>
      <w:r>
        <w:rPr>
          <w:rFonts w:hint="eastAsia" w:ascii="宋体" w:hAnsi="宋体" w:eastAsia="宋体" w:cs="宋体"/>
          <w:highlight w:val="none"/>
        </w:rPr>
        <w:t>供应商法定代表人（签字）：</w:t>
      </w:r>
    </w:p>
    <w:p>
      <w:pPr>
        <w:pStyle w:val="8"/>
        <w:tabs>
          <w:tab w:val="left" w:pos="1098"/>
          <w:tab w:val="left" w:pos="5298"/>
          <w:tab w:val="left" w:pos="5778"/>
        </w:tabs>
        <w:kinsoku w:val="0"/>
        <w:overflowPunct w:val="0"/>
        <w:spacing w:before="86"/>
        <w:ind w:left="618"/>
        <w:rPr>
          <w:rFonts w:hint="eastAsia" w:ascii="宋体" w:hAnsi="宋体" w:eastAsia="宋体" w:cs="宋体"/>
          <w:highlight w:val="none"/>
        </w:rPr>
      </w:pPr>
      <w:r>
        <w:rPr>
          <w:rFonts w:hint="eastAsia" w:ascii="宋体" w:hAnsi="宋体" w:eastAsia="宋体" w:cs="宋体"/>
          <w:highlight w:val="none"/>
        </w:rPr>
        <w:t>职</w:t>
      </w:r>
      <w:r>
        <w:rPr>
          <w:rFonts w:hint="eastAsia" w:ascii="宋体" w:hAnsi="宋体" w:eastAsia="宋体" w:cs="宋体"/>
          <w:highlight w:val="none"/>
        </w:rPr>
        <w:tab/>
      </w:r>
      <w:r>
        <w:rPr>
          <w:rFonts w:hint="eastAsia" w:ascii="宋体" w:hAnsi="宋体" w:eastAsia="宋体" w:cs="宋体"/>
          <w:highlight w:val="none"/>
        </w:rPr>
        <w:t>务：</w:t>
      </w:r>
      <w:r>
        <w:rPr>
          <w:rFonts w:hint="eastAsia" w:ascii="宋体" w:hAnsi="宋体" w:eastAsia="宋体" w:cs="宋体"/>
          <w:highlight w:val="none"/>
        </w:rPr>
        <w:tab/>
      </w:r>
      <w:r>
        <w:rPr>
          <w:rFonts w:hint="eastAsia" w:ascii="宋体" w:hAnsi="宋体" w:eastAsia="宋体" w:cs="宋体"/>
          <w:highlight w:val="none"/>
        </w:rPr>
        <w:t>职</w:t>
      </w:r>
      <w:r>
        <w:rPr>
          <w:rFonts w:hint="eastAsia" w:ascii="宋体" w:hAnsi="宋体" w:eastAsia="宋体" w:cs="宋体"/>
          <w:highlight w:val="none"/>
        </w:rPr>
        <w:tab/>
      </w:r>
      <w:r>
        <w:rPr>
          <w:rFonts w:hint="eastAsia" w:ascii="宋体" w:hAnsi="宋体" w:eastAsia="宋体" w:cs="宋体"/>
          <w:highlight w:val="none"/>
        </w:rPr>
        <w:t>务：</w:t>
      </w:r>
    </w:p>
    <w:p>
      <w:pPr>
        <w:pStyle w:val="8"/>
        <w:tabs>
          <w:tab w:val="left" w:pos="1098"/>
          <w:tab w:val="left" w:pos="5298"/>
          <w:tab w:val="left" w:pos="5778"/>
        </w:tabs>
        <w:kinsoku w:val="0"/>
        <w:overflowPunct w:val="0"/>
        <w:spacing w:before="84"/>
        <w:ind w:left="618"/>
        <w:rPr>
          <w:rFonts w:hint="eastAsia" w:ascii="宋体" w:hAnsi="宋体" w:eastAsia="宋体" w:cs="宋体"/>
          <w:highlight w:val="none"/>
        </w:rPr>
      </w:pPr>
      <w:r>
        <w:rPr>
          <w:rFonts w:hint="eastAsia" w:ascii="宋体" w:hAnsi="宋体" w:eastAsia="宋体" w:cs="宋体"/>
          <w:highlight w:val="none"/>
        </w:rPr>
        <w:t>电</w:t>
      </w:r>
      <w:r>
        <w:rPr>
          <w:rFonts w:hint="eastAsia" w:ascii="宋体" w:hAnsi="宋体" w:eastAsia="宋体" w:cs="宋体"/>
          <w:highlight w:val="none"/>
        </w:rPr>
        <w:tab/>
      </w:r>
      <w:r>
        <w:rPr>
          <w:rFonts w:hint="eastAsia" w:ascii="宋体" w:hAnsi="宋体" w:eastAsia="宋体" w:cs="宋体"/>
          <w:highlight w:val="none"/>
        </w:rPr>
        <w:t>话：</w:t>
      </w:r>
      <w:r>
        <w:rPr>
          <w:rFonts w:hint="eastAsia" w:ascii="宋体" w:hAnsi="宋体" w:eastAsia="宋体" w:cs="宋体"/>
          <w:highlight w:val="none"/>
        </w:rPr>
        <w:tab/>
      </w:r>
      <w:r>
        <w:rPr>
          <w:rFonts w:hint="eastAsia" w:ascii="宋体" w:hAnsi="宋体" w:eastAsia="宋体" w:cs="宋体"/>
          <w:highlight w:val="none"/>
        </w:rPr>
        <w:t>电</w:t>
      </w:r>
      <w:r>
        <w:rPr>
          <w:rFonts w:hint="eastAsia" w:ascii="宋体" w:hAnsi="宋体" w:eastAsia="宋体" w:cs="宋体"/>
          <w:highlight w:val="none"/>
        </w:rPr>
        <w:tab/>
      </w:r>
      <w:r>
        <w:rPr>
          <w:rFonts w:hint="eastAsia" w:ascii="宋体" w:hAnsi="宋体" w:eastAsia="宋体" w:cs="宋体"/>
          <w:highlight w:val="none"/>
        </w:rPr>
        <w:t>话：</w:t>
      </w:r>
    </w:p>
    <w:p>
      <w:pPr>
        <w:pStyle w:val="8"/>
        <w:tabs>
          <w:tab w:val="left" w:pos="5631"/>
          <w:tab w:val="left" w:pos="6591"/>
          <w:tab w:val="left" w:pos="7191"/>
          <w:tab w:val="left" w:pos="7791"/>
          <w:tab w:val="left" w:pos="8247"/>
        </w:tabs>
        <w:kinsoku w:val="0"/>
        <w:overflowPunct w:val="0"/>
        <w:spacing w:before="166" w:line="383" w:lineRule="auto"/>
        <w:ind w:left="4912" w:right="238" w:hanging="384"/>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u w:val="single"/>
        </w:rPr>
        <w:tab/>
      </w:r>
      <w:r>
        <w:rPr>
          <w:rFonts w:hint="eastAsia" w:ascii="宋体" w:hAnsi="宋体" w:eastAsia="宋体" w:cs="宋体"/>
          <w:highlight w:val="none"/>
          <w:u w:val="single"/>
        </w:rPr>
        <w:tab/>
      </w:r>
      <w:r>
        <w:rPr>
          <w:rFonts w:hint="eastAsia" w:ascii="宋体" w:hAnsi="宋体" w:eastAsia="宋体" w:cs="宋体"/>
          <w:highlight w:val="none"/>
          <w:u w:val="single"/>
        </w:rPr>
        <w:tab/>
      </w:r>
      <w:r>
        <w:rPr>
          <w:rFonts w:hint="eastAsia" w:ascii="宋体" w:hAnsi="宋体" w:eastAsia="宋体" w:cs="宋体"/>
          <w:highlight w:val="none"/>
        </w:rPr>
        <w:t xml:space="preserve">（盖章） </w:t>
      </w:r>
    </w:p>
    <w:p>
      <w:pPr>
        <w:pStyle w:val="8"/>
        <w:tabs>
          <w:tab w:val="left" w:pos="5631"/>
          <w:tab w:val="left" w:pos="6591"/>
          <w:tab w:val="left" w:pos="7191"/>
          <w:tab w:val="left" w:pos="7791"/>
          <w:tab w:val="left" w:pos="8247"/>
        </w:tabs>
        <w:kinsoku w:val="0"/>
        <w:overflowPunct w:val="0"/>
        <w:spacing w:before="166" w:line="383" w:lineRule="auto"/>
        <w:ind w:left="4912" w:right="238" w:hanging="384"/>
        <w:rPr>
          <w:rFonts w:hint="eastAsia" w:ascii="宋体" w:hAnsi="宋体" w:eastAsia="宋体" w:cs="宋体"/>
          <w:highlight w:val="non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 xml:space="preserve">日                </w:t>
      </w:r>
    </w:p>
    <w:p>
      <w:pPr>
        <w:pStyle w:val="8"/>
        <w:kinsoku w:val="0"/>
        <w:overflowPunct w:val="0"/>
        <w:spacing w:before="7"/>
        <w:ind w:left="0"/>
        <w:rPr>
          <w:rFonts w:hint="eastAsia" w:ascii="宋体" w:hAnsi="宋体" w:eastAsia="宋体" w:cs="宋体"/>
          <w:sz w:val="22"/>
          <w:szCs w:val="22"/>
          <w:highlight w:val="none"/>
        </w:rPr>
      </w:pPr>
    </w:p>
    <w:p>
      <w:pPr>
        <w:pStyle w:val="8"/>
        <w:tabs>
          <w:tab w:val="left" w:pos="5418"/>
        </w:tabs>
        <w:kinsoku w:val="0"/>
        <w:overflowPunct w:val="0"/>
        <w:spacing w:before="26"/>
        <w:ind w:left="618"/>
        <w:jc w:val="both"/>
        <w:rPr>
          <w:rFonts w:hint="eastAsia" w:ascii="宋体" w:hAnsi="宋体" w:eastAsia="宋体" w:cs="宋体"/>
          <w:b/>
          <w:highlight w:val="none"/>
        </w:rPr>
      </w:pPr>
      <w:r>
        <w:rPr>
          <w:rFonts w:hint="eastAsia" w:ascii="宋体" w:hAnsi="宋体" w:eastAsia="宋体" w:cs="宋体"/>
          <w:b/>
          <w:highlight w:val="none"/>
        </w:rPr>
        <w:t>★备注 ：后 附〖 法定代表人资格证明及委托代理人（被授权人）身份证复印件（现场核查）〗，递交投标文件时需递交一份。</w:t>
      </w:r>
    </w:p>
    <w:p>
      <w:pPr>
        <w:pStyle w:val="8"/>
        <w:kinsoku w:val="0"/>
        <w:overflowPunct w:val="0"/>
        <w:spacing w:before="34" w:line="357" w:lineRule="auto"/>
        <w:ind w:right="126" w:firstLine="480"/>
        <w:jc w:val="center"/>
        <w:outlineLvl w:val="1"/>
        <w:rPr>
          <w:rFonts w:hint="eastAsia" w:ascii="宋体" w:hAnsi="宋体" w:eastAsia="宋体" w:cs="宋体"/>
          <w:b/>
          <w:bCs/>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四、投标保证金缴纳凭证</w:t>
      </w:r>
    </w:p>
    <w:p>
      <w:pPr>
        <w:pStyle w:val="8"/>
        <w:kinsoku w:val="0"/>
        <w:overflowPunct w:val="0"/>
        <w:spacing w:before="0"/>
        <w:ind w:left="0"/>
        <w:rPr>
          <w:rFonts w:hint="eastAsia" w:ascii="宋体" w:hAnsi="宋体" w:eastAsia="宋体" w:cs="宋体"/>
          <w:b/>
          <w:bCs/>
          <w:sz w:val="20"/>
          <w:szCs w:val="20"/>
          <w:highlight w:val="none"/>
        </w:rPr>
      </w:pPr>
    </w:p>
    <w:p>
      <w:pPr>
        <w:pStyle w:val="8"/>
        <w:kinsoku w:val="0"/>
        <w:overflowPunct w:val="0"/>
        <w:spacing w:before="4"/>
        <w:ind w:left="0"/>
        <w:rPr>
          <w:rFonts w:hint="eastAsia" w:ascii="宋体" w:hAnsi="宋体" w:eastAsia="宋体" w:cs="宋体"/>
          <w:b/>
          <w:bCs/>
          <w:sz w:val="23"/>
          <w:szCs w:val="23"/>
          <w:highlight w:val="none"/>
        </w:rPr>
      </w:pPr>
    </w:p>
    <w:p>
      <w:pPr>
        <w:spacing w:line="420" w:lineRule="exac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致：（采购人）</w:t>
      </w:r>
    </w:p>
    <w:p>
      <w:pPr>
        <w:spacing w:line="42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我方于</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rPr>
        <w:t xml:space="preserve"> 日参加</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u w:val="single"/>
        </w:rPr>
        <w:t xml:space="preserve">（项目名称）   </w:t>
      </w:r>
      <w:r>
        <w:rPr>
          <w:rFonts w:hint="eastAsia" w:ascii="宋体" w:hAnsi="宋体" w:eastAsia="宋体" w:cs="宋体"/>
          <w:kern w:val="0"/>
          <w:sz w:val="24"/>
          <w:szCs w:val="24"/>
          <w:highlight w:val="none"/>
        </w:rPr>
        <w:t>的投标，现保证：我方在规定的投标有效期内撤销或修改投标文件的，或者在收到中标通知书后无正当理由拒签合同或拒交规定履约担保的，投标保证金不予退还。</w:t>
      </w:r>
    </w:p>
    <w:p>
      <w:pPr>
        <w:pStyle w:val="8"/>
        <w:kinsoku w:val="0"/>
        <w:overflowPunct w:val="0"/>
        <w:spacing w:before="0"/>
        <w:ind w:left="0"/>
        <w:rPr>
          <w:rFonts w:hint="eastAsia" w:ascii="宋体" w:hAnsi="宋体" w:eastAsia="宋体" w:cs="宋体"/>
          <w:highlight w:val="none"/>
        </w:rPr>
      </w:pPr>
    </w:p>
    <w:p>
      <w:pPr>
        <w:pStyle w:val="8"/>
        <w:kinsoku w:val="0"/>
        <w:overflowPunct w:val="0"/>
        <w:spacing w:before="0"/>
        <w:ind w:left="0"/>
        <w:rPr>
          <w:rFonts w:hint="eastAsia" w:ascii="宋体" w:hAnsi="宋体" w:eastAsia="宋体" w:cs="宋体"/>
          <w:highlight w:val="none"/>
        </w:rPr>
      </w:pPr>
    </w:p>
    <w:p>
      <w:pPr>
        <w:pStyle w:val="8"/>
        <w:kinsoku w:val="0"/>
        <w:overflowPunct w:val="0"/>
        <w:spacing w:before="4"/>
        <w:ind w:left="0"/>
        <w:rPr>
          <w:rFonts w:hint="eastAsia" w:ascii="宋体" w:hAnsi="宋体" w:eastAsia="宋体" w:cs="宋体"/>
          <w:sz w:val="34"/>
          <w:szCs w:val="34"/>
          <w:highlight w:val="none"/>
        </w:rPr>
      </w:pPr>
    </w:p>
    <w:p>
      <w:pPr>
        <w:spacing w:line="420" w:lineRule="exact"/>
        <w:ind w:right="480"/>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供应商：</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（公章） </w:t>
      </w:r>
    </w:p>
    <w:p>
      <w:pPr>
        <w:wordWrap w:val="0"/>
        <w:spacing w:line="420" w:lineRule="exact"/>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法定代表人或委托人：</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（签字）    </w:t>
      </w:r>
    </w:p>
    <w:p>
      <w:pPr>
        <w:spacing w:line="420" w:lineRule="exact"/>
        <w:ind w:right="480" w:firstLine="5280" w:firstLineChars="2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pPr>
        <w:pStyle w:val="8"/>
        <w:tabs>
          <w:tab w:val="left" w:pos="5551"/>
          <w:tab w:val="left" w:pos="6511"/>
          <w:tab w:val="left" w:pos="7111"/>
          <w:tab w:val="left" w:pos="7711"/>
        </w:tabs>
        <w:kinsoku w:val="0"/>
        <w:overflowPunct w:val="0"/>
        <w:spacing w:before="46"/>
        <w:ind w:left="2583" w:firstLine="2248"/>
        <w:rPr>
          <w:rFonts w:hint="eastAsia" w:ascii="宋体" w:hAnsi="宋体" w:eastAsia="宋体" w:cs="宋体"/>
          <w:highlight w:val="none"/>
        </w:rPr>
      </w:pPr>
    </w:p>
    <w:p>
      <w:pPr>
        <w:pStyle w:val="8"/>
        <w:kinsoku w:val="0"/>
        <w:overflowPunct w:val="0"/>
        <w:spacing w:before="0"/>
        <w:ind w:left="0"/>
        <w:rPr>
          <w:rFonts w:hint="eastAsia" w:ascii="宋体" w:hAnsi="宋体" w:eastAsia="宋体" w:cs="宋体"/>
          <w:highlight w:val="none"/>
        </w:rPr>
      </w:pPr>
    </w:p>
    <w:p>
      <w:pPr>
        <w:pStyle w:val="8"/>
        <w:kinsoku w:val="0"/>
        <w:overflowPunct w:val="0"/>
        <w:spacing w:before="5"/>
        <w:ind w:left="0"/>
        <w:rPr>
          <w:rFonts w:hint="eastAsia" w:ascii="宋体" w:hAnsi="宋体" w:eastAsia="宋体" w:cs="宋体"/>
          <w:sz w:val="25"/>
          <w:szCs w:val="25"/>
          <w:highlight w:val="none"/>
        </w:rPr>
      </w:pPr>
    </w:p>
    <w:p>
      <w:pPr>
        <w:pStyle w:val="8"/>
        <w:kinsoku w:val="0"/>
        <w:overflowPunct w:val="0"/>
        <w:spacing w:before="0"/>
        <w:jc w:val="center"/>
        <w:rPr>
          <w:rFonts w:hint="eastAsia" w:ascii="宋体" w:hAnsi="宋体" w:eastAsia="宋体" w:cs="宋体"/>
          <w:highlight w:val="none"/>
        </w:rPr>
      </w:pPr>
      <w:r>
        <w:rPr>
          <w:rFonts w:hint="eastAsia" w:ascii="宋体" w:hAnsi="宋体" w:eastAsia="宋体" w:cs="宋体"/>
          <w:highlight w:val="none"/>
        </w:rPr>
        <w:t>缴费</w:t>
      </w:r>
      <w:r>
        <w:rPr>
          <w:rFonts w:hint="eastAsia" w:ascii="宋体" w:hAnsi="宋体" w:eastAsia="宋体" w:cs="宋体"/>
          <w:highlight w:val="none"/>
          <w:lang w:eastAsia="zh-CN"/>
        </w:rPr>
        <w:t>证明</w:t>
      </w:r>
      <w:r>
        <w:rPr>
          <w:rFonts w:hint="eastAsia" w:ascii="宋体" w:hAnsi="宋体" w:eastAsia="宋体" w:cs="宋体"/>
          <w:highlight w:val="none"/>
        </w:rPr>
        <w:t>（复印件应附在投标文件中）</w:t>
      </w:r>
    </w:p>
    <w:p>
      <w:pPr>
        <w:pStyle w:val="8"/>
        <w:kinsoku w:val="0"/>
        <w:overflowPunct w:val="0"/>
        <w:spacing w:before="0"/>
        <w:ind w:left="0"/>
        <w:rPr>
          <w:rFonts w:hint="eastAsia" w:ascii="宋体" w:hAnsi="宋体" w:eastAsia="宋体" w:cs="宋体"/>
          <w:sz w:val="20"/>
          <w:szCs w:val="20"/>
          <w:highlight w:val="none"/>
        </w:rPr>
      </w:pPr>
    </w:p>
    <w:p>
      <w:pPr>
        <w:pStyle w:val="8"/>
        <w:kinsoku w:val="0"/>
        <w:overflowPunct w:val="0"/>
        <w:spacing w:before="0" w:line="200" w:lineRule="atLeast"/>
        <w:ind w:left="0" w:leftChars="0" w:firstLine="0" w:firstLineChars="0"/>
        <w:rPr>
          <w:rFonts w:hint="eastAsia" w:ascii="宋体" w:hAnsi="宋体" w:eastAsia="宋体" w:cs="宋体"/>
          <w:sz w:val="20"/>
          <w:szCs w:val="20"/>
          <w:highlight w:val="none"/>
        </w:rPr>
      </w:pPr>
      <w:r>
        <w:rPr>
          <w:rFonts w:hint="eastAsia" w:ascii="宋体" w:hAnsi="宋体" w:eastAsia="宋体" w:cs="宋体"/>
          <w:sz w:val="20"/>
          <w:szCs w:val="20"/>
          <w:highlight w:val="none"/>
        </w:rPr>
        <mc:AlternateContent>
          <mc:Choice Requires="wpg">
            <w:drawing>
              <wp:inline distT="0" distB="0" distL="114300" distR="114300">
                <wp:extent cx="5695950" cy="3213100"/>
                <wp:effectExtent l="0" t="0" r="0" b="6350"/>
                <wp:docPr id="80" name="组合 80"/>
                <wp:cNvGraphicFramePr/>
                <a:graphic xmlns:a="http://schemas.openxmlformats.org/drawingml/2006/main">
                  <a:graphicData uri="http://schemas.microsoft.com/office/word/2010/wordprocessingGroup">
                    <wpg:wgp>
                      <wpg:cNvGrpSpPr>
                        <a:grpSpLocks noRot="1"/>
                      </wpg:cNvGrpSpPr>
                      <wpg:grpSpPr>
                        <a:xfrm>
                          <a:off x="0" y="0"/>
                          <a:ext cx="5695950" cy="3213100"/>
                          <a:chOff x="0" y="0"/>
                          <a:chExt cx="7425" cy="5060"/>
                        </a:xfrm>
                      </wpg:grpSpPr>
                      <wpg:grpSp>
                        <wpg:cNvPr id="81" name="组合 80"/>
                        <wpg:cNvGrpSpPr/>
                        <wpg:grpSpPr>
                          <a:xfrm>
                            <a:off x="0" y="0"/>
                            <a:ext cx="7425" cy="5060"/>
                            <a:chOff x="0" y="0"/>
                            <a:chExt cx="7425" cy="5060"/>
                          </a:xfrm>
                        </wpg:grpSpPr>
                        <wps:wsp>
                          <wps:cNvPr id="1" name="任意多边形 1"/>
                          <wps:cNvSpPr/>
                          <wps:spPr>
                            <a:xfrm>
                              <a:off x="0" y="0"/>
                              <a:ext cx="7425" cy="5060"/>
                            </a:xfrm>
                            <a:custGeom>
                              <a:avLst/>
                              <a:gdLst/>
                              <a:ahLst/>
                              <a:cxnLst/>
                              <a:pathLst>
                                <a:path w="7425" h="5060">
                                  <a:moveTo>
                                    <a:pt x="483" y="19"/>
                                  </a:moveTo>
                                  <a:lnTo>
                                    <a:pt x="412" y="19"/>
                                  </a:lnTo>
                                  <a:lnTo>
                                    <a:pt x="426" y="0"/>
                                  </a:lnTo>
                                  <a:lnTo>
                                    <a:pt x="497" y="0"/>
                                  </a:lnTo>
                                  <a:lnTo>
                                    <a:pt x="483" y="19"/>
                                  </a:lnTo>
                                  <a:close/>
                                </a:path>
                              </a:pathLst>
                            </a:custGeom>
                            <a:solidFill>
                              <a:srgbClr val="000000"/>
                            </a:solidFill>
                            <a:ln>
                              <a:noFill/>
                            </a:ln>
                          </wps:spPr>
                          <wps:bodyPr upright="1"/>
                        </wps:wsp>
                        <wps:wsp>
                          <wps:cNvPr id="2" name="任意多边形 2"/>
                          <wps:cNvSpPr/>
                          <wps:spPr>
                            <a:xfrm>
                              <a:off x="0" y="0"/>
                              <a:ext cx="7425" cy="5060"/>
                            </a:xfrm>
                            <a:custGeom>
                              <a:avLst/>
                              <a:gdLst/>
                              <a:ahLst/>
                              <a:cxnLst/>
                              <a:pathLst>
                                <a:path w="7425" h="5060">
                                  <a:moveTo>
                                    <a:pt x="7011" y="19"/>
                                  </a:moveTo>
                                  <a:lnTo>
                                    <a:pt x="6940" y="19"/>
                                  </a:lnTo>
                                  <a:lnTo>
                                    <a:pt x="6926" y="0"/>
                                  </a:lnTo>
                                  <a:lnTo>
                                    <a:pt x="6998" y="0"/>
                                  </a:lnTo>
                                  <a:lnTo>
                                    <a:pt x="7011" y="19"/>
                                  </a:lnTo>
                                  <a:close/>
                                </a:path>
                              </a:pathLst>
                            </a:custGeom>
                            <a:solidFill>
                              <a:srgbClr val="000000"/>
                            </a:solidFill>
                            <a:ln>
                              <a:noFill/>
                            </a:ln>
                          </wps:spPr>
                          <wps:bodyPr upright="1"/>
                        </wps:wsp>
                        <wps:wsp>
                          <wps:cNvPr id="3" name="任意多边形 3"/>
                          <wps:cNvSpPr/>
                          <wps:spPr>
                            <a:xfrm>
                              <a:off x="0" y="0"/>
                              <a:ext cx="7425" cy="5060"/>
                            </a:xfrm>
                            <a:custGeom>
                              <a:avLst/>
                              <a:gdLst/>
                              <a:ahLst/>
                              <a:cxnLst/>
                              <a:pathLst>
                                <a:path w="7425" h="5060">
                                  <a:moveTo>
                                    <a:pt x="390" y="39"/>
                                  </a:moveTo>
                                  <a:lnTo>
                                    <a:pt x="346" y="39"/>
                                  </a:lnTo>
                                  <a:lnTo>
                                    <a:pt x="359" y="19"/>
                                  </a:lnTo>
                                  <a:lnTo>
                                    <a:pt x="403" y="19"/>
                                  </a:lnTo>
                                  <a:lnTo>
                                    <a:pt x="390" y="39"/>
                                  </a:lnTo>
                                  <a:close/>
                                </a:path>
                              </a:pathLst>
                            </a:custGeom>
                            <a:solidFill>
                              <a:srgbClr val="000000"/>
                            </a:solidFill>
                            <a:ln>
                              <a:noFill/>
                            </a:ln>
                          </wps:spPr>
                          <wps:bodyPr upright="1"/>
                        </wps:wsp>
                        <wps:wsp>
                          <wps:cNvPr id="4" name="任意多边形 4"/>
                          <wps:cNvSpPr/>
                          <wps:spPr>
                            <a:xfrm>
                              <a:off x="0" y="0"/>
                              <a:ext cx="7425" cy="5060"/>
                            </a:xfrm>
                            <a:custGeom>
                              <a:avLst/>
                              <a:gdLst/>
                              <a:ahLst/>
                              <a:cxnLst/>
                              <a:pathLst>
                                <a:path w="7425" h="5060">
                                  <a:moveTo>
                                    <a:pt x="7077" y="39"/>
                                  </a:moveTo>
                                  <a:lnTo>
                                    <a:pt x="7033" y="39"/>
                                  </a:lnTo>
                                  <a:lnTo>
                                    <a:pt x="7020" y="19"/>
                                  </a:lnTo>
                                  <a:lnTo>
                                    <a:pt x="7064" y="19"/>
                                  </a:lnTo>
                                  <a:lnTo>
                                    <a:pt x="7077" y="39"/>
                                  </a:lnTo>
                                  <a:close/>
                                </a:path>
                              </a:pathLst>
                            </a:custGeom>
                            <a:solidFill>
                              <a:srgbClr val="000000"/>
                            </a:solidFill>
                            <a:ln>
                              <a:noFill/>
                            </a:ln>
                          </wps:spPr>
                          <wps:bodyPr upright="1"/>
                        </wps:wsp>
                        <wps:wsp>
                          <wps:cNvPr id="5" name="任意多边形 5"/>
                          <wps:cNvSpPr/>
                          <wps:spPr>
                            <a:xfrm>
                              <a:off x="0" y="0"/>
                              <a:ext cx="7425" cy="5060"/>
                            </a:xfrm>
                            <a:custGeom>
                              <a:avLst/>
                              <a:gdLst/>
                              <a:ahLst/>
                              <a:cxnLst/>
                              <a:pathLst>
                                <a:path w="7425" h="5060">
                                  <a:moveTo>
                                    <a:pt x="340" y="59"/>
                                  </a:moveTo>
                                  <a:lnTo>
                                    <a:pt x="309" y="59"/>
                                  </a:lnTo>
                                  <a:lnTo>
                                    <a:pt x="321" y="39"/>
                                  </a:lnTo>
                                  <a:lnTo>
                                    <a:pt x="352" y="39"/>
                                  </a:lnTo>
                                  <a:lnTo>
                                    <a:pt x="340" y="59"/>
                                  </a:lnTo>
                                  <a:close/>
                                </a:path>
                              </a:pathLst>
                            </a:custGeom>
                            <a:solidFill>
                              <a:srgbClr val="000000"/>
                            </a:solidFill>
                            <a:ln>
                              <a:noFill/>
                            </a:ln>
                          </wps:spPr>
                          <wps:bodyPr upright="1"/>
                        </wps:wsp>
                        <wps:wsp>
                          <wps:cNvPr id="6" name="任意多边形 6"/>
                          <wps:cNvSpPr/>
                          <wps:spPr>
                            <a:xfrm>
                              <a:off x="0" y="0"/>
                              <a:ext cx="7425" cy="5060"/>
                            </a:xfrm>
                            <a:custGeom>
                              <a:avLst/>
                              <a:gdLst/>
                              <a:ahLst/>
                              <a:cxnLst/>
                              <a:pathLst>
                                <a:path w="7425" h="5060">
                                  <a:moveTo>
                                    <a:pt x="7115" y="59"/>
                                  </a:moveTo>
                                  <a:lnTo>
                                    <a:pt x="7084" y="59"/>
                                  </a:lnTo>
                                  <a:lnTo>
                                    <a:pt x="7071" y="39"/>
                                  </a:lnTo>
                                  <a:lnTo>
                                    <a:pt x="7102" y="39"/>
                                  </a:lnTo>
                                  <a:lnTo>
                                    <a:pt x="7115" y="59"/>
                                  </a:lnTo>
                                  <a:close/>
                                </a:path>
                              </a:pathLst>
                            </a:custGeom>
                            <a:solidFill>
                              <a:srgbClr val="000000"/>
                            </a:solidFill>
                            <a:ln>
                              <a:noFill/>
                            </a:ln>
                          </wps:spPr>
                          <wps:bodyPr upright="1"/>
                        </wps:wsp>
                        <wps:wsp>
                          <wps:cNvPr id="7" name="任意多边形 7"/>
                          <wps:cNvSpPr/>
                          <wps:spPr>
                            <a:xfrm>
                              <a:off x="0" y="0"/>
                              <a:ext cx="7425" cy="5060"/>
                            </a:xfrm>
                            <a:custGeom>
                              <a:avLst/>
                              <a:gdLst/>
                              <a:ahLst/>
                              <a:cxnLst/>
                              <a:pathLst>
                                <a:path w="7425" h="5060">
                                  <a:moveTo>
                                    <a:pt x="304" y="79"/>
                                  </a:moveTo>
                                  <a:lnTo>
                                    <a:pt x="273" y="79"/>
                                  </a:lnTo>
                                  <a:lnTo>
                                    <a:pt x="285" y="59"/>
                                  </a:lnTo>
                                  <a:lnTo>
                                    <a:pt x="316" y="59"/>
                                  </a:lnTo>
                                  <a:lnTo>
                                    <a:pt x="304" y="79"/>
                                  </a:lnTo>
                                  <a:close/>
                                </a:path>
                              </a:pathLst>
                            </a:custGeom>
                            <a:solidFill>
                              <a:srgbClr val="000000"/>
                            </a:solidFill>
                            <a:ln>
                              <a:noFill/>
                            </a:ln>
                          </wps:spPr>
                          <wps:bodyPr upright="1"/>
                        </wps:wsp>
                        <wps:wsp>
                          <wps:cNvPr id="8" name="任意多边形 8"/>
                          <wps:cNvSpPr/>
                          <wps:spPr>
                            <a:xfrm>
                              <a:off x="0" y="0"/>
                              <a:ext cx="7425" cy="5060"/>
                            </a:xfrm>
                            <a:custGeom>
                              <a:avLst/>
                              <a:gdLst/>
                              <a:ahLst/>
                              <a:cxnLst/>
                              <a:pathLst>
                                <a:path w="7425" h="5060">
                                  <a:moveTo>
                                    <a:pt x="7151" y="79"/>
                                  </a:moveTo>
                                  <a:lnTo>
                                    <a:pt x="7120" y="79"/>
                                  </a:lnTo>
                                  <a:lnTo>
                                    <a:pt x="7108" y="59"/>
                                  </a:lnTo>
                                  <a:lnTo>
                                    <a:pt x="7139" y="59"/>
                                  </a:lnTo>
                                  <a:lnTo>
                                    <a:pt x="7151" y="79"/>
                                  </a:lnTo>
                                  <a:close/>
                                </a:path>
                              </a:pathLst>
                            </a:custGeom>
                            <a:solidFill>
                              <a:srgbClr val="000000"/>
                            </a:solidFill>
                            <a:ln>
                              <a:noFill/>
                            </a:ln>
                          </wps:spPr>
                          <wps:bodyPr upright="1"/>
                        </wps:wsp>
                        <wps:wsp>
                          <wps:cNvPr id="9" name="任意多边形 9"/>
                          <wps:cNvSpPr/>
                          <wps:spPr>
                            <a:xfrm>
                              <a:off x="0" y="0"/>
                              <a:ext cx="7425" cy="5060"/>
                            </a:xfrm>
                            <a:custGeom>
                              <a:avLst/>
                              <a:gdLst/>
                              <a:ahLst/>
                              <a:cxnLst/>
                              <a:pathLst>
                                <a:path w="7425" h="5060">
                                  <a:moveTo>
                                    <a:pt x="269" y="99"/>
                                  </a:moveTo>
                                  <a:lnTo>
                                    <a:pt x="239" y="99"/>
                                  </a:lnTo>
                                  <a:lnTo>
                                    <a:pt x="250" y="79"/>
                                  </a:lnTo>
                                  <a:lnTo>
                                    <a:pt x="281" y="79"/>
                                  </a:lnTo>
                                  <a:lnTo>
                                    <a:pt x="269" y="99"/>
                                  </a:lnTo>
                                  <a:close/>
                                </a:path>
                              </a:pathLst>
                            </a:custGeom>
                            <a:solidFill>
                              <a:srgbClr val="000000"/>
                            </a:solidFill>
                            <a:ln>
                              <a:noFill/>
                            </a:ln>
                          </wps:spPr>
                          <wps:bodyPr upright="1"/>
                        </wps:wsp>
                        <wps:wsp>
                          <wps:cNvPr id="10" name="任意多边形 10"/>
                          <wps:cNvSpPr/>
                          <wps:spPr>
                            <a:xfrm>
                              <a:off x="0" y="0"/>
                              <a:ext cx="7425" cy="5060"/>
                            </a:xfrm>
                            <a:custGeom>
                              <a:avLst/>
                              <a:gdLst/>
                              <a:ahLst/>
                              <a:cxnLst/>
                              <a:pathLst>
                                <a:path w="7425" h="5060">
                                  <a:moveTo>
                                    <a:pt x="7185" y="99"/>
                                  </a:moveTo>
                                  <a:lnTo>
                                    <a:pt x="7154" y="99"/>
                                  </a:lnTo>
                                  <a:lnTo>
                                    <a:pt x="7143" y="79"/>
                                  </a:lnTo>
                                  <a:lnTo>
                                    <a:pt x="7174" y="79"/>
                                  </a:lnTo>
                                  <a:lnTo>
                                    <a:pt x="7185" y="99"/>
                                  </a:lnTo>
                                  <a:close/>
                                </a:path>
                              </a:pathLst>
                            </a:custGeom>
                            <a:solidFill>
                              <a:srgbClr val="000000"/>
                            </a:solidFill>
                            <a:ln>
                              <a:noFill/>
                            </a:ln>
                          </wps:spPr>
                          <wps:bodyPr upright="1"/>
                        </wps:wsp>
                        <wps:wsp>
                          <wps:cNvPr id="11" name="任意多边形 11"/>
                          <wps:cNvSpPr/>
                          <wps:spPr>
                            <a:xfrm>
                              <a:off x="0" y="0"/>
                              <a:ext cx="7425" cy="5060"/>
                            </a:xfrm>
                            <a:custGeom>
                              <a:avLst/>
                              <a:gdLst/>
                              <a:ahLst/>
                              <a:cxnLst/>
                              <a:pathLst>
                                <a:path w="7425" h="5060">
                                  <a:moveTo>
                                    <a:pt x="237" y="119"/>
                                  </a:moveTo>
                                  <a:lnTo>
                                    <a:pt x="217" y="119"/>
                                  </a:lnTo>
                                  <a:lnTo>
                                    <a:pt x="228" y="99"/>
                                  </a:lnTo>
                                  <a:lnTo>
                                    <a:pt x="247" y="99"/>
                                  </a:lnTo>
                                  <a:lnTo>
                                    <a:pt x="237" y="119"/>
                                  </a:lnTo>
                                  <a:close/>
                                </a:path>
                              </a:pathLst>
                            </a:custGeom>
                            <a:solidFill>
                              <a:srgbClr val="000000"/>
                            </a:solidFill>
                            <a:ln>
                              <a:noFill/>
                            </a:ln>
                          </wps:spPr>
                          <wps:bodyPr upright="1"/>
                        </wps:wsp>
                        <wps:wsp>
                          <wps:cNvPr id="12" name="任意多边形 12"/>
                          <wps:cNvSpPr/>
                          <wps:spPr>
                            <a:xfrm>
                              <a:off x="0" y="0"/>
                              <a:ext cx="7425" cy="5060"/>
                            </a:xfrm>
                            <a:custGeom>
                              <a:avLst/>
                              <a:gdLst/>
                              <a:ahLst/>
                              <a:cxnLst/>
                              <a:pathLst>
                                <a:path w="7425" h="5060">
                                  <a:moveTo>
                                    <a:pt x="7207" y="119"/>
                                  </a:moveTo>
                                  <a:lnTo>
                                    <a:pt x="7187" y="119"/>
                                  </a:lnTo>
                                  <a:lnTo>
                                    <a:pt x="7176" y="99"/>
                                  </a:lnTo>
                                  <a:lnTo>
                                    <a:pt x="7196" y="99"/>
                                  </a:lnTo>
                                  <a:lnTo>
                                    <a:pt x="7207" y="119"/>
                                  </a:lnTo>
                                  <a:close/>
                                </a:path>
                              </a:pathLst>
                            </a:custGeom>
                            <a:solidFill>
                              <a:srgbClr val="000000"/>
                            </a:solidFill>
                            <a:ln>
                              <a:noFill/>
                            </a:ln>
                          </wps:spPr>
                          <wps:bodyPr upright="1"/>
                        </wps:wsp>
                        <wps:wsp>
                          <wps:cNvPr id="13" name="任意多边形 13"/>
                          <wps:cNvSpPr/>
                          <wps:spPr>
                            <a:xfrm>
                              <a:off x="0" y="0"/>
                              <a:ext cx="7425" cy="5060"/>
                            </a:xfrm>
                            <a:custGeom>
                              <a:avLst/>
                              <a:gdLst/>
                              <a:ahLst/>
                              <a:cxnLst/>
                              <a:pathLst>
                                <a:path w="7425" h="5060">
                                  <a:moveTo>
                                    <a:pt x="216" y="139"/>
                                  </a:moveTo>
                                  <a:lnTo>
                                    <a:pt x="186" y="139"/>
                                  </a:lnTo>
                                  <a:lnTo>
                                    <a:pt x="196" y="119"/>
                                  </a:lnTo>
                                  <a:lnTo>
                                    <a:pt x="226" y="119"/>
                                  </a:lnTo>
                                  <a:lnTo>
                                    <a:pt x="216" y="139"/>
                                  </a:lnTo>
                                  <a:close/>
                                </a:path>
                              </a:pathLst>
                            </a:custGeom>
                            <a:solidFill>
                              <a:srgbClr val="000000"/>
                            </a:solidFill>
                            <a:ln>
                              <a:noFill/>
                            </a:ln>
                          </wps:spPr>
                          <wps:bodyPr upright="1"/>
                        </wps:wsp>
                        <wps:wsp>
                          <wps:cNvPr id="14" name="任意多边形 14"/>
                          <wps:cNvSpPr/>
                          <wps:spPr>
                            <a:xfrm>
                              <a:off x="0" y="0"/>
                              <a:ext cx="7425" cy="5060"/>
                            </a:xfrm>
                            <a:custGeom>
                              <a:avLst/>
                              <a:gdLst/>
                              <a:ahLst/>
                              <a:cxnLst/>
                              <a:pathLst>
                                <a:path w="7425" h="5060">
                                  <a:moveTo>
                                    <a:pt x="7238" y="139"/>
                                  </a:moveTo>
                                  <a:lnTo>
                                    <a:pt x="7208" y="139"/>
                                  </a:lnTo>
                                  <a:lnTo>
                                    <a:pt x="7197" y="119"/>
                                  </a:lnTo>
                                  <a:lnTo>
                                    <a:pt x="7228" y="119"/>
                                  </a:lnTo>
                                  <a:lnTo>
                                    <a:pt x="7238" y="139"/>
                                  </a:lnTo>
                                  <a:close/>
                                </a:path>
                              </a:pathLst>
                            </a:custGeom>
                            <a:solidFill>
                              <a:srgbClr val="000000"/>
                            </a:solidFill>
                            <a:ln>
                              <a:noFill/>
                            </a:ln>
                          </wps:spPr>
                          <wps:bodyPr upright="1"/>
                        </wps:wsp>
                        <wps:wsp>
                          <wps:cNvPr id="15" name="任意多边形 15"/>
                          <wps:cNvSpPr/>
                          <wps:spPr>
                            <a:xfrm>
                              <a:off x="0" y="0"/>
                              <a:ext cx="7425" cy="5060"/>
                            </a:xfrm>
                            <a:custGeom>
                              <a:avLst/>
                              <a:gdLst/>
                              <a:ahLst/>
                              <a:cxnLst/>
                              <a:pathLst>
                                <a:path w="7425" h="5060">
                                  <a:moveTo>
                                    <a:pt x="186" y="159"/>
                                  </a:moveTo>
                                  <a:lnTo>
                                    <a:pt x="166" y="159"/>
                                  </a:lnTo>
                                  <a:lnTo>
                                    <a:pt x="176" y="139"/>
                                  </a:lnTo>
                                  <a:lnTo>
                                    <a:pt x="196" y="139"/>
                                  </a:lnTo>
                                  <a:lnTo>
                                    <a:pt x="186" y="159"/>
                                  </a:lnTo>
                                  <a:close/>
                                </a:path>
                              </a:pathLst>
                            </a:custGeom>
                            <a:solidFill>
                              <a:srgbClr val="000000"/>
                            </a:solidFill>
                            <a:ln>
                              <a:noFill/>
                            </a:ln>
                          </wps:spPr>
                          <wps:bodyPr upright="1"/>
                        </wps:wsp>
                        <wps:wsp>
                          <wps:cNvPr id="16" name="任意多边形 16"/>
                          <wps:cNvSpPr/>
                          <wps:spPr>
                            <a:xfrm>
                              <a:off x="0" y="0"/>
                              <a:ext cx="7425" cy="5060"/>
                            </a:xfrm>
                            <a:custGeom>
                              <a:avLst/>
                              <a:gdLst/>
                              <a:ahLst/>
                              <a:cxnLst/>
                              <a:pathLst>
                                <a:path w="7425" h="5060">
                                  <a:moveTo>
                                    <a:pt x="7258" y="159"/>
                                  </a:moveTo>
                                  <a:lnTo>
                                    <a:pt x="7238" y="159"/>
                                  </a:lnTo>
                                  <a:lnTo>
                                    <a:pt x="7228" y="139"/>
                                  </a:lnTo>
                                  <a:lnTo>
                                    <a:pt x="7248" y="139"/>
                                  </a:lnTo>
                                  <a:lnTo>
                                    <a:pt x="7258" y="159"/>
                                  </a:lnTo>
                                  <a:close/>
                                </a:path>
                              </a:pathLst>
                            </a:custGeom>
                            <a:solidFill>
                              <a:srgbClr val="000000"/>
                            </a:solidFill>
                            <a:ln>
                              <a:noFill/>
                            </a:ln>
                          </wps:spPr>
                          <wps:bodyPr upright="1"/>
                        </wps:wsp>
                        <wps:wsp>
                          <wps:cNvPr id="17" name="任意多边形 17"/>
                          <wps:cNvSpPr/>
                          <wps:spPr>
                            <a:xfrm>
                              <a:off x="0" y="0"/>
                              <a:ext cx="7425" cy="5060"/>
                            </a:xfrm>
                            <a:custGeom>
                              <a:avLst/>
                              <a:gdLst/>
                              <a:ahLst/>
                              <a:cxnLst/>
                              <a:pathLst>
                                <a:path w="7425" h="5060">
                                  <a:moveTo>
                                    <a:pt x="167" y="179"/>
                                  </a:moveTo>
                                  <a:lnTo>
                                    <a:pt x="147" y="179"/>
                                  </a:lnTo>
                                  <a:lnTo>
                                    <a:pt x="156" y="159"/>
                                  </a:lnTo>
                                  <a:lnTo>
                                    <a:pt x="176" y="159"/>
                                  </a:lnTo>
                                  <a:lnTo>
                                    <a:pt x="167" y="179"/>
                                  </a:lnTo>
                                  <a:close/>
                                </a:path>
                              </a:pathLst>
                            </a:custGeom>
                            <a:solidFill>
                              <a:srgbClr val="000000"/>
                            </a:solidFill>
                            <a:ln>
                              <a:noFill/>
                            </a:ln>
                          </wps:spPr>
                          <wps:bodyPr upright="1"/>
                        </wps:wsp>
                        <wps:wsp>
                          <wps:cNvPr id="18" name="任意多边形 18"/>
                          <wps:cNvSpPr/>
                          <wps:spPr>
                            <a:xfrm>
                              <a:off x="0" y="0"/>
                              <a:ext cx="7425" cy="5060"/>
                            </a:xfrm>
                            <a:custGeom>
                              <a:avLst/>
                              <a:gdLst/>
                              <a:ahLst/>
                              <a:cxnLst/>
                              <a:pathLst>
                                <a:path w="7425" h="5060">
                                  <a:moveTo>
                                    <a:pt x="7277" y="179"/>
                                  </a:moveTo>
                                  <a:lnTo>
                                    <a:pt x="7256" y="179"/>
                                  </a:lnTo>
                                  <a:lnTo>
                                    <a:pt x="7247" y="159"/>
                                  </a:lnTo>
                                  <a:lnTo>
                                    <a:pt x="7267" y="159"/>
                                  </a:lnTo>
                                  <a:lnTo>
                                    <a:pt x="7277" y="179"/>
                                  </a:lnTo>
                                  <a:close/>
                                </a:path>
                              </a:pathLst>
                            </a:custGeom>
                            <a:solidFill>
                              <a:srgbClr val="000000"/>
                            </a:solidFill>
                            <a:ln>
                              <a:noFill/>
                            </a:ln>
                          </wps:spPr>
                          <wps:bodyPr upright="1"/>
                        </wps:wsp>
                        <wps:wsp>
                          <wps:cNvPr id="19" name="任意多边形 19"/>
                          <wps:cNvSpPr/>
                          <wps:spPr>
                            <a:xfrm>
                              <a:off x="0" y="0"/>
                              <a:ext cx="7425" cy="5060"/>
                            </a:xfrm>
                            <a:custGeom>
                              <a:avLst/>
                              <a:gdLst/>
                              <a:ahLst/>
                              <a:cxnLst/>
                              <a:pathLst>
                                <a:path w="7425" h="5060">
                                  <a:moveTo>
                                    <a:pt x="149" y="199"/>
                                  </a:moveTo>
                                  <a:lnTo>
                                    <a:pt x="129" y="199"/>
                                  </a:lnTo>
                                  <a:lnTo>
                                    <a:pt x="138" y="179"/>
                                  </a:lnTo>
                                  <a:lnTo>
                                    <a:pt x="158" y="179"/>
                                  </a:lnTo>
                                  <a:lnTo>
                                    <a:pt x="149" y="199"/>
                                  </a:lnTo>
                                  <a:close/>
                                </a:path>
                              </a:pathLst>
                            </a:custGeom>
                            <a:solidFill>
                              <a:srgbClr val="000000"/>
                            </a:solidFill>
                            <a:ln>
                              <a:noFill/>
                            </a:ln>
                          </wps:spPr>
                          <wps:bodyPr upright="1"/>
                        </wps:wsp>
                        <wps:wsp>
                          <wps:cNvPr id="20" name="任意多边形 20"/>
                          <wps:cNvSpPr/>
                          <wps:spPr>
                            <a:xfrm>
                              <a:off x="0" y="0"/>
                              <a:ext cx="7425" cy="5060"/>
                            </a:xfrm>
                            <a:custGeom>
                              <a:avLst/>
                              <a:gdLst/>
                              <a:ahLst/>
                              <a:cxnLst/>
                              <a:pathLst>
                                <a:path w="7425" h="5060">
                                  <a:moveTo>
                                    <a:pt x="7294" y="199"/>
                                  </a:moveTo>
                                  <a:lnTo>
                                    <a:pt x="7274" y="199"/>
                                  </a:lnTo>
                                  <a:lnTo>
                                    <a:pt x="7265" y="179"/>
                                  </a:lnTo>
                                  <a:lnTo>
                                    <a:pt x="7286" y="179"/>
                                  </a:lnTo>
                                  <a:lnTo>
                                    <a:pt x="7294" y="199"/>
                                  </a:lnTo>
                                  <a:close/>
                                </a:path>
                              </a:pathLst>
                            </a:custGeom>
                            <a:solidFill>
                              <a:srgbClr val="000000"/>
                            </a:solidFill>
                            <a:ln>
                              <a:noFill/>
                            </a:ln>
                          </wps:spPr>
                          <wps:bodyPr upright="1"/>
                        </wps:wsp>
                        <wps:wsp>
                          <wps:cNvPr id="21" name="任意多边形 21"/>
                          <wps:cNvSpPr/>
                          <wps:spPr>
                            <a:xfrm>
                              <a:off x="0" y="0"/>
                              <a:ext cx="7425" cy="5060"/>
                            </a:xfrm>
                            <a:custGeom>
                              <a:avLst/>
                              <a:gdLst/>
                              <a:ahLst/>
                              <a:cxnLst/>
                              <a:pathLst>
                                <a:path w="7425" h="5060">
                                  <a:moveTo>
                                    <a:pt x="132" y="219"/>
                                  </a:moveTo>
                                  <a:lnTo>
                                    <a:pt x="112" y="219"/>
                                  </a:lnTo>
                                  <a:lnTo>
                                    <a:pt x="121" y="199"/>
                                  </a:lnTo>
                                  <a:lnTo>
                                    <a:pt x="141" y="199"/>
                                  </a:lnTo>
                                  <a:lnTo>
                                    <a:pt x="132" y="219"/>
                                  </a:lnTo>
                                  <a:close/>
                                </a:path>
                              </a:pathLst>
                            </a:custGeom>
                            <a:solidFill>
                              <a:srgbClr val="000000"/>
                            </a:solidFill>
                            <a:ln>
                              <a:noFill/>
                            </a:ln>
                          </wps:spPr>
                          <wps:bodyPr upright="1"/>
                        </wps:wsp>
                        <wps:wsp>
                          <wps:cNvPr id="22" name="任意多边形 22"/>
                          <wps:cNvSpPr/>
                          <wps:spPr>
                            <a:xfrm>
                              <a:off x="0" y="0"/>
                              <a:ext cx="7425" cy="5060"/>
                            </a:xfrm>
                            <a:custGeom>
                              <a:avLst/>
                              <a:gdLst/>
                              <a:ahLst/>
                              <a:cxnLst/>
                              <a:pathLst>
                                <a:path w="7425" h="5060">
                                  <a:moveTo>
                                    <a:pt x="7311" y="219"/>
                                  </a:moveTo>
                                  <a:lnTo>
                                    <a:pt x="7291" y="219"/>
                                  </a:lnTo>
                                  <a:lnTo>
                                    <a:pt x="7283" y="199"/>
                                  </a:lnTo>
                                  <a:lnTo>
                                    <a:pt x="7303" y="199"/>
                                  </a:lnTo>
                                  <a:lnTo>
                                    <a:pt x="7311" y="219"/>
                                  </a:lnTo>
                                  <a:close/>
                                </a:path>
                              </a:pathLst>
                            </a:custGeom>
                            <a:solidFill>
                              <a:srgbClr val="000000"/>
                            </a:solidFill>
                            <a:ln>
                              <a:noFill/>
                            </a:ln>
                          </wps:spPr>
                          <wps:bodyPr upright="1"/>
                        </wps:wsp>
                        <wps:wsp>
                          <wps:cNvPr id="23" name="任意多边形 23"/>
                          <wps:cNvSpPr/>
                          <wps:spPr>
                            <a:xfrm>
                              <a:off x="0" y="0"/>
                              <a:ext cx="7425" cy="5060"/>
                            </a:xfrm>
                            <a:custGeom>
                              <a:avLst/>
                              <a:gdLst/>
                              <a:ahLst/>
                              <a:cxnLst/>
                              <a:pathLst>
                                <a:path w="7425" h="5060">
                                  <a:moveTo>
                                    <a:pt x="101" y="259"/>
                                  </a:moveTo>
                                  <a:lnTo>
                                    <a:pt x="89" y="259"/>
                                  </a:lnTo>
                                  <a:lnTo>
                                    <a:pt x="96" y="239"/>
                                  </a:lnTo>
                                  <a:lnTo>
                                    <a:pt x="104" y="219"/>
                                  </a:lnTo>
                                  <a:lnTo>
                                    <a:pt x="124" y="219"/>
                                  </a:lnTo>
                                  <a:lnTo>
                                    <a:pt x="116" y="239"/>
                                  </a:lnTo>
                                  <a:lnTo>
                                    <a:pt x="109" y="239"/>
                                  </a:lnTo>
                                  <a:lnTo>
                                    <a:pt x="101" y="259"/>
                                  </a:lnTo>
                                  <a:close/>
                                </a:path>
                              </a:pathLst>
                            </a:custGeom>
                            <a:solidFill>
                              <a:srgbClr val="000000"/>
                            </a:solidFill>
                            <a:ln>
                              <a:noFill/>
                            </a:ln>
                          </wps:spPr>
                          <wps:bodyPr upright="1"/>
                        </wps:wsp>
                        <wps:wsp>
                          <wps:cNvPr id="24" name="任意多边形 24"/>
                          <wps:cNvSpPr/>
                          <wps:spPr>
                            <a:xfrm>
                              <a:off x="0" y="0"/>
                              <a:ext cx="7425" cy="5060"/>
                            </a:xfrm>
                            <a:custGeom>
                              <a:avLst/>
                              <a:gdLst/>
                              <a:ahLst/>
                              <a:cxnLst/>
                              <a:pathLst>
                                <a:path w="7425" h="5060">
                                  <a:moveTo>
                                    <a:pt x="7335" y="259"/>
                                  </a:moveTo>
                                  <a:lnTo>
                                    <a:pt x="7322" y="259"/>
                                  </a:lnTo>
                                  <a:lnTo>
                                    <a:pt x="7315" y="239"/>
                                  </a:lnTo>
                                  <a:lnTo>
                                    <a:pt x="7307" y="239"/>
                                  </a:lnTo>
                                  <a:lnTo>
                                    <a:pt x="7299" y="219"/>
                                  </a:lnTo>
                                  <a:lnTo>
                                    <a:pt x="7319" y="219"/>
                                  </a:lnTo>
                                  <a:lnTo>
                                    <a:pt x="7327" y="239"/>
                                  </a:lnTo>
                                  <a:lnTo>
                                    <a:pt x="7335" y="259"/>
                                  </a:lnTo>
                                  <a:close/>
                                </a:path>
                              </a:pathLst>
                            </a:custGeom>
                            <a:solidFill>
                              <a:srgbClr val="000000"/>
                            </a:solidFill>
                            <a:ln>
                              <a:noFill/>
                            </a:ln>
                          </wps:spPr>
                          <wps:bodyPr upright="1"/>
                        </wps:wsp>
                        <wps:wsp>
                          <wps:cNvPr id="25" name="任意多边形 25"/>
                          <wps:cNvSpPr/>
                          <wps:spPr>
                            <a:xfrm>
                              <a:off x="0" y="0"/>
                              <a:ext cx="7425" cy="5060"/>
                            </a:xfrm>
                            <a:custGeom>
                              <a:avLst/>
                              <a:gdLst/>
                              <a:ahLst/>
                              <a:cxnLst/>
                              <a:pathLst>
                                <a:path w="7425" h="5060">
                                  <a:moveTo>
                                    <a:pt x="94" y="279"/>
                                  </a:moveTo>
                                  <a:lnTo>
                                    <a:pt x="75" y="279"/>
                                  </a:lnTo>
                                  <a:lnTo>
                                    <a:pt x="82" y="259"/>
                                  </a:lnTo>
                                  <a:lnTo>
                                    <a:pt x="102" y="259"/>
                                  </a:lnTo>
                                  <a:lnTo>
                                    <a:pt x="94" y="279"/>
                                  </a:lnTo>
                                  <a:close/>
                                </a:path>
                              </a:pathLst>
                            </a:custGeom>
                            <a:solidFill>
                              <a:srgbClr val="000000"/>
                            </a:solidFill>
                            <a:ln>
                              <a:noFill/>
                            </a:ln>
                          </wps:spPr>
                          <wps:bodyPr upright="1"/>
                        </wps:wsp>
                        <wps:wsp>
                          <wps:cNvPr id="26" name="任意多边形 26"/>
                          <wps:cNvSpPr/>
                          <wps:spPr>
                            <a:xfrm>
                              <a:off x="0" y="0"/>
                              <a:ext cx="7425" cy="5060"/>
                            </a:xfrm>
                            <a:custGeom>
                              <a:avLst/>
                              <a:gdLst/>
                              <a:ahLst/>
                              <a:cxnLst/>
                              <a:pathLst>
                                <a:path w="7425" h="5060">
                                  <a:moveTo>
                                    <a:pt x="7349" y="279"/>
                                  </a:moveTo>
                                  <a:lnTo>
                                    <a:pt x="7329" y="279"/>
                                  </a:lnTo>
                                  <a:lnTo>
                                    <a:pt x="7322" y="259"/>
                                  </a:lnTo>
                                  <a:lnTo>
                                    <a:pt x="7342" y="259"/>
                                  </a:lnTo>
                                  <a:lnTo>
                                    <a:pt x="7349" y="279"/>
                                  </a:lnTo>
                                  <a:close/>
                                </a:path>
                              </a:pathLst>
                            </a:custGeom>
                            <a:solidFill>
                              <a:srgbClr val="000000"/>
                            </a:solidFill>
                            <a:ln>
                              <a:noFill/>
                            </a:ln>
                          </wps:spPr>
                          <wps:bodyPr upright="1"/>
                        </wps:wsp>
                        <wps:wsp>
                          <wps:cNvPr id="27" name="任意多边形 27"/>
                          <wps:cNvSpPr/>
                          <wps:spPr>
                            <a:xfrm>
                              <a:off x="0" y="0"/>
                              <a:ext cx="7425" cy="5060"/>
                            </a:xfrm>
                            <a:custGeom>
                              <a:avLst/>
                              <a:gdLst/>
                              <a:ahLst/>
                              <a:cxnLst/>
                              <a:pathLst>
                                <a:path w="7425" h="5060">
                                  <a:moveTo>
                                    <a:pt x="69" y="319"/>
                                  </a:moveTo>
                                  <a:lnTo>
                                    <a:pt x="55" y="319"/>
                                  </a:lnTo>
                                  <a:lnTo>
                                    <a:pt x="62" y="299"/>
                                  </a:lnTo>
                                  <a:lnTo>
                                    <a:pt x="68" y="279"/>
                                  </a:lnTo>
                                  <a:lnTo>
                                    <a:pt x="88" y="279"/>
                                  </a:lnTo>
                                  <a:lnTo>
                                    <a:pt x="81" y="299"/>
                                  </a:lnTo>
                                  <a:lnTo>
                                    <a:pt x="75" y="299"/>
                                  </a:lnTo>
                                  <a:lnTo>
                                    <a:pt x="69" y="319"/>
                                  </a:lnTo>
                                  <a:close/>
                                </a:path>
                              </a:pathLst>
                            </a:custGeom>
                            <a:solidFill>
                              <a:srgbClr val="000000"/>
                            </a:solidFill>
                            <a:ln>
                              <a:noFill/>
                            </a:ln>
                          </wps:spPr>
                          <wps:bodyPr upright="1"/>
                        </wps:wsp>
                        <wps:wsp>
                          <wps:cNvPr id="28" name="任意多边形 28"/>
                          <wps:cNvSpPr/>
                          <wps:spPr>
                            <a:xfrm>
                              <a:off x="0" y="0"/>
                              <a:ext cx="7425" cy="5060"/>
                            </a:xfrm>
                            <a:custGeom>
                              <a:avLst/>
                              <a:gdLst/>
                              <a:ahLst/>
                              <a:cxnLst/>
                              <a:pathLst>
                                <a:path w="7425" h="5060">
                                  <a:moveTo>
                                    <a:pt x="7368" y="319"/>
                                  </a:moveTo>
                                  <a:lnTo>
                                    <a:pt x="7355" y="319"/>
                                  </a:lnTo>
                                  <a:lnTo>
                                    <a:pt x="7349" y="299"/>
                                  </a:lnTo>
                                  <a:lnTo>
                                    <a:pt x="7342" y="299"/>
                                  </a:lnTo>
                                  <a:lnTo>
                                    <a:pt x="7336" y="279"/>
                                  </a:lnTo>
                                  <a:lnTo>
                                    <a:pt x="7356" y="279"/>
                                  </a:lnTo>
                                  <a:lnTo>
                                    <a:pt x="7362" y="299"/>
                                  </a:lnTo>
                                  <a:lnTo>
                                    <a:pt x="7368" y="319"/>
                                  </a:lnTo>
                                  <a:close/>
                                </a:path>
                              </a:pathLst>
                            </a:custGeom>
                            <a:solidFill>
                              <a:srgbClr val="000000"/>
                            </a:solidFill>
                            <a:ln>
                              <a:noFill/>
                            </a:ln>
                          </wps:spPr>
                          <wps:bodyPr upright="1"/>
                        </wps:wsp>
                        <wps:wsp>
                          <wps:cNvPr id="29" name="任意多边形 29"/>
                          <wps:cNvSpPr/>
                          <wps:spPr>
                            <a:xfrm>
                              <a:off x="0" y="0"/>
                              <a:ext cx="7425" cy="5060"/>
                            </a:xfrm>
                            <a:custGeom>
                              <a:avLst/>
                              <a:gdLst/>
                              <a:ahLst/>
                              <a:cxnLst/>
                              <a:pathLst>
                                <a:path w="7425" h="5060">
                                  <a:moveTo>
                                    <a:pt x="63" y="339"/>
                                  </a:moveTo>
                                  <a:lnTo>
                                    <a:pt x="44" y="339"/>
                                  </a:lnTo>
                                  <a:lnTo>
                                    <a:pt x="50" y="319"/>
                                  </a:lnTo>
                                  <a:lnTo>
                                    <a:pt x="69" y="319"/>
                                  </a:lnTo>
                                  <a:lnTo>
                                    <a:pt x="63" y="339"/>
                                  </a:lnTo>
                                  <a:close/>
                                </a:path>
                              </a:pathLst>
                            </a:custGeom>
                            <a:solidFill>
                              <a:srgbClr val="000000"/>
                            </a:solidFill>
                            <a:ln>
                              <a:noFill/>
                            </a:ln>
                          </wps:spPr>
                          <wps:bodyPr upright="1"/>
                        </wps:wsp>
                        <wps:wsp>
                          <wps:cNvPr id="30" name="任意多边形 30"/>
                          <wps:cNvSpPr/>
                          <wps:spPr>
                            <a:xfrm>
                              <a:off x="0" y="0"/>
                              <a:ext cx="7425" cy="5060"/>
                            </a:xfrm>
                            <a:custGeom>
                              <a:avLst/>
                              <a:gdLst/>
                              <a:ahLst/>
                              <a:cxnLst/>
                              <a:pathLst>
                                <a:path w="7425" h="5060">
                                  <a:moveTo>
                                    <a:pt x="7380" y="339"/>
                                  </a:moveTo>
                                  <a:lnTo>
                                    <a:pt x="7360" y="339"/>
                                  </a:lnTo>
                                  <a:lnTo>
                                    <a:pt x="7355" y="319"/>
                                  </a:lnTo>
                                  <a:lnTo>
                                    <a:pt x="7374" y="319"/>
                                  </a:lnTo>
                                  <a:lnTo>
                                    <a:pt x="7380" y="339"/>
                                  </a:lnTo>
                                  <a:close/>
                                </a:path>
                              </a:pathLst>
                            </a:custGeom>
                            <a:solidFill>
                              <a:srgbClr val="000000"/>
                            </a:solidFill>
                            <a:ln>
                              <a:noFill/>
                            </a:ln>
                          </wps:spPr>
                          <wps:bodyPr upright="1"/>
                        </wps:wsp>
                        <wps:wsp>
                          <wps:cNvPr id="31" name="任意多边形 31"/>
                          <wps:cNvSpPr/>
                          <wps:spPr>
                            <a:xfrm>
                              <a:off x="0" y="0"/>
                              <a:ext cx="7425" cy="5060"/>
                            </a:xfrm>
                            <a:custGeom>
                              <a:avLst/>
                              <a:gdLst/>
                              <a:ahLst/>
                              <a:cxnLst/>
                              <a:pathLst>
                                <a:path w="7425" h="5060">
                                  <a:moveTo>
                                    <a:pt x="43" y="379"/>
                                  </a:moveTo>
                                  <a:lnTo>
                                    <a:pt x="29" y="379"/>
                                  </a:lnTo>
                                  <a:lnTo>
                                    <a:pt x="34" y="359"/>
                                  </a:lnTo>
                                  <a:lnTo>
                                    <a:pt x="39" y="339"/>
                                  </a:lnTo>
                                  <a:lnTo>
                                    <a:pt x="58" y="339"/>
                                  </a:lnTo>
                                  <a:lnTo>
                                    <a:pt x="53" y="359"/>
                                  </a:lnTo>
                                  <a:lnTo>
                                    <a:pt x="48" y="359"/>
                                  </a:lnTo>
                                  <a:lnTo>
                                    <a:pt x="43" y="379"/>
                                  </a:lnTo>
                                  <a:close/>
                                </a:path>
                              </a:pathLst>
                            </a:custGeom>
                            <a:solidFill>
                              <a:srgbClr val="000000"/>
                            </a:solidFill>
                            <a:ln>
                              <a:noFill/>
                            </a:ln>
                          </wps:spPr>
                          <wps:bodyPr upright="1"/>
                        </wps:wsp>
                        <wps:wsp>
                          <wps:cNvPr id="32" name="任意多边形 32"/>
                          <wps:cNvSpPr/>
                          <wps:spPr>
                            <a:xfrm>
                              <a:off x="0" y="0"/>
                              <a:ext cx="7425" cy="5060"/>
                            </a:xfrm>
                            <a:custGeom>
                              <a:avLst/>
                              <a:gdLst/>
                              <a:ahLst/>
                              <a:cxnLst/>
                              <a:pathLst>
                                <a:path w="7425" h="5060">
                                  <a:moveTo>
                                    <a:pt x="7394" y="379"/>
                                  </a:moveTo>
                                  <a:lnTo>
                                    <a:pt x="7380" y="379"/>
                                  </a:lnTo>
                                  <a:lnTo>
                                    <a:pt x="7376" y="359"/>
                                  </a:lnTo>
                                  <a:lnTo>
                                    <a:pt x="7371" y="359"/>
                                  </a:lnTo>
                                  <a:lnTo>
                                    <a:pt x="7366" y="339"/>
                                  </a:lnTo>
                                  <a:lnTo>
                                    <a:pt x="7385" y="339"/>
                                  </a:lnTo>
                                  <a:lnTo>
                                    <a:pt x="7390" y="359"/>
                                  </a:lnTo>
                                  <a:lnTo>
                                    <a:pt x="7394" y="379"/>
                                  </a:lnTo>
                                  <a:close/>
                                </a:path>
                              </a:pathLst>
                            </a:custGeom>
                            <a:solidFill>
                              <a:srgbClr val="000000"/>
                            </a:solidFill>
                            <a:ln>
                              <a:noFill/>
                            </a:ln>
                          </wps:spPr>
                          <wps:bodyPr upright="1"/>
                        </wps:wsp>
                        <wps:wsp>
                          <wps:cNvPr id="33" name="任意多边形 33"/>
                          <wps:cNvSpPr/>
                          <wps:spPr>
                            <a:xfrm>
                              <a:off x="0" y="0"/>
                              <a:ext cx="7425" cy="5060"/>
                            </a:xfrm>
                            <a:custGeom>
                              <a:avLst/>
                              <a:gdLst/>
                              <a:ahLst/>
                              <a:cxnLst/>
                              <a:pathLst>
                                <a:path w="7425" h="5060">
                                  <a:moveTo>
                                    <a:pt x="32" y="419"/>
                                  </a:moveTo>
                                  <a:lnTo>
                                    <a:pt x="17" y="419"/>
                                  </a:lnTo>
                                  <a:lnTo>
                                    <a:pt x="21" y="399"/>
                                  </a:lnTo>
                                  <a:lnTo>
                                    <a:pt x="25" y="379"/>
                                  </a:lnTo>
                                  <a:lnTo>
                                    <a:pt x="43" y="379"/>
                                  </a:lnTo>
                                  <a:lnTo>
                                    <a:pt x="39" y="399"/>
                                  </a:lnTo>
                                  <a:lnTo>
                                    <a:pt x="35" y="399"/>
                                  </a:lnTo>
                                  <a:lnTo>
                                    <a:pt x="32" y="419"/>
                                  </a:lnTo>
                                  <a:close/>
                                </a:path>
                              </a:pathLst>
                            </a:custGeom>
                            <a:solidFill>
                              <a:srgbClr val="000000"/>
                            </a:solidFill>
                            <a:ln>
                              <a:noFill/>
                            </a:ln>
                          </wps:spPr>
                          <wps:bodyPr upright="1"/>
                        </wps:wsp>
                        <wps:wsp>
                          <wps:cNvPr id="34" name="任意多边形 34"/>
                          <wps:cNvSpPr/>
                          <wps:spPr>
                            <a:xfrm>
                              <a:off x="0" y="0"/>
                              <a:ext cx="7425" cy="5060"/>
                            </a:xfrm>
                            <a:custGeom>
                              <a:avLst/>
                              <a:gdLst/>
                              <a:ahLst/>
                              <a:cxnLst/>
                              <a:pathLst>
                                <a:path w="7425" h="5060">
                                  <a:moveTo>
                                    <a:pt x="7406" y="419"/>
                                  </a:moveTo>
                                  <a:lnTo>
                                    <a:pt x="7392" y="419"/>
                                  </a:lnTo>
                                  <a:lnTo>
                                    <a:pt x="7388" y="399"/>
                                  </a:lnTo>
                                  <a:lnTo>
                                    <a:pt x="7384" y="399"/>
                                  </a:lnTo>
                                  <a:lnTo>
                                    <a:pt x="7380" y="379"/>
                                  </a:lnTo>
                                  <a:lnTo>
                                    <a:pt x="7399" y="379"/>
                                  </a:lnTo>
                                  <a:lnTo>
                                    <a:pt x="7403" y="399"/>
                                  </a:lnTo>
                                  <a:lnTo>
                                    <a:pt x="7406" y="419"/>
                                  </a:lnTo>
                                  <a:close/>
                                </a:path>
                              </a:pathLst>
                            </a:custGeom>
                            <a:solidFill>
                              <a:srgbClr val="000000"/>
                            </a:solidFill>
                            <a:ln>
                              <a:noFill/>
                            </a:ln>
                          </wps:spPr>
                          <wps:bodyPr upright="1"/>
                        </wps:wsp>
                        <wps:wsp>
                          <wps:cNvPr id="35" name="任意多边形 35"/>
                          <wps:cNvSpPr/>
                          <wps:spPr>
                            <a:xfrm>
                              <a:off x="0" y="0"/>
                              <a:ext cx="7425" cy="5060"/>
                            </a:xfrm>
                            <a:custGeom>
                              <a:avLst/>
                              <a:gdLst/>
                              <a:ahLst/>
                              <a:cxnLst/>
                              <a:pathLst>
                                <a:path w="7425" h="5060">
                                  <a:moveTo>
                                    <a:pt x="21" y="479"/>
                                  </a:moveTo>
                                  <a:lnTo>
                                    <a:pt x="6" y="479"/>
                                  </a:lnTo>
                                  <a:lnTo>
                                    <a:pt x="8" y="459"/>
                                  </a:lnTo>
                                  <a:lnTo>
                                    <a:pt x="11" y="439"/>
                                  </a:lnTo>
                                  <a:lnTo>
                                    <a:pt x="14" y="419"/>
                                  </a:lnTo>
                                  <a:lnTo>
                                    <a:pt x="32" y="419"/>
                                  </a:lnTo>
                                  <a:lnTo>
                                    <a:pt x="28" y="439"/>
                                  </a:lnTo>
                                  <a:lnTo>
                                    <a:pt x="26" y="439"/>
                                  </a:lnTo>
                                  <a:lnTo>
                                    <a:pt x="23" y="459"/>
                                  </a:lnTo>
                                  <a:lnTo>
                                    <a:pt x="23" y="459"/>
                                  </a:lnTo>
                                  <a:lnTo>
                                    <a:pt x="21" y="479"/>
                                  </a:lnTo>
                                  <a:close/>
                                </a:path>
                              </a:pathLst>
                            </a:custGeom>
                            <a:solidFill>
                              <a:srgbClr val="000000"/>
                            </a:solidFill>
                            <a:ln>
                              <a:noFill/>
                            </a:ln>
                          </wps:spPr>
                          <wps:bodyPr upright="1"/>
                        </wps:wsp>
                        <wps:wsp>
                          <wps:cNvPr id="36" name="任意多边形 36"/>
                          <wps:cNvSpPr/>
                          <wps:spPr>
                            <a:xfrm>
                              <a:off x="0" y="0"/>
                              <a:ext cx="7425" cy="5060"/>
                            </a:xfrm>
                            <a:custGeom>
                              <a:avLst/>
                              <a:gdLst/>
                              <a:ahLst/>
                              <a:cxnLst/>
                              <a:pathLst>
                                <a:path w="7425" h="5060">
                                  <a:moveTo>
                                    <a:pt x="7418" y="479"/>
                                  </a:moveTo>
                                  <a:lnTo>
                                    <a:pt x="7403" y="479"/>
                                  </a:lnTo>
                                  <a:lnTo>
                                    <a:pt x="7401" y="459"/>
                                  </a:lnTo>
                                  <a:lnTo>
                                    <a:pt x="7401" y="459"/>
                                  </a:lnTo>
                                  <a:lnTo>
                                    <a:pt x="7398" y="439"/>
                                  </a:lnTo>
                                  <a:lnTo>
                                    <a:pt x="7395" y="439"/>
                                  </a:lnTo>
                                  <a:lnTo>
                                    <a:pt x="7392" y="419"/>
                                  </a:lnTo>
                                  <a:lnTo>
                                    <a:pt x="7410" y="419"/>
                                  </a:lnTo>
                                  <a:lnTo>
                                    <a:pt x="7413" y="439"/>
                                  </a:lnTo>
                                  <a:lnTo>
                                    <a:pt x="7415" y="459"/>
                                  </a:lnTo>
                                  <a:lnTo>
                                    <a:pt x="7418" y="479"/>
                                  </a:lnTo>
                                  <a:close/>
                                </a:path>
                              </a:pathLst>
                            </a:custGeom>
                            <a:solidFill>
                              <a:srgbClr val="000000"/>
                            </a:solidFill>
                            <a:ln>
                              <a:noFill/>
                            </a:ln>
                          </wps:spPr>
                          <wps:bodyPr upright="1"/>
                        </wps:wsp>
                        <wps:wsp>
                          <wps:cNvPr id="37" name="任意多边形 37"/>
                          <wps:cNvSpPr/>
                          <wps:spPr>
                            <a:xfrm>
                              <a:off x="0" y="0"/>
                              <a:ext cx="7425" cy="5060"/>
                            </a:xfrm>
                            <a:custGeom>
                              <a:avLst/>
                              <a:gdLst/>
                              <a:ahLst/>
                              <a:cxnLst/>
                              <a:pathLst>
                                <a:path w="7425" h="5060">
                                  <a:moveTo>
                                    <a:pt x="16" y="519"/>
                                  </a:moveTo>
                                  <a:lnTo>
                                    <a:pt x="1" y="519"/>
                                  </a:lnTo>
                                  <a:lnTo>
                                    <a:pt x="2" y="499"/>
                                  </a:lnTo>
                                  <a:lnTo>
                                    <a:pt x="4" y="479"/>
                                  </a:lnTo>
                                  <a:lnTo>
                                    <a:pt x="19" y="479"/>
                                  </a:lnTo>
                                  <a:lnTo>
                                    <a:pt x="17" y="499"/>
                                  </a:lnTo>
                                  <a:lnTo>
                                    <a:pt x="17" y="499"/>
                                  </a:lnTo>
                                  <a:lnTo>
                                    <a:pt x="16" y="519"/>
                                  </a:lnTo>
                                  <a:close/>
                                </a:path>
                              </a:pathLst>
                            </a:custGeom>
                            <a:solidFill>
                              <a:srgbClr val="000000"/>
                            </a:solidFill>
                            <a:ln>
                              <a:noFill/>
                            </a:ln>
                          </wps:spPr>
                          <wps:bodyPr upright="1"/>
                        </wps:wsp>
                        <wps:wsp>
                          <wps:cNvPr id="38" name="任意多边形 38"/>
                          <wps:cNvSpPr/>
                          <wps:spPr>
                            <a:xfrm>
                              <a:off x="0" y="0"/>
                              <a:ext cx="7425" cy="5060"/>
                            </a:xfrm>
                            <a:custGeom>
                              <a:avLst/>
                              <a:gdLst/>
                              <a:ahLst/>
                              <a:cxnLst/>
                              <a:pathLst>
                                <a:path w="7425" h="5060">
                                  <a:moveTo>
                                    <a:pt x="7423" y="519"/>
                                  </a:moveTo>
                                  <a:lnTo>
                                    <a:pt x="7408" y="519"/>
                                  </a:lnTo>
                                  <a:lnTo>
                                    <a:pt x="7406" y="499"/>
                                  </a:lnTo>
                                  <a:lnTo>
                                    <a:pt x="7406" y="499"/>
                                  </a:lnTo>
                                  <a:lnTo>
                                    <a:pt x="7405" y="479"/>
                                  </a:lnTo>
                                  <a:lnTo>
                                    <a:pt x="7420" y="479"/>
                                  </a:lnTo>
                                  <a:lnTo>
                                    <a:pt x="7421" y="499"/>
                                  </a:lnTo>
                                  <a:lnTo>
                                    <a:pt x="7423" y="519"/>
                                  </a:lnTo>
                                  <a:close/>
                                </a:path>
                              </a:pathLst>
                            </a:custGeom>
                            <a:solidFill>
                              <a:srgbClr val="000000"/>
                            </a:solidFill>
                            <a:ln>
                              <a:noFill/>
                            </a:ln>
                          </wps:spPr>
                          <wps:bodyPr upright="1"/>
                        </wps:wsp>
                        <wps:wsp>
                          <wps:cNvPr id="39" name="任意多边形 39"/>
                          <wps:cNvSpPr/>
                          <wps:spPr>
                            <a:xfrm>
                              <a:off x="0" y="0"/>
                              <a:ext cx="7425" cy="5060"/>
                            </a:xfrm>
                            <a:custGeom>
                              <a:avLst/>
                              <a:gdLst/>
                              <a:ahLst/>
                              <a:cxnLst/>
                              <a:pathLst>
                                <a:path w="7425" h="5060">
                                  <a:moveTo>
                                    <a:pt x="19" y="4559"/>
                                  </a:moveTo>
                                  <a:lnTo>
                                    <a:pt x="2" y="4559"/>
                                  </a:lnTo>
                                  <a:lnTo>
                                    <a:pt x="1" y="4539"/>
                                  </a:lnTo>
                                  <a:lnTo>
                                    <a:pt x="0" y="4519"/>
                                  </a:lnTo>
                                  <a:lnTo>
                                    <a:pt x="0" y="4499"/>
                                  </a:lnTo>
                                  <a:lnTo>
                                    <a:pt x="0" y="539"/>
                                  </a:lnTo>
                                  <a:lnTo>
                                    <a:pt x="0" y="519"/>
                                  </a:lnTo>
                                  <a:lnTo>
                                    <a:pt x="15" y="519"/>
                                  </a:lnTo>
                                  <a:lnTo>
                                    <a:pt x="15" y="539"/>
                                  </a:lnTo>
                                  <a:lnTo>
                                    <a:pt x="15" y="4499"/>
                                  </a:lnTo>
                                  <a:lnTo>
                                    <a:pt x="15" y="4519"/>
                                  </a:lnTo>
                                  <a:lnTo>
                                    <a:pt x="16" y="4539"/>
                                  </a:lnTo>
                                  <a:lnTo>
                                    <a:pt x="17" y="4539"/>
                                  </a:lnTo>
                                  <a:lnTo>
                                    <a:pt x="19" y="4559"/>
                                  </a:lnTo>
                                  <a:close/>
                                </a:path>
                              </a:pathLst>
                            </a:custGeom>
                            <a:solidFill>
                              <a:srgbClr val="000000"/>
                            </a:solidFill>
                            <a:ln>
                              <a:noFill/>
                            </a:ln>
                          </wps:spPr>
                          <wps:bodyPr upright="1"/>
                        </wps:wsp>
                        <wps:wsp>
                          <wps:cNvPr id="40" name="任意多边形 40"/>
                          <wps:cNvSpPr/>
                          <wps:spPr>
                            <a:xfrm>
                              <a:off x="0" y="0"/>
                              <a:ext cx="7425" cy="5060"/>
                            </a:xfrm>
                            <a:custGeom>
                              <a:avLst/>
                              <a:gdLst/>
                              <a:ahLst/>
                              <a:cxnLst/>
                              <a:pathLst>
                                <a:path w="7425" h="5060">
                                  <a:moveTo>
                                    <a:pt x="7421" y="4559"/>
                                  </a:moveTo>
                                  <a:lnTo>
                                    <a:pt x="7405" y="4559"/>
                                  </a:lnTo>
                                  <a:lnTo>
                                    <a:pt x="7406" y="4539"/>
                                  </a:lnTo>
                                  <a:lnTo>
                                    <a:pt x="7408" y="4539"/>
                                  </a:lnTo>
                                  <a:lnTo>
                                    <a:pt x="7408" y="4519"/>
                                  </a:lnTo>
                                  <a:lnTo>
                                    <a:pt x="7408" y="4519"/>
                                  </a:lnTo>
                                  <a:lnTo>
                                    <a:pt x="7409" y="4499"/>
                                  </a:lnTo>
                                  <a:lnTo>
                                    <a:pt x="7409" y="539"/>
                                  </a:lnTo>
                                  <a:lnTo>
                                    <a:pt x="7408" y="519"/>
                                  </a:lnTo>
                                  <a:lnTo>
                                    <a:pt x="7423" y="519"/>
                                  </a:lnTo>
                                  <a:lnTo>
                                    <a:pt x="7424" y="539"/>
                                  </a:lnTo>
                                  <a:lnTo>
                                    <a:pt x="7424" y="4499"/>
                                  </a:lnTo>
                                  <a:lnTo>
                                    <a:pt x="7423" y="4519"/>
                                  </a:lnTo>
                                  <a:lnTo>
                                    <a:pt x="7423" y="4539"/>
                                  </a:lnTo>
                                  <a:lnTo>
                                    <a:pt x="7421" y="4559"/>
                                  </a:lnTo>
                                  <a:close/>
                                </a:path>
                              </a:pathLst>
                            </a:custGeom>
                            <a:solidFill>
                              <a:srgbClr val="000000"/>
                            </a:solidFill>
                            <a:ln>
                              <a:noFill/>
                            </a:ln>
                          </wps:spPr>
                          <wps:bodyPr upright="1"/>
                        </wps:wsp>
                        <wps:wsp>
                          <wps:cNvPr id="41" name="任意多边形 41"/>
                          <wps:cNvSpPr/>
                          <wps:spPr>
                            <a:xfrm>
                              <a:off x="0" y="0"/>
                              <a:ext cx="7425" cy="5060"/>
                            </a:xfrm>
                            <a:custGeom>
                              <a:avLst/>
                              <a:gdLst/>
                              <a:ahLst/>
                              <a:cxnLst/>
                              <a:pathLst>
                                <a:path w="7425" h="5060">
                                  <a:moveTo>
                                    <a:pt x="23" y="4599"/>
                                  </a:moveTo>
                                  <a:lnTo>
                                    <a:pt x="8" y="4599"/>
                                  </a:lnTo>
                                  <a:lnTo>
                                    <a:pt x="6" y="4579"/>
                                  </a:lnTo>
                                  <a:lnTo>
                                    <a:pt x="4" y="4559"/>
                                  </a:lnTo>
                                  <a:lnTo>
                                    <a:pt x="19" y="4559"/>
                                  </a:lnTo>
                                  <a:lnTo>
                                    <a:pt x="21" y="4579"/>
                                  </a:lnTo>
                                  <a:lnTo>
                                    <a:pt x="21" y="4579"/>
                                  </a:lnTo>
                                  <a:lnTo>
                                    <a:pt x="23" y="4599"/>
                                  </a:lnTo>
                                  <a:close/>
                                </a:path>
                              </a:pathLst>
                            </a:custGeom>
                            <a:solidFill>
                              <a:srgbClr val="000000"/>
                            </a:solidFill>
                            <a:ln>
                              <a:noFill/>
                            </a:ln>
                          </wps:spPr>
                          <wps:bodyPr upright="1"/>
                        </wps:wsp>
                        <wps:wsp>
                          <wps:cNvPr id="42" name="任意多边形 42"/>
                          <wps:cNvSpPr/>
                          <wps:spPr>
                            <a:xfrm>
                              <a:off x="0" y="0"/>
                              <a:ext cx="7425" cy="5060"/>
                            </a:xfrm>
                            <a:custGeom>
                              <a:avLst/>
                              <a:gdLst/>
                              <a:ahLst/>
                              <a:cxnLst/>
                              <a:pathLst>
                                <a:path w="7425" h="5060">
                                  <a:moveTo>
                                    <a:pt x="7415" y="4599"/>
                                  </a:moveTo>
                                  <a:lnTo>
                                    <a:pt x="7401" y="4599"/>
                                  </a:lnTo>
                                  <a:lnTo>
                                    <a:pt x="7403" y="4579"/>
                                  </a:lnTo>
                                  <a:lnTo>
                                    <a:pt x="7403" y="4579"/>
                                  </a:lnTo>
                                  <a:lnTo>
                                    <a:pt x="7405" y="4559"/>
                                  </a:lnTo>
                                  <a:lnTo>
                                    <a:pt x="7420" y="4559"/>
                                  </a:lnTo>
                                  <a:lnTo>
                                    <a:pt x="7418" y="4579"/>
                                  </a:lnTo>
                                  <a:lnTo>
                                    <a:pt x="7415" y="4599"/>
                                  </a:lnTo>
                                  <a:close/>
                                </a:path>
                              </a:pathLst>
                            </a:custGeom>
                            <a:solidFill>
                              <a:srgbClr val="000000"/>
                            </a:solidFill>
                            <a:ln>
                              <a:noFill/>
                            </a:ln>
                          </wps:spPr>
                          <wps:bodyPr upright="1"/>
                        </wps:wsp>
                        <wps:wsp>
                          <wps:cNvPr id="43" name="任意多边形 43"/>
                          <wps:cNvSpPr/>
                          <wps:spPr>
                            <a:xfrm>
                              <a:off x="0" y="0"/>
                              <a:ext cx="7425" cy="5060"/>
                            </a:xfrm>
                            <a:custGeom>
                              <a:avLst/>
                              <a:gdLst/>
                              <a:ahLst/>
                              <a:cxnLst/>
                              <a:pathLst>
                                <a:path w="7425" h="5060">
                                  <a:moveTo>
                                    <a:pt x="32" y="4639"/>
                                  </a:moveTo>
                                  <a:lnTo>
                                    <a:pt x="17" y="4639"/>
                                  </a:lnTo>
                                  <a:lnTo>
                                    <a:pt x="14" y="4619"/>
                                  </a:lnTo>
                                  <a:lnTo>
                                    <a:pt x="11" y="4599"/>
                                  </a:lnTo>
                                  <a:lnTo>
                                    <a:pt x="26" y="4599"/>
                                  </a:lnTo>
                                  <a:lnTo>
                                    <a:pt x="29" y="4619"/>
                                  </a:lnTo>
                                  <a:lnTo>
                                    <a:pt x="28" y="4619"/>
                                  </a:lnTo>
                                  <a:lnTo>
                                    <a:pt x="32" y="4639"/>
                                  </a:lnTo>
                                  <a:close/>
                                </a:path>
                              </a:pathLst>
                            </a:custGeom>
                            <a:solidFill>
                              <a:srgbClr val="000000"/>
                            </a:solidFill>
                            <a:ln>
                              <a:noFill/>
                            </a:ln>
                          </wps:spPr>
                          <wps:bodyPr upright="1"/>
                        </wps:wsp>
                        <wps:wsp>
                          <wps:cNvPr id="44" name="任意多边形 44"/>
                          <wps:cNvSpPr/>
                          <wps:spPr>
                            <a:xfrm>
                              <a:off x="0" y="0"/>
                              <a:ext cx="7425" cy="5060"/>
                            </a:xfrm>
                            <a:custGeom>
                              <a:avLst/>
                              <a:gdLst/>
                              <a:ahLst/>
                              <a:cxnLst/>
                              <a:pathLst>
                                <a:path w="7425" h="5060">
                                  <a:moveTo>
                                    <a:pt x="7406" y="4639"/>
                                  </a:moveTo>
                                  <a:lnTo>
                                    <a:pt x="7392" y="4639"/>
                                  </a:lnTo>
                                  <a:lnTo>
                                    <a:pt x="7395" y="4619"/>
                                  </a:lnTo>
                                  <a:lnTo>
                                    <a:pt x="7395" y="4619"/>
                                  </a:lnTo>
                                  <a:lnTo>
                                    <a:pt x="7398" y="4599"/>
                                  </a:lnTo>
                                  <a:lnTo>
                                    <a:pt x="7413" y="4599"/>
                                  </a:lnTo>
                                  <a:lnTo>
                                    <a:pt x="7410" y="4619"/>
                                  </a:lnTo>
                                  <a:lnTo>
                                    <a:pt x="7406" y="4639"/>
                                  </a:lnTo>
                                  <a:close/>
                                </a:path>
                              </a:pathLst>
                            </a:custGeom>
                            <a:solidFill>
                              <a:srgbClr val="000000"/>
                            </a:solidFill>
                            <a:ln>
                              <a:noFill/>
                            </a:ln>
                          </wps:spPr>
                          <wps:bodyPr upright="1"/>
                        </wps:wsp>
                        <wps:wsp>
                          <wps:cNvPr id="45" name="任意多边形 45"/>
                          <wps:cNvSpPr/>
                          <wps:spPr>
                            <a:xfrm>
                              <a:off x="0" y="0"/>
                              <a:ext cx="7425" cy="5060"/>
                            </a:xfrm>
                            <a:custGeom>
                              <a:avLst/>
                              <a:gdLst/>
                              <a:ahLst/>
                              <a:cxnLst/>
                              <a:pathLst>
                                <a:path w="7425" h="5060">
                                  <a:moveTo>
                                    <a:pt x="43" y="4679"/>
                                  </a:moveTo>
                                  <a:lnTo>
                                    <a:pt x="29" y="4679"/>
                                  </a:lnTo>
                                  <a:lnTo>
                                    <a:pt x="25" y="4659"/>
                                  </a:lnTo>
                                  <a:lnTo>
                                    <a:pt x="21" y="4639"/>
                                  </a:lnTo>
                                  <a:lnTo>
                                    <a:pt x="35" y="4639"/>
                                  </a:lnTo>
                                  <a:lnTo>
                                    <a:pt x="39" y="4659"/>
                                  </a:lnTo>
                                  <a:lnTo>
                                    <a:pt x="39" y="4659"/>
                                  </a:lnTo>
                                  <a:lnTo>
                                    <a:pt x="43" y="4679"/>
                                  </a:lnTo>
                                  <a:close/>
                                </a:path>
                              </a:pathLst>
                            </a:custGeom>
                            <a:solidFill>
                              <a:srgbClr val="000000"/>
                            </a:solidFill>
                            <a:ln>
                              <a:noFill/>
                            </a:ln>
                          </wps:spPr>
                          <wps:bodyPr upright="1"/>
                        </wps:wsp>
                        <wps:wsp>
                          <wps:cNvPr id="46" name="任意多边形 46"/>
                          <wps:cNvSpPr/>
                          <wps:spPr>
                            <a:xfrm>
                              <a:off x="0" y="0"/>
                              <a:ext cx="7425" cy="5060"/>
                            </a:xfrm>
                            <a:custGeom>
                              <a:avLst/>
                              <a:gdLst/>
                              <a:ahLst/>
                              <a:cxnLst/>
                              <a:pathLst>
                                <a:path w="7425" h="5060">
                                  <a:moveTo>
                                    <a:pt x="7394" y="4679"/>
                                  </a:moveTo>
                                  <a:lnTo>
                                    <a:pt x="7380" y="4679"/>
                                  </a:lnTo>
                                  <a:lnTo>
                                    <a:pt x="7384" y="4659"/>
                                  </a:lnTo>
                                  <a:lnTo>
                                    <a:pt x="7384" y="4659"/>
                                  </a:lnTo>
                                  <a:lnTo>
                                    <a:pt x="7388" y="4639"/>
                                  </a:lnTo>
                                  <a:lnTo>
                                    <a:pt x="7403" y="4639"/>
                                  </a:lnTo>
                                  <a:lnTo>
                                    <a:pt x="7399" y="4659"/>
                                  </a:lnTo>
                                  <a:lnTo>
                                    <a:pt x="7394" y="4679"/>
                                  </a:lnTo>
                                  <a:close/>
                                </a:path>
                              </a:pathLst>
                            </a:custGeom>
                            <a:solidFill>
                              <a:srgbClr val="000000"/>
                            </a:solidFill>
                            <a:ln>
                              <a:noFill/>
                            </a:ln>
                          </wps:spPr>
                          <wps:bodyPr upright="1"/>
                        </wps:wsp>
                        <wps:wsp>
                          <wps:cNvPr id="47" name="任意多边形 47"/>
                          <wps:cNvSpPr/>
                          <wps:spPr>
                            <a:xfrm>
                              <a:off x="0" y="0"/>
                              <a:ext cx="7425" cy="5060"/>
                            </a:xfrm>
                            <a:custGeom>
                              <a:avLst/>
                              <a:gdLst/>
                              <a:ahLst/>
                              <a:cxnLst/>
                              <a:pathLst>
                                <a:path w="7425" h="5060">
                                  <a:moveTo>
                                    <a:pt x="48" y="4679"/>
                                  </a:moveTo>
                                  <a:lnTo>
                                    <a:pt x="43" y="4679"/>
                                  </a:lnTo>
                                  <a:lnTo>
                                    <a:pt x="43" y="4659"/>
                                  </a:lnTo>
                                  <a:lnTo>
                                    <a:pt x="48" y="4679"/>
                                  </a:lnTo>
                                  <a:close/>
                                </a:path>
                              </a:pathLst>
                            </a:custGeom>
                            <a:solidFill>
                              <a:srgbClr val="000000"/>
                            </a:solidFill>
                            <a:ln>
                              <a:noFill/>
                            </a:ln>
                          </wps:spPr>
                          <wps:bodyPr upright="1"/>
                        </wps:wsp>
                        <wps:wsp>
                          <wps:cNvPr id="48" name="任意多边形 48"/>
                          <wps:cNvSpPr/>
                          <wps:spPr>
                            <a:xfrm>
                              <a:off x="0" y="0"/>
                              <a:ext cx="7425" cy="5060"/>
                            </a:xfrm>
                            <a:custGeom>
                              <a:avLst/>
                              <a:gdLst/>
                              <a:ahLst/>
                              <a:cxnLst/>
                              <a:pathLst>
                                <a:path w="7425" h="5060">
                                  <a:moveTo>
                                    <a:pt x="7380" y="4679"/>
                                  </a:moveTo>
                                  <a:lnTo>
                                    <a:pt x="7376" y="4679"/>
                                  </a:lnTo>
                                  <a:lnTo>
                                    <a:pt x="7380" y="4659"/>
                                  </a:lnTo>
                                  <a:lnTo>
                                    <a:pt x="7380" y="4679"/>
                                  </a:lnTo>
                                  <a:close/>
                                </a:path>
                              </a:pathLst>
                            </a:custGeom>
                            <a:solidFill>
                              <a:srgbClr val="000000"/>
                            </a:solidFill>
                            <a:ln>
                              <a:noFill/>
                            </a:ln>
                          </wps:spPr>
                          <wps:bodyPr upright="1"/>
                        </wps:wsp>
                        <wps:wsp>
                          <wps:cNvPr id="49" name="任意多边形 49"/>
                          <wps:cNvSpPr/>
                          <wps:spPr>
                            <a:xfrm>
                              <a:off x="0" y="0"/>
                              <a:ext cx="7425" cy="5060"/>
                            </a:xfrm>
                            <a:custGeom>
                              <a:avLst/>
                              <a:gdLst/>
                              <a:ahLst/>
                              <a:cxnLst/>
                              <a:pathLst>
                                <a:path w="7425" h="5060">
                                  <a:moveTo>
                                    <a:pt x="63" y="4719"/>
                                  </a:moveTo>
                                  <a:lnTo>
                                    <a:pt x="44" y="4719"/>
                                  </a:lnTo>
                                  <a:lnTo>
                                    <a:pt x="39" y="4699"/>
                                  </a:lnTo>
                                  <a:lnTo>
                                    <a:pt x="34" y="4679"/>
                                  </a:lnTo>
                                  <a:lnTo>
                                    <a:pt x="48" y="4679"/>
                                  </a:lnTo>
                                  <a:lnTo>
                                    <a:pt x="53" y="4699"/>
                                  </a:lnTo>
                                  <a:lnTo>
                                    <a:pt x="58" y="4699"/>
                                  </a:lnTo>
                                  <a:lnTo>
                                    <a:pt x="63" y="4719"/>
                                  </a:lnTo>
                                  <a:close/>
                                </a:path>
                              </a:pathLst>
                            </a:custGeom>
                            <a:solidFill>
                              <a:srgbClr val="000000"/>
                            </a:solidFill>
                            <a:ln>
                              <a:noFill/>
                            </a:ln>
                          </wps:spPr>
                          <wps:bodyPr upright="1"/>
                        </wps:wsp>
                        <wps:wsp>
                          <wps:cNvPr id="50" name="任意多边形 50"/>
                          <wps:cNvSpPr/>
                          <wps:spPr>
                            <a:xfrm>
                              <a:off x="0" y="0"/>
                              <a:ext cx="7425" cy="5060"/>
                            </a:xfrm>
                            <a:custGeom>
                              <a:avLst/>
                              <a:gdLst/>
                              <a:ahLst/>
                              <a:cxnLst/>
                              <a:pathLst>
                                <a:path w="7425" h="5060">
                                  <a:moveTo>
                                    <a:pt x="7380" y="4719"/>
                                  </a:moveTo>
                                  <a:lnTo>
                                    <a:pt x="7360" y="4719"/>
                                  </a:lnTo>
                                  <a:lnTo>
                                    <a:pt x="7366" y="4699"/>
                                  </a:lnTo>
                                  <a:lnTo>
                                    <a:pt x="7371" y="4699"/>
                                  </a:lnTo>
                                  <a:lnTo>
                                    <a:pt x="7376" y="4679"/>
                                  </a:lnTo>
                                  <a:lnTo>
                                    <a:pt x="7390" y="4679"/>
                                  </a:lnTo>
                                  <a:lnTo>
                                    <a:pt x="7385" y="4699"/>
                                  </a:lnTo>
                                  <a:lnTo>
                                    <a:pt x="7380" y="4719"/>
                                  </a:lnTo>
                                  <a:close/>
                                </a:path>
                              </a:pathLst>
                            </a:custGeom>
                            <a:solidFill>
                              <a:srgbClr val="000000"/>
                            </a:solidFill>
                            <a:ln>
                              <a:noFill/>
                            </a:ln>
                          </wps:spPr>
                          <wps:bodyPr upright="1"/>
                        </wps:wsp>
                        <wps:wsp>
                          <wps:cNvPr id="51" name="任意多边形 51"/>
                          <wps:cNvSpPr/>
                          <wps:spPr>
                            <a:xfrm>
                              <a:off x="0" y="0"/>
                              <a:ext cx="7425" cy="5060"/>
                            </a:xfrm>
                            <a:custGeom>
                              <a:avLst/>
                              <a:gdLst/>
                              <a:ahLst/>
                              <a:cxnLst/>
                              <a:pathLst>
                                <a:path w="7425" h="5060">
                                  <a:moveTo>
                                    <a:pt x="81" y="4759"/>
                                  </a:moveTo>
                                  <a:lnTo>
                                    <a:pt x="62" y="4759"/>
                                  </a:lnTo>
                                  <a:lnTo>
                                    <a:pt x="55" y="4739"/>
                                  </a:lnTo>
                                  <a:lnTo>
                                    <a:pt x="50" y="4719"/>
                                  </a:lnTo>
                                  <a:lnTo>
                                    <a:pt x="63" y="4719"/>
                                  </a:lnTo>
                                  <a:lnTo>
                                    <a:pt x="69" y="4739"/>
                                  </a:lnTo>
                                  <a:lnTo>
                                    <a:pt x="75" y="4739"/>
                                  </a:lnTo>
                                  <a:lnTo>
                                    <a:pt x="81" y="4759"/>
                                  </a:lnTo>
                                  <a:close/>
                                </a:path>
                              </a:pathLst>
                            </a:custGeom>
                            <a:solidFill>
                              <a:srgbClr val="000000"/>
                            </a:solidFill>
                            <a:ln>
                              <a:noFill/>
                            </a:ln>
                          </wps:spPr>
                          <wps:bodyPr upright="1"/>
                        </wps:wsp>
                        <wps:wsp>
                          <wps:cNvPr id="52" name="任意多边形 52"/>
                          <wps:cNvSpPr/>
                          <wps:spPr>
                            <a:xfrm>
                              <a:off x="0" y="0"/>
                              <a:ext cx="7425" cy="5060"/>
                            </a:xfrm>
                            <a:custGeom>
                              <a:avLst/>
                              <a:gdLst/>
                              <a:ahLst/>
                              <a:cxnLst/>
                              <a:pathLst>
                                <a:path w="7425" h="5060">
                                  <a:moveTo>
                                    <a:pt x="7362" y="4759"/>
                                  </a:moveTo>
                                  <a:lnTo>
                                    <a:pt x="7342" y="4759"/>
                                  </a:lnTo>
                                  <a:lnTo>
                                    <a:pt x="7349" y="4739"/>
                                  </a:lnTo>
                                  <a:lnTo>
                                    <a:pt x="7355" y="4739"/>
                                  </a:lnTo>
                                  <a:lnTo>
                                    <a:pt x="7360" y="4719"/>
                                  </a:lnTo>
                                  <a:lnTo>
                                    <a:pt x="7374" y="4719"/>
                                  </a:lnTo>
                                  <a:lnTo>
                                    <a:pt x="7368" y="4739"/>
                                  </a:lnTo>
                                  <a:lnTo>
                                    <a:pt x="7362" y="4759"/>
                                  </a:lnTo>
                                  <a:close/>
                                </a:path>
                              </a:pathLst>
                            </a:custGeom>
                            <a:solidFill>
                              <a:srgbClr val="000000"/>
                            </a:solidFill>
                            <a:ln>
                              <a:noFill/>
                            </a:ln>
                          </wps:spPr>
                          <wps:bodyPr upright="1"/>
                        </wps:wsp>
                        <wps:wsp>
                          <wps:cNvPr id="53" name="任意多边形 53"/>
                          <wps:cNvSpPr/>
                          <wps:spPr>
                            <a:xfrm>
                              <a:off x="0" y="0"/>
                              <a:ext cx="7425" cy="5060"/>
                            </a:xfrm>
                            <a:custGeom>
                              <a:avLst/>
                              <a:gdLst/>
                              <a:ahLst/>
                              <a:cxnLst/>
                              <a:pathLst>
                                <a:path w="7425" h="5060">
                                  <a:moveTo>
                                    <a:pt x="94" y="4779"/>
                                  </a:moveTo>
                                  <a:lnTo>
                                    <a:pt x="75" y="4779"/>
                                  </a:lnTo>
                                  <a:lnTo>
                                    <a:pt x="68" y="4759"/>
                                  </a:lnTo>
                                  <a:lnTo>
                                    <a:pt x="88" y="4759"/>
                                  </a:lnTo>
                                  <a:lnTo>
                                    <a:pt x="94" y="4779"/>
                                  </a:lnTo>
                                  <a:close/>
                                </a:path>
                              </a:pathLst>
                            </a:custGeom>
                            <a:solidFill>
                              <a:srgbClr val="000000"/>
                            </a:solidFill>
                            <a:ln>
                              <a:noFill/>
                            </a:ln>
                          </wps:spPr>
                          <wps:bodyPr upright="1"/>
                        </wps:wsp>
                        <wps:wsp>
                          <wps:cNvPr id="54" name="任意多边形 54"/>
                          <wps:cNvSpPr/>
                          <wps:spPr>
                            <a:xfrm>
                              <a:off x="0" y="0"/>
                              <a:ext cx="7425" cy="5060"/>
                            </a:xfrm>
                            <a:custGeom>
                              <a:avLst/>
                              <a:gdLst/>
                              <a:ahLst/>
                              <a:cxnLst/>
                              <a:pathLst>
                                <a:path w="7425" h="5060">
                                  <a:moveTo>
                                    <a:pt x="7349" y="4779"/>
                                  </a:moveTo>
                                  <a:lnTo>
                                    <a:pt x="7329" y="4779"/>
                                  </a:lnTo>
                                  <a:lnTo>
                                    <a:pt x="7336" y="4759"/>
                                  </a:lnTo>
                                  <a:lnTo>
                                    <a:pt x="7356" y="4759"/>
                                  </a:lnTo>
                                  <a:lnTo>
                                    <a:pt x="7349" y="4779"/>
                                  </a:lnTo>
                                  <a:close/>
                                </a:path>
                              </a:pathLst>
                            </a:custGeom>
                            <a:solidFill>
                              <a:srgbClr val="000000"/>
                            </a:solidFill>
                            <a:ln>
                              <a:noFill/>
                            </a:ln>
                          </wps:spPr>
                          <wps:bodyPr upright="1"/>
                        </wps:wsp>
                        <wps:wsp>
                          <wps:cNvPr id="55" name="任意多边形 55"/>
                          <wps:cNvSpPr/>
                          <wps:spPr>
                            <a:xfrm>
                              <a:off x="0" y="0"/>
                              <a:ext cx="7425" cy="5060"/>
                            </a:xfrm>
                            <a:custGeom>
                              <a:avLst/>
                              <a:gdLst/>
                              <a:ahLst/>
                              <a:cxnLst/>
                              <a:pathLst>
                                <a:path w="7425" h="5060">
                                  <a:moveTo>
                                    <a:pt x="116" y="4819"/>
                                  </a:moveTo>
                                  <a:lnTo>
                                    <a:pt x="96" y="4819"/>
                                  </a:lnTo>
                                  <a:lnTo>
                                    <a:pt x="89" y="4799"/>
                                  </a:lnTo>
                                  <a:lnTo>
                                    <a:pt x="82" y="4779"/>
                                  </a:lnTo>
                                  <a:lnTo>
                                    <a:pt x="94" y="4779"/>
                                  </a:lnTo>
                                  <a:lnTo>
                                    <a:pt x="102" y="4799"/>
                                  </a:lnTo>
                                  <a:lnTo>
                                    <a:pt x="109" y="4799"/>
                                  </a:lnTo>
                                  <a:lnTo>
                                    <a:pt x="116" y="4819"/>
                                  </a:lnTo>
                                  <a:close/>
                                </a:path>
                              </a:pathLst>
                            </a:custGeom>
                            <a:solidFill>
                              <a:srgbClr val="000000"/>
                            </a:solidFill>
                            <a:ln>
                              <a:noFill/>
                            </a:ln>
                          </wps:spPr>
                          <wps:bodyPr upright="1"/>
                        </wps:wsp>
                        <wps:wsp>
                          <wps:cNvPr id="56" name="任意多边形 56"/>
                          <wps:cNvSpPr/>
                          <wps:spPr>
                            <a:xfrm>
                              <a:off x="0" y="0"/>
                              <a:ext cx="7425" cy="5060"/>
                            </a:xfrm>
                            <a:custGeom>
                              <a:avLst/>
                              <a:gdLst/>
                              <a:ahLst/>
                              <a:cxnLst/>
                              <a:pathLst>
                                <a:path w="7425" h="5060">
                                  <a:moveTo>
                                    <a:pt x="7327" y="4819"/>
                                  </a:moveTo>
                                  <a:lnTo>
                                    <a:pt x="7307" y="4819"/>
                                  </a:lnTo>
                                  <a:lnTo>
                                    <a:pt x="7315" y="4799"/>
                                  </a:lnTo>
                                  <a:lnTo>
                                    <a:pt x="7322" y="4799"/>
                                  </a:lnTo>
                                  <a:lnTo>
                                    <a:pt x="7329" y="4779"/>
                                  </a:lnTo>
                                  <a:lnTo>
                                    <a:pt x="7342" y="4779"/>
                                  </a:lnTo>
                                  <a:lnTo>
                                    <a:pt x="7335" y="4799"/>
                                  </a:lnTo>
                                  <a:lnTo>
                                    <a:pt x="7327" y="4819"/>
                                  </a:lnTo>
                                  <a:close/>
                                </a:path>
                              </a:pathLst>
                            </a:custGeom>
                            <a:solidFill>
                              <a:srgbClr val="000000"/>
                            </a:solidFill>
                            <a:ln>
                              <a:noFill/>
                            </a:ln>
                          </wps:spPr>
                          <wps:bodyPr upright="1"/>
                        </wps:wsp>
                        <wps:wsp>
                          <wps:cNvPr id="57" name="任意多边形 57"/>
                          <wps:cNvSpPr/>
                          <wps:spPr>
                            <a:xfrm>
                              <a:off x="0" y="0"/>
                              <a:ext cx="7425" cy="5060"/>
                            </a:xfrm>
                            <a:custGeom>
                              <a:avLst/>
                              <a:gdLst/>
                              <a:ahLst/>
                              <a:cxnLst/>
                              <a:pathLst>
                                <a:path w="7425" h="5060">
                                  <a:moveTo>
                                    <a:pt x="132" y="4839"/>
                                  </a:moveTo>
                                  <a:lnTo>
                                    <a:pt x="112" y="4839"/>
                                  </a:lnTo>
                                  <a:lnTo>
                                    <a:pt x="104" y="4819"/>
                                  </a:lnTo>
                                  <a:lnTo>
                                    <a:pt x="124" y="4819"/>
                                  </a:lnTo>
                                  <a:lnTo>
                                    <a:pt x="132" y="4839"/>
                                  </a:lnTo>
                                  <a:close/>
                                </a:path>
                              </a:pathLst>
                            </a:custGeom>
                            <a:solidFill>
                              <a:srgbClr val="000000"/>
                            </a:solidFill>
                            <a:ln>
                              <a:noFill/>
                            </a:ln>
                          </wps:spPr>
                          <wps:bodyPr upright="1"/>
                        </wps:wsp>
                        <wps:wsp>
                          <wps:cNvPr id="58" name="任意多边形 58"/>
                          <wps:cNvSpPr/>
                          <wps:spPr>
                            <a:xfrm>
                              <a:off x="0" y="0"/>
                              <a:ext cx="7425" cy="5060"/>
                            </a:xfrm>
                            <a:custGeom>
                              <a:avLst/>
                              <a:gdLst/>
                              <a:ahLst/>
                              <a:cxnLst/>
                              <a:pathLst>
                                <a:path w="7425" h="5060">
                                  <a:moveTo>
                                    <a:pt x="7311" y="4839"/>
                                  </a:moveTo>
                                  <a:lnTo>
                                    <a:pt x="7291" y="4839"/>
                                  </a:lnTo>
                                  <a:lnTo>
                                    <a:pt x="7299" y="4819"/>
                                  </a:lnTo>
                                  <a:lnTo>
                                    <a:pt x="7319" y="4819"/>
                                  </a:lnTo>
                                  <a:lnTo>
                                    <a:pt x="7311" y="4839"/>
                                  </a:lnTo>
                                  <a:close/>
                                </a:path>
                              </a:pathLst>
                            </a:custGeom>
                            <a:solidFill>
                              <a:srgbClr val="000000"/>
                            </a:solidFill>
                            <a:ln>
                              <a:noFill/>
                            </a:ln>
                          </wps:spPr>
                          <wps:bodyPr upright="1"/>
                        </wps:wsp>
                        <wps:wsp>
                          <wps:cNvPr id="59" name="任意多边形 59"/>
                          <wps:cNvSpPr/>
                          <wps:spPr>
                            <a:xfrm>
                              <a:off x="0" y="0"/>
                              <a:ext cx="7425" cy="5060"/>
                            </a:xfrm>
                            <a:custGeom>
                              <a:avLst/>
                              <a:gdLst/>
                              <a:ahLst/>
                              <a:cxnLst/>
                              <a:pathLst>
                                <a:path w="7425" h="5060">
                                  <a:moveTo>
                                    <a:pt x="149" y="4859"/>
                                  </a:moveTo>
                                  <a:lnTo>
                                    <a:pt x="129" y="4859"/>
                                  </a:lnTo>
                                  <a:lnTo>
                                    <a:pt x="121" y="4839"/>
                                  </a:lnTo>
                                  <a:lnTo>
                                    <a:pt x="141" y="4839"/>
                                  </a:lnTo>
                                  <a:lnTo>
                                    <a:pt x="149" y="4859"/>
                                  </a:lnTo>
                                  <a:close/>
                                </a:path>
                              </a:pathLst>
                            </a:custGeom>
                            <a:solidFill>
                              <a:srgbClr val="000000"/>
                            </a:solidFill>
                            <a:ln>
                              <a:noFill/>
                            </a:ln>
                          </wps:spPr>
                          <wps:bodyPr upright="1"/>
                        </wps:wsp>
                        <wps:wsp>
                          <wps:cNvPr id="60" name="任意多边形 60"/>
                          <wps:cNvSpPr/>
                          <wps:spPr>
                            <a:xfrm>
                              <a:off x="0" y="0"/>
                              <a:ext cx="7425" cy="5060"/>
                            </a:xfrm>
                            <a:custGeom>
                              <a:avLst/>
                              <a:gdLst/>
                              <a:ahLst/>
                              <a:cxnLst/>
                              <a:pathLst>
                                <a:path w="7425" h="5060">
                                  <a:moveTo>
                                    <a:pt x="7294" y="4859"/>
                                  </a:moveTo>
                                  <a:lnTo>
                                    <a:pt x="7274" y="4859"/>
                                  </a:lnTo>
                                  <a:lnTo>
                                    <a:pt x="7283" y="4839"/>
                                  </a:lnTo>
                                  <a:lnTo>
                                    <a:pt x="7303" y="4839"/>
                                  </a:lnTo>
                                  <a:lnTo>
                                    <a:pt x="7294" y="4859"/>
                                  </a:lnTo>
                                  <a:close/>
                                </a:path>
                              </a:pathLst>
                            </a:custGeom>
                            <a:solidFill>
                              <a:srgbClr val="000000"/>
                            </a:solidFill>
                            <a:ln>
                              <a:noFill/>
                            </a:ln>
                          </wps:spPr>
                          <wps:bodyPr upright="1"/>
                        </wps:wsp>
                        <wps:wsp>
                          <wps:cNvPr id="61" name="任意多边形 61"/>
                          <wps:cNvSpPr/>
                          <wps:spPr>
                            <a:xfrm>
                              <a:off x="0" y="0"/>
                              <a:ext cx="7425" cy="5060"/>
                            </a:xfrm>
                            <a:custGeom>
                              <a:avLst/>
                              <a:gdLst/>
                              <a:ahLst/>
                              <a:cxnLst/>
                              <a:pathLst>
                                <a:path w="7425" h="5060">
                                  <a:moveTo>
                                    <a:pt x="167" y="4879"/>
                                  </a:moveTo>
                                  <a:lnTo>
                                    <a:pt x="147" y="4879"/>
                                  </a:lnTo>
                                  <a:lnTo>
                                    <a:pt x="138" y="4859"/>
                                  </a:lnTo>
                                  <a:lnTo>
                                    <a:pt x="158" y="4859"/>
                                  </a:lnTo>
                                  <a:lnTo>
                                    <a:pt x="167" y="4879"/>
                                  </a:lnTo>
                                  <a:close/>
                                </a:path>
                              </a:pathLst>
                            </a:custGeom>
                            <a:solidFill>
                              <a:srgbClr val="000000"/>
                            </a:solidFill>
                            <a:ln>
                              <a:noFill/>
                            </a:ln>
                          </wps:spPr>
                          <wps:bodyPr upright="1"/>
                        </wps:wsp>
                        <wps:wsp>
                          <wps:cNvPr id="62" name="任意多边形 62"/>
                          <wps:cNvSpPr/>
                          <wps:spPr>
                            <a:xfrm>
                              <a:off x="0" y="0"/>
                              <a:ext cx="7425" cy="5060"/>
                            </a:xfrm>
                            <a:custGeom>
                              <a:avLst/>
                              <a:gdLst/>
                              <a:ahLst/>
                              <a:cxnLst/>
                              <a:pathLst>
                                <a:path w="7425" h="5060">
                                  <a:moveTo>
                                    <a:pt x="7277" y="4879"/>
                                  </a:moveTo>
                                  <a:lnTo>
                                    <a:pt x="7256" y="4879"/>
                                  </a:lnTo>
                                  <a:lnTo>
                                    <a:pt x="7265" y="4859"/>
                                  </a:lnTo>
                                  <a:lnTo>
                                    <a:pt x="7286" y="4859"/>
                                  </a:lnTo>
                                  <a:lnTo>
                                    <a:pt x="7277" y="4879"/>
                                  </a:lnTo>
                                  <a:close/>
                                </a:path>
                              </a:pathLst>
                            </a:custGeom>
                            <a:solidFill>
                              <a:srgbClr val="000000"/>
                            </a:solidFill>
                            <a:ln>
                              <a:noFill/>
                            </a:ln>
                          </wps:spPr>
                          <wps:bodyPr upright="1"/>
                        </wps:wsp>
                        <wps:wsp>
                          <wps:cNvPr id="63" name="任意多边形 63"/>
                          <wps:cNvSpPr/>
                          <wps:spPr>
                            <a:xfrm>
                              <a:off x="0" y="0"/>
                              <a:ext cx="7425" cy="5060"/>
                            </a:xfrm>
                            <a:custGeom>
                              <a:avLst/>
                              <a:gdLst/>
                              <a:ahLst/>
                              <a:cxnLst/>
                              <a:pathLst>
                                <a:path w="7425" h="5060">
                                  <a:moveTo>
                                    <a:pt x="186" y="4899"/>
                                  </a:moveTo>
                                  <a:lnTo>
                                    <a:pt x="166" y="4899"/>
                                  </a:lnTo>
                                  <a:lnTo>
                                    <a:pt x="156" y="4879"/>
                                  </a:lnTo>
                                  <a:lnTo>
                                    <a:pt x="176" y="4879"/>
                                  </a:lnTo>
                                  <a:lnTo>
                                    <a:pt x="186" y="4899"/>
                                  </a:lnTo>
                                  <a:close/>
                                </a:path>
                              </a:pathLst>
                            </a:custGeom>
                            <a:solidFill>
                              <a:srgbClr val="000000"/>
                            </a:solidFill>
                            <a:ln>
                              <a:noFill/>
                            </a:ln>
                          </wps:spPr>
                          <wps:bodyPr upright="1"/>
                        </wps:wsp>
                        <wps:wsp>
                          <wps:cNvPr id="64" name="任意多边形 64"/>
                          <wps:cNvSpPr/>
                          <wps:spPr>
                            <a:xfrm>
                              <a:off x="0" y="0"/>
                              <a:ext cx="7425" cy="5060"/>
                            </a:xfrm>
                            <a:custGeom>
                              <a:avLst/>
                              <a:gdLst/>
                              <a:ahLst/>
                              <a:cxnLst/>
                              <a:pathLst>
                                <a:path w="7425" h="5060">
                                  <a:moveTo>
                                    <a:pt x="7258" y="4899"/>
                                  </a:moveTo>
                                  <a:lnTo>
                                    <a:pt x="7238" y="4899"/>
                                  </a:lnTo>
                                  <a:lnTo>
                                    <a:pt x="7247" y="4879"/>
                                  </a:lnTo>
                                  <a:lnTo>
                                    <a:pt x="7267" y="4879"/>
                                  </a:lnTo>
                                  <a:lnTo>
                                    <a:pt x="7258" y="4899"/>
                                  </a:lnTo>
                                  <a:close/>
                                </a:path>
                              </a:pathLst>
                            </a:custGeom>
                            <a:solidFill>
                              <a:srgbClr val="000000"/>
                            </a:solidFill>
                            <a:ln>
                              <a:noFill/>
                            </a:ln>
                          </wps:spPr>
                          <wps:bodyPr upright="1"/>
                        </wps:wsp>
                        <wps:wsp>
                          <wps:cNvPr id="65" name="任意多边形 65"/>
                          <wps:cNvSpPr/>
                          <wps:spPr>
                            <a:xfrm>
                              <a:off x="0" y="0"/>
                              <a:ext cx="7425" cy="5060"/>
                            </a:xfrm>
                            <a:custGeom>
                              <a:avLst/>
                              <a:gdLst/>
                              <a:ahLst/>
                              <a:cxnLst/>
                              <a:pathLst>
                                <a:path w="7425" h="5060">
                                  <a:moveTo>
                                    <a:pt x="206" y="4919"/>
                                  </a:moveTo>
                                  <a:lnTo>
                                    <a:pt x="186" y="4919"/>
                                  </a:lnTo>
                                  <a:lnTo>
                                    <a:pt x="176" y="4899"/>
                                  </a:lnTo>
                                  <a:lnTo>
                                    <a:pt x="196" y="4899"/>
                                  </a:lnTo>
                                  <a:lnTo>
                                    <a:pt x="206" y="4919"/>
                                  </a:lnTo>
                                  <a:close/>
                                </a:path>
                              </a:pathLst>
                            </a:custGeom>
                            <a:solidFill>
                              <a:srgbClr val="000000"/>
                            </a:solidFill>
                            <a:ln>
                              <a:noFill/>
                            </a:ln>
                          </wps:spPr>
                          <wps:bodyPr upright="1"/>
                        </wps:wsp>
                        <wps:wsp>
                          <wps:cNvPr id="66" name="任意多边形 66"/>
                          <wps:cNvSpPr/>
                          <wps:spPr>
                            <a:xfrm>
                              <a:off x="0" y="0"/>
                              <a:ext cx="7425" cy="5060"/>
                            </a:xfrm>
                            <a:custGeom>
                              <a:avLst/>
                              <a:gdLst/>
                              <a:ahLst/>
                              <a:cxnLst/>
                              <a:pathLst>
                                <a:path w="7425" h="5060">
                                  <a:moveTo>
                                    <a:pt x="7238" y="4919"/>
                                  </a:moveTo>
                                  <a:lnTo>
                                    <a:pt x="7218" y="4919"/>
                                  </a:lnTo>
                                  <a:lnTo>
                                    <a:pt x="7228" y="4899"/>
                                  </a:lnTo>
                                  <a:lnTo>
                                    <a:pt x="7248" y="4899"/>
                                  </a:lnTo>
                                  <a:lnTo>
                                    <a:pt x="7238" y="4919"/>
                                  </a:lnTo>
                                  <a:close/>
                                </a:path>
                              </a:pathLst>
                            </a:custGeom>
                            <a:solidFill>
                              <a:srgbClr val="000000"/>
                            </a:solidFill>
                            <a:ln>
                              <a:noFill/>
                            </a:ln>
                          </wps:spPr>
                          <wps:bodyPr upright="1"/>
                        </wps:wsp>
                        <wps:wsp>
                          <wps:cNvPr id="67" name="任意多边形 67"/>
                          <wps:cNvSpPr/>
                          <wps:spPr>
                            <a:xfrm>
                              <a:off x="0" y="0"/>
                              <a:ext cx="7425" cy="5060"/>
                            </a:xfrm>
                            <a:custGeom>
                              <a:avLst/>
                              <a:gdLst/>
                              <a:ahLst/>
                              <a:cxnLst/>
                              <a:pathLst>
                                <a:path w="7425" h="5060">
                                  <a:moveTo>
                                    <a:pt x="237" y="4939"/>
                                  </a:moveTo>
                                  <a:lnTo>
                                    <a:pt x="206" y="4939"/>
                                  </a:lnTo>
                                  <a:lnTo>
                                    <a:pt x="196" y="4919"/>
                                  </a:lnTo>
                                  <a:lnTo>
                                    <a:pt x="226" y="4919"/>
                                  </a:lnTo>
                                  <a:lnTo>
                                    <a:pt x="237" y="4939"/>
                                  </a:lnTo>
                                  <a:close/>
                                </a:path>
                              </a:pathLst>
                            </a:custGeom>
                            <a:solidFill>
                              <a:srgbClr val="000000"/>
                            </a:solidFill>
                            <a:ln>
                              <a:noFill/>
                            </a:ln>
                          </wps:spPr>
                          <wps:bodyPr upright="1"/>
                        </wps:wsp>
                        <wps:wsp>
                          <wps:cNvPr id="68" name="任意多边形 68"/>
                          <wps:cNvSpPr/>
                          <wps:spPr>
                            <a:xfrm>
                              <a:off x="0" y="0"/>
                              <a:ext cx="7425" cy="5060"/>
                            </a:xfrm>
                            <a:custGeom>
                              <a:avLst/>
                              <a:gdLst/>
                              <a:ahLst/>
                              <a:cxnLst/>
                              <a:pathLst>
                                <a:path w="7425" h="5060">
                                  <a:moveTo>
                                    <a:pt x="7217" y="4939"/>
                                  </a:moveTo>
                                  <a:lnTo>
                                    <a:pt x="7187" y="4939"/>
                                  </a:lnTo>
                                  <a:lnTo>
                                    <a:pt x="7198" y="4919"/>
                                  </a:lnTo>
                                  <a:lnTo>
                                    <a:pt x="7228" y="4919"/>
                                  </a:lnTo>
                                  <a:lnTo>
                                    <a:pt x="7217" y="4939"/>
                                  </a:lnTo>
                                  <a:close/>
                                </a:path>
                              </a:pathLst>
                            </a:custGeom>
                            <a:solidFill>
                              <a:srgbClr val="000000"/>
                            </a:solidFill>
                            <a:ln>
                              <a:noFill/>
                            </a:ln>
                          </wps:spPr>
                          <wps:bodyPr upright="1"/>
                        </wps:wsp>
                        <wps:wsp>
                          <wps:cNvPr id="69" name="任意多边形 69"/>
                          <wps:cNvSpPr/>
                          <wps:spPr>
                            <a:xfrm>
                              <a:off x="0" y="0"/>
                              <a:ext cx="7425" cy="5060"/>
                            </a:xfrm>
                            <a:custGeom>
                              <a:avLst/>
                              <a:gdLst/>
                              <a:ahLst/>
                              <a:cxnLst/>
                              <a:pathLst>
                                <a:path w="7425" h="5060">
                                  <a:moveTo>
                                    <a:pt x="258" y="4959"/>
                                  </a:moveTo>
                                  <a:lnTo>
                                    <a:pt x="239" y="4959"/>
                                  </a:lnTo>
                                  <a:lnTo>
                                    <a:pt x="228" y="4939"/>
                                  </a:lnTo>
                                  <a:lnTo>
                                    <a:pt x="247" y="4939"/>
                                  </a:lnTo>
                                  <a:lnTo>
                                    <a:pt x="258" y="4959"/>
                                  </a:lnTo>
                                  <a:close/>
                                </a:path>
                              </a:pathLst>
                            </a:custGeom>
                            <a:solidFill>
                              <a:srgbClr val="000000"/>
                            </a:solidFill>
                            <a:ln>
                              <a:noFill/>
                            </a:ln>
                          </wps:spPr>
                          <wps:bodyPr upright="1"/>
                        </wps:wsp>
                        <wps:wsp>
                          <wps:cNvPr id="70" name="任意多边形 70"/>
                          <wps:cNvSpPr/>
                          <wps:spPr>
                            <a:xfrm>
                              <a:off x="0" y="0"/>
                              <a:ext cx="7425" cy="5060"/>
                            </a:xfrm>
                            <a:custGeom>
                              <a:avLst/>
                              <a:gdLst/>
                              <a:ahLst/>
                              <a:cxnLst/>
                              <a:pathLst>
                                <a:path w="7425" h="5060">
                                  <a:moveTo>
                                    <a:pt x="7185" y="4959"/>
                                  </a:moveTo>
                                  <a:lnTo>
                                    <a:pt x="7165" y="4959"/>
                                  </a:lnTo>
                                  <a:lnTo>
                                    <a:pt x="7176" y="4939"/>
                                  </a:lnTo>
                                  <a:lnTo>
                                    <a:pt x="7196" y="4939"/>
                                  </a:lnTo>
                                  <a:lnTo>
                                    <a:pt x="7185" y="4959"/>
                                  </a:lnTo>
                                  <a:close/>
                                </a:path>
                              </a:pathLst>
                            </a:custGeom>
                            <a:solidFill>
                              <a:srgbClr val="000000"/>
                            </a:solidFill>
                            <a:ln>
                              <a:noFill/>
                            </a:ln>
                          </wps:spPr>
                          <wps:bodyPr upright="1"/>
                        </wps:wsp>
                        <wps:wsp>
                          <wps:cNvPr id="71" name="任意多边形 71"/>
                          <wps:cNvSpPr/>
                          <wps:spPr>
                            <a:xfrm>
                              <a:off x="0" y="0"/>
                              <a:ext cx="7425" cy="5060"/>
                            </a:xfrm>
                            <a:custGeom>
                              <a:avLst/>
                              <a:gdLst/>
                              <a:ahLst/>
                              <a:cxnLst/>
                              <a:pathLst>
                                <a:path w="7425" h="5060">
                                  <a:moveTo>
                                    <a:pt x="292" y="4979"/>
                                  </a:moveTo>
                                  <a:lnTo>
                                    <a:pt x="261" y="4979"/>
                                  </a:lnTo>
                                  <a:lnTo>
                                    <a:pt x="250" y="4959"/>
                                  </a:lnTo>
                                  <a:lnTo>
                                    <a:pt x="281" y="4959"/>
                                  </a:lnTo>
                                  <a:lnTo>
                                    <a:pt x="292" y="4979"/>
                                  </a:lnTo>
                                  <a:close/>
                                </a:path>
                              </a:pathLst>
                            </a:custGeom>
                            <a:solidFill>
                              <a:srgbClr val="000000"/>
                            </a:solidFill>
                            <a:ln>
                              <a:noFill/>
                            </a:ln>
                          </wps:spPr>
                          <wps:bodyPr upright="1"/>
                        </wps:wsp>
                        <wps:wsp>
                          <wps:cNvPr id="72" name="任意多边形 72"/>
                          <wps:cNvSpPr/>
                          <wps:spPr>
                            <a:xfrm>
                              <a:off x="0" y="0"/>
                              <a:ext cx="7425" cy="5060"/>
                            </a:xfrm>
                            <a:custGeom>
                              <a:avLst/>
                              <a:gdLst/>
                              <a:ahLst/>
                              <a:cxnLst/>
                              <a:pathLst>
                                <a:path w="7425" h="5060">
                                  <a:moveTo>
                                    <a:pt x="7162" y="4979"/>
                                  </a:moveTo>
                                  <a:lnTo>
                                    <a:pt x="7131" y="4979"/>
                                  </a:lnTo>
                                  <a:lnTo>
                                    <a:pt x="7143" y="4959"/>
                                  </a:lnTo>
                                  <a:lnTo>
                                    <a:pt x="7174" y="4959"/>
                                  </a:lnTo>
                                  <a:lnTo>
                                    <a:pt x="7162" y="4979"/>
                                  </a:lnTo>
                                  <a:close/>
                                </a:path>
                              </a:pathLst>
                            </a:custGeom>
                            <a:solidFill>
                              <a:srgbClr val="000000"/>
                            </a:solidFill>
                            <a:ln>
                              <a:noFill/>
                            </a:ln>
                          </wps:spPr>
                          <wps:bodyPr upright="1"/>
                        </wps:wsp>
                        <wps:wsp>
                          <wps:cNvPr id="73" name="任意多边形 73"/>
                          <wps:cNvSpPr/>
                          <wps:spPr>
                            <a:xfrm>
                              <a:off x="0" y="0"/>
                              <a:ext cx="7425" cy="5060"/>
                            </a:xfrm>
                            <a:custGeom>
                              <a:avLst/>
                              <a:gdLst/>
                              <a:ahLst/>
                              <a:cxnLst/>
                              <a:pathLst>
                                <a:path w="7425" h="5060">
                                  <a:moveTo>
                                    <a:pt x="328" y="4999"/>
                                  </a:moveTo>
                                  <a:lnTo>
                                    <a:pt x="297" y="4999"/>
                                  </a:lnTo>
                                  <a:lnTo>
                                    <a:pt x="285" y="4979"/>
                                  </a:lnTo>
                                  <a:lnTo>
                                    <a:pt x="316" y="4979"/>
                                  </a:lnTo>
                                  <a:lnTo>
                                    <a:pt x="328" y="4999"/>
                                  </a:lnTo>
                                  <a:close/>
                                </a:path>
                              </a:pathLst>
                            </a:custGeom>
                            <a:solidFill>
                              <a:srgbClr val="000000"/>
                            </a:solidFill>
                            <a:ln>
                              <a:noFill/>
                            </a:ln>
                          </wps:spPr>
                          <wps:bodyPr upright="1"/>
                        </wps:wsp>
                        <wps:wsp>
                          <wps:cNvPr id="74" name="任意多边形 74"/>
                          <wps:cNvSpPr/>
                          <wps:spPr>
                            <a:xfrm>
                              <a:off x="0" y="0"/>
                              <a:ext cx="7425" cy="5060"/>
                            </a:xfrm>
                            <a:custGeom>
                              <a:avLst/>
                              <a:gdLst/>
                              <a:ahLst/>
                              <a:cxnLst/>
                              <a:pathLst>
                                <a:path w="7425" h="5060">
                                  <a:moveTo>
                                    <a:pt x="7127" y="4999"/>
                                  </a:moveTo>
                                  <a:lnTo>
                                    <a:pt x="7096" y="4999"/>
                                  </a:lnTo>
                                  <a:lnTo>
                                    <a:pt x="7108" y="4979"/>
                                  </a:lnTo>
                                  <a:lnTo>
                                    <a:pt x="7139" y="4979"/>
                                  </a:lnTo>
                                  <a:lnTo>
                                    <a:pt x="7127" y="4999"/>
                                  </a:lnTo>
                                  <a:close/>
                                </a:path>
                              </a:pathLst>
                            </a:custGeom>
                            <a:solidFill>
                              <a:srgbClr val="000000"/>
                            </a:solidFill>
                            <a:ln>
                              <a:noFill/>
                            </a:ln>
                          </wps:spPr>
                          <wps:bodyPr upright="1"/>
                        </wps:wsp>
                        <wps:wsp>
                          <wps:cNvPr id="75" name="任意多边形 75"/>
                          <wps:cNvSpPr/>
                          <wps:spPr>
                            <a:xfrm>
                              <a:off x="0" y="0"/>
                              <a:ext cx="7425" cy="5060"/>
                            </a:xfrm>
                            <a:custGeom>
                              <a:avLst/>
                              <a:gdLst/>
                              <a:ahLst/>
                              <a:cxnLst/>
                              <a:pathLst>
                                <a:path w="7425" h="5060">
                                  <a:moveTo>
                                    <a:pt x="378" y="5019"/>
                                  </a:moveTo>
                                  <a:lnTo>
                                    <a:pt x="334" y="5019"/>
                                  </a:lnTo>
                                  <a:lnTo>
                                    <a:pt x="321" y="4999"/>
                                  </a:lnTo>
                                  <a:lnTo>
                                    <a:pt x="365" y="4999"/>
                                  </a:lnTo>
                                  <a:lnTo>
                                    <a:pt x="378" y="5019"/>
                                  </a:lnTo>
                                  <a:close/>
                                </a:path>
                              </a:pathLst>
                            </a:custGeom>
                            <a:solidFill>
                              <a:srgbClr val="000000"/>
                            </a:solidFill>
                            <a:ln>
                              <a:noFill/>
                            </a:ln>
                          </wps:spPr>
                          <wps:bodyPr upright="1"/>
                        </wps:wsp>
                        <wps:wsp>
                          <wps:cNvPr id="76" name="任意多边形 76"/>
                          <wps:cNvSpPr/>
                          <wps:spPr>
                            <a:xfrm>
                              <a:off x="0" y="0"/>
                              <a:ext cx="7425" cy="5060"/>
                            </a:xfrm>
                            <a:custGeom>
                              <a:avLst/>
                              <a:gdLst/>
                              <a:ahLst/>
                              <a:cxnLst/>
                              <a:pathLst>
                                <a:path w="7425" h="5060">
                                  <a:moveTo>
                                    <a:pt x="7090" y="5019"/>
                                  </a:moveTo>
                                  <a:lnTo>
                                    <a:pt x="7046" y="5019"/>
                                  </a:lnTo>
                                  <a:lnTo>
                                    <a:pt x="7059" y="4999"/>
                                  </a:lnTo>
                                  <a:lnTo>
                                    <a:pt x="7102" y="4999"/>
                                  </a:lnTo>
                                  <a:lnTo>
                                    <a:pt x="7090" y="5019"/>
                                  </a:lnTo>
                                  <a:close/>
                                </a:path>
                              </a:pathLst>
                            </a:custGeom>
                            <a:solidFill>
                              <a:srgbClr val="000000"/>
                            </a:solidFill>
                            <a:ln>
                              <a:noFill/>
                            </a:ln>
                          </wps:spPr>
                          <wps:bodyPr upright="1"/>
                        </wps:wsp>
                        <wps:wsp>
                          <wps:cNvPr id="77" name="任意多边形 77"/>
                          <wps:cNvSpPr/>
                          <wps:spPr>
                            <a:xfrm>
                              <a:off x="0" y="0"/>
                              <a:ext cx="7425" cy="5060"/>
                            </a:xfrm>
                            <a:custGeom>
                              <a:avLst/>
                              <a:gdLst/>
                              <a:ahLst/>
                              <a:cxnLst/>
                              <a:pathLst>
                                <a:path w="7425" h="5060">
                                  <a:moveTo>
                                    <a:pt x="443" y="5039"/>
                                  </a:moveTo>
                                  <a:lnTo>
                                    <a:pt x="385" y="5039"/>
                                  </a:lnTo>
                                  <a:lnTo>
                                    <a:pt x="372" y="5019"/>
                                  </a:lnTo>
                                  <a:lnTo>
                                    <a:pt x="429" y="5019"/>
                                  </a:lnTo>
                                  <a:lnTo>
                                    <a:pt x="443" y="5039"/>
                                  </a:lnTo>
                                  <a:close/>
                                </a:path>
                              </a:pathLst>
                            </a:custGeom>
                            <a:solidFill>
                              <a:srgbClr val="000000"/>
                            </a:solidFill>
                            <a:ln>
                              <a:noFill/>
                            </a:ln>
                          </wps:spPr>
                          <wps:bodyPr upright="1"/>
                        </wps:wsp>
                        <wps:wsp>
                          <wps:cNvPr id="78" name="任意多边形 78"/>
                          <wps:cNvSpPr/>
                          <wps:spPr>
                            <a:xfrm>
                              <a:off x="0" y="0"/>
                              <a:ext cx="7425" cy="5060"/>
                            </a:xfrm>
                            <a:custGeom>
                              <a:avLst/>
                              <a:gdLst/>
                              <a:ahLst/>
                              <a:cxnLst/>
                              <a:pathLst>
                                <a:path w="7425" h="5060">
                                  <a:moveTo>
                                    <a:pt x="7038" y="5039"/>
                                  </a:moveTo>
                                  <a:lnTo>
                                    <a:pt x="6981" y="5039"/>
                                  </a:lnTo>
                                  <a:lnTo>
                                    <a:pt x="6994" y="5019"/>
                                  </a:lnTo>
                                  <a:lnTo>
                                    <a:pt x="7051" y="5019"/>
                                  </a:lnTo>
                                  <a:lnTo>
                                    <a:pt x="7038" y="5039"/>
                                  </a:lnTo>
                                  <a:close/>
                                </a:path>
                              </a:pathLst>
                            </a:custGeom>
                            <a:solidFill>
                              <a:srgbClr val="000000"/>
                            </a:solidFill>
                            <a:ln>
                              <a:noFill/>
                            </a:ln>
                          </wps:spPr>
                          <wps:bodyPr upright="1"/>
                        </wps:wsp>
                        <wps:wsp>
                          <wps:cNvPr id="79" name="任意多边形 79"/>
                          <wps:cNvSpPr/>
                          <wps:spPr>
                            <a:xfrm>
                              <a:off x="0" y="0"/>
                              <a:ext cx="7425" cy="5060"/>
                            </a:xfrm>
                            <a:custGeom>
                              <a:avLst/>
                              <a:gdLst/>
                              <a:ahLst/>
                              <a:cxnLst/>
                              <a:pathLst>
                                <a:path w="7425" h="5060">
                                  <a:moveTo>
                                    <a:pt x="6956" y="5059"/>
                                  </a:moveTo>
                                  <a:lnTo>
                                    <a:pt x="467" y="5059"/>
                                  </a:lnTo>
                                  <a:lnTo>
                                    <a:pt x="453" y="5039"/>
                                  </a:lnTo>
                                  <a:lnTo>
                                    <a:pt x="6970" y="5039"/>
                                  </a:lnTo>
                                  <a:lnTo>
                                    <a:pt x="6956" y="5059"/>
                                  </a:lnTo>
                                  <a:close/>
                                </a:path>
                              </a:pathLst>
                            </a:custGeom>
                            <a:solidFill>
                              <a:srgbClr val="000000"/>
                            </a:solidFill>
                            <a:ln>
                              <a:noFill/>
                            </a:ln>
                          </wps:spPr>
                          <wps:bodyPr upright="1"/>
                        </wps:wsp>
                      </wpg:grpSp>
                    </wpg:wgp>
                  </a:graphicData>
                </a:graphic>
              </wp:inline>
            </w:drawing>
          </mc:Choice>
          <mc:Fallback>
            <w:pict>
              <v:group id="_x0000_s1026" o:spid="_x0000_s1026" o:spt="203" style="height:253pt;width:448.5pt;" coordsize="7425,5060" o:gfxdata="UEsDBAoAAAAAAIdO4kAAAAAAAAAAAAAAAAAEAAAAZHJzL1BLAwQUAAAACACHTuJAIxl3LNUAAAAF&#10;AQAADwAAAGRycy9kb3ducmV2LnhtbE2PQUvDQBCF74L/YRnBm92N0tqm2RQp6qkItoJ4mybTJDQ7&#10;G7LbpP33jl708uDxhve+yVZn16qB+tB4tpBMDCjiwpcNVxY+di93c1AhIpfYeiYLFwqwyq+vMkxL&#10;P/I7DdtYKSnhkKKFOsYu1ToUNTkME98RS3bwvcMotq902eMo5a7V98bMtMOGZaHGjtY1FcftyVl4&#10;HXF8ekieh83xsL587aZvn5uErL29ScwSVKRz/DuGH3xBh1yY9v7EZVCtBXkk/qpk88Wj2L2FqZkZ&#10;0Hmm/9Pn31BLAwQUAAAACACHTuJAYAPzYY4SAADK5gAADgAAAGRycy9lMm9Eb2MueG1s7Z3NkiNH&#10;EcfvRPAOirnjUXW3uqQJz/rAYl8c4GDNA8gazUegkRSSdmd994EbnDkSvAThgKfBwGOQrcp/ltSl&#10;3OzlK4KK4kCOt3Oqqnt++a+PrK7+9LP3z6vRu+Vu/7RZ3165T8ZXo+V6sbl7Wj/cXv3q689/Mr0a&#10;7Q/z9d18tVkvb6++Xe6vPnv14x99+rK9WVabx83qbrkbUSHr/c3L9vbq8XDY3lxf7xePy+f5/pPN&#10;drmmi/eb3fP8QP+5e7i+281fqPTn1XU1HrfXL5vd3Xa3WSz3e/rX1+HiFZe4G1Lg5v7+abF8vVm8&#10;fV6uD6HU3XI1P9At7R+ftvurV8fW3t8vF4df3N/vl4fR6vaK7vRw/H+qhH7+pvv/61efzm8edvPt&#10;49OCmzAf0oTePT3Pn9ZUqRT1en6Yj97unpKinp8Wu81+c3/4ZLF5vg43cnwidBdu3Hs2X+w2b7fH&#10;e3m4eXnYykOnP1Tvqf/LxS5+/u6r3ejp7vZqSo9kPX+mv/jfv//uh9/9ZkT/QE/nZftwQ05f7LZv&#10;tl/twi3Sj19uFr/ej9abX27okbrO8brv2f33Q/y19/e75+7X6Z5H749/gG/lD7B8fxgt6B8n7Wwy&#10;m1BDFnStrlztxvwnWjzS3zH5vcXjz/g3fVNNwq9Nxu3xd67nN6HKY8OkIdKq//LTdAOeJj9eaRta&#10;/OGHlN7q/OY/+HgoqvcRtf2/h9qbx/l2eSR431HEqMmz+ev33//tu9/+8Mff/+Mvf/rhz38YHUF6&#10;2R59O9yOD2h/s2fyhiCUPh0BgR7T2/3hi+XmyOH83Zf7A1VAMXuHn+aP+Gnxfo0ft/ND98+dZ/fj&#10;6OX2KlTySMB2sHVXnjfvll9vjj6HDtNmWl+NCGI3O8bGqcNqfeboqnNHXIbdhvKq9ugGtHEVlr1m&#10;fohXv20oZLHa7Jf0SOiJdXcqPxzvnv7x9PHtN6unu8+fVqvunve7h29+utqN3s07mT3+j2/7zG21&#10;7pzXm+7XQjXdv1B84k/c/fTN5u5b4uTtdvf08HgiLkcuOz36HwBKf5IghX1Aq+62sgDUjx2F4RBC&#10;21lDinzqCV5gA3ztbBCj7WxGIwwq7sMop+1DbYVSllFSmMuU1tlQWs8CerUlo3UT9FEcQQtsYLSe&#10;zIag3Ix76o1SYLm0futwuSDKiDYaok02iPqxD52uoBfHAuAh4OLHdcBKPHEdFn7VIMH145aery3M&#10;aQtRX+GUOaW5w2UpnWTDac29OClgGHtpmNbjoJHiCFpgWfyqMH4wYK4nYXxrufVbh8oKoowo9W+X&#10;EW2zQdQ7R4FIgiboaYz68TRIn3iCF1hIqR9EqXfjQZimLUR9hVPmlDrDy5z6bDitxwE+b0lp5UOH&#10;L46gBTZQWk172OMyLCuuC2Ncg/mkdSilIMqI0vzzMqLTbBD1bhKET9BTpdTxaFM8wQssS6kbh3m7&#10;gZ931NWfiTjKgUV5/RbieuGUOaXneJnTo+5ksQxVtQGWmSmlTJU4ghZYltIue0AjCAPmatqLDpQC&#10;y6X1W4fLBVFG1NHjvswoXclmrdRxBy3w6WI6CUMD8QQxsBC/ZtDIwDvfG2qgHFiU128hrhdSQSpF&#10;vEJqPmmnqg5rUc7MO1Wu7wliYFkCq9DrG0BXTSjOckvah9oKp+BUTT5RpjAbRa3Gffx0SZ32XcEM&#10;LDTQh/mRwaB3s2F+aRtRYYEVsFIvpohqPkmoiufd3cTmw0unbhrIip4gBjagCgKjTOM6LMSXyxM5&#10;x3VY9ktaiOuFVJBK4yiF1IxyUVUdeusIoCqrFU/noyuYgYWs8qYSC1Zf8VDBdkxaiSoLrsBVzUjR&#10;EnkuowCRS1lS0mh1LQuheIIYWBZWHgJYUIsAi6SjHFguD4Ke1FtIBan0l1GENaPMVDVhYRUQNFS9&#10;aLC4gilYFlbRSwNCXzV9VUdJsCgxaSUcCq7AlSYTCq75JKhcy1MmWQbVaHU8b3fiCWJgWQgnHynA&#10;BvxpC1FfIRWkUtArpGaUp6p491QEUEPVV2DQYJX0kvE3IPQV4sR0TFpZcMU+aOCqZqvC5DWLdJVr&#10;QrrKyRqTRqur+p4gBpaFFXMhA2qHrt3yS1qI+oqwMqldvvuysNKVXOZWvpqFzJGNqq84yRRdwQws&#10;xpdt2KgSxRoOsHDEvMmg9UIrUVLBFbiqiSvagZkLrq4O++8qWelUhZVfmIqeIAaWhZX3p1pQuyZs&#10;BTD9khaivkIqSFVTV1VGqauaX5yKAGqokroFtqIrmIEVvQzbASwIfS1vpiAXgZJgucS0lXAouAJX&#10;NXlV5ZO8cmNGUKY4Gq3TMGCtxBHAwAayOHlaGYtWjvfIWui7KgxTTD9Ocdn18m2Y7es/F9xmiQ/E&#10;h5oyo79ZLgMPX9dhTBu51wLE19SNdZsLoyuYgRXx5TINCEnOw0qFRTX1JIy1jI9QJaxUPdSxGlh1&#10;+oBQZYkURIqaraNTKXKJFJ5PVjKlU+OE4RdH8AIbUJ0OCya8mWMFXdI81FYoBaVqpo5e3M+FUl/z&#10;AtgATmteo4uuYAYWojpY+JthUF9oJaosuAJX6p+UZbp8MnX8gkEt3bomqpMgqtERvMAGVFvmT9an&#10;cRmW3UJC2QJ/OtCNh9JGpZ77BcMteSRoeokMRIaaGaQdWPkIeRvoi8hrseHrgdERZddgkByHBRJN&#10;H0Ji3AolauNQx4Ex7OvkAZVI6SUluw5e6UPyeYeuDWuHtUw2tThpwlJLdAQvsKFz4FfoYtzhMiz3&#10;IWGiabr1W4dSipyznNdqPpKu5CPn3QGTtHgS6dMwJWHru4IZ2EDgR+g+ZzgtWH2dtBJVFlyBK432&#10;LmtqnU8+kl/PrGUNQ4OVp5DREbzABlRrll5jcZ0k/DxGUAosKzSPjETxcRmW3Vh6jUp5d2l3Nhqp&#10;DZ3ziFJgQ2nJI8HlEhmIDBozKpGRU/6TV9oi8lpsRDWVMAIzsAEtX/O+fYtBcgxzTduR3xiI3Q2q&#10;hEXV/Oa07YjT/ow48XXygFBliRREipp6pSPychny8IaRxlzb4VexoyN4gQ2oyoFrH9bp7iDsbpxl&#10;xJwq5+eVokcyJsycRKsttzCrTu+0RAYiQ0260hAil8jwzTgshkQQ9D5kpjFzDip1NjwqMhgkRx6M&#10;2Y48DzFCiRSfx22WIw6WteLkwgPC3ZZIQaSQzimjrXySrqz5jYClxQnHk/gBF9jQhYQIaYwRDG9w&#10;a4zphQthFGMYdcGGOpNuEJdhuXfjthmV8hnjVttoB1fXCVp3OtQtDDrjXwFNL8GIYCT+lGDMKLfc&#10;OIZUwkwLRxJwJlBcwQxswJ4cGS4jKIc71nzAvhUj1G2FoeIAx4F9cNOdB9bFnYx5cbewuGvHj8cI&#10;d9/wkbBWJJNj/2+DKkuQIkjVjDody5TL2BKHpAqBWoiGsJuIH3CB5W4p8GwMFbknNGKdqjoGh+UW&#10;NuY1Rp2YNVpuYWSQ3mcJC4QFCYfSd2WUTm94rBNB0AKDepogpdEVMQELFcc0zmCQSuTxqe3IXZIR&#10;I/QFJu5pbEfuX82qkweEuy2RgkghAVMiJZ90OlR6IgMyLVB4UBQdAQxsCBOM74yhDvNsBR27Wb1D&#10;cJsMqtOqEqfyG10l3Iw6MaCz7gB+ZutYWqx7RX9p+nEvnf5Ziw6wDnQf67isA3Qll4EkdTGIXFMJ&#10;qIPjfiul5lwMYldocSjdcPMRnkaInpRpe3IcWHFKZQbPwc20IpqefJgdDnAMI2+7an7NrLHvRtaE&#10;zCcknobiXSIJVBRNgaZQsCmaks+2EiFGBqPa2IIXMybiCGBgw9gCfZ8xCub5qSVORHxYNRXBQ22w&#10;PCmGMBrVioBafrJa209tlvBAeNBgUwmPjPaWnKz2gQQtQKjbAYVGjJAn+DI4/CjPwR0+ZqpW9MUl&#10;zInZThkcJ/deIgYRQ390JWLy22PSyhBEixdMf6InNB2WZ6vcV7TG8AdJQquHQsLO9OO+x6qXDxlu&#10;LD+kHdP7LRGCCKE/tRIhOe41iSRoMUIZMV7Tib6IDtgQJTF3ZnH4UZ4DR33UU6BHS/S/107JyJnt&#10;lDXa9N5LxCBiqNNXIiafPSe8M7BpZRSixQtvfj/xBH2wPF/gsVI7cF6REnheHu82bEw/9ClGvdR5&#10;Huc9VvvSJ4N2lQhBhNCMVImQjDaCYIv3CflajMgm+BNfUAOLPoU3JjYWh7KFcYgn9ylWrMS5j+mJ&#10;7Y4Dauet8BfuvUQMIkbdlUHHGOeymM7vGJ1woMWLrrHn0SJ+hranNaOcQiAIJIlQNDujDRB4tXMA&#10;g/I+0okvqIEVzeaE7ADNhqeMq1BWIREk0kBMITGfDQb8vn5DH6Lr9J1euFS1kNdioieIgQ0UyvjV&#10;mA3yW6gm1bpmntc74Vloa9TLZ5c3ll/6ZFBfiRCOkO5whssRQldyGS3EMXMkX4sROS3gJJ5ADSy0&#10;mt8JNTmU10yHeHIKLs6WUSssauf3R83oo7vHfNmIq0vPCbWWiEHEqIll+gB9LhHD3zNvvIyGtXjh&#10;04VOPEEMbOCVj1RqaP2Seylch2U/HtXESMV12OCna3vPj9dirHr5NDGzfemTQX0lQhAham55klFu&#10;uU7J12JEjv8yo0ROFDM5lMNqBnjy+TcDejQ+12aAJx8WNqR2zoFELSkR0ztXrBv4KqOwfHLLWLvz&#10;Ml9V44XHK9ETxMByH8BrkSlZ5378JrcZfWkLUU7Rdmi7muOdZJTjxaG/TSRQZRWn/p74ghrYQKuc&#10;7WhyKIc7DvDk44kv1F6YBbNqlpUGpbmM2B2/qNhMzWUg/uTGiSdAhQ3A8hc86DX1Dw/Z+eT1Cwie&#10;l6fL67kfjmg3K3a8U9x2TB8OqixRgihRM6100mwuUULf3OC3Ye0wka9pmIHia+yftEJFvvlhIkue&#10;mLnKeAnMwqJf4cOFzQCUj5MMqT15Tqi1RAwiRs20TvLJtOJLes1UFm60oZDjT+mduIIZ2EAsPuZk&#10;Bha+5mQ7YntmbCWqLLgCVzUtS/mUfAQeG4kjCRqv8j09E1j5XpIJInUFLNuxgwGJsJDttKXwKMyC&#10;WTWBGxams/oKdDM1V9vxGegTVzADyxKLd6ViGMABlh35e6VmDOBb1ReqLrgyrt1C6+V1PLqSjcTi&#10;U9AnJOgSixXlyDb4g2U5rKac/beIlY+WmsiSbPOOh7T2wiyYVfOZbT75TNdiOiOTKQ1ZR9skj7u3&#10;p+IKUmFZOWtefk7h6jliv4rpmLYSJRVcgauaXKR8XD4S6xMINV59xV8CaixgfdVyYsUC0VdT3oZi&#10;e6YtLcz20nvdXgVlWJBPes8JMrJcrCHrsHFqKq5gBpYldijajg/8N2PgQitRZZFYSKya42szyvFV&#10;0isLhBqvvpKuXnxBDSxGsUNHDyTGicSjLFiUmbYUHoVZMKvm+KjPy2VYUMmxh2aOT3RuJq5gBpYl&#10;VpTTQNtJ2tBwvNBKVFlwBa5qso26xlxwjbIZIdQlFuctR19QAws5xJEN1ujBV3jxwPaEwKe1F2bB&#10;LPVXyig2n3RXRUdXH2f/MzPdFXVOXEEqLEsslDOF69yxwuEmpmPaSpRUcAWuarqLtq7mI7E4h8fm&#10;1btpwjaogWWJdTjy3wLRVxBj2zNtKWotzIJZNd1FXzHPhVmZeM3MdFdFyhrUWFzBDGwgNmJoaHGF&#10;+VmMF5QEyyVi0hVbCYeCK+Pq1XQXXckFV5JNXjWNJKijWIcV1ugLamAhsZh3WSDSi1C8Fmt7pi1F&#10;rYVZMKumu+hToLkwW+HcsZnksDRkK8ryBYkVVzADC0HkN/MstCu8Imc6pq1ElQVX4Kqmu3xG6S6H&#10;d+lsXr2jz4IPAtY7nOligegddinYnmlLC7O9dJdX0110JReJrWXiI8uhqsTOMO8SVzADyxIr/beh&#10;xTXeZ4jxgpJgQ4kXWgmHIrGQWDXdRaqQC67e4cWHmUCo8erHMuIUX1ADi1Esf9qpsUAk2cZUzmD7&#10;UktRa2EWzKrpLjrHIBdmax82WE3GksPSkK35KKITVzADC0HE6MFAu5aZnOWYthJVFlyBq5ruollw&#10;LriSbIYZ0gmEGq9+3IRJ/YkvqIFliR3T0lcY7xogenlvMko8yoJFmWlL4VGYBbNquot2vOXCbMNT&#10;pMlY1k01ZHGK1IkrmIFliaWZaQesiXbDbzjajmkrUWXBFbiq6S7qn3LB1Y85T38CocZrO+N1qBNf&#10;UAMbgKVjBMNrAiaIfkxnfA1i+1JLUWthFsyq6a4wR8ji7a52xptYJ11PTpH4oQM6eU/giSuggQ3I&#10;0jf8mEPRbTjAgu0uSXNUY9MzbSfK+n8g9vpl+3DzsNu+2dIj7n5+eeh+mtO/zbePT4vX88P89L+P&#10;XjfLavO4Wd0td6/+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wUAABbQ29udGVudF9UeXBlc10ueG1sUEsBAhQACgAAAAAAh07iQAAAAAAAAAAA&#10;AAAAAAYAAAAAAAAAAAAQAAAA3hMAAF9yZWxzL1BLAQIUABQAAAAIAIdO4kCKFGY80QAAAJQBAAAL&#10;AAAAAAAAAAEAIAAAAAIUAABfcmVscy8ucmVsc1BLAQIUAAoAAAAAAIdO4kAAAAAAAAAAAAAAAAAE&#10;AAAAAAAAAAAAEAAAAAAAAABkcnMvUEsBAhQAFAAAAAgAh07iQCMZdyzVAAAABQEAAA8AAAAAAAAA&#10;AQAgAAAAIgAAAGRycy9kb3ducmV2LnhtbFBLAQIUABQAAAAIAIdO4kBgA/NhjhIAAMrmAAAOAAAA&#10;AAAAAAEAIAAAACQBAABkcnMvZTJvRG9jLnhtbFBLBQYAAAAABgAGAFkBAAAkFgAAAAA=&#10;">
                <o:lock v:ext="edit" rotation="t" aspectratio="f"/>
                <v:group id="组合 80" o:spid="_x0000_s1026" o:spt="203" style="position:absolute;left:0;top:0;height:5060;width:7425;" coordsize="7425,5060" o:gfxdata="UEsDBAoAAAAAAIdO4kAAAAAAAAAAAAAAAAAEAAAAZHJzL1BLAwQUAAAACACHTuJAdUihCb4AAADb&#10;AAAADwAAAGRycy9kb3ducmV2LnhtbEWPQWvCQBSE74X+h+UVems2q7SE1DWUoNKDFKqCeHtkn0kw&#10;+zZk10T/fbdQ6HGYmW+YRXGznRhp8K1jDSpJQRBXzrRcazjs1y8ZCB+QDXaOScOdPBTLx4cF5sZN&#10;/E3jLtQiQtjnqKEJoc+l9FVDFn3ieuLond1gMUQ51NIMOEW47eQsTd+kxZbjQoM9lQ1Vl93VathM&#10;OH3M1WrcXs7l/bR//TpuFWn9/KTSdxCBbuE//Nf+NBoyBb9f4g+Qyx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VIoQm+AAAA2wAAAA8AAAAAAAAAAQAgAAAAIgAAAGRycy9kb3ducmV2Lnht&#10;bFBLAQIUABQAAAAIAIdO4kAzLwWeOwAAADkAAAAVAAAAAAAAAAEAIAAAAA0BAABkcnMvZ3JvdXBz&#10;aGFwZXhtbC54bWxQSwUGAAAAAAYABgBgAQAAygMAAAAA&#10;">
                  <o:lock v:ext="edit" aspectratio="f"/>
                  <v:shape id="_x0000_s1026" o:spid="_x0000_s1026" o:spt="100" style="position:absolute;left:0;top:0;height:5060;width:7425;" fillcolor="#000000" filled="t" stroked="f" coordsize="7425,5060" o:gfxdata="UEsDBAoAAAAAAIdO4kAAAAAAAAAAAAAAAAAEAAAAZHJzL1BLAwQUAAAACACHTuJAXze3N7kAAADa&#10;AAAADwAAAGRycy9kb3ducmV2LnhtbEVPS4vCMBC+C/sfwizsRTRVWJFqWkQQPHQRq96HZmyLzSQ0&#10;8bH7642w4Gn4+J6zzB+mEzfqfWtZwWScgCCurG65VnA8bEZzED4ga+wsk4Jf8pBnH4MlptreeU+3&#10;MtQihrBPUUETgkul9FVDBv3YOuLInW1vMETY11L3eI/hppPTJJlJgy3HhgYdrRuqLuXVKDiVRfHn&#10;NkO3/dlNffDFavZNK6W+PifJAkSgR3iL/91bHefD65XXldk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83tze5AAAA2gAA&#10;AA8AAAAAAAAAAQAgAAAAIgAAAGRycy9kb3ducmV2LnhtbFBLAQIUABQAAAAIAIdO4kAzLwWeOwAA&#10;ADkAAAAQAAAAAAAAAAEAIAAAAAgBAABkcnMvc2hhcGV4bWwueG1sUEsFBgAAAAAGAAYAWwEAALID&#10;AAAAAA==&#10;" path="m483,19l412,19,426,0,497,0,483,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r+UpQL0AAADa&#10;AAAADwAAAGRycy9kb3ducmV2LnhtbEWPwWrDMBBE74H+g9hCLqGRY2goTpQQCgYfHEqd9r5YG9vU&#10;WglLsd1+fVQo9DjMzBtmf5xNL0YafGdZwWadgCCure64UfBxyZ9eQPiArLG3TAq+ycPx8LDYY6bt&#10;xO80VqEREcI+QwVtCC6T0tctGfRr64ijd7WDwRDl0Eg94BThppdpkmylwY7jQouOXluqv6qbUfBZ&#10;leWPy1euOL+lPvjytH2mk1LLx02yAxFoDv/hv3ahFaTweyXeAHm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5SlAvQAA&#10;ANoAAAAPAAAAAAAAAAEAIAAAACIAAABkcnMvZG93bnJldi54bWxQSwECFAAUAAAACACHTuJAMy8F&#10;njsAAAA5AAAAEAAAAAAAAAABACAAAAAMAQAAZHJzL3NoYXBleG1sLnhtbFBLBQYAAAAABgAGAFsB&#10;AAC2AwAAAAA=&#10;" path="m7011,19l6940,19,6926,0,6998,0,7011,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wKmM27sAAADa&#10;AAAADwAAAGRycy9kb3ducmV2LnhtbEWPT4vCMBTE7wt+h/AEL4umKitSjSKC4KEiW/X+aJ5tsXkJ&#10;Tfz76Y2wsMdhZn7DzJcP04gbtb62rGA4SEAQF1bXXCo4Hjb9KQgfkDU2lknBkzwsF52vOaba3vmX&#10;bnkoRYSwT1FBFYJLpfRFRQb9wDri6J1tazBE2ZZSt3iPcNPIUZJMpMGa40KFjtYVFZf8ahSc8ix7&#10;uc232+72Ix98tpr80EqpXneYzEAEeoT/8F97qxWM4XMl3gC5e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KmM27sAAADa&#10;AAAADwAAAAAAAAABACAAAAAiAAAAZHJzL2Rvd25yZXYueG1sUEsBAhQAFAAAAAgAh07iQDMvBZ47&#10;AAAAOQAAABAAAAAAAAAAAQAgAAAACgEAAGRycy9zaGFwZXhtbC54bWxQSwUGAAAAAAYABgBbAQAA&#10;tAMAAAAA&#10;" path="m390,39l346,39,359,19,403,19,390,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T0AUr7sAAADa&#10;AAAADwAAAGRycy9kb3ducmV2LnhtbEWPT4vCMBTE7wt+h/AEL4umiitSjSKC4KEiW/X+aJ5tsXkJ&#10;Tfz76Y2wsMdhZn7DzJcP04gbtb62rGA4SEAQF1bXXCo4Hjb9KQgfkDU2lknBkzwsF52vOaba3vmX&#10;bnkoRYSwT1FBFYJLpfRFRQb9wDri6J1tazBE2ZZSt3iPcNPIUZJMpMGa40KFjtYVFZf8ahSc8ix7&#10;uc232+72Ix98tpr80EqpXneYzEAEeoT/8F97qxWM4XMl3gC5e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0AUr7sAAADa&#10;AAAADwAAAAAAAAABACAAAAAiAAAAZHJzL2Rvd25yZXYueG1sUEsBAhQAFAAAAAgAh07iQDMvBZ47&#10;AAAAOQAAABAAAAAAAAAAAQAgAAAACgEAAGRycy9zaGFwZXhtbC54bWxQSwUGAAAAAAYABgBbAQAA&#10;tAMAAAAA&#10;" path="m7077,39l7033,39,7020,19,7064,19,7077,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IAyxNLoAAADa&#10;AAAADwAAAGRycy9kb3ducmV2LnhtbEWPzarCMBSE94LvEI7gRjRVUKQaRQTBRUVu73V/aI5tsTkJ&#10;Tfx9eiMIdznMzDfMcv0wjbhR62vLCsajBARxYXXNpYK/391wDsIHZI2NZVLwJA/rVbezxFTbO//Q&#10;LQ+liBD2KSqoQnCplL6oyKAfWUccvbNtDYYo21LqFu8Rbho5SZKZNFhzXKjQ0bai4pJfjYJTnmUv&#10;txu4/eE48cFnm9mUNkr1e+NkASLQI/yHv+29VjCFz5V4A+Tq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DLE0ugAAANoA&#10;AAAPAAAAAAAAAAEAIAAAACIAAABkcnMvZG93bnJldi54bWxQSwECFAAUAAAACACHTuJAMy8FnjsA&#10;AAA5AAAAEAAAAAAAAAABACAAAAAJAQAAZHJzL3NoYXBleG1sLnhtbFBLBQYAAAAABgAGAFsBAACz&#10;AwAAAAA=&#10;" path="m340,59l309,59,321,39,352,39,340,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0N4vQ70AAADa&#10;AAAADwAAAGRycy9kb3ducmV2LnhtbEWPwWrDMBBE74X+g9hCL6WRbYgpTpRgCgEfHEKd9r5YG9vU&#10;WglLjdN+fRQI9DjMzBtmvb2YUZxp8oNlBekiAUHcWj1wp+DzuHt9A+EDssbRMin4JQ/bzePDGgtt&#10;Z/6gcxM6ESHsC1TQh+AKKX3bk0G/sI44eic7GQxRTp3UE84RbkaZJUkuDQ4cF3p09N5T+938GAVf&#10;TV3/ud2Lq/aHzAdfl/mSSqWen9JkBSLQJfyH7+1KK8jhdiXeALm5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3i9DvQAA&#10;ANoAAAAPAAAAAAAAAAEAIAAAACIAAABkcnMvZG93bnJldi54bWxQSwECFAAUAAAACACHTuJAMy8F&#10;njsAAAA5AAAAEAAAAAAAAAABACAAAAAMAQAAZHJzL3NoYXBleG1sLnhtbFBLBQYAAAAABgAGAFsB&#10;AAC2AwAAAAA=&#10;" path="m7115,59l7084,59,7071,39,7102,39,7115,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v5KK2LsAAADa&#10;AAAADwAAAGRycy9kb3ducmV2LnhtbEWPT4vCMBTE7wt+h/CEvSyaKuhKNYoIgoeK2NX7o3m2xeYl&#10;NFn/fXojCB6HmfkNM1vcTCMu1PrasoJBPwFBXFhdc6ng8LfuTUD4gKyxsUwK7uRhMe98zTDV9sp7&#10;uuShFBHCPkUFVQguldIXFRn0feuIo3eyrcEQZVtK3eI1wk0jh0kylgZrjgsVOlpVVJzzf6PgmGfZ&#10;w61/3Ga7G/rgs+V4REulvruDZAoi0C18wu/2Riv4hdeVeAP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5KK2LsAAADa&#10;AAAADwAAAAAAAAABACAAAAAiAAAAZHJzL2Rvd25yZXYueG1sUEsBAhQAFAAAAAgAh07iQDMvBZ47&#10;AAAAOQAAABAAAAAAAAAAAQAgAAAACgEAAGRycy9zaGFwZXhtbC54bWxQSwUGAAAAAAYABgBbAQAA&#10;tAMAAAAA&#10;" path="m304,79l273,79,285,59,316,59,304,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zg0eqroAAADa&#10;AAAADwAAAGRycy9kb3ducmV2LnhtbEVPz2vCMBS+D/Y/hDfwMmxqwSLVVEQQPHSMdfP+aN7asuYl&#10;NNHW/fXLQdjx4/u9289mEDcafW9ZwSpJQRA3VvfcKvj6PC03IHxA1jhYJgV38rAvn592WGg78Qfd&#10;6tCKGMK+QAVdCK6Q0jcdGfSJdcSR+7ajwRDh2Eo94hTDzSCzNM2lwZ5jQ4eOjh01P/XVKLjUVfXr&#10;Tq/u/Pae+eCrQ76mg1KLl1W6BRFoDv/ih/usFcSt8Uq8AbL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DR6qugAAANoA&#10;AAAPAAAAAAAAAAEAIAAAACIAAABkcnMvZG93bnJldi54bWxQSwECFAAUAAAACACHTuJAMy8FnjsA&#10;AAA5AAAAEAAAAAAAAAABACAAAAAJAQAAZHJzL3NoYXBleG1sLnhtbFBLBQYAAAAABgAGAFsBAACz&#10;AwAAAAA=&#10;" path="m7151,79l7120,79,7108,59,7139,59,7151,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oUG7MbsAAADa&#10;AAAADwAAAGRycy9kb3ducmV2LnhtbEWPT4vCMBTE7wt+h/CEvSyaKihrNYoIgoeK2NX7o3m2xeYl&#10;NFn/fXojCB6HmfkNM1vcTCMu1PrasoJBPwFBXFhdc6ng8Lfu/YLwAVljY5kU3MnDYt75mmGq7ZX3&#10;dMlDKSKEfYoKqhBcKqUvKjLo+9YRR+9kW4MhyraUusVrhJtGDpNkLA3WHBcqdLSqqDjn/0bBMc+y&#10;h1v/uM12N/TBZ8vxiJZKfXcHyRREoFv4hN/tjVYwgdeVeAPk/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G7MbsAAADa&#10;AAAADwAAAAAAAAABACAAAAAiAAAAZHJzL2Rvd25yZXYueG1sUEsBAhQAFAAAAAgAh07iQDMvBZ47&#10;AAAAOQAAABAAAAAAAAAAAQAgAAAACgEAAGRycy9zaGFwZXhtbC54bWxQSwUGAAAAAAYABgBbAQAA&#10;tAMAAAAA&#10;" path="m269,99l239,99,250,79,281,79,269,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4WPYeb4AAADb&#10;AAAADwAAAGRycy9kb3ducmV2LnhtbEWPT2vCQBDF70K/wzKFXkQ3ChWJriKCkEOKmNb7kJ0modnZ&#10;Jbv+aT+9cyh4m+G9ee836+3d9epKQ+w8G5hNM1DEtbcdNwa+Pg+TJaiYkC32nsnAL0XYbl5Ga8yt&#10;v/GJrlVqlIRwzNFAm1LItY51Sw7j1Adi0b794DDJOjTaDniTcNfreZYttMOOpaHFQPuW6p/q4gyc&#10;q7L8C4dxKD6O85hiuVu8086Yt9dZtgKV6J6e5v/rwgq+0MsvMoDeP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WPYeb4A&#10;AADbAAAADwAAAAAAAAABACAAAAAiAAAAZHJzL2Rvd25yZXYueG1sUEsBAhQAFAAAAAgAh07iQDMv&#10;BZ47AAAAOQAAABAAAAAAAAAAAQAgAAAADQEAAGRycy9zaGFwZXhtbC54bWxQSwUGAAAAAAYABgBb&#10;AQAAtwMAAAAA&#10;" path="m7185,99l7154,99,7143,79,7174,79,7185,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ji994rsAAADb&#10;AAAADwAAAGRycy9kb3ducmV2LnhtbEVPTWvDMAy9F/YfjAa9lNVJYGWkcUsZBHJIGUu3u4jVJCyW&#10;Teym3X59PRjspsf7VLG/mVHMNPnBsoJ0nYAgbq0euFPwcSqfXkD4gKxxtEwKvsnDfvewKDDX9srv&#10;NDehEzGEfY4K+hBcLqVvezLo19YRR+5sJ4MhwqmTesJrDDejzJJkIw0OHBt6dPTaU/vVXIyCz6au&#10;f1y5ctXxLfPB14fNMx2UWj6myRZEoFv4F/+5Kx3np/D7SzxA7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i994rsAAADb&#10;AAAADwAAAAAAAAABACAAAAAiAAAAZHJzL2Rvd25yZXYueG1sUEsBAhQAFAAAAAgAh07iQDMvBZ47&#10;AAAAOQAAABAAAAAAAAAAAQAgAAAACgEAAGRycy9zaGFwZXhtbC54bWxQSwUGAAAAAAYABgBbAQAA&#10;tAMAAAAA&#10;" path="m237,119l217,119,228,99,247,99,237,1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fv3jlbsAAADb&#10;AAAADwAAAGRycy9kb3ducmV2LnhtbEVPTWvDMAy9F/YfjAa9lNVpYGWkdUsZBHJIGUu3u4jVJCyW&#10;Tewm2X59PRjspsf71P44m16MNPjOsoLNOgFBXFvdcaPg45I/vYDwAVljb5kUfJOH4+FhscdM24nf&#10;aaxCI2II+wwVtCG4TEpft2TQr60jjtzVDgZDhEMj9YBTDDe9TJNkKw12HBtadPTaUv1V3YyCz6os&#10;f1y+csX5LfXBl6ftM52UWj5ukh2IQHP4F/+5Cx3np/D7SzxAH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v3jlbsAAADb&#10;AAAADwAAAAAAAAABACAAAAAiAAAAZHJzL2Rvd25yZXYueG1sUEsBAhQAFAAAAAgAh07iQDMvBZ47&#10;AAAAOQAAABAAAAAAAAAAAQAgAAAACgEAAGRycy9zaGFwZXhtbC54bWxQSwUGAAAAAAYABgBbAQAA&#10;tAMAAAAA&#10;" path="m7207,119l7187,119,7176,99,7196,99,7207,1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EbFGDrkAAADb&#10;AAAADwAAAGRycy9kb3ducmV2LnhtbEVPS4vCMBC+L/gfwgheFk1VVqQaRQTBQ0W26n1oxrbYTEIT&#10;n7/eCAt7m4/vOfPlwzTiRq2vLSsYDhIQxIXVNZcKjodNfwrCB2SNjWVS8CQPy0Xna46ptnf+pVse&#10;ShFD2KeooArBpVL6oiKDfmAdceTOtjUYImxLqVu8x3DTyFGSTKTBmmNDhY7WFRWX/GoUnPIse7nN&#10;t9vu9iMffLaa/NBKqV53mMxABHqEf/Gfe6vj/DF8fokHyM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GxRg65AAAA2wAA&#10;AA8AAAAAAAAAAQAgAAAAIgAAAGRycy9kb3ducmV2LnhtbFBLAQIUABQAAAAIAIdO4kAzLwWeOwAA&#10;ADkAAAAQAAAAAAAAAAEAIAAAAAgBAABkcnMvc2hhcGV4bWwueG1sUEsFBgAAAAAGAAYAWwEAALID&#10;AAAAAA==&#10;" path="m216,139l186,139,196,119,226,119,216,1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nljeerkAAADb&#10;AAAADwAAAGRycy9kb3ducmV2LnhtbEVPS4vCMBC+L/gfwgheFk0VV6QaRQTBQ0W26n1oxrbYTEIT&#10;n7/eCAt7m4/vOfPlwzTiRq2vLSsYDhIQxIXVNZcKjodNfwrCB2SNjWVS8CQPy0Xna46ptnf+pVse&#10;ShFD2KeooArBpVL6oiKDfmAdceTOtjUYImxLqVu8x3DTyFGSTKTBmmNDhY7WFRWX/GoUnPIse7nN&#10;t9vu9iMffLaa/NBKqV53mMxABHqEf/Gfe6vj/DF8fokHyM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5Y3nq5AAAA2wAA&#10;AA8AAAAAAAAAAQAgAAAAIgAAAGRycy9kb3ducmV2LnhtbFBLAQIUABQAAAAIAIdO4kAzLwWeOwAA&#10;ADkAAAAQAAAAAAAAAAEAIAAAAAgBAABkcnMvc2hhcGV4bWwueG1sUEsFBgAAAAAGAAYAWwEAALID&#10;AAAAAA==&#10;" path="m7238,139l7208,139,7197,119,7228,119,7238,1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8RR74bsAAADb&#10;AAAADwAAAGRycy9kb3ducmV2LnhtbEVPTWvCQBC9F/wPywheSt0oJEjqKiIIHiKlab0P2WkSmp1d&#10;squJ/vquIPQ2j/c56+1oOnGl3reWFSzmCQjiyuqWawXfX4e3FQgfkDV2lknBjTxsN5OXNebaDvxJ&#10;1zLUIoawz1FBE4LLpfRVQwb93DriyP3Y3mCIsK+l7nGI4aaTyyTJpMGWY0ODjvYNVb/lxSg4l0Vx&#10;d4dXdzx9LH3wxS5LaafUbLpI3kEEGsO/+Ok+6jg/hcc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RR74bsAAADb&#10;AAAADwAAAAAAAAABACAAAAAiAAAAZHJzL2Rvd25yZXYueG1sUEsBAhQAFAAAAAgAh07iQDMvBZ47&#10;AAAAOQAAABAAAAAAAAAAAQAgAAAACgEAAGRycy9zaGFwZXhtbC54bWxQSwUGAAAAAAYABgBbAQAA&#10;tAMAAAAA&#10;" path="m186,159l166,159,176,139,196,139,186,1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AcbllrkAAADb&#10;AAAADwAAAGRycy9kb3ducmV2LnhtbEVPS4vCMBC+C/6HMIIX0VRhi1SjiCB46LJY9T40Y1tsJqGJ&#10;z1+/WVjwNh/fc5brp2nFnTrfWFYwnSQgiEurG64UnI678RyED8gaW8uk4EUe1qt+b4mZtg8+0L0I&#10;lYgh7DNUUIfgMil9WZNBP7GOOHIX2xkMEXaV1B0+Yrhp5SxJUmmw4dhQo6NtTeW1uBkF5yLP3243&#10;cvvvn5kPPt+kX7RRajiYJgsQgZ7hI/5373Wcn8LfL/EAuf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HG5Za5AAAA2wAA&#10;AA8AAAAAAAAAAQAgAAAAIgAAAGRycy9kb3ducmV2LnhtbFBLAQIUABQAAAAIAIdO4kAzLwWeOwAA&#10;ADkAAAAQAAAAAAAAAAEAIAAAAAgBAABkcnMvc2hhcGV4bWwueG1sUEsFBgAAAAAGAAYAWwEAALID&#10;AAAAAA==&#10;" path="m7258,159l7238,159,7228,139,7248,139,7258,1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bopADbkAAADb&#10;AAAADwAAAGRycy9kb3ducmV2LnhtbEVPS4vCMBC+L/gfwgh7WTRV0JVqFBEEDxWxq/ehGdtiMwlN&#10;1tevN4LgbT6+58wWN9OIC7W+tqxg0E9AEBdW11wqOPytexMQPiBrbCyTgjt5WMw7XzNMtb3yni55&#10;KEUMYZ+igioEl0rpi4oM+r51xJE72dZgiLAtpW7xGsNNI4dJMpYGa44NFTpaVVSc83+j4Jhn2cOt&#10;f9xmuxv64LPleERLpb67g2QKItAtfMRv90bH+b/w+iUeIO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6KQA25AAAA2wAA&#10;AA8AAAAAAAAAAQAgAAAAIgAAAGRycy9kb3ducmV2LnhtbFBLAQIUABQAAAAIAIdO4kAzLwWeOwAA&#10;ADkAAAAQAAAAAAAAAAEAIAAAAAgBAABkcnMvc2hhcGV4bWwueG1sUEsFBgAAAAAGAAYAWwEAALID&#10;AAAAAA==&#10;" path="m167,179l147,179,156,159,176,159,167,1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HxXUf74AAADb&#10;AAAADwAAAGRycy9kb3ducmV2LnhtbEWPT2vCQBDF70K/wzKFXkQ3ChWJriKCkEOKmNb7kJ0modnZ&#10;Jbv+aT+9cyh4m+G9ee836+3d9epKQ+w8G5hNM1DEtbcdNwa+Pg+TJaiYkC32nsnAL0XYbl5Ga8yt&#10;v/GJrlVqlIRwzNFAm1LItY51Sw7j1Adi0b794DDJOjTaDniTcNfreZYttMOOpaHFQPuW6p/q4gyc&#10;q7L8C4dxKD6O85hiuVu8086Yt9dZtgKV6J6e5v/rwgq+wMovMoDeP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xXUf74A&#10;AADbAAAADwAAAAAAAAABACAAAAAiAAAAZHJzL2Rvd25yZXYueG1sUEsBAhQAFAAAAAgAh07iQDMv&#10;BZ47AAAAOQAAABAAAAAAAAAAAQAgAAAADQEAAGRycy9zaGFwZXhtbC54bWxQSwUGAAAAAAYABgBb&#10;AQAAtwMAAAAA&#10;" path="m7277,179l7256,179,7247,159,7267,159,7277,1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cFlx5LkAAADb&#10;AAAADwAAAGRycy9kb3ducmV2LnhtbEVPS4vCMBC+L/gfwgh7WTRVUNZqFBEEDxWxq/ehGdtiMwlN&#10;1tevN4LgbT6+58wWN9OIC7W+tqxg0E9AEBdW11wqOPyte78gfEDW2FgmBXfysJh3vmaYanvlPV3y&#10;UIoYwj5FBVUILpXSFxUZ9H3riCN3sq3BEGFbSt3iNYabRg6TZCwN1hwbKnS0qqg45/9GwTHPsodb&#10;/7jNdjf0wWfL8YiWSn13B8kURKBb+Ijf7o2O8yfw+iUeIO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BZceS5AAAA2wAA&#10;AA8AAAAAAAAAAQAgAAAAIgAAAGRycy9kb3ducmV2LnhtbFBLAQIUABQAAAAIAIdO4kAzLwWeOwAA&#10;ADkAAAAQAAAAAAAAAAEAIAAAAAgBAABkcnMvc2hhcGV4bWwueG1sUEsFBgAAAAAGAAYAWwEAALID&#10;AAAAAA==&#10;" path="m149,199l129,199,138,179,158,179,149,1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Lw8SxLgAAADb&#10;AAAADwAAAGRycy9kb3ducmV2LnhtbEVPy4rCMBTdC/5DuIIbGVMLinSMIoLgoiJW3V+aO22Z5iY0&#10;8fn1ZiG4PJz3YvUwrbhR5xvLCibjBARxaXXDlYLzafszB+EDssbWMil4kofVst9bYKbtnY90K0Il&#10;Ygj7DBXUIbhMSl/WZNCPrSOO3J/tDIYIu0rqDu8x3LQyTZKZNNhwbKjR0aam8r+4GgWXIs9fbjty&#10;u/0h9cHn69mU1koNB5PkF0SgR/iKP+6dVpDG9fFL/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w8SxLgAAADbAAAA&#10;DwAAAAAAAAABACAAAAAiAAAAZHJzL2Rvd25yZXYueG1sUEsBAhQAFAAAAAgAh07iQDMvBZ47AAAA&#10;OQAAABAAAAAAAAAAAQAgAAAABwEAAGRycy9zaGFwZXhtbC54bWxQSwUGAAAAAAYABgBbAQAAsQMA&#10;AAAA&#10;" path="m7294,199l7274,199,7265,179,7286,179,7294,1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QEO3X7wAAADb&#10;AAAADwAAAGRycy9kb3ducmV2LnhtbEWPT4vCMBTE78J+h/AWvIimLShLNYosCB4qYl3vj+bZlm1e&#10;QhP/7H56Iwgeh5n5DbNY3U0nrtT71rKCdJKAIK6sbrlW8HPcjL9A+ICssbNMCv7Iw2r5MVhgru2N&#10;D3QtQy0ihH2OCpoQXC6lrxoy6CfWEUfvbHuDIcq+lrrHW4SbTmZJMpMGW44LDTr6bqj6LS9Gwaks&#10;in+3Gbntbp/54Iv1bEprpYafaTIHEege3uFXe6sVZCk8v8QfIJ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BDt1+8AAAA&#10;2wAAAA8AAAAAAAAAAQAgAAAAIgAAAGRycy9kb3ducmV2LnhtbFBLAQIUABQAAAAIAIdO4kAzLwWe&#10;OwAAADkAAAAQAAAAAAAAAAEAIAAAAAsBAABkcnMvc2hhcGV4bWwueG1sUEsFBgAAAAAGAAYAWwEA&#10;ALUDAAAAAA==&#10;" path="m132,219l112,219,121,199,141,199,132,2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sJEpKL0AAADb&#10;AAAADwAAAGRycy9kb3ducmV2LnhtbEWPwWrDMBBE74H+g9hCLqGRY2goTpQQCgYfHEqd9r5YG9vU&#10;WglLsd1+fVQo9DjMzBtmf5xNL0YafGdZwWadgCCure64UfBxyZ9eQPiArLG3TAq+ycPx8LDYY6bt&#10;xO80VqEREcI+QwVtCC6T0tctGfRr64ijd7WDwRDl0Eg94BThppdpkmylwY7jQouOXluqv6qbUfBZ&#10;leWPy1euOL+lPvjytH2mk1LLx02yAxFoDv/hv3ahFaQp/H6JP0Ae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kSkovQAA&#10;ANsAAAAPAAAAAAAAAAEAIAAAACIAAABkcnMvZG93bnJldi54bWxQSwECFAAUAAAACACHTuJAMy8F&#10;njsAAAA5AAAAEAAAAAAAAAABACAAAAAMAQAAZHJzL3NoYXBleG1sLnhtbFBLBQYAAAAABgAGAFsB&#10;AAC2AwAAAAA=&#10;" path="m7311,219l7291,219,7283,199,7303,199,7311,2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392Ms7wAAADb&#10;AAAADwAAAGRycy9kb3ducmV2LnhtbEWPT4vCMBTE7wt+h/AEL4umVlakGkUEwUNl2ar3R/Nsi81L&#10;aOLfT28WFvY4zMxvmMXqYVpxo843lhWMRwkI4tLqhisFx8N2OAPhA7LG1jIpeJKH1bL3scBM2zv/&#10;0K0IlYgQ9hkqqENwmZS+rMmgH1lHHL2z7QyGKLtK6g7vEW5amSbJVBpsOC7U6GhTU3kprkbBqcjz&#10;l9t+ut3+O/XB5+vpF62VGvTHyRxEoEf4D/+1d1pBOoHfL/EHyO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djLO8AAAA&#10;2wAAAA8AAAAAAAAAAQAgAAAAIgAAAGRycy9kb3ducmV2LnhtbFBLAQIUABQAAAAIAIdO4kAzLwWe&#10;OwAAADkAAAAQAAAAAAAAAAEAIAAAAAsBAABkcnMvc2hhcGV4bWwueG1sUEsFBgAAAAAGAAYAWwEA&#10;ALUDAAAAAA==&#10;" path="m101,259l89,259,96,239,104,219,124,219,116,239,109,239,101,2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UDQUx7wAAADb&#10;AAAADwAAAGRycy9kb3ducmV2LnhtbEWPT4vCMBTE7wt+h/AEL4umFlekGkUEwUNl2ar3R/Nsi81L&#10;aOLfT28WFvY4zMxvmMXqYVpxo843lhWMRwkI4tLqhisFx8N2OAPhA7LG1jIpeJKH1bL3scBM2zv/&#10;0K0IlYgQ9hkqqENwmZS+rMmgH1lHHL2z7QyGKLtK6g7vEW5amSbJVBpsOC7U6GhTU3kprkbBqcjz&#10;l9t+ut3+O/XB5+vpF62VGvTHyRxEoEf4D/+1d1pBOoHfL/EHyO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A0FMe8AAAA&#10;2wAAAA8AAAAAAAAAAQAgAAAAIgAAAGRycy9kb3ducmV2LnhtbFBLAQIUABQAAAAIAIdO4kAzLwWe&#10;OwAAADkAAAAQAAAAAAAAAAEAIAAAAAsBAABkcnMvc2hhcGV4bWwueG1sUEsFBgAAAAAGAAYAWwEA&#10;ALUDAAAAAA==&#10;" path="m7335,259l7322,259,7315,239,7307,239,7299,219,7319,219,7327,239,7335,2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P3ixXLwAAADb&#10;AAAADwAAAGRycy9kb3ducmV2LnhtbEWPQYvCMBSE78L+h/AW9iKaWlCWahRZEHqoiNW9P5pnW2xe&#10;QpNV119vBMHjMDPfMIvVzXTiQr1vLSuYjBMQxJXVLdcKjofN6BuED8gaO8uk4J88rJYfgwVm2l55&#10;T5cy1CJC2GeooAnBZVL6qiGDfmwdcfROtjcYouxrqXu8RrjpZJokM2mw5bjQoKOfhqpz+WcU/JZF&#10;cXebocu3u9QHX6xnU1or9fU5SeYgAt3CO/xq51pBOoXnl/g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4sVy8AAAA&#10;2wAAAA8AAAAAAAAAAQAgAAAAIgAAAGRycy9kb3ducmV2LnhtbFBLAQIUABQAAAAIAIdO4kAzLwWe&#10;OwAAADkAAAAQAAAAAAAAAAEAIAAAAAsBAABkcnMvc2hhcGV4bWwueG1sUEsFBgAAAAAGAAYAWwEA&#10;ALUDAAAAAA==&#10;" path="m94,279l75,279,82,259,102,259,94,2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z6ovK7wAAADb&#10;AAAADwAAAGRycy9kb3ducmV2LnhtbEWPT4vCMBTE7wt+h/CEvSyaWrBI1ygiCB66iFXvj+ZtW2xe&#10;QpP136ffCILHYWZ+w8yXN9OJC/W+taxgMk5AEFdWt1wrOB42oxkIH5A1dpZJwZ08LBeDjznm2l55&#10;T5cy1CJC2OeooAnB5VL6qiGDfmwdcfR+bW8wRNnXUvd4jXDTyTRJMmmw5bjQoKN1Q9W5/DMKTmVR&#10;PNzmy21/dqkPvlhlU1op9TmcJN8gAt3CO/xqb7WCNIPn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qLyu8AAAA&#10;2wAAAA8AAAAAAAAAAQAgAAAAIgAAAGRycy9kb3ducmV2LnhtbFBLAQIUABQAAAAIAIdO4kAzLwWe&#10;OwAAADkAAAAQAAAAAAAAAAEAIAAAAAsBAABkcnMvc2hhcGV4bWwueG1sUEsFBgAAAAAGAAYAWwEA&#10;ALUDAAAAAA==&#10;" path="m7349,279l7329,279,7322,259,7342,259,7349,2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oOaKsL4AAADb&#10;AAAADwAAAGRycy9kb3ducmV2LnhtbEWPQWvCQBSE7wX/w/IKvRTdGDCV1FVECHhIKU31/si+JqHZ&#10;t0t2G6O/visUehxm5htms5tML0YafGdZwXKRgCCure64UXD6LOZrED4ga+wtk4IredhtZw8bzLW9&#10;8AeNVWhEhLDPUUEbgsul9HVLBv3COuLofdnBYIhyaKQe8BLhppdpkmTSYMdxoUVHh5bq7+rHKDhX&#10;ZXlzxbM7vr2nPvhyn61or9TT4zJ5BRFoCv/hv/ZRK0hf4P4l/gC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OaKsL4A&#10;AADbAAAADwAAAAAAAAABACAAAAAiAAAAZHJzL2Rvd25yZXYueG1sUEsBAhQAFAAAAAgAh07iQDMv&#10;BZ47AAAAOQAAABAAAAAAAAAAAQAgAAAADQEAAGRycy9zaGFwZXhtbC54bWxQSwUGAAAAAAYABgBb&#10;AQAAtwMAAAAA&#10;" path="m69,319l55,319,62,299,68,279,88,279,81,299,75,299,69,3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0XkewrgAAADb&#10;AAAADwAAAGRycy9kb3ducmV2LnhtbEVPy4rCMBTdC/5DuIIbGVMLinSMIoLgoiJW3V+aO22Z5iY0&#10;8fn1ZiG4PJz3YvUwrbhR5xvLCibjBARxaXXDlYLzafszB+EDssbWMil4kofVst9bYKbtnY90K0Il&#10;Ygj7DBXUIbhMSl/WZNCPrSOO3J/tDIYIu0rqDu8x3LQyTZKZNNhwbKjR0aam8r+4GgWXIs9fbjty&#10;u/0h9cHn69mU1koNB5PkF0SgR/iKP+6dVpDGsfFL/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XkewrgAAADbAAAA&#10;DwAAAAAAAAABACAAAAAiAAAAZHJzL2Rvd25yZXYueG1sUEsBAhQAFAAAAAgAh07iQDMvBZ47AAAA&#10;OQAAABAAAAAAAAAAAQAgAAAABwEAAGRycy9zaGFwZXhtbC54bWxQSwUGAAAAAAYABgBbAQAAsQMA&#10;AAAA&#10;" path="m7368,319l7355,319,7349,299,7342,299,7336,279,7356,279,7362,299,7368,3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vjW7Wb4AAADb&#10;AAAADwAAAGRycy9kb3ducmV2LnhtbEWPQWvCQBSE7wX/w/IKvRTdGDDU1FVECHhIKU31/si+JqHZ&#10;t0t2G6O/visUehxm5htms5tML0YafGdZwXKRgCCure64UXD6LOYvIHxA1thbJgVX8rDbzh42mGt7&#10;4Q8aq9CICGGfo4I2BJdL6euWDPqFdcTR+7KDwRDl0Eg94CXCTS/TJMmkwY7jQouODi3V39WPUXCu&#10;yvLmimd3fHtPffDlPlvRXqmnx2XyCiLQFP7Df+2jVpCu4f4l/gC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jW7Wb4A&#10;AADbAAAADwAAAAAAAAABACAAAAAiAAAAZHJzL2Rvd25yZXYueG1sUEsBAhQAFAAAAAgAh07iQDMv&#10;BZ47AAAAOQAAABAAAAAAAAAAAQAgAAAADQEAAGRycy9zaGFwZXhtbC54bWxQSwUGAAAAAAYABgBb&#10;AQAAtwMAAAAA&#10;" path="m63,339l44,339,50,319,69,319,63,3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qtaEGbkAAADb&#10;AAAADwAAAGRycy9kb3ducmV2LnhtbEVPy4rCMBTdC/MP4Q64kTFVUYaOaZEBwUVFrLq/NHfaMs1N&#10;aOLz681CcHk472V+M524UO9bywom4wQEcWV1y7WC42H99Q3CB2SNnWVScCcPefYxWGKq7ZX3dClD&#10;LWII+xQVNCG4VEpfNWTQj60jjtyf7Q2GCPta6h6vMdx0cpokC2mw5djQoKPfhqr/8mwUnMqieLj1&#10;yG22u6kPvlgt5rRSavg5SX5ABLqFt/jl3mgFs7g+fo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rWhBm5AAAA2wAA&#10;AA8AAAAAAAAAAQAgAAAAIgAAAGRycy9kb3ducmV2LnhtbFBLAQIUABQAAAAIAIdO4kAzLwWeOwAA&#10;ADkAAAAQAAAAAAAAAAEAIAAAAAgBAABkcnMvc2hhcGV4bWwueG1sUEsFBgAAAAAGAAYAWwEAALID&#10;AAAAAA==&#10;" path="m7380,339l7360,339,7355,319,7374,319,7380,3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xZohgr0AAADb&#10;AAAADwAAAGRycy9kb3ducmV2LnhtbEWPT4vCMBTE78J+h/AWvIimVZSlGkUWBA8Vsbr3R/Nsi81L&#10;aLL+2U+/EQSPw8z8hlms7qYVV+p8Y1lBOkpAEJdWN1wpOB03wy8QPiBrbC2Tggd5WC0/egvMtL3x&#10;ga5FqESEsM9QQR2Cy6T0ZU0G/cg64uidbWcwRNlVUnd4i3DTynGSzKTBhuNCjY6+ayovxa9R8FPk&#10;+Z/bDNx2tx/74PP1bEprpfqfaTIHEege3uFXe6sVTFJ4fok/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miGCvQAA&#10;ANsAAAAPAAAAAAAAAAEAIAAAACIAAABkcnMvZG93bnJldi54bWxQSwECFAAUAAAACACHTuJAMy8F&#10;njsAAAA5AAAAEAAAAAAAAAABACAAAAAMAQAAZHJzL3NoYXBleG1sLnhtbFBLBQYAAAAABgAGAFsB&#10;AAC2AwAAAAA=&#10;" path="m43,379l29,379,34,359,39,339,58,339,53,359,48,359,43,3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NUi/9bwAAADb&#10;AAAADwAAAGRycy9kb3ducmV2LnhtbEWPT4vCMBTE7wt+h/AEL4umVlakGkUEwUNl2ar3R/Nsi81L&#10;aOLfT28WFvY4zMxvmMXqYVpxo843lhWMRwkI4tLqhisFx8N2OAPhA7LG1jIpeJKH1bL3scBM2zv/&#10;0K0IlYgQ9hkqqENwmZS+rMmgH1lHHL2z7QyGKLtK6g7vEW5amSbJVBpsOC7U6GhTU3kprkbBqcjz&#10;l9t+ut3+O/XB5+vpF62VGvTHyRxEoEf4D/+1d1rBJIXfL/EHyO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Iv/W8AAAA&#10;2wAAAA8AAAAAAAAAAQAgAAAAIgAAAGRycy9kb3ducmV2LnhtbFBLAQIUABQAAAAIAIdO4kAzLwWe&#10;OwAAADkAAAAQAAAAAAAAAAEAIAAAAAsBAABkcnMvc2hhcGV4bWwueG1sUEsFBgAAAAAGAAYAWwEA&#10;ALUDAAAAAA==&#10;" path="m7394,379l7380,379,7376,359,7371,359,7366,339,7385,339,7390,359,7394,3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WgQabr4AAADb&#10;AAAADwAAAGRycy9kb3ducmV2LnhtbEWPQWvCQBSE7wX/w/KEXorZJFKR6CoiBDykSGN7f2SfSTD7&#10;dslu1fbXd4VCj8PMfMOst3cziCuNvresIEtSEMSN1T23Cj5O5WwJwgdkjYNlUvBNHrabydMaC21v&#10;/E7XOrQiQtgXqKALwRVS+qYjgz6xjjh6ZzsaDFGOrdQj3iLcDDJP04U02HNc6NDRvqPmUn8ZBZ91&#10;Vf248sUd3o65D77aLV5pp9TzNEtXIALdw3/4r33QCuZzeHyJP0B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gQabr4A&#10;AADbAAAADwAAAAAAAAABACAAAAAiAAAAZHJzL2Rvd25yZXYueG1sUEsBAhQAFAAAAAgAh07iQDMv&#10;BZ47AAAAOQAAABAAAAAAAAAAAQAgAAAADQEAAGRycy9zaGFwZXhtbC54bWxQSwUGAAAAAAYABgBb&#10;AQAAtwMAAAAA&#10;" path="m32,419l17,419,21,399,25,379,43,379,39,399,35,399,32,4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1e2CGr4AAADb&#10;AAAADwAAAGRycy9kb3ducmV2LnhtbEWPQWvCQBSE7wX/w/IKvZS6MVaR1FVEEDykFGO9P7KvSWj2&#10;7ZLdJtFf7xYKPQ4z8w2z3o6mFT11vrGsYDZNQBCXVjdcKfg8H15WIHxA1thaJgVX8rDdTB7WmGk7&#10;8In6IlQiQthnqKAOwWVS+rImg35qHXH0vmxnMETZVVJ3OES4aWWaJEtpsOG4UKOjfU3ld/FjFFyK&#10;PL+5w7M7vn+kPvh8t1zQTqmnx1nyBiLQGP7Df+2jVjB/hd8v8Qf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e2CGr4A&#10;AADbAAAADwAAAAAAAAABACAAAAAiAAAAZHJzL2Rvd25yZXYueG1sUEsBAhQAFAAAAAgAh07iQDMv&#10;BZ47AAAAOQAAABAAAAAAAAAAAQAgAAAADQEAAGRycy9zaGFwZXhtbC54bWxQSwUGAAAAAAYABgBb&#10;AQAAtwMAAAAA&#10;" path="m7406,419l7392,419,7388,399,7384,399,7380,379,7399,379,7403,399,7406,4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uqEngbwAAADb&#10;AAAADwAAAGRycy9kb3ducmV2LnhtbEWPT4vCMBTE78J+h/AWvIimKhbpGkUWBA8Vse7eH83btmzz&#10;Epr499MbQfA4zMxvmMXqalpxps43lhWMRwkI4tLqhisFP8fNcA7CB2SNrWVScCMPq+VHb4GZthc+&#10;0LkIlYgQ9hkqqENwmZS+rMmgH1lHHL0/2xkMUXaV1B1eIty0cpIkqTTYcFyo0dF3TeV/cTIKfos8&#10;v7vNwG13+4kPPl+nM1or1f8cJ18gAl3DO/xqb7WC6QyeX+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hJ4G8AAAA&#10;2wAAAA8AAAAAAAAAAQAgAAAAIgAAAGRycy9kb3ducmV2LnhtbFBLAQIUABQAAAAIAIdO4kAzLwWe&#10;OwAAADkAAAAQAAAAAAAAAAEAIAAAAAsBAABkcnMvc2hhcGV4bWwueG1sUEsFBgAAAAAGAAYAWwEA&#10;ALUDAAAAAA==&#10;" path="m21,479l6,479,8,459,11,439,14,419,32,419,28,439,26,439,23,459,23,459,21,4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SnO59rwAAADb&#10;AAAADwAAAGRycy9kb3ducmV2LnhtbEWPT4vCMBTE7wt+h/AEL4umKlukGkUEwUNl2ar3R/Nsi81L&#10;aOLfT28WFvY4zMxvmMXqYVpxo843lhWMRwkI4tLqhisFx8N2OAPhA7LG1jIpeJKH1bL3scBM2zv/&#10;0K0IlYgQ9hkqqENwmZS+rMmgH1lHHL2z7QyGKLtK6g7vEW5aOUmSVBpsOC7U6GhTU3kprkbBqcjz&#10;l9t+ut3+e+KDz9fpF62VGvTHyRxEoEf4D/+1d1rBNIXfL/EHyO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zufa8AAAA&#10;2wAAAA8AAAAAAAAAAQAgAAAAIgAAAGRycy9kb3ducmV2LnhtbFBLAQIUABQAAAAIAIdO4kAzLwWe&#10;OwAAADkAAAAQAAAAAAAAAAEAIAAAAAsBAABkcnMvc2hhcGV4bWwueG1sUEsFBgAAAAAGAAYAWwEA&#10;ALUDAAAAAA==&#10;" path="m7418,479l7403,479,7401,459,7401,459,7398,439,7395,439,7392,419,7410,419,7413,439,7415,459,7418,4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JT8cbbwAAADb&#10;AAAADwAAAGRycy9kb3ducmV2LnhtbEWPT4vCMBTE78J+h/AWvIimKrrSNYoIgocuYl3vj+bZlm1e&#10;QhP/fvqNIHgcZuY3zHx5M424UOtrywqGgwQEcWF1zaWC38OmPwPhA7LGxjIpuJOH5eKjM8dU2yvv&#10;6ZKHUkQI+xQVVCG4VEpfVGTQD6wjjt7JtgZDlG0pdYvXCDeNHCXJVBqsOS5U6GhdUfGXn42CY55l&#10;D7fpue3PbuSDz1bTCa2U6n4Ok28QgW7hHX61t1rB+AueX+IPk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U/HG28AAAA&#10;2wAAAA8AAAAAAAAAAQAgAAAAIgAAAGRycy9kb3ducmV2LnhtbFBLAQIUABQAAAAIAIdO4kAzLwWe&#10;OwAAADkAAAAQAAAAAAAAAAEAIAAAAAsBAABkcnMvc2hhcGV4bWwueG1sUEsFBgAAAAAGAAYAWwEA&#10;ALUDAAAAAA==&#10;" path="m16,519l1,519,2,499,4,479,19,479,17,499,17,499,16,5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VKCIH7kAAADb&#10;AAAADwAAAGRycy9kb3ducmV2LnhtbEVPy4rCMBTdC/MP4Q64kTFVUYaOaZEBwUVFrLq/NHfaMs1N&#10;aOLz681CcHk472V+M524UO9bywom4wQEcWV1y7WC42H99Q3CB2SNnWVScCcPefYxWGKq7ZX3dClD&#10;LWII+xQVNCG4VEpfNWTQj60jjtyf7Q2GCPta6h6vMdx0cpokC2mw5djQoKPfhqr/8mwUnMqieLj1&#10;yG22u6kPvlgt5rRSavg5SX5ABLqFt/jl3mgFszg2fo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SgiB+5AAAA2wAA&#10;AA8AAAAAAAAAAQAgAAAAIgAAAGRycy9kb3ducmV2LnhtbFBLAQIUABQAAAAIAIdO4kAzLwWeOwAA&#10;ADkAAAAQAAAAAAAAAAEAIAAAAAgBAABkcnMvc2hhcGV4bWwueG1sUEsFBgAAAAAGAAYAWwEAALID&#10;AAAAAA==&#10;" path="m7423,519l7408,519,7406,499,7406,499,7405,479,7420,479,7421,499,7423,5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O+wthLwAAADb&#10;AAAADwAAAGRycy9kb3ducmV2LnhtbEWPT4vCMBTE78J+h/AWvIimKsraNYoIgocuYl3vj+bZlm1e&#10;QhP/fvqNIHgcZuY3zHx5M424UOtrywqGgwQEcWF1zaWC38Om/wXCB2SNjWVScCcPy8VHZ46ptlfe&#10;0yUPpYgQ9ikqqEJwqZS+qMigH1hHHL2TbQ2GKNtS6havEW4aOUqSqTRYc1yo0NG6ouIvPxsFxzzL&#10;Hm7Tc9uf3cgHn62mE1op1f0cJt8gAt3CO/xqb7WC8QyeX+IPk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sLYS8AAAA&#10;2wAAAA8AAAAAAAAAAQAgAAAAIgAAAGRycy9kb3ducmV2LnhtbFBLAQIUABQAAAAIAIdO4kAzLwWe&#10;OwAAADkAAAAQAAAAAAAAAAEAIAAAAAsBAABkcnMvc2hhcGV4bWwueG1sUEsFBgAAAAAGAAYAWwEA&#10;ALUDAAAAAA==&#10;" path="m19,4559l2,4559,1,4539,0,4519,0,4499,0,539,0,519,15,519,15,539,15,4499,15,4519,16,4539,17,4539,19,45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8tD3ZLkAAADb&#10;AAAADwAAAGRycy9kb3ducmV2LnhtbEVPy4rCMBTdC/MP4Q64kTFVVIaOaZEBwUVFrLq/NHfaMs1N&#10;aOLz681CcHk472V+M524UO9bywom4wQEcWV1y7WC42H99Q3CB2SNnWVScCcPefYxWGKq7ZX3dClD&#10;LWII+xQVNCG4VEpfNWTQj60jjtyf7Q2GCPta6h6vMdx0cpokC2mw5djQoKPfhqr/8mwUnMqieLj1&#10;yG22u6kPvlgt5rRSavg5SX5ABLqFt/jl3mgFs7g+fo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LQ92S5AAAA2wAA&#10;AA8AAAAAAAAAAQAgAAAAIgAAAGRycy9kb3ducmV2LnhtbFBLAQIUABQAAAAIAIdO4kAzLwWeOwAA&#10;ADkAAAAQAAAAAAAAAAEAIAAAAAgBAABkcnMvc2hhcGV4bWwueG1sUEsFBgAAAAAGAAYAWwEAALID&#10;AAAAAA==&#10;" path="m7421,4559l7405,4559,7406,4539,7408,4539,7408,4519,7408,4519,7409,4499,7409,539,7408,519,7423,519,7424,539,7424,4499,7423,4519,7423,4539,7421,45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nZxS/70AAADb&#10;AAAADwAAAGRycy9kb3ducmV2LnhtbEWPT4vCMBTE78J+h/AWvIimFZWlGkUWBA8Vsbr3R/Nsi81L&#10;aLL+2U+/EQSPw8z8hlms7qYVV+p8Y1lBOkpAEJdWN1wpOB03wy8QPiBrbC2Tggd5WC0/egvMtL3x&#10;ga5FqESEsM9QQR2Cy6T0ZU0G/cg64uidbWcwRNlVUnd4i3DTynGSzKTBhuNCjY6+ayovxa9R8FPk&#10;+Z/bDNx2tx/74PP1bEprpfqfaTIHEege3uFXe6sVTFJ4fok/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nFL/vQAA&#10;ANsAAAAPAAAAAAAAAAEAIAAAACIAAABkcnMvZG93bnJldi54bWxQSwECFAAUAAAACACHTuJAMy8F&#10;njsAAAA5AAAAEAAAAAAAAAABACAAAAAMAQAAZHJzL3NoYXBleG1sLnhtbFBLBQYAAAAABgAGAFsB&#10;AAC2AwAAAAA=&#10;" path="m23,4599l8,4599,6,4579,4,4559,19,4559,21,4579,21,4579,23,45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bU7MiLwAAADb&#10;AAAADwAAAGRycy9kb3ducmV2LnhtbEWPT4vCMBTE7wt+h/AEL4umFlekGkUEwUNl2ar3R/Nsi81L&#10;aOLfT28WFvY4zMxvmMXqYVpxo843lhWMRwkI4tLqhisFx8N2OAPhA7LG1jIpeJKH1bL3scBM2zv/&#10;0K0IlYgQ9hkqqENwmZS+rMmgH1lHHL2z7QyGKLtK6g7vEW5amSbJVBpsOC7U6GhTU3kprkbBqcjz&#10;l9t+ut3+O/XB5+vpF62VGvTHyRxEoEf4D/+1d1rBJIXfL/EHyO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1OzIi8AAAA&#10;2wAAAA8AAAAAAAAAAQAgAAAAIgAAAGRycy9kb3ducmV2LnhtbFBLAQIUABQAAAAIAIdO4kAzLwWe&#10;OwAAADkAAAAQAAAAAAAAAAEAIAAAAAsBAABkcnMvc2hhcGV4bWwueG1sUEsFBgAAAAAGAAYAWwEA&#10;ALUDAAAAAA==&#10;" path="m7415,4599l7401,4599,7403,4579,7403,4579,7405,4559,7420,4559,7418,4579,7415,45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AgJpE74AAADb&#10;AAAADwAAAGRycy9kb3ducmV2LnhtbEWPQWvCQBSE7wX/w/IKvZS6MVaR1FVEEDykFGO9P7KvSWj2&#10;7ZLdJtFf7xYKPQ4z8w2z3o6mFT11vrGsYDZNQBCXVjdcKfg8H15WIHxA1thaJgVX8rDdTB7WmGk7&#10;8In6IlQiQthnqKAOwWVS+rImg35qHXH0vmxnMETZVVJ3OES4aWWaJEtpsOG4UKOjfU3ld/FjFFyK&#10;PL+5w7M7vn+kPvh8t1zQTqmnx1nyBiLQGP7Df+2jVvA6h98v8QfIz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gJpE74A&#10;AADbAAAADwAAAAAAAAABACAAAAAiAAAAZHJzL2Rvd25yZXYueG1sUEsBAhQAFAAAAAgAh07iQDMv&#10;BZ47AAAAOQAAABAAAAAAAAAAAQAgAAAADQEAAGRycy9zaGFwZXhtbC54bWxQSwUGAAAAAAYABgBb&#10;AQAAtwMAAAAA&#10;" path="m32,4639l17,4639,14,4619,11,4599,26,4599,29,4619,28,4619,32,46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jevxZ74AAADb&#10;AAAADwAAAGRycy9kb3ducmV2LnhtbEWPQWvCQBSE7wX/w/KEXorZJFiR6CoiBDykSGN7f2SfSTD7&#10;dslu1fbXd4VCj8PMfMOst3cziCuNvresIEtSEMSN1T23Cj5O5WwJwgdkjYNlUvBNHrabydMaC21v&#10;/E7XOrQiQtgXqKALwRVS+qYjgz6xjjh6ZzsaDFGOrdQj3iLcDDJP04U02HNc6NDRvqPmUn8ZBZ91&#10;Vf248sUd3o65D77aLV5pp9TzNEtXIALdw3/4r33QCuZzeHyJP0B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evxZ74A&#10;AADbAAAADwAAAAAAAAABACAAAAAiAAAAZHJzL2Rvd25yZXYueG1sUEsBAhQAFAAAAAgAh07iQDMv&#10;BZ47AAAAOQAAABAAAAAAAAAAAQAgAAAADQEAAGRycy9zaGFwZXhtbC54bWxQSwUGAAAAAAYABgBb&#10;AQAAtwMAAAAA&#10;" path="m7406,4639l7392,4639,7395,4619,7395,4619,7398,4599,7413,4599,7410,4619,7406,46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4qdU/LwAAADb&#10;AAAADwAAAGRycy9kb3ducmV2LnhtbEWPT4vCMBTE78J+h/AWvIimihbpGkUWBA8Vse7eH83btmzz&#10;Epr499MbQfA4zMxvmMXqalpxps43lhWMRwkI4tLqhisFP8fNcA7CB2SNrWVScCMPq+VHb4GZthc+&#10;0LkIlYgQ9hkqqENwmZS+rMmgH1lHHL0/2xkMUXaV1B1eIty0cpIkqTTYcFyo0dF3TeV/cTIKfos8&#10;v7vNwG13+4kPPl+nM1or1f8cJ18gAl3DO/xqb7WC6QyeX+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KnVPy8AAAA&#10;2wAAAA8AAAAAAAAAAQAgAAAAIgAAAGRycy9kb3ducmV2LnhtbFBLAQIUABQAAAAIAIdO4kAzLwWe&#10;OwAAADkAAAAQAAAAAAAAAAEAIAAAAAsBAABkcnMvc2hhcGV4bWwueG1sUEsFBgAAAAAGAAYAWwEA&#10;ALUDAAAAAA==&#10;" path="m43,4679l29,4679,25,4659,21,4639,35,4639,39,4659,39,4659,43,46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EnXKi7wAAADb&#10;AAAADwAAAGRycy9kb3ducmV2LnhtbEWPT4vCMBTE7wt+h/AEL4umilukGkUEwUNl2ar3R/Nsi81L&#10;aOLfT28WFvY4zMxvmMXqYVpxo843lhWMRwkI4tLqhisFx8N2OAPhA7LG1jIpeJKH1bL3scBM2zv/&#10;0K0IlYgQ9hkqqENwmZS+rMmgH1lHHL2z7QyGKLtK6g7vEW5aOUmSVBpsOC7U6GhTU3kprkbBqcjz&#10;l9t+ut3+e+KDz9fpF62VGvTHyRxEoEf4D/+1d1rBNIXfL/EHyO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1you8AAAA&#10;2wAAAA8AAAAAAAAAAQAgAAAAIgAAAGRycy9kb3ducmV2LnhtbFBLAQIUABQAAAAIAIdO4kAzLwWe&#10;OwAAADkAAAAQAAAAAAAAAAEAIAAAAAsBAABkcnMvc2hhcGV4bWwueG1sUEsFBgAAAAAGAAYAWwEA&#10;ALUDAAAAAA==&#10;" path="m7394,4679l7380,4679,7384,4659,7384,4659,7388,4639,7403,4639,7399,4659,7394,46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fTlvELwAAADb&#10;AAAADwAAAGRycy9kb3ducmV2LnhtbEWPT4vCMBTE78J+h/AWvIimirrSNYoIgocuYl3vj+bZlm1e&#10;QhP/fvqNIHgcZuY3zHx5M424UOtrywqGgwQEcWF1zaWC38OmPwPhA7LGxjIpuJOH5eKjM8dU2yvv&#10;6ZKHUkQI+xQVVCG4VEpfVGTQD6wjjt7JtgZDlG0pdYvXCDeNHCXJVBqsOS5U6GhdUfGXn42CY55l&#10;D7fpue3PbuSDz1bTCa2U6n4Ok28QgW7hHX61t1rB+AueX+IPk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5bxC8AAAA&#10;2wAAAA8AAAAAAAAAAQAgAAAAIgAAAGRycy9kb3ducmV2LnhtbFBLAQIUABQAAAAIAIdO4kAzLwWe&#10;OwAAADkAAAAQAAAAAAAAAAEAIAAAAAsBAABkcnMvc2hhcGV4bWwueG1sUEsFBgAAAAAGAAYAWwEA&#10;ALUDAAAAAA==&#10;" path="m48,4679l43,4679,43,4659,48,46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DKb7YrkAAADb&#10;AAAADwAAAGRycy9kb3ducmV2LnhtbEVPy4rCMBTdC/MP4Q64kTFVVIaOaZEBwUVFrLq/NHfaMs1N&#10;aOLz681CcHk472V+M524UO9bywom4wQEcWV1y7WC42H99Q3CB2SNnWVScCcPefYxWGKq7ZX3dClD&#10;LWII+xQVNCG4VEpfNWTQj60jjtyf7Q2GCPta6h6vMdx0cpokC2mw5djQoKPfhqr/8mwUnMqieLj1&#10;yG22u6kPvlgt5rRSavg5SX5ABLqFt/jl3mgFszg2fo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ym+2K5AAAA2wAA&#10;AA8AAAAAAAAAAQAgAAAAIgAAAGRycy9kb3ducmV2LnhtbFBLAQIUABQAAAAIAIdO4kAzLwWeOwAA&#10;ADkAAAAQAAAAAAAAAAEAIAAAAAgBAABkcnMvc2hhcGV4bWwueG1sUEsFBgAAAAAGAAYAWwEAALID&#10;AAAAAA==&#10;" path="m7380,4679l7376,4679,7380,4659,7380,46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Y+pe+bwAAADb&#10;AAAADwAAAGRycy9kb3ducmV2LnhtbEWPT4vCMBTE78J+h/AWvIimisraNYoIgocuYl3vj+bZlm1e&#10;QhP/fvqNIHgcZuY3zHx5M424UOtrywqGgwQEcWF1zaWC38Om/wXCB2SNjWVScCcPy8VHZ46ptlfe&#10;0yUPpYgQ9ikqqEJwqZS+qMigH1hHHL2TbQ2GKNtS6havEW4aOUqSqTRYc1yo0NG6ouIvPxsFxzzL&#10;Hm7Tc9uf3cgHn62mE1op1f0cJt8gAt3CO/xqb7WC8QyeX+IPk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PqXvm8AAAA&#10;2wAAAA8AAAAAAAAAAQAgAAAAIgAAAGRycy9kb3ducmV2LnhtbFBLAQIUABQAAAAIAIdO4kAzLwWe&#10;OwAAADkAAAAQAAAAAAAAAAEAIAAAAAsBAABkcnMvc2hhcGV4bWwueG1sUEsFBgAAAAAGAAYAWwEA&#10;ALUDAAAAAA==&#10;" path="m63,4719l44,4719,39,4699,34,4679,48,4679,53,4699,58,4699,63,47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dwlhubkAAADb&#10;AAAADwAAAGRycy9kb3ducmV2LnhtbEVPy4rCMBTdC/5DuIIbmaYKinRMRQTBRQexOvtLc6ctNjeh&#10;ic+vnywEl4fzXq0fphM36n1rWcE0SUEQV1a3XCs4n3ZfSxA+IGvsLJOCJ3lY58PBCjNt73ykWxlq&#10;EUPYZ6igCcFlUvqqIYM+sY44cn+2Nxgi7Gupe7zHcNPJWZoupMGWY0ODjrYNVZfyahT8lkXxcruJ&#10;2/8cZj74YrOY00ap8WiafoMI9Agf8du91wrmcX38En+AzP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JYbm5AAAA2wAA&#10;AA8AAAAAAAAAAQAgAAAAIgAAAGRycy9kb3ducmV2LnhtbFBLAQIUABQAAAAIAIdO4kAzLwWeOwAA&#10;ADkAAAAQAAAAAAAAAAEAIAAAAAgBAABkcnMvc2hhcGV4bWwueG1sUEsFBgAAAAAGAAYAWwEAALID&#10;AAAAAA==&#10;" path="m7380,4719l7360,4719,7366,4699,7371,4699,7376,4679,7390,4679,7385,4699,7380,47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GEXEIr0AAADb&#10;AAAADwAAAGRycy9kb3ducmV2LnhtbEWPzWrDMBCE74W8g9hALiWRbUgIjpUQAgYfXErd5r5YW9vU&#10;WglL+evTV4VCj8PMfMMUh7sZxZUmP1hWkK4SEMSt1QN3Cj7ey+UWhA/IGkfLpOBBHg772VOBubY3&#10;fqNrEzoRIexzVNCH4HIpfduTQb+yjjh6n3YyGKKcOqknvEW4GWWWJBtpcOC40KOjU0/tV3MxCs5N&#10;XX+78tlVL6+ZD74+btZ0VGoxT5MdiED38B/+a1dawTqF3y/xB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RcQivQAA&#10;ANsAAAAPAAAAAAAAAAEAIAAAACIAAABkcnMvZG93bnJldi54bWxQSwECFAAUAAAACACHTuJAMy8F&#10;njsAAAA5AAAAEAAAAAAAAAABACAAAAAMAQAAZHJzL3NoYXBleG1sLnhtbFBLBQYAAAAABgAGAFsB&#10;AAC2AwAAAAA=&#10;" path="m81,4759l62,4759,55,4739,50,4719,63,4719,69,4739,75,4739,81,47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6JdaVbwAAADb&#10;AAAADwAAAGRycy9kb3ducmV2LnhtbEWPQYvCMBSE78L+h/AW9iKaWlCWahRZEHqoiNW9P5pnW2xe&#10;QpNV119vBMHjMDPfMIvVzXTiQr1vLSuYjBMQxJXVLdcKjofN6BuED8gaO8uk4J88rJYfgwVm2l55&#10;T5cy1CJC2GeooAnBZVL6qiGDfmwdcfROtjcYouxrqXu8RrjpZJokM2mw5bjQoKOfhqpz+WcU/JZF&#10;cXebocu3u9QHX6xnU1or9fU5SeYgAt3CO/xq51rBNIXnl/g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XWlW8AAAA&#10;2wAAAA8AAAAAAAAAAQAgAAAAIgAAAGRycy9kb3ducmV2LnhtbFBLAQIUABQAAAAIAIdO4kAzLwWe&#10;OwAAADkAAAAQAAAAAAAAAAEAIAAAAAsBAABkcnMvc2hhcGV4bWwueG1sUEsFBgAAAAAGAAYAWwEA&#10;ALUDAAAAAA==&#10;" path="m7362,4759l7342,4759,7349,4739,7355,4739,7360,4719,7374,4719,7368,4739,7362,47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h9v/zrwAAADb&#10;AAAADwAAAGRycy9kb3ducmV2LnhtbEWPT4vCMBTE78J+h/AWvIimKhbpGkUWBA8Vse7eH83btmzz&#10;Epr499MbQfA4zMxvmMXqalpxps43lhWMRwkI4tLqhisFP8fNcA7CB2SNrWVScCMPq+VHb4GZthc+&#10;0LkIlYgQ9hkqqENwmZS+rMmgH1lHHL0/2xkMUXaV1B1eIty0cpIkqTTYcFyo0dF3TeV/cTIKfos8&#10;v7vNwG13+4kPPl+nM1or1f8cJ18gAl3DO/xqb7WC2RSeX+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b/868AAAA&#10;2wAAAA8AAAAAAAAAAQAgAAAAIgAAAGRycy9kb3ducmV2LnhtbFBLAQIUABQAAAAIAIdO4kAzLwWe&#10;OwAAADkAAAAQAAAAAAAAAAEAIAAAAAsBAABkcnMvc2hhcGV4bWwueG1sUEsFBgAAAAAGAAYAWwEA&#10;ALUDAAAAAA==&#10;" path="m94,4779l75,4779,68,4759,88,4759,94,47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CDJnurwAAADb&#10;AAAADwAAAGRycy9kb3ducmV2LnhtbEWPT4vCMBTE78J+h/AWvIimihbpGkUWBA8Vse7eH83btmzz&#10;Epr499MbQfA4zMxvmMXqalpxps43lhWMRwkI4tLqhisFP8fNcA7CB2SNrWVScCMPq+VHb4GZthc+&#10;0LkIlYgQ9hkqqENwmZS+rMmgH1lHHL0/2xkMUXaV1B1eIty0cpIkqTTYcFyo0dF3TeV/cTIKfos8&#10;v7vNwG13+4kPPl+nM1or1f8cJ18gAl3DO/xqb7WC2RSeX+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gyZ7q8AAAA&#10;2wAAAA8AAAAAAAAAAQAgAAAAIgAAAGRycy9kb3ducmV2LnhtbFBLAQIUABQAAAAIAIdO4kAzLwWe&#10;OwAAADkAAAAQAAAAAAAAAAEAIAAAAAsBAABkcnMvc2hhcGV4bWwueG1sUEsFBgAAAAAGAAYAWwEA&#10;ALUDAAAAAA==&#10;" path="m7349,4779l7329,4779,7336,4759,7356,4759,7349,47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Z37CIbwAAADb&#10;AAAADwAAAGRycy9kb3ducmV2LnhtbEWPT4vCMBTE78J+h/AWvIimCpWlGkUWBA8Vsbt7fzTPtti8&#10;hCZb/3x6Iwgeh5n5DbNcX00reup8Y1nBdJKAIC6tbrhS8PuzHX+B8AFZY2uZFNzIw3r1MVhipu2F&#10;j9QXoRIRwj5DBXUILpPSlzUZ9BPriKN3sp3BEGVXSd3hJcJNK2dJMpcGG44LNTr6rqk8F/9GwV+R&#10;53e3Hbnd/jDzweebeUobpYaf02QBItA1vMOv9k4rSFN4fok/QK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wiG8AAAA&#10;2wAAAA8AAAAAAAAAAQAgAAAAIgAAAGRycy9kb3ducmV2LnhtbFBLAQIUABQAAAAIAIdO4kAzLwWe&#10;OwAAADkAAAAQAAAAAAAAAAEAIAAAAAsBAABkcnMvc2hhcGV4bWwueG1sUEsFBgAAAAAGAAYAWwEA&#10;ALUDAAAAAA==&#10;" path="m116,4819l96,4819,89,4799,82,4779,94,4779,102,4799,109,4799,116,48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l6xcVr4AAADb&#10;AAAADwAAAGRycy9kb3ducmV2LnhtbEWPwWrDMBBE74H+g9hCLiGRHYgpjpUQCgYfXErd9r5YW9vU&#10;WglLdZJ+fRUI9DjMzBumOF7MKGaa/GBZQbpJQBC3Vg/cKfh4L9dPIHxA1jhaJgVX8nA8PCwKzLU9&#10;8xvNTehEhLDPUUEfgsul9G1PBv3GOuLofdnJYIhy6qSe8BzhZpTbJMmkwYHjQo+Onntqv5sfo+Cz&#10;qetfV65c9fK69cHXp2xHJ6WWj2myBxHoEv7D93alFewyuH2JP0A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6xcVr4A&#10;AADbAAAADwAAAAAAAAABACAAAAAiAAAAZHJzL2Rvd25yZXYueG1sUEsBAhQAFAAAAAgAh07iQDMv&#10;BZ47AAAAOQAAABAAAAAAAAAAAQAgAAAADQEAAGRycy9zaGFwZXhtbC54bWxQSwUGAAAAAAYABgBb&#10;AQAAtwMAAAAA&#10;" path="m7327,4819l7307,4819,7315,4799,7322,4799,7329,4779,7342,4779,7335,4799,7327,48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OD5zb4AAADb&#10;AAAADwAAAGRycy9kb3ducmV2LnhtbEWPQWvCQBSE70L/w/IKvYhuDGhLdBUpBHJIEWN7f2Rfk9Ds&#10;2yW7TWx/fbcgeBxm5htmd7iaXow0+M6ygtUyAUFcW91xo+D9ki9eQPiArLG3TAp+yMNh/zDbYabt&#10;xGcaq9CICGGfoYI2BJdJ6euWDPqldcTR+7SDwRDl0Eg94BThppdpkmykwY7jQouOXluqv6pvo+Cj&#10;Kstfl89d8XZKffDlcbOmo1JPj6tkCyLQNdzDt3ahFayf4f9L/AF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D5zb4A&#10;AADbAAAADwAAAAAAAAABACAAAAAiAAAAZHJzL2Rvd25yZXYueG1sUEsBAhQAFAAAAAgAh07iQDMv&#10;BZ47AAAAOQAAABAAAAAAAAAAAQAgAAAADQEAAGRycy9zaGFwZXhtbC54bWxQSwUGAAAAAAYABgBb&#10;AQAAtwMAAAAA&#10;" path="m132,4839l112,4839,104,4819,124,4819,132,48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iX9tv7kAAADb&#10;AAAADwAAAGRycy9kb3ducmV2LnhtbEVPy4rCMBTdC/5DuIIbmaYKinRMRQTBRQexOvtLc6ctNjeh&#10;ic+vnywEl4fzXq0fphM36n1rWcE0SUEQV1a3XCs4n3ZfSxA+IGvsLJOCJ3lY58PBCjNt73ykWxlq&#10;EUPYZ6igCcFlUvqqIYM+sY44cn+2Nxgi7Gupe7zHcNPJWZoupMGWY0ODjrYNVZfyahT8lkXxcruJ&#10;2/8cZj74YrOY00ap8WiafoMI9Agf8du91wrmcWz8En+AzP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bb+5AAAA2wAA&#10;AA8AAAAAAAAAAQAgAAAAIgAAAGRycy9kb3ducmV2LnhtbFBLAQIUABQAAAAIAIdO4kAzLwWeOwAA&#10;ADkAAAAQAAAAAAAAAAEAIAAAAAgBAABkcnMvc2hhcGV4bWwueG1sUEsFBgAAAAAGAAYAWwEAALID&#10;AAAAAA==&#10;" path="m7311,4839l7291,4839,7299,4819,7319,4819,7311,48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5jPIJL4AAADb&#10;AAAADwAAAGRycy9kb3ducmV2LnhtbEWPQWvCQBSE70L/w/IKvYhuDChtdBUpBHJIEWN7f2Rfk9Ds&#10;2yW7TWx/fbcgeBxm5htmd7iaXow0+M6ygtUyAUFcW91xo+D9ki+eQfiArLG3TAp+yMNh/zDbYabt&#10;xGcaq9CICGGfoYI2BJdJ6euWDPqldcTR+7SDwRDl0Eg94BThppdpkmykwY7jQouOXluqv6pvo+Cj&#10;Kstfl89d8XZKffDlcbOmo1JPj6tkCyLQNdzDt3ahFaxf4P9L/AF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jPIJL4A&#10;AADbAAAADwAAAAAAAAABACAAAAAiAAAAZHJzL2Rvd25yZXYueG1sUEsBAhQAFAAAAAgAh07iQDMv&#10;BZ47AAAAOQAAABAAAAAAAAAAAQAgAAAADQEAAGRycy9zaGFwZXhtbC54bWxQSwUGAAAAAAYABgBb&#10;AQAAtwMAAAAA&#10;" path="m149,4859l129,4859,121,4839,141,4839,149,48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uWWrBLgAAADb&#10;AAAADwAAAGRycy9kb3ducmV2LnhtbEVPy4rCMBTdC/5DuIIbGVMFi3SMIoLgoiJW3V+aO22Z5iY0&#10;8fn1ZiG4PJz3YvUwrbhR5xvLCibjBARxaXXDlYLzafszB+EDssbWMil4kofVst9bYKbtnY90K0Il&#10;Ygj7DBXUIbhMSl/WZNCPrSOO3J/tDIYIu0rqDu8x3LRymiSpNNhwbKjR0aam8r+4GgWXIs9fbjty&#10;u/1h6oPP1+mM1koNB5PkF0SgR/iKP+6dVpDG9fFL/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WWrBLgAAADbAAAA&#10;DwAAAAAAAAABACAAAAAiAAAAZHJzL2Rvd25yZXYueG1sUEsBAhQAFAAAAAgAh07iQDMvBZ47AAAA&#10;OQAAABAAAAAAAAAAAQAgAAAABwEAAGRycy9zaGFwZXhtbC54bWxQSwUGAAAAAAYABgBbAQAAsQMA&#10;AAAA&#10;" path="m7294,4859l7274,4859,7283,4839,7303,4839,7294,48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1ikOn70AAADb&#10;AAAADwAAAGRycy9kb3ducmV2LnhtbEWPwWrDMBBE74X8g9hALyWRbagJrpUQAgEfXEqd5L5YW9vE&#10;WglLjdN+fVUo9DjMzBum3N3NKG40+cGygnSdgCBurR64U3A+HVcbED4gaxwtk4Iv8rDbLh5KLLSd&#10;+Z1uTehEhLAvUEEfgiuk9G1PBv3aOuLofdjJYIhy6qSecI5wM8osSXJpcOC40KOjQ0/ttfk0Ci5N&#10;XX+745OrXt8yH3y9z59pr9TjMk1eQAS6h//wX7vSCvIU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KQ6fvQAA&#10;ANsAAAAPAAAAAAAAAAEAIAAAACIAAABkcnMvZG93bnJldi54bWxQSwECFAAUAAAACACHTuJAMy8F&#10;njsAAAA5AAAAEAAAAAAAAAABACAAAAAMAQAAZHJzL3NoYXBleG1sLnhtbFBLBQYAAAAABgAGAFsB&#10;AAC2AwAAAAA=&#10;" path="m167,4879l147,4879,138,4859,158,4859,167,48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JvuQ6LwAAADb&#10;AAAADwAAAGRycy9kb3ducmV2LnhtbEWPT4vCMBTE7wt+h/CEvSyaWrBI1ygiCB66iFXvj+ZtW2xe&#10;QpP136ffCILHYWZ+w8yXN9OJC/W+taxgMk5AEFdWt1wrOB42oxkIH5A1dpZJwZ08LBeDjznm2l55&#10;T5cy1CJC2OeooAnB5VL6qiGDfmwdcfR+bW8wRNnXUvd4jXDTyTRJMmmw5bjQoKN1Q9W5/DMKTmVR&#10;PNzmy21/dqkPvlhlU1op9TmcJN8gAt3CO/xqb7WCLIXn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b7kOi8AAAA&#10;2wAAAA8AAAAAAAAAAQAgAAAAIgAAAGRycy9kb3ducmV2LnhtbFBLAQIUABQAAAAIAIdO4kAzLwWe&#10;OwAAADkAAAAQAAAAAAAAAAEAIAAAAAsBAABkcnMvc2hhcGV4bWwueG1sUEsFBgAAAAAGAAYAWwEA&#10;ALUDAAAAAA==&#10;" path="m7277,4879l7256,4879,7265,4859,7286,4859,7277,48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Sbc1c7wAAADb&#10;AAAADwAAAGRycy9kb3ducmV2LnhtbEWPT4vCMBTE7wt+h/AEL4umKlukGkUEwUNl2ar3R/Nsi81L&#10;aOLfT28WFvY4zMxvmMXqYVpxo843lhWMRwkI4tLqhisFx8N2OAPhA7LG1jIpeJKH1bL3scBM2zv/&#10;0K0IlYgQ9hkqqENwmZS+rMmgH1lHHL2z7QyGKLtK6g7vEW5aOUmSVBpsOC7U6GhTU3kprkbBqcjz&#10;l9t+ut3+e+KDz9fpF62VGvTHyRxEoEf4D/+1d1pBOoXfL/EHyO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3NXO8AAAA&#10;2wAAAA8AAAAAAAAAAQAgAAAAIgAAAGRycy9kb3ducmV2LnhtbFBLAQIUABQAAAAIAIdO4kAzLwWe&#10;OwAAADkAAAAQAAAAAAAAAAEAIAAAAAsBAABkcnMvc2hhcGV4bWwueG1sUEsFBgAAAAAGAAYAWwEA&#10;ALUDAAAAAA==&#10;" path="m186,4899l166,4899,156,4879,176,4879,186,48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xl6tB7wAAADb&#10;AAAADwAAAGRycy9kb3ducmV2LnhtbEWPT4vCMBTE7wt+h/AEL4umilukGkUEwUNl2ar3R/Nsi81L&#10;aOLfT28WFvY4zMxvmMXqYVpxo843lhWMRwkI4tLqhisFx8N2OAPhA7LG1jIpeJKH1bL3scBM2zv/&#10;0K0IlYgQ9hkqqENwmZS+rMmgH1lHHL2z7QyGKLtK6g7vEW5aOUmSVBpsOC7U6GhTU3kprkbBqcjz&#10;l9t+ut3+e+KDz9fpF62VGvTHyRxEoEf4D/+1d1pBOoXfL/EHyOU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ZerQe8AAAA&#10;2wAAAA8AAAAAAAAAAQAgAAAAIgAAAGRycy9kb3ducmV2LnhtbFBLAQIUABQAAAAIAIdO4kAzLwWe&#10;OwAAADkAAAAQAAAAAAAAAAEAIAAAAAsBAABkcnMvc2hhcGV4bWwueG1sUEsFBgAAAAAGAAYAWwEA&#10;ALUDAAAAAA==&#10;" path="m7258,4899l7238,4899,7247,4879,7267,4879,7258,48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qRIInL4AAADb&#10;AAAADwAAAGRycy9kb3ducmV2LnhtbEWPwWrDMBBE74H+g9hCLiGRHYgpjpUQCgYfXErd9r5YW9vU&#10;WglLdZJ+fRUI9DjMzBumOF7MKGaa/GBZQbpJQBC3Vg/cKfh4L9dPIHxA1jhaJgVX8nA8PCwKzLU9&#10;8xvNTehEhLDPUUEfgsul9G1PBv3GOuLofdnJYIhy6qSe8BzhZpTbJMmkwYHjQo+Onntqv5sfo+Cz&#10;qetfV65c9fK69cHXp2xHJ6WWj2myBxHoEv7D93alFWQ7uH2JP0A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RIInL4A&#10;AADbAAAADwAAAAAAAAABACAAAAAiAAAAZHJzL2Rvd25yZXYueG1sUEsBAhQAFAAAAAgAh07iQDMv&#10;BZ47AAAAOQAAABAAAAAAAAAAAQAgAAAADQEAAGRycy9zaGFwZXhtbC54bWxQSwUGAAAAAAYABgBb&#10;AQAAtwMAAAAA&#10;" path="m206,4919l186,4919,176,4899,196,4899,206,49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WcCW670AAADb&#10;AAAADwAAAGRycy9kb3ducmV2LnhtbEWPwWrDMBBE74X+g9hCL6WRbYgpTpRgCgEfHEKd9r5YG9vU&#10;WglLjdN+fRQI9DjMzBtmvb2YUZxp8oNlBekiAUHcWj1wp+DzuHt9A+EDssbRMin4JQ/bzePDGgtt&#10;Z/6gcxM6ESHsC1TQh+AKKX3bk0G/sI44eic7GQxRTp3UE84RbkaZJUkuDQ4cF3p09N5T+938GAVf&#10;TV3/ud2Lq/aHzAdfl/mSSqWen9JkBSLQJfyH7+1KK8hzuH2JP0B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wJbrvQAA&#10;ANsAAAAPAAAAAAAAAAEAIAAAACIAAABkcnMvZG93bnJldi54bWxQSwECFAAUAAAACACHTuJAMy8F&#10;njsAAAA5AAAAEAAAAAAAAAABACAAAAAMAQAAZHJzL3NoYXBleG1sLnhtbFBLBQYAAAAABgAGAFsB&#10;AAC2AwAAAAA=&#10;" path="m7238,4919l7218,4919,7228,4899,7248,4899,7238,49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NowzcL4AAADb&#10;AAAADwAAAGRycy9kb3ducmV2LnhtbEWPzWrDMBCE74W8g9hCLyWWbagT3CghBAw5uJQ6yX2xtrap&#10;tRKWmr+nrwqFHoeZ+YZZba5mFGea/GBZQZakIIhbqwfuFBwP1XwJwgdkjaNlUnAjD5v17GGFpbYX&#10;/qBzEzoRIexLVNCH4EopfduTQZ9YRxy9TzsZDFFOndQTXiLcjDJP00IaHDgu9Oho11P71XwbBaem&#10;ru+uenb7t/fcB19vixfaKvX0mKWvIAJdw3/4r73XCooF/H6JP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owzcL4A&#10;AADbAAAADwAAAAAAAAABACAAAAAiAAAAZHJzL2Rvd25yZXYueG1sUEsBAhQAFAAAAAgAh07iQDMv&#10;BZ47AAAAOQAAABAAAAAAAAAAAQAgAAAADQEAAGRycy9zaGFwZXhtbC54bWxQSwUGAAAAAAYABgBb&#10;AQAAtwMAAAAA&#10;" path="m237,4939l206,4939,196,4919,226,4919,237,49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RxOnArgAAADb&#10;AAAADwAAAGRycy9kb3ducmV2LnhtbEVPy4rCMBTdC/5DuIIbGVMFi3SMIoLgoiJW3V+aO22Z5iY0&#10;8fn1ZiG4PJz3YvUwrbhR5xvLCibjBARxaXXDlYLzafszB+EDssbWMil4kofVst9bYKbtnY90K0Il&#10;Ygj7DBXUIbhMSl/WZNCPrSOO3J/tDIYIu0rqDu8x3LRymiSpNNhwbKjR0aam8r+4GgWXIs9fbjty&#10;u/1h6oPP1+mM1koNB5PkF0SgR/iKP+6dVpDGsfFL/AFy+QZ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xOnArgAAADbAAAA&#10;DwAAAAAAAAABACAAAAAiAAAAZHJzL2Rvd25yZXYueG1sUEsBAhQAFAAAAAgAh07iQDMvBZ47AAAA&#10;OQAAABAAAAAAAAAAAQAgAAAABwEAAGRycy9zaGFwZXhtbC54bWxQSwUGAAAAAAYABgBbAQAAsQMA&#10;AAAA&#10;" path="m7217,4939l7187,4939,7198,4919,7228,4919,7217,49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KF8Cmb4AAADb&#10;AAAADwAAAGRycy9kb3ducmV2LnhtbEWPzWrDMBCE74W8g9hCLyWWbahJ3CghBAw5uJQ6yX2xtrap&#10;tRKWmr+nrwqFHoeZ+YZZba5mFGea/GBZQZakIIhbqwfuFBwP1XwBwgdkjaNlUnAjD5v17GGFpbYX&#10;/qBzEzoRIexLVNCH4EopfduTQZ9YRxy9TzsZDFFOndQTXiLcjDJP00IaHDgu9Oho11P71XwbBaem&#10;ru+uenb7t/fcB19vixfaKvX0mKWvIAJdw3/4r73XCool/H6JP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F8Cmb4A&#10;AADbAAAADwAAAAAAAAABACAAAAAiAAAAZHJzL2Rvd25yZXYueG1sUEsBAhQAFAAAAAgAh07iQDMv&#10;BZ47AAAAOQAAABAAAAAAAAAAAQAgAAAADQEAAGRycy9zaGFwZXhtbC54bWxQSwUGAAAAAAYABgBb&#10;AQAAtwMAAAAA&#10;" path="m258,4959l239,4959,228,4939,247,4939,258,49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PLw92bsAAADb&#10;AAAADwAAAGRycy9kb3ducmV2LnhtbEVPz2vCMBS+C/4P4Qm7yJoqzI2uqcig0EPHsG73R/PWljUv&#10;ocm08683h4HHj+93vp/NKM40+cGygk2SgiBurR64U/B5Kh9fQPiArHG0TAr+yMO+WC5yzLS98JHO&#10;TehEDGGfoYI+BJdJ6dueDPrEOuLIfdvJYIhw6qSe8BLDzSi3abqTBgeODT06euup/Wl+jYKvpq6v&#10;rly76v1j64OvD7snOij1sNqkryACzeEu/ndXWsFzXB+/xB8gi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w92bsAAADb&#10;AAAADwAAAAAAAAABACAAAAAiAAAAZHJzL2Rvd25yZXYueG1sUEsBAhQAFAAAAAgAh07iQDMvBZ47&#10;AAAAOQAAABAAAAAAAAAAAQAgAAAACgEAAGRycy9zaGFwZXhtbC54bWxQSwUGAAAAAAYABgBbAQAA&#10;tAMAAAAA&#10;" path="m7185,4959l7165,4959,7176,4939,7196,4939,7185,495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U/CYQr4AAADb&#10;AAAADwAAAGRycy9kb3ducmV2LnhtbEWPQWvCQBSE70L/w/IKvYjZRGiU1FWkEPAQKcb2/si+JqHZ&#10;t0t2q2l/vVsoeBxm5htms5vMIC40+t6ygixJQRA3VvfcKng/l4s1CB+QNQ6WScEPedhtH2YbLLS9&#10;8okudWhFhLAvUEEXgiuk9E1HBn1iHXH0Pu1oMEQ5tlKPeI1wM8hlmubSYM9xoUNHrx01X/W3UfBR&#10;V9WvK+fucHxb+uCrff5Me6WeHrP0BUSgKdzD/+2DVrDK4O9L/AFye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CYQr4A&#10;AADbAAAADwAAAAAAAAABACAAAAAiAAAAZHJzL2Rvd25yZXYueG1sUEsBAhQAFAAAAAgAh07iQDMv&#10;BZ47AAAAOQAAABAAAAAAAAAAAQAgAAAADQEAAGRycy9zaGFwZXhtbC54bWxQSwUGAAAAAAYABgBb&#10;AQAAtwMAAAAA&#10;" path="m292,4979l261,4979,250,4959,281,4959,292,49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oyIGNb4AAADb&#10;AAAADwAAAGRycy9kb3ducmV2LnhtbEWPQWvCQBSE7wX/w/IKvRTdGDCV1FVECHhIKU31/si+JqHZ&#10;t0t2G6O/visUehxm5htms5tML0YafGdZwXKRgCCure64UXD6LOZrED4ga+wtk4IredhtZw8bzLW9&#10;8AeNVWhEhLDPUUEbgsul9HVLBv3COuLofdnBYIhyaKQe8BLhppdpkmTSYMdxoUVHh5bq7+rHKDhX&#10;ZXlzxbM7vr2nPvhyn61or9TT4zJ5BRFoCv/hv/ZRK3hJ4f4l/gC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yIGNb4A&#10;AADbAAAADwAAAAAAAAABACAAAAAiAAAAZHJzL2Rvd25yZXYueG1sUEsBAhQAFAAAAAgAh07iQDMv&#10;BZ47AAAAOQAAABAAAAAAAAAAAQAgAAAADQEAAGRycy9zaGFwZXhtbC54bWxQSwUGAAAAAAYABgBb&#10;AQAAtwMAAAAA&#10;" path="m7162,4979l7131,4979,7143,4959,7174,4959,7162,497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zG6jrrwAAADb&#10;AAAADwAAAGRycy9kb3ducmV2LnhtbEWPT4vCMBTE78J+h/AWvIimKrrSNYoIgocuYl3vj+bZlm1e&#10;QhP/fvqNIHgcZuY3zHx5M424UOtrywqGgwQEcWF1zaWC38OmPwPhA7LGxjIpuJOH5eKjM8dU2yvv&#10;6ZKHUkQI+xQVVCG4VEpfVGTQD6wjjt7JtgZDlG0pdYvXCDeNHCXJVBqsOS5U6GhdUfGXn42CY55l&#10;D7fpue3PbuSDz1bTCa2U6n4Ok28QgW7hHX61t1rB1xieX+IPk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xuo668AAAA&#10;2wAAAA8AAAAAAAAAAQAgAAAAIgAAAGRycy9kb3ducmV2LnhtbFBLAQIUABQAAAAIAIdO4kAzLwWe&#10;OwAAADkAAAAQAAAAAAAAAAEAIAAAAAsBAABkcnMvc2hhcGV4bWwueG1sUEsFBgAAAAAGAAYAWwEA&#10;ALUDAAAAAA==&#10;" path="m328,4999l297,4999,285,4979,316,4979,328,49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Q4c72rwAAADb&#10;AAAADwAAAGRycy9kb3ducmV2LnhtbEWPT4vCMBTE78J+h/AWvIimirrSNYoIgocuYl3vj+bZlm1e&#10;QhP/fvqNIHgcZuY3zHx5M424UOtrywqGgwQEcWF1zaWC38OmPwPhA7LGxjIpuJOH5eKjM8dU2yvv&#10;6ZKHUkQI+xQVVCG4VEpfVGTQD6wjjt7JtgZDlG0pdYvXCDeNHCXJVBqsOS5U6GhdUfGXn42CY55l&#10;D7fpue3PbuSDz1bTCa2U6n4Ok28QgW7hHX61t1rB1xieX+IPk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OHO9q8AAAA&#10;2wAAAA8AAAAAAAAAAQAgAAAAIgAAAGRycy9kb3ducmV2LnhtbFBLAQIUABQAAAAIAIdO4kAzLwWe&#10;OwAAADkAAAAQAAAAAAAAAAEAIAAAAAsBAABkcnMvc2hhcGV4bWwueG1sUEsFBgAAAAAGAAYAWwEA&#10;ALUDAAAAAA==&#10;" path="m7127,4999l7096,4999,7108,4979,7139,4979,7127,499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LMueQb4AAADb&#10;AAAADwAAAGRycy9kb3ducmV2LnhtbEWPQWvCQBSE70L/w/IKvYhuDGhLdBUpBHJIEWN7f2Rfk9Ds&#10;2yW7TWx/fbcgeBxm5htmd7iaXow0+M6ygtUyAUFcW91xo+D9ki9eQPiArLG3TAp+yMNh/zDbYabt&#10;xGcaq9CICGGfoYI2BJdJ6euWDPqldcTR+7SDwRDl0Eg94BThppdpkmykwY7jQouOXluqv6pvo+Cj&#10;Kstfl89d8XZKffDlcbOmo1JPj6tkCyLQNdzDt3ahFTyv4f9L/AF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MueQb4A&#10;AADbAAAADwAAAAAAAAABACAAAAAiAAAAZHJzL2Rvd25yZXYueG1sUEsBAhQAFAAAAAgAh07iQDMv&#10;BZ47AAAAOQAAABAAAAAAAAAAAQAgAAAADQEAAGRycy9zaGFwZXhtbC54bWxQSwUGAAAAAAYABgBb&#10;AQAAtwMAAAAA&#10;" path="m378,5019l334,5019,321,4999,365,4999,378,50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3BkANr4AAADb&#10;AAAADwAAAGRycy9kb3ducmV2LnhtbEWPzWrDMBCE74W8g9hCLyWWbagT3CghBAw5uJQ6yX2xtrap&#10;tRKWmr+nrwqFHoeZ+YZZba5mFGea/GBZQZakIIhbqwfuFBwP1XwJwgdkjaNlUnAjD5v17GGFpbYX&#10;/qBzEzoRIexLVNCH4EopfduTQZ9YRxy9TzsZDFFOndQTXiLcjDJP00IaHDgu9Oho11P71XwbBaem&#10;ru+uenb7t/fcB19vixfaKvX0mKWvIAJdw3/4r73XChYF/H6JP0C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BkANr4A&#10;AADbAAAADwAAAAAAAAABACAAAAAiAAAAZHJzL2Rvd25yZXYueG1sUEsBAhQAFAAAAAgAh07iQDMv&#10;BZ47AAAAOQAAABAAAAAAAAAAAQAgAAAADQEAAGRycy9zaGFwZXhtbC54bWxQSwUGAAAAAAYABgBb&#10;AQAAtwMAAAAA&#10;" path="m7090,5019l7046,5019,7059,4999,7102,4999,7090,501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s1WlrbwAAADb&#10;AAAADwAAAGRycy9kb3ducmV2LnhtbEWPT4vCMBTE78J+h/AWvIimClrpGkUWBA8Vse7eH83btmzz&#10;Epr499MbQfA4zMxvmMXqalpxps43lhWMRwkI4tLqhisFP8fNcA7CB2SNrWVScCMPq+VHb4GZthc+&#10;0LkIlYgQ9hkqqENwmZS+rMmgH1lHHL0/2xkMUXaV1B1eIty0cpIkM2mw4bhQo6Pvmsr/4mQU/BZ5&#10;fnebgdvu9hMffL6eTWmtVP9znHyBCHQN7/CrvdUK0hSeX+IP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NVpa28AAAA&#10;2wAAAA8AAAAAAAAAAQAgAAAAIgAAAGRycy9kb3ducmV2LnhtbFBLAQIUABQAAAAIAIdO4kAzLwWe&#10;OwAAADkAAAAQAAAAAAAAAAEAIAAAAAsBAABkcnMvc2hhcGV4bWwueG1sUEsFBgAAAAAGAAYAWwEA&#10;ALUDAAAAAA==&#10;" path="m443,5039l385,5039,372,5019,429,5019,443,50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wsox37sAAADb&#10;AAAADwAAAGRycy9kb3ducmV2LnhtbEVPz2vCMBS+C/4P4Qm7yJoqzI2uqcig0EPHsG73R/PWljUv&#10;ocm08683h4HHj+93vp/NKM40+cGygk2SgiBurR64U/B5Kh9fQPiArHG0TAr+yMO+WC5yzLS98JHO&#10;TehEDGGfoYI+BJdJ6dueDPrEOuLIfdvJYIhw6qSe8BLDzSi3abqTBgeODT06euup/Wl+jYKvpq6v&#10;rly76v1j64OvD7snOij1sNqkryACzeEu/ndXWsFzHBu/xB8gi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sox37sAAADb&#10;AAAADwAAAAAAAAABACAAAAAiAAAAZHJzL2Rvd25yZXYueG1sUEsBAhQAFAAAAAgAh07iQDMvBZ47&#10;AAAAOQAAABAAAAAAAAAAAQAgAAAACgEAAGRycy9zaGFwZXhtbC54bWxQSwUGAAAAAAYABgBbAQAA&#10;tAMAAAAA&#10;" path="m7038,5039l6981,5039,6994,5019,7051,5019,7038,5039xe">
                    <v:fill on="t" focussize="0,0"/>
                    <v:stroke on="f"/>
                    <v:imagedata o:title=""/>
                    <o:lock v:ext="edit" aspectratio="f"/>
                  </v:shape>
                  <v:shape id="_x0000_s1026" o:spid="_x0000_s1026" o:spt="100" style="position:absolute;left:0;top:0;height:5060;width:7425;" fillcolor="#000000" filled="t" stroked="f" coordsize="7425,5060" o:gfxdata="UEsDBAoAAAAAAIdO4kAAAAAAAAAAAAAAAAAEAAAAZHJzL1BLAwQUAAAACACHTuJArYaURLwAAADb&#10;AAAADwAAAGRycy9kb3ducmV2LnhtbEWPT4vCMBTE78J+h/AWvIimCuraNYoIgocuYl3vj+bZlm1e&#10;QhP/fvqNIHgcZuY3zHx5M424UOtrywqGgwQEcWF1zaWC38Om/wXCB2SNjWVScCcPy8VHZ46ptlfe&#10;0yUPpYgQ9ikqqEJwqZS+qMigH1hHHL2TbQ2GKNtS6havEW4aOUqSiTRYc1yo0NG6ouIvPxsFxzzL&#10;Hm7Tc9uf3cgHn60mY1op1f0cJt8gAt3CO/xqb7WC6QyeX+IPkI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2GlES8AAAA&#10;2wAAAA8AAAAAAAAAAQAgAAAAIgAAAGRycy9kb3ducmV2LnhtbFBLAQIUABQAAAAIAIdO4kAzLwWe&#10;OwAAADkAAAAQAAAAAAAAAAEAIAAAAAsBAABkcnMvc2hhcGV4bWwueG1sUEsFBgAAAAAGAAYAWwEA&#10;ALUDAAAAAA==&#10;" path="m6956,5059l467,5059,453,5039,6970,5039,6956,5059xe">
                    <v:fill on="t" focussize="0,0"/>
                    <v:stroke on="f"/>
                    <v:imagedata o:title=""/>
                    <o:lock v:ext="edit" aspectratio="f"/>
                  </v:shape>
                </v:group>
                <w10:wrap type="none"/>
                <w10:anchorlock/>
              </v:group>
            </w:pict>
          </mc:Fallback>
        </mc:AlternateContent>
      </w:r>
    </w:p>
    <w:p>
      <w:pPr>
        <w:pStyle w:val="8"/>
        <w:kinsoku w:val="0"/>
        <w:overflowPunct w:val="0"/>
        <w:spacing w:before="174"/>
        <w:rPr>
          <w:rFonts w:hint="eastAsia" w:ascii="宋体" w:hAnsi="宋体" w:eastAsia="宋体" w:cs="宋体"/>
          <w:b/>
          <w:bCs/>
          <w:spacing w:val="1"/>
          <w:sz w:val="21"/>
          <w:szCs w:val="21"/>
          <w:highlight w:val="none"/>
        </w:rPr>
      </w:pPr>
    </w:p>
    <w:p>
      <w:pPr>
        <w:pStyle w:val="8"/>
        <w:kinsoku w:val="0"/>
        <w:overflowPunct w:val="0"/>
        <w:spacing w:before="174"/>
        <w:rPr>
          <w:rFonts w:hint="eastAsia" w:ascii="宋体" w:hAnsi="宋体" w:eastAsia="宋体" w:cs="宋体"/>
          <w:sz w:val="21"/>
          <w:szCs w:val="21"/>
          <w:highlight w:val="none"/>
        </w:rPr>
      </w:pPr>
      <w:r>
        <w:rPr>
          <w:rFonts w:hint="eastAsia" w:ascii="宋体" w:hAnsi="宋体" w:eastAsia="宋体" w:cs="宋体"/>
          <w:b/>
          <w:bCs/>
          <w:spacing w:val="1"/>
          <w:sz w:val="21"/>
          <w:szCs w:val="21"/>
          <w:highlight w:val="none"/>
        </w:rPr>
        <w:t>★备注：投标保证金缴费</w:t>
      </w:r>
      <w:r>
        <w:rPr>
          <w:rFonts w:hint="eastAsia" w:ascii="宋体" w:hAnsi="宋体" w:eastAsia="宋体" w:cs="宋体"/>
          <w:b/>
          <w:bCs/>
          <w:spacing w:val="1"/>
          <w:sz w:val="21"/>
          <w:szCs w:val="21"/>
          <w:highlight w:val="none"/>
          <w:lang w:eastAsia="zh-CN"/>
        </w:rPr>
        <w:t>证明</w:t>
      </w:r>
      <w:r>
        <w:rPr>
          <w:rFonts w:hint="eastAsia" w:ascii="宋体" w:hAnsi="宋体" w:eastAsia="宋体" w:cs="宋体"/>
          <w:b/>
          <w:bCs/>
          <w:spacing w:val="1"/>
          <w:sz w:val="21"/>
          <w:szCs w:val="21"/>
          <w:highlight w:val="none"/>
        </w:rPr>
        <w:t>复印件加盖公章</w:t>
      </w:r>
    </w:p>
    <w:p>
      <w:pPr>
        <w:pStyle w:val="8"/>
        <w:kinsoku w:val="0"/>
        <w:overflowPunct w:val="0"/>
        <w:spacing w:before="34" w:line="357" w:lineRule="auto"/>
        <w:ind w:right="126" w:firstLine="480"/>
        <w:jc w:val="center"/>
        <w:outlineLvl w:val="1"/>
        <w:rPr>
          <w:rFonts w:hint="eastAsia" w:ascii="宋体" w:hAnsi="宋体" w:eastAsia="宋体" w:cs="宋体"/>
          <w:b/>
          <w:bCs/>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五、</w:t>
      </w:r>
      <w:r>
        <w:rPr>
          <w:rFonts w:hint="eastAsia" w:ascii="宋体" w:hAnsi="宋体" w:eastAsia="宋体" w:cs="宋体"/>
          <w:b/>
          <w:bCs/>
          <w:sz w:val="36"/>
          <w:szCs w:val="36"/>
          <w:highlight w:val="none"/>
          <w:lang w:eastAsia="zh-CN"/>
        </w:rPr>
        <w:t>报价一览表</w:t>
      </w:r>
    </w:p>
    <w:p>
      <w:pPr>
        <w:pStyle w:val="8"/>
        <w:kinsoku w:val="0"/>
        <w:overflowPunct w:val="0"/>
        <w:spacing w:before="6"/>
        <w:ind w:left="0"/>
        <w:rPr>
          <w:rFonts w:hint="eastAsia" w:ascii="宋体" w:hAnsi="宋体" w:eastAsia="宋体" w:cs="宋体"/>
          <w:b/>
          <w:bCs/>
          <w:sz w:val="26"/>
          <w:szCs w:val="26"/>
          <w:highlight w:val="none"/>
        </w:rPr>
      </w:pPr>
    </w:p>
    <w:p>
      <w:pPr>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采购项目名称：</w:t>
      </w:r>
      <w:r>
        <w:rPr>
          <w:rFonts w:hint="eastAsia" w:ascii="宋体" w:hAnsi="宋体" w:eastAsia="宋体" w:cs="宋体"/>
          <w:kern w:val="0"/>
          <w:sz w:val="24"/>
          <w:szCs w:val="24"/>
          <w:highlight w:val="none"/>
          <w:u w:val="single"/>
        </w:rPr>
        <w:t>　                              　　</w:t>
      </w:r>
    </w:p>
    <w:p>
      <w:pPr>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采购项目编号：</w:t>
      </w:r>
      <w:r>
        <w:rPr>
          <w:rFonts w:hint="eastAsia" w:ascii="宋体" w:hAnsi="宋体" w:eastAsia="宋体" w:cs="宋体"/>
          <w:kern w:val="0"/>
          <w:sz w:val="24"/>
          <w:szCs w:val="24"/>
          <w:highlight w:val="none"/>
          <w:u w:val="single"/>
        </w:rPr>
        <w:t>　                              　　</w:t>
      </w:r>
    </w:p>
    <w:p>
      <w:pPr>
        <w:pStyle w:val="8"/>
        <w:rPr>
          <w:rFonts w:hint="eastAsia"/>
          <w:highlight w:val="none"/>
        </w:rPr>
      </w:pPr>
    </w:p>
    <w:tbl>
      <w:tblPr>
        <w:tblStyle w:val="18"/>
        <w:tblW w:w="9420" w:type="dxa"/>
        <w:jc w:val="center"/>
        <w:tblLayout w:type="fixed"/>
        <w:tblCellMar>
          <w:top w:w="0" w:type="dxa"/>
          <w:left w:w="108" w:type="dxa"/>
          <w:bottom w:w="0" w:type="dxa"/>
          <w:right w:w="108" w:type="dxa"/>
        </w:tblCellMar>
      </w:tblPr>
      <w:tblGrid>
        <w:gridCol w:w="2418"/>
        <w:gridCol w:w="7002"/>
      </w:tblGrid>
      <w:tr>
        <w:tblPrEx>
          <w:tblCellMar>
            <w:top w:w="0" w:type="dxa"/>
            <w:left w:w="108" w:type="dxa"/>
            <w:bottom w:w="0" w:type="dxa"/>
            <w:right w:w="108" w:type="dxa"/>
          </w:tblCellMar>
        </w:tblPrEx>
        <w:trPr>
          <w:cantSplit/>
          <w:trHeight w:val="567" w:hRule="atLeast"/>
          <w:jc w:val="center"/>
        </w:trPr>
        <w:tc>
          <w:tcPr>
            <w:tcW w:w="2418" w:type="dxa"/>
            <w:tcBorders>
              <w:top w:val="single" w:color="000000" w:sz="4" w:space="0"/>
              <w:left w:val="single" w:color="000000" w:sz="4" w:space="0"/>
              <w:bottom w:val="single" w:color="000000" w:sz="4" w:space="0"/>
            </w:tcBorders>
            <w:noWrap w:val="0"/>
            <w:vAlign w:val="center"/>
          </w:tcPr>
          <w:p>
            <w:pPr>
              <w:jc w:val="left"/>
              <w:rPr>
                <w:rFonts w:hint="default"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供应商名称</w:t>
            </w:r>
          </w:p>
        </w:tc>
        <w:tc>
          <w:tcPr>
            <w:tcW w:w="70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kern w:val="0"/>
                <w:sz w:val="24"/>
                <w:szCs w:val="24"/>
                <w:highlight w:val="none"/>
              </w:rPr>
            </w:pPr>
          </w:p>
        </w:tc>
      </w:tr>
      <w:tr>
        <w:tblPrEx>
          <w:tblCellMar>
            <w:top w:w="0" w:type="dxa"/>
            <w:left w:w="108" w:type="dxa"/>
            <w:bottom w:w="0" w:type="dxa"/>
            <w:right w:w="108" w:type="dxa"/>
          </w:tblCellMar>
        </w:tblPrEx>
        <w:trPr>
          <w:cantSplit/>
          <w:trHeight w:val="567" w:hRule="atLeast"/>
          <w:jc w:val="center"/>
        </w:trPr>
        <w:tc>
          <w:tcPr>
            <w:tcW w:w="2418" w:type="dxa"/>
            <w:tcBorders>
              <w:top w:val="single" w:color="000000" w:sz="4" w:space="0"/>
              <w:left w:val="single" w:color="000000" w:sz="4" w:space="0"/>
              <w:bottom w:val="single" w:color="000000" w:sz="4" w:space="0"/>
            </w:tcBorders>
            <w:noWrap w:val="0"/>
            <w:vAlign w:val="center"/>
          </w:tcPr>
          <w:p>
            <w:pPr>
              <w:jc w:val="left"/>
              <w:rPr>
                <w:rFonts w:hint="default" w:ascii="宋体" w:hAnsi="宋体" w:eastAsia="宋体" w:cs="宋体"/>
                <w:b/>
                <w:bCs/>
                <w:kern w:val="0"/>
                <w:sz w:val="24"/>
                <w:szCs w:val="24"/>
                <w:highlight w:val="none"/>
                <w:lang w:val="en-US" w:eastAsia="zh-CN"/>
              </w:rPr>
            </w:pPr>
            <w:r>
              <w:rPr>
                <w:rFonts w:hint="default" w:ascii="宋体" w:hAnsi="宋体" w:eastAsia="宋体" w:cs="宋体"/>
                <w:b/>
                <w:bCs/>
                <w:kern w:val="0"/>
                <w:sz w:val="24"/>
                <w:szCs w:val="24"/>
                <w:highlight w:val="none"/>
                <w:lang w:val="en-US" w:eastAsia="zh-CN"/>
              </w:rPr>
              <w:t>项目工期</w:t>
            </w:r>
          </w:p>
        </w:tc>
        <w:tc>
          <w:tcPr>
            <w:tcW w:w="70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kern w:val="0"/>
                <w:sz w:val="24"/>
                <w:szCs w:val="24"/>
                <w:highlight w:val="none"/>
              </w:rPr>
            </w:pPr>
          </w:p>
        </w:tc>
      </w:tr>
      <w:tr>
        <w:tblPrEx>
          <w:tblCellMar>
            <w:top w:w="0" w:type="dxa"/>
            <w:left w:w="108" w:type="dxa"/>
            <w:bottom w:w="0" w:type="dxa"/>
            <w:right w:w="108" w:type="dxa"/>
          </w:tblCellMar>
        </w:tblPrEx>
        <w:trPr>
          <w:cantSplit/>
          <w:trHeight w:val="567" w:hRule="atLeast"/>
          <w:jc w:val="center"/>
        </w:trPr>
        <w:tc>
          <w:tcPr>
            <w:tcW w:w="2418" w:type="dxa"/>
            <w:tcBorders>
              <w:top w:val="single" w:color="000000" w:sz="4" w:space="0"/>
              <w:left w:val="single" w:color="000000" w:sz="4" w:space="0"/>
              <w:bottom w:val="single" w:color="000000" w:sz="2" w:space="0"/>
            </w:tcBorders>
            <w:noWrap w:val="0"/>
            <w:vAlign w:val="center"/>
          </w:tcPr>
          <w:p>
            <w:pPr>
              <w:ind w:left="0" w:leftChars="0" w:firstLine="0" w:firstLineChars="0"/>
              <w:jc w:val="left"/>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建筑安装工程费</w:t>
            </w:r>
            <w:bookmarkStart w:id="109" w:name="_GoBack"/>
            <w:bookmarkEnd w:id="109"/>
          </w:p>
        </w:tc>
        <w:tc>
          <w:tcPr>
            <w:tcW w:w="7002" w:type="dxa"/>
            <w:tcBorders>
              <w:top w:val="single" w:color="000000" w:sz="4" w:space="0"/>
              <w:left w:val="single" w:color="000000" w:sz="4" w:space="0"/>
              <w:bottom w:val="single" w:color="000000" w:sz="2" w:space="0"/>
              <w:right w:val="single" w:color="000000" w:sz="4" w:space="0"/>
            </w:tcBorders>
            <w:noWrap w:val="0"/>
            <w:vAlign w:val="center"/>
          </w:tcPr>
          <w:p>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（大写）人民币                      元整（￥           ）</w:t>
            </w:r>
          </w:p>
        </w:tc>
      </w:tr>
      <w:tr>
        <w:tblPrEx>
          <w:tblCellMar>
            <w:top w:w="0" w:type="dxa"/>
            <w:left w:w="108" w:type="dxa"/>
            <w:bottom w:w="0" w:type="dxa"/>
            <w:right w:w="108" w:type="dxa"/>
          </w:tblCellMar>
        </w:tblPrEx>
        <w:trPr>
          <w:cantSplit/>
          <w:trHeight w:val="567" w:hRule="atLeast"/>
          <w:jc w:val="center"/>
        </w:trPr>
        <w:tc>
          <w:tcPr>
            <w:tcW w:w="2418" w:type="dxa"/>
            <w:tcBorders>
              <w:top w:val="single" w:color="000000" w:sz="4" w:space="0"/>
              <w:left w:val="single" w:color="000000" w:sz="4" w:space="0"/>
              <w:bottom w:val="single" w:color="000000" w:sz="2" w:space="0"/>
            </w:tcBorders>
            <w:noWrap w:val="0"/>
            <w:vAlign w:val="center"/>
          </w:tcPr>
          <w:p>
            <w:pPr>
              <w:jc w:val="left"/>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地勘费</w:t>
            </w:r>
          </w:p>
        </w:tc>
        <w:tc>
          <w:tcPr>
            <w:tcW w:w="7002" w:type="dxa"/>
            <w:tcBorders>
              <w:top w:val="single" w:color="000000" w:sz="4" w:space="0"/>
              <w:left w:val="single" w:color="000000" w:sz="4" w:space="0"/>
              <w:bottom w:val="single" w:color="000000" w:sz="2" w:space="0"/>
              <w:right w:val="single" w:color="000000" w:sz="4" w:space="0"/>
            </w:tcBorders>
            <w:noWrap w:val="0"/>
            <w:vAlign w:val="center"/>
          </w:tcPr>
          <w:p>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（大写）人民币                      元整（￥           ）</w:t>
            </w:r>
          </w:p>
        </w:tc>
      </w:tr>
      <w:tr>
        <w:tblPrEx>
          <w:tblCellMar>
            <w:top w:w="0" w:type="dxa"/>
            <w:left w:w="108" w:type="dxa"/>
            <w:bottom w:w="0" w:type="dxa"/>
            <w:right w:w="108" w:type="dxa"/>
          </w:tblCellMar>
        </w:tblPrEx>
        <w:trPr>
          <w:cantSplit/>
          <w:trHeight w:val="567" w:hRule="atLeast"/>
          <w:jc w:val="center"/>
        </w:trPr>
        <w:tc>
          <w:tcPr>
            <w:tcW w:w="2418" w:type="dxa"/>
            <w:tcBorders>
              <w:top w:val="single" w:color="000000" w:sz="4" w:space="0"/>
              <w:left w:val="single" w:color="000000" w:sz="4" w:space="0"/>
              <w:bottom w:val="single" w:color="000000" w:sz="2" w:space="0"/>
            </w:tcBorders>
            <w:noWrap w:val="0"/>
            <w:vAlign w:val="center"/>
          </w:tcPr>
          <w:p>
            <w:pPr>
              <w:jc w:val="left"/>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设计费</w:t>
            </w:r>
          </w:p>
        </w:tc>
        <w:tc>
          <w:tcPr>
            <w:tcW w:w="7002" w:type="dxa"/>
            <w:tcBorders>
              <w:top w:val="single" w:color="000000" w:sz="4" w:space="0"/>
              <w:left w:val="single" w:color="000000" w:sz="4" w:space="0"/>
              <w:bottom w:val="single" w:color="000000" w:sz="2" w:space="0"/>
              <w:right w:val="single" w:color="000000" w:sz="4" w:space="0"/>
            </w:tcBorders>
            <w:noWrap w:val="0"/>
            <w:vAlign w:val="center"/>
          </w:tcPr>
          <w:p>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（大写）人民币                      元整（￥           ）</w:t>
            </w:r>
          </w:p>
        </w:tc>
      </w:tr>
      <w:tr>
        <w:tblPrEx>
          <w:tblCellMar>
            <w:top w:w="0" w:type="dxa"/>
            <w:left w:w="108" w:type="dxa"/>
            <w:bottom w:w="0" w:type="dxa"/>
            <w:right w:w="108" w:type="dxa"/>
          </w:tblCellMar>
        </w:tblPrEx>
        <w:trPr>
          <w:cantSplit/>
          <w:trHeight w:val="567" w:hRule="atLeast"/>
          <w:jc w:val="center"/>
        </w:trPr>
        <w:tc>
          <w:tcPr>
            <w:tcW w:w="2418" w:type="dxa"/>
            <w:tcBorders>
              <w:top w:val="single" w:color="000000" w:sz="4" w:space="0"/>
              <w:left w:val="single" w:color="000000" w:sz="4" w:space="0"/>
              <w:bottom w:val="single" w:color="000000" w:sz="2" w:space="0"/>
            </w:tcBorders>
            <w:noWrap w:val="0"/>
            <w:vAlign w:val="center"/>
          </w:tcPr>
          <w:p>
            <w:pPr>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b/>
                <w:bCs/>
                <w:kern w:val="0"/>
                <w:sz w:val="24"/>
                <w:szCs w:val="24"/>
                <w:highlight w:val="none"/>
              </w:rPr>
              <w:t>总报价</w:t>
            </w:r>
          </w:p>
        </w:tc>
        <w:tc>
          <w:tcPr>
            <w:tcW w:w="7002" w:type="dxa"/>
            <w:tcBorders>
              <w:top w:val="single" w:color="000000" w:sz="4" w:space="0"/>
              <w:left w:val="single" w:color="000000" w:sz="4" w:space="0"/>
              <w:bottom w:val="single" w:color="000000" w:sz="2" w:space="0"/>
              <w:right w:val="single" w:color="000000" w:sz="4" w:space="0"/>
            </w:tcBorders>
            <w:noWrap w:val="0"/>
            <w:vAlign w:val="center"/>
          </w:tcPr>
          <w:p>
            <w:pP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rPr>
              <w:t>（大写）人民币                      元整（￥           ）</w:t>
            </w:r>
          </w:p>
        </w:tc>
      </w:tr>
    </w:tbl>
    <w:p>
      <w:pPr>
        <w:spacing w:line="480" w:lineRule="exact"/>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注：1.此表总报价是所有需采购人支付的金额总数，包括《磋商内容》要求的全部内容。</w:t>
      </w:r>
    </w:p>
    <w:p>
      <w:pPr>
        <w:spacing w:line="480" w:lineRule="exact"/>
        <w:ind w:firstLine="420"/>
        <w:rPr>
          <w:rFonts w:hint="eastAsia" w:ascii="宋体" w:hAnsi="宋体" w:eastAsia="宋体" w:cs="宋体"/>
          <w:color w:val="auto"/>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color w:val="auto"/>
          <w:kern w:val="0"/>
          <w:sz w:val="24"/>
          <w:szCs w:val="24"/>
          <w:highlight w:val="none"/>
        </w:rPr>
        <w:t>此表应按“供应商须知”的规定密封标记并单独提交，同时在装订成册的响应文件中仍应提供本表。</w:t>
      </w:r>
    </w:p>
    <w:p>
      <w:pPr>
        <w:pStyle w:val="8"/>
        <w:tabs>
          <w:tab w:val="left" w:pos="8227"/>
        </w:tabs>
        <w:kinsoku w:val="0"/>
        <w:overflowPunct w:val="0"/>
        <w:spacing w:before="0" w:line="381" w:lineRule="auto"/>
        <w:ind w:left="4027" w:right="118"/>
        <w:rPr>
          <w:rFonts w:hint="eastAsia" w:ascii="宋体" w:hAnsi="宋体" w:eastAsia="宋体" w:cs="宋体"/>
          <w:highlight w:val="none"/>
        </w:rPr>
      </w:pPr>
    </w:p>
    <w:p>
      <w:pPr>
        <w:spacing w:line="420" w:lineRule="exact"/>
        <w:ind w:right="110" w:rightChars="0"/>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供应商：</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（公章） </w:t>
      </w:r>
    </w:p>
    <w:p>
      <w:pPr>
        <w:wordWrap w:val="0"/>
        <w:spacing w:line="420" w:lineRule="exact"/>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法定代表人或委托人：</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（签字） </w:t>
      </w:r>
    </w:p>
    <w:p>
      <w:pPr>
        <w:spacing w:line="420" w:lineRule="exact"/>
        <w:ind w:right="110" w:rightChars="0" w:firstLine="5280" w:firstLineChars="2200"/>
        <w:jc w:val="left"/>
        <w:rPr>
          <w:rFonts w:hint="eastAsia" w:ascii="宋体" w:hAnsi="宋体" w:eastAsia="宋体" w:cs="宋体"/>
          <w:kern w:val="0"/>
          <w:sz w:val="24"/>
          <w:szCs w:val="24"/>
          <w:highlight w:val="none"/>
        </w:rPr>
      </w:pPr>
      <w:r>
        <w:rPr>
          <w:rFonts w:hint="eastAsia" w:ascii="宋体" w:hAnsi="宋体" w:cs="宋体"/>
          <w:kern w:val="0"/>
          <w:sz w:val="24"/>
          <w:szCs w:val="24"/>
          <w:highlight w:val="none"/>
          <w:u w:val="none"/>
          <w:lang w:eastAsia="zh-CN"/>
        </w:rPr>
        <w:t>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ab/>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pPr>
        <w:pStyle w:val="8"/>
        <w:numPr>
          <w:ilvl w:val="0"/>
          <w:numId w:val="0"/>
        </w:numPr>
        <w:kinsoku w:val="0"/>
        <w:overflowPunct w:val="0"/>
        <w:spacing w:before="34" w:line="357" w:lineRule="auto"/>
        <w:ind w:left="598" w:leftChars="0" w:right="126" w:rightChars="0"/>
        <w:jc w:val="center"/>
        <w:outlineLvl w:val="1"/>
        <w:rPr>
          <w:rFonts w:hint="eastAsia" w:ascii="宋体" w:hAnsi="宋体" w:eastAsia="宋体" w:cs="宋体"/>
          <w:b w:val="0"/>
          <w:bCs/>
          <w:kern w:val="0"/>
          <w:sz w:val="24"/>
          <w:szCs w:val="24"/>
          <w:highlight w:val="none"/>
          <w:lang w:val="en-US" w:eastAsia="zh-CN"/>
        </w:rPr>
      </w:pPr>
      <w:r>
        <w:rPr>
          <w:rFonts w:hint="eastAsia" w:ascii="宋体" w:hAnsi="宋体" w:eastAsia="宋体" w:cs="宋体"/>
          <w:highlight w:val="none"/>
        </w:rPr>
        <w:br w:type="page"/>
      </w:r>
      <w:r>
        <w:rPr>
          <w:rFonts w:hint="eastAsia" w:ascii="宋体" w:hAnsi="宋体" w:eastAsia="宋体" w:cs="宋体"/>
          <w:b/>
          <w:bCs/>
          <w:sz w:val="36"/>
          <w:szCs w:val="36"/>
          <w:highlight w:val="none"/>
          <w:lang w:val="en-US" w:eastAsia="zh-CN"/>
        </w:rPr>
        <w:t>六、工程量清单（按招标文件附件格式编制）</w:t>
      </w:r>
    </w:p>
    <w:p>
      <w:pPr>
        <w:pStyle w:val="8"/>
        <w:numPr>
          <w:ilvl w:val="0"/>
          <w:numId w:val="0"/>
        </w:numPr>
        <w:kinsoku w:val="0"/>
        <w:overflowPunct w:val="0"/>
        <w:spacing w:before="34" w:line="357" w:lineRule="auto"/>
        <w:ind w:left="598" w:leftChars="0" w:right="126" w:rightChars="0"/>
        <w:jc w:val="both"/>
        <w:outlineLvl w:val="9"/>
        <w:rPr>
          <w:rFonts w:hint="eastAsia" w:ascii="宋体" w:hAnsi="宋体" w:eastAsia="宋体" w:cs="宋体"/>
          <w:b/>
          <w:kern w:val="0"/>
          <w:sz w:val="24"/>
          <w:szCs w:val="24"/>
          <w:highlight w:val="none"/>
        </w:rPr>
      </w:pPr>
      <w:r>
        <w:rPr>
          <w:rFonts w:hint="eastAsia" w:ascii="宋体" w:hAnsi="宋体" w:eastAsia="宋体" w:cs="宋体"/>
          <w:highlight w:val="none"/>
        </w:rPr>
        <w:br w:type="page"/>
      </w:r>
      <w:r>
        <w:rPr>
          <w:rFonts w:hint="eastAsia" w:ascii="宋体" w:hAnsi="宋体" w:eastAsia="宋体" w:cs="宋体"/>
          <w:b/>
          <w:kern w:val="0"/>
          <w:sz w:val="24"/>
          <w:szCs w:val="24"/>
          <w:highlight w:val="none"/>
        </w:rPr>
        <w:t>政策适用性说明</w:t>
      </w:r>
    </w:p>
    <w:p>
      <w:pPr>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按照政府采购有关政策的要求，在本次的技术方案中，采用符合政策的小型或微型企业产品、节能产品、环保标志产品，主要产品与核心技术介绍说明如下：</w:t>
      </w:r>
    </w:p>
    <w:tbl>
      <w:tblPr>
        <w:tblStyle w:val="18"/>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2379"/>
        <w:gridCol w:w="1121"/>
        <w:gridCol w:w="803"/>
        <w:gridCol w:w="876"/>
        <w:gridCol w:w="982"/>
        <w:gridCol w:w="1010"/>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序号</w:t>
            </w:r>
          </w:p>
        </w:tc>
        <w:tc>
          <w:tcPr>
            <w:tcW w:w="23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主要产品/技术名称</w:t>
            </w:r>
          </w:p>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（规格型号、注册商标）</w:t>
            </w: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lang w:eastAsia="zh-CN"/>
              </w:rPr>
            </w:pPr>
            <w:r>
              <w:rPr>
                <w:rFonts w:hint="eastAsia" w:ascii="宋体" w:hAnsi="宋体" w:eastAsia="宋体" w:cs="宋体"/>
                <w:b/>
                <w:bCs/>
                <w:kern w:val="0"/>
                <w:sz w:val="24"/>
                <w:szCs w:val="24"/>
                <w:highlight w:val="none"/>
              </w:rPr>
              <w:t>制造商</w:t>
            </w:r>
          </w:p>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(开发商)</w:t>
            </w:r>
          </w:p>
        </w:tc>
        <w:tc>
          <w:tcPr>
            <w:tcW w:w="8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企业类型</w:t>
            </w:r>
          </w:p>
        </w:tc>
        <w:tc>
          <w:tcPr>
            <w:tcW w:w="8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lang w:eastAsia="zh-CN"/>
              </w:rPr>
            </w:pPr>
            <w:r>
              <w:rPr>
                <w:rFonts w:hint="eastAsia" w:ascii="宋体" w:hAnsi="宋体" w:eastAsia="宋体" w:cs="宋体"/>
                <w:b/>
                <w:bCs/>
                <w:kern w:val="0"/>
                <w:sz w:val="24"/>
                <w:szCs w:val="24"/>
                <w:highlight w:val="none"/>
              </w:rPr>
              <w:t>节能</w:t>
            </w:r>
          </w:p>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产品</w:t>
            </w:r>
          </w:p>
        </w:tc>
        <w:tc>
          <w:tcPr>
            <w:tcW w:w="9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环保标志产品</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认证证书编号</w:t>
            </w:r>
          </w:p>
        </w:tc>
        <w:tc>
          <w:tcPr>
            <w:tcW w:w="12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该产品报价（合计）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23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9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23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9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23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9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23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9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23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1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9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12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7171"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总合计（节能产品）</w:t>
            </w:r>
          </w:p>
        </w:tc>
        <w:tc>
          <w:tcPr>
            <w:tcW w:w="12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c>
          <w:tcPr>
            <w:tcW w:w="7171"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总合计（环保产品）</w:t>
            </w:r>
          </w:p>
        </w:tc>
        <w:tc>
          <w:tcPr>
            <w:tcW w:w="122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highlight w:val="none"/>
              </w:rPr>
            </w:pPr>
          </w:p>
        </w:tc>
      </w:tr>
    </w:tbl>
    <w:p>
      <w:pPr>
        <w:rPr>
          <w:rFonts w:hint="eastAsia" w:ascii="宋体" w:hAnsi="宋体" w:eastAsia="宋体" w:cs="宋体"/>
          <w:b/>
          <w:bCs/>
          <w:kern w:val="0"/>
          <w:sz w:val="24"/>
          <w:szCs w:val="24"/>
          <w:highlight w:val="none"/>
        </w:rPr>
      </w:pPr>
    </w:p>
    <w:p>
      <w:pPr>
        <w:spacing w:line="480" w:lineRule="exact"/>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注：1</w:t>
      </w:r>
      <w:r>
        <w:rPr>
          <w:rFonts w:hint="eastAsia" w:ascii="宋体" w:hAnsi="宋体" w:cs="宋体"/>
          <w:b/>
          <w:bCs/>
          <w:kern w:val="0"/>
          <w:sz w:val="24"/>
          <w:szCs w:val="24"/>
          <w:highlight w:val="none"/>
          <w:lang w:eastAsia="zh-CN"/>
        </w:rPr>
        <w:t>、</w:t>
      </w:r>
      <w:r>
        <w:rPr>
          <w:rFonts w:hint="eastAsia" w:ascii="宋体" w:hAnsi="宋体" w:eastAsia="宋体" w:cs="宋体"/>
          <w:b/>
          <w:bCs/>
          <w:kern w:val="0"/>
          <w:sz w:val="24"/>
          <w:szCs w:val="24"/>
          <w:highlight w:val="none"/>
        </w:rPr>
        <w:t>企业为小型或微型企业时才需要填“企业类型”栏，填写内容为“小型”或“微型”；</w:t>
      </w:r>
    </w:p>
    <w:p>
      <w:pPr>
        <w:spacing w:line="480" w:lineRule="exact"/>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2、“节能产品、环保标志产品”是属于国家行业主管部门颁布的清单目录中的产品，须填写认证证书编号，并在“节能产品”、“环保标志产品”栏中填写属于“第　  期清单”的产品（产品被列入多期清单的，以最新一期为准），同时提供有效期内的下述文件（均为复印件，加盖报价供应商公章）：</w:t>
      </w:r>
    </w:p>
    <w:p>
      <w:pPr>
        <w:spacing w:line="480" w:lineRule="exact"/>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（1）属于“节能产品政府采购清单”中品目的产品，提供“节能产品政府采购清单（第___期）”中报价产品所在清单页并加盖报价供应商公章，节能清单在中国政府采购网（http：//www.ccgp.gov .cn/）、国家发展改革委网站（</w:t>
      </w:r>
      <w:r>
        <w:rPr>
          <w:rFonts w:hint="eastAsia" w:ascii="宋体" w:hAnsi="宋体" w:eastAsia="宋体" w:cs="宋体"/>
          <w:b/>
          <w:bCs/>
          <w:kern w:val="0"/>
          <w:sz w:val="24"/>
          <w:szCs w:val="24"/>
          <w:highlight w:val="none"/>
        </w:rPr>
        <w:fldChar w:fldCharType="begin"/>
      </w:r>
      <w:r>
        <w:rPr>
          <w:rFonts w:hint="eastAsia" w:ascii="宋体" w:hAnsi="宋体" w:eastAsia="宋体" w:cs="宋体"/>
          <w:b/>
          <w:bCs/>
          <w:kern w:val="0"/>
          <w:sz w:val="24"/>
          <w:szCs w:val="24"/>
          <w:highlight w:val="none"/>
        </w:rPr>
        <w:instrText xml:space="preserve"> HYPERLINK "http://hzs.nd/" </w:instrText>
      </w:r>
      <w:r>
        <w:rPr>
          <w:rFonts w:hint="eastAsia" w:ascii="宋体" w:hAnsi="宋体" w:eastAsia="宋体" w:cs="宋体"/>
          <w:b/>
          <w:bCs/>
          <w:kern w:val="0"/>
          <w:sz w:val="24"/>
          <w:szCs w:val="24"/>
          <w:highlight w:val="none"/>
        </w:rPr>
        <w:fldChar w:fldCharType="separate"/>
      </w:r>
      <w:r>
        <w:rPr>
          <w:rFonts w:hint="eastAsia" w:ascii="宋体" w:hAnsi="宋体" w:eastAsia="宋体" w:cs="宋体"/>
          <w:b/>
          <w:bCs/>
          <w:kern w:val="0"/>
          <w:sz w:val="24"/>
          <w:szCs w:val="24"/>
          <w:highlight w:val="none"/>
        </w:rPr>
        <w:t>http://hzs.nd</w:t>
      </w:r>
      <w:r>
        <w:rPr>
          <w:rFonts w:hint="eastAsia" w:ascii="宋体" w:hAnsi="宋体" w:eastAsia="宋体" w:cs="宋体"/>
          <w:b/>
          <w:bCs/>
          <w:kern w:val="0"/>
          <w:sz w:val="24"/>
          <w:szCs w:val="24"/>
          <w:highlight w:val="none"/>
        </w:rPr>
        <w:fldChar w:fldCharType="end"/>
      </w:r>
      <w:r>
        <w:rPr>
          <w:rFonts w:hint="eastAsia" w:ascii="宋体" w:hAnsi="宋体" w:eastAsia="宋体" w:cs="宋体"/>
          <w:b/>
          <w:bCs/>
          <w:kern w:val="0"/>
          <w:sz w:val="24"/>
          <w:szCs w:val="24"/>
          <w:highlight w:val="none"/>
        </w:rPr>
        <w:t xml:space="preserve"> rc.gv.cn/）和中国质量认证中心网站（http://www.cqc.com.cn/）上发布；</w:t>
      </w:r>
    </w:p>
    <w:p>
      <w:pPr>
        <w:spacing w:line="480" w:lineRule="exact"/>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2）属于“环境标志产品政府采购清单”中品目的产品，提供最新“环境标志产品政府采购清单（第___期）”中报价产品所在清单页并加盖报价供应商公章，清单在中国政府采购网（http://www.ccgp.gov.cn/）、国家环境保护总局网（http://www.sepa.gov.cn/）、中国绿色采购网（http://www.cgpn. cn/）上发布；</w:t>
      </w:r>
    </w:p>
    <w:p>
      <w:pPr>
        <w:spacing w:line="480" w:lineRule="exact"/>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3、如不填写或填写不全，后果自行承担。</w:t>
      </w:r>
    </w:p>
    <w:p>
      <w:pPr>
        <w:pStyle w:val="8"/>
        <w:tabs>
          <w:tab w:val="left" w:pos="8227"/>
        </w:tabs>
        <w:kinsoku w:val="0"/>
        <w:overflowPunct w:val="0"/>
        <w:spacing w:before="0" w:line="381" w:lineRule="auto"/>
        <w:ind w:left="4027" w:right="118"/>
        <w:rPr>
          <w:rFonts w:hint="eastAsia" w:ascii="宋体" w:hAnsi="宋体" w:eastAsia="宋体" w:cs="宋体"/>
          <w:b/>
          <w:bCs/>
          <w:highlight w:val="none"/>
        </w:rPr>
      </w:pPr>
    </w:p>
    <w:p>
      <w:pPr>
        <w:pStyle w:val="8"/>
        <w:tabs>
          <w:tab w:val="left" w:pos="8227"/>
        </w:tabs>
        <w:kinsoku w:val="0"/>
        <w:overflowPunct w:val="0"/>
        <w:spacing w:before="0" w:line="381" w:lineRule="auto"/>
        <w:ind w:right="118"/>
        <w:jc w:val="left"/>
        <w:rPr>
          <w:rFonts w:hint="eastAsia" w:ascii="宋体" w:hAnsi="宋体" w:eastAsia="宋体" w:cs="宋体"/>
          <w:b/>
          <w:bCs/>
          <w:highlight w:val="none"/>
        </w:rPr>
      </w:pPr>
      <w:r>
        <w:rPr>
          <w:rFonts w:hint="eastAsia" w:ascii="宋体" w:hAnsi="宋体" w:eastAsia="宋体" w:cs="宋体"/>
          <w:b/>
          <w:bCs/>
          <w:highlight w:val="none"/>
        </w:rPr>
        <w:t>供应商：</w:t>
      </w:r>
      <w:r>
        <w:rPr>
          <w:rFonts w:hint="eastAsia" w:ascii="宋体" w:hAnsi="宋体" w:eastAsia="宋体" w:cs="宋体"/>
          <w:b/>
          <w:bCs/>
          <w:w w:val="95"/>
          <w:highlight w:val="none"/>
        </w:rPr>
        <w:t>（盖章）</w:t>
      </w:r>
    </w:p>
    <w:p>
      <w:pPr>
        <w:pStyle w:val="8"/>
        <w:tabs>
          <w:tab w:val="left" w:pos="8227"/>
        </w:tabs>
        <w:kinsoku w:val="0"/>
        <w:overflowPunct w:val="0"/>
        <w:spacing w:before="0" w:line="381" w:lineRule="auto"/>
        <w:ind w:right="118"/>
        <w:jc w:val="left"/>
        <w:rPr>
          <w:rFonts w:hint="eastAsia" w:ascii="宋体" w:hAnsi="宋体" w:eastAsia="宋体" w:cs="宋体"/>
          <w:b/>
          <w:bCs/>
          <w:w w:val="95"/>
          <w:highlight w:val="none"/>
        </w:rPr>
      </w:pPr>
      <w:r>
        <w:rPr>
          <w:rFonts w:hint="eastAsia" w:ascii="宋体" w:hAnsi="宋体" w:eastAsia="宋体" w:cs="宋体"/>
          <w:b/>
          <w:bCs/>
          <w:highlight w:val="none"/>
        </w:rPr>
        <w:t>法定代表人或被授权人：</w:t>
      </w:r>
      <w:r>
        <w:rPr>
          <w:rFonts w:hint="eastAsia" w:ascii="宋体" w:hAnsi="宋体" w:eastAsia="宋体" w:cs="宋体"/>
          <w:b/>
          <w:bCs/>
          <w:w w:val="95"/>
          <w:highlight w:val="none"/>
        </w:rPr>
        <w:t>（签字）</w:t>
      </w:r>
    </w:p>
    <w:p>
      <w:pPr>
        <w:pStyle w:val="8"/>
        <w:tabs>
          <w:tab w:val="left" w:pos="5551"/>
          <w:tab w:val="left" w:pos="6511"/>
          <w:tab w:val="left" w:pos="7111"/>
          <w:tab w:val="left" w:pos="7711"/>
        </w:tabs>
        <w:kinsoku w:val="0"/>
        <w:overflowPunct w:val="0"/>
        <w:spacing w:before="46"/>
        <w:jc w:val="left"/>
        <w:rPr>
          <w:rFonts w:hint="eastAsia" w:ascii="宋体" w:hAnsi="宋体" w:eastAsia="宋体" w:cs="宋体"/>
          <w:b/>
          <w:bCs/>
          <w:highlight w:val="none"/>
        </w:rPr>
      </w:pPr>
      <w:r>
        <w:rPr>
          <w:rFonts w:hint="eastAsia" w:ascii="宋体" w:hAnsi="宋体" w:eastAsia="宋体" w:cs="宋体"/>
          <w:b/>
          <w:bCs/>
          <w:highlight w:val="none"/>
        </w:rPr>
        <w:t>日期：年月日</w:t>
      </w:r>
    </w:p>
    <w:p>
      <w:pPr>
        <w:pStyle w:val="8"/>
        <w:tabs>
          <w:tab w:val="left" w:pos="5551"/>
          <w:tab w:val="left" w:pos="6511"/>
          <w:tab w:val="left" w:pos="7111"/>
          <w:tab w:val="left" w:pos="7711"/>
        </w:tabs>
        <w:kinsoku w:val="0"/>
        <w:overflowPunct w:val="0"/>
        <w:spacing w:before="46"/>
        <w:ind w:left="0"/>
        <w:rPr>
          <w:rFonts w:hint="eastAsia" w:ascii="宋体" w:hAnsi="宋体" w:eastAsia="宋体" w:cs="宋体"/>
          <w:highlight w:val="none"/>
        </w:rPr>
      </w:pPr>
      <w:r>
        <w:rPr>
          <w:rFonts w:hint="eastAsia" w:ascii="宋体" w:hAnsi="宋体" w:eastAsia="宋体" w:cs="宋体"/>
          <w:highlight w:val="none"/>
        </w:rPr>
        <w:br w:type="page"/>
      </w:r>
    </w:p>
    <w:p>
      <w:pPr>
        <w:pStyle w:val="8"/>
        <w:kinsoku w:val="0"/>
        <w:overflowPunct w:val="0"/>
        <w:spacing w:before="34" w:line="357" w:lineRule="auto"/>
        <w:ind w:right="126" w:firstLine="480"/>
        <w:jc w:val="center"/>
        <w:outlineLvl w:val="1"/>
        <w:rPr>
          <w:rFonts w:hint="eastAsia" w:ascii="宋体" w:hAnsi="宋体" w:eastAsia="宋体" w:cs="宋体"/>
          <w:b/>
          <w:bCs/>
          <w:highlight w:val="none"/>
        </w:rPr>
      </w:pPr>
      <w:r>
        <w:rPr>
          <w:rFonts w:hint="eastAsia" w:ascii="宋体" w:hAnsi="宋体" w:eastAsia="宋体" w:cs="宋体"/>
          <w:b/>
          <w:bCs/>
          <w:sz w:val="36"/>
          <w:szCs w:val="36"/>
          <w:highlight w:val="none"/>
        </w:rPr>
        <w:t>七、供应商基本情况</w:t>
      </w:r>
    </w:p>
    <w:p>
      <w:pPr>
        <w:pStyle w:val="8"/>
        <w:kinsoku w:val="0"/>
        <w:overflowPunct w:val="0"/>
        <w:spacing w:before="0"/>
        <w:ind w:left="3104" w:right="2998"/>
        <w:jc w:val="center"/>
        <w:outlineLvl w:val="2"/>
        <w:rPr>
          <w:rFonts w:hint="eastAsia" w:ascii="宋体" w:hAnsi="宋体" w:eastAsia="宋体" w:cs="宋体"/>
          <w:highlight w:val="none"/>
        </w:rPr>
      </w:pPr>
      <w:r>
        <w:rPr>
          <w:rFonts w:hint="eastAsia" w:ascii="宋体" w:hAnsi="宋体" w:eastAsia="宋体" w:cs="宋体"/>
          <w:b/>
          <w:bCs/>
          <w:highlight w:val="none"/>
        </w:rPr>
        <w:t>（一）供应商基本情况表</w:t>
      </w:r>
    </w:p>
    <w:p>
      <w:pPr>
        <w:pStyle w:val="8"/>
        <w:kinsoku w:val="0"/>
        <w:overflowPunct w:val="0"/>
        <w:spacing w:before="5"/>
        <w:ind w:left="0"/>
        <w:rPr>
          <w:rFonts w:hint="eastAsia" w:ascii="宋体" w:hAnsi="宋体" w:eastAsia="宋体" w:cs="宋体"/>
          <w:b/>
          <w:bCs/>
          <w:sz w:val="6"/>
          <w:szCs w:val="6"/>
          <w:highlight w:val="none"/>
        </w:rPr>
      </w:pPr>
    </w:p>
    <w:tbl>
      <w:tblPr>
        <w:tblStyle w:val="18"/>
        <w:tblW w:w="0" w:type="auto"/>
        <w:jc w:val="center"/>
        <w:tblLayout w:type="fixed"/>
        <w:tblCellMar>
          <w:top w:w="0" w:type="dxa"/>
          <w:left w:w="0" w:type="dxa"/>
          <w:bottom w:w="0" w:type="dxa"/>
          <w:right w:w="0" w:type="dxa"/>
        </w:tblCellMar>
      </w:tblPr>
      <w:tblGrid>
        <w:gridCol w:w="1242"/>
        <w:gridCol w:w="1445"/>
        <w:gridCol w:w="849"/>
        <w:gridCol w:w="493"/>
        <w:gridCol w:w="655"/>
        <w:gridCol w:w="688"/>
        <w:gridCol w:w="458"/>
        <w:gridCol w:w="367"/>
        <w:gridCol w:w="552"/>
        <w:gridCol w:w="1965"/>
      </w:tblGrid>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ind w:left="137"/>
              <w:rPr>
                <w:rFonts w:hint="eastAsia" w:ascii="宋体" w:hAnsi="宋体" w:eastAsia="宋体" w:cs="宋体"/>
                <w:highlight w:val="none"/>
              </w:rPr>
            </w:pPr>
            <w:r>
              <w:rPr>
                <w:rFonts w:hint="eastAsia" w:ascii="宋体" w:hAnsi="宋体" w:eastAsia="宋体" w:cs="宋体"/>
                <w:highlight w:val="none"/>
              </w:rPr>
              <w:t>单位名称</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ind w:left="137"/>
              <w:rPr>
                <w:rFonts w:hint="eastAsia" w:ascii="宋体" w:hAnsi="宋体" w:eastAsia="宋体" w:cs="宋体"/>
                <w:highlight w:val="none"/>
              </w:rPr>
            </w:pPr>
            <w:r>
              <w:rPr>
                <w:rFonts w:hint="eastAsia" w:ascii="宋体" w:hAnsi="宋体" w:eastAsia="宋体" w:cs="宋体"/>
                <w:highlight w:val="none"/>
              </w:rPr>
              <w:t>单位地址</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ind w:left="137"/>
              <w:rPr>
                <w:rFonts w:hint="eastAsia" w:ascii="宋体" w:hAnsi="宋体" w:eastAsia="宋体" w:cs="宋体"/>
                <w:highlight w:val="none"/>
              </w:rPr>
            </w:pPr>
            <w:r>
              <w:rPr>
                <w:rFonts w:hint="eastAsia" w:ascii="宋体" w:hAnsi="宋体" w:eastAsia="宋体" w:cs="宋体"/>
                <w:highlight w:val="none"/>
              </w:rPr>
              <w:t>主管部门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ind w:left="137"/>
              <w:rPr>
                <w:rFonts w:hint="eastAsia" w:ascii="宋体" w:hAnsi="宋体" w:eastAsia="宋体" w:cs="宋体"/>
                <w:highlight w:val="none"/>
              </w:rPr>
            </w:pPr>
            <w:r>
              <w:rPr>
                <w:rFonts w:hint="eastAsia" w:ascii="宋体" w:hAnsi="宋体" w:eastAsia="宋体" w:cs="宋体"/>
                <w:highlight w:val="none"/>
              </w:rPr>
              <w:t>成立时间</w:t>
            </w:r>
          </w:p>
        </w:tc>
        <w:tc>
          <w:tcPr>
            <w:tcW w:w="2294"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2294" w:type="dxa"/>
            <w:gridSpan w:val="4"/>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ind w:left="181"/>
              <w:rPr>
                <w:rFonts w:hint="eastAsia" w:ascii="宋体" w:hAnsi="宋体" w:eastAsia="宋体" w:cs="宋体"/>
                <w:highlight w:val="none"/>
              </w:rPr>
            </w:pPr>
            <w:r>
              <w:rPr>
                <w:rFonts w:hint="eastAsia" w:ascii="宋体" w:hAnsi="宋体" w:eastAsia="宋体" w:cs="宋体"/>
                <w:highlight w:val="none"/>
              </w:rPr>
              <w:t>注册资金（万元）</w:t>
            </w:r>
          </w:p>
        </w:tc>
        <w:tc>
          <w:tcPr>
            <w:tcW w:w="2884"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6"/>
              <w:ind w:left="137"/>
              <w:rPr>
                <w:rFonts w:hint="eastAsia" w:ascii="宋体" w:hAnsi="宋体" w:eastAsia="宋体" w:cs="宋体"/>
                <w:highlight w:val="none"/>
              </w:rPr>
            </w:pPr>
            <w:r>
              <w:rPr>
                <w:rFonts w:hint="eastAsia" w:ascii="宋体" w:hAnsi="宋体" w:eastAsia="宋体" w:cs="宋体"/>
                <w:highlight w:val="none"/>
              </w:rPr>
              <w:t>单位性质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933"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1" w:line="312" w:lineRule="exact"/>
              <w:ind w:left="257" w:right="133" w:hanging="120"/>
              <w:rPr>
                <w:rFonts w:hint="eastAsia" w:ascii="宋体" w:hAnsi="宋体" w:eastAsia="宋体" w:cs="宋体"/>
                <w:highlight w:val="none"/>
              </w:rPr>
            </w:pPr>
            <w:r>
              <w:rPr>
                <w:rFonts w:hint="eastAsia" w:ascii="宋体" w:hAnsi="宋体" w:eastAsia="宋体" w:cs="宋体"/>
                <w:highlight w:val="none"/>
              </w:rPr>
              <w:t>投标期间 联系人</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4"/>
              <w:rPr>
                <w:rFonts w:hint="eastAsia" w:ascii="宋体" w:hAnsi="宋体" w:eastAsia="宋体" w:cs="宋体"/>
                <w:b/>
                <w:bCs/>
                <w:sz w:val="20"/>
                <w:szCs w:val="20"/>
                <w:highlight w:val="none"/>
              </w:rPr>
            </w:pPr>
          </w:p>
          <w:p>
            <w:pPr>
              <w:pStyle w:val="23"/>
              <w:kinsoku w:val="0"/>
              <w:overflowPunct w:val="0"/>
              <w:ind w:left="366"/>
              <w:rPr>
                <w:rFonts w:hint="eastAsia" w:ascii="宋体" w:hAnsi="宋体" w:eastAsia="宋体" w:cs="宋体"/>
                <w:highlight w:val="none"/>
              </w:rPr>
            </w:pPr>
            <w:r>
              <w:rPr>
                <w:rFonts w:hint="eastAsia" w:ascii="宋体" w:hAnsi="宋体" w:eastAsia="宋体" w:cs="宋体"/>
                <w:highlight w:val="none"/>
              </w:rPr>
              <w:t>电 话</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377" w:type="dxa"/>
            <w:gridSpan w:val="3"/>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4"/>
              <w:rPr>
                <w:rFonts w:hint="eastAsia" w:ascii="宋体" w:hAnsi="宋体" w:eastAsia="宋体" w:cs="宋体"/>
                <w:b/>
                <w:bCs/>
                <w:sz w:val="20"/>
                <w:szCs w:val="20"/>
                <w:highlight w:val="none"/>
              </w:rPr>
            </w:pPr>
          </w:p>
          <w:p>
            <w:pPr>
              <w:pStyle w:val="23"/>
              <w:kinsoku w:val="0"/>
              <w:overflowPunct w:val="0"/>
              <w:ind w:left="383"/>
              <w:rPr>
                <w:rFonts w:hint="eastAsia" w:ascii="宋体" w:hAnsi="宋体" w:eastAsia="宋体" w:cs="宋体"/>
                <w:highlight w:val="none"/>
              </w:rPr>
            </w:pPr>
            <w:r>
              <w:rPr>
                <w:rFonts w:hint="eastAsia" w:ascii="宋体" w:hAnsi="宋体" w:eastAsia="宋体" w:cs="宋体"/>
                <w:highlight w:val="none"/>
              </w:rPr>
              <w:t>传 真</w:t>
            </w:r>
          </w:p>
        </w:tc>
        <w:tc>
          <w:tcPr>
            <w:tcW w:w="196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691" w:hRule="exact"/>
          <w:jc w:val="center"/>
        </w:trPr>
        <w:tc>
          <w:tcPr>
            <w:tcW w:w="1242" w:type="dxa"/>
            <w:vMerge w:val="restart"/>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rPr>
                <w:rFonts w:hint="eastAsia" w:ascii="宋体" w:hAnsi="宋体" w:eastAsia="宋体" w:cs="宋体"/>
                <w:b/>
                <w:bCs/>
                <w:highlight w:val="none"/>
              </w:rPr>
            </w:pPr>
          </w:p>
          <w:p>
            <w:pPr>
              <w:pStyle w:val="23"/>
              <w:kinsoku w:val="0"/>
              <w:overflowPunct w:val="0"/>
              <w:rPr>
                <w:rFonts w:hint="eastAsia" w:ascii="宋体" w:hAnsi="宋体" w:eastAsia="宋体" w:cs="宋体"/>
                <w:b/>
                <w:bCs/>
                <w:highlight w:val="none"/>
              </w:rPr>
            </w:pPr>
          </w:p>
          <w:p>
            <w:pPr>
              <w:pStyle w:val="23"/>
              <w:kinsoku w:val="0"/>
              <w:overflowPunct w:val="0"/>
              <w:rPr>
                <w:rFonts w:hint="eastAsia" w:ascii="宋体" w:hAnsi="宋体" w:eastAsia="宋体" w:cs="宋体"/>
                <w:b/>
                <w:bCs/>
                <w:highlight w:val="none"/>
              </w:rPr>
            </w:pPr>
          </w:p>
          <w:p>
            <w:pPr>
              <w:pStyle w:val="23"/>
              <w:kinsoku w:val="0"/>
              <w:overflowPunct w:val="0"/>
              <w:spacing w:line="475" w:lineRule="auto"/>
              <w:ind w:left="497" w:right="493"/>
              <w:jc w:val="both"/>
              <w:rPr>
                <w:rFonts w:hint="eastAsia" w:ascii="宋体" w:hAnsi="宋体" w:eastAsia="宋体" w:cs="宋体"/>
                <w:highlight w:val="none"/>
              </w:rPr>
            </w:pPr>
            <w:r>
              <w:rPr>
                <w:rFonts w:hint="eastAsia" w:ascii="宋体" w:hAnsi="宋体" w:eastAsia="宋体" w:cs="宋体"/>
                <w:highlight w:val="none"/>
              </w:rPr>
              <w:t>职 工 概 况</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4"/>
              <w:ind w:left="236"/>
              <w:rPr>
                <w:rFonts w:hint="eastAsia" w:ascii="宋体" w:hAnsi="宋体" w:eastAsia="宋体" w:cs="宋体"/>
                <w:highlight w:val="none"/>
              </w:rPr>
            </w:pPr>
            <w:r>
              <w:rPr>
                <w:rFonts w:hint="eastAsia" w:ascii="宋体" w:hAnsi="宋体" w:eastAsia="宋体" w:cs="宋体"/>
                <w:highlight w:val="none"/>
              </w:rPr>
              <w:t>职工总数</w:t>
            </w: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2168" w:type="dxa"/>
            <w:gridSpan w:val="4"/>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4"/>
              <w:ind w:left="118"/>
              <w:rPr>
                <w:rFonts w:hint="eastAsia" w:ascii="宋体" w:hAnsi="宋体" w:eastAsia="宋体" w:cs="宋体"/>
                <w:highlight w:val="none"/>
              </w:rPr>
            </w:pPr>
            <w:r>
              <w:rPr>
                <w:rFonts w:hint="eastAsia" w:ascii="宋体" w:hAnsi="宋体" w:eastAsia="宋体" w:cs="宋体"/>
                <w:highlight w:val="none"/>
              </w:rPr>
              <w:t>其中：技术人员数</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jc w:val="center"/>
              <w:rPr>
                <w:rFonts w:hint="eastAsia" w:ascii="宋体" w:hAnsi="宋体" w:eastAsia="宋体" w:cs="宋体"/>
                <w:highlight w:val="none"/>
              </w:rPr>
            </w:pPr>
            <w:r>
              <w:rPr>
                <w:rFonts w:hint="eastAsia" w:ascii="宋体" w:hAnsi="宋体" w:eastAsia="宋体" w:cs="宋体"/>
                <w:highlight w:val="none"/>
              </w:rPr>
              <w:t>单位行政和技术负责人</w:t>
            </w: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jc w:val="center"/>
              <w:rPr>
                <w:rFonts w:hint="eastAsia" w:ascii="宋体" w:hAnsi="宋体" w:eastAsia="宋体" w:cs="宋体"/>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ind w:left="416"/>
              <w:rPr>
                <w:rFonts w:hint="eastAsia" w:ascii="宋体" w:hAnsi="宋体" w:eastAsia="宋体" w:cs="宋体"/>
                <w:highlight w:val="none"/>
              </w:rPr>
            </w:pPr>
            <w:r>
              <w:rPr>
                <w:rFonts w:hint="eastAsia" w:ascii="宋体" w:hAnsi="宋体" w:eastAsia="宋体" w:cs="宋体"/>
                <w:highlight w:val="none"/>
              </w:rPr>
              <w:t>姓 名</w:t>
            </w: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ind w:left="452"/>
              <w:rPr>
                <w:rFonts w:hint="eastAsia" w:ascii="宋体" w:hAnsi="宋体" w:eastAsia="宋体" w:cs="宋体"/>
                <w:highlight w:val="none"/>
              </w:rPr>
            </w:pPr>
            <w:r>
              <w:rPr>
                <w:rFonts w:hint="eastAsia" w:ascii="宋体" w:hAnsi="宋体" w:eastAsia="宋体" w:cs="宋体"/>
                <w:highlight w:val="none"/>
              </w:rPr>
              <w:t>职务/职称</w:t>
            </w: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spacing w:before="145"/>
              <w:ind w:left="450"/>
              <w:rPr>
                <w:rFonts w:hint="eastAsia" w:ascii="宋体" w:hAnsi="宋体" w:eastAsia="宋体" w:cs="宋体"/>
                <w:highlight w:val="none"/>
              </w:rPr>
            </w:pPr>
            <w:r>
              <w:rPr>
                <w:rFonts w:hint="eastAsia" w:ascii="宋体" w:hAnsi="宋体" w:eastAsia="宋体" w:cs="宋体"/>
                <w:highlight w:val="none"/>
              </w:rPr>
              <w:t>年 龄</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pStyle w:val="23"/>
              <w:tabs>
                <w:tab w:val="left" w:pos="479"/>
              </w:tabs>
              <w:kinsoku w:val="0"/>
              <w:overflowPunct w:val="0"/>
              <w:spacing w:before="145"/>
              <w:ind w:right="1"/>
              <w:jc w:val="center"/>
              <w:rPr>
                <w:rFonts w:hint="eastAsia" w:ascii="宋体" w:hAnsi="宋体" w:eastAsia="宋体" w:cs="宋体"/>
                <w:highlight w:val="none"/>
              </w:rPr>
            </w:pPr>
            <w:r>
              <w:rPr>
                <w:rFonts w:hint="eastAsia" w:ascii="宋体" w:hAnsi="宋体" w:eastAsia="宋体" w:cs="宋体"/>
                <w:highlight w:val="none"/>
              </w:rPr>
              <w:t>专</w:t>
            </w:r>
            <w:r>
              <w:rPr>
                <w:rFonts w:hint="eastAsia" w:ascii="宋体" w:hAnsi="宋体" w:eastAsia="宋体" w:cs="宋体"/>
                <w:highlight w:val="none"/>
              </w:rPr>
              <w:tab/>
            </w:r>
            <w:r>
              <w:rPr>
                <w:rFonts w:hint="eastAsia" w:ascii="宋体" w:hAnsi="宋体" w:eastAsia="宋体" w:cs="宋体"/>
                <w:highlight w:val="none"/>
              </w:rPr>
              <w:t>业</w:t>
            </w: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23"/>
              <w:tabs>
                <w:tab w:val="left" w:pos="479"/>
              </w:tabs>
              <w:kinsoku w:val="0"/>
              <w:overflowPunct w:val="0"/>
              <w:spacing w:before="145"/>
              <w:ind w:right="1"/>
              <w:jc w:val="center"/>
              <w:rPr>
                <w:rFonts w:hint="eastAsia" w:ascii="宋体" w:hAnsi="宋体" w:eastAsia="宋体" w:cs="宋体"/>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r>
        <w:tblPrEx>
          <w:tblCellMar>
            <w:top w:w="0" w:type="dxa"/>
            <w:left w:w="0" w:type="dxa"/>
            <w:bottom w:w="0" w:type="dxa"/>
            <w:right w:w="0" w:type="dxa"/>
          </w:tblCellMar>
        </w:tblPrEx>
        <w:trPr>
          <w:trHeight w:val="2563"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23"/>
              <w:kinsoku w:val="0"/>
              <w:overflowPunct w:val="0"/>
              <w:rPr>
                <w:rFonts w:hint="eastAsia" w:ascii="宋体" w:hAnsi="宋体" w:eastAsia="宋体" w:cs="宋体"/>
                <w:b/>
                <w:bCs/>
                <w:highlight w:val="none"/>
              </w:rPr>
            </w:pPr>
          </w:p>
          <w:p>
            <w:pPr>
              <w:pStyle w:val="23"/>
              <w:kinsoku w:val="0"/>
              <w:overflowPunct w:val="0"/>
              <w:spacing w:before="1"/>
              <w:rPr>
                <w:rFonts w:hint="eastAsia" w:ascii="宋体" w:hAnsi="宋体" w:eastAsia="宋体" w:cs="宋体"/>
                <w:b/>
                <w:bCs/>
                <w:sz w:val="23"/>
                <w:szCs w:val="23"/>
                <w:highlight w:val="none"/>
              </w:rPr>
            </w:pPr>
          </w:p>
          <w:p>
            <w:pPr>
              <w:pStyle w:val="23"/>
              <w:kinsoku w:val="0"/>
              <w:overflowPunct w:val="0"/>
              <w:spacing w:line="237" w:lineRule="auto"/>
              <w:ind w:left="497" w:right="493"/>
              <w:jc w:val="both"/>
              <w:rPr>
                <w:rFonts w:hint="eastAsia" w:ascii="宋体" w:hAnsi="宋体" w:eastAsia="宋体" w:cs="宋体"/>
                <w:highlight w:val="none"/>
              </w:rPr>
            </w:pPr>
            <w:r>
              <w:rPr>
                <w:rFonts w:hint="eastAsia" w:ascii="宋体" w:hAnsi="宋体" w:eastAsia="宋体" w:cs="宋体"/>
                <w:highlight w:val="none"/>
              </w:rPr>
              <w:t>单 位 概 况</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highlight w:val="none"/>
              </w:rPr>
            </w:pPr>
          </w:p>
        </w:tc>
      </w:tr>
    </w:tbl>
    <w:p>
      <w:pPr>
        <w:pStyle w:val="8"/>
        <w:kinsoku w:val="0"/>
        <w:overflowPunct w:val="0"/>
        <w:spacing w:before="26" w:line="320" w:lineRule="auto"/>
        <w:ind w:left="1772" w:hanging="1640"/>
        <w:rPr>
          <w:rFonts w:hint="eastAsia" w:ascii="宋体" w:hAnsi="宋体" w:eastAsia="宋体" w:cs="宋体"/>
          <w:b/>
          <w:bCs/>
          <w:w w:val="95"/>
          <w:highlight w:val="none"/>
        </w:rPr>
      </w:pPr>
    </w:p>
    <w:p>
      <w:pPr>
        <w:pStyle w:val="8"/>
        <w:kinsoku w:val="0"/>
        <w:overflowPunct w:val="0"/>
        <w:spacing w:before="26" w:line="320" w:lineRule="auto"/>
        <w:ind w:left="0"/>
        <w:jc w:val="center"/>
        <w:outlineLvl w:val="2"/>
        <w:rPr>
          <w:rFonts w:hint="eastAsia" w:ascii="宋体" w:hAnsi="宋体" w:eastAsia="宋体" w:cs="宋体"/>
          <w:highlight w:val="none"/>
        </w:rPr>
      </w:pPr>
      <w:r>
        <w:rPr>
          <w:rFonts w:hint="eastAsia" w:ascii="宋体" w:hAnsi="宋体" w:eastAsia="宋体" w:cs="宋体"/>
          <w:b/>
          <w:bCs/>
          <w:w w:val="95"/>
          <w:highlight w:val="none"/>
        </w:rPr>
        <w:br w:type="page"/>
      </w:r>
      <w:r>
        <w:rPr>
          <w:rFonts w:hint="eastAsia" w:ascii="宋体" w:hAnsi="宋体" w:eastAsia="宋体" w:cs="宋体"/>
          <w:b/>
          <w:bCs/>
          <w:highlight w:val="none"/>
        </w:rPr>
        <w:t>（二）营业执照副本、税务登记证、组织机构代码证、（三证合一的提供统一社会信用代码的营业执照）</w:t>
      </w:r>
    </w:p>
    <w:p>
      <w:pPr>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说明：</w:t>
      </w:r>
    </w:p>
    <w:p>
      <w:pPr>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（1）企业单位投标提供有效的营业执照（3证合1或多证合1）；</w:t>
      </w:r>
    </w:p>
    <w:p>
      <w:pPr>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（2）事业单位投标提供有效的法人证书（带有社会统一信用代码）；</w:t>
      </w:r>
    </w:p>
    <w:p>
      <w:pPr>
        <w:spacing w:line="360" w:lineRule="auto"/>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（3）其他组织投标提供有效的登记证书（带有社会统一信用代码）；</w:t>
      </w:r>
    </w:p>
    <w:p>
      <w:pPr>
        <w:spacing w:line="360" w:lineRule="auto"/>
        <w:rPr>
          <w:rFonts w:hint="eastAsia" w:ascii="宋体" w:hAnsi="宋体" w:cs="宋体"/>
          <w:color w:val="000000"/>
          <w:kern w:val="0"/>
          <w:sz w:val="24"/>
          <w:highlight w:val="none"/>
          <w:lang w:eastAsia="zh-CN"/>
        </w:rPr>
      </w:pPr>
      <w:r>
        <w:rPr>
          <w:rFonts w:hint="eastAsia" w:ascii="宋体" w:hAnsi="宋体" w:eastAsia="宋体" w:cs="宋体"/>
          <w:color w:val="000000"/>
          <w:kern w:val="0"/>
          <w:sz w:val="24"/>
          <w:highlight w:val="none"/>
        </w:rPr>
        <w:t>（4）自然人投标提供有效的身份证复印件</w:t>
      </w:r>
      <w:r>
        <w:rPr>
          <w:rFonts w:hint="eastAsia" w:ascii="宋体" w:hAnsi="宋体" w:cs="宋体"/>
          <w:color w:val="000000"/>
          <w:kern w:val="0"/>
          <w:sz w:val="24"/>
          <w:highlight w:val="none"/>
          <w:lang w:eastAsia="zh-CN"/>
        </w:rPr>
        <w:t>。</w:t>
      </w:r>
    </w:p>
    <w:p>
      <w:pPr>
        <w:spacing w:line="360" w:lineRule="auto"/>
        <w:rPr>
          <w:rFonts w:hint="eastAsia" w:ascii="宋体" w:hAnsi="宋体" w:eastAsia="宋体" w:cs="宋体"/>
          <w:color w:val="000000"/>
          <w:kern w:val="0"/>
          <w:sz w:val="24"/>
          <w:highlight w:val="none"/>
          <w:lang w:eastAsia="zh-CN"/>
        </w:rPr>
      </w:pPr>
      <w:r>
        <w:rPr>
          <w:rFonts w:hint="eastAsia" w:ascii="宋体" w:hAnsi="宋体" w:cs="宋体"/>
          <w:color w:val="000000"/>
          <w:kern w:val="0"/>
          <w:sz w:val="24"/>
          <w:highlight w:val="none"/>
          <w:lang w:eastAsia="zh-CN"/>
        </w:rPr>
        <w:t>（</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eastAsia="zh-CN"/>
        </w:rPr>
        <w:t>）</w:t>
      </w:r>
      <w:r>
        <w:rPr>
          <w:rFonts w:hint="eastAsia"/>
          <w:color w:val="auto"/>
          <w:sz w:val="24"/>
          <w:szCs w:val="24"/>
          <w:lang w:eastAsia="zh-CN"/>
        </w:rPr>
        <w:t>文物行政主管部门颁发的文物保护工程施工二级以上（含二级）资质，并取得建设行政主管部门颁发有效的《安全生产许可证》。</w:t>
      </w:r>
    </w:p>
    <w:p>
      <w:pPr>
        <w:pStyle w:val="8"/>
        <w:kinsoku w:val="0"/>
        <w:overflowPunct w:val="0"/>
        <w:spacing w:before="26"/>
        <w:ind w:left="1051" w:right="118"/>
        <w:jc w:val="center"/>
        <w:outlineLvl w:val="2"/>
        <w:rPr>
          <w:rFonts w:hint="eastAsia" w:ascii="宋体" w:hAnsi="宋体" w:eastAsia="宋体" w:cs="宋体"/>
          <w:b/>
          <w:bCs/>
          <w:highlight w:val="none"/>
        </w:rPr>
      </w:pPr>
      <w:r>
        <w:rPr>
          <w:rFonts w:hint="eastAsia" w:ascii="宋体" w:hAnsi="宋体" w:eastAsia="宋体" w:cs="宋体"/>
          <w:highlight w:val="none"/>
        </w:rPr>
        <w:br w:type="page"/>
      </w:r>
      <w:r>
        <w:rPr>
          <w:rFonts w:hint="eastAsia" w:ascii="宋体" w:hAnsi="宋体" w:eastAsia="宋体" w:cs="宋体"/>
          <w:b/>
          <w:bCs/>
          <w:highlight w:val="none"/>
        </w:rPr>
        <w:t>（三）近一年财务状况报告相关材料（复印件加盖单位公章）</w:t>
      </w:r>
    </w:p>
    <w:p>
      <w:pPr>
        <w:pStyle w:val="9"/>
        <w:adjustRightInd w:val="0"/>
        <w:snapToGrid w:val="0"/>
        <w:spacing w:line="360" w:lineRule="auto"/>
        <w:jc w:val="left"/>
        <w:rPr>
          <w:rFonts w:hint="eastAsia" w:ascii="宋体" w:hAnsi="宋体" w:eastAsia="宋体" w:cs="宋体"/>
          <w:b/>
          <w:sz w:val="24"/>
          <w:szCs w:val="24"/>
          <w:highlight w:val="none"/>
        </w:rPr>
      </w:pPr>
    </w:p>
    <w:p>
      <w:pPr>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 说明：</w:t>
      </w:r>
    </w:p>
    <w:p>
      <w:pPr>
        <w:spacing w:line="360" w:lineRule="auto"/>
        <w:ind w:firstLine="480"/>
        <w:rPr>
          <w:rFonts w:hint="eastAsia" w:ascii="宋体" w:hAnsi="宋体" w:eastAsia="宋体" w:cs="宋体"/>
          <w:color w:val="000000"/>
          <w:kern w:val="0"/>
          <w:sz w:val="24"/>
          <w:highlight w:val="none"/>
          <w:lang w:eastAsia="zh-CN"/>
        </w:rPr>
      </w:pPr>
      <w:r>
        <w:rPr>
          <w:rFonts w:hint="eastAsia" w:ascii="宋体" w:hAnsi="宋体" w:eastAsia="宋体" w:cs="宋体"/>
          <w:color w:val="000000"/>
          <w:kern w:val="0"/>
          <w:sz w:val="24"/>
          <w:highlight w:val="none"/>
        </w:rPr>
        <w:t>（1）</w:t>
      </w:r>
      <w:r>
        <w:rPr>
          <w:rFonts w:hint="eastAsia" w:ascii="宋体" w:hAnsi="宋体" w:eastAsia="宋体" w:cs="宋体"/>
          <w:color w:val="000000"/>
          <w:kern w:val="0"/>
          <w:sz w:val="24"/>
          <w:highlight w:val="none"/>
          <w:lang w:val="en-US" w:eastAsia="zh-CN"/>
        </w:rPr>
        <w:t>20</w:t>
      </w:r>
      <w:r>
        <w:rPr>
          <w:rFonts w:hint="eastAsia" w:ascii="宋体" w:hAnsi="宋体" w:cs="宋体"/>
          <w:color w:val="000000"/>
          <w:kern w:val="0"/>
          <w:sz w:val="24"/>
          <w:highlight w:val="none"/>
          <w:lang w:val="en-US" w:eastAsia="zh-CN"/>
        </w:rPr>
        <w:t>20</w:t>
      </w:r>
      <w:r>
        <w:rPr>
          <w:rFonts w:hint="eastAsia" w:ascii="宋体" w:hAnsi="宋体" w:eastAsia="宋体" w:cs="宋体"/>
          <w:color w:val="000000"/>
          <w:kern w:val="0"/>
          <w:sz w:val="24"/>
          <w:highlight w:val="none"/>
          <w:lang w:val="en-US" w:eastAsia="zh-CN"/>
        </w:rPr>
        <w:t>年</w:t>
      </w:r>
      <w:r>
        <w:rPr>
          <w:rFonts w:hint="eastAsia" w:ascii="宋体" w:hAnsi="宋体" w:cs="宋体"/>
          <w:color w:val="000000"/>
          <w:kern w:val="0"/>
          <w:sz w:val="24"/>
          <w:highlight w:val="none"/>
          <w:lang w:val="en-US" w:eastAsia="zh-CN"/>
        </w:rPr>
        <w:t>或2021年</w:t>
      </w:r>
      <w:r>
        <w:rPr>
          <w:rFonts w:hint="eastAsia" w:ascii="宋体" w:hAnsi="宋体" w:eastAsia="宋体" w:cs="宋体"/>
          <w:color w:val="000000"/>
          <w:kern w:val="0"/>
          <w:sz w:val="24"/>
          <w:highlight w:val="none"/>
          <w:lang w:val="en-US" w:eastAsia="zh-CN"/>
        </w:rPr>
        <w:t>审计报告（或基本开户银行出具的资信证明文件）</w:t>
      </w:r>
      <w:r>
        <w:rPr>
          <w:rFonts w:hint="eastAsia" w:ascii="宋体" w:hAnsi="宋体" w:eastAsia="宋体" w:cs="宋体"/>
          <w:color w:val="000000"/>
          <w:kern w:val="0"/>
          <w:sz w:val="24"/>
          <w:highlight w:val="none"/>
        </w:rPr>
        <w:t>，包括 “四表一注”即《资产负债表》《利润表》《现金流量表》《所有者权益变动表》及其附注复印件</w:t>
      </w:r>
      <w:r>
        <w:rPr>
          <w:rFonts w:hint="eastAsia" w:ascii="宋体" w:hAnsi="宋体" w:cs="宋体"/>
          <w:color w:val="000000"/>
          <w:kern w:val="0"/>
          <w:sz w:val="24"/>
          <w:highlight w:val="none"/>
          <w:lang w:eastAsia="zh-CN"/>
        </w:rPr>
        <w:t>；</w:t>
      </w:r>
    </w:p>
    <w:p>
      <w:pPr>
        <w:spacing w:line="360" w:lineRule="auto"/>
        <w:ind w:firstLine="480"/>
        <w:rPr>
          <w:rFonts w:hint="eastAsia" w:ascii="宋体" w:hAnsi="宋体" w:eastAsia="宋体" w:cs="宋体"/>
          <w:highlight w:val="none"/>
          <w:lang w:eastAsia="zh-CN"/>
        </w:rPr>
      </w:pPr>
      <w:r>
        <w:rPr>
          <w:rFonts w:hint="eastAsia" w:ascii="宋体" w:hAnsi="宋体" w:cs="宋体"/>
          <w:color w:val="000000"/>
          <w:kern w:val="0"/>
          <w:sz w:val="24"/>
          <w:highlight w:val="none"/>
          <w:lang w:eastAsia="zh-CN"/>
        </w:rPr>
        <w:t>（</w:t>
      </w:r>
      <w:r>
        <w:rPr>
          <w:rFonts w:hint="eastAsia" w:ascii="宋体" w:hAnsi="宋体" w:cs="宋体"/>
          <w:color w:val="000000"/>
          <w:kern w:val="0"/>
          <w:sz w:val="24"/>
          <w:highlight w:val="none"/>
          <w:lang w:val="en-US" w:eastAsia="zh-CN"/>
        </w:rPr>
        <w:t>2</w:t>
      </w:r>
      <w:r>
        <w:rPr>
          <w:rFonts w:hint="eastAsia" w:ascii="宋体" w:hAnsi="宋体" w:cs="宋体"/>
          <w:color w:val="000000"/>
          <w:kern w:val="0"/>
          <w:sz w:val="24"/>
          <w:highlight w:val="none"/>
          <w:lang w:eastAsia="zh-CN"/>
        </w:rPr>
        <w:t>）</w:t>
      </w:r>
      <w:r>
        <w:rPr>
          <w:rFonts w:hint="eastAsia" w:ascii="宋体" w:hAnsi="宋体" w:eastAsia="宋体" w:cs="宋体"/>
          <w:color w:val="000000"/>
          <w:kern w:val="0"/>
          <w:sz w:val="24"/>
          <w:highlight w:val="none"/>
        </w:rPr>
        <w:t>投标人成立不到1年的，提供季度或月份有关财务报表原件（不需审计）</w:t>
      </w:r>
      <w:r>
        <w:rPr>
          <w:rFonts w:hint="eastAsia" w:ascii="宋体" w:hAnsi="宋体" w:cs="宋体"/>
          <w:color w:val="000000"/>
          <w:kern w:val="0"/>
          <w:sz w:val="24"/>
          <w:highlight w:val="none"/>
          <w:lang w:eastAsia="zh-CN"/>
        </w:rPr>
        <w:t>；</w:t>
      </w:r>
    </w:p>
    <w:p>
      <w:pPr>
        <w:spacing w:line="360" w:lineRule="auto"/>
        <w:ind w:firstLine="480"/>
        <w:rPr>
          <w:rFonts w:hint="eastAsia" w:ascii="宋体" w:hAnsi="宋体" w:eastAsia="宋体" w:cs="宋体"/>
          <w:color w:val="000000"/>
          <w:kern w:val="0"/>
          <w:sz w:val="24"/>
          <w:highlight w:val="none"/>
          <w:lang w:eastAsia="zh-CN"/>
        </w:rPr>
      </w:pPr>
      <w:r>
        <w:rPr>
          <w:rFonts w:hint="eastAsia" w:ascii="宋体" w:hAnsi="宋体" w:eastAsia="宋体" w:cs="宋体"/>
          <w:color w:val="000000"/>
          <w:kern w:val="0"/>
          <w:sz w:val="24"/>
          <w:highlight w:val="none"/>
        </w:rPr>
        <w:t>（3）公益类事业单位、自然人无需提供</w:t>
      </w:r>
      <w:r>
        <w:rPr>
          <w:rFonts w:hint="eastAsia" w:ascii="宋体" w:hAnsi="宋体" w:cs="宋体"/>
          <w:color w:val="000000"/>
          <w:kern w:val="0"/>
          <w:sz w:val="24"/>
          <w:highlight w:val="none"/>
          <w:lang w:eastAsia="zh-CN"/>
        </w:rPr>
        <w:t>；</w:t>
      </w:r>
    </w:p>
    <w:p>
      <w:pPr>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（4）原件或复印件可直接装订，复印件加盖投标人单位章。 </w:t>
      </w:r>
    </w:p>
    <w:p>
      <w:pPr>
        <w:rPr>
          <w:rFonts w:hint="eastAsia"/>
          <w:highlight w:val="none"/>
        </w:rPr>
      </w:pPr>
    </w:p>
    <w:p>
      <w:pPr>
        <w:pStyle w:val="9"/>
        <w:adjustRightInd w:val="0"/>
        <w:snapToGrid w:val="0"/>
        <w:spacing w:line="360" w:lineRule="auto"/>
        <w:jc w:val="center"/>
        <w:outlineLvl w:val="2"/>
        <w:rPr>
          <w:rFonts w:hint="eastAsia" w:ascii="宋体" w:hAnsi="宋体" w:eastAsia="宋体" w:cs="宋体"/>
          <w:b/>
          <w:sz w:val="36"/>
          <w:szCs w:val="36"/>
          <w:highlight w:val="none"/>
        </w:rPr>
      </w:pPr>
      <w:r>
        <w:rPr>
          <w:rFonts w:hint="eastAsia" w:ascii="宋体" w:hAnsi="宋体" w:eastAsia="宋体" w:cs="宋体"/>
          <w:highlight w:val="none"/>
        </w:rPr>
        <w:br w:type="page"/>
      </w:r>
      <w:r>
        <w:rPr>
          <w:rFonts w:hint="eastAsia" w:ascii="宋体" w:hAnsi="宋体" w:eastAsia="宋体" w:cs="宋体"/>
          <w:b/>
          <w:bCs/>
          <w:kern w:val="0"/>
          <w:sz w:val="24"/>
          <w:szCs w:val="24"/>
          <w:highlight w:val="none"/>
          <w:lang w:val="en-US" w:eastAsia="zh-CN" w:bidi="ar-SA"/>
        </w:rPr>
        <w:t>（四）税收缴纳证明</w:t>
      </w:r>
    </w:p>
    <w:p>
      <w:pPr>
        <w:pStyle w:val="9"/>
        <w:adjustRightInd w:val="0"/>
        <w:snapToGrid w:val="0"/>
        <w:spacing w:line="360" w:lineRule="auto"/>
        <w:jc w:val="left"/>
        <w:rPr>
          <w:rFonts w:hint="eastAsia" w:ascii="宋体" w:hAnsi="宋体" w:eastAsia="宋体" w:cs="宋体"/>
          <w:sz w:val="24"/>
          <w:szCs w:val="24"/>
          <w:highlight w:val="none"/>
        </w:rPr>
      </w:pPr>
    </w:p>
    <w:p>
      <w:pPr>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说明：</w:t>
      </w:r>
    </w:p>
    <w:p>
      <w:pPr>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（1）税收缴纳证明：提供供应商</w:t>
      </w:r>
      <w:r>
        <w:rPr>
          <w:rFonts w:hint="eastAsia" w:ascii="宋体" w:hAnsi="宋体" w:cs="宋体"/>
          <w:color w:val="000000"/>
          <w:kern w:val="0"/>
          <w:sz w:val="24"/>
          <w:highlight w:val="none"/>
          <w:lang w:eastAsia="zh-CN"/>
        </w:rPr>
        <w:t>近半年</w:t>
      </w:r>
      <w:r>
        <w:rPr>
          <w:rFonts w:hint="eastAsia" w:ascii="宋体" w:hAnsi="宋体" w:cs="宋体"/>
          <w:color w:val="000000"/>
          <w:kern w:val="0"/>
          <w:sz w:val="24"/>
          <w:highlight w:val="none"/>
          <w:lang w:val="en-US" w:eastAsia="zh-CN"/>
        </w:rPr>
        <w:t>内</w:t>
      </w:r>
      <w:r>
        <w:rPr>
          <w:rFonts w:hint="eastAsia" w:ascii="宋体" w:hAnsi="宋体" w:eastAsia="宋体" w:cs="宋体"/>
          <w:color w:val="000000"/>
          <w:kern w:val="0"/>
          <w:sz w:val="24"/>
          <w:highlight w:val="none"/>
        </w:rPr>
        <w:t xml:space="preserve">纳税证明； </w:t>
      </w:r>
    </w:p>
    <w:p>
      <w:pPr>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（2）依法免税的应提供相关文件证明；</w:t>
      </w:r>
    </w:p>
    <w:p>
      <w:pPr>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（3）公益类事业单位无需提供；</w:t>
      </w:r>
    </w:p>
    <w:p>
      <w:pPr>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（4）新成立未发生缴纳税收事项的投标人，应提供纳税书面承诺；</w:t>
      </w:r>
    </w:p>
    <w:p>
      <w:pPr>
        <w:spacing w:line="360" w:lineRule="auto"/>
        <w:ind w:firstLine="48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（5）原件或复印件可直接装订，复印件加盖投标人单位章。</w:t>
      </w:r>
    </w:p>
    <w:p>
      <w:pPr>
        <w:rPr>
          <w:rFonts w:hint="eastAsia" w:ascii="宋体" w:hAnsi="宋体" w:eastAsia="宋体" w:cs="宋体"/>
          <w:b/>
          <w:bCs/>
          <w:highlight w:val="none"/>
        </w:rPr>
      </w:pPr>
      <w:r>
        <w:rPr>
          <w:rFonts w:hint="eastAsia" w:ascii="宋体" w:hAnsi="宋体" w:eastAsia="宋体" w:cs="宋体"/>
          <w:b/>
          <w:bCs/>
          <w:highlight w:val="none"/>
        </w:rPr>
        <w:br w:type="page"/>
      </w:r>
    </w:p>
    <w:p>
      <w:pPr>
        <w:pStyle w:val="8"/>
        <w:numPr>
          <w:ilvl w:val="0"/>
          <w:numId w:val="0"/>
        </w:numPr>
        <w:kinsoku w:val="0"/>
        <w:overflowPunct w:val="0"/>
        <w:spacing w:before="26"/>
        <w:ind w:right="118" w:rightChars="0"/>
        <w:jc w:val="center"/>
        <w:outlineLvl w:val="2"/>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（五）单位社会保障缴费证明（复印件加盖公章）</w:t>
      </w:r>
    </w:p>
    <w:p>
      <w:pPr>
        <w:pStyle w:val="9"/>
        <w:adjustRightInd w:val="0"/>
        <w:snapToGrid w:val="0"/>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说明：</w:t>
      </w:r>
    </w:p>
    <w:p>
      <w:pPr>
        <w:spacing w:line="360" w:lineRule="auto"/>
        <w:ind w:firstLine="482"/>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（1）社会保障资金缴纳证明：</w:t>
      </w:r>
      <w:r>
        <w:rPr>
          <w:rFonts w:hint="eastAsia" w:ascii="宋体" w:hAnsi="宋体" w:cs="宋体"/>
          <w:color w:val="000000"/>
          <w:kern w:val="0"/>
          <w:sz w:val="24"/>
          <w:highlight w:val="none"/>
          <w:lang w:eastAsia="zh-CN"/>
        </w:rPr>
        <w:t>近半年</w:t>
      </w:r>
      <w:r>
        <w:rPr>
          <w:rFonts w:hint="eastAsia" w:ascii="宋体" w:hAnsi="宋体" w:cs="宋体"/>
          <w:color w:val="000000"/>
          <w:kern w:val="0"/>
          <w:sz w:val="24"/>
          <w:highlight w:val="none"/>
          <w:lang w:val="en-US" w:eastAsia="zh-CN"/>
        </w:rPr>
        <w:t>内</w:t>
      </w:r>
      <w:r>
        <w:rPr>
          <w:rFonts w:hint="eastAsia" w:ascii="宋体" w:hAnsi="宋体" w:eastAsia="宋体" w:cs="宋体"/>
          <w:color w:val="000000"/>
          <w:kern w:val="0"/>
          <w:sz w:val="24"/>
          <w:highlight w:val="none"/>
        </w:rPr>
        <w:t>社保缴纳证明；</w:t>
      </w:r>
    </w:p>
    <w:p>
      <w:pPr>
        <w:spacing w:line="360" w:lineRule="auto"/>
        <w:ind w:firstLine="482"/>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（2）依法不需要缴纳社会保障资金的供应商应提供相关文件证明；</w:t>
      </w:r>
    </w:p>
    <w:p>
      <w:pPr>
        <w:pStyle w:val="9"/>
        <w:adjustRightInd w:val="0"/>
        <w:snapToGrid w:val="0"/>
        <w:spacing w:line="360" w:lineRule="auto"/>
        <w:ind w:firstLine="482"/>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（3）公益类事业单位无需提供；</w:t>
      </w:r>
    </w:p>
    <w:p>
      <w:pPr>
        <w:pStyle w:val="9"/>
        <w:adjustRightInd w:val="0"/>
        <w:snapToGrid w:val="0"/>
        <w:spacing w:line="360" w:lineRule="auto"/>
        <w:ind w:firstLine="482"/>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（4）新成立未发生缴纳社保资金事项的投标人，应提供缴纳社保资金的书面承诺；</w:t>
      </w:r>
    </w:p>
    <w:p>
      <w:pPr>
        <w:pStyle w:val="9"/>
        <w:adjustRightInd w:val="0"/>
        <w:snapToGrid w:val="0"/>
        <w:spacing w:line="360" w:lineRule="auto"/>
        <w:ind w:firstLine="482"/>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（5）原件或复印件可直接装订，复印件加盖投标人单位章。</w:t>
      </w:r>
    </w:p>
    <w:p>
      <w:pPr>
        <w:rPr>
          <w:rFonts w:hint="eastAsia" w:ascii="宋体" w:hAnsi="宋体" w:eastAsia="宋体" w:cs="宋体"/>
          <w:b/>
          <w:bCs/>
          <w:highlight w:val="none"/>
        </w:rPr>
      </w:pPr>
      <w:r>
        <w:rPr>
          <w:rFonts w:hint="eastAsia" w:ascii="宋体" w:hAnsi="宋体" w:eastAsia="宋体" w:cs="宋体"/>
          <w:b/>
          <w:bCs/>
          <w:highlight w:val="none"/>
        </w:rPr>
        <w:br w:type="page"/>
      </w:r>
    </w:p>
    <w:p>
      <w:pPr>
        <w:pStyle w:val="9"/>
        <w:adjustRightInd w:val="0"/>
        <w:snapToGrid w:val="0"/>
        <w:spacing w:line="360" w:lineRule="auto"/>
        <w:ind w:firstLine="482"/>
        <w:jc w:val="center"/>
        <w:outlineLvl w:val="2"/>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（六）</w:t>
      </w:r>
      <w:r>
        <w:rPr>
          <w:rFonts w:hint="eastAsia" w:hAnsi="宋体" w:cs="宋体"/>
          <w:b/>
          <w:bCs/>
          <w:kern w:val="0"/>
          <w:sz w:val="24"/>
          <w:szCs w:val="24"/>
          <w:highlight w:val="none"/>
          <w:lang w:val="en-US" w:eastAsia="zh-CN" w:bidi="ar-SA"/>
        </w:rPr>
        <w:t>企业综合能力、体系认证和资质能力</w:t>
      </w:r>
    </w:p>
    <w:p>
      <w:pPr>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br w:type="page"/>
      </w:r>
    </w:p>
    <w:p>
      <w:pPr>
        <w:pStyle w:val="9"/>
        <w:adjustRightInd w:val="0"/>
        <w:snapToGrid w:val="0"/>
        <w:spacing w:line="360" w:lineRule="auto"/>
        <w:ind w:firstLine="482"/>
        <w:jc w:val="center"/>
        <w:rPr>
          <w:rFonts w:hint="eastAsia" w:ascii="宋体" w:hAnsi="宋体" w:eastAsia="宋体" w:cs="宋体"/>
          <w:b/>
          <w:bCs/>
          <w:kern w:val="0"/>
          <w:sz w:val="24"/>
          <w:szCs w:val="24"/>
          <w:highlight w:val="none"/>
          <w:lang w:val="en-US" w:eastAsia="zh-CN" w:bidi="ar-SA"/>
        </w:rPr>
      </w:pPr>
    </w:p>
    <w:p>
      <w:pPr>
        <w:pStyle w:val="9"/>
        <w:adjustRightInd w:val="0"/>
        <w:snapToGrid w:val="0"/>
        <w:spacing w:line="360" w:lineRule="auto"/>
        <w:ind w:firstLine="482"/>
        <w:jc w:val="center"/>
        <w:outlineLvl w:val="2"/>
        <w:rPr>
          <w:rFonts w:hint="eastAsia" w:ascii="宋体" w:hAnsi="宋体" w:eastAsia="宋体" w:cs="宋体"/>
          <w:color w:val="000000"/>
          <w:kern w:val="0"/>
          <w:sz w:val="24"/>
          <w:szCs w:val="24"/>
          <w:highlight w:val="none"/>
        </w:rPr>
      </w:pPr>
      <w:r>
        <w:rPr>
          <w:rFonts w:hint="eastAsia" w:ascii="宋体" w:hAnsi="宋体" w:eastAsia="宋体" w:cs="宋体"/>
          <w:b/>
          <w:bCs/>
          <w:kern w:val="0"/>
          <w:sz w:val="24"/>
          <w:szCs w:val="24"/>
          <w:highlight w:val="none"/>
          <w:lang w:val="en-US" w:eastAsia="zh-CN" w:bidi="ar-SA"/>
        </w:rPr>
        <w:t>（七）其他证明材料</w:t>
      </w:r>
    </w:p>
    <w:p>
      <w:pPr>
        <w:pStyle w:val="22"/>
        <w:ind w:firstLine="480"/>
        <w:rPr>
          <w:rFonts w:hint="eastAsia" w:ascii="宋体" w:hAnsi="宋体" w:eastAsia="宋体" w:cs="宋体"/>
          <w:color w:val="000000"/>
          <w:kern w:val="0"/>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color w:val="000000"/>
          <w:kern w:val="0"/>
          <w:sz w:val="24"/>
          <w:szCs w:val="24"/>
          <w:highlight w:val="none"/>
        </w:rPr>
        <w:t>参加政府采购活动前三年内，在经营活动中没有重大违法记录</w:t>
      </w:r>
      <w:r>
        <w:rPr>
          <w:rFonts w:hint="eastAsia" w:ascii="宋体" w:hAnsi="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近三年经营活动中没有重大违法记录声明函</w:t>
      </w:r>
      <w:r>
        <w:rPr>
          <w:rFonts w:hint="eastAsia" w:ascii="宋体" w:hAnsi="宋体" w:cs="宋体"/>
          <w:color w:val="000000"/>
          <w:kern w:val="0"/>
          <w:sz w:val="24"/>
          <w:szCs w:val="24"/>
          <w:highlight w:val="none"/>
          <w:lang w:eastAsia="zh-CN"/>
        </w:rPr>
        <w:t>；</w:t>
      </w:r>
    </w:p>
    <w:p>
      <w:pPr>
        <w:pStyle w:val="22"/>
        <w:ind w:firstLine="480"/>
        <w:rPr>
          <w:rFonts w:hint="eastAsia" w:ascii="宋体" w:hAnsi="宋体" w:eastAsia="宋体" w:cs="宋体"/>
          <w:color w:val="000000"/>
          <w:kern w:val="0"/>
          <w:sz w:val="24"/>
          <w:szCs w:val="24"/>
          <w:highlight w:val="none"/>
        </w:rPr>
      </w:pPr>
      <w:r>
        <w:rPr>
          <w:rFonts w:hint="eastAsia" w:ascii="宋体" w:hAnsi="宋体" w:eastAsia="宋体" w:cs="宋体"/>
          <w:sz w:val="24"/>
          <w:szCs w:val="24"/>
          <w:highlight w:val="none"/>
        </w:rPr>
        <w:t>（2）</w:t>
      </w:r>
      <w:r>
        <w:rPr>
          <w:rFonts w:hint="eastAsia" w:ascii="宋体" w:hAnsi="宋体" w:eastAsia="宋体" w:cs="宋体"/>
          <w:color w:val="000000"/>
          <w:kern w:val="0"/>
          <w:sz w:val="24"/>
          <w:szCs w:val="24"/>
          <w:highlight w:val="none"/>
        </w:rPr>
        <w:t>法律、行政法规规定的其他条件。应商不得为“信用中国”网站（www.creditchina.gov.cn）中列入失信被执行人和</w:t>
      </w:r>
      <w:r>
        <w:rPr>
          <w:rFonts w:hint="eastAsia" w:ascii="宋体" w:hAnsi="宋体" w:cs="宋体"/>
          <w:color w:val="000000"/>
          <w:kern w:val="0"/>
          <w:sz w:val="24"/>
          <w:szCs w:val="24"/>
          <w:highlight w:val="none"/>
          <w:lang w:eastAsia="zh-CN"/>
        </w:rPr>
        <w:t>重大税收违法失信主体记录</w:t>
      </w:r>
      <w:r>
        <w:rPr>
          <w:rFonts w:hint="eastAsia" w:ascii="宋体" w:hAnsi="宋体" w:eastAsia="宋体" w:cs="宋体"/>
          <w:color w:val="000000"/>
          <w:kern w:val="0"/>
          <w:sz w:val="24"/>
          <w:szCs w:val="24"/>
          <w:highlight w:val="none"/>
        </w:rPr>
        <w:t>的供应商，不得为中国政府采购网（www.ccgp.gov.cn）政府采购严重违法失信行为记录名单中被财政部门禁止参加政府采购活动的供应商。（网站查询的截图，加盖供应商公章）</w:t>
      </w:r>
    </w:p>
    <w:p>
      <w:pPr>
        <w:pStyle w:val="22"/>
        <w:ind w:firstLine="480"/>
        <w:rPr>
          <w:rFonts w:hint="eastAsia" w:ascii="宋体" w:hAnsi="宋体" w:eastAsia="宋体" w:cs="宋体"/>
          <w:color w:val="000000"/>
          <w:kern w:val="0"/>
          <w:sz w:val="24"/>
          <w:szCs w:val="24"/>
          <w:highlight w:val="none"/>
          <w:lang w:eastAsia="zh-CN"/>
        </w:rPr>
      </w:pPr>
    </w:p>
    <w:p>
      <w:pPr>
        <w:pStyle w:val="22"/>
        <w:ind w:firstLine="480"/>
        <w:rPr>
          <w:rFonts w:hint="eastAsia" w:ascii="宋体" w:hAnsi="宋体" w:eastAsia="宋体" w:cs="宋体"/>
          <w:color w:val="000000"/>
          <w:kern w:val="0"/>
          <w:sz w:val="24"/>
          <w:szCs w:val="24"/>
          <w:highlight w:val="none"/>
          <w:lang w:eastAsia="zh-CN"/>
        </w:rPr>
        <w:sectPr>
          <w:footerReference r:id="rId6" w:type="default"/>
          <w:pgSz w:w="11906" w:h="16838"/>
          <w:pgMar w:top="1440" w:right="1588" w:bottom="1440" w:left="1588" w:header="851" w:footer="992" w:gutter="0"/>
          <w:pgBorders>
            <w:top w:val="none" w:sz="0" w:space="0"/>
            <w:left w:val="none" w:sz="0" w:space="0"/>
            <w:bottom w:val="none" w:sz="0" w:space="0"/>
            <w:right w:val="none" w:sz="0" w:space="0"/>
          </w:pgBorders>
          <w:pgNumType w:fmt="decimal"/>
          <w:cols w:space="720" w:num="1"/>
          <w:docGrid w:linePitch="312" w:charSpace="0"/>
        </w:sectPr>
      </w:pPr>
    </w:p>
    <w:p>
      <w:pPr>
        <w:jc w:val="center"/>
        <w:outlineLvl w:val="1"/>
        <w:rPr>
          <w:rFonts w:hint="eastAsia" w:ascii="宋体" w:hAnsi="宋体" w:eastAsia="宋体" w:cs="宋体"/>
          <w:b/>
          <w:szCs w:val="21"/>
          <w:highlight w:val="none"/>
          <w:lang w:eastAsia="zh-CN"/>
        </w:rPr>
      </w:pPr>
      <w:r>
        <w:rPr>
          <w:rFonts w:hint="eastAsia" w:ascii="宋体" w:hAnsi="宋体" w:eastAsia="宋体" w:cs="宋体"/>
          <w:b/>
          <w:bCs/>
          <w:sz w:val="36"/>
          <w:szCs w:val="36"/>
          <w:highlight w:val="none"/>
        </w:rPr>
        <w:t>八、</w:t>
      </w:r>
      <w:r>
        <w:rPr>
          <w:rFonts w:hint="eastAsia" w:ascii="宋体" w:hAnsi="宋体" w:cs="宋体"/>
          <w:b/>
          <w:bCs/>
          <w:sz w:val="36"/>
          <w:szCs w:val="36"/>
          <w:highlight w:val="none"/>
          <w:lang w:eastAsia="zh-CN"/>
        </w:rPr>
        <w:t>人员配置</w:t>
      </w:r>
    </w:p>
    <w:p>
      <w:pPr>
        <w:rPr>
          <w:rFonts w:hint="eastAsia" w:ascii="宋体" w:hAnsi="宋体" w:eastAsia="宋体" w:cs="宋体"/>
          <w:highlight w:val="none"/>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拟任执行管理及技术人员情况</w:t>
      </w:r>
    </w:p>
    <w:tbl>
      <w:tblPr>
        <w:tblStyle w:val="18"/>
        <w:tblW w:w="10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1040"/>
        <w:gridCol w:w="959"/>
        <w:gridCol w:w="2621"/>
        <w:gridCol w:w="697"/>
        <w:gridCol w:w="697"/>
        <w:gridCol w:w="1567"/>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职责分工</w:t>
            </w:r>
          </w:p>
        </w:tc>
        <w:tc>
          <w:tcPr>
            <w:tcW w:w="10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p>
        </w:tc>
        <w:tc>
          <w:tcPr>
            <w:tcW w:w="959" w:type="dxa"/>
            <w:tcBorders>
              <w:top w:val="single" w:color="auto" w:sz="4" w:space="0"/>
              <w:left w:val="single" w:color="auto" w:sz="4" w:space="0"/>
              <w:bottom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现职务</w:t>
            </w:r>
          </w:p>
        </w:tc>
        <w:tc>
          <w:tcPr>
            <w:tcW w:w="2621" w:type="dxa"/>
            <w:tcBorders>
              <w:top w:val="single" w:color="auto" w:sz="4" w:space="0"/>
              <w:bottom w:val="single" w:color="auto" w:sz="4" w:space="0"/>
            </w:tcBorders>
            <w:noWrap w:val="0"/>
            <w:vAlign w:val="center"/>
          </w:tcPr>
          <w:p>
            <w:pPr>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参与的</w:t>
            </w:r>
          </w:p>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同类项目经历</w:t>
            </w:r>
          </w:p>
        </w:tc>
        <w:tc>
          <w:tcPr>
            <w:tcW w:w="697" w:type="dxa"/>
            <w:tcBorders>
              <w:top w:val="single" w:color="auto" w:sz="4" w:space="0"/>
              <w:bottom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职称</w:t>
            </w:r>
          </w:p>
        </w:tc>
        <w:tc>
          <w:tcPr>
            <w:tcW w:w="697" w:type="dxa"/>
            <w:tcBorders>
              <w:top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专业工龄</w:t>
            </w:r>
          </w:p>
        </w:tc>
        <w:tc>
          <w:tcPr>
            <w:tcW w:w="1567" w:type="dxa"/>
            <w:tcBorders>
              <w:top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p>
        </w:tc>
        <w:tc>
          <w:tcPr>
            <w:tcW w:w="1567" w:type="dxa"/>
            <w:tcBorders>
              <w:top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是否为驻场人员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exact"/>
          <w:jc w:val="center"/>
        </w:trPr>
        <w:tc>
          <w:tcPr>
            <w:tcW w:w="1422"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val="en-US" w:eastAsia="zh-CN"/>
              </w:rPr>
              <w:t>项目负责人</w:t>
            </w:r>
          </w:p>
        </w:tc>
        <w:tc>
          <w:tcPr>
            <w:tcW w:w="104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959" w:type="dxa"/>
            <w:tcBorders>
              <w:top w:val="single" w:color="auto" w:sz="4" w:space="0"/>
              <w:left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2621" w:type="dxa"/>
            <w:tcBorders>
              <w:top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697" w:type="dxa"/>
            <w:tcBorders>
              <w:top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69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exact"/>
          <w:jc w:val="center"/>
        </w:trPr>
        <w:tc>
          <w:tcPr>
            <w:tcW w:w="1422"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val="en-US" w:eastAsia="zh-CN"/>
              </w:rPr>
              <w:t>专业人员</w:t>
            </w:r>
          </w:p>
        </w:tc>
        <w:tc>
          <w:tcPr>
            <w:tcW w:w="104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959" w:type="dxa"/>
            <w:tcBorders>
              <w:top w:val="single" w:color="auto" w:sz="4" w:space="0"/>
              <w:left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2621" w:type="dxa"/>
            <w:tcBorders>
              <w:top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697" w:type="dxa"/>
            <w:tcBorders>
              <w:top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69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1422" w:type="dxa"/>
            <w:vMerge w:val="continue"/>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04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959" w:type="dxa"/>
            <w:tcBorders>
              <w:top w:val="single" w:color="auto" w:sz="4" w:space="0"/>
              <w:left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2621" w:type="dxa"/>
            <w:tcBorders>
              <w:top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697" w:type="dxa"/>
            <w:tcBorders>
              <w:top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69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1422" w:type="dxa"/>
            <w:vMerge w:val="continue"/>
            <w:tcBorders>
              <w:left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04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959" w:type="dxa"/>
            <w:tcBorders>
              <w:top w:val="single" w:color="auto" w:sz="4" w:space="0"/>
              <w:left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2621" w:type="dxa"/>
            <w:tcBorders>
              <w:top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697" w:type="dxa"/>
            <w:tcBorders>
              <w:top w:val="single" w:color="auto" w:sz="4" w:space="0"/>
              <w:bottom w:val="nil"/>
            </w:tcBorders>
            <w:noWrap w:val="0"/>
            <w:vAlign w:val="center"/>
          </w:tcPr>
          <w:p>
            <w:pPr>
              <w:jc w:val="center"/>
              <w:rPr>
                <w:rFonts w:hint="eastAsia" w:ascii="宋体" w:hAnsi="宋体" w:eastAsia="宋体" w:cs="宋体"/>
                <w:color w:val="auto"/>
                <w:kern w:val="0"/>
                <w:sz w:val="24"/>
                <w:szCs w:val="24"/>
                <w:highlight w:val="none"/>
              </w:rPr>
            </w:pPr>
          </w:p>
        </w:tc>
        <w:tc>
          <w:tcPr>
            <w:tcW w:w="69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top w:val="single" w:color="auto" w:sz="4" w:space="0"/>
              <w:bottom w:val="nil"/>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22" w:type="dxa"/>
            <w:vMerge w:val="restart"/>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其他主要技术人员</w:t>
            </w:r>
          </w:p>
        </w:tc>
        <w:tc>
          <w:tcPr>
            <w:tcW w:w="1040" w:type="dxa"/>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959" w:type="dxa"/>
            <w:tcBorders>
              <w:lef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2621" w:type="dxa"/>
            <w:noWrap w:val="0"/>
            <w:vAlign w:val="center"/>
          </w:tcPr>
          <w:p>
            <w:pPr>
              <w:jc w:val="center"/>
              <w:rPr>
                <w:rFonts w:hint="eastAsia" w:ascii="宋体" w:hAnsi="宋体" w:eastAsia="宋体" w:cs="宋体"/>
                <w:color w:val="auto"/>
                <w:kern w:val="0"/>
                <w:sz w:val="24"/>
                <w:szCs w:val="24"/>
                <w:highlight w:val="none"/>
              </w:rPr>
            </w:pPr>
          </w:p>
        </w:tc>
        <w:tc>
          <w:tcPr>
            <w:tcW w:w="697" w:type="dxa"/>
            <w:noWrap w:val="0"/>
            <w:vAlign w:val="center"/>
          </w:tcPr>
          <w:p>
            <w:pPr>
              <w:jc w:val="center"/>
              <w:rPr>
                <w:rFonts w:hint="eastAsia" w:ascii="宋体" w:hAnsi="宋体" w:eastAsia="宋体" w:cs="宋体"/>
                <w:color w:val="auto"/>
                <w:kern w:val="0"/>
                <w:sz w:val="24"/>
                <w:szCs w:val="24"/>
                <w:highlight w:val="none"/>
              </w:rPr>
            </w:pPr>
          </w:p>
        </w:tc>
        <w:tc>
          <w:tcPr>
            <w:tcW w:w="69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22" w:type="dxa"/>
            <w:vMerge w:val="continue"/>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040" w:type="dxa"/>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959" w:type="dxa"/>
            <w:tcBorders>
              <w:lef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2621" w:type="dxa"/>
            <w:noWrap w:val="0"/>
            <w:vAlign w:val="center"/>
          </w:tcPr>
          <w:p>
            <w:pPr>
              <w:jc w:val="center"/>
              <w:rPr>
                <w:rFonts w:hint="eastAsia" w:ascii="宋体" w:hAnsi="宋体" w:eastAsia="宋体" w:cs="宋体"/>
                <w:color w:val="auto"/>
                <w:kern w:val="0"/>
                <w:sz w:val="24"/>
                <w:szCs w:val="24"/>
                <w:highlight w:val="none"/>
              </w:rPr>
            </w:pPr>
          </w:p>
        </w:tc>
        <w:tc>
          <w:tcPr>
            <w:tcW w:w="697" w:type="dxa"/>
            <w:noWrap w:val="0"/>
            <w:vAlign w:val="center"/>
          </w:tcPr>
          <w:p>
            <w:pPr>
              <w:jc w:val="center"/>
              <w:rPr>
                <w:rFonts w:hint="eastAsia" w:ascii="宋体" w:hAnsi="宋体" w:eastAsia="宋体" w:cs="宋体"/>
                <w:color w:val="auto"/>
                <w:kern w:val="0"/>
                <w:sz w:val="24"/>
                <w:szCs w:val="24"/>
                <w:highlight w:val="none"/>
              </w:rPr>
            </w:pPr>
          </w:p>
        </w:tc>
        <w:tc>
          <w:tcPr>
            <w:tcW w:w="69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22" w:type="dxa"/>
            <w:vMerge w:val="continue"/>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040" w:type="dxa"/>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959" w:type="dxa"/>
            <w:tcBorders>
              <w:lef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2621" w:type="dxa"/>
            <w:noWrap w:val="0"/>
            <w:vAlign w:val="center"/>
          </w:tcPr>
          <w:p>
            <w:pPr>
              <w:jc w:val="center"/>
              <w:rPr>
                <w:rFonts w:hint="eastAsia" w:ascii="宋体" w:hAnsi="宋体" w:eastAsia="宋体" w:cs="宋体"/>
                <w:color w:val="auto"/>
                <w:kern w:val="0"/>
                <w:sz w:val="24"/>
                <w:szCs w:val="24"/>
                <w:highlight w:val="none"/>
              </w:rPr>
            </w:pPr>
          </w:p>
        </w:tc>
        <w:tc>
          <w:tcPr>
            <w:tcW w:w="697" w:type="dxa"/>
            <w:noWrap w:val="0"/>
            <w:vAlign w:val="center"/>
          </w:tcPr>
          <w:p>
            <w:pPr>
              <w:jc w:val="center"/>
              <w:rPr>
                <w:rFonts w:hint="eastAsia" w:ascii="宋体" w:hAnsi="宋体" w:eastAsia="宋体" w:cs="宋体"/>
                <w:color w:val="auto"/>
                <w:kern w:val="0"/>
                <w:sz w:val="24"/>
                <w:szCs w:val="24"/>
                <w:highlight w:val="none"/>
              </w:rPr>
            </w:pPr>
          </w:p>
        </w:tc>
        <w:tc>
          <w:tcPr>
            <w:tcW w:w="69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22" w:type="dxa"/>
            <w:vMerge w:val="continue"/>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040" w:type="dxa"/>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959" w:type="dxa"/>
            <w:tcBorders>
              <w:lef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2621" w:type="dxa"/>
            <w:noWrap w:val="0"/>
            <w:vAlign w:val="center"/>
          </w:tcPr>
          <w:p>
            <w:pPr>
              <w:jc w:val="center"/>
              <w:rPr>
                <w:rFonts w:hint="eastAsia" w:ascii="宋体" w:hAnsi="宋体" w:eastAsia="宋体" w:cs="宋体"/>
                <w:color w:val="auto"/>
                <w:kern w:val="0"/>
                <w:sz w:val="24"/>
                <w:szCs w:val="24"/>
                <w:highlight w:val="none"/>
              </w:rPr>
            </w:pPr>
          </w:p>
        </w:tc>
        <w:tc>
          <w:tcPr>
            <w:tcW w:w="697" w:type="dxa"/>
            <w:noWrap w:val="0"/>
            <w:vAlign w:val="center"/>
          </w:tcPr>
          <w:p>
            <w:pPr>
              <w:jc w:val="center"/>
              <w:rPr>
                <w:rFonts w:hint="eastAsia" w:ascii="宋体" w:hAnsi="宋体" w:eastAsia="宋体" w:cs="宋体"/>
                <w:color w:val="auto"/>
                <w:kern w:val="0"/>
                <w:sz w:val="24"/>
                <w:szCs w:val="24"/>
                <w:highlight w:val="none"/>
              </w:rPr>
            </w:pPr>
          </w:p>
        </w:tc>
        <w:tc>
          <w:tcPr>
            <w:tcW w:w="69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22" w:type="dxa"/>
            <w:vMerge w:val="continue"/>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040" w:type="dxa"/>
            <w:tcBorders>
              <w:left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tc>
        <w:tc>
          <w:tcPr>
            <w:tcW w:w="959" w:type="dxa"/>
            <w:tcBorders>
              <w:lef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2621" w:type="dxa"/>
            <w:noWrap w:val="0"/>
            <w:vAlign w:val="center"/>
          </w:tcPr>
          <w:p>
            <w:pPr>
              <w:jc w:val="center"/>
              <w:rPr>
                <w:rFonts w:hint="eastAsia" w:ascii="宋体" w:hAnsi="宋体" w:eastAsia="宋体" w:cs="宋体"/>
                <w:color w:val="auto"/>
                <w:kern w:val="0"/>
                <w:sz w:val="24"/>
                <w:szCs w:val="24"/>
                <w:highlight w:val="none"/>
              </w:rPr>
            </w:pPr>
          </w:p>
        </w:tc>
        <w:tc>
          <w:tcPr>
            <w:tcW w:w="697" w:type="dxa"/>
            <w:noWrap w:val="0"/>
            <w:vAlign w:val="center"/>
          </w:tcPr>
          <w:p>
            <w:pPr>
              <w:jc w:val="center"/>
              <w:rPr>
                <w:rFonts w:hint="eastAsia" w:ascii="宋体" w:hAnsi="宋体" w:eastAsia="宋体" w:cs="宋体"/>
                <w:color w:val="auto"/>
                <w:kern w:val="0"/>
                <w:sz w:val="24"/>
                <w:szCs w:val="24"/>
                <w:highlight w:val="none"/>
              </w:rPr>
            </w:pPr>
          </w:p>
        </w:tc>
        <w:tc>
          <w:tcPr>
            <w:tcW w:w="69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c>
          <w:tcPr>
            <w:tcW w:w="1567" w:type="dxa"/>
            <w:tcBorders>
              <w:right w:val="single" w:color="auto" w:sz="4" w:space="0"/>
            </w:tcBorders>
            <w:noWrap w:val="0"/>
            <w:vAlign w:val="center"/>
          </w:tcPr>
          <w:p>
            <w:pPr>
              <w:jc w:val="center"/>
              <w:rPr>
                <w:rFonts w:hint="eastAsia" w:ascii="宋体" w:hAnsi="宋体" w:eastAsia="宋体" w:cs="宋体"/>
                <w:color w:val="auto"/>
                <w:kern w:val="0"/>
                <w:sz w:val="24"/>
                <w:szCs w:val="24"/>
                <w:highlight w:val="none"/>
              </w:rPr>
            </w:pPr>
          </w:p>
        </w:tc>
      </w:tr>
    </w:tbl>
    <w:p>
      <w:pPr>
        <w:outlineLvl w:val="9"/>
        <w:rPr>
          <w:rFonts w:hint="eastAsia"/>
        </w:rPr>
      </w:pPr>
      <w:r>
        <w:rPr>
          <w:rFonts w:hint="eastAsia" w:ascii="宋体" w:hAnsi="宋体" w:eastAsia="宋体" w:cs="宋体"/>
          <w:kern w:val="0"/>
          <w:sz w:val="24"/>
          <w:szCs w:val="24"/>
          <w:highlight w:val="none"/>
        </w:rPr>
        <w:t>注：根据评审表的要求提交相应资料</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如身份证</w:t>
      </w:r>
      <w:r>
        <w:rPr>
          <w:rFonts w:hint="eastAsia" w:ascii="宋体" w:hAnsi="宋体" w:eastAsia="宋体" w:cs="宋体"/>
          <w:kern w:val="0"/>
          <w:sz w:val="24"/>
          <w:szCs w:val="24"/>
          <w:highlight w:val="none"/>
        </w:rPr>
        <w:t>、</w:t>
      </w:r>
      <w:r>
        <w:rPr>
          <w:rFonts w:hint="eastAsia" w:ascii="宋体" w:hAnsi="宋体" w:cs="宋体"/>
          <w:kern w:val="0"/>
          <w:sz w:val="24"/>
          <w:szCs w:val="24"/>
          <w:highlight w:val="none"/>
          <w:lang w:val="en-US" w:eastAsia="zh-CN"/>
        </w:rPr>
        <w:t>职称证</w:t>
      </w:r>
      <w:r>
        <w:rPr>
          <w:rFonts w:hint="eastAsia" w:ascii="宋体" w:hAnsi="宋体" w:eastAsia="宋体" w:cs="宋体"/>
          <w:kern w:val="0"/>
          <w:sz w:val="24"/>
          <w:szCs w:val="24"/>
          <w:highlight w:val="none"/>
        </w:rPr>
        <w:t>、</w:t>
      </w:r>
      <w:r>
        <w:rPr>
          <w:rFonts w:hint="eastAsia" w:ascii="宋体" w:hAnsi="宋体" w:cs="宋体"/>
          <w:kern w:val="0"/>
          <w:sz w:val="24"/>
          <w:szCs w:val="24"/>
          <w:highlight w:val="none"/>
          <w:lang w:val="en-US" w:eastAsia="zh-CN"/>
        </w:rPr>
        <w:t>资格证书</w:t>
      </w:r>
      <w:r>
        <w:rPr>
          <w:rFonts w:hint="eastAsia" w:ascii="宋体" w:hAnsi="宋体" w:eastAsia="宋体" w:cs="宋体"/>
          <w:kern w:val="0"/>
          <w:sz w:val="24"/>
          <w:szCs w:val="24"/>
          <w:highlight w:val="none"/>
        </w:rPr>
        <w:t>、</w:t>
      </w:r>
      <w:r>
        <w:rPr>
          <w:rFonts w:hint="eastAsia" w:ascii="宋体" w:hAnsi="宋体" w:cs="宋体"/>
          <w:kern w:val="0"/>
          <w:sz w:val="24"/>
          <w:szCs w:val="24"/>
          <w:highlight w:val="none"/>
          <w:lang w:val="en-US" w:eastAsia="zh-CN"/>
        </w:rPr>
        <w:t>业绩证明等资料</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w:t>
      </w:r>
    </w:p>
    <w:p>
      <w:pPr>
        <w:pStyle w:val="8"/>
        <w:numPr>
          <w:ilvl w:val="0"/>
          <w:numId w:val="6"/>
        </w:numPr>
        <w:kinsoku w:val="0"/>
        <w:overflowPunct w:val="0"/>
        <w:spacing w:before="34" w:line="357" w:lineRule="auto"/>
        <w:ind w:right="126" w:firstLine="480"/>
        <w:jc w:val="center"/>
        <w:outlineLvl w:val="1"/>
        <w:rPr>
          <w:rFonts w:hint="eastAsia" w:ascii="宋体" w:hAnsi="宋体" w:eastAsia="宋体" w:cs="宋体"/>
          <w:b/>
          <w:bCs/>
          <w:sz w:val="36"/>
          <w:szCs w:val="36"/>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同类项目业绩介绍</w:t>
      </w:r>
    </w:p>
    <w:p>
      <w:pPr>
        <w:rPr>
          <w:rFonts w:hint="eastAsia" w:ascii="宋体" w:hAnsi="宋体" w:eastAsia="宋体" w:cs="宋体"/>
          <w:spacing w:val="-1"/>
          <w:kern w:val="0"/>
          <w:sz w:val="24"/>
          <w:szCs w:val="24"/>
          <w:highlight w:val="none"/>
          <w:lang w:eastAsia="zh-CN"/>
        </w:rPr>
      </w:pPr>
      <w:r>
        <w:rPr>
          <w:rFonts w:hint="eastAsia" w:ascii="宋体" w:hAnsi="宋体" w:eastAsia="宋体" w:cs="宋体"/>
          <w:spacing w:val="-1"/>
          <w:kern w:val="0"/>
          <w:sz w:val="24"/>
          <w:szCs w:val="24"/>
          <w:highlight w:val="none"/>
        </w:rPr>
        <w:t>供应商提供近</w:t>
      </w:r>
      <w:r>
        <w:rPr>
          <w:rFonts w:hint="eastAsia" w:ascii="宋体" w:hAnsi="宋体" w:cs="宋体"/>
          <w:spacing w:val="-1"/>
          <w:kern w:val="0"/>
          <w:sz w:val="24"/>
          <w:szCs w:val="24"/>
          <w:highlight w:val="none"/>
          <w:lang w:val="en-US" w:eastAsia="zh-CN"/>
        </w:rPr>
        <w:t>3</w:t>
      </w:r>
      <w:r>
        <w:rPr>
          <w:rFonts w:hint="eastAsia" w:ascii="宋体" w:hAnsi="宋体" w:eastAsia="宋体" w:cs="宋体"/>
          <w:spacing w:val="-1"/>
          <w:kern w:val="0"/>
          <w:sz w:val="24"/>
          <w:szCs w:val="24"/>
          <w:highlight w:val="none"/>
        </w:rPr>
        <w:t>年（201</w:t>
      </w:r>
      <w:r>
        <w:rPr>
          <w:rFonts w:hint="eastAsia" w:ascii="宋体" w:hAnsi="宋体" w:cs="宋体"/>
          <w:spacing w:val="-1"/>
          <w:kern w:val="0"/>
          <w:sz w:val="24"/>
          <w:szCs w:val="24"/>
          <w:highlight w:val="none"/>
          <w:lang w:val="en-US" w:eastAsia="zh-CN"/>
        </w:rPr>
        <w:t>9</w:t>
      </w:r>
      <w:r>
        <w:rPr>
          <w:rFonts w:hint="eastAsia" w:ascii="宋体" w:hAnsi="宋体" w:eastAsia="宋体" w:cs="宋体"/>
          <w:spacing w:val="-1"/>
          <w:kern w:val="0"/>
          <w:sz w:val="24"/>
          <w:szCs w:val="24"/>
          <w:highlight w:val="none"/>
        </w:rPr>
        <w:t>年</w:t>
      </w:r>
      <w:r>
        <w:rPr>
          <w:rFonts w:hint="eastAsia" w:ascii="宋体" w:hAnsi="宋体" w:cs="宋体"/>
          <w:spacing w:val="-1"/>
          <w:kern w:val="0"/>
          <w:sz w:val="24"/>
          <w:szCs w:val="24"/>
          <w:highlight w:val="none"/>
          <w:lang w:val="en-US" w:eastAsia="zh-CN"/>
        </w:rPr>
        <w:t>1</w:t>
      </w:r>
      <w:r>
        <w:rPr>
          <w:rFonts w:hint="eastAsia" w:ascii="宋体" w:hAnsi="宋体" w:eastAsia="宋体" w:cs="宋体"/>
          <w:spacing w:val="-1"/>
          <w:kern w:val="0"/>
          <w:sz w:val="24"/>
          <w:szCs w:val="24"/>
          <w:highlight w:val="none"/>
        </w:rPr>
        <w:t>月1日至投标文件递交截止日前）独立承担的与本项目类似的业绩</w:t>
      </w:r>
      <w:r>
        <w:rPr>
          <w:rFonts w:hint="eastAsia" w:ascii="宋体" w:hAnsi="宋体" w:eastAsia="宋体" w:cs="宋体"/>
          <w:spacing w:val="-1"/>
          <w:kern w:val="0"/>
          <w:sz w:val="24"/>
          <w:szCs w:val="24"/>
          <w:highlight w:val="none"/>
          <w:lang w:eastAsia="zh-CN"/>
        </w:rPr>
        <w:t>：</w:t>
      </w:r>
    </w:p>
    <w:p>
      <w:pPr>
        <w:pStyle w:val="8"/>
        <w:kinsoku w:val="0"/>
        <w:overflowPunct w:val="0"/>
        <w:spacing w:before="0"/>
        <w:ind w:left="0"/>
        <w:rPr>
          <w:rFonts w:hint="eastAsia" w:ascii="宋体" w:hAnsi="宋体" w:eastAsia="宋体" w:cs="宋体"/>
          <w:b/>
          <w:bCs/>
          <w:sz w:val="20"/>
          <w:szCs w:val="20"/>
          <w:highlight w:val="none"/>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373"/>
        <w:gridCol w:w="3118"/>
        <w:gridCol w:w="1372"/>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序号</w:t>
            </w:r>
          </w:p>
        </w:tc>
        <w:tc>
          <w:tcPr>
            <w:tcW w:w="2373"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客户名称</w:t>
            </w:r>
          </w:p>
        </w:tc>
        <w:tc>
          <w:tcPr>
            <w:tcW w:w="3118"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项目名称及合同金额（万元）</w:t>
            </w:r>
          </w:p>
        </w:tc>
        <w:tc>
          <w:tcPr>
            <w:tcW w:w="1372"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实施时间</w:t>
            </w:r>
          </w:p>
        </w:tc>
        <w:tc>
          <w:tcPr>
            <w:tcW w:w="1778"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1</w:t>
            </w:r>
          </w:p>
        </w:tc>
        <w:tc>
          <w:tcPr>
            <w:tcW w:w="2373" w:type="dxa"/>
            <w:noWrap w:val="0"/>
            <w:vAlign w:val="center"/>
          </w:tcPr>
          <w:p>
            <w:pPr>
              <w:jc w:val="center"/>
              <w:rPr>
                <w:rFonts w:hint="eastAsia" w:ascii="宋体" w:hAnsi="宋体" w:eastAsia="宋体" w:cs="宋体"/>
                <w:spacing w:val="-1"/>
                <w:kern w:val="0"/>
                <w:sz w:val="24"/>
                <w:szCs w:val="24"/>
                <w:highlight w:val="none"/>
              </w:rPr>
            </w:pPr>
          </w:p>
        </w:tc>
        <w:tc>
          <w:tcPr>
            <w:tcW w:w="3118" w:type="dxa"/>
            <w:noWrap w:val="0"/>
            <w:vAlign w:val="center"/>
          </w:tcPr>
          <w:p>
            <w:pPr>
              <w:jc w:val="center"/>
              <w:rPr>
                <w:rFonts w:hint="eastAsia" w:ascii="宋体" w:hAnsi="宋体" w:eastAsia="宋体" w:cs="宋体"/>
                <w:spacing w:val="-1"/>
                <w:kern w:val="0"/>
                <w:sz w:val="24"/>
                <w:szCs w:val="24"/>
                <w:highlight w:val="none"/>
              </w:rPr>
            </w:pPr>
          </w:p>
        </w:tc>
        <w:tc>
          <w:tcPr>
            <w:tcW w:w="1372" w:type="dxa"/>
            <w:noWrap w:val="0"/>
            <w:vAlign w:val="center"/>
          </w:tcPr>
          <w:p>
            <w:pPr>
              <w:jc w:val="center"/>
              <w:rPr>
                <w:rFonts w:hint="eastAsia" w:ascii="宋体" w:hAnsi="宋体" w:eastAsia="宋体" w:cs="宋体"/>
                <w:spacing w:val="-1"/>
                <w:kern w:val="0"/>
                <w:sz w:val="24"/>
                <w:szCs w:val="24"/>
                <w:highlight w:val="none"/>
              </w:rPr>
            </w:pPr>
          </w:p>
        </w:tc>
        <w:tc>
          <w:tcPr>
            <w:tcW w:w="1778" w:type="dxa"/>
            <w:noWrap w:val="0"/>
            <w:vAlign w:val="center"/>
          </w:tcPr>
          <w:p>
            <w:pPr>
              <w:jc w:val="center"/>
              <w:rPr>
                <w:rFonts w:hint="eastAsia" w:ascii="宋体" w:hAnsi="宋体" w:eastAsia="宋体" w:cs="宋体"/>
                <w:spacing w:val="-1"/>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2</w:t>
            </w:r>
          </w:p>
        </w:tc>
        <w:tc>
          <w:tcPr>
            <w:tcW w:w="2373" w:type="dxa"/>
            <w:noWrap w:val="0"/>
            <w:vAlign w:val="center"/>
          </w:tcPr>
          <w:p>
            <w:pPr>
              <w:jc w:val="center"/>
              <w:rPr>
                <w:rFonts w:hint="eastAsia" w:ascii="宋体" w:hAnsi="宋体" w:eastAsia="宋体" w:cs="宋体"/>
                <w:spacing w:val="-1"/>
                <w:kern w:val="0"/>
                <w:sz w:val="24"/>
                <w:szCs w:val="24"/>
                <w:highlight w:val="none"/>
              </w:rPr>
            </w:pPr>
          </w:p>
        </w:tc>
        <w:tc>
          <w:tcPr>
            <w:tcW w:w="3118" w:type="dxa"/>
            <w:noWrap w:val="0"/>
            <w:vAlign w:val="center"/>
          </w:tcPr>
          <w:p>
            <w:pPr>
              <w:jc w:val="center"/>
              <w:rPr>
                <w:rFonts w:hint="eastAsia" w:ascii="宋体" w:hAnsi="宋体" w:eastAsia="宋体" w:cs="宋体"/>
                <w:spacing w:val="-1"/>
                <w:kern w:val="0"/>
                <w:sz w:val="24"/>
                <w:szCs w:val="24"/>
                <w:highlight w:val="none"/>
              </w:rPr>
            </w:pPr>
          </w:p>
        </w:tc>
        <w:tc>
          <w:tcPr>
            <w:tcW w:w="1372" w:type="dxa"/>
            <w:noWrap w:val="0"/>
            <w:vAlign w:val="center"/>
          </w:tcPr>
          <w:p>
            <w:pPr>
              <w:jc w:val="center"/>
              <w:rPr>
                <w:rFonts w:hint="eastAsia" w:ascii="宋体" w:hAnsi="宋体" w:eastAsia="宋体" w:cs="宋体"/>
                <w:spacing w:val="-1"/>
                <w:kern w:val="0"/>
                <w:sz w:val="24"/>
                <w:szCs w:val="24"/>
                <w:highlight w:val="none"/>
              </w:rPr>
            </w:pPr>
          </w:p>
        </w:tc>
        <w:tc>
          <w:tcPr>
            <w:tcW w:w="1778" w:type="dxa"/>
            <w:noWrap w:val="0"/>
            <w:vAlign w:val="center"/>
          </w:tcPr>
          <w:p>
            <w:pPr>
              <w:jc w:val="center"/>
              <w:rPr>
                <w:rFonts w:hint="eastAsia" w:ascii="宋体" w:hAnsi="宋体" w:eastAsia="宋体" w:cs="宋体"/>
                <w:spacing w:val="-1"/>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3</w:t>
            </w:r>
          </w:p>
        </w:tc>
        <w:tc>
          <w:tcPr>
            <w:tcW w:w="2373" w:type="dxa"/>
            <w:noWrap w:val="0"/>
            <w:vAlign w:val="center"/>
          </w:tcPr>
          <w:p>
            <w:pPr>
              <w:jc w:val="center"/>
              <w:rPr>
                <w:rFonts w:hint="eastAsia" w:ascii="宋体" w:hAnsi="宋体" w:eastAsia="宋体" w:cs="宋体"/>
                <w:spacing w:val="-1"/>
                <w:kern w:val="0"/>
                <w:sz w:val="24"/>
                <w:szCs w:val="24"/>
                <w:highlight w:val="none"/>
              </w:rPr>
            </w:pPr>
          </w:p>
        </w:tc>
        <w:tc>
          <w:tcPr>
            <w:tcW w:w="3118" w:type="dxa"/>
            <w:noWrap w:val="0"/>
            <w:vAlign w:val="center"/>
          </w:tcPr>
          <w:p>
            <w:pPr>
              <w:jc w:val="center"/>
              <w:rPr>
                <w:rFonts w:hint="eastAsia" w:ascii="宋体" w:hAnsi="宋体" w:eastAsia="宋体" w:cs="宋体"/>
                <w:spacing w:val="-1"/>
                <w:kern w:val="0"/>
                <w:sz w:val="24"/>
                <w:szCs w:val="24"/>
                <w:highlight w:val="none"/>
              </w:rPr>
            </w:pPr>
          </w:p>
        </w:tc>
        <w:tc>
          <w:tcPr>
            <w:tcW w:w="1372" w:type="dxa"/>
            <w:noWrap w:val="0"/>
            <w:vAlign w:val="center"/>
          </w:tcPr>
          <w:p>
            <w:pPr>
              <w:jc w:val="center"/>
              <w:rPr>
                <w:rFonts w:hint="eastAsia" w:ascii="宋体" w:hAnsi="宋体" w:eastAsia="宋体" w:cs="宋体"/>
                <w:spacing w:val="-1"/>
                <w:kern w:val="0"/>
                <w:sz w:val="24"/>
                <w:szCs w:val="24"/>
                <w:highlight w:val="none"/>
              </w:rPr>
            </w:pPr>
          </w:p>
        </w:tc>
        <w:tc>
          <w:tcPr>
            <w:tcW w:w="1778" w:type="dxa"/>
            <w:noWrap w:val="0"/>
            <w:vAlign w:val="center"/>
          </w:tcPr>
          <w:p>
            <w:pPr>
              <w:jc w:val="center"/>
              <w:rPr>
                <w:rFonts w:hint="eastAsia" w:ascii="宋体" w:hAnsi="宋体" w:eastAsia="宋体" w:cs="宋体"/>
                <w:spacing w:val="-1"/>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noWrap w:val="0"/>
            <w:vAlign w:val="center"/>
          </w:tcPr>
          <w:p>
            <w:pPr>
              <w:jc w:val="cente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w:t>
            </w:r>
          </w:p>
        </w:tc>
        <w:tc>
          <w:tcPr>
            <w:tcW w:w="2373" w:type="dxa"/>
            <w:noWrap w:val="0"/>
            <w:vAlign w:val="center"/>
          </w:tcPr>
          <w:p>
            <w:pPr>
              <w:jc w:val="center"/>
              <w:rPr>
                <w:rFonts w:hint="eastAsia" w:ascii="宋体" w:hAnsi="宋体" w:eastAsia="宋体" w:cs="宋体"/>
                <w:spacing w:val="-1"/>
                <w:kern w:val="0"/>
                <w:sz w:val="24"/>
                <w:szCs w:val="24"/>
                <w:highlight w:val="none"/>
              </w:rPr>
            </w:pPr>
          </w:p>
        </w:tc>
        <w:tc>
          <w:tcPr>
            <w:tcW w:w="3118" w:type="dxa"/>
            <w:noWrap w:val="0"/>
            <w:vAlign w:val="center"/>
          </w:tcPr>
          <w:p>
            <w:pPr>
              <w:jc w:val="center"/>
              <w:rPr>
                <w:rFonts w:hint="eastAsia" w:ascii="宋体" w:hAnsi="宋体" w:eastAsia="宋体" w:cs="宋体"/>
                <w:spacing w:val="-1"/>
                <w:kern w:val="0"/>
                <w:sz w:val="24"/>
                <w:szCs w:val="24"/>
                <w:highlight w:val="none"/>
              </w:rPr>
            </w:pPr>
          </w:p>
        </w:tc>
        <w:tc>
          <w:tcPr>
            <w:tcW w:w="1372" w:type="dxa"/>
            <w:noWrap w:val="0"/>
            <w:vAlign w:val="center"/>
          </w:tcPr>
          <w:p>
            <w:pPr>
              <w:jc w:val="center"/>
              <w:rPr>
                <w:rFonts w:hint="eastAsia" w:ascii="宋体" w:hAnsi="宋体" w:eastAsia="宋体" w:cs="宋体"/>
                <w:spacing w:val="-1"/>
                <w:kern w:val="0"/>
                <w:sz w:val="24"/>
                <w:szCs w:val="24"/>
                <w:highlight w:val="none"/>
              </w:rPr>
            </w:pPr>
          </w:p>
        </w:tc>
        <w:tc>
          <w:tcPr>
            <w:tcW w:w="1778" w:type="dxa"/>
            <w:noWrap w:val="0"/>
            <w:vAlign w:val="center"/>
          </w:tcPr>
          <w:p>
            <w:pPr>
              <w:jc w:val="center"/>
              <w:rPr>
                <w:rFonts w:hint="eastAsia" w:ascii="宋体" w:hAnsi="宋体" w:eastAsia="宋体" w:cs="宋体"/>
                <w:spacing w:val="-1"/>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noWrap w:val="0"/>
            <w:vAlign w:val="center"/>
          </w:tcPr>
          <w:p>
            <w:pPr>
              <w:jc w:val="center"/>
              <w:rPr>
                <w:rFonts w:hint="eastAsia" w:ascii="宋体" w:hAnsi="宋体" w:eastAsia="宋体" w:cs="宋体"/>
                <w:spacing w:val="-1"/>
                <w:kern w:val="0"/>
                <w:sz w:val="24"/>
                <w:szCs w:val="24"/>
                <w:highlight w:val="none"/>
              </w:rPr>
            </w:pPr>
          </w:p>
        </w:tc>
        <w:tc>
          <w:tcPr>
            <w:tcW w:w="2373" w:type="dxa"/>
            <w:noWrap w:val="0"/>
            <w:vAlign w:val="center"/>
          </w:tcPr>
          <w:p>
            <w:pPr>
              <w:jc w:val="center"/>
              <w:rPr>
                <w:rFonts w:hint="eastAsia" w:ascii="宋体" w:hAnsi="宋体" w:eastAsia="宋体" w:cs="宋体"/>
                <w:spacing w:val="-1"/>
                <w:kern w:val="0"/>
                <w:sz w:val="24"/>
                <w:szCs w:val="24"/>
                <w:highlight w:val="none"/>
              </w:rPr>
            </w:pPr>
          </w:p>
        </w:tc>
        <w:tc>
          <w:tcPr>
            <w:tcW w:w="3118" w:type="dxa"/>
            <w:noWrap w:val="0"/>
            <w:vAlign w:val="center"/>
          </w:tcPr>
          <w:p>
            <w:pPr>
              <w:jc w:val="center"/>
              <w:rPr>
                <w:rFonts w:hint="eastAsia" w:ascii="宋体" w:hAnsi="宋体" w:eastAsia="宋体" w:cs="宋体"/>
                <w:spacing w:val="-1"/>
                <w:kern w:val="0"/>
                <w:sz w:val="24"/>
                <w:szCs w:val="24"/>
                <w:highlight w:val="none"/>
              </w:rPr>
            </w:pPr>
          </w:p>
        </w:tc>
        <w:tc>
          <w:tcPr>
            <w:tcW w:w="1372" w:type="dxa"/>
            <w:noWrap w:val="0"/>
            <w:vAlign w:val="center"/>
          </w:tcPr>
          <w:p>
            <w:pPr>
              <w:jc w:val="center"/>
              <w:rPr>
                <w:rFonts w:hint="eastAsia" w:ascii="宋体" w:hAnsi="宋体" w:eastAsia="宋体" w:cs="宋体"/>
                <w:spacing w:val="-1"/>
                <w:kern w:val="0"/>
                <w:sz w:val="24"/>
                <w:szCs w:val="24"/>
                <w:highlight w:val="none"/>
              </w:rPr>
            </w:pPr>
          </w:p>
        </w:tc>
        <w:tc>
          <w:tcPr>
            <w:tcW w:w="1778" w:type="dxa"/>
            <w:noWrap w:val="0"/>
            <w:vAlign w:val="center"/>
          </w:tcPr>
          <w:p>
            <w:pPr>
              <w:jc w:val="center"/>
              <w:rPr>
                <w:rFonts w:hint="eastAsia" w:ascii="宋体" w:hAnsi="宋体" w:eastAsia="宋体" w:cs="宋体"/>
                <w:spacing w:val="-1"/>
                <w:kern w:val="0"/>
                <w:sz w:val="24"/>
                <w:szCs w:val="24"/>
                <w:highlight w:val="none"/>
              </w:rPr>
            </w:pPr>
          </w:p>
        </w:tc>
      </w:tr>
    </w:tbl>
    <w:p>
      <w:pPr>
        <w:rPr>
          <w:rFonts w:hint="eastAsia" w:ascii="宋体" w:hAnsi="宋体" w:eastAsia="宋体" w:cs="宋体"/>
          <w:spacing w:val="-1"/>
          <w:kern w:val="0"/>
          <w:sz w:val="24"/>
          <w:szCs w:val="24"/>
          <w:highlight w:val="none"/>
        </w:rPr>
      </w:pPr>
      <w:r>
        <w:rPr>
          <w:rFonts w:hint="eastAsia" w:ascii="宋体" w:hAnsi="宋体" w:eastAsia="宋体" w:cs="宋体"/>
          <w:spacing w:val="-1"/>
          <w:kern w:val="0"/>
          <w:sz w:val="24"/>
          <w:szCs w:val="24"/>
          <w:highlight w:val="none"/>
        </w:rPr>
        <w:t>注：根据评审表的要求提交相应资料。</w:t>
      </w:r>
    </w:p>
    <w:p>
      <w:pPr>
        <w:rPr>
          <w:rFonts w:hint="eastAsia" w:ascii="宋体" w:hAnsi="宋体" w:eastAsia="宋体" w:cs="宋体"/>
          <w:spacing w:val="-1"/>
          <w:kern w:val="0"/>
          <w:sz w:val="24"/>
          <w:szCs w:val="24"/>
          <w:highlight w:val="none"/>
          <w:lang w:val="zh-CN"/>
        </w:rPr>
      </w:pPr>
      <w:r>
        <w:rPr>
          <w:rFonts w:hint="eastAsia" w:ascii="宋体" w:hAnsi="宋体" w:eastAsia="宋体" w:cs="宋体"/>
          <w:spacing w:val="-1"/>
          <w:kern w:val="0"/>
          <w:sz w:val="24"/>
          <w:szCs w:val="24"/>
          <w:highlight w:val="none"/>
        </w:rPr>
        <w:t>业绩证明（</w:t>
      </w:r>
      <w:r>
        <w:rPr>
          <w:rFonts w:hint="eastAsia" w:ascii="宋体" w:hAnsi="宋体" w:eastAsia="宋体" w:cs="宋体"/>
          <w:spacing w:val="-1"/>
          <w:kern w:val="0"/>
          <w:sz w:val="24"/>
          <w:szCs w:val="24"/>
          <w:highlight w:val="none"/>
          <w:lang w:val="zh-CN"/>
        </w:rPr>
        <w:t>以合同或成交（中标）通知书复印件加盖公章为准，原件备查）弄虚作假者取消其投标资格）。</w:t>
      </w:r>
    </w:p>
    <w:p>
      <w:pPr>
        <w:pStyle w:val="8"/>
        <w:kinsoku w:val="0"/>
        <w:overflowPunct w:val="0"/>
        <w:spacing w:before="0"/>
        <w:ind w:left="0"/>
        <w:rPr>
          <w:rFonts w:hint="eastAsia" w:ascii="宋体" w:hAnsi="宋体" w:eastAsia="宋体" w:cs="宋体"/>
          <w:highlight w:val="none"/>
        </w:rPr>
      </w:pPr>
    </w:p>
    <w:p>
      <w:pPr>
        <w:pStyle w:val="8"/>
        <w:kinsoku w:val="0"/>
        <w:overflowPunct w:val="0"/>
        <w:spacing w:before="10"/>
        <w:ind w:left="0"/>
        <w:rPr>
          <w:rFonts w:hint="eastAsia" w:ascii="宋体" w:hAnsi="宋体" w:eastAsia="宋体" w:cs="宋体"/>
          <w:sz w:val="29"/>
          <w:szCs w:val="29"/>
          <w:highlight w:val="none"/>
        </w:rPr>
      </w:pPr>
    </w:p>
    <w:p>
      <w:pPr>
        <w:pStyle w:val="8"/>
        <w:tabs>
          <w:tab w:val="left" w:pos="7078"/>
        </w:tabs>
        <w:kinsoku w:val="0"/>
        <w:overflowPunct w:val="0"/>
        <w:spacing w:before="0" w:line="337" w:lineRule="auto"/>
        <w:ind w:right="1266" w:firstLine="3570" w:firstLineChars="1500"/>
        <w:rPr>
          <w:rFonts w:hint="eastAsia" w:ascii="宋体" w:hAnsi="宋体" w:eastAsia="宋体" w:cs="宋体"/>
          <w:spacing w:val="23"/>
          <w:highlight w:val="none"/>
        </w:rPr>
      </w:pPr>
      <w:r>
        <w:rPr>
          <w:rFonts w:hint="eastAsia" w:ascii="宋体" w:hAnsi="宋体" w:eastAsia="宋体" w:cs="宋体"/>
          <w:spacing w:val="-1"/>
          <w:highlight w:val="none"/>
        </w:rPr>
        <w:t>供应商：</w:t>
      </w:r>
      <w:r>
        <w:rPr>
          <w:rFonts w:hint="eastAsia" w:ascii="宋体" w:hAnsi="宋体" w:eastAsia="宋体" w:cs="宋体"/>
          <w:spacing w:val="-1"/>
          <w:highlight w:val="none"/>
          <w:u w:val="single"/>
        </w:rPr>
        <w:tab/>
      </w:r>
      <w:r>
        <w:rPr>
          <w:rFonts w:hint="eastAsia" w:ascii="宋体" w:hAnsi="宋体" w:eastAsia="宋体" w:cs="宋体"/>
          <w:highlight w:val="none"/>
          <w:u w:val="single"/>
        </w:rPr>
        <w:t>（公章）</w:t>
      </w:r>
      <w:r>
        <w:rPr>
          <w:rFonts w:hint="eastAsia" w:ascii="宋体" w:hAnsi="宋体" w:eastAsia="宋体" w:cs="宋体"/>
          <w:spacing w:val="23"/>
          <w:highlight w:val="none"/>
        </w:rPr>
        <w:t xml:space="preserve"> </w:t>
      </w:r>
    </w:p>
    <w:p>
      <w:pPr>
        <w:pStyle w:val="8"/>
        <w:tabs>
          <w:tab w:val="left" w:pos="7078"/>
        </w:tabs>
        <w:kinsoku w:val="0"/>
        <w:overflowPunct w:val="0"/>
        <w:spacing w:before="0" w:line="337" w:lineRule="auto"/>
        <w:ind w:left="3598" w:right="1266"/>
        <w:rPr>
          <w:rFonts w:hint="eastAsia" w:ascii="宋体" w:hAnsi="宋体" w:eastAsia="宋体" w:cs="宋体"/>
          <w:highlight w:val="none"/>
        </w:rPr>
      </w:pPr>
      <w:r>
        <w:rPr>
          <w:rFonts w:hint="eastAsia" w:ascii="宋体" w:hAnsi="宋体" w:eastAsia="宋体" w:cs="宋体"/>
          <w:spacing w:val="-1"/>
          <w:highlight w:val="none"/>
        </w:rPr>
        <w:t>法定代表人或委托人：</w:t>
      </w:r>
      <w:r>
        <w:rPr>
          <w:rFonts w:hint="eastAsia" w:ascii="宋体" w:hAnsi="宋体" w:eastAsia="宋体" w:cs="宋体"/>
          <w:spacing w:val="-1"/>
          <w:highlight w:val="none"/>
          <w:u w:val="single"/>
        </w:rPr>
        <w:tab/>
      </w:r>
      <w:r>
        <w:rPr>
          <w:rFonts w:hint="eastAsia" w:ascii="宋体" w:hAnsi="宋体" w:eastAsia="宋体" w:cs="宋体"/>
          <w:highlight w:val="none"/>
          <w:u w:val="single"/>
        </w:rPr>
        <w:t>（签字）</w:t>
      </w:r>
    </w:p>
    <w:p>
      <w:pPr>
        <w:pStyle w:val="8"/>
        <w:kinsoku w:val="0"/>
        <w:overflowPunct w:val="0"/>
        <w:spacing w:before="11"/>
        <w:ind w:left="0"/>
        <w:rPr>
          <w:rFonts w:hint="eastAsia" w:ascii="宋体" w:hAnsi="宋体" w:eastAsia="宋体" w:cs="宋体"/>
          <w:sz w:val="9"/>
          <w:szCs w:val="9"/>
          <w:highlight w:val="none"/>
        </w:rPr>
      </w:pPr>
    </w:p>
    <w:p>
      <w:pPr>
        <w:pStyle w:val="8"/>
        <w:tabs>
          <w:tab w:val="left" w:pos="5158"/>
          <w:tab w:val="left" w:pos="5998"/>
          <w:tab w:val="left" w:pos="6838"/>
        </w:tabs>
        <w:kinsoku w:val="0"/>
        <w:overflowPunct w:val="0"/>
        <w:spacing w:before="26"/>
        <w:ind w:left="4437" w:right="118"/>
        <w:rPr>
          <w:rFonts w:hint="eastAsia" w:ascii="宋体" w:hAnsi="宋体" w:eastAsia="宋体" w:cs="宋体"/>
          <w:highlight w:val="none"/>
        </w:rPr>
      </w:pPr>
      <w:r>
        <w:rPr>
          <w:rFonts w:hint="eastAsia" w:ascii="宋体" w:hAnsi="宋体" w:eastAsia="宋体" w:cs="宋体"/>
          <w:highlight w:val="none"/>
          <w:u w:val="single"/>
        </w:rPr>
        <w:t xml:space="preserve"> </w:t>
      </w:r>
      <w:r>
        <w:rPr>
          <w:rFonts w:hint="eastAsia" w:ascii="宋体" w:hAnsi="宋体" w:eastAsia="宋体" w:cs="宋体"/>
          <w:highlight w:val="none"/>
          <w:u w:val="single"/>
        </w:rPr>
        <w:tab/>
      </w:r>
      <w:r>
        <w:rPr>
          <w:rFonts w:hint="eastAsia" w:ascii="宋体" w:hAnsi="宋体" w:eastAsia="宋体" w:cs="宋体"/>
          <w:spacing w:val="-1"/>
          <w:highlight w:val="none"/>
        </w:rPr>
        <w:t>年</w:t>
      </w:r>
      <w:r>
        <w:rPr>
          <w:rFonts w:hint="eastAsia" w:ascii="宋体" w:hAnsi="宋体" w:eastAsia="宋体" w:cs="宋体"/>
          <w:spacing w:val="-1"/>
          <w:highlight w:val="none"/>
          <w:u w:val="single"/>
        </w:rPr>
        <w:tab/>
      </w:r>
      <w:r>
        <w:rPr>
          <w:rFonts w:hint="eastAsia" w:ascii="宋体" w:hAnsi="宋体" w:eastAsia="宋体" w:cs="宋体"/>
          <w:spacing w:val="-1"/>
          <w:highlight w:val="none"/>
        </w:rPr>
        <w:t>月</w:t>
      </w:r>
      <w:r>
        <w:rPr>
          <w:rFonts w:hint="eastAsia" w:ascii="宋体" w:hAnsi="宋体" w:eastAsia="宋体" w:cs="宋体"/>
          <w:spacing w:val="-1"/>
          <w:highlight w:val="none"/>
          <w:u w:val="single"/>
        </w:rPr>
        <w:tab/>
      </w:r>
      <w:r>
        <w:rPr>
          <w:rFonts w:hint="eastAsia" w:ascii="宋体" w:hAnsi="宋体" w:eastAsia="宋体" w:cs="宋体"/>
          <w:highlight w:val="none"/>
        </w:rPr>
        <w:t>日</w:t>
      </w:r>
    </w:p>
    <w:p>
      <w:pPr>
        <w:pStyle w:val="8"/>
        <w:kinsoku w:val="0"/>
        <w:overflowPunct w:val="0"/>
        <w:spacing w:before="34" w:line="357" w:lineRule="auto"/>
        <w:ind w:right="126" w:firstLine="480"/>
        <w:jc w:val="center"/>
        <w:outlineLvl w:val="1"/>
        <w:rPr>
          <w:rFonts w:hint="eastAsia" w:ascii="宋体" w:hAnsi="宋体" w:eastAsia="宋体" w:cs="宋体"/>
          <w:b/>
          <w:bCs/>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十、中小企业声明函（符合本声明函填写）</w:t>
      </w:r>
    </w:p>
    <w:p>
      <w:pPr>
        <w:pStyle w:val="8"/>
        <w:kinsoku w:val="0"/>
        <w:overflowPunct w:val="0"/>
        <w:spacing w:before="0"/>
        <w:ind w:left="0"/>
        <w:rPr>
          <w:rFonts w:hint="eastAsia" w:ascii="宋体" w:hAnsi="宋体" w:eastAsia="宋体" w:cs="宋体"/>
          <w:b/>
          <w:bCs/>
          <w:sz w:val="32"/>
          <w:szCs w:val="32"/>
          <w:highlight w:val="none"/>
        </w:rPr>
      </w:pPr>
    </w:p>
    <w:p>
      <w:pPr>
        <w:pStyle w:val="8"/>
        <w:tabs>
          <w:tab w:val="left" w:pos="3943"/>
        </w:tabs>
        <w:kinsoku w:val="0"/>
        <w:overflowPunct w:val="0"/>
        <w:spacing w:before="0" w:line="475" w:lineRule="auto"/>
        <w:ind w:right="232" w:firstLine="480"/>
        <w:jc w:val="both"/>
        <w:rPr>
          <w:rFonts w:hint="eastAsia" w:ascii="宋体" w:hAnsi="宋体" w:eastAsia="宋体" w:cs="宋体"/>
          <w:highlight w:val="none"/>
        </w:rPr>
      </w:pPr>
      <w:r>
        <w:rPr>
          <w:rFonts w:hint="eastAsia" w:ascii="宋体" w:hAnsi="宋体" w:eastAsia="宋体" w:cs="宋体"/>
          <w:spacing w:val="1"/>
          <w:highlight w:val="none"/>
        </w:rPr>
        <w:t>本公司郑重声明，根据</w:t>
      </w:r>
      <w:r>
        <w:rPr>
          <w:rFonts w:hint="eastAsia" w:ascii="宋体" w:hAnsi="宋体" w:eastAsia="宋体" w:cs="宋体"/>
          <w:b w:val="0"/>
          <w:bCs w:val="0"/>
          <w:i w:val="0"/>
          <w:iCs w:val="0"/>
          <w:color w:val="auto"/>
          <w:sz w:val="24"/>
          <w:szCs w:val="24"/>
          <w:highlight w:val="none"/>
          <w:u w:val="none"/>
        </w:rPr>
        <w:t>《政府采购促进中小企业发展管理办法》（财库﹝2020﹞46 号）</w:t>
      </w:r>
      <w:r>
        <w:rPr>
          <w:rFonts w:hint="eastAsia" w:ascii="宋体" w:hAnsi="宋体" w:eastAsia="宋体" w:cs="宋体"/>
          <w:spacing w:val="-2"/>
          <w:highlight w:val="none"/>
        </w:rPr>
        <w:t>的规定，本公司为</w:t>
      </w:r>
      <w:r>
        <w:rPr>
          <w:rFonts w:hint="eastAsia" w:ascii="宋体" w:hAnsi="宋体" w:eastAsia="宋体" w:cs="宋体"/>
          <w:spacing w:val="-2"/>
          <w:highlight w:val="none"/>
          <w:u w:val="single"/>
        </w:rPr>
        <w:tab/>
      </w:r>
      <w:r>
        <w:rPr>
          <w:rFonts w:hint="eastAsia" w:ascii="宋体" w:hAnsi="宋体" w:eastAsia="宋体" w:cs="宋体"/>
          <w:spacing w:val="-2"/>
          <w:highlight w:val="none"/>
        </w:rPr>
        <w:t>（请填写：中型、小型、微型）企业。即，本公司</w:t>
      </w:r>
      <w:r>
        <w:rPr>
          <w:rFonts w:hint="eastAsia" w:ascii="宋体" w:hAnsi="宋体" w:eastAsia="宋体" w:cs="宋体"/>
          <w:spacing w:val="35"/>
          <w:highlight w:val="none"/>
        </w:rPr>
        <w:t xml:space="preserve"> </w:t>
      </w:r>
      <w:r>
        <w:rPr>
          <w:rFonts w:hint="eastAsia" w:ascii="宋体" w:hAnsi="宋体" w:eastAsia="宋体" w:cs="宋体"/>
          <w:highlight w:val="none"/>
        </w:rPr>
        <w:t>同时满足以下条件：</w:t>
      </w:r>
    </w:p>
    <w:p>
      <w:pPr>
        <w:pStyle w:val="8"/>
        <w:tabs>
          <w:tab w:val="left" w:pos="1558"/>
        </w:tabs>
        <w:kinsoku w:val="0"/>
        <w:overflowPunct w:val="0"/>
        <w:spacing w:before="71" w:line="475" w:lineRule="auto"/>
        <w:ind w:right="234" w:firstLine="480"/>
        <w:jc w:val="both"/>
        <w:rPr>
          <w:rFonts w:hint="eastAsia" w:ascii="宋体" w:hAnsi="宋体" w:eastAsia="宋体" w:cs="宋体"/>
          <w:highlight w:val="none"/>
        </w:rPr>
      </w:pPr>
      <w:r>
        <w:rPr>
          <w:rFonts w:hint="eastAsia" w:ascii="宋体" w:hAnsi="宋体" w:eastAsia="宋体" w:cs="宋体"/>
          <w:spacing w:val="-2"/>
          <w:highlight w:val="none"/>
        </w:rPr>
        <w:t>1.根据《工业和信息化部、国家统计局、国家发展和改革委员会、财政部关于印发</w:t>
      </w:r>
      <w:r>
        <w:rPr>
          <w:rFonts w:hint="eastAsia" w:ascii="宋体" w:hAnsi="宋体" w:eastAsia="宋体" w:cs="宋体"/>
          <w:spacing w:val="53"/>
          <w:highlight w:val="none"/>
        </w:rPr>
        <w:t xml:space="preserve"> </w:t>
      </w:r>
      <w:r>
        <w:rPr>
          <w:rFonts w:hint="eastAsia" w:ascii="宋体" w:hAnsi="宋体" w:eastAsia="宋体" w:cs="宋体"/>
          <w:highlight w:val="none"/>
        </w:rPr>
        <w:t>中小企业划型标准规定的通知》（工信部联企业[2011]300</w:t>
      </w:r>
      <w:r>
        <w:rPr>
          <w:rFonts w:hint="eastAsia" w:ascii="宋体" w:hAnsi="宋体" w:eastAsia="宋体" w:cs="宋体"/>
          <w:spacing w:val="-60"/>
          <w:highlight w:val="none"/>
        </w:rPr>
        <w:t xml:space="preserve"> </w:t>
      </w:r>
      <w:r>
        <w:rPr>
          <w:rFonts w:hint="eastAsia" w:ascii="宋体" w:hAnsi="宋体" w:eastAsia="宋体" w:cs="宋体"/>
          <w:highlight w:val="none"/>
        </w:rPr>
        <w:t>号）规定的划分标准，本公</w:t>
      </w:r>
      <w:r>
        <w:rPr>
          <w:rFonts w:hint="eastAsia" w:ascii="宋体" w:hAnsi="宋体" w:eastAsia="宋体" w:cs="宋体"/>
          <w:spacing w:val="30"/>
          <w:highlight w:val="none"/>
        </w:rPr>
        <w:t xml:space="preserve"> </w:t>
      </w:r>
      <w:r>
        <w:rPr>
          <w:rFonts w:hint="eastAsia" w:ascii="宋体" w:hAnsi="宋体" w:eastAsia="宋体" w:cs="宋体"/>
          <w:spacing w:val="-1"/>
          <w:highlight w:val="none"/>
        </w:rPr>
        <w:t>司为</w:t>
      </w:r>
      <w:r>
        <w:rPr>
          <w:rFonts w:hint="eastAsia" w:ascii="宋体" w:hAnsi="宋体" w:eastAsia="宋体" w:cs="宋体"/>
          <w:spacing w:val="-1"/>
          <w:highlight w:val="none"/>
          <w:u w:val="single"/>
        </w:rPr>
        <w:tab/>
      </w:r>
      <w:r>
        <w:rPr>
          <w:rFonts w:hint="eastAsia" w:ascii="宋体" w:hAnsi="宋体" w:eastAsia="宋体" w:cs="宋体"/>
          <w:highlight w:val="none"/>
        </w:rPr>
        <w:t>（请填写：中型、小型、微型）企业。</w:t>
      </w:r>
    </w:p>
    <w:p>
      <w:pPr>
        <w:pStyle w:val="8"/>
        <w:tabs>
          <w:tab w:val="left" w:pos="3919"/>
          <w:tab w:val="left" w:pos="6264"/>
          <w:tab w:val="left" w:pos="7399"/>
        </w:tabs>
        <w:kinsoku w:val="0"/>
        <w:overflowPunct w:val="0"/>
        <w:spacing w:before="71" w:line="475" w:lineRule="auto"/>
        <w:ind w:right="114" w:firstLine="480"/>
        <w:rPr>
          <w:rFonts w:hint="eastAsia" w:ascii="宋体" w:hAnsi="宋体" w:eastAsia="宋体" w:cs="宋体"/>
          <w:highlight w:val="none"/>
        </w:rPr>
      </w:pPr>
      <w:r>
        <w:rPr>
          <w:rFonts w:hint="eastAsia" w:ascii="宋体" w:hAnsi="宋体" w:eastAsia="宋体" w:cs="宋体"/>
          <w:spacing w:val="2"/>
          <w:highlight w:val="none"/>
        </w:rPr>
        <w:t>2.本公司参加</w:t>
      </w:r>
      <w:r>
        <w:rPr>
          <w:rFonts w:hint="eastAsia" w:ascii="宋体" w:hAnsi="宋体" w:eastAsia="宋体" w:cs="宋体"/>
          <w:spacing w:val="2"/>
          <w:highlight w:val="none"/>
          <w:u w:val="single"/>
        </w:rPr>
        <w:tab/>
      </w:r>
      <w:r>
        <w:rPr>
          <w:rFonts w:hint="eastAsia" w:ascii="宋体" w:hAnsi="宋体" w:eastAsia="宋体" w:cs="宋体"/>
          <w:spacing w:val="3"/>
          <w:highlight w:val="none"/>
        </w:rPr>
        <w:t>单位的</w:t>
      </w:r>
      <w:r>
        <w:rPr>
          <w:rFonts w:hint="eastAsia" w:ascii="宋体" w:hAnsi="宋体" w:eastAsia="宋体" w:cs="宋体"/>
          <w:spacing w:val="3"/>
          <w:highlight w:val="none"/>
          <w:u w:val="single"/>
        </w:rPr>
        <w:tab/>
      </w:r>
      <w:r>
        <w:rPr>
          <w:rFonts w:hint="eastAsia" w:ascii="宋体" w:hAnsi="宋体" w:eastAsia="宋体" w:cs="宋体"/>
          <w:spacing w:val="3"/>
          <w:highlight w:val="none"/>
        </w:rPr>
        <w:t>项目采购活动提供本企业制</w:t>
      </w:r>
      <w:r>
        <w:rPr>
          <w:rFonts w:hint="eastAsia" w:ascii="宋体" w:hAnsi="宋体" w:eastAsia="宋体" w:cs="宋体"/>
          <w:spacing w:val="25"/>
          <w:highlight w:val="none"/>
        </w:rPr>
        <w:t xml:space="preserve"> </w:t>
      </w:r>
      <w:r>
        <w:rPr>
          <w:rFonts w:hint="eastAsia" w:ascii="宋体" w:hAnsi="宋体" w:eastAsia="宋体" w:cs="宋体"/>
          <w:spacing w:val="-2"/>
          <w:highlight w:val="none"/>
        </w:rPr>
        <w:t>造的货物，由本企业承担工程、提供服务，或者提供其他</w:t>
      </w:r>
      <w:r>
        <w:rPr>
          <w:rFonts w:hint="eastAsia" w:ascii="宋体" w:hAnsi="宋体" w:eastAsia="宋体" w:cs="宋体"/>
          <w:spacing w:val="-2"/>
          <w:highlight w:val="none"/>
          <w:u w:val="single"/>
        </w:rPr>
        <w:tab/>
      </w:r>
      <w:r>
        <w:rPr>
          <w:rFonts w:hint="eastAsia" w:ascii="宋体" w:hAnsi="宋体" w:eastAsia="宋体" w:cs="宋体"/>
          <w:spacing w:val="-2"/>
          <w:highlight w:val="none"/>
          <w:u w:val="single"/>
        </w:rPr>
        <w:tab/>
      </w:r>
      <w:r>
        <w:rPr>
          <w:rFonts w:hint="eastAsia" w:ascii="宋体" w:hAnsi="宋体" w:eastAsia="宋体" w:cs="宋体"/>
          <w:spacing w:val="-2"/>
          <w:highlight w:val="none"/>
        </w:rPr>
        <w:t>（请填写：中型、</w:t>
      </w:r>
      <w:r>
        <w:rPr>
          <w:rFonts w:hint="eastAsia" w:ascii="宋体" w:hAnsi="宋体" w:eastAsia="宋体" w:cs="宋体"/>
          <w:spacing w:val="51"/>
          <w:highlight w:val="none"/>
        </w:rPr>
        <w:t xml:space="preserve"> </w:t>
      </w:r>
      <w:r>
        <w:rPr>
          <w:rFonts w:hint="eastAsia" w:ascii="宋体" w:hAnsi="宋体" w:eastAsia="宋体" w:cs="宋体"/>
          <w:highlight w:val="none"/>
        </w:rPr>
        <w:t>小型、微型）企业制造的货物。本条所称货物不包括使用大型企业注册商标的货物。</w:t>
      </w:r>
    </w:p>
    <w:p>
      <w:pPr>
        <w:pStyle w:val="8"/>
        <w:kinsoku w:val="0"/>
        <w:overflowPunct w:val="0"/>
        <w:spacing w:before="71" w:line="475" w:lineRule="auto"/>
        <w:ind w:right="234" w:firstLine="480"/>
        <w:jc w:val="both"/>
        <w:rPr>
          <w:rFonts w:hint="eastAsia" w:ascii="宋体" w:hAnsi="宋体" w:eastAsia="宋体" w:cs="宋体"/>
          <w:highlight w:val="none"/>
        </w:rPr>
      </w:pPr>
    </w:p>
    <w:p>
      <w:pPr>
        <w:pStyle w:val="8"/>
        <w:kinsoku w:val="0"/>
        <w:overflowPunct w:val="0"/>
        <w:spacing w:before="71"/>
        <w:ind w:left="598"/>
        <w:rPr>
          <w:rFonts w:hint="eastAsia" w:ascii="宋体" w:hAnsi="宋体" w:eastAsia="宋体" w:cs="宋体"/>
          <w:highlight w:val="none"/>
        </w:rPr>
      </w:pPr>
      <w:r>
        <w:rPr>
          <w:rFonts w:hint="eastAsia" w:ascii="宋体" w:hAnsi="宋体" w:eastAsia="宋体" w:cs="宋体"/>
          <w:highlight w:val="none"/>
        </w:rPr>
        <w:t>本公司对上述声明的真实性负责。如有虚假，将依法承担相应责任。</w:t>
      </w:r>
    </w:p>
    <w:p>
      <w:pPr>
        <w:pStyle w:val="8"/>
        <w:kinsoku w:val="0"/>
        <w:overflowPunct w:val="0"/>
        <w:spacing w:before="0"/>
        <w:ind w:left="0"/>
        <w:rPr>
          <w:rFonts w:hint="eastAsia" w:ascii="宋体" w:hAnsi="宋体" w:eastAsia="宋体" w:cs="宋体"/>
          <w:highlight w:val="none"/>
        </w:rPr>
      </w:pPr>
    </w:p>
    <w:p>
      <w:pPr>
        <w:pStyle w:val="8"/>
        <w:kinsoku w:val="0"/>
        <w:overflowPunct w:val="0"/>
        <w:spacing w:before="0"/>
        <w:ind w:left="0"/>
        <w:rPr>
          <w:rFonts w:hint="eastAsia" w:ascii="宋体" w:hAnsi="宋体" w:eastAsia="宋体" w:cs="宋体"/>
          <w:highlight w:val="none"/>
        </w:rPr>
      </w:pPr>
    </w:p>
    <w:p>
      <w:pPr>
        <w:pStyle w:val="8"/>
        <w:kinsoku w:val="0"/>
        <w:overflowPunct w:val="0"/>
        <w:spacing w:before="9"/>
        <w:ind w:left="0"/>
        <w:rPr>
          <w:rFonts w:hint="eastAsia" w:ascii="宋体" w:hAnsi="宋体" w:eastAsia="宋体" w:cs="宋体"/>
          <w:sz w:val="19"/>
          <w:szCs w:val="19"/>
          <w:highlight w:val="none"/>
        </w:rPr>
      </w:pPr>
    </w:p>
    <w:p>
      <w:pPr>
        <w:pStyle w:val="8"/>
        <w:tabs>
          <w:tab w:val="left" w:pos="8107"/>
          <w:tab w:val="left" w:pos="8227"/>
        </w:tabs>
        <w:kinsoku w:val="0"/>
        <w:overflowPunct w:val="0"/>
        <w:spacing w:before="0" w:line="381" w:lineRule="auto"/>
        <w:ind w:left="4027" w:right="118"/>
        <w:rPr>
          <w:rFonts w:hint="eastAsia" w:ascii="宋体" w:hAnsi="宋体" w:eastAsia="宋体" w:cs="宋体"/>
          <w:highlight w:val="none"/>
        </w:rPr>
      </w:pPr>
      <w:r>
        <w:rPr>
          <w:rFonts w:hint="eastAsia" w:ascii="宋体" w:hAnsi="宋体" w:eastAsia="宋体" w:cs="宋体"/>
          <w:highlight w:val="none"/>
        </w:rPr>
        <w:t>投标单位：</w:t>
      </w:r>
      <w:r>
        <w:rPr>
          <w:rFonts w:hint="eastAsia" w:ascii="宋体" w:hAnsi="宋体" w:eastAsia="宋体" w:cs="宋体"/>
          <w:highlight w:val="none"/>
          <w:u w:val="single"/>
        </w:rPr>
        <w:tab/>
      </w:r>
      <w:r>
        <w:rPr>
          <w:rFonts w:hint="eastAsia" w:ascii="宋体" w:hAnsi="宋体" w:eastAsia="宋体" w:cs="宋体"/>
          <w:highlight w:val="none"/>
        </w:rPr>
        <w:t xml:space="preserve">（盖章） </w:t>
      </w:r>
    </w:p>
    <w:p>
      <w:pPr>
        <w:pStyle w:val="8"/>
        <w:tabs>
          <w:tab w:val="left" w:pos="8107"/>
          <w:tab w:val="left" w:pos="8227"/>
        </w:tabs>
        <w:kinsoku w:val="0"/>
        <w:overflowPunct w:val="0"/>
        <w:spacing w:before="0" w:line="381" w:lineRule="auto"/>
        <w:ind w:left="4027" w:right="118"/>
        <w:rPr>
          <w:rFonts w:hint="eastAsia" w:ascii="宋体" w:hAnsi="宋体" w:eastAsia="宋体" w:cs="宋体"/>
          <w:w w:val="95"/>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ab/>
      </w:r>
      <w:r>
        <w:rPr>
          <w:rFonts w:hint="eastAsia" w:ascii="宋体" w:hAnsi="宋体" w:eastAsia="宋体" w:cs="宋体"/>
          <w:highlight w:val="none"/>
          <w:u w:val="single"/>
        </w:rPr>
        <w:tab/>
      </w:r>
      <w:r>
        <w:rPr>
          <w:rFonts w:hint="eastAsia" w:ascii="宋体" w:hAnsi="宋体" w:eastAsia="宋体" w:cs="宋体"/>
          <w:w w:val="95"/>
          <w:highlight w:val="none"/>
        </w:rPr>
        <w:t>（签字）</w:t>
      </w:r>
    </w:p>
    <w:p>
      <w:pPr>
        <w:pStyle w:val="8"/>
        <w:tabs>
          <w:tab w:val="left" w:pos="6187"/>
          <w:tab w:val="left" w:pos="7147"/>
          <w:tab w:val="left" w:pos="7747"/>
          <w:tab w:val="left" w:pos="8347"/>
        </w:tabs>
        <w:kinsoku w:val="0"/>
        <w:overflowPunct w:val="0"/>
        <w:spacing w:before="46"/>
        <w:ind w:left="5468"/>
        <w:rPr>
          <w:rFonts w:hint="eastAsia" w:ascii="宋体" w:hAnsi="宋体" w:eastAsia="宋体" w:cs="宋体"/>
          <w:highlight w:val="none"/>
        </w:rPr>
      </w:pPr>
      <w:r>
        <w:rPr>
          <w:rFonts w:hint="eastAsia" w:ascii="宋体" w:hAnsi="宋体" w:eastAsia="宋体" w:cs="宋体"/>
          <w:highlight w:val="none"/>
        </w:rPr>
        <w:t>日</w:t>
      </w:r>
      <w:r>
        <w:rPr>
          <w:rFonts w:hint="eastAsia" w:ascii="宋体" w:hAnsi="宋体" w:eastAsia="宋体" w:cs="宋体"/>
          <w:highlight w:val="none"/>
        </w:rPr>
        <w:tab/>
      </w:r>
      <w:r>
        <w:rPr>
          <w:rFonts w:hint="eastAsia" w:ascii="宋体" w:hAnsi="宋体" w:eastAsia="宋体" w:cs="宋体"/>
          <w:highlight w:val="none"/>
        </w:rPr>
        <w:t>期：</w:t>
      </w:r>
      <w:r>
        <w:rPr>
          <w:rFonts w:hint="eastAsia" w:ascii="宋体" w:hAnsi="宋体" w:eastAsia="宋体" w:cs="宋体"/>
          <w:highlight w:val="none"/>
          <w:u w:val="single"/>
        </w:rPr>
        <w:tab/>
      </w:r>
      <w:r>
        <w:rPr>
          <w:rFonts w:hint="eastAsia" w:ascii="宋体" w:hAnsi="宋体" w:eastAsia="宋体" w:cs="宋体"/>
          <w:highlight w:val="none"/>
        </w:rPr>
        <w:t>年</w:t>
      </w:r>
      <w:r>
        <w:rPr>
          <w:rFonts w:hint="eastAsia" w:ascii="宋体" w:hAnsi="宋体" w:eastAsia="宋体" w:cs="宋体"/>
          <w:highlight w:val="none"/>
          <w:u w:val="single"/>
        </w:rPr>
        <w:tab/>
      </w:r>
      <w:r>
        <w:rPr>
          <w:rFonts w:hint="eastAsia" w:ascii="宋体" w:hAnsi="宋体" w:eastAsia="宋体" w:cs="宋体"/>
          <w:highlight w:val="none"/>
        </w:rPr>
        <w:t>月</w:t>
      </w:r>
      <w:r>
        <w:rPr>
          <w:rFonts w:hint="eastAsia" w:ascii="宋体" w:hAnsi="宋体" w:eastAsia="宋体" w:cs="宋体"/>
          <w:highlight w:val="none"/>
          <w:u w:val="single"/>
        </w:rPr>
        <w:tab/>
      </w:r>
      <w:r>
        <w:rPr>
          <w:rFonts w:hint="eastAsia" w:ascii="宋体" w:hAnsi="宋体" w:eastAsia="宋体" w:cs="宋体"/>
          <w:highlight w:val="none"/>
        </w:rPr>
        <w:t>日</w:t>
      </w:r>
    </w:p>
    <w:p>
      <w:pPr>
        <w:pStyle w:val="8"/>
        <w:kinsoku w:val="0"/>
        <w:overflowPunct w:val="0"/>
        <w:spacing w:before="11"/>
        <w:ind w:left="0"/>
        <w:rPr>
          <w:rFonts w:hint="eastAsia" w:ascii="宋体" w:hAnsi="宋体" w:eastAsia="宋体" w:cs="宋体"/>
          <w:sz w:val="9"/>
          <w:szCs w:val="9"/>
          <w:highlight w:val="none"/>
        </w:rPr>
      </w:pPr>
    </w:p>
    <w:p>
      <w:pPr>
        <w:pStyle w:val="8"/>
        <w:kinsoku w:val="0"/>
        <w:overflowPunct w:val="0"/>
        <w:spacing w:before="0"/>
        <w:rPr>
          <w:rFonts w:hint="eastAsia" w:ascii="宋体" w:hAnsi="宋体" w:eastAsia="宋体" w:cs="宋体"/>
          <w:sz w:val="21"/>
          <w:szCs w:val="21"/>
          <w:highlight w:val="none"/>
        </w:rPr>
      </w:pPr>
      <w:r>
        <w:rPr>
          <w:rFonts w:hint="eastAsia" w:ascii="宋体" w:hAnsi="宋体" w:eastAsia="宋体" w:cs="宋体"/>
          <w:sz w:val="21"/>
          <w:szCs w:val="21"/>
          <w:highlight w:val="none"/>
        </w:rPr>
        <w:t>说明：</w:t>
      </w:r>
    </w:p>
    <w:p>
      <w:pPr>
        <w:pStyle w:val="8"/>
        <w:kinsoku w:val="0"/>
        <w:overflowPunct w:val="0"/>
        <w:spacing w:before="133" w:line="356" w:lineRule="auto"/>
        <w:ind w:right="248" w:firstLine="420"/>
        <w:jc w:val="both"/>
        <w:rPr>
          <w:rFonts w:hint="eastAsia" w:ascii="宋体" w:hAnsi="宋体" w:eastAsia="宋体" w:cs="宋体"/>
          <w:w w:val="95"/>
          <w:sz w:val="21"/>
          <w:szCs w:val="21"/>
          <w:highlight w:val="none"/>
        </w:rPr>
      </w:pPr>
      <w:r>
        <w:rPr>
          <w:rFonts w:hint="eastAsia" w:ascii="宋体" w:hAnsi="宋体" w:eastAsia="宋体" w:cs="宋体"/>
          <w:spacing w:val="8"/>
          <w:w w:val="95"/>
          <w:sz w:val="21"/>
          <w:szCs w:val="21"/>
          <w:highlight w:val="none"/>
        </w:rPr>
        <w:t>1、填写前请认真阅读《工业和信息化部、国家统计局、国家发展和改革委员会、财政部关于印发中小企业划型标准规定的通知》（工信部联企业[2011]300 号）和《财政部工业和信息</w:t>
      </w:r>
      <w:r>
        <w:rPr>
          <w:rFonts w:hint="eastAsia" w:ascii="宋体" w:hAnsi="宋体" w:eastAsia="宋体" w:cs="宋体"/>
          <w:w w:val="95"/>
          <w:sz w:val="21"/>
          <w:szCs w:val="21"/>
          <w:highlight w:val="none"/>
        </w:rPr>
        <w:t>化部关于印发《政府采购促进中小企业发展管理办法》（财库﹝2020﹞46 号）相关规定。</w:t>
      </w:r>
    </w:p>
    <w:p>
      <w:pPr>
        <w:pStyle w:val="8"/>
        <w:kinsoku w:val="0"/>
        <w:overflowPunct w:val="0"/>
        <w:spacing w:before="133" w:line="356" w:lineRule="auto"/>
        <w:ind w:right="248" w:firstLine="420"/>
        <w:jc w:val="both"/>
        <w:rPr>
          <w:rFonts w:hint="eastAsia" w:ascii="宋体" w:hAnsi="宋体" w:eastAsia="宋体" w:cs="宋体"/>
          <w:w w:val="95"/>
          <w:sz w:val="21"/>
          <w:szCs w:val="21"/>
          <w:highlight w:val="none"/>
        </w:rPr>
      </w:pPr>
      <w:r>
        <w:rPr>
          <w:rFonts w:hint="eastAsia" w:ascii="宋体" w:hAnsi="宋体" w:eastAsia="宋体" w:cs="宋体"/>
          <w:w w:val="95"/>
          <w:sz w:val="21"/>
          <w:szCs w:val="21"/>
          <w:highlight w:val="none"/>
        </w:rPr>
        <w:t>2、中小企业部分提供其他中小企业制造货物的应另附说明，并与开标一览表保持一致。</w:t>
      </w:r>
    </w:p>
    <w:p>
      <w:pPr>
        <w:pStyle w:val="8"/>
        <w:kinsoku w:val="0"/>
        <w:overflowPunct w:val="0"/>
        <w:spacing w:before="133" w:line="356" w:lineRule="auto"/>
        <w:ind w:right="248" w:firstLine="420"/>
        <w:jc w:val="both"/>
        <w:rPr>
          <w:rFonts w:hint="eastAsia" w:ascii="宋体" w:hAnsi="宋体" w:eastAsia="宋体" w:cs="宋体"/>
          <w:w w:val="95"/>
          <w:sz w:val="21"/>
          <w:szCs w:val="21"/>
          <w:highlight w:val="none"/>
        </w:rPr>
      </w:pPr>
      <w:r>
        <w:rPr>
          <w:rFonts w:hint="eastAsia" w:ascii="宋体" w:hAnsi="宋体" w:eastAsia="宋体" w:cs="宋体"/>
          <w:w w:val="95"/>
          <w:sz w:val="21"/>
          <w:szCs w:val="21"/>
          <w:highlight w:val="none"/>
        </w:rPr>
        <w:t>3、未按上述要求提供、填写的，评审时不予以考虑。</w:t>
      </w:r>
    </w:p>
    <w:p>
      <w:pPr>
        <w:pStyle w:val="8"/>
        <w:kinsoku w:val="0"/>
        <w:overflowPunct w:val="0"/>
        <w:spacing w:before="133" w:line="356" w:lineRule="auto"/>
        <w:ind w:right="248" w:firstLine="420"/>
        <w:jc w:val="both"/>
        <w:outlineLvl w:val="1"/>
        <w:rPr>
          <w:rFonts w:hint="eastAsia" w:ascii="宋体" w:hAnsi="宋体" w:eastAsia="宋体" w:cs="宋体"/>
          <w:b/>
          <w:bCs/>
          <w:highlight w:val="none"/>
        </w:rPr>
      </w:pPr>
      <w:r>
        <w:rPr>
          <w:rFonts w:hint="eastAsia" w:ascii="宋体" w:hAnsi="宋体" w:eastAsia="宋体" w:cs="宋体"/>
          <w:w w:val="95"/>
          <w:sz w:val="21"/>
          <w:szCs w:val="21"/>
          <w:highlight w:val="none"/>
        </w:rPr>
        <w:br w:type="page"/>
      </w:r>
      <w:r>
        <w:rPr>
          <w:rFonts w:hint="eastAsia" w:ascii="宋体" w:hAnsi="宋体" w:eastAsia="宋体" w:cs="宋体"/>
          <w:b/>
          <w:bCs/>
          <w:sz w:val="36"/>
          <w:szCs w:val="36"/>
          <w:highlight w:val="none"/>
        </w:rPr>
        <w:t>十一、残疾人福利性单位声明函（符合本声明函填写）</w:t>
      </w:r>
    </w:p>
    <w:p>
      <w:pPr>
        <w:pStyle w:val="8"/>
        <w:kinsoku w:val="0"/>
        <w:overflowPunct w:val="0"/>
        <w:spacing w:before="0"/>
        <w:ind w:left="0"/>
        <w:rPr>
          <w:rFonts w:hint="eastAsia" w:ascii="宋体" w:hAnsi="宋体" w:eastAsia="宋体" w:cs="宋体"/>
          <w:b/>
          <w:bCs/>
          <w:sz w:val="32"/>
          <w:szCs w:val="32"/>
          <w:highlight w:val="none"/>
        </w:rPr>
      </w:pPr>
    </w:p>
    <w:p>
      <w:pPr>
        <w:pStyle w:val="8"/>
        <w:tabs>
          <w:tab w:val="left" w:pos="3211"/>
          <w:tab w:val="left" w:pos="4651"/>
        </w:tabs>
        <w:kinsoku w:val="0"/>
        <w:overflowPunct w:val="0"/>
        <w:spacing w:before="264" w:line="356" w:lineRule="auto"/>
        <w:ind w:right="118" w:firstLine="480"/>
        <w:rPr>
          <w:rFonts w:hint="eastAsia" w:ascii="宋体" w:hAnsi="宋体" w:eastAsia="宋体" w:cs="宋体"/>
          <w:highlight w:val="none"/>
        </w:rPr>
      </w:pPr>
      <w:r>
        <w:rPr>
          <w:rFonts w:hint="eastAsia" w:ascii="宋体" w:hAnsi="宋体" w:eastAsia="宋体" w:cs="宋体"/>
          <w:highlight w:val="none"/>
        </w:rPr>
        <w:t>本单位郑重声明</w:t>
      </w:r>
      <w:r>
        <w:rPr>
          <w:rFonts w:hint="eastAsia" w:ascii="宋体" w:hAnsi="宋体" w:eastAsia="宋体" w:cs="宋体"/>
          <w:spacing w:val="-27"/>
          <w:highlight w:val="none"/>
        </w:rPr>
        <w:t>，</w:t>
      </w:r>
      <w:r>
        <w:rPr>
          <w:rFonts w:hint="eastAsia" w:ascii="宋体" w:hAnsi="宋体" w:eastAsia="宋体" w:cs="宋体"/>
          <w:highlight w:val="none"/>
        </w:rPr>
        <w:t>根</w:t>
      </w:r>
      <w:r>
        <w:rPr>
          <w:rFonts w:hint="eastAsia" w:ascii="宋体" w:hAnsi="宋体" w:eastAsia="宋体" w:cs="宋体"/>
          <w:spacing w:val="-24"/>
          <w:highlight w:val="none"/>
        </w:rPr>
        <w:t>据</w:t>
      </w:r>
      <w:r>
        <w:rPr>
          <w:rFonts w:hint="eastAsia" w:ascii="宋体" w:hAnsi="宋体" w:eastAsia="宋体" w:cs="宋体"/>
          <w:highlight w:val="none"/>
        </w:rPr>
        <w:t>《财政部 民政部 中国残疾人联合会关于促进残疾人就业政府采购政策的通知》（财库〔2017〕141</w:t>
      </w:r>
      <w:r>
        <w:rPr>
          <w:rFonts w:hint="eastAsia" w:ascii="宋体" w:hAnsi="宋体" w:eastAsia="宋体" w:cs="宋体"/>
          <w:spacing w:val="-58"/>
          <w:highlight w:val="none"/>
        </w:rPr>
        <w:t xml:space="preserve"> </w:t>
      </w:r>
      <w:r>
        <w:rPr>
          <w:rFonts w:hint="eastAsia" w:ascii="宋体" w:hAnsi="宋体" w:eastAsia="宋体" w:cs="宋体"/>
          <w:highlight w:val="none"/>
        </w:rPr>
        <w:t>号）的规定，本单位为符合条件的残疾人福利性单位</w:t>
      </w:r>
      <w:r>
        <w:rPr>
          <w:rFonts w:hint="eastAsia" w:ascii="宋体" w:hAnsi="宋体" w:eastAsia="宋体" w:cs="宋体"/>
          <w:spacing w:val="-27"/>
          <w:highlight w:val="none"/>
        </w:rPr>
        <w:t>，</w:t>
      </w:r>
      <w:r>
        <w:rPr>
          <w:rFonts w:hint="eastAsia" w:ascii="宋体" w:hAnsi="宋体" w:eastAsia="宋体" w:cs="宋体"/>
          <w:highlight w:val="none"/>
        </w:rPr>
        <w:t>且本单位参加</w:t>
      </w:r>
      <w:r>
        <w:rPr>
          <w:rFonts w:hint="eastAsia" w:ascii="宋体" w:hAnsi="宋体" w:eastAsia="宋体" w:cs="宋体"/>
          <w:highlight w:val="none"/>
          <w:u w:val="single"/>
        </w:rPr>
        <w:tab/>
      </w:r>
      <w:r>
        <w:rPr>
          <w:rFonts w:hint="eastAsia" w:ascii="宋体" w:hAnsi="宋体" w:eastAsia="宋体" w:cs="宋体"/>
          <w:highlight w:val="none"/>
        </w:rPr>
        <w:t>单位的</w:t>
      </w:r>
      <w:r>
        <w:rPr>
          <w:rFonts w:hint="eastAsia" w:ascii="宋体" w:hAnsi="宋体" w:eastAsia="宋体" w:cs="宋体"/>
          <w:highlight w:val="none"/>
          <w:u w:val="single"/>
        </w:rPr>
        <w:tab/>
      </w:r>
      <w:r>
        <w:rPr>
          <w:rFonts w:hint="eastAsia" w:ascii="宋体" w:hAnsi="宋体" w:eastAsia="宋体" w:cs="宋体"/>
          <w:highlight w:val="none"/>
        </w:rPr>
        <w:t>项目采购活动提供本单位制造的货</w:t>
      </w:r>
      <w:r>
        <w:rPr>
          <w:rFonts w:hint="eastAsia" w:ascii="宋体" w:hAnsi="宋体" w:eastAsia="宋体" w:cs="宋体"/>
          <w:spacing w:val="-22"/>
          <w:highlight w:val="none"/>
        </w:rPr>
        <w:t>物</w:t>
      </w:r>
      <w:r>
        <w:rPr>
          <w:rFonts w:hint="eastAsia" w:ascii="宋体" w:hAnsi="宋体" w:eastAsia="宋体" w:cs="宋体"/>
          <w:spacing w:val="-3"/>
          <w:highlight w:val="none"/>
        </w:rPr>
        <w:t>（</w:t>
      </w:r>
      <w:r>
        <w:rPr>
          <w:rFonts w:hint="eastAsia" w:ascii="宋体" w:hAnsi="宋体" w:eastAsia="宋体" w:cs="宋体"/>
          <w:highlight w:val="none"/>
        </w:rPr>
        <w:t>由本</w:t>
      </w:r>
      <w:r>
        <w:rPr>
          <w:rFonts w:hint="eastAsia" w:ascii="宋体" w:hAnsi="宋体" w:eastAsia="宋体" w:cs="宋体"/>
          <w:spacing w:val="1"/>
          <w:highlight w:val="none"/>
        </w:rPr>
        <w:t>单位承担工程/提供服务），或者提供其他残疾人福利性单位制造的货物（不包括使用</w:t>
      </w:r>
      <w:r>
        <w:rPr>
          <w:rFonts w:hint="eastAsia" w:ascii="宋体" w:hAnsi="宋体" w:eastAsia="宋体" w:cs="宋体"/>
          <w:highlight w:val="none"/>
        </w:rPr>
        <w:t>非残疾人福利性单位注册商标的货物）。 本单位对上述声明的真实性负责，如有虚假，将依法承担相应责任。</w:t>
      </w:r>
    </w:p>
    <w:p>
      <w:pPr>
        <w:pStyle w:val="8"/>
        <w:kinsoku w:val="0"/>
        <w:overflowPunct w:val="0"/>
        <w:spacing w:before="0"/>
        <w:ind w:left="0"/>
        <w:rPr>
          <w:rFonts w:hint="eastAsia" w:ascii="宋体" w:hAnsi="宋体" w:eastAsia="宋体" w:cs="宋体"/>
          <w:highlight w:val="none"/>
        </w:rPr>
      </w:pPr>
    </w:p>
    <w:p>
      <w:pPr>
        <w:pStyle w:val="8"/>
        <w:kinsoku w:val="0"/>
        <w:overflowPunct w:val="0"/>
        <w:spacing w:before="0"/>
        <w:ind w:left="0"/>
        <w:rPr>
          <w:rFonts w:hint="eastAsia" w:ascii="宋体" w:hAnsi="宋体" w:eastAsia="宋体" w:cs="宋体"/>
          <w:highlight w:val="none"/>
        </w:rPr>
      </w:pPr>
    </w:p>
    <w:p>
      <w:pPr>
        <w:pStyle w:val="8"/>
        <w:kinsoku w:val="0"/>
        <w:overflowPunct w:val="0"/>
        <w:spacing w:before="3"/>
        <w:ind w:left="0"/>
        <w:rPr>
          <w:rFonts w:hint="eastAsia" w:ascii="宋体" w:hAnsi="宋体" w:eastAsia="宋体" w:cs="宋体"/>
          <w:sz w:val="26"/>
          <w:szCs w:val="26"/>
          <w:highlight w:val="none"/>
        </w:rPr>
      </w:pPr>
    </w:p>
    <w:p>
      <w:pPr>
        <w:pStyle w:val="8"/>
        <w:tabs>
          <w:tab w:val="left" w:pos="8107"/>
          <w:tab w:val="left" w:pos="8227"/>
        </w:tabs>
        <w:kinsoku w:val="0"/>
        <w:overflowPunct w:val="0"/>
        <w:spacing w:before="0" w:line="381" w:lineRule="auto"/>
        <w:ind w:left="4027" w:right="118"/>
        <w:rPr>
          <w:rFonts w:hint="eastAsia" w:ascii="宋体" w:hAnsi="宋体" w:eastAsia="宋体" w:cs="宋体"/>
          <w:highlight w:val="none"/>
        </w:rPr>
      </w:pPr>
      <w:r>
        <w:rPr>
          <w:rFonts w:hint="eastAsia" w:ascii="宋体" w:hAnsi="宋体" w:eastAsia="宋体" w:cs="宋体"/>
          <w:highlight w:val="none"/>
        </w:rPr>
        <w:t>投标单位：</w:t>
      </w:r>
      <w:r>
        <w:rPr>
          <w:rFonts w:hint="eastAsia" w:ascii="宋体" w:hAnsi="宋体" w:eastAsia="宋体" w:cs="宋体"/>
          <w:highlight w:val="none"/>
          <w:u w:val="single"/>
        </w:rPr>
        <w:tab/>
      </w:r>
      <w:r>
        <w:rPr>
          <w:rFonts w:hint="eastAsia" w:ascii="宋体" w:hAnsi="宋体" w:eastAsia="宋体" w:cs="宋体"/>
          <w:highlight w:val="none"/>
        </w:rPr>
        <w:t xml:space="preserve">（盖章） </w:t>
      </w:r>
    </w:p>
    <w:p>
      <w:pPr>
        <w:pStyle w:val="8"/>
        <w:tabs>
          <w:tab w:val="left" w:pos="8107"/>
          <w:tab w:val="left" w:pos="8227"/>
        </w:tabs>
        <w:kinsoku w:val="0"/>
        <w:overflowPunct w:val="0"/>
        <w:spacing w:before="0" w:line="381" w:lineRule="auto"/>
        <w:ind w:left="4027" w:right="118"/>
        <w:rPr>
          <w:rFonts w:hint="eastAsia" w:ascii="宋体" w:hAnsi="宋体" w:eastAsia="宋体" w:cs="宋体"/>
          <w:w w:val="95"/>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ab/>
      </w:r>
      <w:r>
        <w:rPr>
          <w:rFonts w:hint="eastAsia" w:ascii="宋体" w:hAnsi="宋体" w:eastAsia="宋体" w:cs="宋体"/>
          <w:highlight w:val="none"/>
          <w:u w:val="single"/>
        </w:rPr>
        <w:tab/>
      </w:r>
      <w:r>
        <w:rPr>
          <w:rFonts w:hint="eastAsia" w:ascii="宋体" w:hAnsi="宋体" w:eastAsia="宋体" w:cs="宋体"/>
          <w:w w:val="95"/>
          <w:highlight w:val="none"/>
        </w:rPr>
        <w:t>（签字）</w:t>
      </w:r>
    </w:p>
    <w:p>
      <w:pPr>
        <w:pStyle w:val="8"/>
        <w:tabs>
          <w:tab w:val="left" w:pos="6187"/>
          <w:tab w:val="left" w:pos="7147"/>
          <w:tab w:val="left" w:pos="7747"/>
          <w:tab w:val="left" w:pos="8347"/>
        </w:tabs>
        <w:kinsoku w:val="0"/>
        <w:overflowPunct w:val="0"/>
        <w:spacing w:before="46"/>
        <w:ind w:left="5468"/>
        <w:rPr>
          <w:rFonts w:hint="eastAsia" w:ascii="宋体" w:hAnsi="宋体" w:eastAsia="宋体" w:cs="宋体"/>
          <w:highlight w:val="none"/>
        </w:rPr>
      </w:pPr>
      <w:r>
        <w:rPr>
          <w:rFonts w:hint="eastAsia" w:ascii="宋体" w:hAnsi="宋体" w:eastAsia="宋体" w:cs="宋体"/>
          <w:highlight w:val="none"/>
        </w:rPr>
        <w:t>日</w:t>
      </w:r>
      <w:r>
        <w:rPr>
          <w:rFonts w:hint="eastAsia" w:ascii="宋体" w:hAnsi="宋体" w:eastAsia="宋体" w:cs="宋体"/>
          <w:highlight w:val="none"/>
        </w:rPr>
        <w:tab/>
      </w:r>
      <w:r>
        <w:rPr>
          <w:rFonts w:hint="eastAsia" w:ascii="宋体" w:hAnsi="宋体" w:eastAsia="宋体" w:cs="宋体"/>
          <w:highlight w:val="none"/>
        </w:rPr>
        <w:t>期：</w:t>
      </w:r>
      <w:r>
        <w:rPr>
          <w:rFonts w:hint="eastAsia" w:ascii="宋体" w:hAnsi="宋体" w:eastAsia="宋体" w:cs="宋体"/>
          <w:highlight w:val="none"/>
          <w:u w:val="single"/>
        </w:rPr>
        <w:tab/>
      </w:r>
      <w:r>
        <w:rPr>
          <w:rFonts w:hint="eastAsia" w:ascii="宋体" w:hAnsi="宋体" w:eastAsia="宋体" w:cs="宋体"/>
          <w:highlight w:val="none"/>
        </w:rPr>
        <w:t>年</w:t>
      </w:r>
      <w:r>
        <w:rPr>
          <w:rFonts w:hint="eastAsia" w:ascii="宋体" w:hAnsi="宋体" w:eastAsia="宋体" w:cs="宋体"/>
          <w:highlight w:val="none"/>
          <w:u w:val="single"/>
        </w:rPr>
        <w:tab/>
      </w:r>
      <w:r>
        <w:rPr>
          <w:rFonts w:hint="eastAsia" w:ascii="宋体" w:hAnsi="宋体" w:eastAsia="宋体" w:cs="宋体"/>
          <w:highlight w:val="none"/>
        </w:rPr>
        <w:t>月</w:t>
      </w:r>
      <w:r>
        <w:rPr>
          <w:rFonts w:hint="eastAsia" w:ascii="宋体" w:hAnsi="宋体" w:eastAsia="宋体" w:cs="宋体"/>
          <w:highlight w:val="none"/>
          <w:u w:val="single"/>
        </w:rPr>
        <w:tab/>
      </w:r>
      <w:r>
        <w:rPr>
          <w:rFonts w:hint="eastAsia" w:ascii="宋体" w:hAnsi="宋体" w:eastAsia="宋体" w:cs="宋体"/>
          <w:highlight w:val="none"/>
        </w:rPr>
        <w:t>日</w:t>
      </w:r>
    </w:p>
    <w:p>
      <w:pPr>
        <w:pStyle w:val="8"/>
        <w:kinsoku w:val="0"/>
        <w:overflowPunct w:val="0"/>
        <w:spacing w:before="0"/>
        <w:ind w:left="0"/>
        <w:rPr>
          <w:rFonts w:hint="eastAsia" w:ascii="宋体" w:hAnsi="宋体" w:eastAsia="宋体" w:cs="宋体"/>
          <w:highlight w:val="none"/>
        </w:rPr>
      </w:pPr>
    </w:p>
    <w:p>
      <w:pPr>
        <w:pStyle w:val="8"/>
        <w:kinsoku w:val="0"/>
        <w:overflowPunct w:val="0"/>
        <w:spacing w:before="0"/>
        <w:ind w:left="0"/>
        <w:rPr>
          <w:rFonts w:hint="eastAsia" w:ascii="宋体" w:hAnsi="宋体" w:eastAsia="宋体" w:cs="宋体"/>
          <w:highlight w:val="none"/>
        </w:rPr>
      </w:pPr>
    </w:p>
    <w:p>
      <w:pPr>
        <w:pStyle w:val="8"/>
        <w:kinsoku w:val="0"/>
        <w:overflowPunct w:val="0"/>
        <w:spacing w:before="3"/>
        <w:ind w:left="0"/>
        <w:rPr>
          <w:rFonts w:hint="eastAsia" w:ascii="宋体" w:hAnsi="宋体" w:eastAsia="宋体" w:cs="宋体"/>
          <w:sz w:val="26"/>
          <w:szCs w:val="26"/>
          <w:highlight w:val="none"/>
        </w:rPr>
      </w:pPr>
    </w:p>
    <w:p>
      <w:pPr>
        <w:pStyle w:val="8"/>
        <w:kinsoku w:val="0"/>
        <w:overflowPunct w:val="0"/>
        <w:spacing w:before="0" w:line="313" w:lineRule="exact"/>
        <w:rPr>
          <w:rFonts w:hint="eastAsia" w:ascii="宋体" w:hAnsi="宋体" w:eastAsia="宋体" w:cs="宋体"/>
          <w:highlight w:val="none"/>
        </w:rPr>
      </w:pPr>
      <w:r>
        <w:rPr>
          <w:rFonts w:hint="eastAsia" w:ascii="宋体" w:hAnsi="宋体" w:eastAsia="宋体" w:cs="宋体"/>
          <w:highlight w:val="none"/>
        </w:rPr>
        <w:t>说明：</w:t>
      </w:r>
    </w:p>
    <w:p>
      <w:pPr>
        <w:pStyle w:val="8"/>
        <w:numPr>
          <w:ilvl w:val="0"/>
          <w:numId w:val="0"/>
        </w:numPr>
        <w:kinsoku w:val="0"/>
        <w:overflowPunct w:val="0"/>
        <w:spacing w:before="1" w:line="237" w:lineRule="auto"/>
        <w:ind w:right="118" w:rightChars="0"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填写前请认真阅</w:t>
      </w:r>
      <w:r>
        <w:rPr>
          <w:rFonts w:hint="eastAsia" w:ascii="宋体" w:hAnsi="宋体" w:eastAsia="宋体" w:cs="宋体"/>
          <w:spacing w:val="-51"/>
          <w:highlight w:val="none"/>
        </w:rPr>
        <w:t>读</w:t>
      </w:r>
      <w:r>
        <w:rPr>
          <w:rFonts w:hint="eastAsia" w:ascii="宋体" w:hAnsi="宋体" w:eastAsia="宋体" w:cs="宋体"/>
          <w:highlight w:val="none"/>
        </w:rPr>
        <w:t>《财政部 民政部 中国残疾人联合会关于促进残疾人就业政府采购 政策的通知》（财库〔2017〕141</w:t>
      </w:r>
      <w:r>
        <w:rPr>
          <w:rFonts w:hint="eastAsia" w:ascii="宋体" w:hAnsi="宋体" w:eastAsia="宋体" w:cs="宋体"/>
          <w:spacing w:val="-60"/>
          <w:highlight w:val="none"/>
        </w:rPr>
        <w:t xml:space="preserve"> </w:t>
      </w:r>
      <w:r>
        <w:rPr>
          <w:rFonts w:hint="eastAsia" w:ascii="宋体" w:hAnsi="宋体" w:eastAsia="宋体" w:cs="宋体"/>
          <w:highlight w:val="none"/>
        </w:rPr>
        <w:t>号）相关规定。</w:t>
      </w:r>
    </w:p>
    <w:p>
      <w:pPr>
        <w:pStyle w:val="8"/>
        <w:numPr>
          <w:ilvl w:val="0"/>
          <w:numId w:val="0"/>
        </w:numPr>
        <w:kinsoku w:val="0"/>
        <w:overflowPunct w:val="0"/>
        <w:spacing w:before="1" w:line="237" w:lineRule="auto"/>
        <w:ind w:right="118" w:rightChars="0" w:firstLine="480" w:firstLineChars="200"/>
        <w:rPr>
          <w:rFonts w:hint="eastAsia" w:ascii="宋体" w:hAnsi="宋体" w:eastAsia="宋体" w:cs="宋体"/>
          <w:highlight w:val="none"/>
        </w:rPr>
      </w:pPr>
      <w:r>
        <w:rPr>
          <w:rFonts w:hint="eastAsia" w:ascii="宋体" w:hAnsi="宋体" w:eastAsia="宋体" w:cs="宋体"/>
          <w:highlight w:val="none"/>
        </w:rPr>
        <w:t>2.残疾人福利性单位应在本声明函后提供相关证明材料。</w:t>
      </w:r>
    </w:p>
    <w:p>
      <w:pPr>
        <w:pStyle w:val="8"/>
        <w:kinsoku w:val="0"/>
        <w:overflowPunct w:val="0"/>
        <w:spacing w:before="0" w:line="310" w:lineRule="exact"/>
        <w:ind w:left="0" w:leftChars="0"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未按上述要求提供、填写的，评审时不予以考虑。</w:t>
      </w:r>
    </w:p>
    <w:p>
      <w:pPr>
        <w:pStyle w:val="8"/>
        <w:kinsoku w:val="0"/>
        <w:overflowPunct w:val="0"/>
        <w:spacing w:before="34" w:line="357" w:lineRule="auto"/>
        <w:ind w:right="126" w:firstLine="480"/>
        <w:jc w:val="center"/>
        <w:outlineLvl w:val="1"/>
        <w:rPr>
          <w:rFonts w:hint="eastAsia" w:ascii="宋体" w:hAnsi="宋体" w:eastAsia="宋体" w:cs="宋体"/>
          <w:b/>
          <w:bCs/>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十二、缴纳招标代理服务费承诺书</w:t>
      </w:r>
    </w:p>
    <w:p>
      <w:pPr>
        <w:pStyle w:val="8"/>
        <w:kinsoku w:val="0"/>
        <w:overflowPunct w:val="0"/>
        <w:spacing w:before="6"/>
        <w:ind w:left="0"/>
        <w:rPr>
          <w:rFonts w:hint="eastAsia" w:ascii="宋体" w:hAnsi="宋体" w:eastAsia="宋体" w:cs="宋体"/>
          <w:b/>
          <w:bCs/>
          <w:sz w:val="26"/>
          <w:szCs w:val="26"/>
          <w:highlight w:val="none"/>
        </w:rPr>
      </w:pPr>
    </w:p>
    <w:p>
      <w:pPr>
        <w:pStyle w:val="27"/>
        <w:kinsoku w:val="0"/>
        <w:overflowPunct w:val="0"/>
        <w:ind w:left="127"/>
        <w:outlineLvl w:val="9"/>
        <w:rPr>
          <w:rFonts w:hint="eastAsia" w:ascii="宋体" w:hAnsi="宋体" w:eastAsia="宋体" w:cs="宋体"/>
          <w:spacing w:val="1"/>
          <w:highlight w:val="none"/>
          <w:lang w:eastAsia="zh-CN"/>
        </w:rPr>
      </w:pPr>
      <w:r>
        <w:rPr>
          <w:rFonts w:hint="eastAsia" w:ascii="宋体" w:hAnsi="宋体" w:eastAsia="宋体" w:cs="宋体"/>
          <w:spacing w:val="1"/>
          <w:highlight w:val="none"/>
        </w:rPr>
        <w:t>致：</w:t>
      </w:r>
      <w:r>
        <w:rPr>
          <w:rFonts w:hint="eastAsia" w:hAnsi="宋体" w:cs="宋体"/>
          <w:spacing w:val="1"/>
          <w:highlight w:val="none"/>
          <w:lang w:eastAsia="zh-CN"/>
        </w:rPr>
        <w:t>新疆天之源项目管理集团有限公司</w:t>
      </w:r>
    </w:p>
    <w:p>
      <w:pPr>
        <w:pStyle w:val="8"/>
        <w:kinsoku w:val="0"/>
        <w:overflowPunct w:val="0"/>
        <w:spacing w:before="10"/>
        <w:ind w:left="0"/>
        <w:rPr>
          <w:rFonts w:hint="eastAsia" w:ascii="宋体" w:hAnsi="宋体" w:eastAsia="宋体" w:cs="宋体"/>
          <w:b/>
          <w:bCs/>
          <w:sz w:val="14"/>
          <w:szCs w:val="14"/>
          <w:highlight w:val="none"/>
        </w:rPr>
      </w:pPr>
    </w:p>
    <w:p>
      <w:pPr>
        <w:pStyle w:val="8"/>
        <w:kinsoku w:val="0"/>
        <w:overflowPunct w:val="0"/>
        <w:spacing w:before="34" w:line="358" w:lineRule="auto"/>
        <w:ind w:left="119" w:right="125" w:firstLine="480" w:firstLineChars="200"/>
        <w:rPr>
          <w:rFonts w:hint="eastAsia" w:ascii="宋体" w:hAnsi="宋体" w:eastAsia="宋体" w:cs="宋体"/>
          <w:highlight w:val="none"/>
        </w:rPr>
      </w:pPr>
      <w:r>
        <w:rPr>
          <w:rFonts w:hint="eastAsia" w:ascii="宋体" w:hAnsi="宋体" w:eastAsia="宋体" w:cs="宋体"/>
          <w:highlight w:val="none"/>
        </w:rPr>
        <w:t>如果我方在贵公司组织的项目名称：</w:t>
      </w:r>
      <w:r>
        <w:rPr>
          <w:rFonts w:hint="eastAsia" w:ascii="宋体" w:hAnsi="宋体" w:eastAsia="宋体" w:cs="宋体"/>
          <w:highlight w:val="none"/>
          <w:u w:val="single"/>
        </w:rPr>
        <w:tab/>
      </w:r>
      <w:r>
        <w:rPr>
          <w:rFonts w:hint="eastAsia" w:ascii="宋体" w:hAnsi="宋体" w:eastAsia="宋体" w:cs="宋体"/>
          <w:highlight w:val="none"/>
          <w:u w:val="single"/>
        </w:rPr>
        <w:t xml:space="preserve">       （项目编号：   </w:t>
      </w:r>
      <w:r>
        <w:rPr>
          <w:rFonts w:hint="eastAsia" w:ascii="宋体" w:hAnsi="宋体" w:eastAsia="宋体" w:cs="宋体"/>
          <w:highlight w:val="none"/>
          <w:u w:val="single"/>
        </w:rPr>
        <w:tab/>
      </w:r>
      <w:r>
        <w:rPr>
          <w:rFonts w:hint="eastAsia" w:ascii="宋体" w:hAnsi="宋体" w:eastAsia="宋体" w:cs="宋体"/>
          <w:highlight w:val="none"/>
          <w:u w:val="single"/>
        </w:rPr>
        <w:t>）</w:t>
      </w:r>
      <w:r>
        <w:rPr>
          <w:rFonts w:hint="eastAsia" w:ascii="宋体" w:hAnsi="宋体" w:eastAsia="宋体" w:cs="宋体"/>
          <w:highlight w:val="none"/>
        </w:rPr>
        <w:t>磋商采购项目中被确定为成交供应商候选人，我方保证在收到《成交通知书》前，按照磋商文件的规定向贵公司</w:t>
      </w:r>
      <w:r>
        <w:rPr>
          <w:rFonts w:hint="eastAsia" w:ascii="宋体" w:hAnsi="宋体" w:eastAsia="宋体" w:cs="宋体"/>
          <w:spacing w:val="4"/>
          <w:highlight w:val="none"/>
        </w:rPr>
        <w:t>缴纳</w:t>
      </w:r>
      <w:r>
        <w:rPr>
          <w:rFonts w:hint="eastAsia" w:ascii="宋体" w:hAnsi="宋体" w:eastAsia="宋体" w:cs="宋体"/>
          <w:highlight w:val="none"/>
        </w:rPr>
        <w:t>招标代理服务费。</w:t>
      </w:r>
    </w:p>
    <w:p>
      <w:pPr>
        <w:pStyle w:val="8"/>
        <w:kinsoku w:val="0"/>
        <w:overflowPunct w:val="0"/>
        <w:spacing w:before="34" w:line="358" w:lineRule="auto"/>
        <w:ind w:left="119" w:right="125" w:firstLine="480" w:firstLineChars="200"/>
        <w:rPr>
          <w:rFonts w:hint="eastAsia" w:ascii="宋体" w:hAnsi="宋体" w:eastAsia="宋体" w:cs="宋体"/>
          <w:highlight w:val="none"/>
        </w:rPr>
      </w:pPr>
      <w:r>
        <w:rPr>
          <w:rFonts w:hint="eastAsia" w:ascii="宋体" w:hAnsi="宋体" w:eastAsia="宋体" w:cs="宋体"/>
          <w:highlight w:val="none"/>
        </w:rPr>
        <w:t>我方如违约，愿凭贵公司开出的违约通知，按上述承诺金额的200％在采购人与我方签订的采购合同款项中扣付，并在此同意和要求采购人（应</w:t>
      </w:r>
      <w:r>
        <w:rPr>
          <w:rFonts w:hint="eastAsia" w:ascii="宋体" w:hAnsi="宋体" w:eastAsia="宋体" w:cs="宋体"/>
          <w:highlight w:val="none"/>
          <w:lang w:eastAsia="zh-CN"/>
        </w:rPr>
        <w:t>新疆天之源项目管理集团有限公司</w:t>
      </w:r>
      <w:r>
        <w:rPr>
          <w:rFonts w:hint="eastAsia" w:ascii="宋体" w:hAnsi="宋体" w:eastAsia="宋体" w:cs="宋体"/>
          <w:highlight w:val="none"/>
        </w:rPr>
        <w:t>的要求）办理支付手续。</w:t>
      </w:r>
    </w:p>
    <w:p>
      <w:pPr>
        <w:pStyle w:val="8"/>
        <w:kinsoku w:val="0"/>
        <w:overflowPunct w:val="0"/>
        <w:spacing w:before="34" w:line="358" w:lineRule="auto"/>
        <w:ind w:left="119" w:right="125" w:firstLine="480" w:firstLineChars="200"/>
        <w:rPr>
          <w:rFonts w:hint="eastAsia" w:ascii="宋体" w:hAnsi="宋体" w:eastAsia="宋体" w:cs="宋体"/>
          <w:spacing w:val="-1"/>
          <w:w w:val="95"/>
          <w:highlight w:val="none"/>
        </w:rPr>
      </w:pPr>
      <w:r>
        <w:rPr>
          <w:rFonts w:hint="eastAsia" w:ascii="宋体" w:hAnsi="宋体" w:eastAsia="宋体" w:cs="宋体"/>
          <w:highlight w:val="none"/>
        </w:rPr>
        <w:t>特此承诺！</w:t>
      </w:r>
    </w:p>
    <w:p>
      <w:pPr>
        <w:pStyle w:val="8"/>
        <w:tabs>
          <w:tab w:val="left" w:pos="8107"/>
          <w:tab w:val="left" w:pos="8227"/>
        </w:tabs>
        <w:kinsoku w:val="0"/>
        <w:overflowPunct w:val="0"/>
        <w:spacing w:before="0" w:line="381" w:lineRule="auto"/>
        <w:ind w:left="4027" w:right="118"/>
        <w:rPr>
          <w:rFonts w:hint="eastAsia" w:ascii="宋体" w:hAnsi="宋体" w:eastAsia="宋体" w:cs="宋体"/>
          <w:highlight w:val="none"/>
        </w:rPr>
      </w:pPr>
      <w:r>
        <w:rPr>
          <w:rFonts w:hint="eastAsia" w:ascii="宋体" w:hAnsi="宋体" w:eastAsia="宋体" w:cs="宋体"/>
          <w:highlight w:val="none"/>
          <w:lang w:eastAsia="zh-CN"/>
        </w:rPr>
        <w:t>供应商</w:t>
      </w:r>
      <w:r>
        <w:rPr>
          <w:rFonts w:hint="eastAsia" w:ascii="宋体" w:hAnsi="宋体" w:eastAsia="宋体" w:cs="宋体"/>
          <w:highlight w:val="none"/>
        </w:rPr>
        <w:t>：</w:t>
      </w:r>
      <w:r>
        <w:rPr>
          <w:rFonts w:hint="eastAsia" w:ascii="宋体" w:hAnsi="宋体" w:eastAsia="宋体" w:cs="宋体"/>
          <w:highlight w:val="none"/>
          <w:u w:val="single"/>
        </w:rPr>
        <w:tab/>
      </w:r>
      <w:r>
        <w:rPr>
          <w:rFonts w:hint="eastAsia" w:ascii="宋体" w:hAnsi="宋体" w:eastAsia="宋体" w:cs="宋体"/>
          <w:highlight w:val="none"/>
        </w:rPr>
        <w:t xml:space="preserve">（盖章） </w:t>
      </w:r>
    </w:p>
    <w:p>
      <w:pPr>
        <w:pStyle w:val="8"/>
        <w:tabs>
          <w:tab w:val="left" w:pos="8107"/>
          <w:tab w:val="left" w:pos="8227"/>
        </w:tabs>
        <w:kinsoku w:val="0"/>
        <w:overflowPunct w:val="0"/>
        <w:spacing w:before="0" w:line="381" w:lineRule="auto"/>
        <w:ind w:left="4027" w:right="118"/>
        <w:rPr>
          <w:rFonts w:hint="eastAsia" w:ascii="宋体" w:hAnsi="宋体" w:eastAsia="宋体" w:cs="宋体"/>
          <w:w w:val="95"/>
          <w:highlight w:val="none"/>
        </w:rPr>
      </w:pPr>
      <w:r>
        <w:rPr>
          <w:rFonts w:hint="eastAsia" w:ascii="宋体" w:hAnsi="宋体" w:eastAsia="宋体" w:cs="宋体"/>
          <w:highlight w:val="none"/>
        </w:rPr>
        <w:t>法定代表人：</w:t>
      </w:r>
      <w:r>
        <w:rPr>
          <w:rFonts w:hint="eastAsia" w:ascii="宋体" w:hAnsi="宋体" w:eastAsia="宋体" w:cs="宋体"/>
          <w:highlight w:val="none"/>
          <w:u w:val="single"/>
        </w:rPr>
        <w:tab/>
      </w:r>
      <w:r>
        <w:rPr>
          <w:rFonts w:hint="eastAsia" w:ascii="宋体" w:hAnsi="宋体" w:eastAsia="宋体" w:cs="宋体"/>
          <w:highlight w:val="none"/>
          <w:u w:val="single"/>
        </w:rPr>
        <w:tab/>
      </w:r>
      <w:r>
        <w:rPr>
          <w:rFonts w:hint="eastAsia" w:ascii="宋体" w:hAnsi="宋体" w:eastAsia="宋体" w:cs="宋体"/>
          <w:w w:val="95"/>
          <w:highlight w:val="none"/>
        </w:rPr>
        <w:t>（签字）</w:t>
      </w:r>
    </w:p>
    <w:p>
      <w:pPr>
        <w:pStyle w:val="8"/>
        <w:kinsoku w:val="0"/>
        <w:wordWrap w:val="0"/>
        <w:overflowPunct w:val="0"/>
        <w:spacing w:before="34" w:line="358" w:lineRule="auto"/>
        <w:ind w:left="119" w:right="125" w:firstLine="480" w:firstLineChars="200"/>
        <w:jc w:val="left"/>
        <w:rPr>
          <w:rFonts w:hint="eastAsia" w:ascii="宋体" w:hAnsi="宋体" w:eastAsia="宋体" w:cs="宋体"/>
          <w:highlight w:val="none"/>
        </w:rPr>
      </w:pPr>
      <w:r>
        <w:rPr>
          <w:rFonts w:hint="eastAsia" w:ascii="宋体" w:hAnsi="宋体" w:eastAsia="宋体" w:cs="宋体"/>
          <w:highlight w:val="none"/>
          <w:lang w:val="en-US" w:eastAsia="zh-CN"/>
        </w:rPr>
        <w:t xml:space="preserve">                                         </w:t>
      </w:r>
      <w:r>
        <w:rPr>
          <w:rFonts w:hint="eastAsia" w:ascii="宋体" w:hAnsi="宋体" w:eastAsia="宋体" w:cs="宋体"/>
          <w:highlight w:val="none"/>
        </w:rPr>
        <w:t>日</w:t>
      </w:r>
      <w:r>
        <w:rPr>
          <w:rFonts w:hint="eastAsia" w:ascii="宋体" w:hAnsi="宋体" w:eastAsia="宋体" w:cs="宋体"/>
          <w:highlight w:val="none"/>
          <w:lang w:val="en-US" w:eastAsia="zh-CN"/>
        </w:rPr>
        <w:t xml:space="preserve"> </w:t>
      </w:r>
      <w:r>
        <w:rPr>
          <w:rFonts w:hint="eastAsia" w:ascii="宋体" w:hAnsi="宋体" w:eastAsia="宋体" w:cs="宋体"/>
          <w:highlight w:val="none"/>
        </w:rPr>
        <w:t>期：</w:t>
      </w:r>
      <w:r>
        <w:rPr>
          <w:rFonts w:hint="eastAsia" w:ascii="宋体" w:hAnsi="宋体" w:eastAsia="宋体" w:cs="宋体"/>
          <w:highlight w:val="none"/>
          <w:u w:val="single"/>
        </w:rPr>
        <w:tab/>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年</w:t>
      </w:r>
      <w:r>
        <w:rPr>
          <w:rFonts w:hint="eastAsia" w:ascii="宋体" w:hAnsi="宋体" w:eastAsia="宋体" w:cs="宋体"/>
          <w:highlight w:val="none"/>
          <w:u w:val="single"/>
        </w:rPr>
        <w:tab/>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月</w:t>
      </w:r>
      <w:r>
        <w:rPr>
          <w:rFonts w:hint="eastAsia" w:ascii="宋体" w:hAnsi="宋体" w:eastAsia="宋体" w:cs="宋体"/>
          <w:highlight w:val="none"/>
          <w:u w:val="single"/>
        </w:rPr>
        <w:tab/>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 xml:space="preserve">日   </w:t>
      </w:r>
    </w:p>
    <w:p>
      <w:pPr>
        <w:pStyle w:val="8"/>
        <w:kinsoku w:val="0"/>
        <w:overflowPunct w:val="0"/>
        <w:spacing w:before="34" w:line="357" w:lineRule="auto"/>
        <w:ind w:right="126" w:firstLine="480"/>
        <w:jc w:val="center"/>
        <w:outlineLvl w:val="1"/>
        <w:rPr>
          <w:rFonts w:hint="eastAsia" w:ascii="宋体" w:hAnsi="宋体" w:eastAsia="宋体" w:cs="宋体"/>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十三、退还保证金说明函</w:t>
      </w:r>
    </w:p>
    <w:p>
      <w:pPr>
        <w:pStyle w:val="8"/>
        <w:kinsoku w:val="0"/>
        <w:overflowPunct w:val="0"/>
        <w:spacing w:before="6"/>
        <w:ind w:left="0"/>
        <w:rPr>
          <w:rFonts w:hint="eastAsia" w:ascii="宋体" w:hAnsi="宋体" w:eastAsia="宋体" w:cs="宋体"/>
          <w:b/>
          <w:bCs/>
          <w:sz w:val="26"/>
          <w:szCs w:val="26"/>
          <w:highlight w:val="none"/>
        </w:rPr>
      </w:pPr>
    </w:p>
    <w:p>
      <w:pPr>
        <w:pStyle w:val="27"/>
        <w:kinsoku w:val="0"/>
        <w:overflowPunct w:val="0"/>
        <w:ind w:left="127"/>
        <w:outlineLvl w:val="9"/>
        <w:rPr>
          <w:rFonts w:hint="eastAsia" w:ascii="宋体" w:hAnsi="宋体" w:eastAsia="宋体" w:cs="宋体"/>
          <w:spacing w:val="1"/>
          <w:highlight w:val="none"/>
          <w:lang w:eastAsia="zh-CN"/>
        </w:rPr>
      </w:pPr>
      <w:r>
        <w:rPr>
          <w:rFonts w:hint="eastAsia" w:ascii="宋体" w:hAnsi="宋体" w:eastAsia="宋体" w:cs="宋体"/>
          <w:spacing w:val="1"/>
          <w:highlight w:val="none"/>
        </w:rPr>
        <w:t>致：</w:t>
      </w:r>
      <w:r>
        <w:rPr>
          <w:rFonts w:hint="eastAsia" w:hAnsi="宋体" w:cs="宋体"/>
          <w:spacing w:val="1"/>
          <w:highlight w:val="none"/>
          <w:lang w:eastAsia="zh-CN"/>
        </w:rPr>
        <w:t>新疆天之源项目管理集团有限公司</w:t>
      </w:r>
    </w:p>
    <w:p>
      <w:pPr>
        <w:spacing w:line="360" w:lineRule="auto"/>
        <w:ind w:firstLine="420"/>
        <w:rPr>
          <w:rFonts w:hint="eastAsia" w:ascii="宋体" w:hAnsi="宋体" w:eastAsia="宋体" w:cs="宋体"/>
          <w:kern w:val="0"/>
          <w:sz w:val="24"/>
          <w:szCs w:val="24"/>
          <w:highlight w:val="none"/>
        </w:rPr>
      </w:pPr>
    </w:p>
    <w:p>
      <w:pPr>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我单位已按</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项目（项目编号：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）的招标文件要求，提交的报价保证金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u w:val="single"/>
        </w:rPr>
        <w:t>大写金额</w:t>
      </w:r>
      <w:r>
        <w:rPr>
          <w:rFonts w:hint="eastAsia" w:ascii="宋体" w:hAnsi="宋体" w:eastAsia="宋体" w:cs="宋体"/>
          <w:kern w:val="0"/>
          <w:sz w:val="24"/>
          <w:szCs w:val="24"/>
          <w:highlight w:val="none"/>
        </w:rPr>
        <w:t>）元，请贵公司退还时划到以下帐户：</w:t>
      </w:r>
    </w:p>
    <w:p>
      <w:pPr>
        <w:tabs>
          <w:tab w:val="left" w:pos="676"/>
          <w:tab w:val="left" w:pos="2330"/>
          <w:tab w:val="left" w:pos="9230"/>
        </w:tabs>
        <w:autoSpaceDE w:val="0"/>
        <w:autoSpaceDN w:val="0"/>
        <w:adjustRightInd w:val="0"/>
        <w:spacing w:before="120" w:line="360" w:lineRule="auto"/>
        <w:rPr>
          <w:rFonts w:hint="eastAsia" w:ascii="宋体" w:hAnsi="宋体" w:eastAsia="宋体" w:cs="宋体"/>
          <w:kern w:val="0"/>
          <w:sz w:val="24"/>
          <w:szCs w:val="24"/>
          <w:highlight w:val="none"/>
        </w:rPr>
      </w:pPr>
    </w:p>
    <w:p>
      <w:pPr>
        <w:pStyle w:val="9"/>
        <w:spacing w:line="48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收 款 单 位：</w:t>
      </w:r>
    </w:p>
    <w:p>
      <w:pPr>
        <w:pStyle w:val="9"/>
        <w:spacing w:line="48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收款单位地址：</w:t>
      </w:r>
    </w:p>
    <w:p>
      <w:pPr>
        <w:pStyle w:val="9"/>
        <w:spacing w:line="48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开 户 银 行：</w:t>
      </w:r>
    </w:p>
    <w:p>
      <w:pPr>
        <w:pStyle w:val="9"/>
        <w:spacing w:line="48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帐       号：</w:t>
      </w:r>
    </w:p>
    <w:p>
      <w:pPr>
        <w:pStyle w:val="9"/>
        <w:spacing w:line="48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联   系  人：</w:t>
      </w:r>
    </w:p>
    <w:p>
      <w:pPr>
        <w:pStyle w:val="9"/>
        <w:spacing w:line="48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联 系 电 话：</w:t>
      </w:r>
    </w:p>
    <w:p>
      <w:pPr>
        <w:pStyle w:val="9"/>
        <w:spacing w:line="360" w:lineRule="auto"/>
        <w:rPr>
          <w:rFonts w:hint="eastAsia" w:ascii="宋体" w:hAnsi="宋体" w:eastAsia="宋体" w:cs="宋体"/>
          <w:kern w:val="0"/>
          <w:sz w:val="24"/>
          <w:highlight w:val="none"/>
        </w:rPr>
      </w:pPr>
    </w:p>
    <w:p>
      <w:pPr>
        <w:pStyle w:val="9"/>
        <w:spacing w:line="360" w:lineRule="auto"/>
        <w:rPr>
          <w:rFonts w:hint="eastAsia" w:ascii="宋体" w:hAnsi="宋体" w:eastAsia="宋体" w:cs="宋体"/>
          <w:kern w:val="0"/>
          <w:sz w:val="24"/>
          <w:highlight w:val="none"/>
        </w:rPr>
      </w:pPr>
      <w:r>
        <w:rPr>
          <w:rFonts w:hint="eastAsia" w:ascii="宋体" w:hAnsi="宋体" w:eastAsia="宋体" w:cs="宋体"/>
          <w:kern w:val="0"/>
          <w:sz w:val="24"/>
          <w:highlight w:val="none"/>
        </w:rPr>
        <w:t>（联系人和电话请填写财务人员，以便我公司财务人员核实退还保证金账户正确性）</w:t>
      </w:r>
    </w:p>
    <w:p>
      <w:pPr>
        <w:pStyle w:val="8"/>
        <w:tabs>
          <w:tab w:val="left" w:pos="8107"/>
          <w:tab w:val="left" w:pos="8227"/>
        </w:tabs>
        <w:kinsoku w:val="0"/>
        <w:overflowPunct w:val="0"/>
        <w:spacing w:before="0" w:line="381" w:lineRule="auto"/>
        <w:ind w:left="4027" w:right="118"/>
        <w:rPr>
          <w:rFonts w:hint="eastAsia" w:ascii="宋体" w:hAnsi="宋体" w:eastAsia="宋体" w:cs="宋体"/>
          <w:highlight w:val="none"/>
        </w:rPr>
      </w:pPr>
    </w:p>
    <w:p>
      <w:pPr>
        <w:pStyle w:val="8"/>
        <w:tabs>
          <w:tab w:val="left" w:pos="8107"/>
          <w:tab w:val="left" w:pos="8227"/>
        </w:tabs>
        <w:kinsoku w:val="0"/>
        <w:overflowPunct w:val="0"/>
        <w:spacing w:before="0" w:line="381" w:lineRule="auto"/>
        <w:ind w:left="4027" w:right="118"/>
        <w:rPr>
          <w:rFonts w:hint="eastAsia" w:ascii="宋体" w:hAnsi="宋体" w:eastAsia="宋体" w:cs="宋体"/>
          <w:highlight w:val="none"/>
        </w:rPr>
      </w:pPr>
      <w:r>
        <w:rPr>
          <w:rFonts w:hint="eastAsia" w:ascii="宋体" w:hAnsi="宋体" w:eastAsia="宋体" w:cs="宋体"/>
          <w:highlight w:val="none"/>
        </w:rPr>
        <w:t>投标单位：</w:t>
      </w:r>
      <w:r>
        <w:rPr>
          <w:rFonts w:hint="eastAsia" w:ascii="宋体" w:hAnsi="宋体" w:eastAsia="宋体" w:cs="宋体"/>
          <w:highlight w:val="none"/>
          <w:u w:val="single"/>
        </w:rPr>
        <w:tab/>
      </w:r>
      <w:r>
        <w:rPr>
          <w:rFonts w:hint="eastAsia" w:ascii="宋体" w:hAnsi="宋体" w:eastAsia="宋体" w:cs="宋体"/>
          <w:highlight w:val="none"/>
        </w:rPr>
        <w:t xml:space="preserve">（盖章） </w:t>
      </w:r>
    </w:p>
    <w:p>
      <w:pPr>
        <w:pStyle w:val="8"/>
        <w:tabs>
          <w:tab w:val="left" w:pos="8107"/>
          <w:tab w:val="left" w:pos="8227"/>
        </w:tabs>
        <w:kinsoku w:val="0"/>
        <w:overflowPunct w:val="0"/>
        <w:spacing w:before="0" w:line="381" w:lineRule="auto"/>
        <w:ind w:left="4027" w:right="118"/>
        <w:rPr>
          <w:rFonts w:hint="eastAsia" w:ascii="宋体" w:hAnsi="宋体" w:eastAsia="宋体" w:cs="宋体"/>
          <w:w w:val="95"/>
          <w:highlight w:val="none"/>
        </w:rPr>
      </w:pPr>
      <w:r>
        <w:rPr>
          <w:rFonts w:hint="eastAsia" w:ascii="宋体" w:hAnsi="宋体" w:eastAsia="宋体" w:cs="宋体"/>
          <w:highlight w:val="none"/>
        </w:rPr>
        <w:t>法定代表人或被授权人：</w:t>
      </w:r>
      <w:r>
        <w:rPr>
          <w:rFonts w:hint="eastAsia" w:ascii="宋体" w:hAnsi="宋体" w:eastAsia="宋体" w:cs="宋体"/>
          <w:highlight w:val="none"/>
          <w:u w:val="single"/>
        </w:rPr>
        <w:tab/>
      </w:r>
      <w:r>
        <w:rPr>
          <w:rFonts w:hint="eastAsia" w:ascii="宋体" w:hAnsi="宋体" w:eastAsia="宋体" w:cs="宋体"/>
          <w:highlight w:val="none"/>
          <w:u w:val="single"/>
        </w:rPr>
        <w:tab/>
      </w:r>
      <w:r>
        <w:rPr>
          <w:rFonts w:hint="eastAsia" w:ascii="宋体" w:hAnsi="宋体" w:eastAsia="宋体" w:cs="宋体"/>
          <w:w w:val="95"/>
          <w:highlight w:val="none"/>
        </w:rPr>
        <w:t>（签字）</w:t>
      </w:r>
    </w:p>
    <w:p>
      <w:pPr>
        <w:pStyle w:val="8"/>
        <w:kinsoku w:val="0"/>
        <w:wordWrap w:val="0"/>
        <w:overflowPunct w:val="0"/>
        <w:spacing w:before="34" w:line="358" w:lineRule="auto"/>
        <w:ind w:left="119" w:right="125" w:firstLine="480" w:firstLineChars="200"/>
        <w:jc w:val="right"/>
        <w:rPr>
          <w:rFonts w:hint="eastAsia" w:ascii="宋体" w:hAnsi="宋体" w:eastAsia="宋体" w:cs="宋体"/>
          <w:highlight w:val="none"/>
        </w:rPr>
      </w:pPr>
      <w:r>
        <w:rPr>
          <w:rFonts w:hint="eastAsia" w:ascii="宋体" w:hAnsi="宋体" w:eastAsia="宋体" w:cs="宋体"/>
          <w:highlight w:val="none"/>
        </w:rPr>
        <w:t>日</w:t>
      </w:r>
      <w:r>
        <w:rPr>
          <w:rFonts w:hint="eastAsia" w:ascii="宋体" w:hAnsi="宋体" w:eastAsia="宋体" w:cs="宋体"/>
          <w:highlight w:val="none"/>
        </w:rPr>
        <w:tab/>
      </w:r>
      <w:r>
        <w:rPr>
          <w:rFonts w:hint="eastAsia" w:ascii="宋体" w:hAnsi="宋体" w:eastAsia="宋体" w:cs="宋体"/>
          <w:highlight w:val="none"/>
        </w:rPr>
        <w:t>期：</w:t>
      </w:r>
      <w:r>
        <w:rPr>
          <w:rFonts w:hint="eastAsia" w:ascii="宋体" w:hAnsi="宋体" w:eastAsia="宋体" w:cs="宋体"/>
          <w:highlight w:val="none"/>
          <w:u w:val="single"/>
        </w:rPr>
        <w:tab/>
      </w:r>
      <w:r>
        <w:rPr>
          <w:rFonts w:hint="eastAsia" w:ascii="宋体" w:hAnsi="宋体" w:eastAsia="宋体" w:cs="宋体"/>
          <w:highlight w:val="none"/>
        </w:rPr>
        <w:t>年</w:t>
      </w:r>
      <w:r>
        <w:rPr>
          <w:rFonts w:hint="eastAsia" w:ascii="宋体" w:hAnsi="宋体" w:eastAsia="宋体" w:cs="宋体"/>
          <w:highlight w:val="none"/>
          <w:u w:val="single"/>
        </w:rPr>
        <w:tab/>
      </w:r>
      <w:r>
        <w:rPr>
          <w:rFonts w:hint="eastAsia" w:ascii="宋体" w:hAnsi="宋体" w:eastAsia="宋体" w:cs="宋体"/>
          <w:highlight w:val="none"/>
        </w:rPr>
        <w:t>月</w:t>
      </w:r>
      <w:r>
        <w:rPr>
          <w:rFonts w:hint="eastAsia" w:ascii="宋体" w:hAnsi="宋体" w:eastAsia="宋体" w:cs="宋体"/>
          <w:highlight w:val="none"/>
          <w:u w:val="single"/>
        </w:rPr>
        <w:tab/>
      </w:r>
      <w:r>
        <w:rPr>
          <w:rFonts w:hint="eastAsia" w:ascii="宋体" w:hAnsi="宋体" w:eastAsia="宋体" w:cs="宋体"/>
          <w:highlight w:val="none"/>
        </w:rPr>
        <w:t xml:space="preserve">日   </w:t>
      </w:r>
    </w:p>
    <w:p>
      <w:pPr>
        <w:pStyle w:val="28"/>
        <w:tabs>
          <w:tab w:val="left" w:pos="2763"/>
        </w:tabs>
        <w:kinsoku w:val="0"/>
        <w:overflowPunct w:val="0"/>
        <w:spacing w:before="143"/>
        <w:jc w:val="center"/>
        <w:outlineLvl w:val="9"/>
        <w:rPr>
          <w:rFonts w:hint="eastAsia" w:ascii="宋体" w:hAnsi="宋体" w:eastAsia="宋体" w:cs="宋体"/>
          <w:b w:val="0"/>
          <w:bCs w:val="0"/>
          <w:highlight w:val="none"/>
        </w:rPr>
      </w:pPr>
    </w:p>
    <w:p>
      <w:pPr>
        <w:pStyle w:val="8"/>
        <w:kinsoku w:val="0"/>
        <w:overflowPunct w:val="0"/>
        <w:spacing w:before="34" w:line="358" w:lineRule="auto"/>
        <w:ind w:left="119" w:right="125" w:firstLine="480" w:firstLineChars="200"/>
        <w:jc w:val="right"/>
        <w:rPr>
          <w:rFonts w:hint="eastAsia" w:ascii="宋体" w:hAnsi="宋体" w:eastAsia="宋体" w:cs="宋体"/>
          <w:b/>
          <w:bCs/>
          <w:sz w:val="36"/>
          <w:szCs w:val="36"/>
          <w:highlight w:val="none"/>
        </w:rPr>
      </w:pPr>
      <w:r>
        <w:rPr>
          <w:rFonts w:hint="eastAsia" w:ascii="宋体" w:hAnsi="宋体" w:eastAsia="宋体" w:cs="宋体"/>
          <w:highlight w:val="none"/>
        </w:rPr>
        <w:t xml:space="preserve">        </w:t>
      </w:r>
      <w:r>
        <w:rPr>
          <w:rFonts w:hint="eastAsia" w:ascii="宋体" w:hAnsi="宋体" w:eastAsia="宋体" w:cs="宋体"/>
          <w:spacing w:val="-1"/>
          <w:w w:val="95"/>
          <w:highlight w:val="none"/>
        </w:rPr>
        <w:br w:type="page"/>
      </w:r>
    </w:p>
    <w:p>
      <w:pPr>
        <w:pStyle w:val="8"/>
        <w:kinsoku w:val="0"/>
        <w:overflowPunct w:val="0"/>
        <w:spacing w:before="34" w:line="357" w:lineRule="auto"/>
        <w:ind w:right="126" w:firstLine="480"/>
        <w:jc w:val="center"/>
        <w:outlineLvl w:val="1"/>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十四、其他商务资格证明资料</w:t>
      </w:r>
    </w:p>
    <w:p>
      <w:pPr>
        <w:pStyle w:val="8"/>
        <w:kinsoku w:val="0"/>
        <w:overflowPunct w:val="0"/>
        <w:spacing w:before="0" w:line="940" w:lineRule="exact"/>
        <w:ind w:left="0"/>
        <w:jc w:val="center"/>
        <w:rPr>
          <w:rFonts w:hint="eastAsia" w:ascii="宋体" w:hAnsi="宋体" w:eastAsia="宋体" w:cs="宋体"/>
          <w:highlight w:val="none"/>
        </w:rPr>
      </w:pPr>
      <w:r>
        <w:rPr>
          <w:rFonts w:hint="eastAsia" w:ascii="宋体" w:hAnsi="宋体" w:eastAsia="宋体" w:cs="宋体"/>
          <w:highlight w:val="none"/>
        </w:rPr>
        <w:br w:type="page"/>
      </w:r>
    </w:p>
    <w:p>
      <w:pPr>
        <w:pStyle w:val="8"/>
        <w:kinsoku w:val="0"/>
        <w:overflowPunct w:val="0"/>
        <w:spacing w:before="34" w:line="357" w:lineRule="auto"/>
        <w:ind w:right="126" w:firstLine="480"/>
        <w:jc w:val="center"/>
        <w:outlineLvl w:val="1"/>
        <w:rPr>
          <w:rFonts w:hint="eastAsia" w:ascii="宋体" w:hAnsi="宋体" w:eastAsia="宋体" w:cs="宋体"/>
          <w:b/>
          <w:bCs/>
          <w:highlight w:val="none"/>
        </w:rPr>
      </w:pPr>
      <w:r>
        <w:rPr>
          <w:rFonts w:hint="eastAsia" w:ascii="宋体" w:hAnsi="宋体" w:eastAsia="宋体" w:cs="宋体"/>
          <w:b/>
          <w:bCs/>
          <w:sz w:val="36"/>
          <w:szCs w:val="36"/>
          <w:highlight w:val="none"/>
        </w:rPr>
        <w:t>十五、项目实施方案</w:t>
      </w:r>
    </w:p>
    <w:p>
      <w:pP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1</w:t>
      </w:r>
      <w:r>
        <w:rPr>
          <w:rFonts w:hint="eastAsia" w:ascii="宋体" w:hAnsi="宋体" w:eastAsia="宋体" w:cs="宋体"/>
          <w:b/>
          <w:kern w:val="0"/>
          <w:sz w:val="24"/>
          <w:szCs w:val="24"/>
          <w:highlight w:val="none"/>
        </w:rPr>
        <w:tab/>
      </w:r>
      <w:r>
        <w:rPr>
          <w:rFonts w:hint="eastAsia" w:ascii="宋体" w:hAnsi="宋体" w:eastAsia="宋体" w:cs="宋体"/>
          <w:b/>
          <w:kern w:val="0"/>
          <w:sz w:val="24"/>
          <w:szCs w:val="24"/>
          <w:highlight w:val="none"/>
        </w:rPr>
        <w:t>技术方案</w:t>
      </w:r>
    </w:p>
    <w:p>
      <w:pPr>
        <w:pStyle w:val="22"/>
        <w:rPr>
          <w:rFonts w:hint="eastAsia"/>
          <w:highlight w:val="none"/>
        </w:rPr>
      </w:pPr>
    </w:p>
    <w:p>
      <w:pP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rPr>
        <w:t>1.1</w:t>
      </w:r>
      <w:r>
        <w:rPr>
          <w:rFonts w:hint="eastAsia" w:ascii="宋体" w:hAnsi="宋体" w:cs="宋体"/>
          <w:b/>
          <w:kern w:val="0"/>
          <w:sz w:val="24"/>
          <w:szCs w:val="24"/>
          <w:highlight w:val="none"/>
          <w:lang w:val="en-US" w:eastAsia="zh-CN"/>
        </w:rPr>
        <w:t xml:space="preserve">  工程概况及特点</w:t>
      </w:r>
      <w:r>
        <w:rPr>
          <w:rFonts w:hint="eastAsia" w:ascii="宋体" w:hAnsi="宋体" w:cs="宋体"/>
          <w:b/>
          <w:kern w:val="0"/>
          <w:sz w:val="24"/>
          <w:szCs w:val="24"/>
          <w:highlight w:val="none"/>
          <w:lang w:eastAsia="zh-CN"/>
        </w:rPr>
        <w:t>：</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r>
        <w:rPr>
          <w:rFonts w:hint="eastAsia" w:ascii="宋体" w:hAnsi="宋体" w:cs="宋体"/>
          <w:kern w:val="0"/>
          <w:sz w:val="24"/>
          <w:szCs w:val="24"/>
          <w:highlight w:val="none"/>
          <w:lang w:eastAsia="zh-CN"/>
        </w:rPr>
        <w:t>；</w:t>
      </w:r>
    </w:p>
    <w:p>
      <w:pPr>
        <w:pStyle w:val="22"/>
        <w:rPr>
          <w:rFonts w:hint="eastAsia"/>
          <w:highlight w:val="none"/>
        </w:rPr>
      </w:pPr>
    </w:p>
    <w:p>
      <w:pPr>
        <w:rPr>
          <w:rFonts w:hint="default" w:ascii="宋体" w:hAnsi="宋体" w:eastAsia="宋体" w:cs="宋体"/>
          <w:kern w:val="0"/>
          <w:sz w:val="24"/>
          <w:szCs w:val="24"/>
          <w:highlight w:val="none"/>
          <w:lang w:val="en-US" w:eastAsia="zh-CN"/>
        </w:rPr>
      </w:pPr>
      <w:r>
        <w:rPr>
          <w:rFonts w:hint="eastAsia" w:ascii="宋体" w:hAnsi="宋体" w:eastAsia="宋体" w:cs="宋体"/>
          <w:b/>
          <w:kern w:val="0"/>
          <w:sz w:val="24"/>
          <w:szCs w:val="24"/>
          <w:highlight w:val="none"/>
        </w:rPr>
        <w:t>1.2</w:t>
      </w:r>
      <w:r>
        <w:rPr>
          <w:rFonts w:hint="eastAsia" w:ascii="宋体" w:hAnsi="宋体" w:cs="宋体"/>
          <w:b/>
          <w:kern w:val="0"/>
          <w:sz w:val="24"/>
          <w:szCs w:val="24"/>
          <w:highlight w:val="none"/>
          <w:lang w:val="en-US" w:eastAsia="zh-CN"/>
        </w:rPr>
        <w:t xml:space="preserve">  施工准备计划：</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p>
    <w:p>
      <w:pPr>
        <w:rPr>
          <w:rFonts w:hint="eastAsia" w:ascii="宋体" w:hAnsi="宋体" w:eastAsia="宋体" w:cs="宋体"/>
          <w:szCs w:val="21"/>
          <w:highlight w:val="none"/>
          <w:lang w:val="en-GB"/>
        </w:rPr>
      </w:pPr>
    </w:p>
    <w:p>
      <w:pP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1.3</w:t>
      </w:r>
      <w:r>
        <w:rPr>
          <w:rFonts w:hint="eastAsia" w:ascii="宋体" w:hAnsi="宋体" w:cs="宋体"/>
          <w:b/>
          <w:kern w:val="0"/>
          <w:sz w:val="24"/>
          <w:szCs w:val="24"/>
          <w:highlight w:val="none"/>
          <w:lang w:val="en-US" w:eastAsia="zh-CN"/>
        </w:rPr>
        <w:t xml:space="preserve">  施工方案</w:t>
      </w:r>
      <w:r>
        <w:rPr>
          <w:rFonts w:hint="eastAsia" w:ascii="宋体" w:hAnsi="宋体" w:cs="宋体"/>
          <w:b/>
          <w:kern w:val="0"/>
          <w:sz w:val="24"/>
          <w:szCs w:val="24"/>
          <w:highlight w:val="none"/>
          <w:lang w:eastAsia="zh-CN"/>
        </w:rPr>
        <w:t>：</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p>
    <w:p>
      <w:pPr>
        <w:pStyle w:val="23"/>
        <w:spacing w:before="4" w:line="360" w:lineRule="exact"/>
        <w:ind w:left="4" w:right="129"/>
        <w:rPr>
          <w:rFonts w:hint="eastAsia" w:ascii="宋体" w:hAnsi="宋体" w:eastAsia="宋体" w:cs="宋体"/>
          <w:b/>
          <w:kern w:val="0"/>
          <w:sz w:val="24"/>
          <w:szCs w:val="24"/>
          <w:highlight w:val="none"/>
        </w:rPr>
      </w:pPr>
    </w:p>
    <w:p>
      <w:pPr>
        <w:pStyle w:val="23"/>
        <w:spacing w:before="4" w:line="360" w:lineRule="exact"/>
        <w:ind w:left="4" w:right="129"/>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1.</w:t>
      </w:r>
      <w:r>
        <w:rPr>
          <w:rFonts w:hint="eastAsia" w:ascii="宋体" w:hAnsi="宋体" w:cs="宋体"/>
          <w:b/>
          <w:kern w:val="0"/>
          <w:sz w:val="24"/>
          <w:szCs w:val="24"/>
          <w:highlight w:val="none"/>
          <w:lang w:val="en-US" w:eastAsia="zh-CN"/>
        </w:rPr>
        <w:t>4  施工进度计划</w:t>
      </w:r>
      <w:r>
        <w:rPr>
          <w:rFonts w:hint="eastAsia" w:ascii="宋体" w:hAnsi="宋体" w:cs="宋体"/>
          <w:b/>
          <w:kern w:val="0"/>
          <w:sz w:val="24"/>
          <w:szCs w:val="24"/>
          <w:highlight w:val="none"/>
          <w:lang w:eastAsia="zh-CN"/>
        </w:rPr>
        <w:t>：</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p>
    <w:p>
      <w:pPr>
        <w:pStyle w:val="23"/>
        <w:spacing w:before="4" w:line="360" w:lineRule="exact"/>
        <w:ind w:left="4" w:right="129"/>
        <w:rPr>
          <w:rFonts w:hint="eastAsia" w:ascii="宋体" w:hAnsi="宋体" w:eastAsia="宋体" w:cs="宋体"/>
          <w:kern w:val="0"/>
          <w:sz w:val="24"/>
          <w:szCs w:val="24"/>
          <w:highlight w:val="none"/>
          <w:lang w:eastAsia="zh-CN"/>
        </w:rPr>
      </w:pPr>
    </w:p>
    <w:p>
      <w:pPr>
        <w:pStyle w:val="23"/>
        <w:spacing w:before="4" w:line="360" w:lineRule="exact"/>
        <w:ind w:left="4" w:right="129"/>
        <w:rPr>
          <w:rFonts w:hint="eastAsia" w:ascii="宋体" w:hAnsi="宋体" w:eastAsia="宋体" w:cs="宋体"/>
          <w:kern w:val="0"/>
          <w:sz w:val="24"/>
          <w:szCs w:val="24"/>
          <w:highlight w:val="none"/>
        </w:rPr>
      </w:pPr>
      <w:r>
        <w:rPr>
          <w:rFonts w:hint="eastAsia" w:ascii="宋体" w:hAnsi="宋体" w:cs="宋体"/>
          <w:b/>
          <w:kern w:val="0"/>
          <w:sz w:val="24"/>
          <w:szCs w:val="24"/>
          <w:highlight w:val="none"/>
          <w:lang w:val="en-US" w:eastAsia="zh-CN"/>
        </w:rPr>
        <w:t>1.5  施工平面图：</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p>
    <w:p>
      <w:pPr>
        <w:pStyle w:val="23"/>
        <w:spacing w:before="4" w:line="360" w:lineRule="exact"/>
        <w:ind w:left="4" w:right="129"/>
        <w:rPr>
          <w:rFonts w:hint="eastAsia" w:ascii="宋体" w:hAnsi="宋体" w:cs="宋体"/>
          <w:b/>
          <w:kern w:val="0"/>
          <w:sz w:val="24"/>
          <w:szCs w:val="24"/>
          <w:highlight w:val="none"/>
          <w:lang w:val="en-US" w:eastAsia="zh-CN"/>
        </w:rPr>
      </w:pPr>
    </w:p>
    <w:p>
      <w:pPr>
        <w:pStyle w:val="23"/>
        <w:spacing w:before="4" w:line="360" w:lineRule="exact"/>
        <w:ind w:left="4" w:right="129"/>
        <w:rPr>
          <w:rFonts w:hint="eastAsia" w:ascii="宋体" w:hAnsi="宋体" w:eastAsia="宋体" w:cs="宋体"/>
          <w:kern w:val="0"/>
          <w:sz w:val="24"/>
          <w:szCs w:val="24"/>
          <w:highlight w:val="none"/>
        </w:rPr>
      </w:pPr>
      <w:r>
        <w:rPr>
          <w:rFonts w:hint="eastAsia" w:ascii="宋体" w:hAnsi="宋体" w:cs="宋体"/>
          <w:b/>
          <w:kern w:val="0"/>
          <w:sz w:val="24"/>
          <w:szCs w:val="24"/>
          <w:highlight w:val="none"/>
          <w:lang w:val="en-US" w:eastAsia="zh-CN"/>
        </w:rPr>
        <w:t>1.6  质量保证措施和体系：</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p>
    <w:p>
      <w:pPr>
        <w:spacing w:line="320" w:lineRule="exact"/>
        <w:jc w:val="left"/>
        <w:rPr>
          <w:rFonts w:hint="eastAsia" w:ascii="宋体" w:hAnsi="宋体" w:cs="宋体"/>
          <w:b/>
          <w:kern w:val="0"/>
          <w:sz w:val="24"/>
          <w:szCs w:val="24"/>
          <w:highlight w:val="none"/>
          <w:lang w:val="en-US" w:eastAsia="zh-CN"/>
        </w:rPr>
      </w:pPr>
    </w:p>
    <w:p>
      <w:pPr>
        <w:spacing w:line="320" w:lineRule="exact"/>
        <w:jc w:val="left"/>
        <w:rPr>
          <w:rFonts w:hint="eastAsia" w:ascii="宋体" w:hAnsi="宋体" w:eastAsia="宋体" w:cs="宋体"/>
          <w:kern w:val="0"/>
          <w:sz w:val="24"/>
          <w:szCs w:val="24"/>
          <w:highlight w:val="none"/>
        </w:rPr>
      </w:pPr>
      <w:r>
        <w:rPr>
          <w:rFonts w:hint="eastAsia" w:ascii="宋体" w:hAnsi="宋体" w:cs="宋体"/>
          <w:b/>
          <w:kern w:val="0"/>
          <w:sz w:val="24"/>
          <w:szCs w:val="24"/>
          <w:highlight w:val="none"/>
          <w:lang w:val="en-US" w:eastAsia="zh-CN"/>
        </w:rPr>
        <w:t xml:space="preserve">1.7 </w:t>
      </w:r>
      <w:r>
        <w:rPr>
          <w:rFonts w:hint="eastAsia" w:ascii="宋体" w:hAnsi="宋体" w:eastAsia="宋体" w:cs="宋体"/>
          <w:b/>
          <w:kern w:val="0"/>
          <w:sz w:val="24"/>
          <w:szCs w:val="24"/>
          <w:highlight w:val="none"/>
          <w:lang w:val="en-US" w:eastAsia="zh-CN"/>
        </w:rPr>
        <w:t xml:space="preserve"> 工期保证措施和体系</w:t>
      </w:r>
      <w:r>
        <w:rPr>
          <w:rFonts w:hint="eastAsia" w:ascii="宋体" w:hAnsi="宋体" w:eastAsia="宋体" w:cs="宋体"/>
          <w:b/>
          <w:kern w:val="0"/>
          <w:sz w:val="24"/>
          <w:szCs w:val="24"/>
          <w:highlight w:val="none"/>
          <w:lang w:val="en-US" w:eastAsia="zh-CN" w:bidi="ar-SA"/>
        </w:rPr>
        <w:t>：</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p>
    <w:p>
      <w:pPr>
        <w:pStyle w:val="22"/>
        <w:ind w:left="0" w:leftChars="0" w:firstLine="0" w:firstLineChars="0"/>
        <w:rPr>
          <w:rFonts w:hint="eastAsia" w:ascii="宋体" w:hAnsi="宋体" w:cs="宋体"/>
          <w:b/>
          <w:kern w:val="0"/>
          <w:sz w:val="24"/>
          <w:szCs w:val="24"/>
          <w:highlight w:val="none"/>
          <w:lang w:val="en-US" w:eastAsia="zh-CN"/>
        </w:rPr>
      </w:pPr>
    </w:p>
    <w:p>
      <w:pPr>
        <w:pStyle w:val="22"/>
        <w:ind w:left="0" w:leftChars="0" w:firstLine="0" w:firstLineChars="0"/>
        <w:rPr>
          <w:rFonts w:hint="eastAsia" w:eastAsia="宋体"/>
          <w:lang w:val="en-US" w:eastAsia="zh-CN"/>
        </w:rPr>
      </w:pPr>
      <w:r>
        <w:rPr>
          <w:rFonts w:hint="eastAsia" w:ascii="宋体" w:hAnsi="宋体" w:cs="宋体"/>
          <w:b/>
          <w:kern w:val="0"/>
          <w:sz w:val="24"/>
          <w:szCs w:val="24"/>
          <w:highlight w:val="none"/>
          <w:lang w:val="en-US" w:eastAsia="zh-CN"/>
        </w:rPr>
        <w:t xml:space="preserve">1.8 </w:t>
      </w:r>
      <w:r>
        <w:rPr>
          <w:rFonts w:hint="eastAsia" w:ascii="宋体" w:hAnsi="宋体" w:eastAsia="宋体" w:cs="宋体"/>
          <w:b/>
          <w:kern w:val="0"/>
          <w:sz w:val="24"/>
          <w:szCs w:val="24"/>
          <w:highlight w:val="none"/>
          <w:lang w:val="en-US" w:eastAsia="zh-CN"/>
        </w:rPr>
        <w:t xml:space="preserve"> 降低成本技术组织措施和保证体系</w:t>
      </w:r>
      <w:r>
        <w:rPr>
          <w:rFonts w:hint="eastAsia" w:ascii="宋体" w:hAnsi="宋体" w:cs="宋体"/>
          <w:b/>
          <w:kern w:val="0"/>
          <w:sz w:val="24"/>
          <w:szCs w:val="24"/>
          <w:highlight w:val="none"/>
          <w:lang w:val="en-US" w:eastAsia="zh-CN"/>
        </w:rPr>
        <w:t>、安全保证措施和体系：</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r>
        <w:rPr>
          <w:rFonts w:hint="eastAsia" w:ascii="宋体" w:hAnsi="宋体" w:eastAsia="宋体" w:cs="宋体"/>
          <w:kern w:val="0"/>
          <w:sz w:val="24"/>
          <w:szCs w:val="24"/>
          <w:highlight w:val="none"/>
          <w:lang w:eastAsia="zh-CN"/>
        </w:rPr>
        <w:t>）</w:t>
      </w:r>
    </w:p>
    <w:p>
      <w:pPr>
        <w:rPr>
          <w:rFonts w:hint="eastAsia" w:ascii="宋体" w:hAnsi="宋体" w:cs="宋体"/>
          <w:b/>
          <w:kern w:val="0"/>
          <w:sz w:val="24"/>
          <w:szCs w:val="24"/>
          <w:highlight w:val="none"/>
          <w:lang w:val="en-US" w:eastAsia="zh-CN"/>
        </w:rPr>
      </w:pPr>
    </w:p>
    <w:p>
      <w:pPr>
        <w:rPr>
          <w:rFonts w:hint="eastAsia" w:ascii="宋体" w:hAnsi="宋体" w:eastAsia="宋体" w:cs="宋体"/>
          <w:b/>
          <w:kern w:val="0"/>
          <w:sz w:val="24"/>
          <w:szCs w:val="24"/>
          <w:highlight w:val="none"/>
          <w:lang w:eastAsia="zh-CN"/>
        </w:rPr>
      </w:pPr>
      <w:r>
        <w:rPr>
          <w:rFonts w:hint="eastAsia" w:ascii="宋体" w:hAnsi="宋体" w:cs="宋体"/>
          <w:b/>
          <w:kern w:val="0"/>
          <w:sz w:val="24"/>
          <w:szCs w:val="24"/>
          <w:highlight w:val="none"/>
          <w:lang w:val="en-US" w:eastAsia="zh-CN"/>
        </w:rPr>
        <w:t>1.9  现场文明施工措施：</w:t>
      </w:r>
      <w:r>
        <w:rPr>
          <w:rFonts w:hint="eastAsia" w:ascii="宋体" w:hAnsi="宋体" w:eastAsia="宋体" w:cs="宋体"/>
          <w:kern w:val="0"/>
          <w:sz w:val="24"/>
          <w:szCs w:val="24"/>
          <w:highlight w:val="none"/>
        </w:rPr>
        <w:t>主要根据《</w:t>
      </w:r>
      <w:r>
        <w:rPr>
          <w:rFonts w:hint="eastAsia" w:ascii="宋体" w:hAnsi="宋体" w:cs="宋体"/>
          <w:kern w:val="0"/>
          <w:sz w:val="24"/>
          <w:szCs w:val="24"/>
          <w:highlight w:val="none"/>
          <w:lang w:val="en-US" w:eastAsia="zh-CN"/>
        </w:rPr>
        <w:t>磋商内容</w:t>
      </w:r>
      <w:r>
        <w:rPr>
          <w:rFonts w:hint="eastAsia" w:ascii="宋体" w:hAnsi="宋体" w:eastAsia="宋体" w:cs="宋体"/>
          <w:kern w:val="0"/>
          <w:sz w:val="24"/>
          <w:szCs w:val="24"/>
          <w:highlight w:val="none"/>
        </w:rPr>
        <w:t>》的要求</w:t>
      </w:r>
      <w:r>
        <w:rPr>
          <w:rFonts w:hint="eastAsia" w:ascii="宋体" w:hAnsi="宋体" w:cs="宋体"/>
          <w:kern w:val="0"/>
          <w:sz w:val="24"/>
          <w:szCs w:val="24"/>
          <w:highlight w:val="none"/>
          <w:lang w:eastAsia="zh-CN"/>
        </w:rPr>
        <w:t>和详细评审表编制</w:t>
      </w:r>
      <w:r>
        <w:rPr>
          <w:rFonts w:hint="eastAsia" w:ascii="宋体" w:hAnsi="宋体" w:eastAsia="宋体" w:cs="宋体"/>
          <w:kern w:val="0"/>
          <w:sz w:val="24"/>
          <w:szCs w:val="24"/>
          <w:highlight w:val="none"/>
        </w:rPr>
        <w:t>（格式自定</w:t>
      </w:r>
      <w:r>
        <w:rPr>
          <w:rFonts w:hint="eastAsia" w:ascii="宋体" w:hAnsi="宋体" w:eastAsia="宋体" w:cs="宋体"/>
          <w:kern w:val="0"/>
          <w:sz w:val="24"/>
          <w:szCs w:val="24"/>
          <w:highlight w:val="none"/>
          <w:lang w:eastAsia="zh-CN"/>
        </w:rPr>
        <w:t>）</w:t>
      </w:r>
    </w:p>
    <w:p>
      <w:pPr>
        <w:rPr>
          <w:rFonts w:hint="eastAsia" w:ascii="宋体" w:hAnsi="宋体" w:eastAsia="宋体" w:cs="宋体"/>
          <w:szCs w:val="21"/>
          <w:highlight w:val="none"/>
          <w:lang w:val="en-GB"/>
        </w:rPr>
      </w:pPr>
    </w:p>
    <w:p>
      <w:pPr>
        <w:rPr>
          <w:rFonts w:hint="eastAsia" w:ascii="宋体" w:hAnsi="宋体" w:eastAsia="宋体" w:cs="宋体"/>
          <w:szCs w:val="21"/>
          <w:highlight w:val="none"/>
          <w:lang w:val="en-GB"/>
        </w:rPr>
      </w:pPr>
    </w:p>
    <w:p>
      <w:pPr>
        <w:rPr>
          <w:rFonts w:hint="eastAsia" w:ascii="宋体" w:hAnsi="宋体" w:eastAsia="宋体" w:cs="宋体"/>
          <w:szCs w:val="21"/>
          <w:highlight w:val="none"/>
          <w:lang w:val="en-GB"/>
        </w:rPr>
      </w:pPr>
      <w:r>
        <w:rPr>
          <w:rFonts w:hint="eastAsia" w:ascii="宋体" w:hAnsi="宋体" w:eastAsia="宋体" w:cs="宋体"/>
          <w:b/>
          <w:szCs w:val="21"/>
          <w:highlight w:val="none"/>
        </w:rPr>
        <w:br w:type="page"/>
      </w:r>
    </w:p>
    <w:p>
      <w:pPr>
        <w:rPr>
          <w:rFonts w:hint="eastAsia" w:ascii="宋体" w:hAnsi="宋体" w:eastAsia="宋体" w:cs="宋体"/>
          <w:b/>
          <w:kern w:val="0"/>
          <w:sz w:val="24"/>
          <w:szCs w:val="24"/>
          <w:highlight w:val="none"/>
        </w:rPr>
      </w:pPr>
      <w:r>
        <w:rPr>
          <w:rFonts w:hint="eastAsia" w:ascii="宋体" w:hAnsi="宋体" w:cs="宋体"/>
          <w:b/>
          <w:kern w:val="0"/>
          <w:sz w:val="24"/>
          <w:szCs w:val="24"/>
          <w:highlight w:val="none"/>
          <w:lang w:val="en-US" w:eastAsia="zh-CN"/>
        </w:rPr>
        <w:t>2</w:t>
      </w:r>
      <w:r>
        <w:rPr>
          <w:rFonts w:hint="eastAsia" w:ascii="宋体" w:hAnsi="宋体" w:eastAsia="宋体" w:cs="宋体"/>
          <w:b/>
          <w:kern w:val="0"/>
          <w:sz w:val="24"/>
          <w:szCs w:val="24"/>
          <w:highlight w:val="none"/>
        </w:rPr>
        <w:tab/>
      </w:r>
      <w:r>
        <w:rPr>
          <w:rFonts w:hint="eastAsia" w:ascii="宋体" w:hAnsi="宋体" w:eastAsia="宋体" w:cs="宋体"/>
          <w:b/>
          <w:kern w:val="0"/>
          <w:sz w:val="24"/>
          <w:szCs w:val="24"/>
          <w:highlight w:val="none"/>
        </w:rPr>
        <w:t>劳动力</w:t>
      </w:r>
      <w:r>
        <w:rPr>
          <w:rFonts w:hint="eastAsia" w:ascii="宋体" w:hAnsi="宋体" w:cs="宋体"/>
          <w:b/>
          <w:kern w:val="0"/>
          <w:sz w:val="24"/>
          <w:szCs w:val="24"/>
          <w:highlight w:val="none"/>
          <w:lang w:eastAsia="zh-CN"/>
        </w:rPr>
        <w:t>、材料、机械设备、</w:t>
      </w:r>
      <w:r>
        <w:rPr>
          <w:rFonts w:hint="eastAsia" w:ascii="宋体" w:hAnsi="宋体" w:eastAsia="宋体" w:cs="宋体"/>
          <w:b/>
          <w:kern w:val="0"/>
          <w:sz w:val="24"/>
          <w:szCs w:val="24"/>
          <w:highlight w:val="none"/>
        </w:rPr>
        <w:t>需用量计划</w:t>
      </w:r>
    </w:p>
    <w:p>
      <w:pPr>
        <w:rPr>
          <w:rFonts w:hint="eastAsia" w:ascii="宋体" w:hAnsi="宋体" w:eastAsia="宋体" w:cs="宋体"/>
          <w:kern w:val="0"/>
          <w:sz w:val="24"/>
          <w:szCs w:val="24"/>
          <w:highlight w:val="none"/>
        </w:rPr>
      </w:pPr>
    </w:p>
    <w:p>
      <w:pPr>
        <w:rPr>
          <w:rFonts w:hint="eastAsia"/>
        </w:rPr>
      </w:pPr>
      <w:r>
        <w:rPr>
          <w:rFonts w:hint="eastAsia" w:ascii="宋体" w:hAnsi="宋体" w:eastAsia="宋体" w:cs="宋体"/>
          <w:kern w:val="0"/>
          <w:sz w:val="24"/>
          <w:szCs w:val="24"/>
          <w:highlight w:val="none"/>
        </w:rPr>
        <w:t>注：各投标供应商根据项目内容要求及时间范围要求，制定各子项目详细、科学合理、可执行的项目实施计划排期表</w:t>
      </w:r>
    </w:p>
    <w:p>
      <w:pPr>
        <w:rPr>
          <w:rFonts w:hint="eastAsia" w:ascii="宋体" w:hAnsi="宋体" w:eastAsia="宋体" w:cs="宋体"/>
          <w:b/>
          <w:kern w:val="0"/>
          <w:sz w:val="24"/>
          <w:szCs w:val="24"/>
          <w:highlight w:val="none"/>
        </w:rPr>
      </w:pPr>
    </w:p>
    <w:p>
      <w:pPr>
        <w:rPr>
          <w:rFonts w:hint="eastAsia" w:ascii="宋体" w:hAnsi="宋体" w:eastAsia="宋体" w:cs="宋体"/>
          <w:b/>
          <w:kern w:val="0"/>
          <w:sz w:val="24"/>
          <w:szCs w:val="24"/>
          <w:highlight w:val="none"/>
        </w:rPr>
      </w:pPr>
      <w:r>
        <w:rPr>
          <w:rFonts w:hint="eastAsia" w:ascii="宋体" w:hAnsi="宋体" w:cs="宋体"/>
          <w:b/>
          <w:kern w:val="0"/>
          <w:sz w:val="24"/>
          <w:szCs w:val="24"/>
          <w:highlight w:val="none"/>
          <w:lang w:val="en-US" w:eastAsia="zh-CN"/>
        </w:rPr>
        <w:t>3</w:t>
      </w:r>
      <w:r>
        <w:rPr>
          <w:rFonts w:hint="eastAsia" w:ascii="宋体" w:hAnsi="宋体" w:eastAsia="宋体" w:cs="宋体"/>
          <w:b/>
          <w:kern w:val="0"/>
          <w:sz w:val="24"/>
          <w:szCs w:val="24"/>
          <w:highlight w:val="none"/>
        </w:rPr>
        <w:tab/>
      </w:r>
      <w:r>
        <w:rPr>
          <w:rFonts w:hint="eastAsia" w:ascii="宋体" w:hAnsi="宋体" w:eastAsia="宋体" w:cs="宋体"/>
          <w:b/>
          <w:kern w:val="0"/>
          <w:sz w:val="24"/>
          <w:szCs w:val="24"/>
          <w:highlight w:val="none"/>
        </w:rPr>
        <w:t>需要采购人提供的附加条件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8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序号</w:t>
            </w:r>
          </w:p>
        </w:tc>
        <w:tc>
          <w:tcPr>
            <w:tcW w:w="82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投标人需要采购人提供的附加条件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p>
        </w:tc>
        <w:tc>
          <w:tcPr>
            <w:tcW w:w="82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p>
        </w:tc>
        <w:tc>
          <w:tcPr>
            <w:tcW w:w="82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p>
        </w:tc>
        <w:tc>
          <w:tcPr>
            <w:tcW w:w="82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p>
        </w:tc>
        <w:tc>
          <w:tcPr>
            <w:tcW w:w="823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kern w:val="0"/>
                <w:sz w:val="24"/>
                <w:szCs w:val="24"/>
                <w:highlight w:val="none"/>
              </w:rPr>
            </w:pPr>
          </w:p>
        </w:tc>
      </w:tr>
    </w:tbl>
    <w:p>
      <w:pPr>
        <w:rPr>
          <w:rFonts w:hint="eastAsia" w:ascii="宋体" w:hAnsi="宋体" w:eastAsia="宋体" w:cs="宋体"/>
          <w:kern w:val="0"/>
          <w:sz w:val="24"/>
          <w:szCs w:val="24"/>
          <w:highlight w:val="none"/>
        </w:rPr>
      </w:pPr>
    </w:p>
    <w:p>
      <w:pPr>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注：投标人完成本项目需要采购人配合或提供的条件必须在上表列出，否则将视为投标人同意按现有条件完成本项目。如上表所列附加条件含有采购人不能接受的，将被视为投标无效。</w:t>
      </w:r>
    </w:p>
    <w:p>
      <w:pPr>
        <w:rPr>
          <w:rFonts w:hint="eastAsia" w:ascii="宋体" w:hAnsi="宋体" w:eastAsia="宋体" w:cs="宋体"/>
          <w:szCs w:val="21"/>
          <w:highlight w:val="none"/>
          <w:lang w:val="en-GB"/>
        </w:rPr>
      </w:pPr>
    </w:p>
    <w:p>
      <w:pPr>
        <w:rPr>
          <w:rFonts w:hint="eastAsia" w:ascii="宋体" w:hAnsi="宋体" w:eastAsia="宋体" w:cs="宋体"/>
          <w:b/>
          <w:kern w:val="0"/>
          <w:sz w:val="24"/>
          <w:szCs w:val="24"/>
          <w:highlight w:val="none"/>
        </w:rPr>
      </w:pPr>
      <w:r>
        <w:rPr>
          <w:rFonts w:hint="eastAsia" w:ascii="宋体" w:hAnsi="宋体" w:cs="宋体"/>
          <w:b/>
          <w:kern w:val="0"/>
          <w:sz w:val="24"/>
          <w:szCs w:val="24"/>
          <w:highlight w:val="none"/>
          <w:lang w:val="en-US" w:eastAsia="zh-CN"/>
        </w:rPr>
        <w:t>4</w:t>
      </w:r>
      <w:r>
        <w:rPr>
          <w:rFonts w:hint="eastAsia" w:ascii="宋体" w:hAnsi="宋体" w:eastAsia="宋体" w:cs="宋体"/>
          <w:b/>
          <w:kern w:val="0"/>
          <w:sz w:val="24"/>
          <w:szCs w:val="24"/>
          <w:highlight w:val="none"/>
        </w:rPr>
        <w:tab/>
      </w:r>
      <w:r>
        <w:rPr>
          <w:rFonts w:hint="eastAsia" w:ascii="宋体" w:hAnsi="宋体" w:eastAsia="宋体" w:cs="宋体"/>
          <w:b/>
          <w:kern w:val="0"/>
          <w:sz w:val="24"/>
          <w:szCs w:val="24"/>
          <w:highlight w:val="none"/>
        </w:rPr>
        <w:t>其它重要事项说明及承诺</w:t>
      </w:r>
    </w:p>
    <w:p>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（如有，请扼要叙述）</w:t>
      </w:r>
    </w:p>
    <w:p>
      <w:pPr>
        <w:pStyle w:val="8"/>
        <w:kinsoku w:val="0"/>
        <w:overflowPunct w:val="0"/>
        <w:spacing w:before="34" w:line="357" w:lineRule="auto"/>
        <w:ind w:left="0" w:right="126" w:firstLine="120" w:firstLineChars="50"/>
        <w:jc w:val="center"/>
        <w:outlineLvl w:val="1"/>
        <w:rPr>
          <w:rFonts w:hint="eastAsia" w:ascii="宋体" w:hAnsi="宋体" w:eastAsia="宋体" w:cs="宋体"/>
          <w:highlight w:val="none"/>
        </w:rPr>
      </w:pPr>
      <w:r>
        <w:rPr>
          <w:rFonts w:hint="eastAsia" w:ascii="宋体" w:hAnsi="宋体" w:eastAsia="宋体" w:cs="宋体"/>
          <w:highlight w:val="none"/>
        </w:rPr>
        <w:br w:type="page"/>
      </w:r>
      <w:r>
        <w:rPr>
          <w:rFonts w:hint="eastAsia" w:ascii="宋体" w:hAnsi="宋体" w:eastAsia="宋体" w:cs="宋体"/>
          <w:b/>
          <w:bCs/>
          <w:sz w:val="36"/>
          <w:szCs w:val="36"/>
          <w:highlight w:val="none"/>
        </w:rPr>
        <w:t>十六、供应商认为需要提交的技术资料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sz w:val="24"/>
        <w:szCs w:val="24"/>
      </w:rPr>
    </w:pPr>
  </w:p>
  <w:p>
    <w:pPr>
      <w:pStyle w:val="11"/>
      <w:tabs>
        <w:tab w:val="clear" w:pos="4153"/>
      </w:tabs>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tabs>
                              <w:tab w:val="center" w:pos="4140"/>
                              <w:tab w:val="right" w:pos="8300"/>
                              <w:tab w:val="clear" w:pos="4153"/>
                              <w:tab w:val="clear" w:pos="8306"/>
                            </w:tabs>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yVJs8oBAACd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nLN5Q4bnHk558/zr8ezw/f&#10;SXaiRH2AGjPvAuam4b0fMH32Azoz80FFm7/IiWAcBT5dBJZDIiI/Wi1XqwpDAmPzBfHZ0/MQIX2Q&#10;3pJsNDTiBIuw/PgJ0pg6p+Rqzt9qY8oUjfvLgZjZw3LvY4/ZSsNumAjtfHtCPj0Ov6EOd50S89Gh&#10;tnlPZiPOxm42DiHqfVcWKdeD8O6QsInSW64wwk6FcWqF3bRheS3+vJesp79q8x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yVJs8oBAACdAwAADgAAAAAAAAABACAAAAAeAQAAZHJzL2Uyb0Rv&#10;Yy54bWxQSwUGAAAAAAYABgBZAQAAWgUAAAAA&#10;">
              <v:fill on="f" focussize="0,0"/>
              <v:stroke on="f"/>
              <v:imagedata o:title=""/>
              <o:lock v:ext="edit" aspectratio="f"/>
              <v:textbox inset="0mm,0mm,0mm,0mm" style="mso-fit-shape-to-text:t;">
                <w:txbxContent>
                  <w:p>
                    <w:pPr>
                      <w:pStyle w:val="11"/>
                      <w:tabs>
                        <w:tab w:val="center" w:pos="4140"/>
                        <w:tab w:val="right" w:pos="8300"/>
                        <w:tab w:val="clear" w:pos="4153"/>
                        <w:tab w:val="clear" w:pos="8306"/>
                      </w:tabs>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insoku w:val="0"/>
      <w:overflowPunct w:val="0"/>
      <w:spacing w:before="0" w:line="14" w:lineRule="auto"/>
      <w:ind w:left="0"/>
      <w:rPr>
        <w:rFonts w:ascii="Times New Roman" w:eastAsia="宋体" w:cs="Times New Roman"/>
        <w:sz w:val="20"/>
        <w:szCs w:val="20"/>
      </w:rPr>
    </w:pPr>
    <w:r>
      <mc:AlternateContent>
        <mc:Choice Requires="wps">
          <w:drawing>
            <wp:anchor distT="0" distB="0" distL="114300" distR="114300" simplePos="0" relativeHeight="251660288" behindDoc="1" locked="0" layoutInCell="0" allowOverlap="1">
              <wp:simplePos x="0" y="0"/>
              <wp:positionH relativeFrom="page">
                <wp:posOffset>900430</wp:posOffset>
              </wp:positionH>
              <wp:positionV relativeFrom="page">
                <wp:posOffset>675640</wp:posOffset>
              </wp:positionV>
              <wp:extent cx="5760085" cy="12700"/>
              <wp:effectExtent l="0" t="0" r="0" b="0"/>
              <wp:wrapNone/>
              <wp:docPr id="121" name="任意多边形 121"/>
              <wp:cNvGraphicFramePr/>
              <a:graphic xmlns:a="http://schemas.openxmlformats.org/drawingml/2006/main">
                <a:graphicData uri="http://schemas.microsoft.com/office/word/2010/wordprocessingShape">
                  <wps:wsp>
                    <wps:cNvSpPr/>
                    <wps:spPr>
                      <a:xfrm>
                        <a:off x="0" y="0"/>
                        <a:ext cx="5760085" cy="12700"/>
                      </a:xfrm>
                      <a:custGeom>
                        <a:avLst/>
                        <a:gdLst/>
                        <a:ahLst/>
                        <a:cxnLst/>
                        <a:pathLst>
                          <a:path w="9071" h="20">
                            <a:moveTo>
                              <a:pt x="0" y="0"/>
                            </a:moveTo>
                            <a:lnTo>
                              <a:pt x="9071" y="0"/>
                            </a:lnTo>
                          </a:path>
                        </a:pathLst>
                      </a:custGeom>
                      <a:noFill/>
                      <a:ln w="10414"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9pt;margin-top:53.2pt;height:1pt;width:453.55pt;mso-position-horizontal-relative:page;mso-position-vertical-relative:page;z-index:-251656192;mso-width-relative:page;mso-height-relative:page;" filled="f" stroked="t" coordsize="9071,20" o:allowincell="f" o:gfxdata="UEsDBAoAAAAAAIdO4kAAAAAAAAAAAAAAAAAEAAAAZHJzL1BLAwQUAAAACACHTuJAhS9ostoAAAAM&#10;AQAADwAAAGRycy9kb3ducmV2LnhtbE2PQUvEMBCF74L/IYzgRdykEpdubbqIIIi6YKsHj2kT22oz&#10;qU12t/57pye9vcc83nwv385uYAc7hd6jgmQlgFlsvOmxVfD2en+ZAgtRo9GDR6vgxwbYFqcnuc6M&#10;P2JpD1VsGZVgyLSCLsYx4zw0nXU6rPxokW4ffnI6kp1abiZ9pHI38Csh1tzpHulDp0d719nmq9o7&#10;BaN82XzX83t5cfu0M5/VY3n98DwrdX6WiBtg0c7xLwwLPqFDQUy136MJbCAvE0KPJMRaAlsSQqYb&#10;YPWiUgm8yPn/EcUvUEsDBBQAAAAIAIdO4kAxYxC5NwIAAJIEAAAOAAAAZHJzL2Uyb0RvYy54bWyt&#10;VEuOEzEQ3SNxB8t70p1oZjJE6cyCMGwQjDTDARzb3W3JP7mcdLJnz54l4hJoBKdhEMeg7M6PsMmC&#10;LDrPrupXr349vVkbTVYygHK2osNBSYm03Allm4p+eLh9cU0JRGYF087Kim4k0JvZ82fTzk/kyLVO&#10;CxkIkliYdL6ibYx+UhTAW2kYDJyXFo21C4ZFPIamEIF1yG50MSrLq6JzQfjguATA23lvpFvGcA6h&#10;q2vF5dzxpZE29qxBahYxJWiVBzrLauta8vi+rkFGoiuKmcb8xCCIF+lZzKZs0gTmW8W3Etg5Ek5y&#10;MkxZDLqnmrPIyDKof6iM4sGBq+OAO1P0ieSKYBbD8qQ29y3zMueCpQa/Lzr8P1r+bnUXiBI4CaMh&#10;JZYZbPnPx8dfHz89ff38+8e3p+9fSDJhoToPE/S/93dhewKEKet1HUz6x3zIOhd3sy+uXEfC8fJy&#10;fFWW15eUcLQNR+MyF784vMyXEN9Il4nY6i3Evjdih1i7Q3xtd9CzmK5T8ARJV9GX5RgzaSs6KnNL&#10;jFvJB5c94ok6jH6wanvs1bPs0kDH3owgxZlNtyDHRnws3rpbpXVWr21SNCwvhheYOMN1qXFMERqP&#10;JQfbZIXgtBLpnSQSQrN4pQNZsTSy+ZeKjzH+cvMB4pxB2/tlUz/MrWTitRUkbjy20uIO06TBSEGJ&#10;lrjyCWVxkSl9jieG1hYVpP73HU9o4cQGR2fpg2pa3Ks8ItkHRzXr3a5V2oXjc2Y6fEpm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FL2iy2gAAAAwBAAAPAAAAAAAAAAEAIAAAACIAAABkcnMvZG93&#10;bnJldi54bWxQSwECFAAUAAAACACHTuJAMWMQuTcCAACSBAAADgAAAAAAAAABACAAAAApAQAAZHJz&#10;L2Uyb0RvYy54bWxQSwUGAAAAAAYABgBZAQAA0gUAAAAA&#10;" path="m0,0l9071,0e">
              <v:fill on="f" focussize="0,0"/>
              <v:stroke weight="0.82pt" color="#000000"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3B0BC"/>
    <w:multiLevelType w:val="singleLevel"/>
    <w:tmpl w:val="B863B0BC"/>
    <w:lvl w:ilvl="0" w:tentative="0">
      <w:start w:val="2"/>
      <w:numFmt w:val="decimal"/>
      <w:suff w:val="nothing"/>
      <w:lvlText w:val="%1、"/>
      <w:lvlJc w:val="left"/>
    </w:lvl>
  </w:abstractNum>
  <w:abstractNum w:abstractNumId="1">
    <w:nsid w:val="C3D7BE3C"/>
    <w:multiLevelType w:val="singleLevel"/>
    <w:tmpl w:val="C3D7BE3C"/>
    <w:lvl w:ilvl="0" w:tentative="0">
      <w:start w:val="4"/>
      <w:numFmt w:val="chineseCounting"/>
      <w:lvlText w:val="第%1章"/>
      <w:lvlJc w:val="left"/>
      <w:rPr>
        <w:rFonts w:hint="eastAsia"/>
      </w:rPr>
    </w:lvl>
  </w:abstractNum>
  <w:abstractNum w:abstractNumId="2">
    <w:nsid w:val="DDD85877"/>
    <w:multiLevelType w:val="singleLevel"/>
    <w:tmpl w:val="DDD85877"/>
    <w:lvl w:ilvl="0" w:tentative="0">
      <w:start w:val="9"/>
      <w:numFmt w:val="chineseCounting"/>
      <w:suff w:val="nothing"/>
      <w:lvlText w:val="%1、"/>
      <w:lvlJc w:val="left"/>
      <w:rPr>
        <w:rFonts w:hint="eastAsia"/>
      </w:rPr>
    </w:lvl>
  </w:abstractNum>
  <w:abstractNum w:abstractNumId="3">
    <w:nsid w:val="21BABB2B"/>
    <w:multiLevelType w:val="singleLevel"/>
    <w:tmpl w:val="21BABB2B"/>
    <w:lvl w:ilvl="0" w:tentative="0">
      <w:start w:val="7"/>
      <w:numFmt w:val="chineseCounting"/>
      <w:suff w:val="nothing"/>
      <w:lvlText w:val="%1、"/>
      <w:lvlJc w:val="left"/>
      <w:rPr>
        <w:rFonts w:hint="eastAsia"/>
      </w:rPr>
    </w:lvl>
  </w:abstractNum>
  <w:abstractNum w:abstractNumId="4">
    <w:nsid w:val="5F18283E"/>
    <w:multiLevelType w:val="singleLevel"/>
    <w:tmpl w:val="5F18283E"/>
    <w:lvl w:ilvl="0" w:tentative="0">
      <w:start w:val="1"/>
      <w:numFmt w:val="decimal"/>
      <w:suff w:val="nothing"/>
      <w:lvlText w:val="%1．"/>
      <w:lvlJc w:val="left"/>
      <w:pPr>
        <w:ind w:left="0" w:firstLine="400"/>
      </w:pPr>
      <w:rPr>
        <w:rFonts w:hint="default"/>
      </w:rPr>
    </w:lvl>
  </w:abstractNum>
  <w:abstractNum w:abstractNumId="5">
    <w:nsid w:val="637B5872"/>
    <w:multiLevelType w:val="singleLevel"/>
    <w:tmpl w:val="637B5872"/>
    <w:lvl w:ilvl="0" w:tentative="0">
      <w:start w:val="1"/>
      <w:numFmt w:val="decimal"/>
      <w:suff w:val="nothing"/>
      <w:lvlText w:val="（%1）"/>
      <w:lvlJc w:val="left"/>
      <w:rPr>
        <w:rFonts w:hint="default"/>
        <w:highlight w:val="none"/>
      </w:r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xMGNkYTJhN2NkODc0MzYwZWZhYmI0Y2E4ZDVlOGEifQ=="/>
  </w:docVars>
  <w:rsids>
    <w:rsidRoot w:val="4EF27C74"/>
    <w:rsid w:val="00D13B9B"/>
    <w:rsid w:val="00FB6E64"/>
    <w:rsid w:val="03AF4BD2"/>
    <w:rsid w:val="04886E38"/>
    <w:rsid w:val="05F40ACF"/>
    <w:rsid w:val="085D4452"/>
    <w:rsid w:val="0AB63B45"/>
    <w:rsid w:val="0C2E5D4F"/>
    <w:rsid w:val="0D3F6A59"/>
    <w:rsid w:val="13117A56"/>
    <w:rsid w:val="137B26DA"/>
    <w:rsid w:val="14AD594A"/>
    <w:rsid w:val="19E34350"/>
    <w:rsid w:val="1AA92EA7"/>
    <w:rsid w:val="1B700D17"/>
    <w:rsid w:val="1C841001"/>
    <w:rsid w:val="1CBE5469"/>
    <w:rsid w:val="1F0E216E"/>
    <w:rsid w:val="1F1213D9"/>
    <w:rsid w:val="23D566BE"/>
    <w:rsid w:val="246B404B"/>
    <w:rsid w:val="248B003B"/>
    <w:rsid w:val="25590AE1"/>
    <w:rsid w:val="2A6A6CB3"/>
    <w:rsid w:val="2AEC08F3"/>
    <w:rsid w:val="2F237EF9"/>
    <w:rsid w:val="31053F3C"/>
    <w:rsid w:val="374C4D14"/>
    <w:rsid w:val="3A321A0F"/>
    <w:rsid w:val="3F8156AD"/>
    <w:rsid w:val="3FC460D7"/>
    <w:rsid w:val="40F92C04"/>
    <w:rsid w:val="41A15149"/>
    <w:rsid w:val="43010592"/>
    <w:rsid w:val="43B738C1"/>
    <w:rsid w:val="4570022A"/>
    <w:rsid w:val="457F455D"/>
    <w:rsid w:val="45C45C6F"/>
    <w:rsid w:val="46774EA5"/>
    <w:rsid w:val="4AD21DC3"/>
    <w:rsid w:val="4BA02912"/>
    <w:rsid w:val="4EF27C74"/>
    <w:rsid w:val="4FAF12AA"/>
    <w:rsid w:val="534B02F9"/>
    <w:rsid w:val="552C03DB"/>
    <w:rsid w:val="557E3CEE"/>
    <w:rsid w:val="579245EA"/>
    <w:rsid w:val="57AE29C7"/>
    <w:rsid w:val="59CA169C"/>
    <w:rsid w:val="60A656B2"/>
    <w:rsid w:val="6179161D"/>
    <w:rsid w:val="6487465D"/>
    <w:rsid w:val="64AC0E61"/>
    <w:rsid w:val="65E526B2"/>
    <w:rsid w:val="6B2E4952"/>
    <w:rsid w:val="6C8C4318"/>
    <w:rsid w:val="6CBC3367"/>
    <w:rsid w:val="6FCF5641"/>
    <w:rsid w:val="70030761"/>
    <w:rsid w:val="71B12952"/>
    <w:rsid w:val="726A110E"/>
    <w:rsid w:val="750431F9"/>
    <w:rsid w:val="79424A4D"/>
    <w:rsid w:val="7C725E67"/>
    <w:rsid w:val="7E9E1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qFormat/>
    <w:uiPriority w:val="9"/>
    <w:pPr>
      <w:keepNext/>
      <w:keepLines/>
      <w:spacing w:line="800" w:lineRule="exact"/>
      <w:jc w:val="center"/>
      <w:outlineLvl w:val="0"/>
    </w:pPr>
    <w:rPr>
      <w:rFonts w:eastAsia="仿宋"/>
      <w:kern w:val="44"/>
      <w:sz w:val="32"/>
      <w:szCs w:val="44"/>
    </w:rPr>
  </w:style>
  <w:style w:type="paragraph" w:styleId="4">
    <w:name w:val="heading 2"/>
    <w:basedOn w:val="1"/>
    <w:next w:val="1"/>
    <w:qFormat/>
    <w:uiPriority w:val="9"/>
    <w:pPr>
      <w:keepNext/>
      <w:keepLines/>
      <w:spacing w:line="416" w:lineRule="auto"/>
      <w:jc w:val="center"/>
      <w:outlineLvl w:val="1"/>
    </w:pPr>
    <w:rPr>
      <w:rFonts w:ascii="Cambria" w:hAnsi="Cambria" w:eastAsia="仿宋" w:cs="Times New Roman"/>
      <w:b/>
      <w:bCs/>
      <w:sz w:val="32"/>
      <w:szCs w:val="32"/>
    </w:rPr>
  </w:style>
  <w:style w:type="paragraph" w:styleId="3">
    <w:name w:val="heading 3"/>
    <w:basedOn w:val="1"/>
    <w:next w:val="1"/>
    <w:unhideWhenUsed/>
    <w:qFormat/>
    <w:uiPriority w:val="0"/>
    <w:pPr>
      <w:keepNext/>
      <w:keepLines/>
      <w:spacing w:before="260" w:after="260" w:line="416" w:lineRule="auto"/>
      <w:outlineLvl w:val="2"/>
    </w:pPr>
    <w:rPr>
      <w:rFonts w:eastAsia="黑体"/>
      <w:b/>
      <w:bCs/>
      <w:sz w:val="32"/>
      <w:szCs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9"/>
    <w:pPr>
      <w:ind w:left="1260" w:leftChars="600"/>
    </w:pPr>
  </w:style>
  <w:style w:type="paragraph" w:styleId="7">
    <w:name w:val="annotation text"/>
    <w:basedOn w:val="1"/>
    <w:qFormat/>
    <w:uiPriority w:val="0"/>
  </w:style>
  <w:style w:type="paragraph" w:styleId="8">
    <w:name w:val="Body Text"/>
    <w:basedOn w:val="1"/>
    <w:next w:val="1"/>
    <w:qFormat/>
    <w:uiPriority w:val="1"/>
    <w:pPr>
      <w:autoSpaceDE w:val="0"/>
      <w:autoSpaceDN w:val="0"/>
      <w:adjustRightInd w:val="0"/>
      <w:spacing w:before="154"/>
      <w:ind w:left="118"/>
      <w:jc w:val="left"/>
    </w:pPr>
    <w:rPr>
      <w:rFonts w:ascii="仿宋" w:hAnsi="Times New Roman" w:eastAsia="仿宋" w:cs="仿宋"/>
      <w:kern w:val="0"/>
      <w:sz w:val="24"/>
      <w:szCs w:val="24"/>
    </w:rPr>
  </w:style>
  <w:style w:type="paragraph" w:styleId="9">
    <w:name w:val="Plain Text"/>
    <w:basedOn w:val="1"/>
    <w:qFormat/>
    <w:uiPriority w:val="0"/>
    <w:rPr>
      <w:rFonts w:ascii="宋体" w:hAnsi="Times New Roman"/>
      <w:szCs w:val="24"/>
    </w:rPr>
  </w:style>
  <w:style w:type="paragraph" w:styleId="10">
    <w:name w:val="Body Text Indent 2"/>
    <w:basedOn w:val="1"/>
    <w:qFormat/>
    <w:uiPriority w:val="99"/>
    <w:pPr>
      <w:ind w:firstLine="480"/>
    </w:pPr>
    <w:rPr>
      <w:rFonts w:asciiTheme="minorHAnsi" w:hAnsiTheme="minorHAnsi" w:eastAsiaTheme="minorEastAsia" w:cstheme="minorBidi"/>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unhideWhenUsed/>
    <w:qFormat/>
    <w:uiPriority w:val="39"/>
    <w:pPr>
      <w:tabs>
        <w:tab w:val="right" w:leader="dot" w:pos="9400"/>
      </w:tabs>
      <w:spacing w:line="520" w:lineRule="exact"/>
      <w:jc w:val="left"/>
    </w:pPr>
  </w:style>
  <w:style w:type="paragraph" w:styleId="14">
    <w:name w:val="Body Text Indent 3"/>
    <w:basedOn w:val="1"/>
    <w:qFormat/>
    <w:uiPriority w:val="0"/>
    <w:pPr>
      <w:spacing w:line="410" w:lineRule="exact"/>
      <w:ind w:left="619" w:leftChars="295" w:firstLine="390" w:firstLineChars="179"/>
    </w:pPr>
    <w:rPr>
      <w:rFonts w:ascii="宋体" w:hAnsi="宋体"/>
      <w:spacing w:val="4"/>
    </w:rPr>
  </w:style>
  <w:style w:type="paragraph" w:styleId="15">
    <w:name w:val="toc 2"/>
    <w:basedOn w:val="1"/>
    <w:next w:val="1"/>
    <w:unhideWhenUsed/>
    <w:qFormat/>
    <w:uiPriority w:val="39"/>
    <w:pPr>
      <w:ind w:left="420" w:leftChars="200"/>
    </w:pPr>
  </w:style>
  <w:style w:type="paragraph" w:styleId="1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styleId="17">
    <w:name w:val="Normal (Web)"/>
    <w:basedOn w:val="1"/>
    <w:unhideWhenUsed/>
    <w:qFormat/>
    <w:uiPriority w:val="0"/>
    <w:pPr>
      <w:widowControl/>
      <w:spacing w:before="100" w:beforeAutospacing="1" w:after="100" w:afterAutospacing="1"/>
      <w:jc w:val="left"/>
    </w:pPr>
    <w:rPr>
      <w:rFonts w:ascii="宋体" w:hAnsi="宋体" w:eastAsia="宋体" w:cs="宋体"/>
      <w:kern w:val="0"/>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TML Sample"/>
    <w:basedOn w:val="20"/>
    <w:uiPriority w:val="0"/>
    <w:rPr>
      <w:rFonts w:ascii="Courier New" w:hAnsi="Courier New"/>
    </w:rPr>
  </w:style>
  <w:style w:type="paragraph" w:customStyle="1" w:styleId="22">
    <w:name w:val="正文缩进1"/>
    <w:basedOn w:val="1"/>
    <w:qFormat/>
    <w:uiPriority w:val="0"/>
    <w:pPr>
      <w:ind w:firstLine="420" w:firstLineChars="200"/>
    </w:pPr>
  </w:style>
  <w:style w:type="paragraph" w:customStyle="1" w:styleId="23">
    <w:name w:val="Table Paragraph"/>
    <w:basedOn w:val="1"/>
    <w:qFormat/>
    <w:uiPriority w:val="1"/>
    <w:pPr>
      <w:autoSpaceDE w:val="0"/>
      <w:autoSpaceDN w:val="0"/>
      <w:adjustRightInd w:val="0"/>
      <w:jc w:val="left"/>
    </w:pPr>
    <w:rPr>
      <w:rFonts w:ascii="Times New Roman" w:hAnsi="Times New Roman" w:eastAsia="宋体"/>
      <w:kern w:val="0"/>
      <w:sz w:val="24"/>
      <w:szCs w:val="24"/>
    </w:rPr>
  </w:style>
  <w:style w:type="paragraph" w:styleId="24">
    <w:name w:val="List Paragraph"/>
    <w:basedOn w:val="1"/>
    <w:qFormat/>
    <w:uiPriority w:val="1"/>
    <w:pPr>
      <w:spacing w:before="160"/>
      <w:ind w:left="1180" w:hanging="718"/>
    </w:pPr>
    <w:rPr>
      <w:rFonts w:ascii="宋体" w:hAnsi="宋体" w:eastAsia="宋体" w:cs="宋体"/>
      <w:lang w:val="zh-CN" w:eastAsia="zh-CN" w:bidi="zh-CN"/>
    </w:rPr>
  </w:style>
  <w:style w:type="paragraph" w:customStyle="1" w:styleId="25">
    <w:name w:val="样式 10 磅311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Heading 1"/>
    <w:basedOn w:val="1"/>
    <w:qFormat/>
    <w:uiPriority w:val="1"/>
    <w:pPr>
      <w:autoSpaceDE w:val="0"/>
      <w:autoSpaceDN w:val="0"/>
      <w:adjustRightInd w:val="0"/>
      <w:ind w:left="82"/>
      <w:jc w:val="left"/>
      <w:outlineLvl w:val="0"/>
    </w:pPr>
    <w:rPr>
      <w:rFonts w:ascii="宋体" w:hAnsi="Times New Roman" w:cs="宋体"/>
      <w:b/>
      <w:bCs/>
      <w:kern w:val="0"/>
      <w:sz w:val="32"/>
      <w:szCs w:val="32"/>
    </w:rPr>
  </w:style>
  <w:style w:type="paragraph" w:customStyle="1" w:styleId="27">
    <w:name w:val="Heading 4"/>
    <w:basedOn w:val="1"/>
    <w:qFormat/>
    <w:uiPriority w:val="1"/>
    <w:pPr>
      <w:autoSpaceDE w:val="0"/>
      <w:autoSpaceDN w:val="0"/>
      <w:adjustRightInd w:val="0"/>
      <w:ind w:left="120"/>
      <w:jc w:val="left"/>
      <w:outlineLvl w:val="3"/>
    </w:pPr>
    <w:rPr>
      <w:rFonts w:ascii="宋体" w:hAnsi="Times New Roman" w:cs="宋体"/>
      <w:b/>
      <w:bCs/>
      <w:kern w:val="0"/>
      <w:szCs w:val="21"/>
    </w:rPr>
  </w:style>
  <w:style w:type="paragraph" w:customStyle="1" w:styleId="28">
    <w:name w:val="Heading 2"/>
    <w:basedOn w:val="1"/>
    <w:qFormat/>
    <w:uiPriority w:val="1"/>
    <w:pPr>
      <w:autoSpaceDE w:val="0"/>
      <w:autoSpaceDN w:val="0"/>
      <w:adjustRightInd w:val="0"/>
      <w:jc w:val="left"/>
      <w:outlineLvl w:val="1"/>
    </w:pPr>
    <w:rPr>
      <w:rFonts w:ascii="仿宋" w:hAnsi="Times New Roman" w:eastAsia="仿宋" w:cs="仿宋"/>
      <w:b/>
      <w:bCs/>
      <w:kern w:val="0"/>
      <w:sz w:val="72"/>
      <w:szCs w:val="72"/>
    </w:rPr>
  </w:style>
  <w:style w:type="paragraph" w:customStyle="1" w:styleId="29">
    <w:name w:val="Body text|1"/>
    <w:basedOn w:val="1"/>
    <w:qFormat/>
    <w:uiPriority w:val="0"/>
    <w:pPr>
      <w:widowControl w:val="0"/>
      <w:shd w:val="clear" w:color="auto" w:fill="auto"/>
      <w:spacing w:line="334" w:lineRule="auto"/>
      <w:ind w:firstLine="400"/>
    </w:pPr>
    <w:rPr>
      <w:rFonts w:ascii="宋体" w:hAnsi="宋体" w:eastAsia="宋体" w:cs="宋体"/>
      <w:u w:val="none"/>
      <w:shd w:val="clear" w:color="auto" w:fill="auto"/>
      <w:lang w:val="zh-TW" w:eastAsia="zh-TW" w:bidi="zh-TW"/>
    </w:rPr>
  </w:style>
  <w:style w:type="paragraph" w:customStyle="1" w:styleId="30">
    <w:name w:val="*正文"/>
    <w:basedOn w:val="1"/>
    <w:qFormat/>
    <w:uiPriority w:val="0"/>
    <w:pPr>
      <w:widowControl/>
      <w:spacing w:line="360" w:lineRule="auto"/>
      <w:ind w:firstLine="200" w:firstLineChars="200"/>
      <w:jc w:val="left"/>
    </w:pPr>
    <w:rPr>
      <w:rFonts w:ascii="仿宋_GB2312" w:hAnsi="Calibri" w:eastAsia="仿宋_GB2312"/>
      <w:szCs w:val="28"/>
    </w:rPr>
  </w:style>
  <w:style w:type="character" w:customStyle="1" w:styleId="31">
    <w:name w:val="fontstyle01"/>
    <w:basedOn w:val="20"/>
    <w:qFormat/>
    <w:uiPriority w:val="0"/>
    <w:rPr>
      <w:rFonts w:hint="eastAsia" w:ascii="宋体" w:hAnsi="宋体" w:eastAsia="宋体"/>
      <w:color w:val="000000"/>
      <w:sz w:val="24"/>
      <w:szCs w:val="24"/>
    </w:rPr>
  </w:style>
  <w:style w:type="paragraph" w:customStyle="1" w:styleId="32">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3">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33817</Words>
  <Characters>35153</Characters>
  <Lines>0</Lines>
  <Paragraphs>0</Paragraphs>
  <TotalTime>5</TotalTime>
  <ScaleCrop>false</ScaleCrop>
  <LinksUpToDate>false</LinksUpToDate>
  <CharactersWithSpaces>37359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2022-06-01T04:17:00Z</dcterms:created>
  <dc:creator>不才</dc:creator>
  <cp:lastModifiedBy>admin</cp:lastModifiedBy>
  <dcterms:modified xsi:type="dcterms:W3CDTF">2022-11-24T07:50:08Z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FA9D53120F3E4FC0A4CDB79BADA038F8</vt:lpwstr>
  </property>
</Properties>
</file>