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b/>
          <w:sz w:val="52"/>
        </w:rPr>
      </w:pPr>
    </w:p>
    <w:p>
      <w:pPr>
        <w:spacing w:line="360" w:lineRule="auto"/>
        <w:jc w:val="center"/>
        <w:rPr>
          <w:rFonts w:ascii="宋体" w:hAnsi="宋体"/>
          <w:b/>
          <w:sz w:val="36"/>
          <w:szCs w:val="36"/>
        </w:rPr>
      </w:pPr>
    </w:p>
    <w:p>
      <w:pPr>
        <w:tabs>
          <w:tab w:val="left" w:pos="1960"/>
          <w:tab w:val="left" w:pos="3480"/>
          <w:tab w:val="left" w:pos="4980"/>
        </w:tabs>
        <w:spacing w:line="360" w:lineRule="auto"/>
        <w:jc w:val="center"/>
        <w:rPr>
          <w:rFonts w:hint="eastAsia" w:ascii="宋体" w:hAnsi="宋体" w:eastAsia="宋体"/>
          <w:b/>
          <w:sz w:val="44"/>
          <w:szCs w:val="44"/>
          <w:lang w:eastAsia="zh-CN"/>
        </w:rPr>
      </w:pPr>
      <w:r>
        <w:rPr>
          <w:rFonts w:hint="eastAsia" w:ascii="宋体" w:hAnsi="宋体"/>
          <w:b/>
          <w:sz w:val="44"/>
          <w:szCs w:val="44"/>
        </w:rPr>
        <w:t> </w:t>
      </w:r>
      <w:r>
        <w:rPr>
          <w:rFonts w:hint="eastAsia" w:ascii="宋体" w:hAnsi="宋体"/>
          <w:b/>
          <w:sz w:val="44"/>
          <w:szCs w:val="44"/>
          <w:lang w:eastAsia="zh-CN"/>
        </w:rPr>
        <w:t>自治区药监局“药品安全法治教育”媒体宣传项目</w:t>
      </w:r>
    </w:p>
    <w:p>
      <w:pPr>
        <w:tabs>
          <w:tab w:val="left" w:pos="1960"/>
          <w:tab w:val="left" w:pos="3480"/>
          <w:tab w:val="left" w:pos="4980"/>
        </w:tabs>
        <w:spacing w:line="360" w:lineRule="auto"/>
        <w:jc w:val="center"/>
        <w:rPr>
          <w:rFonts w:ascii="宋体" w:hAnsi="宋体"/>
          <w:b/>
          <w:sz w:val="44"/>
          <w:szCs w:val="44"/>
        </w:rPr>
      </w:pPr>
    </w:p>
    <w:p>
      <w:pPr>
        <w:tabs>
          <w:tab w:val="left" w:pos="1960"/>
          <w:tab w:val="left" w:pos="3480"/>
          <w:tab w:val="left" w:pos="4980"/>
        </w:tabs>
        <w:spacing w:line="360" w:lineRule="auto"/>
        <w:jc w:val="center"/>
        <w:rPr>
          <w:rFonts w:ascii="宋体" w:hAnsi="宋体"/>
          <w:b/>
          <w:sz w:val="72"/>
          <w:szCs w:val="72"/>
        </w:rPr>
      </w:pPr>
      <w:r>
        <w:rPr>
          <w:rFonts w:hint="eastAsia" w:ascii="宋体" w:hAnsi="宋体"/>
          <w:b/>
          <w:sz w:val="44"/>
          <w:szCs w:val="44"/>
        </w:rPr>
        <w:t>竞争性磋商</w:t>
      </w:r>
      <w:r>
        <w:rPr>
          <w:rFonts w:ascii="宋体" w:hAnsi="宋体"/>
          <w:b/>
          <w:sz w:val="44"/>
          <w:szCs w:val="44"/>
        </w:rPr>
        <w:t>文件</w:t>
      </w:r>
    </w:p>
    <w:p>
      <w:pPr>
        <w:spacing w:line="360" w:lineRule="auto"/>
        <w:jc w:val="center"/>
        <w:rPr>
          <w:rFonts w:ascii="宋体" w:hAnsi="宋体"/>
          <w:b/>
          <w:sz w:val="28"/>
          <w:szCs w:val="28"/>
        </w:rPr>
      </w:pPr>
    </w:p>
    <w:p>
      <w:pPr>
        <w:spacing w:line="360" w:lineRule="auto"/>
        <w:jc w:val="center"/>
        <w:rPr>
          <w:b/>
          <w:sz w:val="24"/>
        </w:rPr>
      </w:pPr>
      <w:r>
        <w:rPr>
          <w:rFonts w:hint="eastAsia" w:ascii="宋体" w:hAnsi="宋体"/>
          <w:b/>
          <w:sz w:val="28"/>
          <w:szCs w:val="28"/>
        </w:rPr>
        <w:t>项目</w:t>
      </w:r>
      <w:r>
        <w:rPr>
          <w:rFonts w:ascii="宋体" w:hAnsi="宋体"/>
          <w:b/>
          <w:sz w:val="28"/>
          <w:szCs w:val="28"/>
        </w:rPr>
        <w:t>编号：</w:t>
      </w:r>
      <w:r>
        <w:rPr>
          <w:rFonts w:hint="eastAsia" w:ascii="宋体" w:hAnsi="宋体"/>
          <w:b/>
          <w:sz w:val="28"/>
          <w:szCs w:val="28"/>
        </w:rPr>
        <w:t>XJTZY-2022-2-C0070</w:t>
      </w:r>
    </w:p>
    <w:p>
      <w:pPr>
        <w:pStyle w:val="2"/>
      </w:pPr>
    </w:p>
    <w:p>
      <w:pPr>
        <w:pStyle w:val="2"/>
      </w:pPr>
    </w:p>
    <w:p>
      <w:pPr>
        <w:pStyle w:val="12"/>
        <w:ind w:left="0" w:leftChars="0"/>
      </w:pPr>
    </w:p>
    <w:p/>
    <w:p>
      <w:pPr>
        <w:spacing w:line="360" w:lineRule="auto"/>
        <w:ind w:firstLine="1687" w:firstLineChars="600"/>
        <w:rPr>
          <w:rFonts w:ascii="宋体" w:hAnsi="宋体" w:cs="宋体"/>
          <w:b/>
          <w:sz w:val="28"/>
          <w:szCs w:val="28"/>
        </w:rPr>
      </w:pPr>
    </w:p>
    <w:p>
      <w:pPr>
        <w:spacing w:line="360" w:lineRule="auto"/>
        <w:ind w:firstLine="1687" w:firstLineChars="600"/>
        <w:rPr>
          <w:rFonts w:hint="eastAsia" w:ascii="宋体" w:hAnsi="宋体" w:cs="宋体"/>
          <w:b/>
          <w:sz w:val="28"/>
          <w:szCs w:val="28"/>
        </w:rPr>
      </w:pPr>
      <w:r>
        <w:rPr>
          <w:rFonts w:hint="eastAsia" w:ascii="宋体" w:hAnsi="宋体" w:cs="宋体"/>
          <w:b/>
          <w:sz w:val="28"/>
          <w:szCs w:val="28"/>
        </w:rPr>
        <w:t>采购人：新疆维吾尔自治区药品监督管理局</w:t>
      </w:r>
    </w:p>
    <w:p>
      <w:pPr>
        <w:spacing w:line="360" w:lineRule="auto"/>
        <w:ind w:firstLine="1687" w:firstLineChars="600"/>
        <w:rPr>
          <w:rFonts w:ascii="宋体" w:hAnsi="宋体"/>
          <w:b/>
          <w:sz w:val="28"/>
          <w:szCs w:val="28"/>
        </w:rPr>
      </w:pPr>
      <w:r>
        <w:rPr>
          <w:rFonts w:ascii="宋体" w:hAnsi="宋体"/>
          <w:b/>
          <w:sz w:val="28"/>
          <w:szCs w:val="28"/>
        </w:rPr>
        <w:t>采购代理机构：</w:t>
      </w:r>
      <w:r>
        <w:rPr>
          <w:rFonts w:hint="eastAsia" w:ascii="宋体" w:hAnsi="宋体"/>
          <w:b/>
          <w:sz w:val="28"/>
          <w:szCs w:val="28"/>
        </w:rPr>
        <w:t>新疆天之源项目管理集团有限公司</w:t>
      </w:r>
    </w:p>
    <w:p>
      <w:pPr>
        <w:spacing w:line="360" w:lineRule="auto"/>
        <w:ind w:firstLine="1687" w:firstLineChars="600"/>
        <w:rPr>
          <w:rFonts w:ascii="宋体" w:hAnsi="宋体"/>
          <w:b/>
          <w:sz w:val="28"/>
          <w:szCs w:val="28"/>
        </w:rPr>
      </w:pPr>
      <w:r>
        <w:rPr>
          <w:rFonts w:ascii="宋体" w:hAnsi="宋体"/>
          <w:b/>
          <w:sz w:val="28"/>
          <w:szCs w:val="28"/>
        </w:rPr>
        <w:t>联系人：</w:t>
      </w:r>
      <w:r>
        <w:rPr>
          <w:rFonts w:hint="eastAsia" w:ascii="宋体" w:hAnsi="宋体"/>
          <w:b/>
          <w:sz w:val="28"/>
          <w:szCs w:val="28"/>
        </w:rPr>
        <w:t xml:space="preserve">杨婷婷  </w:t>
      </w:r>
    </w:p>
    <w:p>
      <w:pPr>
        <w:pStyle w:val="12"/>
        <w:ind w:left="0" w:leftChars="0" w:firstLine="1687" w:firstLineChars="600"/>
        <w:rPr>
          <w:rFonts w:ascii="Arial" w:hAnsi="Arial" w:cs="Arial"/>
          <w:b/>
          <w:sz w:val="32"/>
          <w:szCs w:val="32"/>
        </w:rPr>
        <w:sectPr>
          <w:headerReference r:id="rId3" w:type="default"/>
          <w:footerReference r:id="rId4" w:type="default"/>
          <w:pgSz w:w="11907" w:h="16840"/>
          <w:pgMar w:top="1440" w:right="1247" w:bottom="1440" w:left="1361" w:header="851" w:footer="992" w:gutter="0"/>
          <w:pgNumType w:start="1"/>
          <w:cols w:space="720" w:num="1"/>
          <w:docGrid w:linePitch="312" w:charSpace="0"/>
        </w:sectPr>
      </w:pPr>
      <w:r>
        <w:rPr>
          <w:rFonts w:ascii="宋体" w:hAnsi="宋体"/>
          <w:b/>
          <w:sz w:val="28"/>
          <w:szCs w:val="28"/>
        </w:rPr>
        <w:t>联系电话</w:t>
      </w:r>
      <w:r>
        <w:rPr>
          <w:rFonts w:hint="eastAsia" w:ascii="宋体" w:hAnsi="宋体"/>
          <w:b/>
          <w:sz w:val="28"/>
          <w:szCs w:val="28"/>
        </w:rPr>
        <w:t>：</w:t>
      </w:r>
      <w:r>
        <w:rPr>
          <w:rFonts w:hint="eastAsia" w:ascii="宋体" w:hAnsi="宋体" w:eastAsia="宋体" w:cs="宋体"/>
          <w:b/>
          <w:kern w:val="2"/>
          <w:sz w:val="28"/>
          <w:szCs w:val="28"/>
          <w:lang w:val="en-US" w:eastAsia="zh-CN" w:bidi="ar-SA"/>
        </w:rPr>
        <w:t>13999938263</w:t>
      </w:r>
    </w:p>
    <w:p>
      <w:pPr>
        <w:spacing w:line="360" w:lineRule="auto"/>
        <w:jc w:val="center"/>
        <w:rPr>
          <w:rFonts w:ascii="Arial" w:hAnsi="Arial" w:cs="Arial"/>
          <w:b/>
          <w:sz w:val="32"/>
          <w:szCs w:val="32"/>
        </w:rPr>
      </w:pPr>
      <w:r>
        <w:rPr>
          <w:rFonts w:ascii="Arial" w:hAnsi="Arial" w:cs="Arial"/>
          <w:b/>
          <w:sz w:val="32"/>
          <w:szCs w:val="32"/>
        </w:rPr>
        <w:t>目录</w:t>
      </w:r>
    </w:p>
    <w:p>
      <w:pPr>
        <w:pStyle w:val="26"/>
        <w:tabs>
          <w:tab w:val="right" w:leader="dot" w:pos="9683"/>
        </w:tabs>
        <w:spacing w:line="360" w:lineRule="auto"/>
        <w:jc w:val="left"/>
        <w:rPr>
          <w:rFonts w:ascii="Calibri" w:hAnsi="Calibri"/>
          <w:szCs w:val="22"/>
        </w:rPr>
      </w:pPr>
      <w:r>
        <w:rPr>
          <w:rFonts w:ascii="Arial" w:hAnsi="Arial" w:cs="Arial"/>
          <w:b/>
          <w:sz w:val="24"/>
          <w:szCs w:val="24"/>
        </w:rPr>
        <w:fldChar w:fldCharType="begin"/>
      </w:r>
      <w:r>
        <w:rPr>
          <w:rFonts w:ascii="Arial" w:hAnsi="Arial" w:cs="Arial"/>
          <w:b/>
          <w:sz w:val="24"/>
          <w:szCs w:val="24"/>
        </w:rPr>
        <w:instrText xml:space="preserve"> TOC \o "1-2" \h \z \u </w:instrText>
      </w:r>
      <w:r>
        <w:rPr>
          <w:rFonts w:ascii="Arial" w:hAnsi="Arial" w:cs="Arial"/>
          <w:b/>
          <w:sz w:val="24"/>
          <w:szCs w:val="24"/>
        </w:rPr>
        <w:fldChar w:fldCharType="separate"/>
      </w:r>
      <w:r>
        <w:rPr>
          <w:rFonts w:ascii="Arial" w:hAnsi="Arial" w:cs="Arial"/>
          <w:b/>
          <w:sz w:val="24"/>
          <w:szCs w:val="24"/>
        </w:rPr>
        <w:fldChar w:fldCharType="begin"/>
      </w:r>
      <w:r>
        <w:rPr>
          <w:rFonts w:ascii="Arial" w:hAnsi="Arial" w:cs="Arial"/>
          <w:b/>
          <w:sz w:val="24"/>
          <w:szCs w:val="24"/>
        </w:rPr>
        <w:instrText xml:space="preserve"> TOC \o "1-2" \h \z \u </w:instrText>
      </w:r>
      <w:r>
        <w:rPr>
          <w:rFonts w:ascii="Arial" w:hAnsi="Arial" w:cs="Arial"/>
          <w:b/>
          <w:sz w:val="24"/>
          <w:szCs w:val="24"/>
        </w:rPr>
        <w:fldChar w:fldCharType="separate"/>
      </w:r>
      <w:r>
        <w:fldChar w:fldCharType="begin"/>
      </w:r>
      <w:r>
        <w:instrText xml:space="preserve"> HYPERLINK \l "_Toc462223629" </w:instrText>
      </w:r>
      <w:r>
        <w:fldChar w:fldCharType="separate"/>
      </w:r>
      <w:r>
        <w:rPr>
          <w:rStyle w:val="40"/>
          <w:rFonts w:hint="eastAsia" w:ascii="Arial" w:hAnsi="Arial" w:cs="Arial"/>
        </w:rPr>
        <w:t>第一章 竞争性磋商公告</w:t>
      </w:r>
      <w:r>
        <w:tab/>
      </w:r>
      <w:r>
        <w:rPr>
          <w:rFonts w:hint="eastAsia"/>
        </w:rPr>
        <w:t>1</w:t>
      </w:r>
      <w:r>
        <w:rPr>
          <w:rFonts w:hint="eastAsia"/>
        </w:rPr>
        <w:fldChar w:fldCharType="end"/>
      </w:r>
    </w:p>
    <w:p>
      <w:pPr>
        <w:pStyle w:val="26"/>
        <w:tabs>
          <w:tab w:val="right" w:leader="dot" w:pos="9683"/>
        </w:tabs>
        <w:spacing w:line="360" w:lineRule="auto"/>
        <w:jc w:val="left"/>
        <w:rPr>
          <w:rFonts w:ascii="Calibri" w:hAnsi="Calibri"/>
          <w:szCs w:val="22"/>
        </w:rPr>
      </w:pPr>
      <w:r>
        <w:fldChar w:fldCharType="begin"/>
      </w:r>
      <w:r>
        <w:instrText xml:space="preserve"> HYPERLINK \l "_Toc462223630" </w:instrText>
      </w:r>
      <w:r>
        <w:fldChar w:fldCharType="separate"/>
      </w:r>
      <w:r>
        <w:rPr>
          <w:rStyle w:val="40"/>
          <w:rFonts w:hint="eastAsia" w:ascii="Arial" w:hAnsi="Arial" w:cs="Arial"/>
        </w:rPr>
        <w:t>第二章 供应商须知前附表</w:t>
      </w:r>
      <w:r>
        <w:tab/>
      </w:r>
      <w:r>
        <w:rPr>
          <w:rFonts w:hint="eastAsia"/>
        </w:rPr>
        <w:t>5</w:t>
      </w:r>
      <w:r>
        <w:rPr>
          <w:rFonts w:hint="eastAsia"/>
        </w:rPr>
        <w:fldChar w:fldCharType="end"/>
      </w:r>
    </w:p>
    <w:p>
      <w:pPr>
        <w:pStyle w:val="26"/>
        <w:tabs>
          <w:tab w:val="right" w:leader="dot" w:pos="9683"/>
        </w:tabs>
        <w:spacing w:line="360" w:lineRule="auto"/>
        <w:jc w:val="left"/>
        <w:rPr>
          <w:rFonts w:ascii="Calibri" w:hAnsi="Calibri"/>
          <w:szCs w:val="22"/>
        </w:rPr>
      </w:pPr>
      <w:r>
        <w:fldChar w:fldCharType="begin"/>
      </w:r>
      <w:r>
        <w:instrText xml:space="preserve"> HYPERLINK \l "_Toc462223630" </w:instrText>
      </w:r>
      <w:r>
        <w:fldChar w:fldCharType="separate"/>
      </w:r>
      <w:r>
        <w:rPr>
          <w:rStyle w:val="40"/>
          <w:rFonts w:hint="eastAsia" w:ascii="Arial" w:hAnsi="Arial" w:cs="Arial"/>
        </w:rPr>
        <w:t>第三章 供应商须知</w:t>
      </w:r>
      <w:r>
        <w:tab/>
      </w:r>
      <w:r>
        <w:rPr>
          <w:rFonts w:hint="eastAsia"/>
        </w:rPr>
        <w:t>10</w:t>
      </w:r>
      <w:r>
        <w:rPr>
          <w:rFonts w:hint="eastAsia"/>
        </w:rPr>
        <w:fldChar w:fldCharType="end"/>
      </w:r>
    </w:p>
    <w:p>
      <w:pPr>
        <w:pStyle w:val="26"/>
        <w:tabs>
          <w:tab w:val="right" w:leader="dot" w:pos="9683"/>
        </w:tabs>
        <w:spacing w:line="360" w:lineRule="auto"/>
        <w:jc w:val="left"/>
        <w:rPr>
          <w:rFonts w:ascii="Calibri" w:hAnsi="Calibri"/>
          <w:szCs w:val="22"/>
        </w:rPr>
      </w:pPr>
      <w:r>
        <w:fldChar w:fldCharType="begin"/>
      </w:r>
      <w:r>
        <w:instrText xml:space="preserve"> HYPERLINK \l "_Toc462223630" </w:instrText>
      </w:r>
      <w:r>
        <w:fldChar w:fldCharType="separate"/>
      </w:r>
      <w:r>
        <w:rPr>
          <w:rStyle w:val="40"/>
          <w:rFonts w:hint="eastAsia" w:ascii="Arial" w:hAnsi="Arial" w:cs="Arial"/>
        </w:rPr>
        <w:t>第四章 项目需求</w:t>
      </w:r>
      <w:r>
        <w:tab/>
      </w:r>
      <w:r>
        <w:rPr>
          <w:rFonts w:hint="eastAsia"/>
        </w:rPr>
        <w:t>19</w:t>
      </w:r>
      <w:r>
        <w:rPr>
          <w:rFonts w:hint="eastAsia"/>
        </w:rPr>
        <w:fldChar w:fldCharType="end"/>
      </w:r>
    </w:p>
    <w:p>
      <w:pPr>
        <w:pStyle w:val="26"/>
        <w:tabs>
          <w:tab w:val="right" w:leader="dot" w:pos="9683"/>
        </w:tabs>
        <w:spacing w:line="360" w:lineRule="auto"/>
        <w:jc w:val="left"/>
        <w:rPr>
          <w:rFonts w:ascii="Calibri" w:hAnsi="Calibri"/>
          <w:szCs w:val="22"/>
        </w:rPr>
      </w:pPr>
      <w:r>
        <w:fldChar w:fldCharType="begin"/>
      </w:r>
      <w:r>
        <w:instrText xml:space="preserve"> HYPERLINK \l "_Toc462223639" </w:instrText>
      </w:r>
      <w:r>
        <w:fldChar w:fldCharType="separate"/>
      </w:r>
      <w:r>
        <w:rPr>
          <w:rStyle w:val="40"/>
          <w:rFonts w:hint="eastAsia" w:ascii="Arial" w:hAnsi="Arial" w:cs="Arial"/>
        </w:rPr>
        <w:t>第五章 磋商原则及办法</w:t>
      </w:r>
      <w:r>
        <w:tab/>
      </w:r>
      <w:r>
        <w:rPr>
          <w:rFonts w:hint="eastAsia"/>
        </w:rPr>
        <w:t>21</w:t>
      </w:r>
      <w:r>
        <w:rPr>
          <w:rFonts w:hint="eastAsia"/>
        </w:rPr>
        <w:fldChar w:fldCharType="end"/>
      </w:r>
    </w:p>
    <w:p>
      <w:pPr>
        <w:pStyle w:val="26"/>
        <w:tabs>
          <w:tab w:val="right" w:leader="dot" w:pos="9683"/>
        </w:tabs>
        <w:spacing w:line="360" w:lineRule="auto"/>
        <w:jc w:val="left"/>
        <w:rPr>
          <w:rFonts w:ascii="Calibri" w:hAnsi="Calibri"/>
          <w:szCs w:val="22"/>
        </w:rPr>
      </w:pPr>
      <w:r>
        <w:fldChar w:fldCharType="begin"/>
      </w:r>
      <w:r>
        <w:instrText xml:space="preserve"> HYPERLINK \l "_Toc462223647" </w:instrText>
      </w:r>
      <w:r>
        <w:fldChar w:fldCharType="separate"/>
      </w:r>
      <w:r>
        <w:rPr>
          <w:rStyle w:val="40"/>
          <w:rFonts w:hint="eastAsia" w:ascii="Arial" w:hAnsi="Arial" w:cs="Arial"/>
        </w:rPr>
        <w:t>第六章 合同条款</w:t>
      </w:r>
      <w:r>
        <w:tab/>
      </w:r>
      <w:r>
        <w:rPr>
          <w:rFonts w:hint="eastAsia"/>
        </w:rPr>
        <w:t>3</w:t>
      </w:r>
      <w:r>
        <w:rPr>
          <w:rFonts w:hint="eastAsia"/>
        </w:rPr>
        <w:fldChar w:fldCharType="end"/>
      </w:r>
      <w:r>
        <w:rPr>
          <w:rFonts w:hint="eastAsia"/>
        </w:rPr>
        <w:t>1</w:t>
      </w:r>
    </w:p>
    <w:p>
      <w:pPr>
        <w:pStyle w:val="26"/>
        <w:tabs>
          <w:tab w:val="right" w:leader="dot" w:pos="9683"/>
        </w:tabs>
        <w:spacing w:line="360" w:lineRule="auto"/>
        <w:jc w:val="left"/>
        <w:rPr>
          <w:rFonts w:ascii="Calibri" w:hAnsi="Calibri"/>
          <w:szCs w:val="22"/>
        </w:rPr>
      </w:pPr>
      <w:r>
        <w:fldChar w:fldCharType="begin"/>
      </w:r>
      <w:r>
        <w:instrText xml:space="preserve"> HYPERLINK \l "_Toc462223650" </w:instrText>
      </w:r>
      <w:r>
        <w:fldChar w:fldCharType="separate"/>
      </w:r>
      <w:r>
        <w:rPr>
          <w:rStyle w:val="40"/>
          <w:rFonts w:hint="eastAsia" w:ascii="Arial" w:hAnsi="Arial" w:cs="Arial"/>
        </w:rPr>
        <w:t>第七章 附件</w:t>
      </w:r>
      <w:r>
        <w:tab/>
      </w:r>
      <w:r>
        <w:rPr>
          <w:rFonts w:hint="eastAsia"/>
        </w:rPr>
        <w:t>37</w:t>
      </w:r>
      <w:r>
        <w:rPr>
          <w:rFonts w:hint="eastAsia"/>
        </w:rPr>
        <w:fldChar w:fldCharType="end"/>
      </w:r>
    </w:p>
    <w:p>
      <w:pPr>
        <w:pStyle w:val="26"/>
        <w:tabs>
          <w:tab w:val="right" w:leader="dot" w:pos="8541"/>
        </w:tabs>
        <w:spacing w:line="360" w:lineRule="auto"/>
        <w:rPr>
          <w:rFonts w:ascii="Arial" w:hAnsi="Arial" w:cs="Arial"/>
          <w:b/>
          <w:sz w:val="24"/>
          <w:szCs w:val="24"/>
        </w:rPr>
      </w:pPr>
      <w:r>
        <w:rPr>
          <w:rFonts w:ascii="Arial" w:hAnsi="Arial" w:cs="Arial"/>
          <w:b/>
          <w:sz w:val="24"/>
          <w:szCs w:val="24"/>
        </w:rPr>
        <w:fldChar w:fldCharType="end"/>
      </w:r>
    </w:p>
    <w:p>
      <w:pPr>
        <w:pStyle w:val="26"/>
        <w:tabs>
          <w:tab w:val="right" w:leader="dot" w:pos="9683"/>
        </w:tabs>
        <w:spacing w:line="360" w:lineRule="auto"/>
        <w:rPr>
          <w:rFonts w:ascii="Arial" w:hAnsi="Arial" w:cs="Arial"/>
          <w:b/>
          <w:sz w:val="24"/>
          <w:szCs w:val="24"/>
        </w:rPr>
      </w:pPr>
      <w:r>
        <w:rPr>
          <w:rFonts w:ascii="Arial" w:hAnsi="Arial" w:cs="Arial"/>
          <w:b/>
          <w:sz w:val="24"/>
          <w:szCs w:val="24"/>
        </w:rPr>
        <w:fldChar w:fldCharType="end"/>
      </w:r>
    </w:p>
    <w:p>
      <w:pPr>
        <w:widowControl/>
        <w:spacing w:line="360" w:lineRule="auto"/>
        <w:jc w:val="center"/>
        <w:rPr>
          <w:rFonts w:ascii="Arial" w:hAnsi="Arial" w:cs="Arial"/>
          <w:b/>
          <w:sz w:val="32"/>
          <w:szCs w:val="32"/>
        </w:rPr>
        <w:sectPr>
          <w:footerReference r:id="rId5" w:type="default"/>
          <w:pgSz w:w="11907" w:h="16840"/>
          <w:pgMar w:top="1440" w:right="1247" w:bottom="1440" w:left="1361" w:header="851" w:footer="992" w:gutter="0"/>
          <w:pgNumType w:start="1"/>
          <w:cols w:space="720" w:num="1"/>
          <w:docGrid w:linePitch="312" w:charSpace="0"/>
        </w:sectPr>
      </w:pPr>
      <w:bookmarkStart w:id="0" w:name="_Toc349637917"/>
      <w:bookmarkStart w:id="1" w:name="_Toc298240402"/>
      <w:bookmarkStart w:id="2" w:name="_Toc462223629"/>
      <w:bookmarkStart w:id="3" w:name="_Toc349573118"/>
      <w:bookmarkStart w:id="4" w:name="_Toc349637918"/>
      <w:bookmarkStart w:id="5" w:name="_Toc298240403"/>
      <w:bookmarkStart w:id="6" w:name="_Toc267301280"/>
      <w:bookmarkStart w:id="7" w:name="_Toc462223630"/>
      <w:bookmarkStart w:id="8" w:name="_Toc349573119"/>
    </w:p>
    <w:p>
      <w:pPr>
        <w:widowControl/>
        <w:spacing w:line="360" w:lineRule="auto"/>
        <w:jc w:val="center"/>
        <w:rPr>
          <w:rFonts w:ascii="Arial" w:hAnsi="Arial" w:cs="Arial"/>
          <w:b/>
          <w:sz w:val="32"/>
          <w:szCs w:val="32"/>
        </w:rPr>
      </w:pPr>
      <w:r>
        <w:rPr>
          <w:rFonts w:ascii="Arial" w:hAnsi="Arial" w:cs="Arial"/>
          <w:b/>
          <w:sz w:val="32"/>
          <w:szCs w:val="32"/>
        </w:rPr>
        <w:t>第一</w:t>
      </w:r>
      <w:r>
        <w:rPr>
          <w:rFonts w:hint="eastAsia" w:ascii="Arial" w:hAnsi="Arial" w:cs="Arial"/>
          <w:b/>
          <w:sz w:val="32"/>
          <w:szCs w:val="32"/>
        </w:rPr>
        <w:t>章</w:t>
      </w:r>
      <w:bookmarkEnd w:id="0"/>
      <w:bookmarkEnd w:id="1"/>
      <w:bookmarkEnd w:id="2"/>
      <w:bookmarkEnd w:id="3"/>
      <w:bookmarkStart w:id="9" w:name="_Hlk51338716"/>
    </w:p>
    <w:bookmarkEnd w:id="9"/>
    <w:p>
      <w:pPr>
        <w:pStyle w:val="30"/>
        <w:spacing w:before="75" w:beforeAutospacing="0" w:after="75" w:afterAutospacing="0" w:line="360" w:lineRule="auto"/>
        <w:ind w:firstLine="640" w:firstLineChars="200"/>
        <w:rPr>
          <w:rFonts w:hint="eastAsia" w:ascii="宋体" w:hAnsi="宋体" w:eastAsia="宋体" w:cs="宋体"/>
          <w:sz w:val="32"/>
          <w:szCs w:val="32"/>
          <w:lang w:eastAsia="zh-CN"/>
        </w:rPr>
      </w:pPr>
      <w:r>
        <w:rPr>
          <w:rFonts w:hint="eastAsia" w:ascii="宋体" w:hAnsi="宋体" w:eastAsia="宋体" w:cs="宋体"/>
          <w:sz w:val="32"/>
          <w:szCs w:val="32"/>
        </w:rPr>
        <w:t>自治区药监局“药品安全法治教育”媒体宣传项目竞争性磋商</w:t>
      </w:r>
      <w:r>
        <w:rPr>
          <w:rFonts w:hint="eastAsia" w:ascii="宋体" w:hAnsi="宋体" w:eastAsia="宋体" w:cs="宋体"/>
          <w:sz w:val="32"/>
          <w:szCs w:val="32"/>
          <w:lang w:eastAsia="zh-CN"/>
        </w:rPr>
        <w:t>公告</w:t>
      </w:r>
    </w:p>
    <w:p>
      <w:pPr>
        <w:pStyle w:val="30"/>
        <w:spacing w:before="75" w:beforeAutospacing="0" w:after="75" w:afterAutospacing="0" w:line="360" w:lineRule="auto"/>
        <w:ind w:firstLine="480" w:firstLineChars="200"/>
        <w:rPr>
          <w:rFonts w:hint="eastAsia" w:ascii="宋体" w:hAnsi="宋体" w:eastAsia="宋体" w:cs="宋体"/>
        </w:rPr>
      </w:pPr>
      <w:r>
        <w:rPr>
          <w:rFonts w:hint="eastAsia" w:ascii="宋体" w:hAnsi="宋体" w:eastAsia="宋体" w:cs="宋体"/>
        </w:rPr>
        <w:t>一、项目名称：自治区药监局“药品安全法治教育”媒体宣传项目</w:t>
      </w:r>
    </w:p>
    <w:p>
      <w:pPr>
        <w:pStyle w:val="30"/>
        <w:spacing w:before="75" w:beforeAutospacing="0" w:after="75" w:afterAutospacing="0" w:line="360" w:lineRule="auto"/>
        <w:ind w:firstLine="480" w:firstLineChars="200"/>
        <w:rPr>
          <w:rFonts w:hint="eastAsia" w:ascii="宋体" w:hAnsi="宋体" w:eastAsia="宋体" w:cs="宋体"/>
        </w:rPr>
      </w:pPr>
      <w:r>
        <w:rPr>
          <w:rFonts w:hint="eastAsia" w:ascii="宋体" w:hAnsi="宋体" w:eastAsia="宋体" w:cs="宋体"/>
        </w:rPr>
        <w:t>二、项目编号：XJTZY-2022-2-C0070</w:t>
      </w:r>
    </w:p>
    <w:p>
      <w:pPr>
        <w:pStyle w:val="30"/>
        <w:spacing w:before="75" w:beforeAutospacing="0" w:after="75" w:afterAutospacing="0" w:line="360" w:lineRule="auto"/>
        <w:ind w:firstLine="480" w:firstLineChars="200"/>
        <w:rPr>
          <w:rFonts w:hint="eastAsia" w:ascii="宋体" w:hAnsi="宋体" w:eastAsia="宋体" w:cs="宋体"/>
        </w:rPr>
      </w:pPr>
      <w:r>
        <w:rPr>
          <w:rFonts w:hint="eastAsia" w:ascii="宋体" w:hAnsi="宋体" w:eastAsia="宋体" w:cs="宋体"/>
        </w:rPr>
        <w:t>三、本采购项目最高限价46.3万元</w:t>
      </w:r>
    </w:p>
    <w:p>
      <w:pPr>
        <w:pStyle w:val="30"/>
        <w:spacing w:before="75" w:beforeAutospacing="0" w:after="75" w:afterAutospacing="0" w:line="360" w:lineRule="auto"/>
        <w:ind w:firstLine="480" w:firstLineChars="200"/>
        <w:rPr>
          <w:rFonts w:hint="eastAsia" w:ascii="宋体" w:hAnsi="宋体" w:eastAsia="宋体" w:cs="宋体"/>
        </w:rPr>
      </w:pPr>
      <w:r>
        <w:rPr>
          <w:rFonts w:hint="eastAsia" w:ascii="宋体" w:hAnsi="宋体" w:eastAsia="宋体" w:cs="宋体"/>
        </w:rPr>
        <w:t>四、投标人资格要求：</w:t>
      </w:r>
    </w:p>
    <w:p>
      <w:pPr>
        <w:pStyle w:val="30"/>
        <w:spacing w:before="75" w:beforeAutospacing="0" w:after="75" w:afterAutospacing="0" w:line="360" w:lineRule="auto"/>
        <w:ind w:firstLine="480" w:firstLineChars="200"/>
        <w:rPr>
          <w:rFonts w:hint="eastAsia" w:ascii="宋体" w:hAnsi="宋体" w:eastAsia="宋体" w:cs="宋体"/>
        </w:rPr>
      </w:pPr>
      <w:r>
        <w:rPr>
          <w:rFonts w:hint="eastAsia" w:ascii="宋体" w:hAnsi="宋体" w:eastAsia="宋体" w:cs="宋体"/>
        </w:rPr>
        <w:t>1、供应商应符合中华人民共和国政府采购法第二十二条中的相关规定；</w:t>
      </w:r>
    </w:p>
    <w:p>
      <w:pPr>
        <w:pStyle w:val="30"/>
        <w:spacing w:before="75" w:beforeAutospacing="0" w:after="75" w:afterAutospacing="0" w:line="360" w:lineRule="auto"/>
        <w:ind w:firstLine="480" w:firstLineChars="200"/>
        <w:rPr>
          <w:rFonts w:hint="eastAsia" w:ascii="宋体" w:hAnsi="宋体" w:eastAsia="宋体" w:cs="宋体"/>
        </w:rPr>
      </w:pPr>
      <w:r>
        <w:rPr>
          <w:rFonts w:hint="eastAsia" w:ascii="宋体" w:hAnsi="宋体" w:eastAsia="宋体" w:cs="宋体"/>
        </w:rPr>
        <w:t>（1）具有独立承担民事责任的能力；（在中华人民共和国注册，并具有独立法人资格，提供合法有效的法人营业执照）</w:t>
      </w:r>
    </w:p>
    <w:p>
      <w:pPr>
        <w:pStyle w:val="30"/>
        <w:spacing w:before="75" w:beforeAutospacing="0" w:after="75" w:afterAutospacing="0" w:line="360" w:lineRule="auto"/>
        <w:ind w:firstLine="480" w:firstLineChars="200"/>
        <w:rPr>
          <w:rFonts w:hint="eastAsia" w:ascii="宋体" w:hAnsi="宋体" w:eastAsia="宋体" w:cs="宋体"/>
        </w:rPr>
      </w:pPr>
      <w:r>
        <w:rPr>
          <w:rFonts w:hint="eastAsia" w:ascii="宋体" w:hAnsi="宋体" w:eastAsia="宋体" w:cs="宋体"/>
        </w:rPr>
        <w:t>（2）具有良好的商业信誉和健全的财务会计制度；（商业信誉提供有关单位发的证明材料如荣誉证书、有关的报道或业主反馈意见书（业主好评）等、财务会计制度提供参加本次政府采购活动前一个月的会计报表或上一年度的财务审计报告，成立不满一个月不需要提供）</w:t>
      </w:r>
    </w:p>
    <w:p>
      <w:pPr>
        <w:pStyle w:val="30"/>
        <w:spacing w:before="75" w:beforeAutospacing="0" w:after="75" w:afterAutospacing="0" w:line="360" w:lineRule="auto"/>
        <w:ind w:firstLine="480" w:firstLineChars="200"/>
        <w:rPr>
          <w:rFonts w:hint="eastAsia" w:ascii="宋体" w:hAnsi="宋体" w:eastAsia="宋体" w:cs="宋体"/>
        </w:rPr>
      </w:pPr>
      <w:r>
        <w:rPr>
          <w:rFonts w:hint="eastAsia" w:ascii="宋体" w:hAnsi="宋体" w:eastAsia="宋体" w:cs="宋体"/>
        </w:rPr>
        <w:t>（3）具有履行合同所必需的设备和专业技术能力；（根据项目需求提供履约合同所必需的设备和专业技术能力的证明材料或加盖单位章的书面承诺函）</w:t>
      </w:r>
    </w:p>
    <w:p>
      <w:pPr>
        <w:pStyle w:val="30"/>
        <w:spacing w:before="75" w:beforeAutospacing="0" w:after="75" w:afterAutospacing="0" w:line="360" w:lineRule="auto"/>
        <w:ind w:firstLine="480" w:firstLineChars="200"/>
        <w:rPr>
          <w:rFonts w:hint="eastAsia" w:ascii="宋体" w:hAnsi="宋体" w:eastAsia="宋体" w:cs="宋体"/>
        </w:rPr>
      </w:pPr>
      <w:r>
        <w:rPr>
          <w:rFonts w:hint="eastAsia" w:ascii="宋体" w:hAnsi="宋体" w:eastAsia="宋体" w:cs="宋体"/>
        </w:rPr>
        <w:t>（4）有依法缴纳税收和社会保障资金的良好纪录；（提供参加本项目前六个月内（至少一个月）依法缴纳税收和社会保障资金的相关材料）</w:t>
      </w:r>
    </w:p>
    <w:p>
      <w:pPr>
        <w:pStyle w:val="30"/>
        <w:spacing w:before="75" w:beforeAutospacing="0" w:after="75" w:afterAutospacing="0" w:line="360" w:lineRule="auto"/>
        <w:ind w:firstLine="480" w:firstLineChars="200"/>
        <w:rPr>
          <w:rFonts w:hint="eastAsia" w:ascii="宋体" w:hAnsi="宋体" w:eastAsia="宋体" w:cs="宋体"/>
          <w:lang w:eastAsia="zh-CN"/>
        </w:rPr>
      </w:pPr>
      <w:r>
        <w:rPr>
          <w:rFonts w:hint="eastAsia" w:ascii="宋体" w:hAnsi="宋体" w:eastAsia="宋体" w:cs="宋体"/>
        </w:rPr>
        <w:t>（5）参加招标活动前三年内，在经营活动中没有重大违法记录</w:t>
      </w:r>
      <w:r>
        <w:rPr>
          <w:rFonts w:hint="eastAsia" w:ascii="宋体" w:hAnsi="宋体" w:eastAsia="宋体" w:cs="宋体"/>
          <w:lang w:eastAsia="zh-CN"/>
        </w:rPr>
        <w:t>；（提供中国政府采购网查询截图）</w:t>
      </w:r>
    </w:p>
    <w:p>
      <w:pPr>
        <w:pStyle w:val="30"/>
        <w:spacing w:before="75" w:beforeAutospacing="0" w:after="75" w:afterAutospacing="0" w:line="360" w:lineRule="auto"/>
        <w:ind w:firstLine="480" w:firstLineChars="200"/>
        <w:rPr>
          <w:rFonts w:hint="eastAsia" w:ascii="宋体" w:hAnsi="宋体" w:eastAsia="宋体" w:cs="宋体"/>
        </w:rPr>
      </w:pPr>
      <w:r>
        <w:rPr>
          <w:rFonts w:hint="eastAsia" w:ascii="宋体" w:hAnsi="宋体" w:eastAsia="宋体" w:cs="宋体"/>
        </w:rPr>
        <w:t>（6）法律、行政法规规定的其他条件；</w:t>
      </w:r>
    </w:p>
    <w:p>
      <w:pPr>
        <w:pStyle w:val="30"/>
        <w:spacing w:before="75" w:beforeAutospacing="0" w:after="75" w:afterAutospacing="0" w:line="360" w:lineRule="auto"/>
        <w:ind w:firstLine="480" w:firstLineChars="200"/>
        <w:rPr>
          <w:rFonts w:hint="eastAsia" w:ascii="宋体" w:hAnsi="宋体" w:eastAsia="宋体" w:cs="宋体"/>
        </w:rPr>
      </w:pPr>
      <w:r>
        <w:rPr>
          <w:rFonts w:hint="eastAsia" w:ascii="宋体" w:hAnsi="宋体" w:eastAsia="宋体" w:cs="宋体"/>
        </w:rPr>
        <w:t>2、落实政府采购政策需满足的资格要求：（1）根据财政部发布的《政府采购促进中小企业发展管理办法》（财库[2020]46 号）的规定，（2）根据财政部发布的《关于政府采购支持监狱企业发展有关问题的通知》（财库[2014]68号）的规定，（3）根据《财政部、民政部、中国残疾人联合会关于促进残疾人就业政府采购政策的通知》(财库[2017]141 号)的规定。</w:t>
      </w:r>
    </w:p>
    <w:p>
      <w:pPr>
        <w:pStyle w:val="30"/>
        <w:spacing w:before="75" w:beforeAutospacing="0" w:after="75" w:afterAutospacing="0" w:line="360" w:lineRule="auto"/>
        <w:ind w:firstLine="480" w:firstLineChars="200"/>
        <w:rPr>
          <w:rFonts w:hint="eastAsia" w:ascii="宋体" w:hAnsi="宋体" w:eastAsia="宋体" w:cs="宋体"/>
        </w:rPr>
      </w:pPr>
      <w:r>
        <w:rPr>
          <w:rFonts w:hint="eastAsia" w:ascii="宋体" w:hAnsi="宋体" w:eastAsia="宋体" w:cs="宋体"/>
        </w:rPr>
        <w:t>3、在中国境内注册具有独立法人资格、有效的工商营业执照副本、税务登记证副本、组织机构代码证副本或“三证合一”的营业执照.</w:t>
      </w:r>
    </w:p>
    <w:p>
      <w:pPr>
        <w:pStyle w:val="30"/>
        <w:spacing w:before="75" w:beforeAutospacing="0" w:after="75" w:afterAutospacing="0"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4、法定代表人或其委托代理人应携带本人身份证原件及复印件，委托代理人还应携带《法定代表人授权委托书》原件；</w:t>
      </w:r>
    </w:p>
    <w:p>
      <w:pPr>
        <w:pStyle w:val="30"/>
        <w:spacing w:before="75" w:beforeAutospacing="0" w:after="75" w:afterAutospacing="0" w:line="360" w:lineRule="auto"/>
        <w:ind w:firstLine="480" w:firstLineChars="200"/>
        <w:rPr>
          <w:rFonts w:hint="eastAsia" w:ascii="宋体" w:hAnsi="宋体" w:eastAsia="宋体" w:cs="宋体"/>
        </w:rPr>
      </w:pPr>
      <w:r>
        <w:rPr>
          <w:rFonts w:hint="eastAsia" w:ascii="宋体" w:hAnsi="宋体" w:eastAsia="宋体" w:cs="宋体"/>
          <w:lang w:val="en-US" w:eastAsia="zh-CN"/>
        </w:rPr>
        <w:t>5</w:t>
      </w:r>
      <w:r>
        <w:rPr>
          <w:rFonts w:hint="eastAsia" w:ascii="宋体" w:hAnsi="宋体" w:eastAsia="宋体" w:cs="宋体"/>
        </w:rPr>
        <w:t>、供应商须提供在“信用中国”（www.creditchina.gov.cn）和中国政府采购网（www.ccgp.gov.cn）网站上未被列入失信被执行人、重大税收违法案件当事人名单以及政府采购严重违法失信行为记录名单的网页打印件并加盖公章；</w:t>
      </w:r>
    </w:p>
    <w:p>
      <w:pPr>
        <w:pStyle w:val="30"/>
        <w:spacing w:before="75" w:beforeAutospacing="0" w:after="75" w:afterAutospacing="0" w:line="360" w:lineRule="auto"/>
        <w:rPr>
          <w:rFonts w:hint="eastAsia" w:ascii="宋体" w:hAnsi="宋体" w:eastAsia="宋体" w:cs="宋体"/>
        </w:rPr>
      </w:pPr>
      <w:r>
        <w:rPr>
          <w:rFonts w:hint="eastAsia" w:ascii="宋体" w:hAnsi="宋体" w:eastAsia="宋体" w:cs="宋体"/>
        </w:rPr>
        <w:t>获取竞争性磋商文件时须提交的文件资料：</w:t>
      </w:r>
    </w:p>
    <w:p>
      <w:pPr>
        <w:pStyle w:val="30"/>
        <w:spacing w:before="75" w:beforeAutospacing="0" w:after="75" w:afterAutospacing="0" w:line="360" w:lineRule="auto"/>
        <w:rPr>
          <w:rFonts w:hint="eastAsia" w:ascii="宋体" w:hAnsi="宋体" w:eastAsia="宋体" w:cs="宋体"/>
        </w:rPr>
      </w:pPr>
      <w:r>
        <w:rPr>
          <w:rFonts w:hint="eastAsia" w:ascii="宋体" w:hAnsi="宋体" w:eastAsia="宋体" w:cs="宋体"/>
        </w:rPr>
        <w:t>① 有效的营业执照；</w:t>
      </w:r>
    </w:p>
    <w:p>
      <w:pPr>
        <w:pStyle w:val="30"/>
        <w:spacing w:before="75" w:beforeAutospacing="0" w:after="75" w:afterAutospacing="0" w:line="360" w:lineRule="auto"/>
        <w:rPr>
          <w:rFonts w:hint="eastAsia" w:ascii="宋体" w:hAnsi="宋体" w:eastAsia="宋体" w:cs="宋体"/>
        </w:rPr>
      </w:pPr>
      <w:r>
        <w:rPr>
          <w:rFonts w:hint="eastAsia" w:ascii="宋体" w:hAnsi="宋体" w:eastAsia="宋体" w:cs="宋体"/>
        </w:rPr>
        <w:t>② 法定代表人授权委托书及被授权人身份证；</w:t>
      </w:r>
    </w:p>
    <w:p>
      <w:pPr>
        <w:pStyle w:val="30"/>
        <w:spacing w:before="75" w:beforeAutospacing="0" w:after="75" w:afterAutospacing="0" w:line="360" w:lineRule="auto"/>
        <w:rPr>
          <w:rFonts w:hint="eastAsia" w:ascii="宋体" w:hAnsi="宋体" w:eastAsia="宋体" w:cs="宋体"/>
        </w:rPr>
      </w:pPr>
      <w:r>
        <w:rPr>
          <w:rFonts w:hint="eastAsia" w:ascii="宋体" w:hAnsi="宋体" w:eastAsia="宋体" w:cs="宋体"/>
        </w:rPr>
        <w:t>③ 失信行为网页打印件（“信用中国”网站上失信被执行人、重大税收违法案件当事人名单、政府采购严重违法失信名单；“中国政府采购网”网站上政府采购严重违法失信行为信息） 。</w:t>
      </w:r>
    </w:p>
    <w:p>
      <w:pPr>
        <w:pStyle w:val="30"/>
        <w:spacing w:before="75" w:beforeAutospacing="0" w:after="75" w:afterAutospacing="0" w:line="360" w:lineRule="auto"/>
        <w:ind w:firstLine="480" w:firstLineChars="200"/>
        <w:rPr>
          <w:rFonts w:hint="eastAsia" w:ascii="宋体" w:hAnsi="宋体" w:eastAsia="宋体" w:cs="宋体"/>
        </w:rPr>
      </w:pPr>
      <w:r>
        <w:rPr>
          <w:rFonts w:hint="eastAsia" w:ascii="宋体" w:hAnsi="宋体" w:eastAsia="宋体" w:cs="宋体"/>
        </w:rPr>
        <w:t>五、招标文件发售时间、方式及售价</w:t>
      </w:r>
    </w:p>
    <w:p>
      <w:pPr>
        <w:pStyle w:val="30"/>
        <w:spacing w:before="75" w:beforeAutospacing="0" w:after="75" w:afterAutospacing="0" w:line="360" w:lineRule="auto"/>
        <w:ind w:firstLine="480" w:firstLineChars="200"/>
        <w:rPr>
          <w:rFonts w:hint="eastAsia" w:ascii="宋体" w:hAnsi="宋体" w:eastAsia="宋体" w:cs="宋体"/>
        </w:rPr>
      </w:pPr>
      <w:r>
        <w:rPr>
          <w:rFonts w:hint="eastAsia" w:ascii="宋体" w:hAnsi="宋体" w:eastAsia="宋体" w:cs="宋体"/>
        </w:rPr>
        <w:t xml:space="preserve">（一）发售时间：2022年 </w:t>
      </w:r>
      <w:r>
        <w:rPr>
          <w:rFonts w:hint="eastAsia" w:ascii="宋体" w:hAnsi="宋体" w:eastAsia="宋体" w:cs="宋体"/>
          <w:lang w:val="en-US" w:eastAsia="zh-CN"/>
        </w:rPr>
        <w:t>8</w:t>
      </w:r>
      <w:r>
        <w:rPr>
          <w:rFonts w:hint="eastAsia" w:ascii="宋体" w:hAnsi="宋体" w:eastAsia="宋体" w:cs="宋体"/>
        </w:rPr>
        <w:t xml:space="preserve">月 </w:t>
      </w:r>
      <w:r>
        <w:rPr>
          <w:rFonts w:hint="eastAsia" w:ascii="宋体" w:hAnsi="宋体" w:eastAsia="宋体" w:cs="宋体"/>
          <w:lang w:val="en-US" w:eastAsia="zh-CN"/>
        </w:rPr>
        <w:t>10</w:t>
      </w:r>
      <w:r>
        <w:rPr>
          <w:rFonts w:hint="eastAsia" w:ascii="宋体" w:hAnsi="宋体" w:eastAsia="宋体" w:cs="宋体"/>
        </w:rPr>
        <w:t>日至2022年</w:t>
      </w:r>
      <w:r>
        <w:rPr>
          <w:rFonts w:hint="eastAsia" w:ascii="宋体" w:hAnsi="宋体" w:eastAsia="宋体" w:cs="宋体"/>
          <w:lang w:val="en-US" w:eastAsia="zh-CN"/>
        </w:rPr>
        <w:t>8</w:t>
      </w:r>
      <w:r>
        <w:rPr>
          <w:rFonts w:hint="eastAsia" w:ascii="宋体" w:hAnsi="宋体" w:eastAsia="宋体" w:cs="宋体"/>
        </w:rPr>
        <w:t>月</w:t>
      </w:r>
      <w:r>
        <w:rPr>
          <w:rFonts w:hint="eastAsia" w:ascii="宋体" w:hAnsi="宋体" w:eastAsia="宋体" w:cs="宋体"/>
          <w:lang w:val="en-US" w:eastAsia="zh-CN"/>
        </w:rPr>
        <w:t>17</w:t>
      </w:r>
      <w:r>
        <w:rPr>
          <w:rFonts w:hint="eastAsia" w:ascii="宋体" w:hAnsi="宋体" w:eastAsia="宋体" w:cs="宋体"/>
        </w:rPr>
        <w:t>日(每天10：00—19:00 北京时间，节假日除外)</w:t>
      </w:r>
    </w:p>
    <w:p>
      <w:pPr>
        <w:pStyle w:val="30"/>
        <w:spacing w:before="75" w:beforeAutospacing="0" w:after="75" w:afterAutospacing="0" w:line="360" w:lineRule="auto"/>
        <w:ind w:firstLine="480" w:firstLineChars="200"/>
        <w:rPr>
          <w:rFonts w:hint="eastAsia" w:ascii="宋体" w:hAnsi="宋体" w:eastAsia="宋体" w:cs="宋体"/>
        </w:rPr>
      </w:pPr>
      <w:r>
        <w:rPr>
          <w:rFonts w:hint="eastAsia" w:ascii="宋体" w:hAnsi="宋体" w:eastAsia="宋体" w:cs="宋体"/>
        </w:rPr>
        <w:t>发售地点：乌鲁木齐市水磨沟区龙盛街与龙腾路交叉路口浙商大厦11楼会议室</w:t>
      </w:r>
    </w:p>
    <w:p>
      <w:pPr>
        <w:pStyle w:val="30"/>
        <w:spacing w:before="75" w:beforeAutospacing="0" w:after="75" w:afterAutospacing="0" w:line="360" w:lineRule="auto"/>
        <w:ind w:firstLine="480" w:firstLineChars="200"/>
        <w:rPr>
          <w:rFonts w:hint="eastAsia" w:ascii="宋体" w:hAnsi="宋体" w:eastAsia="宋体" w:cs="宋体"/>
        </w:rPr>
      </w:pPr>
      <w:r>
        <w:rPr>
          <w:rFonts w:hint="eastAsia" w:ascii="宋体" w:hAnsi="宋体" w:eastAsia="宋体" w:cs="宋体"/>
        </w:rPr>
        <w:t xml:space="preserve">（二） 招标文件售价：200元/本，售后不退。 </w:t>
      </w:r>
    </w:p>
    <w:p>
      <w:pPr>
        <w:pStyle w:val="30"/>
        <w:spacing w:before="75" w:beforeAutospacing="0" w:after="75" w:afterAutospacing="0" w:line="360" w:lineRule="auto"/>
        <w:ind w:firstLine="480" w:firstLineChars="200"/>
        <w:rPr>
          <w:rFonts w:hint="eastAsia" w:ascii="宋体" w:hAnsi="宋体" w:eastAsia="宋体" w:cs="宋体"/>
        </w:rPr>
      </w:pPr>
      <w:r>
        <w:rPr>
          <w:rFonts w:hint="eastAsia" w:ascii="宋体" w:hAnsi="宋体" w:eastAsia="宋体" w:cs="宋体"/>
        </w:rPr>
        <w:t>六、开标时间及地点</w:t>
      </w:r>
    </w:p>
    <w:p>
      <w:pPr>
        <w:pStyle w:val="30"/>
        <w:spacing w:before="75" w:beforeAutospacing="0" w:after="75" w:afterAutospacing="0" w:line="360" w:lineRule="auto"/>
        <w:ind w:firstLine="480" w:firstLineChars="200"/>
        <w:rPr>
          <w:rFonts w:hint="eastAsia" w:ascii="宋体" w:hAnsi="宋体" w:eastAsia="宋体" w:cs="宋体"/>
        </w:rPr>
      </w:pPr>
      <w:r>
        <w:rPr>
          <w:rFonts w:hint="eastAsia" w:ascii="宋体" w:hAnsi="宋体" w:eastAsia="宋体" w:cs="宋体"/>
        </w:rPr>
        <w:t>（一）开标时间：2022年</w:t>
      </w:r>
      <w:r>
        <w:rPr>
          <w:rFonts w:hint="eastAsia" w:ascii="宋体" w:hAnsi="宋体" w:eastAsia="宋体" w:cs="宋体"/>
          <w:lang w:val="en-US" w:eastAsia="zh-CN"/>
        </w:rPr>
        <w:t>8</w:t>
      </w:r>
      <w:r>
        <w:rPr>
          <w:rFonts w:hint="eastAsia" w:ascii="宋体" w:hAnsi="宋体" w:eastAsia="宋体" w:cs="宋体"/>
        </w:rPr>
        <w:t xml:space="preserve">月 </w:t>
      </w:r>
      <w:r>
        <w:rPr>
          <w:rFonts w:hint="eastAsia" w:ascii="宋体" w:hAnsi="宋体" w:eastAsia="宋体" w:cs="宋体"/>
          <w:lang w:val="en-US" w:eastAsia="zh-CN"/>
        </w:rPr>
        <w:t>22</w:t>
      </w:r>
      <w:r>
        <w:rPr>
          <w:rFonts w:hint="eastAsia" w:ascii="宋体" w:hAnsi="宋体" w:eastAsia="宋体" w:cs="宋体"/>
        </w:rPr>
        <w:t xml:space="preserve">日 </w:t>
      </w:r>
      <w:r>
        <w:rPr>
          <w:rFonts w:hint="eastAsia" w:ascii="宋体" w:hAnsi="宋体" w:eastAsia="宋体" w:cs="宋体"/>
          <w:lang w:val="en-US" w:eastAsia="zh-CN"/>
        </w:rPr>
        <w:t>18</w:t>
      </w:r>
      <w:r>
        <w:rPr>
          <w:rFonts w:hint="eastAsia" w:ascii="宋体" w:hAnsi="宋体" w:eastAsia="宋体" w:cs="宋体"/>
        </w:rPr>
        <w:t>时 00 分</w:t>
      </w:r>
    </w:p>
    <w:p>
      <w:pPr>
        <w:pStyle w:val="30"/>
        <w:spacing w:before="75" w:beforeAutospacing="0" w:after="75" w:afterAutospacing="0" w:line="360" w:lineRule="auto"/>
        <w:ind w:firstLine="480" w:firstLineChars="200"/>
        <w:rPr>
          <w:rFonts w:hint="eastAsia" w:ascii="宋体" w:hAnsi="宋体" w:eastAsia="宋体" w:cs="宋体"/>
        </w:rPr>
      </w:pPr>
      <w:r>
        <w:rPr>
          <w:rFonts w:hint="eastAsia" w:ascii="宋体" w:hAnsi="宋体" w:eastAsia="宋体" w:cs="宋体"/>
        </w:rPr>
        <w:t>（二）开标地点：乌鲁木齐市水磨沟区龙盛街与龙腾路交叉路口浙商大厦11楼会议室</w:t>
      </w:r>
    </w:p>
    <w:p>
      <w:pPr>
        <w:pStyle w:val="30"/>
        <w:spacing w:before="75" w:beforeAutospacing="0" w:after="75" w:afterAutospacing="0" w:line="360" w:lineRule="auto"/>
        <w:ind w:firstLine="480" w:firstLineChars="200"/>
        <w:rPr>
          <w:rFonts w:hint="eastAsia" w:ascii="宋体" w:hAnsi="宋体" w:eastAsia="宋体" w:cs="宋体"/>
        </w:rPr>
      </w:pPr>
      <w:r>
        <w:rPr>
          <w:rFonts w:hint="eastAsia" w:ascii="宋体" w:hAnsi="宋体" w:eastAsia="宋体" w:cs="宋体"/>
        </w:rPr>
        <w:t>七、采购机构联系方式</w:t>
      </w:r>
    </w:p>
    <w:p>
      <w:pPr>
        <w:pStyle w:val="30"/>
        <w:spacing w:before="75" w:beforeAutospacing="0" w:after="75" w:afterAutospacing="0" w:line="360" w:lineRule="auto"/>
        <w:ind w:firstLine="480" w:firstLineChars="200"/>
        <w:rPr>
          <w:rFonts w:hint="eastAsia" w:ascii="宋体" w:hAnsi="宋体" w:eastAsia="宋体" w:cs="宋体"/>
        </w:rPr>
      </w:pPr>
      <w:r>
        <w:rPr>
          <w:rFonts w:hint="eastAsia" w:ascii="宋体" w:hAnsi="宋体" w:eastAsia="宋体" w:cs="宋体"/>
        </w:rPr>
        <w:t>招标代理机构: 新疆天之源项目管理</w:t>
      </w:r>
      <w:r>
        <w:rPr>
          <w:rFonts w:hint="eastAsia" w:ascii="宋体" w:hAnsi="宋体" w:eastAsia="宋体" w:cs="宋体"/>
          <w:lang w:eastAsia="zh-CN"/>
        </w:rPr>
        <w:t>集团</w:t>
      </w:r>
      <w:r>
        <w:rPr>
          <w:rFonts w:hint="eastAsia" w:ascii="宋体" w:hAnsi="宋体" w:eastAsia="宋体" w:cs="宋体"/>
        </w:rPr>
        <w:t>有限公司</w:t>
      </w:r>
    </w:p>
    <w:p>
      <w:pPr>
        <w:pStyle w:val="30"/>
        <w:spacing w:before="75" w:beforeAutospacing="0" w:after="75" w:afterAutospacing="0" w:line="360" w:lineRule="auto"/>
        <w:ind w:firstLine="480" w:firstLineChars="200"/>
        <w:rPr>
          <w:rFonts w:hint="eastAsia" w:ascii="宋体" w:hAnsi="宋体" w:eastAsia="宋体" w:cs="宋体"/>
        </w:rPr>
      </w:pPr>
      <w:r>
        <w:rPr>
          <w:rFonts w:hint="eastAsia" w:ascii="宋体" w:hAnsi="宋体" w:eastAsia="宋体" w:cs="宋体"/>
        </w:rPr>
        <w:t>联系人及电话：杨婷婷   13999938263</w:t>
      </w:r>
    </w:p>
    <w:p>
      <w:pPr>
        <w:pStyle w:val="30"/>
        <w:spacing w:before="75" w:beforeAutospacing="0" w:after="75" w:afterAutospacing="0" w:line="360" w:lineRule="auto"/>
        <w:ind w:firstLine="480" w:firstLineChars="200"/>
        <w:rPr>
          <w:rFonts w:hint="eastAsia" w:ascii="宋体" w:hAnsi="宋体" w:eastAsia="宋体" w:cs="宋体"/>
        </w:rPr>
      </w:pPr>
      <w:r>
        <w:rPr>
          <w:rFonts w:hint="eastAsia" w:ascii="宋体" w:hAnsi="宋体" w:eastAsia="宋体" w:cs="宋体"/>
        </w:rPr>
        <w:t>八、招标人：新疆维吾尔自治区药品监督管理局</w:t>
      </w:r>
    </w:p>
    <w:p>
      <w:pPr>
        <w:spacing w:line="360" w:lineRule="auto"/>
        <w:jc w:val="center"/>
        <w:rPr>
          <w:b/>
          <w:sz w:val="32"/>
          <w:szCs w:val="32"/>
        </w:rPr>
      </w:pPr>
    </w:p>
    <w:p/>
    <w:p/>
    <w:p>
      <w:pPr>
        <w:spacing w:line="360" w:lineRule="auto"/>
        <w:jc w:val="center"/>
        <w:rPr>
          <w:b/>
          <w:sz w:val="32"/>
          <w:szCs w:val="32"/>
        </w:rPr>
      </w:pPr>
      <w:r>
        <w:rPr>
          <w:b/>
          <w:sz w:val="32"/>
          <w:szCs w:val="32"/>
        </w:rPr>
        <w:t>第二</w:t>
      </w:r>
      <w:r>
        <w:rPr>
          <w:rFonts w:hint="eastAsia"/>
          <w:b/>
          <w:sz w:val="32"/>
          <w:szCs w:val="32"/>
        </w:rPr>
        <w:t xml:space="preserve">章 </w:t>
      </w:r>
      <w:bookmarkEnd w:id="4"/>
      <w:bookmarkEnd w:id="5"/>
      <w:bookmarkEnd w:id="6"/>
      <w:bookmarkEnd w:id="7"/>
      <w:bookmarkEnd w:id="8"/>
      <w:bookmarkStart w:id="10" w:name="_Toc349637919"/>
      <w:bookmarkStart w:id="11" w:name="_Toc267301281"/>
      <w:bookmarkStart w:id="12" w:name="_Toc462223631"/>
      <w:bookmarkStart w:id="13" w:name="_Toc349573120"/>
      <w:bookmarkStart w:id="14" w:name="_Toc298240404"/>
      <w:r>
        <w:rPr>
          <w:b/>
          <w:sz w:val="32"/>
          <w:szCs w:val="32"/>
        </w:rPr>
        <w:t>供应商须知</w:t>
      </w:r>
      <w:r>
        <w:rPr>
          <w:rFonts w:hint="eastAsia"/>
          <w:b/>
          <w:sz w:val="32"/>
          <w:szCs w:val="32"/>
        </w:rPr>
        <w:t>前</w:t>
      </w:r>
      <w:r>
        <w:rPr>
          <w:b/>
          <w:sz w:val="32"/>
          <w:szCs w:val="32"/>
        </w:rPr>
        <w:t>附表</w:t>
      </w:r>
      <w:bookmarkEnd w:id="10"/>
      <w:bookmarkEnd w:id="11"/>
      <w:bookmarkEnd w:id="12"/>
      <w:bookmarkEnd w:id="13"/>
      <w:bookmarkEnd w:id="14"/>
    </w:p>
    <w:tbl>
      <w:tblPr>
        <w:tblStyle w:val="33"/>
        <w:tblW w:w="9776" w:type="dxa"/>
        <w:tblInd w:w="-102" w:type="dxa"/>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417"/>
        <w:gridCol w:w="7298"/>
      </w:tblGrid>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061" w:type="dxa"/>
            <w:vAlign w:val="center"/>
          </w:tcPr>
          <w:p>
            <w:pPr>
              <w:spacing w:line="360" w:lineRule="auto"/>
              <w:jc w:val="center"/>
              <w:rPr>
                <w:rFonts w:ascii="宋体" w:hAnsi="宋体"/>
                <w:b/>
                <w:sz w:val="24"/>
                <w:szCs w:val="24"/>
              </w:rPr>
            </w:pPr>
            <w:r>
              <w:rPr>
                <w:rFonts w:hint="eastAsia" w:ascii="宋体" w:hAnsi="宋体"/>
                <w:b/>
                <w:sz w:val="24"/>
                <w:szCs w:val="24"/>
              </w:rPr>
              <w:t>条款号</w:t>
            </w:r>
          </w:p>
        </w:tc>
        <w:tc>
          <w:tcPr>
            <w:tcW w:w="1417" w:type="dxa"/>
            <w:vAlign w:val="center"/>
          </w:tcPr>
          <w:p>
            <w:pPr>
              <w:spacing w:line="360" w:lineRule="auto"/>
              <w:jc w:val="center"/>
              <w:rPr>
                <w:rFonts w:ascii="宋体" w:hAnsi="宋体"/>
                <w:b/>
                <w:sz w:val="24"/>
                <w:szCs w:val="24"/>
              </w:rPr>
            </w:pPr>
            <w:r>
              <w:rPr>
                <w:rFonts w:hint="eastAsia" w:ascii="宋体" w:hAnsi="宋体"/>
                <w:b/>
                <w:sz w:val="24"/>
                <w:szCs w:val="24"/>
              </w:rPr>
              <w:t>条款名称</w:t>
            </w:r>
          </w:p>
        </w:tc>
        <w:tc>
          <w:tcPr>
            <w:tcW w:w="7298" w:type="dxa"/>
            <w:vAlign w:val="center"/>
          </w:tcPr>
          <w:p>
            <w:pPr>
              <w:tabs>
                <w:tab w:val="left" w:pos="525"/>
              </w:tabs>
              <w:spacing w:line="360" w:lineRule="auto"/>
              <w:jc w:val="center"/>
              <w:rPr>
                <w:rFonts w:ascii="宋体" w:hAnsi="宋体"/>
                <w:sz w:val="24"/>
                <w:szCs w:val="24"/>
              </w:rPr>
            </w:pPr>
            <w:r>
              <w:rPr>
                <w:rFonts w:hint="eastAsia" w:ascii="宋体" w:hAnsi="宋体"/>
                <w:b/>
                <w:sz w:val="24"/>
                <w:szCs w:val="24"/>
              </w:rPr>
              <w:t>内容规定</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2139" w:hRule="exact"/>
        </w:trPr>
        <w:tc>
          <w:tcPr>
            <w:tcW w:w="1061" w:type="dxa"/>
            <w:vAlign w:val="center"/>
          </w:tcPr>
          <w:p>
            <w:pPr>
              <w:spacing w:line="360" w:lineRule="auto"/>
              <w:jc w:val="center"/>
              <w:rPr>
                <w:rFonts w:ascii="宋体" w:hAnsi="宋体"/>
                <w:sz w:val="24"/>
                <w:szCs w:val="24"/>
              </w:rPr>
            </w:pPr>
            <w:r>
              <w:rPr>
                <w:rFonts w:hint="eastAsia" w:ascii="宋体" w:hAnsi="宋体"/>
                <w:sz w:val="24"/>
                <w:szCs w:val="24"/>
              </w:rPr>
              <w:t>2.1</w:t>
            </w:r>
          </w:p>
        </w:tc>
        <w:tc>
          <w:tcPr>
            <w:tcW w:w="1417" w:type="dxa"/>
            <w:vAlign w:val="center"/>
          </w:tcPr>
          <w:p>
            <w:pPr>
              <w:spacing w:before="120" w:beforeLines="50" w:line="360" w:lineRule="auto"/>
              <w:rPr>
                <w:rFonts w:ascii="宋体" w:hAnsi="宋体"/>
                <w:sz w:val="24"/>
                <w:szCs w:val="24"/>
              </w:rPr>
            </w:pPr>
            <w:r>
              <w:rPr>
                <w:rFonts w:ascii="宋体" w:hAnsi="宋体"/>
                <w:sz w:val="24"/>
                <w:szCs w:val="24"/>
              </w:rPr>
              <w:t>综合说明</w:t>
            </w:r>
          </w:p>
        </w:tc>
        <w:tc>
          <w:tcPr>
            <w:tcW w:w="7298" w:type="dxa"/>
            <w:vAlign w:val="center"/>
          </w:tcPr>
          <w:p>
            <w:pPr>
              <w:tabs>
                <w:tab w:val="left" w:pos="525"/>
              </w:tabs>
              <w:spacing w:line="360" w:lineRule="auto"/>
              <w:rPr>
                <w:rFonts w:hint="eastAsia" w:ascii="宋体" w:hAnsi="宋体" w:eastAsia="宋体"/>
                <w:sz w:val="24"/>
                <w:szCs w:val="24"/>
                <w:lang w:eastAsia="zh-CN"/>
              </w:rPr>
            </w:pPr>
            <w:r>
              <w:rPr>
                <w:rFonts w:hint="eastAsia" w:ascii="宋体" w:hAnsi="宋体"/>
                <w:sz w:val="24"/>
                <w:szCs w:val="24"/>
              </w:rPr>
              <w:t>1、项目名称：自治区药监局“药品安全法治教育”媒体宣传项目</w:t>
            </w:r>
          </w:p>
          <w:p>
            <w:pPr>
              <w:tabs>
                <w:tab w:val="left" w:pos="525"/>
              </w:tabs>
              <w:spacing w:line="360" w:lineRule="auto"/>
              <w:rPr>
                <w:rFonts w:ascii="宋体" w:hAnsi="宋体"/>
                <w:sz w:val="24"/>
                <w:szCs w:val="24"/>
              </w:rPr>
            </w:pPr>
            <w:r>
              <w:rPr>
                <w:rFonts w:hint="eastAsia" w:ascii="宋体" w:hAnsi="宋体"/>
                <w:sz w:val="24"/>
                <w:szCs w:val="24"/>
              </w:rPr>
              <w:t>2、项目编号:</w:t>
            </w:r>
            <w:r>
              <w:rPr>
                <w:rFonts w:hint="eastAsia" w:ascii="宋体" w:hAnsi="宋体"/>
                <w:sz w:val="24"/>
                <w:szCs w:val="24"/>
                <w:lang w:val="en-US" w:eastAsia="zh-CN"/>
              </w:rPr>
              <w:t xml:space="preserve"> </w:t>
            </w:r>
            <w:r>
              <w:rPr>
                <w:rFonts w:hint="eastAsia" w:ascii="宋体" w:hAnsi="宋体"/>
                <w:sz w:val="24"/>
                <w:szCs w:val="24"/>
              </w:rPr>
              <w:t>XJTZY-2022-2-C0070</w:t>
            </w:r>
          </w:p>
          <w:p>
            <w:pPr>
              <w:tabs>
                <w:tab w:val="left" w:pos="525"/>
              </w:tabs>
              <w:spacing w:line="360" w:lineRule="auto"/>
              <w:rPr>
                <w:rFonts w:hint="eastAsia" w:ascii="宋体" w:hAnsi="宋体" w:eastAsia="宋体"/>
                <w:sz w:val="24"/>
                <w:szCs w:val="24"/>
                <w:lang w:val="en-US" w:eastAsia="zh-CN"/>
              </w:rPr>
            </w:pPr>
            <w:r>
              <w:rPr>
                <w:rFonts w:hint="eastAsia" w:ascii="宋体" w:hAnsi="宋体"/>
                <w:sz w:val="24"/>
                <w:szCs w:val="24"/>
              </w:rPr>
              <w:t>3、服务地点：</w:t>
            </w:r>
            <w:r>
              <w:rPr>
                <w:rFonts w:hint="eastAsia" w:ascii="宋体" w:hAnsi="宋体"/>
                <w:sz w:val="24"/>
                <w:szCs w:val="24"/>
                <w:lang w:val="en-US" w:eastAsia="zh-CN"/>
              </w:rPr>
              <w:t>乌鲁木齐市</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1061" w:type="dxa"/>
            <w:vAlign w:val="center"/>
          </w:tcPr>
          <w:p>
            <w:pPr>
              <w:spacing w:line="360" w:lineRule="auto"/>
              <w:jc w:val="center"/>
              <w:rPr>
                <w:rFonts w:ascii="宋体" w:hAnsi="宋体"/>
                <w:sz w:val="24"/>
                <w:szCs w:val="24"/>
              </w:rPr>
            </w:pPr>
            <w:r>
              <w:rPr>
                <w:rFonts w:hint="eastAsia" w:ascii="宋体" w:hAnsi="宋体"/>
                <w:sz w:val="24"/>
                <w:szCs w:val="24"/>
              </w:rPr>
              <w:t>2.2</w:t>
            </w:r>
          </w:p>
        </w:tc>
        <w:tc>
          <w:tcPr>
            <w:tcW w:w="1417" w:type="dxa"/>
            <w:vAlign w:val="center"/>
          </w:tcPr>
          <w:p>
            <w:pPr>
              <w:spacing w:before="120" w:beforeLines="50" w:line="360" w:lineRule="auto"/>
              <w:jc w:val="center"/>
              <w:rPr>
                <w:rFonts w:ascii="宋体" w:hAnsi="宋体"/>
                <w:sz w:val="24"/>
                <w:szCs w:val="24"/>
              </w:rPr>
            </w:pPr>
            <w:r>
              <w:rPr>
                <w:rFonts w:hint="eastAsia" w:ascii="宋体" w:hAnsi="宋体"/>
                <w:sz w:val="24"/>
                <w:szCs w:val="24"/>
              </w:rPr>
              <w:t>采购人</w:t>
            </w:r>
          </w:p>
        </w:tc>
        <w:tc>
          <w:tcPr>
            <w:tcW w:w="7298" w:type="dxa"/>
          </w:tcPr>
          <w:p>
            <w:pPr>
              <w:tabs>
                <w:tab w:val="left" w:pos="525"/>
              </w:tabs>
              <w:spacing w:line="360" w:lineRule="auto"/>
              <w:jc w:val="left"/>
              <w:rPr>
                <w:rFonts w:cs="宋体" w:asciiTheme="minorEastAsia" w:hAnsiTheme="minorEastAsia" w:eastAsiaTheme="minorEastAsia"/>
                <w:color w:val="000000"/>
                <w:kern w:val="0"/>
                <w:sz w:val="24"/>
                <w:szCs w:val="24"/>
              </w:rPr>
            </w:pPr>
            <w:r>
              <w:rPr>
                <w:rFonts w:hint="eastAsia" w:ascii="宋体" w:hAnsi="宋体"/>
                <w:sz w:val="24"/>
                <w:szCs w:val="24"/>
              </w:rPr>
              <w:t>1、单位名称：新疆维吾尔自治区药品监督管理局</w:t>
            </w:r>
          </w:p>
          <w:p>
            <w:pPr>
              <w:tabs>
                <w:tab w:val="left" w:pos="525"/>
              </w:tabs>
              <w:spacing w:line="360" w:lineRule="auto"/>
              <w:jc w:val="left"/>
              <w:rPr>
                <w:rFonts w:ascii="宋体" w:hAnsi="宋体"/>
                <w:sz w:val="24"/>
                <w:szCs w:val="24"/>
              </w:rPr>
            </w:pPr>
            <w:r>
              <w:rPr>
                <w:rFonts w:hint="eastAsia" w:ascii="宋体" w:hAnsi="宋体"/>
                <w:sz w:val="24"/>
                <w:szCs w:val="24"/>
              </w:rPr>
              <w:t>2、地    址：乌鲁木齐市西八家户路518号</w:t>
            </w:r>
          </w:p>
          <w:p>
            <w:pPr>
              <w:tabs>
                <w:tab w:val="left" w:pos="525"/>
              </w:tabs>
              <w:spacing w:line="360" w:lineRule="auto"/>
              <w:jc w:val="left"/>
              <w:rPr>
                <w:rFonts w:hint="eastAsia" w:ascii="宋体" w:hAnsi="宋体" w:eastAsia="宋体"/>
                <w:sz w:val="24"/>
                <w:szCs w:val="24"/>
                <w:lang w:val="en-US" w:eastAsia="zh-CN"/>
              </w:rPr>
            </w:pPr>
            <w:r>
              <w:rPr>
                <w:rFonts w:hint="eastAsia" w:ascii="宋体" w:hAnsi="宋体"/>
                <w:sz w:val="24"/>
                <w:szCs w:val="24"/>
              </w:rPr>
              <w:t>3、联 系 人：</w:t>
            </w:r>
            <w:r>
              <w:rPr>
                <w:rFonts w:hint="eastAsia" w:ascii="宋体" w:hAnsi="宋体"/>
                <w:sz w:val="24"/>
                <w:szCs w:val="24"/>
                <w:lang w:val="en-US" w:eastAsia="zh-CN"/>
              </w:rPr>
              <w:t>/</w:t>
            </w:r>
          </w:p>
          <w:p>
            <w:pPr>
              <w:tabs>
                <w:tab w:val="left" w:pos="525"/>
              </w:tabs>
              <w:spacing w:line="360" w:lineRule="auto"/>
              <w:jc w:val="left"/>
              <w:rPr>
                <w:rFonts w:hint="eastAsia" w:ascii="宋体" w:hAnsi="宋体" w:eastAsia="宋体"/>
                <w:sz w:val="24"/>
                <w:szCs w:val="24"/>
                <w:lang w:val="en-US" w:eastAsia="zh-CN"/>
              </w:rPr>
            </w:pPr>
            <w:r>
              <w:rPr>
                <w:rFonts w:hint="eastAsia" w:ascii="宋体" w:hAnsi="宋体"/>
                <w:sz w:val="24"/>
                <w:szCs w:val="24"/>
              </w:rPr>
              <w:t>4、联系电话：</w:t>
            </w:r>
            <w:r>
              <w:rPr>
                <w:rFonts w:hint="eastAsia" w:ascii="宋体" w:hAnsi="宋体"/>
                <w:sz w:val="24"/>
                <w:szCs w:val="24"/>
                <w:lang w:val="en-US" w:eastAsia="zh-CN"/>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2320" w:hRule="exact"/>
        </w:trPr>
        <w:tc>
          <w:tcPr>
            <w:tcW w:w="1061" w:type="dxa"/>
            <w:vAlign w:val="center"/>
          </w:tcPr>
          <w:p>
            <w:pPr>
              <w:spacing w:line="360" w:lineRule="auto"/>
              <w:ind w:left="281"/>
              <w:rPr>
                <w:rFonts w:ascii="宋体" w:hAnsi="宋体"/>
                <w:sz w:val="24"/>
                <w:szCs w:val="24"/>
              </w:rPr>
            </w:pPr>
            <w:r>
              <w:rPr>
                <w:rFonts w:hint="eastAsia" w:ascii="宋体" w:hAnsi="宋体"/>
                <w:sz w:val="24"/>
                <w:szCs w:val="24"/>
              </w:rPr>
              <w:t>2.3</w:t>
            </w:r>
          </w:p>
        </w:tc>
        <w:tc>
          <w:tcPr>
            <w:tcW w:w="1417" w:type="dxa"/>
            <w:vAlign w:val="center"/>
          </w:tcPr>
          <w:p>
            <w:pPr>
              <w:spacing w:line="360" w:lineRule="auto"/>
              <w:ind w:firstLine="120" w:firstLineChars="50"/>
              <w:rPr>
                <w:rFonts w:ascii="宋体" w:hAnsi="宋体"/>
                <w:sz w:val="24"/>
                <w:szCs w:val="24"/>
              </w:rPr>
            </w:pPr>
            <w:r>
              <w:rPr>
                <w:rFonts w:hint="eastAsia" w:ascii="宋体" w:hAnsi="宋体"/>
                <w:sz w:val="24"/>
                <w:szCs w:val="24"/>
              </w:rPr>
              <w:t>代理机构</w:t>
            </w:r>
          </w:p>
        </w:tc>
        <w:tc>
          <w:tcPr>
            <w:tcW w:w="7298" w:type="dxa"/>
          </w:tcPr>
          <w:p>
            <w:pPr>
              <w:spacing w:line="360" w:lineRule="auto"/>
              <w:textAlignment w:val="baseline"/>
              <w:rPr>
                <w:rFonts w:ascii="宋体" w:hAnsi="宋体"/>
                <w:sz w:val="24"/>
                <w:szCs w:val="24"/>
              </w:rPr>
            </w:pPr>
            <w:r>
              <w:rPr>
                <w:rFonts w:hint="eastAsia" w:ascii="宋体" w:hAnsi="宋体"/>
                <w:sz w:val="24"/>
                <w:szCs w:val="24"/>
              </w:rPr>
              <w:t>1、单位</w:t>
            </w:r>
            <w:r>
              <w:rPr>
                <w:rFonts w:ascii="宋体" w:hAnsi="宋体"/>
                <w:sz w:val="24"/>
                <w:szCs w:val="24"/>
              </w:rPr>
              <w:t>名称：</w:t>
            </w:r>
            <w:r>
              <w:rPr>
                <w:rFonts w:hint="eastAsia" w:ascii="宋体" w:hAnsi="宋体"/>
                <w:sz w:val="24"/>
                <w:szCs w:val="24"/>
              </w:rPr>
              <w:t>新疆天之源项目管理集团有限公司</w:t>
            </w:r>
          </w:p>
          <w:p>
            <w:pPr>
              <w:spacing w:line="360" w:lineRule="auto"/>
              <w:jc w:val="left"/>
              <w:textAlignment w:val="baseline"/>
              <w:rPr>
                <w:rFonts w:ascii="宋体" w:hAnsi="宋体"/>
                <w:sz w:val="24"/>
                <w:szCs w:val="24"/>
              </w:rPr>
            </w:pPr>
            <w:r>
              <w:rPr>
                <w:rFonts w:hint="eastAsia" w:ascii="宋体" w:hAnsi="宋体"/>
                <w:sz w:val="24"/>
                <w:szCs w:val="24"/>
              </w:rPr>
              <w:t>2、</w:t>
            </w:r>
            <w:r>
              <w:rPr>
                <w:rFonts w:ascii="宋体" w:hAnsi="宋体"/>
                <w:sz w:val="24"/>
                <w:szCs w:val="24"/>
              </w:rPr>
              <w:t>地址：</w:t>
            </w:r>
            <w:r>
              <w:rPr>
                <w:rFonts w:hint="eastAsia" w:ascii="宋体" w:hAnsi="宋体"/>
                <w:sz w:val="24"/>
                <w:szCs w:val="24"/>
              </w:rPr>
              <w:t>乌鲁木齐市水磨沟区龙盛街与龙腾路交叉路口浙商大厦11楼</w:t>
            </w:r>
          </w:p>
          <w:p>
            <w:pPr>
              <w:tabs>
                <w:tab w:val="left" w:pos="525"/>
              </w:tabs>
              <w:spacing w:line="360" w:lineRule="auto"/>
              <w:rPr>
                <w:rFonts w:hint="default" w:ascii="宋体" w:hAnsi="宋体" w:eastAsia="宋体"/>
                <w:sz w:val="24"/>
                <w:szCs w:val="24"/>
                <w:lang w:val="en-US" w:eastAsia="zh-CN"/>
              </w:rPr>
            </w:pPr>
            <w:r>
              <w:rPr>
                <w:rFonts w:hint="eastAsia" w:ascii="宋体" w:hAnsi="宋体"/>
                <w:sz w:val="24"/>
                <w:szCs w:val="24"/>
              </w:rPr>
              <w:t>3、联 系 人</w:t>
            </w:r>
            <w:r>
              <w:rPr>
                <w:rFonts w:ascii="宋体" w:hAnsi="宋体"/>
                <w:sz w:val="24"/>
                <w:szCs w:val="24"/>
              </w:rPr>
              <w:t>：</w:t>
            </w:r>
            <w:r>
              <w:rPr>
                <w:rFonts w:hint="eastAsia" w:ascii="宋体" w:hAnsi="宋体"/>
                <w:sz w:val="24"/>
                <w:szCs w:val="24"/>
              </w:rPr>
              <w:t>杨婷婷</w:t>
            </w:r>
          </w:p>
          <w:p>
            <w:pPr>
              <w:spacing w:line="360" w:lineRule="auto"/>
              <w:textAlignment w:val="baseline"/>
              <w:rPr>
                <w:rFonts w:ascii="宋体" w:hAnsi="宋体"/>
                <w:sz w:val="24"/>
                <w:szCs w:val="24"/>
              </w:rPr>
            </w:pPr>
            <w:r>
              <w:rPr>
                <w:rFonts w:hint="eastAsia" w:ascii="宋体" w:hAnsi="宋体"/>
                <w:sz w:val="24"/>
                <w:szCs w:val="24"/>
              </w:rPr>
              <w:t xml:space="preserve">4、联系电话：13999938263 </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1061" w:type="dxa"/>
            <w:vAlign w:val="center"/>
          </w:tcPr>
          <w:p>
            <w:pPr>
              <w:spacing w:line="360" w:lineRule="auto"/>
              <w:ind w:left="281"/>
              <w:rPr>
                <w:rFonts w:ascii="宋体" w:hAnsi="宋体"/>
                <w:sz w:val="24"/>
                <w:szCs w:val="24"/>
              </w:rPr>
            </w:pPr>
            <w:r>
              <w:rPr>
                <w:rFonts w:hint="eastAsia" w:ascii="宋体" w:hAnsi="宋体"/>
                <w:sz w:val="24"/>
                <w:szCs w:val="24"/>
              </w:rPr>
              <w:t>2.4</w:t>
            </w:r>
          </w:p>
        </w:tc>
        <w:tc>
          <w:tcPr>
            <w:tcW w:w="1417" w:type="dxa"/>
            <w:vAlign w:val="center"/>
          </w:tcPr>
          <w:p>
            <w:pPr>
              <w:spacing w:line="360" w:lineRule="auto"/>
              <w:rPr>
                <w:rFonts w:ascii="宋体" w:hAnsi="宋体"/>
                <w:sz w:val="24"/>
                <w:szCs w:val="24"/>
              </w:rPr>
            </w:pPr>
            <w:r>
              <w:rPr>
                <w:rFonts w:hint="eastAsia" w:ascii="宋体" w:hAnsi="宋体"/>
                <w:sz w:val="24"/>
                <w:szCs w:val="24"/>
              </w:rPr>
              <w:t>付款方式</w:t>
            </w:r>
          </w:p>
        </w:tc>
        <w:tc>
          <w:tcPr>
            <w:tcW w:w="7298" w:type="dxa"/>
            <w:vAlign w:val="center"/>
          </w:tcPr>
          <w:p>
            <w:pPr>
              <w:pStyle w:val="2"/>
              <w:spacing w:line="360" w:lineRule="auto"/>
              <w:jc w:val="left"/>
              <w:rPr>
                <w:rFonts w:ascii="宋体" w:hAnsi="宋体"/>
                <w:szCs w:val="24"/>
              </w:rPr>
            </w:pPr>
            <w:r>
              <w:rPr>
                <w:rFonts w:hint="eastAsia" w:asciiTheme="minorEastAsia" w:hAnsiTheme="minorEastAsia"/>
              </w:rPr>
              <w:t>按照合同约定方式付款。</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061" w:type="dxa"/>
            <w:vAlign w:val="center"/>
          </w:tcPr>
          <w:p>
            <w:pPr>
              <w:spacing w:line="360" w:lineRule="auto"/>
              <w:ind w:left="281"/>
              <w:rPr>
                <w:rFonts w:ascii="宋体" w:hAnsi="宋体"/>
                <w:sz w:val="24"/>
                <w:szCs w:val="24"/>
              </w:rPr>
            </w:pPr>
            <w:r>
              <w:rPr>
                <w:rFonts w:hint="eastAsia" w:ascii="宋体" w:hAnsi="宋体"/>
                <w:sz w:val="24"/>
                <w:szCs w:val="24"/>
              </w:rPr>
              <w:t>2.5</w:t>
            </w:r>
          </w:p>
        </w:tc>
        <w:tc>
          <w:tcPr>
            <w:tcW w:w="1417" w:type="dxa"/>
            <w:vAlign w:val="center"/>
          </w:tcPr>
          <w:p>
            <w:pPr>
              <w:spacing w:line="360" w:lineRule="auto"/>
              <w:jc w:val="center"/>
              <w:rPr>
                <w:rFonts w:ascii="宋体" w:hAnsi="宋体"/>
                <w:sz w:val="24"/>
                <w:szCs w:val="24"/>
              </w:rPr>
            </w:pPr>
            <w:r>
              <w:rPr>
                <w:rFonts w:hint="eastAsia" w:ascii="宋体" w:hAnsi="宋体"/>
                <w:sz w:val="24"/>
                <w:szCs w:val="24"/>
              </w:rPr>
              <w:t>服务期限</w:t>
            </w:r>
          </w:p>
        </w:tc>
        <w:tc>
          <w:tcPr>
            <w:tcW w:w="7298" w:type="dxa"/>
            <w:vAlign w:val="center"/>
          </w:tcPr>
          <w:p>
            <w:pPr>
              <w:pStyle w:val="2"/>
              <w:spacing w:line="360" w:lineRule="auto"/>
              <w:rPr>
                <w:rFonts w:ascii="宋体" w:hAnsi="宋体" w:eastAsia="宋体"/>
                <w:szCs w:val="24"/>
              </w:rPr>
            </w:pPr>
            <w:r>
              <w:rPr>
                <w:rFonts w:hint="eastAsia" w:asciiTheme="minorEastAsia" w:hAnsiTheme="minorEastAsia"/>
                <w:lang w:val="en-US" w:eastAsia="zh-CN"/>
              </w:rPr>
              <w:t>自</w:t>
            </w:r>
            <w:r>
              <w:rPr>
                <w:rFonts w:hint="eastAsia" w:asciiTheme="minorEastAsia" w:hAnsiTheme="minorEastAsia"/>
              </w:rPr>
              <w:t>合同签订之日起</w:t>
            </w:r>
            <w:r>
              <w:rPr>
                <w:rFonts w:hint="eastAsia" w:asciiTheme="minorEastAsia" w:hAnsiTheme="minorEastAsia"/>
                <w:lang w:val="en-US" w:eastAsia="zh-CN"/>
              </w:rPr>
              <w:t>1年</w:t>
            </w:r>
            <w:r>
              <w:rPr>
                <w:rFonts w:hint="eastAsia" w:asciiTheme="minorEastAsia" w:hAnsiTheme="minorEastAsia"/>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061" w:type="dxa"/>
            <w:vAlign w:val="center"/>
          </w:tcPr>
          <w:p>
            <w:pPr>
              <w:spacing w:line="360" w:lineRule="auto"/>
              <w:ind w:left="281"/>
              <w:rPr>
                <w:rFonts w:ascii="宋体" w:hAnsi="宋体"/>
                <w:sz w:val="24"/>
                <w:szCs w:val="24"/>
              </w:rPr>
            </w:pPr>
            <w:r>
              <w:rPr>
                <w:rFonts w:hint="eastAsia" w:ascii="宋体" w:hAnsi="宋体"/>
                <w:sz w:val="24"/>
                <w:szCs w:val="24"/>
              </w:rPr>
              <w:t>2.6</w:t>
            </w:r>
          </w:p>
        </w:tc>
        <w:tc>
          <w:tcPr>
            <w:tcW w:w="1417" w:type="dxa"/>
            <w:vAlign w:val="center"/>
          </w:tcPr>
          <w:p>
            <w:pPr>
              <w:spacing w:line="360" w:lineRule="auto"/>
              <w:rPr>
                <w:rFonts w:ascii="宋体" w:hAnsi="宋体" w:cs="宋体"/>
                <w:sz w:val="24"/>
                <w:szCs w:val="24"/>
              </w:rPr>
            </w:pPr>
            <w:r>
              <w:rPr>
                <w:rFonts w:hint="eastAsia" w:ascii="宋体" w:hAnsi="宋体" w:cs="宋体"/>
                <w:sz w:val="24"/>
                <w:szCs w:val="24"/>
              </w:rPr>
              <w:t xml:space="preserve"> 踏勘现场</w:t>
            </w:r>
          </w:p>
        </w:tc>
        <w:tc>
          <w:tcPr>
            <w:tcW w:w="7298" w:type="dxa"/>
            <w:vAlign w:val="center"/>
          </w:tcPr>
          <w:p>
            <w:pPr>
              <w:pStyle w:val="2"/>
              <w:spacing w:line="360" w:lineRule="auto"/>
              <w:ind w:firstLine="120" w:firstLineChars="50"/>
              <w:rPr>
                <w:rFonts w:ascii="宋体" w:hAnsi="宋体" w:eastAsia="宋体"/>
                <w:szCs w:val="24"/>
              </w:rPr>
            </w:pPr>
            <w:r>
              <w:rPr>
                <w:rFonts w:hint="eastAsia" w:ascii="宋体" w:hAnsi="宋体" w:eastAsia="宋体" w:cs="宋体"/>
                <w:szCs w:val="24"/>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061" w:type="dxa"/>
            <w:vAlign w:val="center"/>
          </w:tcPr>
          <w:p>
            <w:pPr>
              <w:spacing w:line="360" w:lineRule="auto"/>
              <w:jc w:val="center"/>
              <w:rPr>
                <w:rFonts w:ascii="宋体" w:hAnsi="宋体"/>
                <w:sz w:val="24"/>
                <w:szCs w:val="24"/>
              </w:rPr>
            </w:pPr>
            <w:r>
              <w:rPr>
                <w:rFonts w:hint="eastAsia" w:ascii="宋体" w:hAnsi="宋体"/>
                <w:sz w:val="24"/>
                <w:szCs w:val="24"/>
              </w:rPr>
              <w:t>2.7</w:t>
            </w:r>
          </w:p>
        </w:tc>
        <w:tc>
          <w:tcPr>
            <w:tcW w:w="1417" w:type="dxa"/>
            <w:vAlign w:val="center"/>
          </w:tcPr>
          <w:p>
            <w:pPr>
              <w:spacing w:line="360" w:lineRule="auto"/>
              <w:jc w:val="center"/>
              <w:rPr>
                <w:rFonts w:ascii="宋体" w:hAnsi="宋体"/>
                <w:sz w:val="24"/>
                <w:szCs w:val="24"/>
              </w:rPr>
            </w:pPr>
            <w:r>
              <w:rPr>
                <w:rFonts w:hint="eastAsia" w:asciiTheme="minorEastAsia" w:hAnsiTheme="minorEastAsia" w:eastAsiaTheme="minorEastAsia"/>
                <w:sz w:val="24"/>
                <w:szCs w:val="24"/>
              </w:rPr>
              <w:t>供应商</w:t>
            </w:r>
          </w:p>
          <w:p>
            <w:pPr>
              <w:spacing w:line="360" w:lineRule="auto"/>
              <w:jc w:val="center"/>
              <w:rPr>
                <w:rFonts w:ascii="宋体" w:hAnsi="宋体"/>
                <w:sz w:val="24"/>
                <w:szCs w:val="24"/>
              </w:rPr>
            </w:pPr>
            <w:r>
              <w:rPr>
                <w:rFonts w:ascii="宋体" w:hAnsi="宋体"/>
                <w:sz w:val="24"/>
                <w:szCs w:val="24"/>
              </w:rPr>
              <w:t>资</w:t>
            </w:r>
            <w:r>
              <w:rPr>
                <w:rFonts w:hint="eastAsia" w:ascii="宋体" w:hAnsi="宋体"/>
                <w:sz w:val="24"/>
                <w:szCs w:val="24"/>
              </w:rPr>
              <w:t>质文</w:t>
            </w:r>
          </w:p>
          <w:p>
            <w:pPr>
              <w:spacing w:line="360" w:lineRule="auto"/>
              <w:jc w:val="center"/>
              <w:rPr>
                <w:rFonts w:ascii="宋体" w:hAnsi="宋体"/>
                <w:sz w:val="24"/>
                <w:szCs w:val="24"/>
              </w:rPr>
            </w:pPr>
            <w:r>
              <w:rPr>
                <w:rFonts w:hint="eastAsia" w:ascii="宋体" w:hAnsi="宋体"/>
                <w:sz w:val="24"/>
                <w:szCs w:val="24"/>
              </w:rPr>
              <w:t>件要求</w:t>
            </w:r>
          </w:p>
        </w:tc>
        <w:tc>
          <w:tcPr>
            <w:tcW w:w="7298" w:type="dxa"/>
            <w:vAlign w:val="center"/>
          </w:tcPr>
          <w:p>
            <w:pPr>
              <w:pStyle w:val="30"/>
              <w:spacing w:before="75" w:beforeAutospacing="0" w:after="75" w:afterAutospacing="0" w:line="360" w:lineRule="auto"/>
              <w:ind w:firstLine="480" w:firstLineChars="200"/>
              <w:rPr>
                <w:rFonts w:hint="eastAsia" w:ascii="宋体" w:hAnsi="宋体" w:eastAsia="宋体" w:cs="宋体"/>
              </w:rPr>
            </w:pPr>
            <w:r>
              <w:rPr>
                <w:rFonts w:hint="eastAsia" w:ascii="宋体" w:hAnsi="宋体" w:eastAsia="宋体" w:cs="宋体"/>
              </w:rPr>
              <w:t>1、供应商应符合中华人民共和国政府采购法第二十二条中的相关规定；</w:t>
            </w:r>
          </w:p>
          <w:p>
            <w:pPr>
              <w:pStyle w:val="30"/>
              <w:spacing w:before="75" w:beforeAutospacing="0" w:after="75" w:afterAutospacing="0" w:line="360" w:lineRule="auto"/>
              <w:ind w:firstLine="480" w:firstLineChars="200"/>
              <w:rPr>
                <w:rFonts w:hint="eastAsia" w:ascii="宋体" w:hAnsi="宋体" w:eastAsia="宋体" w:cs="宋体"/>
              </w:rPr>
            </w:pPr>
            <w:r>
              <w:rPr>
                <w:rFonts w:hint="eastAsia" w:ascii="宋体" w:hAnsi="宋体" w:eastAsia="宋体" w:cs="宋体"/>
              </w:rPr>
              <w:t>（1）具有独立承担民事责任的能力；（在中华人民共和国注册，并具有独立法人资格，提供合法有效的法人营业执照）</w:t>
            </w:r>
          </w:p>
          <w:p>
            <w:pPr>
              <w:pStyle w:val="30"/>
              <w:spacing w:before="75" w:beforeAutospacing="0" w:after="75" w:afterAutospacing="0" w:line="360" w:lineRule="auto"/>
              <w:ind w:firstLine="480" w:firstLineChars="200"/>
              <w:rPr>
                <w:rFonts w:hint="eastAsia" w:ascii="宋体" w:hAnsi="宋体" w:eastAsia="宋体" w:cs="宋体"/>
              </w:rPr>
            </w:pPr>
            <w:r>
              <w:rPr>
                <w:rFonts w:hint="eastAsia" w:ascii="宋体" w:hAnsi="宋体" w:eastAsia="宋体" w:cs="宋体"/>
              </w:rPr>
              <w:t>（2）具有良好的商业信誉和健全的财务会计制度；（商业信誉提供有关单位发的证明材料如荣誉证书、有关的报道或业主反馈意见书（业主好评）等、财务会计制度提供参加本次政府采购活动前一个月的会计报表或上一年度的财务审计报告，成立不满一个月不需要提供）</w:t>
            </w:r>
          </w:p>
          <w:p>
            <w:pPr>
              <w:pStyle w:val="30"/>
              <w:spacing w:before="75" w:beforeAutospacing="0" w:after="75" w:afterAutospacing="0" w:line="360" w:lineRule="auto"/>
              <w:ind w:firstLine="480" w:firstLineChars="200"/>
              <w:rPr>
                <w:rFonts w:hint="eastAsia" w:ascii="宋体" w:hAnsi="宋体" w:eastAsia="宋体" w:cs="宋体"/>
              </w:rPr>
            </w:pPr>
            <w:r>
              <w:rPr>
                <w:rFonts w:hint="eastAsia" w:ascii="宋体" w:hAnsi="宋体" w:eastAsia="宋体" w:cs="宋体"/>
              </w:rPr>
              <w:t>（3）具有履行合同所必需的设备和专业技术能力；（根据项目需求提供履约合同所必需的设备和专业技术能力的证明材料或加盖单位章的书面承诺函）</w:t>
            </w:r>
          </w:p>
          <w:p>
            <w:pPr>
              <w:pStyle w:val="30"/>
              <w:spacing w:before="75" w:beforeAutospacing="0" w:after="75" w:afterAutospacing="0" w:line="360" w:lineRule="auto"/>
              <w:ind w:firstLine="480" w:firstLineChars="200"/>
              <w:rPr>
                <w:rFonts w:hint="eastAsia" w:ascii="宋体" w:hAnsi="宋体" w:eastAsia="宋体" w:cs="宋体"/>
              </w:rPr>
            </w:pPr>
            <w:r>
              <w:rPr>
                <w:rFonts w:hint="eastAsia" w:ascii="宋体" w:hAnsi="宋体" w:eastAsia="宋体" w:cs="宋体"/>
              </w:rPr>
              <w:t>（4）有依法缴纳税收和社会保障资金的良好纪录；（提供参加本项目前六个月内（至少一个月）依法缴纳税收和社会保障资金的相关材料）</w:t>
            </w:r>
          </w:p>
          <w:p>
            <w:pPr>
              <w:pStyle w:val="30"/>
              <w:spacing w:before="75" w:beforeAutospacing="0" w:after="75" w:afterAutospacing="0" w:line="360" w:lineRule="auto"/>
              <w:ind w:firstLine="480" w:firstLineChars="200"/>
              <w:rPr>
                <w:rFonts w:hint="eastAsia" w:ascii="宋体" w:hAnsi="宋体" w:eastAsia="宋体" w:cs="宋体"/>
              </w:rPr>
            </w:pPr>
            <w:r>
              <w:rPr>
                <w:rFonts w:hint="eastAsia" w:ascii="宋体" w:hAnsi="宋体" w:eastAsia="宋体" w:cs="宋体"/>
              </w:rPr>
              <w:t>（5）参加招标活动前三年内，在经营活动中没有重大违法记录；（提供中国政府采购网查询截图）</w:t>
            </w:r>
          </w:p>
          <w:p>
            <w:pPr>
              <w:pStyle w:val="30"/>
              <w:spacing w:before="75" w:beforeAutospacing="0" w:after="75" w:afterAutospacing="0" w:line="360" w:lineRule="auto"/>
              <w:ind w:firstLine="480" w:firstLineChars="200"/>
              <w:rPr>
                <w:rFonts w:hint="eastAsia" w:ascii="宋体" w:hAnsi="宋体" w:eastAsia="宋体" w:cs="宋体"/>
              </w:rPr>
            </w:pPr>
            <w:r>
              <w:rPr>
                <w:rFonts w:hint="eastAsia" w:ascii="宋体" w:hAnsi="宋体" w:eastAsia="宋体" w:cs="宋体"/>
              </w:rPr>
              <w:t>（6）法律、行政法规规定的其他条件；</w:t>
            </w:r>
          </w:p>
          <w:p>
            <w:pPr>
              <w:pStyle w:val="30"/>
              <w:spacing w:before="75" w:beforeAutospacing="0" w:after="75" w:afterAutospacing="0" w:line="360" w:lineRule="auto"/>
              <w:ind w:firstLine="480" w:firstLineChars="200"/>
              <w:rPr>
                <w:rFonts w:hint="eastAsia" w:ascii="宋体" w:hAnsi="宋体" w:eastAsia="宋体" w:cs="宋体"/>
              </w:rPr>
            </w:pPr>
            <w:r>
              <w:rPr>
                <w:rFonts w:hint="eastAsia" w:ascii="宋体" w:hAnsi="宋体" w:eastAsia="宋体" w:cs="宋体"/>
              </w:rPr>
              <w:t>2、落实政府采购政策需满足的资格要求：（1）根据财政部发布的《政府采购促进中小企业发展管理办法》（财库[2020]46 号）的规定，（2）根据财政部发布的《关于政府采购支持监狱企业发展有关问题的通知》（财库[2014]68号）的规定，（3）根据《财政部、民政部、中国残疾人联合会关于促进残疾人就业政府采购政策的通知》(财库[2017]141 号)的规定。</w:t>
            </w:r>
          </w:p>
          <w:p>
            <w:pPr>
              <w:pStyle w:val="30"/>
              <w:spacing w:before="75" w:beforeAutospacing="0" w:after="75" w:afterAutospacing="0" w:line="360" w:lineRule="auto"/>
              <w:ind w:firstLine="480" w:firstLineChars="200"/>
              <w:rPr>
                <w:rFonts w:hint="eastAsia" w:ascii="宋体" w:hAnsi="宋体" w:eastAsia="宋体" w:cs="宋体"/>
              </w:rPr>
            </w:pPr>
            <w:r>
              <w:rPr>
                <w:rFonts w:hint="eastAsia" w:ascii="宋体" w:hAnsi="宋体" w:eastAsia="宋体" w:cs="宋体"/>
              </w:rPr>
              <w:t>3、在中国境内注册具有独立法人资格、有效的工商营业执照副本、税务登记证副本、组织机构代码证副本或“三证合一”的营业执照.</w:t>
            </w:r>
          </w:p>
          <w:p>
            <w:pPr>
              <w:pStyle w:val="30"/>
              <w:spacing w:before="75" w:beforeAutospacing="0" w:after="75" w:afterAutospacing="0" w:line="360" w:lineRule="auto"/>
              <w:ind w:firstLine="480" w:firstLineChars="200"/>
              <w:rPr>
                <w:rFonts w:hint="eastAsia" w:ascii="宋体" w:hAnsi="宋体" w:eastAsia="宋体" w:cs="宋体"/>
              </w:rPr>
            </w:pPr>
            <w:r>
              <w:rPr>
                <w:rFonts w:hint="eastAsia" w:ascii="宋体" w:hAnsi="宋体" w:eastAsia="宋体" w:cs="宋体"/>
              </w:rPr>
              <w:t>4、法定代表人或其委托代理人应携带本人身份证原件及复印件，委托代理人还应携带《法定代表人授权委托书》原件；</w:t>
            </w:r>
          </w:p>
          <w:p>
            <w:pPr>
              <w:pStyle w:val="30"/>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5、供应商须提供在“信用中国”（www.creditchina.gov.cn）和中国政府采购网（www.ccgp.gov.cn）网站上未被列入失信被执行人、重大税收违法案件当事人名单以及政府采购严重违法失信行为记录名单的网页打印件并加盖公章；</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061" w:type="dxa"/>
            <w:vAlign w:val="center"/>
          </w:tcPr>
          <w:p>
            <w:pPr>
              <w:spacing w:line="360" w:lineRule="auto"/>
              <w:jc w:val="center"/>
              <w:rPr>
                <w:rFonts w:ascii="宋体" w:hAnsi="宋体"/>
                <w:sz w:val="24"/>
                <w:szCs w:val="24"/>
              </w:rPr>
            </w:pPr>
            <w:r>
              <w:rPr>
                <w:rFonts w:hint="eastAsia" w:ascii="宋体" w:hAnsi="宋体"/>
                <w:sz w:val="24"/>
                <w:szCs w:val="24"/>
              </w:rPr>
              <w:t>2.8</w:t>
            </w:r>
          </w:p>
        </w:tc>
        <w:tc>
          <w:tcPr>
            <w:tcW w:w="1417" w:type="dxa"/>
            <w:vAlign w:val="center"/>
          </w:tcPr>
          <w:p>
            <w:pPr>
              <w:spacing w:line="360" w:lineRule="auto"/>
              <w:jc w:val="center"/>
              <w:rPr>
                <w:rFonts w:ascii="宋体" w:hAnsi="宋体"/>
                <w:sz w:val="24"/>
                <w:szCs w:val="24"/>
              </w:rPr>
            </w:pPr>
            <w:r>
              <w:rPr>
                <w:rFonts w:hint="eastAsia" w:asciiTheme="minorEastAsia" w:hAnsiTheme="minorEastAsia" w:eastAsiaTheme="minorEastAsia"/>
                <w:sz w:val="24"/>
                <w:szCs w:val="24"/>
              </w:rPr>
              <w:t>磋商</w:t>
            </w:r>
            <w:r>
              <w:rPr>
                <w:rFonts w:ascii="宋体" w:hAnsi="宋体"/>
                <w:sz w:val="24"/>
                <w:szCs w:val="24"/>
              </w:rPr>
              <w:t>有效期</w:t>
            </w:r>
          </w:p>
        </w:tc>
        <w:tc>
          <w:tcPr>
            <w:tcW w:w="7298" w:type="dxa"/>
            <w:vAlign w:val="center"/>
          </w:tcPr>
          <w:p>
            <w:pPr>
              <w:spacing w:line="360" w:lineRule="auto"/>
              <w:rPr>
                <w:rFonts w:ascii="宋体" w:hAnsi="宋体"/>
                <w:sz w:val="24"/>
                <w:szCs w:val="24"/>
              </w:rPr>
            </w:pPr>
            <w:r>
              <w:rPr>
                <w:rFonts w:hint="eastAsia" w:ascii="宋体" w:hAnsi="宋体"/>
                <w:sz w:val="24"/>
                <w:szCs w:val="24"/>
              </w:rPr>
              <w:t>60日历</w:t>
            </w:r>
            <w:r>
              <w:rPr>
                <w:rFonts w:ascii="宋体" w:hAnsi="宋体"/>
                <w:sz w:val="24"/>
                <w:szCs w:val="24"/>
              </w:rPr>
              <w:t>天</w:t>
            </w:r>
            <w:r>
              <w:rPr>
                <w:rFonts w:hint="eastAsia" w:ascii="宋体" w:hAnsi="宋体"/>
                <w:sz w:val="24"/>
                <w:szCs w:val="24"/>
              </w:rPr>
              <w:t>（如不满足将导致废标）</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61" w:type="dxa"/>
            <w:vAlign w:val="center"/>
          </w:tcPr>
          <w:p>
            <w:pPr>
              <w:spacing w:line="360" w:lineRule="auto"/>
              <w:jc w:val="center"/>
              <w:rPr>
                <w:rFonts w:ascii="宋体" w:hAnsi="宋体"/>
                <w:sz w:val="24"/>
                <w:szCs w:val="24"/>
              </w:rPr>
            </w:pPr>
            <w:r>
              <w:rPr>
                <w:rFonts w:hint="eastAsia" w:ascii="宋体" w:hAnsi="宋体"/>
                <w:sz w:val="24"/>
                <w:szCs w:val="24"/>
              </w:rPr>
              <w:t>2.9</w:t>
            </w:r>
          </w:p>
        </w:tc>
        <w:tc>
          <w:tcPr>
            <w:tcW w:w="1417" w:type="dxa"/>
            <w:vAlign w:val="center"/>
          </w:tcPr>
          <w:p>
            <w:pPr>
              <w:spacing w:line="360" w:lineRule="auto"/>
              <w:jc w:val="center"/>
              <w:rPr>
                <w:rFonts w:ascii="宋体" w:hAnsi="宋体"/>
                <w:sz w:val="24"/>
                <w:szCs w:val="24"/>
              </w:rPr>
            </w:pPr>
            <w:r>
              <w:rPr>
                <w:rFonts w:hint="eastAsia" w:ascii="宋体" w:hAnsi="宋体"/>
                <w:sz w:val="24"/>
                <w:szCs w:val="24"/>
              </w:rPr>
              <w:t>政府采购政策支持</w:t>
            </w:r>
          </w:p>
        </w:tc>
        <w:tc>
          <w:tcPr>
            <w:tcW w:w="7298" w:type="dxa"/>
            <w:vAlign w:val="center"/>
          </w:tcPr>
          <w:p>
            <w:pPr>
              <w:pStyle w:val="30"/>
              <w:spacing w:before="75" w:beforeAutospacing="0" w:after="75" w:afterAutospacing="0" w:line="360" w:lineRule="auto"/>
              <w:rPr>
                <w:rFonts w:ascii="宋体" w:hAnsi="宋体" w:eastAsia="宋体"/>
                <w:color w:val="000000"/>
              </w:rPr>
            </w:pPr>
            <w:r>
              <w:rPr>
                <w:rFonts w:hint="eastAsia" w:ascii="宋体" w:hAnsi="宋体" w:eastAsia="宋体"/>
                <w:color w:val="000000"/>
              </w:rPr>
              <w:t>1、根据财库〔2020〕46号《政府采购促进中小企业发展管理办法》规定，本项目对小型和微型企业产品的价格给予 6%的扣除。</w:t>
            </w:r>
          </w:p>
          <w:p>
            <w:pPr>
              <w:pStyle w:val="30"/>
              <w:spacing w:before="75" w:beforeAutospacing="0" w:after="75" w:afterAutospacing="0" w:line="360" w:lineRule="auto"/>
              <w:rPr>
                <w:rFonts w:ascii="宋体" w:hAnsi="宋体" w:eastAsia="宋体"/>
                <w:color w:val="000000"/>
              </w:rPr>
            </w:pPr>
            <w:r>
              <w:rPr>
                <w:rFonts w:hint="eastAsia" w:ascii="宋体" w:hAnsi="宋体" w:eastAsia="宋体"/>
                <w:color w:val="000000"/>
              </w:rPr>
              <w:t>2、根据财库〔2014〕68号《关于政府采购支持监狱企业发展有关问题的通知》规定，本项目对监狱企业产品的价格给予 6%的扣除。</w:t>
            </w:r>
          </w:p>
          <w:p>
            <w:pPr>
              <w:pStyle w:val="30"/>
              <w:spacing w:before="75" w:beforeAutospacing="0" w:after="75" w:afterAutospacing="0" w:line="360" w:lineRule="auto"/>
              <w:rPr>
                <w:rFonts w:ascii="宋体" w:hAnsi="宋体" w:eastAsia="宋体"/>
                <w:color w:val="000000"/>
              </w:rPr>
            </w:pPr>
            <w:r>
              <w:rPr>
                <w:rFonts w:hint="eastAsia" w:ascii="宋体" w:hAnsi="宋体" w:eastAsia="宋体"/>
                <w:color w:val="000000"/>
              </w:rPr>
              <w:t>3、根据财库〔2017〕141号《关于促进残疾人就业政府采购政策的通知》的规定，本项目对残疾人福利性单位产品的价格给予 6%的扣除。</w:t>
            </w:r>
          </w:p>
          <w:p>
            <w:pPr>
              <w:pStyle w:val="30"/>
              <w:spacing w:before="75" w:beforeAutospacing="0" w:after="75" w:afterAutospacing="0" w:line="360" w:lineRule="auto"/>
              <w:rPr>
                <w:rFonts w:ascii="宋体" w:hAnsi="宋体" w:eastAsia="宋体"/>
                <w:color w:val="000000"/>
              </w:rPr>
            </w:pPr>
            <w:r>
              <w:rPr>
                <w:rFonts w:hint="eastAsia" w:ascii="宋体" w:hAnsi="宋体" w:eastAsia="宋体"/>
                <w:color w:val="000000"/>
              </w:rPr>
              <w:t>4、</w:t>
            </w:r>
            <w:r>
              <w:rPr>
                <w:rFonts w:hint="eastAsia" w:asciiTheme="minorEastAsia" w:hAnsiTheme="minorEastAsia" w:eastAsiaTheme="minorEastAsia"/>
                <w:color w:val="000000"/>
              </w:rPr>
              <w:t>供应商</w:t>
            </w:r>
            <w:r>
              <w:rPr>
                <w:rFonts w:hint="eastAsia" w:ascii="宋体" w:hAnsi="宋体" w:eastAsia="宋体"/>
                <w:color w:val="000000"/>
              </w:rPr>
              <w:t>所投产品如被列入财政部与国家主管部门颁发的节能产品目录或环境标志产品目录或无线局域网产</w:t>
            </w:r>
            <w:r>
              <w:rPr>
                <w:rFonts w:hint="eastAsia" w:ascii="宋体" w:hAnsi="宋体" w:eastAsia="宋体"/>
              </w:rPr>
              <w:t>品目录，应提供相关证明，在评标时予以优先采购，具体优先采购办法见评标方法和</w:t>
            </w:r>
            <w:r>
              <w:rPr>
                <w:rFonts w:hint="eastAsia" w:ascii="宋体" w:hAnsi="宋体" w:eastAsia="宋体"/>
                <w:color w:val="000000"/>
              </w:rPr>
              <w:t>标准。</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061" w:type="dxa"/>
            <w:vAlign w:val="center"/>
          </w:tcPr>
          <w:p>
            <w:pPr>
              <w:spacing w:line="360" w:lineRule="auto"/>
              <w:jc w:val="center"/>
              <w:rPr>
                <w:rFonts w:hint="eastAsia" w:ascii="宋体" w:hAnsi="宋体" w:eastAsia="宋体"/>
                <w:sz w:val="24"/>
                <w:szCs w:val="24"/>
                <w:lang w:val="en-US" w:eastAsia="zh-CN"/>
              </w:rPr>
            </w:pPr>
            <w:r>
              <w:rPr>
                <w:rFonts w:hint="eastAsia" w:ascii="宋体" w:hAnsi="宋体"/>
                <w:sz w:val="24"/>
                <w:szCs w:val="24"/>
              </w:rPr>
              <w:t>2.1</w:t>
            </w:r>
            <w:r>
              <w:rPr>
                <w:rFonts w:hint="eastAsia" w:ascii="宋体" w:hAnsi="宋体"/>
                <w:sz w:val="24"/>
                <w:szCs w:val="24"/>
                <w:lang w:val="en-US" w:eastAsia="zh-CN"/>
              </w:rPr>
              <w:t>0</w:t>
            </w:r>
          </w:p>
        </w:tc>
        <w:tc>
          <w:tcPr>
            <w:tcW w:w="1417" w:type="dxa"/>
            <w:vAlign w:val="center"/>
          </w:tcPr>
          <w:p>
            <w:pPr>
              <w:spacing w:line="360" w:lineRule="auto"/>
              <w:textAlignment w:val="baseline"/>
              <w:rPr>
                <w:rFonts w:ascii="宋体" w:hAnsi="宋体" w:cs="宋体"/>
                <w:kern w:val="0"/>
                <w:sz w:val="24"/>
                <w:szCs w:val="24"/>
              </w:rPr>
            </w:pPr>
            <w:r>
              <w:rPr>
                <w:rFonts w:hint="eastAsia" w:ascii="宋体" w:hAnsi="宋体" w:cs="宋体"/>
                <w:kern w:val="0"/>
                <w:sz w:val="24"/>
                <w:szCs w:val="24"/>
              </w:rPr>
              <w:t>预算金额</w:t>
            </w:r>
          </w:p>
        </w:tc>
        <w:tc>
          <w:tcPr>
            <w:tcW w:w="7298" w:type="dxa"/>
            <w:vAlign w:val="center"/>
          </w:tcPr>
          <w:p>
            <w:pPr>
              <w:spacing w:line="360" w:lineRule="auto"/>
              <w:textAlignment w:val="baseline"/>
              <w:rPr>
                <w:rFonts w:ascii="宋体" w:hAnsi="宋体" w:cs="宋体"/>
                <w:kern w:val="0"/>
                <w:sz w:val="24"/>
                <w:szCs w:val="24"/>
              </w:rPr>
            </w:pPr>
            <w:r>
              <w:rPr>
                <w:rFonts w:hint="eastAsia" w:ascii="宋体" w:hAnsi="宋体" w:cs="宋体"/>
                <w:kern w:val="0"/>
                <w:sz w:val="24"/>
                <w:szCs w:val="24"/>
                <w:lang w:val="en-US" w:eastAsia="zh-CN"/>
              </w:rPr>
              <w:t>463000</w:t>
            </w:r>
            <w:r>
              <w:rPr>
                <w:rFonts w:hint="eastAsia" w:ascii="宋体" w:hAnsi="宋体" w:cs="宋体"/>
                <w:kern w:val="0"/>
                <w:sz w:val="24"/>
                <w:szCs w:val="24"/>
              </w:rPr>
              <w:t>.00元</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61" w:type="dxa"/>
            <w:vAlign w:val="center"/>
          </w:tcPr>
          <w:p>
            <w:pPr>
              <w:spacing w:line="360" w:lineRule="auto"/>
              <w:jc w:val="center"/>
              <w:rPr>
                <w:rFonts w:hint="eastAsia" w:ascii="宋体" w:hAnsi="宋体" w:eastAsia="宋体"/>
                <w:sz w:val="24"/>
                <w:szCs w:val="24"/>
                <w:lang w:val="en-US" w:eastAsia="zh-CN"/>
              </w:rPr>
            </w:pPr>
            <w:r>
              <w:rPr>
                <w:rFonts w:hint="eastAsia" w:ascii="宋体" w:hAnsi="宋体"/>
                <w:sz w:val="24"/>
                <w:szCs w:val="24"/>
              </w:rPr>
              <w:t>2.1</w:t>
            </w:r>
            <w:r>
              <w:rPr>
                <w:rFonts w:hint="eastAsia" w:ascii="宋体" w:hAnsi="宋体"/>
                <w:sz w:val="24"/>
                <w:szCs w:val="24"/>
                <w:lang w:val="en-US" w:eastAsia="zh-CN"/>
              </w:rPr>
              <w:t>1</w:t>
            </w:r>
          </w:p>
        </w:tc>
        <w:tc>
          <w:tcPr>
            <w:tcW w:w="1417" w:type="dxa"/>
            <w:vAlign w:val="center"/>
          </w:tcPr>
          <w:p>
            <w:pPr>
              <w:spacing w:line="360" w:lineRule="auto"/>
              <w:rPr>
                <w:rFonts w:hint="eastAsia" w:ascii="宋体" w:hAnsi="宋体" w:eastAsia="宋体" w:cs="Arial Unicode MS"/>
                <w:color w:val="000000"/>
                <w:kern w:val="0"/>
                <w:sz w:val="24"/>
                <w:szCs w:val="24"/>
                <w:lang w:val="en-US" w:eastAsia="zh-CN" w:bidi="ar-SA"/>
              </w:rPr>
            </w:pPr>
            <w:r>
              <w:rPr>
                <w:rFonts w:hint="eastAsia" w:ascii="宋体" w:hAnsi="宋体" w:eastAsia="宋体" w:cs="Arial Unicode MS"/>
                <w:color w:val="000000"/>
                <w:kern w:val="0"/>
                <w:sz w:val="24"/>
                <w:szCs w:val="24"/>
                <w:lang w:val="en-US" w:eastAsia="zh-CN" w:bidi="ar-SA"/>
              </w:rPr>
              <w:t>磋商保证金数额及交纳方式</w:t>
            </w:r>
          </w:p>
        </w:tc>
        <w:tc>
          <w:tcPr>
            <w:tcW w:w="7298" w:type="dxa"/>
            <w:vAlign w:val="center"/>
          </w:tcPr>
          <w:p>
            <w:pPr>
              <w:spacing w:line="360" w:lineRule="auto"/>
              <w:rPr>
                <w:rFonts w:hint="eastAsia" w:ascii="宋体" w:hAnsi="宋体" w:eastAsia="宋体" w:cs="Arial Unicode MS"/>
                <w:color w:val="000000"/>
                <w:kern w:val="0"/>
                <w:sz w:val="24"/>
                <w:szCs w:val="24"/>
                <w:lang w:val="en-US" w:eastAsia="zh-CN" w:bidi="ar-SA"/>
              </w:rPr>
            </w:pPr>
            <w:r>
              <w:rPr>
                <w:rFonts w:hint="eastAsia" w:ascii="宋体" w:hAnsi="宋体" w:eastAsia="宋体" w:cs="Arial Unicode MS"/>
                <w:color w:val="000000"/>
                <w:kern w:val="0"/>
                <w:sz w:val="24"/>
                <w:szCs w:val="24"/>
                <w:lang w:val="en-US" w:eastAsia="zh-CN" w:bidi="ar-SA"/>
              </w:rPr>
              <w:t>1.磋商保证金金额：4000.00元（肆仟元整）</w:t>
            </w:r>
          </w:p>
          <w:p>
            <w:pPr>
              <w:spacing w:line="360" w:lineRule="auto"/>
              <w:rPr>
                <w:rFonts w:hint="eastAsia" w:ascii="宋体" w:hAnsi="宋体" w:eastAsia="宋体" w:cs="Arial Unicode MS"/>
                <w:color w:val="000000"/>
                <w:kern w:val="0"/>
                <w:sz w:val="24"/>
                <w:szCs w:val="24"/>
                <w:lang w:val="en-US" w:eastAsia="zh-CN" w:bidi="ar-SA"/>
              </w:rPr>
            </w:pPr>
            <w:r>
              <w:rPr>
                <w:rFonts w:hint="eastAsia" w:ascii="宋体" w:hAnsi="宋体" w:eastAsia="宋体" w:cs="Arial Unicode MS"/>
                <w:color w:val="000000"/>
                <w:kern w:val="0"/>
                <w:sz w:val="24"/>
                <w:szCs w:val="24"/>
                <w:lang w:val="en-US" w:eastAsia="zh-CN" w:bidi="ar-SA"/>
              </w:rPr>
              <w:t>2.投标保证金形式：投标保证金必须从投标人基本账户支出，可以采取电汇或网上转账形式缴纳。</w:t>
            </w:r>
          </w:p>
          <w:p>
            <w:pPr>
              <w:spacing w:line="360" w:lineRule="auto"/>
              <w:rPr>
                <w:rFonts w:hint="eastAsia" w:ascii="宋体" w:hAnsi="宋体" w:eastAsia="宋体" w:cs="Arial Unicode MS"/>
                <w:color w:val="000000"/>
                <w:kern w:val="0"/>
                <w:sz w:val="24"/>
                <w:szCs w:val="24"/>
                <w:lang w:val="en-US" w:eastAsia="zh-CN" w:bidi="ar-SA"/>
              </w:rPr>
            </w:pPr>
            <w:r>
              <w:rPr>
                <w:rFonts w:hint="eastAsia" w:ascii="宋体" w:hAnsi="宋体" w:eastAsia="宋体" w:cs="Arial Unicode MS"/>
                <w:color w:val="000000"/>
                <w:kern w:val="0"/>
                <w:sz w:val="24"/>
                <w:szCs w:val="24"/>
                <w:lang w:val="en-US" w:eastAsia="zh-CN" w:bidi="ar-SA"/>
              </w:rPr>
              <w:t>3.保证金缴纳账户信息：</w:t>
            </w:r>
          </w:p>
          <w:p>
            <w:pPr>
              <w:spacing w:line="360" w:lineRule="auto"/>
              <w:rPr>
                <w:rFonts w:hint="eastAsia" w:ascii="宋体" w:hAnsi="宋体" w:eastAsia="宋体" w:cs="Arial Unicode MS"/>
                <w:color w:val="000000"/>
                <w:kern w:val="0"/>
                <w:sz w:val="24"/>
                <w:szCs w:val="24"/>
                <w:lang w:val="en-US" w:eastAsia="zh-CN" w:bidi="ar-SA"/>
              </w:rPr>
            </w:pPr>
            <w:r>
              <w:rPr>
                <w:rFonts w:hint="eastAsia" w:ascii="宋体" w:hAnsi="宋体" w:eastAsia="宋体" w:cs="Arial Unicode MS"/>
                <w:color w:val="000000"/>
                <w:kern w:val="0"/>
                <w:sz w:val="24"/>
                <w:szCs w:val="24"/>
                <w:lang w:val="en-US" w:eastAsia="zh-CN" w:bidi="ar-SA"/>
              </w:rPr>
              <w:t>开户行：招商银行股份有限公司乌鲁木齐人民路支行</w:t>
            </w:r>
          </w:p>
          <w:p>
            <w:pPr>
              <w:spacing w:line="360" w:lineRule="auto"/>
              <w:rPr>
                <w:rFonts w:hint="eastAsia" w:ascii="宋体" w:hAnsi="宋体" w:eastAsia="宋体" w:cs="Arial Unicode MS"/>
                <w:color w:val="000000"/>
                <w:kern w:val="0"/>
                <w:sz w:val="24"/>
                <w:szCs w:val="24"/>
                <w:lang w:val="en-US" w:eastAsia="zh-CN" w:bidi="ar-SA"/>
              </w:rPr>
            </w:pPr>
            <w:r>
              <w:rPr>
                <w:rFonts w:hint="eastAsia" w:ascii="宋体" w:hAnsi="宋体" w:eastAsia="宋体" w:cs="Arial Unicode MS"/>
                <w:color w:val="000000"/>
                <w:kern w:val="0"/>
                <w:sz w:val="24"/>
                <w:szCs w:val="24"/>
                <w:lang w:val="en-US" w:eastAsia="zh-CN" w:bidi="ar-SA"/>
              </w:rPr>
              <w:t>户名：新疆天之源项目管理集团有限公司</w:t>
            </w:r>
          </w:p>
          <w:p>
            <w:pPr>
              <w:spacing w:line="360" w:lineRule="auto"/>
              <w:rPr>
                <w:rFonts w:hint="eastAsia" w:ascii="宋体" w:hAnsi="宋体" w:eastAsia="宋体" w:cs="Arial Unicode MS"/>
                <w:color w:val="000000"/>
                <w:kern w:val="0"/>
                <w:sz w:val="24"/>
                <w:szCs w:val="24"/>
                <w:lang w:val="en-US" w:eastAsia="zh-CN" w:bidi="ar-SA"/>
              </w:rPr>
            </w:pPr>
            <w:r>
              <w:rPr>
                <w:rFonts w:hint="eastAsia" w:ascii="宋体" w:hAnsi="宋体" w:eastAsia="宋体" w:cs="Arial Unicode MS"/>
                <w:color w:val="000000"/>
                <w:kern w:val="0"/>
                <w:sz w:val="24"/>
                <w:szCs w:val="24"/>
                <w:lang w:val="en-US" w:eastAsia="zh-CN" w:bidi="ar-SA"/>
              </w:rPr>
              <w:t>账号：991902337110201</w:t>
            </w:r>
          </w:p>
          <w:p>
            <w:pPr>
              <w:spacing w:line="360" w:lineRule="auto"/>
              <w:rPr>
                <w:rFonts w:hint="eastAsia" w:ascii="宋体" w:hAnsi="宋体" w:eastAsia="宋体" w:cs="Arial Unicode MS"/>
                <w:b/>
                <w:bCs/>
                <w:color w:val="000000"/>
                <w:kern w:val="0"/>
                <w:sz w:val="24"/>
                <w:szCs w:val="24"/>
                <w:lang w:val="en-US" w:eastAsia="zh-CN" w:bidi="ar-SA"/>
              </w:rPr>
            </w:pPr>
            <w:r>
              <w:rPr>
                <w:rFonts w:hint="eastAsia" w:ascii="宋体" w:hAnsi="宋体" w:eastAsia="宋体" w:cs="Arial Unicode MS"/>
                <w:b/>
                <w:bCs/>
                <w:color w:val="000000"/>
                <w:kern w:val="0"/>
                <w:sz w:val="24"/>
                <w:szCs w:val="24"/>
                <w:lang w:val="en-US" w:eastAsia="zh-CN" w:bidi="ar-SA"/>
              </w:rPr>
              <w:t>投标人按上述要求递交投标保证金后，请携带好电汇凭证或网上转账凭证，以便开标当天查验。</w:t>
            </w:r>
          </w:p>
          <w:p>
            <w:pPr>
              <w:spacing w:line="360" w:lineRule="auto"/>
              <w:rPr>
                <w:rFonts w:hint="eastAsia" w:ascii="宋体" w:hAnsi="宋体" w:eastAsia="宋体" w:cs="Arial Unicode MS"/>
                <w:color w:val="000000"/>
                <w:kern w:val="0"/>
                <w:sz w:val="24"/>
                <w:szCs w:val="24"/>
                <w:lang w:val="en-US" w:eastAsia="zh-CN" w:bidi="ar-SA"/>
              </w:rPr>
            </w:pPr>
            <w:r>
              <w:rPr>
                <w:rFonts w:hint="eastAsia" w:ascii="宋体" w:hAnsi="宋体" w:eastAsia="宋体" w:cs="Arial Unicode MS"/>
                <w:color w:val="000000"/>
                <w:kern w:val="0"/>
                <w:sz w:val="24"/>
                <w:szCs w:val="24"/>
                <w:lang w:val="en-US" w:eastAsia="zh-CN" w:bidi="ar-SA"/>
              </w:rPr>
              <w:t>注：汇款单上需注明投标人名称、项目名称。</w:t>
            </w:r>
          </w:p>
          <w:p>
            <w:pPr>
              <w:spacing w:line="360" w:lineRule="auto"/>
              <w:rPr>
                <w:rFonts w:hint="eastAsia" w:ascii="宋体" w:hAnsi="宋体" w:eastAsia="宋体" w:cs="Arial Unicode MS"/>
                <w:color w:val="000000"/>
                <w:kern w:val="0"/>
                <w:sz w:val="24"/>
                <w:szCs w:val="24"/>
                <w:lang w:val="en-US" w:eastAsia="zh-CN" w:bidi="ar-SA"/>
              </w:rPr>
            </w:pPr>
            <w:r>
              <w:rPr>
                <w:rFonts w:hint="eastAsia" w:ascii="宋体" w:hAnsi="宋体" w:eastAsia="宋体" w:cs="Arial Unicode MS"/>
                <w:color w:val="000000"/>
                <w:kern w:val="0"/>
                <w:sz w:val="24"/>
                <w:szCs w:val="24"/>
                <w:lang w:val="en-US" w:eastAsia="zh-CN" w:bidi="ar-SA"/>
              </w:rPr>
              <w:t>磋商保证金截止时间：响应文件的递交截止时间之前（以到账时间为准）。</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1061" w:type="dxa"/>
            <w:vAlign w:val="center"/>
          </w:tcPr>
          <w:p>
            <w:pPr>
              <w:spacing w:line="360" w:lineRule="auto"/>
              <w:jc w:val="center"/>
              <w:rPr>
                <w:rFonts w:ascii="宋体" w:hAnsi="宋体"/>
                <w:sz w:val="24"/>
                <w:szCs w:val="24"/>
              </w:rPr>
            </w:pPr>
            <w:r>
              <w:rPr>
                <w:rFonts w:hint="eastAsia" w:ascii="宋体" w:hAnsi="宋体"/>
                <w:sz w:val="24"/>
                <w:szCs w:val="24"/>
              </w:rPr>
              <w:t>2.13</w:t>
            </w:r>
          </w:p>
        </w:tc>
        <w:tc>
          <w:tcPr>
            <w:tcW w:w="1417" w:type="dxa"/>
            <w:vAlign w:val="center"/>
          </w:tcPr>
          <w:p>
            <w:pPr>
              <w:spacing w:line="360" w:lineRule="auto"/>
              <w:jc w:val="center"/>
              <w:rPr>
                <w:rFonts w:ascii="宋体" w:hAnsi="宋体"/>
                <w:sz w:val="24"/>
                <w:szCs w:val="24"/>
              </w:rPr>
            </w:pPr>
            <w:r>
              <w:rPr>
                <w:rFonts w:hint="eastAsia" w:ascii="宋体" w:hAnsi="宋体"/>
                <w:sz w:val="24"/>
                <w:szCs w:val="24"/>
              </w:rPr>
              <w:t>磋商原则和办法</w:t>
            </w:r>
          </w:p>
        </w:tc>
        <w:tc>
          <w:tcPr>
            <w:tcW w:w="7298" w:type="dxa"/>
            <w:vAlign w:val="center"/>
          </w:tcPr>
          <w:p>
            <w:pPr>
              <w:widowControl/>
              <w:spacing w:line="360" w:lineRule="auto"/>
              <w:rPr>
                <w:rFonts w:ascii="宋体" w:hAnsi="宋体"/>
                <w:sz w:val="24"/>
                <w:szCs w:val="24"/>
              </w:rPr>
            </w:pPr>
            <w:r>
              <w:rPr>
                <w:rFonts w:hint="eastAsia" w:ascii="宋体" w:hAnsi="宋体"/>
                <w:sz w:val="24"/>
                <w:szCs w:val="24"/>
              </w:rPr>
              <w:t>综合评分法</w:t>
            </w:r>
          </w:p>
          <w:p>
            <w:pPr>
              <w:widowControl/>
              <w:spacing w:line="360" w:lineRule="auto"/>
              <w:rPr>
                <w:rFonts w:ascii="宋体" w:hAnsi="宋体" w:cs="宋体"/>
                <w:kern w:val="0"/>
                <w:sz w:val="24"/>
                <w:szCs w:val="24"/>
              </w:rPr>
            </w:pPr>
            <w:r>
              <w:rPr>
                <w:rFonts w:hint="eastAsia" w:ascii="宋体" w:hAnsi="宋体"/>
                <w:sz w:val="24"/>
                <w:szCs w:val="24"/>
              </w:rPr>
              <w:t xml:space="preserve">    即在最大限度地满足竞争性磋商文件实质性要求前提下，按照竞争性磋商文件中规定的各项因素进行综合评审后，以评分总得分最高的供应商作为成交候选人。具体评标因素见第五章评分办法。</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061" w:type="dxa"/>
            <w:vAlign w:val="center"/>
          </w:tcPr>
          <w:p>
            <w:pPr>
              <w:spacing w:line="360" w:lineRule="auto"/>
              <w:jc w:val="center"/>
              <w:rPr>
                <w:rFonts w:ascii="宋体" w:hAnsi="宋体"/>
                <w:sz w:val="24"/>
                <w:szCs w:val="24"/>
              </w:rPr>
            </w:pPr>
            <w:r>
              <w:rPr>
                <w:rFonts w:hint="eastAsia" w:ascii="宋体" w:hAnsi="宋体"/>
                <w:sz w:val="24"/>
                <w:szCs w:val="24"/>
              </w:rPr>
              <w:t>2.14</w:t>
            </w:r>
          </w:p>
        </w:tc>
        <w:tc>
          <w:tcPr>
            <w:tcW w:w="1417" w:type="dxa"/>
            <w:vAlign w:val="center"/>
          </w:tcPr>
          <w:p>
            <w:pPr>
              <w:widowControl/>
              <w:spacing w:line="360" w:lineRule="auto"/>
              <w:jc w:val="center"/>
              <w:rPr>
                <w:rFonts w:ascii="宋体" w:hAnsi="宋体" w:cs="宋体"/>
                <w:kern w:val="0"/>
                <w:sz w:val="24"/>
                <w:szCs w:val="24"/>
              </w:rPr>
            </w:pPr>
            <w:r>
              <w:rPr>
                <w:rFonts w:hint="eastAsia" w:ascii="宋体" w:hAnsi="宋体" w:cs="宋体"/>
                <w:kern w:val="0"/>
                <w:sz w:val="24"/>
                <w:szCs w:val="24"/>
              </w:rPr>
              <w:t>响应文</w:t>
            </w:r>
          </w:p>
          <w:p>
            <w:pPr>
              <w:widowControl/>
              <w:spacing w:line="360" w:lineRule="auto"/>
              <w:jc w:val="center"/>
              <w:rPr>
                <w:rFonts w:ascii="宋体" w:hAnsi="宋体" w:cs="宋体"/>
                <w:kern w:val="0"/>
                <w:sz w:val="24"/>
                <w:szCs w:val="24"/>
              </w:rPr>
            </w:pPr>
            <w:r>
              <w:rPr>
                <w:rFonts w:hint="eastAsia" w:ascii="宋体" w:hAnsi="宋体" w:cs="宋体"/>
                <w:kern w:val="0"/>
                <w:sz w:val="24"/>
                <w:szCs w:val="24"/>
              </w:rPr>
              <w:t>件份数</w:t>
            </w:r>
          </w:p>
        </w:tc>
        <w:tc>
          <w:tcPr>
            <w:tcW w:w="7298" w:type="dxa"/>
            <w:vAlign w:val="center"/>
          </w:tcPr>
          <w:p>
            <w:pPr>
              <w:widowControl/>
              <w:spacing w:line="360" w:lineRule="auto"/>
              <w:rPr>
                <w:rFonts w:ascii="宋体" w:hAnsi="宋体"/>
                <w:sz w:val="24"/>
                <w:szCs w:val="24"/>
              </w:rPr>
            </w:pPr>
            <w:r>
              <w:rPr>
                <w:rFonts w:hint="eastAsia" w:ascii="宋体" w:hAnsi="宋体" w:cs="宋体"/>
                <w:color w:val="000000"/>
                <w:sz w:val="24"/>
                <w:szCs w:val="24"/>
              </w:rPr>
              <w:t>正本1份，副本3份，保证金汇款凭证复印件加盖公章1份，电子版U盘1份（word版）。</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2357" w:hRule="atLeast"/>
        </w:trPr>
        <w:tc>
          <w:tcPr>
            <w:tcW w:w="1061" w:type="dxa"/>
            <w:vAlign w:val="center"/>
          </w:tcPr>
          <w:p>
            <w:pPr>
              <w:spacing w:line="360" w:lineRule="auto"/>
              <w:jc w:val="center"/>
              <w:rPr>
                <w:rFonts w:ascii="宋体" w:hAnsi="宋体"/>
                <w:sz w:val="24"/>
                <w:szCs w:val="24"/>
              </w:rPr>
            </w:pPr>
            <w:r>
              <w:rPr>
                <w:rFonts w:hint="eastAsia" w:ascii="宋体" w:hAnsi="宋体"/>
                <w:sz w:val="24"/>
                <w:szCs w:val="24"/>
              </w:rPr>
              <w:t>2.15</w:t>
            </w:r>
          </w:p>
        </w:tc>
        <w:tc>
          <w:tcPr>
            <w:tcW w:w="1417" w:type="dxa"/>
            <w:vAlign w:val="center"/>
          </w:tcPr>
          <w:p>
            <w:pPr>
              <w:spacing w:line="360" w:lineRule="auto"/>
              <w:jc w:val="center"/>
              <w:rPr>
                <w:rFonts w:ascii="宋体" w:hAnsi="宋体"/>
                <w:sz w:val="24"/>
                <w:szCs w:val="24"/>
              </w:rPr>
            </w:pPr>
            <w:r>
              <w:rPr>
                <w:rFonts w:hint="eastAsia" w:ascii="宋体" w:hAnsi="宋体"/>
                <w:sz w:val="24"/>
                <w:szCs w:val="24"/>
              </w:rPr>
              <w:t>响应文件递交截止时间、地点</w:t>
            </w:r>
          </w:p>
        </w:tc>
        <w:tc>
          <w:tcPr>
            <w:tcW w:w="7298" w:type="dxa"/>
            <w:vAlign w:val="center"/>
          </w:tcPr>
          <w:p>
            <w:pPr>
              <w:spacing w:line="360" w:lineRule="auto"/>
              <w:textAlignment w:val="baseline"/>
              <w:rPr>
                <w:rFonts w:ascii="宋体" w:hAnsi="宋体"/>
                <w:sz w:val="24"/>
                <w:szCs w:val="24"/>
              </w:rPr>
            </w:pPr>
            <w:r>
              <w:rPr>
                <w:rFonts w:hint="eastAsia" w:ascii="宋体" w:hAnsi="宋体"/>
                <w:sz w:val="24"/>
                <w:szCs w:val="24"/>
              </w:rPr>
              <w:t>递交截止时间：</w:t>
            </w:r>
            <w:r>
              <w:rPr>
                <w:rFonts w:hint="eastAsia" w:ascii="宋体" w:hAnsi="宋体"/>
                <w:sz w:val="24"/>
                <w:szCs w:val="24"/>
                <w:highlight w:val="none"/>
              </w:rPr>
              <w:t>2022年</w:t>
            </w:r>
            <w:r>
              <w:rPr>
                <w:rFonts w:hint="eastAsia" w:ascii="宋体" w:hAnsi="宋体"/>
                <w:sz w:val="24"/>
                <w:szCs w:val="24"/>
                <w:highlight w:val="none"/>
                <w:lang w:val="en-US" w:eastAsia="zh-CN"/>
              </w:rPr>
              <w:t>8</w:t>
            </w:r>
            <w:r>
              <w:rPr>
                <w:rFonts w:hint="eastAsia" w:ascii="宋体" w:hAnsi="宋体"/>
                <w:sz w:val="24"/>
                <w:szCs w:val="24"/>
                <w:highlight w:val="none"/>
              </w:rPr>
              <w:t>月</w:t>
            </w:r>
            <w:r>
              <w:rPr>
                <w:rFonts w:hint="eastAsia" w:ascii="宋体" w:hAnsi="宋体"/>
                <w:sz w:val="24"/>
                <w:szCs w:val="24"/>
                <w:highlight w:val="none"/>
                <w:lang w:val="en-US" w:eastAsia="zh-CN"/>
              </w:rPr>
              <w:t>22</w:t>
            </w:r>
            <w:r>
              <w:rPr>
                <w:rFonts w:hint="eastAsia" w:ascii="宋体" w:hAnsi="宋体"/>
                <w:sz w:val="24"/>
                <w:szCs w:val="24"/>
                <w:highlight w:val="none"/>
              </w:rPr>
              <w:t>日</w:t>
            </w:r>
            <w:r>
              <w:rPr>
                <w:rFonts w:hint="eastAsia" w:ascii="宋体" w:hAnsi="宋体"/>
                <w:sz w:val="24"/>
                <w:szCs w:val="24"/>
                <w:highlight w:val="none"/>
                <w:lang w:val="en-US" w:eastAsia="zh-CN"/>
              </w:rPr>
              <w:t>18</w:t>
            </w:r>
            <w:r>
              <w:rPr>
                <w:rFonts w:hint="eastAsia" w:ascii="宋体" w:hAnsi="宋体"/>
                <w:sz w:val="24"/>
                <w:szCs w:val="24"/>
                <w:highlight w:val="none"/>
              </w:rPr>
              <w:t>时</w:t>
            </w:r>
            <w:r>
              <w:rPr>
                <w:rFonts w:hint="eastAsia" w:ascii="宋体" w:hAnsi="宋体"/>
                <w:sz w:val="24"/>
                <w:szCs w:val="24"/>
                <w:highlight w:val="none"/>
                <w:lang w:val="en-US" w:eastAsia="zh-CN"/>
              </w:rPr>
              <w:t>0</w:t>
            </w:r>
            <w:r>
              <w:rPr>
                <w:rFonts w:hint="eastAsia" w:ascii="宋体" w:hAnsi="宋体"/>
                <w:sz w:val="24"/>
                <w:szCs w:val="24"/>
                <w:highlight w:val="none"/>
              </w:rPr>
              <w:t>0分（北京时间）</w:t>
            </w:r>
          </w:p>
          <w:p>
            <w:pPr>
              <w:pStyle w:val="2"/>
              <w:rPr>
                <w:rFonts w:hint="eastAsia" w:ascii="宋体" w:hAnsi="宋体"/>
                <w:sz w:val="24"/>
                <w:szCs w:val="24"/>
              </w:rPr>
            </w:pPr>
            <w:r>
              <w:rPr>
                <w:rFonts w:hint="eastAsia" w:ascii="宋体" w:hAnsi="宋体"/>
                <w:sz w:val="24"/>
                <w:szCs w:val="24"/>
              </w:rPr>
              <w:t>响应文件以密封形式递交至：乌鲁木齐市水磨沟区龙盛街与龙腾路交叉路口浙商大厦11楼会议室</w:t>
            </w:r>
          </w:p>
          <w:p>
            <w:pPr>
              <w:pStyle w:val="2"/>
            </w:pPr>
            <w:r>
              <w:rPr>
                <w:rFonts w:hint="eastAsia" w:ascii="宋体" w:hAnsi="宋体" w:eastAsia="宋体" w:cs="宋体"/>
                <w:b/>
                <w:color w:val="000000"/>
              </w:rPr>
              <w:t>注：供应商在递交响应文件时提供法定代表人授权委托书和被授权人身份证原件或法定代表人身份证明和身份证原件。</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061" w:type="dxa"/>
            <w:vAlign w:val="center"/>
          </w:tcPr>
          <w:p>
            <w:pPr>
              <w:spacing w:line="360" w:lineRule="auto"/>
              <w:jc w:val="center"/>
              <w:rPr>
                <w:rFonts w:ascii="宋体" w:hAnsi="宋体"/>
                <w:sz w:val="24"/>
                <w:szCs w:val="24"/>
              </w:rPr>
            </w:pPr>
            <w:r>
              <w:rPr>
                <w:rFonts w:hint="eastAsia" w:ascii="宋体" w:hAnsi="宋体"/>
                <w:sz w:val="24"/>
                <w:szCs w:val="24"/>
              </w:rPr>
              <w:t>2.16</w:t>
            </w:r>
          </w:p>
        </w:tc>
        <w:tc>
          <w:tcPr>
            <w:tcW w:w="1417" w:type="dxa"/>
            <w:vAlign w:val="center"/>
          </w:tcPr>
          <w:p>
            <w:pPr>
              <w:spacing w:line="360" w:lineRule="auto"/>
              <w:jc w:val="center"/>
              <w:rPr>
                <w:rFonts w:ascii="宋体" w:hAnsi="宋体"/>
                <w:sz w:val="24"/>
                <w:szCs w:val="24"/>
                <w:highlight w:val="none"/>
              </w:rPr>
            </w:pPr>
            <w:r>
              <w:rPr>
                <w:rFonts w:hint="eastAsia" w:ascii="宋体" w:hAnsi="宋体"/>
                <w:sz w:val="24"/>
                <w:szCs w:val="24"/>
                <w:highlight w:val="none"/>
              </w:rPr>
              <w:t>竞争性磋商时间</w:t>
            </w:r>
          </w:p>
        </w:tc>
        <w:tc>
          <w:tcPr>
            <w:tcW w:w="7298" w:type="dxa"/>
            <w:tcBorders>
              <w:bottom w:val="single" w:color="auto" w:sz="4" w:space="0"/>
            </w:tcBorders>
            <w:vAlign w:val="center"/>
          </w:tcPr>
          <w:p>
            <w:pPr>
              <w:spacing w:line="360" w:lineRule="auto"/>
              <w:rPr>
                <w:rFonts w:ascii="宋体" w:hAnsi="宋体"/>
                <w:b/>
                <w:sz w:val="24"/>
                <w:szCs w:val="24"/>
                <w:highlight w:val="none"/>
              </w:rPr>
            </w:pPr>
            <w:r>
              <w:rPr>
                <w:rFonts w:hint="eastAsia" w:ascii="宋体" w:hAnsi="宋体"/>
                <w:sz w:val="24"/>
                <w:szCs w:val="24"/>
                <w:highlight w:val="none"/>
              </w:rPr>
              <w:t>2022年</w:t>
            </w:r>
            <w:r>
              <w:rPr>
                <w:rFonts w:hint="eastAsia" w:ascii="宋体" w:hAnsi="宋体"/>
                <w:sz w:val="24"/>
                <w:szCs w:val="24"/>
                <w:highlight w:val="none"/>
                <w:lang w:val="en-US" w:eastAsia="zh-CN"/>
              </w:rPr>
              <w:t>8</w:t>
            </w:r>
            <w:r>
              <w:rPr>
                <w:rFonts w:hint="eastAsia" w:ascii="宋体" w:hAnsi="宋体"/>
                <w:sz w:val="24"/>
                <w:szCs w:val="24"/>
                <w:highlight w:val="none"/>
              </w:rPr>
              <w:t>月</w:t>
            </w:r>
            <w:r>
              <w:rPr>
                <w:rFonts w:hint="eastAsia" w:ascii="宋体" w:hAnsi="宋体"/>
                <w:sz w:val="24"/>
                <w:szCs w:val="24"/>
                <w:highlight w:val="none"/>
                <w:lang w:val="en-US" w:eastAsia="zh-CN"/>
              </w:rPr>
              <w:t>22</w:t>
            </w:r>
            <w:r>
              <w:rPr>
                <w:rFonts w:hint="eastAsia" w:ascii="宋体" w:hAnsi="宋体"/>
                <w:sz w:val="24"/>
                <w:szCs w:val="24"/>
                <w:highlight w:val="none"/>
              </w:rPr>
              <w:t>日</w:t>
            </w:r>
            <w:r>
              <w:rPr>
                <w:rFonts w:hint="eastAsia" w:ascii="宋体" w:hAnsi="宋体"/>
                <w:sz w:val="24"/>
                <w:szCs w:val="24"/>
                <w:highlight w:val="none"/>
                <w:lang w:val="en-US" w:eastAsia="zh-CN"/>
              </w:rPr>
              <w:t>18</w:t>
            </w:r>
            <w:r>
              <w:rPr>
                <w:rFonts w:hint="eastAsia" w:ascii="宋体" w:hAnsi="宋体"/>
                <w:sz w:val="24"/>
                <w:szCs w:val="24"/>
                <w:highlight w:val="none"/>
              </w:rPr>
              <w:t>时</w:t>
            </w:r>
            <w:r>
              <w:rPr>
                <w:rFonts w:hint="eastAsia" w:ascii="宋体" w:hAnsi="宋体"/>
                <w:sz w:val="24"/>
                <w:szCs w:val="24"/>
                <w:highlight w:val="none"/>
                <w:lang w:val="en-US" w:eastAsia="zh-CN"/>
              </w:rPr>
              <w:t>00</w:t>
            </w:r>
            <w:r>
              <w:rPr>
                <w:rFonts w:hint="eastAsia" w:ascii="宋体" w:hAnsi="宋体"/>
                <w:sz w:val="24"/>
                <w:szCs w:val="24"/>
                <w:highlight w:val="none"/>
              </w:rPr>
              <w:t>分</w:t>
            </w:r>
            <w:r>
              <w:rPr>
                <w:rFonts w:hint="eastAsia" w:ascii="宋体" w:hAnsi="宋体"/>
                <w:b/>
                <w:sz w:val="24"/>
                <w:szCs w:val="24"/>
                <w:highlight w:val="none"/>
              </w:rPr>
              <w:t>（北京时间）</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061" w:type="dxa"/>
            <w:vAlign w:val="center"/>
          </w:tcPr>
          <w:p>
            <w:pPr>
              <w:spacing w:line="360" w:lineRule="auto"/>
              <w:jc w:val="center"/>
              <w:rPr>
                <w:rFonts w:ascii="宋体" w:hAnsi="宋体"/>
                <w:sz w:val="24"/>
                <w:szCs w:val="24"/>
              </w:rPr>
            </w:pPr>
            <w:r>
              <w:rPr>
                <w:rFonts w:hint="eastAsia" w:ascii="宋体" w:hAnsi="宋体"/>
                <w:sz w:val="24"/>
                <w:szCs w:val="24"/>
              </w:rPr>
              <w:t>2.17</w:t>
            </w:r>
          </w:p>
        </w:tc>
        <w:tc>
          <w:tcPr>
            <w:tcW w:w="1417" w:type="dxa"/>
            <w:vAlign w:val="center"/>
          </w:tcPr>
          <w:p>
            <w:pPr>
              <w:spacing w:line="360" w:lineRule="auto"/>
              <w:jc w:val="center"/>
              <w:rPr>
                <w:rFonts w:ascii="宋体" w:hAnsi="宋体"/>
                <w:sz w:val="24"/>
                <w:szCs w:val="24"/>
              </w:rPr>
            </w:pPr>
            <w:r>
              <w:rPr>
                <w:rFonts w:hint="eastAsia" w:ascii="宋体" w:hAnsi="宋体"/>
                <w:sz w:val="24"/>
                <w:szCs w:val="24"/>
              </w:rPr>
              <w:t>竞争性磋商地点</w:t>
            </w:r>
          </w:p>
        </w:tc>
        <w:tc>
          <w:tcPr>
            <w:tcW w:w="7298" w:type="dxa"/>
            <w:tcBorders>
              <w:top w:val="single" w:color="auto" w:sz="4" w:space="0"/>
              <w:bottom w:val="single" w:color="auto" w:sz="4" w:space="0"/>
            </w:tcBorders>
            <w:vAlign w:val="center"/>
          </w:tcPr>
          <w:p>
            <w:pPr>
              <w:spacing w:line="360" w:lineRule="auto"/>
              <w:rPr>
                <w:rFonts w:ascii="宋体" w:hAnsi="宋体"/>
                <w:b/>
                <w:sz w:val="24"/>
                <w:szCs w:val="24"/>
              </w:rPr>
            </w:pPr>
            <w:r>
              <w:rPr>
                <w:rFonts w:hint="eastAsia" w:ascii="宋体" w:hAnsi="宋体"/>
                <w:b w:val="0"/>
                <w:bCs/>
                <w:sz w:val="24"/>
                <w:szCs w:val="24"/>
              </w:rPr>
              <w:t>乌鲁木齐市水磨沟区龙盛街与龙腾路交叉路口浙商大厦11楼会议室</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1061" w:type="dxa"/>
            <w:tcBorders>
              <w:bottom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2.18</w:t>
            </w:r>
          </w:p>
        </w:tc>
        <w:tc>
          <w:tcPr>
            <w:tcW w:w="1417" w:type="dxa"/>
            <w:tcBorders>
              <w:bottom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公布媒体</w:t>
            </w:r>
          </w:p>
        </w:tc>
        <w:tc>
          <w:tcPr>
            <w:tcW w:w="7298" w:type="dxa"/>
            <w:tcBorders>
              <w:top w:val="single" w:color="auto" w:sz="4" w:space="0"/>
              <w:bottom w:val="single" w:color="auto" w:sz="4" w:space="0"/>
            </w:tcBorders>
            <w:vAlign w:val="center"/>
          </w:tcPr>
          <w:p>
            <w:pPr>
              <w:spacing w:line="360" w:lineRule="auto"/>
              <w:rPr>
                <w:rFonts w:ascii="宋体" w:hAnsi="宋体"/>
                <w:sz w:val="24"/>
                <w:szCs w:val="24"/>
              </w:rPr>
            </w:pPr>
            <w:r>
              <w:rPr>
                <w:rFonts w:hint="eastAsia" w:ascii="宋体" w:hAnsi="宋体"/>
                <w:sz w:val="24"/>
                <w:szCs w:val="24"/>
              </w:rPr>
              <w:t>新疆政府采购网</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1061" w:type="dxa"/>
            <w:tcBorders>
              <w:bottom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2.19</w:t>
            </w:r>
          </w:p>
        </w:tc>
        <w:tc>
          <w:tcPr>
            <w:tcW w:w="1417" w:type="dxa"/>
            <w:tcBorders>
              <w:bottom w:val="single" w:color="auto" w:sz="4" w:space="0"/>
            </w:tcBorders>
            <w:vAlign w:val="center"/>
          </w:tcPr>
          <w:p>
            <w:pPr>
              <w:spacing w:line="360" w:lineRule="auto"/>
              <w:jc w:val="center"/>
              <w:rPr>
                <w:rFonts w:ascii="宋体" w:hAnsi="宋体"/>
                <w:sz w:val="24"/>
                <w:szCs w:val="24"/>
              </w:rPr>
            </w:pPr>
            <w:r>
              <w:rPr>
                <w:rFonts w:hint="eastAsia" w:cs="Arial" w:asciiTheme="minorEastAsia" w:hAnsiTheme="minorEastAsia" w:eastAsiaTheme="minorEastAsia"/>
                <w:color w:val="000000"/>
                <w:sz w:val="24"/>
                <w:szCs w:val="24"/>
              </w:rPr>
              <w:t>报价方式</w:t>
            </w:r>
          </w:p>
        </w:tc>
        <w:tc>
          <w:tcPr>
            <w:tcW w:w="7298" w:type="dxa"/>
            <w:tcBorders>
              <w:top w:val="single" w:color="auto" w:sz="4" w:space="0"/>
              <w:bottom w:val="single" w:color="auto" w:sz="4" w:space="0"/>
            </w:tcBorders>
            <w:vAlign w:val="center"/>
          </w:tcPr>
          <w:p>
            <w:pPr>
              <w:spacing w:line="360" w:lineRule="auto"/>
              <w:rPr>
                <w:rFonts w:ascii="宋体" w:hAnsi="宋体"/>
                <w:sz w:val="24"/>
                <w:szCs w:val="24"/>
              </w:rPr>
            </w:pPr>
            <w:r>
              <w:rPr>
                <w:rFonts w:hint="eastAsia" w:cs="Arial" w:asciiTheme="minorEastAsia" w:hAnsiTheme="minorEastAsia" w:eastAsiaTheme="minorEastAsia"/>
                <w:color w:val="000000"/>
                <w:sz w:val="24"/>
                <w:szCs w:val="24"/>
              </w:rPr>
              <w:t>二轮报价（第二轮报价为最终报价）</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1061" w:type="dxa"/>
            <w:tcBorders>
              <w:top w:val="single" w:color="auto" w:sz="4" w:space="0"/>
              <w:bottom w:val="double" w:color="auto" w:sz="6" w:space="0"/>
            </w:tcBorders>
            <w:vAlign w:val="center"/>
          </w:tcPr>
          <w:p>
            <w:pPr>
              <w:spacing w:line="360" w:lineRule="auto"/>
              <w:jc w:val="center"/>
              <w:rPr>
                <w:rFonts w:ascii="宋体" w:hAnsi="宋体"/>
                <w:sz w:val="24"/>
                <w:szCs w:val="24"/>
              </w:rPr>
            </w:pPr>
            <w:r>
              <w:rPr>
                <w:rFonts w:hint="eastAsia" w:ascii="宋体" w:hAnsi="宋体"/>
                <w:sz w:val="24"/>
                <w:szCs w:val="24"/>
              </w:rPr>
              <w:t>2.20</w:t>
            </w:r>
          </w:p>
        </w:tc>
        <w:tc>
          <w:tcPr>
            <w:tcW w:w="1417" w:type="dxa"/>
            <w:tcBorders>
              <w:top w:val="single" w:color="auto" w:sz="4" w:space="0"/>
              <w:bottom w:val="double" w:color="auto" w:sz="6" w:space="0"/>
            </w:tcBorders>
            <w:vAlign w:val="center"/>
          </w:tcPr>
          <w:p>
            <w:pPr>
              <w:spacing w:line="360" w:lineRule="auto"/>
              <w:jc w:val="center"/>
              <w:rPr>
                <w:rFonts w:ascii="宋体" w:hAnsi="宋体"/>
                <w:sz w:val="24"/>
                <w:szCs w:val="24"/>
              </w:rPr>
            </w:pPr>
            <w:r>
              <w:rPr>
                <w:rFonts w:hint="eastAsia" w:ascii="宋体" w:hAnsi="宋体"/>
                <w:sz w:val="24"/>
                <w:szCs w:val="24"/>
              </w:rPr>
              <w:t>履约保证金</w:t>
            </w:r>
          </w:p>
        </w:tc>
        <w:tc>
          <w:tcPr>
            <w:tcW w:w="7298" w:type="dxa"/>
            <w:tcBorders>
              <w:top w:val="single" w:color="auto" w:sz="4" w:space="0"/>
              <w:bottom w:val="double" w:color="auto" w:sz="6" w:space="0"/>
            </w:tcBorders>
            <w:vAlign w:val="center"/>
          </w:tcPr>
          <w:p>
            <w:pPr>
              <w:spacing w:line="360" w:lineRule="auto"/>
              <w:rPr>
                <w:rFonts w:ascii="宋体" w:hAnsi="宋体"/>
                <w:sz w:val="24"/>
                <w:szCs w:val="24"/>
              </w:rPr>
            </w:pPr>
            <w:r>
              <w:rPr>
                <w:rFonts w:hint="eastAsia" w:ascii="宋体" w:hAnsi="宋体"/>
                <w:sz w:val="24"/>
                <w:szCs w:val="24"/>
              </w:rPr>
              <w:t>无</w:t>
            </w:r>
          </w:p>
        </w:tc>
      </w:tr>
    </w:tbl>
    <w:p>
      <w:pPr>
        <w:pStyle w:val="4"/>
        <w:spacing w:before="100" w:beforeAutospacing="1" w:after="100" w:afterAutospacing="1" w:line="360" w:lineRule="auto"/>
        <w:jc w:val="center"/>
        <w:rPr>
          <w:rFonts w:eastAsia="宋体" w:cs="Arial"/>
          <w:sz w:val="28"/>
          <w:szCs w:val="28"/>
        </w:rPr>
      </w:pPr>
      <w:r>
        <w:rPr>
          <w:rFonts w:eastAsia="宋体" w:cs="Arial"/>
          <w:sz w:val="28"/>
          <w:szCs w:val="28"/>
        </w:rPr>
        <w:br w:type="page"/>
      </w:r>
      <w:bookmarkStart w:id="15" w:name="_Toc462223632"/>
      <w:bookmarkStart w:id="16" w:name="_Toc267301282"/>
      <w:bookmarkStart w:id="17" w:name="_Toc349573121"/>
      <w:bookmarkStart w:id="18" w:name="_Toc349637920"/>
      <w:bookmarkStart w:id="19" w:name="_Toc298240405"/>
    </w:p>
    <w:p>
      <w:pPr>
        <w:pStyle w:val="4"/>
        <w:spacing w:before="100" w:beforeAutospacing="1" w:after="100" w:afterAutospacing="1" w:line="360" w:lineRule="auto"/>
        <w:jc w:val="center"/>
        <w:rPr>
          <w:rFonts w:cs="Arial" w:asciiTheme="minorEastAsia" w:hAnsiTheme="minorEastAsia" w:eastAsiaTheme="minorEastAsia"/>
          <w:sz w:val="28"/>
          <w:szCs w:val="28"/>
        </w:rPr>
      </w:pPr>
      <w:r>
        <w:rPr>
          <w:rFonts w:asciiTheme="minorEastAsia" w:hAnsiTheme="minorEastAsia" w:eastAsiaTheme="minorEastAsia"/>
          <w:szCs w:val="32"/>
        </w:rPr>
        <w:t>第</w:t>
      </w:r>
      <w:r>
        <w:rPr>
          <w:rFonts w:hint="eastAsia" w:asciiTheme="minorEastAsia" w:hAnsiTheme="minorEastAsia" w:eastAsiaTheme="minorEastAsia"/>
          <w:szCs w:val="32"/>
        </w:rPr>
        <w:t xml:space="preserve">三章 </w:t>
      </w:r>
      <w:r>
        <w:rPr>
          <w:rFonts w:asciiTheme="minorEastAsia" w:hAnsiTheme="minorEastAsia" w:eastAsiaTheme="minorEastAsia"/>
          <w:szCs w:val="32"/>
        </w:rPr>
        <w:t>供应商须知</w:t>
      </w:r>
    </w:p>
    <w:bookmarkEnd w:id="15"/>
    <w:bookmarkEnd w:id="16"/>
    <w:bookmarkEnd w:id="17"/>
    <w:bookmarkEnd w:id="18"/>
    <w:bookmarkEnd w:id="19"/>
    <w:p>
      <w:pPr>
        <w:spacing w:line="360" w:lineRule="auto"/>
        <w:rPr>
          <w:rFonts w:ascii="宋体" w:hAnsi="宋体"/>
          <w:b/>
          <w:sz w:val="28"/>
          <w:szCs w:val="28"/>
        </w:rPr>
      </w:pPr>
      <w:bookmarkStart w:id="20" w:name="_Toc327439436"/>
      <w:r>
        <w:rPr>
          <w:rFonts w:hint="eastAsia" w:ascii="宋体" w:hAnsi="宋体"/>
          <w:b/>
          <w:sz w:val="28"/>
          <w:szCs w:val="28"/>
        </w:rPr>
        <w:t>3.1 磋商文件涉及术语的内涵及解释</w:t>
      </w:r>
      <w:bookmarkEnd w:id="20"/>
    </w:p>
    <w:p>
      <w:pPr>
        <w:spacing w:line="360" w:lineRule="auto"/>
        <w:ind w:firstLine="480" w:firstLineChars="200"/>
        <w:rPr>
          <w:rFonts w:ascii="宋体" w:hAnsi="宋体"/>
          <w:sz w:val="24"/>
        </w:rPr>
      </w:pPr>
      <w:r>
        <w:rPr>
          <w:rFonts w:hint="eastAsia" w:ascii="宋体" w:hAnsi="宋体"/>
          <w:sz w:val="24"/>
        </w:rPr>
        <w:t>1)“政府采购当事人”是指在政府采购活动中享有权利和承担义务的各类主体，包括采购人、供应商和采购代理机构等。</w:t>
      </w:r>
    </w:p>
    <w:p>
      <w:pPr>
        <w:spacing w:line="360" w:lineRule="auto"/>
        <w:ind w:firstLine="480" w:firstLineChars="200"/>
        <w:rPr>
          <w:rFonts w:ascii="宋体" w:hAnsi="宋体"/>
          <w:b/>
          <w:sz w:val="24"/>
        </w:rPr>
      </w:pPr>
      <w:r>
        <w:rPr>
          <w:rFonts w:hint="eastAsia" w:ascii="宋体" w:hAnsi="宋体"/>
          <w:sz w:val="24"/>
        </w:rPr>
        <w:t>2)“采购人”和“需方”是</w:t>
      </w:r>
      <w:r>
        <w:rPr>
          <w:rFonts w:ascii="宋体" w:hAnsi="宋体"/>
          <w:sz w:val="24"/>
        </w:rPr>
        <w:t>指</w:t>
      </w:r>
      <w:r>
        <w:rPr>
          <w:rFonts w:hint="eastAsia" w:cs="宋体" w:asciiTheme="minorEastAsia" w:hAnsiTheme="minorEastAsia" w:eastAsiaTheme="minorEastAsia"/>
          <w:color w:val="000000"/>
          <w:kern w:val="0"/>
          <w:sz w:val="24"/>
          <w:szCs w:val="24"/>
          <w:lang w:eastAsia="zh-CN"/>
        </w:rPr>
        <w:t>新疆维吾尔自治区药品监督管理局</w:t>
      </w:r>
      <w:r>
        <w:rPr>
          <w:rFonts w:hint="eastAsia" w:ascii="宋体" w:hAnsi="宋体"/>
          <w:sz w:val="24"/>
        </w:rPr>
        <w:t>。</w:t>
      </w:r>
    </w:p>
    <w:p>
      <w:pPr>
        <w:spacing w:line="360" w:lineRule="auto"/>
        <w:ind w:firstLine="480" w:firstLineChars="200"/>
        <w:rPr>
          <w:rFonts w:ascii="宋体" w:hAnsi="宋体"/>
          <w:sz w:val="24"/>
          <w:u w:val="single"/>
        </w:rPr>
      </w:pPr>
      <w:r>
        <w:rPr>
          <w:rFonts w:hint="eastAsia" w:ascii="宋体" w:hAnsi="宋体"/>
          <w:sz w:val="24"/>
        </w:rPr>
        <w:t>3)“招标代理机构”是指</w:t>
      </w:r>
      <w:r>
        <w:rPr>
          <w:rFonts w:hint="eastAsia" w:ascii="宋体" w:hAnsi="宋体"/>
          <w:sz w:val="24"/>
          <w:lang w:eastAsia="zh-CN"/>
        </w:rPr>
        <w:t>新疆天之源项目管理集团有限公司</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4)“磋商人”是指向本次招标人提交磋商响应性文件的供应商。</w:t>
      </w:r>
    </w:p>
    <w:p>
      <w:pPr>
        <w:spacing w:line="360" w:lineRule="auto"/>
        <w:ind w:firstLine="480" w:firstLineChars="200"/>
        <w:rPr>
          <w:rFonts w:ascii="宋体" w:hAnsi="宋体"/>
          <w:sz w:val="24"/>
        </w:rPr>
      </w:pPr>
      <w:r>
        <w:rPr>
          <w:rFonts w:hint="eastAsia" w:ascii="宋体" w:hAnsi="宋体"/>
          <w:sz w:val="24"/>
        </w:rPr>
        <w:t>5)“供应商”是指向采购人提供货物、工程或者服务的法人、其他组织或者自然人。</w:t>
      </w:r>
    </w:p>
    <w:p>
      <w:pPr>
        <w:spacing w:line="360" w:lineRule="auto"/>
        <w:ind w:firstLine="480" w:firstLineChars="200"/>
        <w:rPr>
          <w:rFonts w:ascii="宋体" w:hAnsi="宋体"/>
          <w:sz w:val="24"/>
        </w:rPr>
      </w:pPr>
      <w:r>
        <w:rPr>
          <w:rFonts w:hint="eastAsia" w:ascii="宋体" w:hAnsi="宋体"/>
          <w:sz w:val="24"/>
        </w:rPr>
        <w:t>6)“磋商文件”是指由招标人发出的文本、文件，包括全部章节和附件及答疑会议纪要。</w:t>
      </w:r>
    </w:p>
    <w:p>
      <w:pPr>
        <w:spacing w:line="360" w:lineRule="auto"/>
        <w:ind w:firstLine="480" w:firstLineChars="200"/>
        <w:rPr>
          <w:rFonts w:ascii="宋体" w:hAnsi="宋体"/>
          <w:sz w:val="24"/>
        </w:rPr>
      </w:pPr>
      <w:r>
        <w:rPr>
          <w:rFonts w:hint="eastAsia" w:ascii="宋体" w:hAnsi="宋体"/>
          <w:sz w:val="24"/>
        </w:rPr>
        <w:t>7)</w:t>
      </w:r>
      <w:r>
        <w:rPr>
          <w:rFonts w:hint="eastAsia"/>
          <w:sz w:val="24"/>
        </w:rPr>
        <w:t xml:space="preserve"> “磋商响应性文件”是指磋商人根据本磋商文件向招标人提交的全部文件。</w:t>
      </w:r>
      <w:r>
        <w:rPr>
          <w:rFonts w:hint="eastAsia" w:ascii="宋体" w:hAnsi="宋体"/>
          <w:sz w:val="24"/>
        </w:rPr>
        <w:t>磋商供应商必须保证磋商响应性文件所提供的全部资料真实可靠，并接受招标代理机构对其中任何资料进一步审查的要求。</w:t>
      </w:r>
    </w:p>
    <w:p>
      <w:pPr>
        <w:spacing w:line="360" w:lineRule="auto"/>
        <w:ind w:firstLine="480" w:firstLineChars="200"/>
        <w:rPr>
          <w:rFonts w:ascii="宋体" w:hAnsi="宋体"/>
          <w:sz w:val="24"/>
        </w:rPr>
      </w:pPr>
      <w:r>
        <w:rPr>
          <w:rFonts w:hint="eastAsia" w:ascii="宋体" w:hAnsi="宋体"/>
          <w:sz w:val="24"/>
        </w:rPr>
        <w:t>8)“采购文件”</w:t>
      </w:r>
      <w:bookmarkStart w:id="21" w:name="_Toc327439437"/>
      <w:bookmarkStart w:id="22" w:name="_Toc400536539"/>
      <w:r>
        <w:rPr>
          <w:rFonts w:hint="eastAsia" w:ascii="宋体" w:hAnsi="宋体"/>
          <w:sz w:val="24"/>
        </w:rPr>
        <w:t>是指包括采购活动记录、采购预算、磋商文件、响应文件、评审报告、成交供应商确定文件、合同文本、验收证明、质疑答复、投诉处理决定及其他有关文件、资料。</w:t>
      </w:r>
    </w:p>
    <w:p>
      <w:pPr>
        <w:spacing w:line="360" w:lineRule="auto"/>
        <w:ind w:firstLine="480" w:firstLineChars="200"/>
        <w:rPr>
          <w:rFonts w:ascii="宋体" w:hAnsi="宋体"/>
          <w:sz w:val="24"/>
        </w:rPr>
      </w:pPr>
      <w:r>
        <w:rPr>
          <w:rFonts w:hint="eastAsia" w:ascii="宋体" w:hAnsi="宋体"/>
          <w:sz w:val="24"/>
        </w:rPr>
        <w:t>9)“货物”是指磋商人成交后根据磋商文件和合同的规定须向采购人提供的各种形态和种类的物品，包括原材料、燃料、设备等。</w:t>
      </w:r>
    </w:p>
    <w:p>
      <w:pPr>
        <w:spacing w:line="360" w:lineRule="auto"/>
        <w:ind w:firstLine="480" w:firstLineChars="200"/>
        <w:rPr>
          <w:rFonts w:ascii="宋体" w:hAnsi="宋体"/>
          <w:sz w:val="24"/>
        </w:rPr>
      </w:pPr>
      <w:r>
        <w:rPr>
          <w:rFonts w:hint="eastAsia" w:ascii="宋体" w:hAnsi="宋体"/>
          <w:sz w:val="24"/>
        </w:rPr>
        <w:t>10）“工程”是指建设工程，包括建筑物和构筑物的新建、改建、扩建、装修、拆除、修缮等。</w:t>
      </w:r>
    </w:p>
    <w:p>
      <w:pPr>
        <w:spacing w:line="360" w:lineRule="auto"/>
        <w:ind w:firstLine="480" w:firstLineChars="200"/>
        <w:rPr>
          <w:rFonts w:ascii="宋体" w:hAnsi="宋体"/>
          <w:sz w:val="24"/>
        </w:rPr>
      </w:pPr>
      <w:r>
        <w:rPr>
          <w:rFonts w:hint="eastAsia" w:ascii="宋体" w:hAnsi="宋体"/>
          <w:sz w:val="24"/>
        </w:rPr>
        <w:t>11)“安装”是指供应商中标后按磋商文件和合同的规定在项目现场所进行的安装、调试、检验、验收及修补缺陷等内容。供方应对所有现场作业、所有全部安装的完备性、稳定性和安全性负责。</w:t>
      </w:r>
    </w:p>
    <w:p>
      <w:pPr>
        <w:spacing w:line="360" w:lineRule="auto"/>
        <w:ind w:firstLine="480" w:firstLineChars="200"/>
        <w:rPr>
          <w:rFonts w:ascii="宋体" w:hAnsi="宋体"/>
          <w:sz w:val="24"/>
        </w:rPr>
      </w:pPr>
      <w:r>
        <w:rPr>
          <w:rFonts w:hint="eastAsia" w:ascii="宋体" w:hAnsi="宋体"/>
          <w:sz w:val="24"/>
        </w:rPr>
        <w:t>12)“服务”是指供方根据招标文件和合同的规定承担与供货有关的服务，包括运输、仓储、保险以及其它的伴随服务，如售后、安装、集成、调试、培训、技术支持、维护和维修以及其它使货物正常运转所必需的服务，更换和应承担的其它义务。</w:t>
      </w:r>
    </w:p>
    <w:p>
      <w:pPr>
        <w:spacing w:line="360" w:lineRule="auto"/>
        <w:ind w:firstLine="480" w:firstLineChars="200"/>
        <w:rPr>
          <w:rFonts w:ascii="宋体" w:hAnsi="宋体"/>
          <w:sz w:val="24"/>
        </w:rPr>
      </w:pPr>
      <w:r>
        <w:rPr>
          <w:rFonts w:hint="eastAsia" w:ascii="宋体" w:hAnsi="宋体"/>
          <w:sz w:val="24"/>
        </w:rPr>
        <w:t>13）“知识产权”是指通过签署磋商响应函，磋商供应商应确认其为所供硬件和软件的知识产权的合法所有人，或已经从其所有人那里得到了适当的授权。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供应商如欲在项目实施过程中采用自有知识成果，需在磋商响应性文件中声明，并提供相关知识产权证明文件。使用该知识成果后，供应商需提供开发接口和开发手册等技术文档，并承诺提供无限期技术支持，采购人享有永久使用权。如采用供应商所不拥有的知识产权，则在磋商报价中必须包括合法获取该知识产权的相关费用。</w:t>
      </w:r>
    </w:p>
    <w:p>
      <w:pPr>
        <w:spacing w:line="360" w:lineRule="auto"/>
        <w:ind w:firstLine="480" w:firstLineChars="200"/>
        <w:rPr>
          <w:rFonts w:ascii="宋体" w:hAnsi="宋体"/>
          <w:sz w:val="24"/>
        </w:rPr>
      </w:pPr>
      <w:r>
        <w:rPr>
          <w:rFonts w:hint="eastAsia" w:ascii="宋体" w:hAnsi="宋体"/>
          <w:sz w:val="24"/>
        </w:rPr>
        <w:t>14）“自主创新产品”是指纳入财政部公布的《政府采购自主创新产品目录》的货物和服务。</w:t>
      </w:r>
    </w:p>
    <w:p>
      <w:pPr>
        <w:spacing w:line="360" w:lineRule="auto"/>
        <w:ind w:firstLine="480" w:firstLineChars="200"/>
        <w:rPr>
          <w:rFonts w:ascii="宋体" w:hAnsi="宋体"/>
          <w:sz w:val="24"/>
        </w:rPr>
      </w:pPr>
      <w:r>
        <w:rPr>
          <w:rFonts w:hint="eastAsia" w:ascii="宋体" w:hAnsi="宋体"/>
          <w:sz w:val="24"/>
        </w:rPr>
        <w:t>15）“节能产品”或者“环保产品”是指列入财政部、国家发展改革委制定的《节能产品政府采购清单》和财政部、国家环境保护总局制定的《环境标志产品政府采购清单》的产品并在产品认证证书有效期内的。</w:t>
      </w:r>
    </w:p>
    <w:p>
      <w:pPr>
        <w:spacing w:line="360" w:lineRule="auto"/>
        <w:ind w:firstLine="480" w:firstLineChars="200"/>
        <w:rPr>
          <w:rFonts w:ascii="宋体" w:hAnsi="宋体"/>
          <w:sz w:val="24"/>
        </w:rPr>
      </w:pPr>
      <w:r>
        <w:rPr>
          <w:rFonts w:hint="eastAsia" w:ascii="宋体" w:hAnsi="宋体"/>
          <w:sz w:val="24"/>
        </w:rPr>
        <w:t>16）中小微企业投标是指符合《中小企业划型标准规定》的投标人，通过投标提供本企业制造的货物、承担的工程或者服务，或者提供其他中小微企业制造的货物。</w:t>
      </w:r>
    </w:p>
    <w:p>
      <w:pPr>
        <w:spacing w:line="360" w:lineRule="auto"/>
        <w:ind w:firstLine="480" w:firstLineChars="200"/>
        <w:rPr>
          <w:rFonts w:ascii="宋体" w:hAnsi="宋体"/>
          <w:sz w:val="24"/>
        </w:rPr>
      </w:pPr>
      <w:r>
        <w:rPr>
          <w:rFonts w:hint="eastAsia" w:ascii="宋体" w:hAnsi="宋体"/>
          <w:sz w:val="24"/>
        </w:rPr>
        <w:t>根据财库〔2014〕68 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微企业声明函》。</w:t>
      </w:r>
    </w:p>
    <w:p>
      <w:pPr>
        <w:spacing w:line="360" w:lineRule="auto"/>
        <w:ind w:firstLine="480" w:firstLineChars="200"/>
        <w:rPr>
          <w:rFonts w:ascii="宋体" w:hAnsi="宋体"/>
          <w:sz w:val="24"/>
        </w:rPr>
      </w:pPr>
      <w:r>
        <w:rPr>
          <w:rFonts w:hint="eastAsia" w:ascii="宋体" w:hAnsi="宋体"/>
          <w:sz w:val="24"/>
        </w:rPr>
        <w:t>根据《财政部 民政部 中国残疾人联合会关于促进残疾人就业政府采购政策的通知》（财库〔2017〕141 号）的规定，残疾人福利性单位视同为小型、微型企业。</w:t>
      </w:r>
    </w:p>
    <w:p>
      <w:pPr>
        <w:spacing w:line="360" w:lineRule="auto"/>
        <w:ind w:firstLine="480" w:firstLineChars="200"/>
        <w:rPr>
          <w:rFonts w:ascii="宋体" w:hAnsi="宋体"/>
          <w:sz w:val="24"/>
        </w:rPr>
      </w:pPr>
      <w:r>
        <w:rPr>
          <w:rFonts w:hint="eastAsia" w:ascii="宋体" w:hAnsi="宋体"/>
          <w:sz w:val="24"/>
        </w:rPr>
        <w:t>17）“进口产品”是指通过中国海关报关验收进入中国境内且产自关境外的产品。详见《关于政府采购进口产品管理有关问题的通知》(财库[2007]119 号)。经财政监管部门审核管理，并经进口论证后方可采购进口产品。</w:t>
      </w:r>
    </w:p>
    <w:p>
      <w:pPr>
        <w:spacing w:line="360" w:lineRule="auto"/>
        <w:ind w:firstLine="480" w:firstLineChars="200"/>
        <w:rPr>
          <w:rFonts w:ascii="宋体" w:hAnsi="宋体"/>
          <w:sz w:val="24"/>
        </w:rPr>
      </w:pPr>
      <w:r>
        <w:rPr>
          <w:rFonts w:hint="eastAsia" w:ascii="宋体" w:hAnsi="宋体"/>
          <w:sz w:val="24"/>
        </w:rPr>
        <w:t>18) “书面形式”是指任何手写、打印或印刷的各种函件，不包括电传、电报、传真、电子邮件。</w:t>
      </w:r>
    </w:p>
    <w:bookmarkEnd w:id="21"/>
    <w:bookmarkEnd w:id="22"/>
    <w:p>
      <w:pPr>
        <w:spacing w:line="360" w:lineRule="auto"/>
        <w:rPr>
          <w:rFonts w:ascii="宋体" w:hAnsi="宋体"/>
          <w:b/>
          <w:sz w:val="28"/>
          <w:szCs w:val="28"/>
        </w:rPr>
      </w:pPr>
      <w:bookmarkStart w:id="23" w:name="_Toc327439438"/>
      <w:r>
        <w:rPr>
          <w:rFonts w:hint="eastAsia" w:ascii="宋体" w:hAnsi="宋体"/>
          <w:b/>
          <w:sz w:val="28"/>
          <w:szCs w:val="28"/>
        </w:rPr>
        <w:t xml:space="preserve">3.2 </w:t>
      </w:r>
      <w:bookmarkEnd w:id="23"/>
      <w:r>
        <w:rPr>
          <w:rFonts w:hint="eastAsia" w:ascii="宋体" w:hAnsi="宋体"/>
          <w:b/>
          <w:sz w:val="28"/>
          <w:szCs w:val="28"/>
        </w:rPr>
        <w:t>磋商文件</w:t>
      </w:r>
    </w:p>
    <w:p>
      <w:pPr>
        <w:spacing w:line="360" w:lineRule="auto"/>
        <w:rPr>
          <w:rFonts w:ascii="宋体" w:hAnsi="宋体"/>
          <w:b/>
          <w:sz w:val="24"/>
        </w:rPr>
      </w:pPr>
      <w:bookmarkStart w:id="24" w:name="_Toc400536540"/>
      <w:bookmarkStart w:id="25" w:name="_Toc327439439"/>
      <w:r>
        <w:rPr>
          <w:rFonts w:hint="eastAsia" w:ascii="宋体" w:hAnsi="宋体"/>
          <w:b/>
          <w:sz w:val="24"/>
        </w:rPr>
        <w:t xml:space="preserve">  3.2.1 综合说明</w:t>
      </w:r>
      <w:bookmarkEnd w:id="24"/>
      <w:bookmarkEnd w:id="25"/>
    </w:p>
    <w:p>
      <w:pPr>
        <w:spacing w:line="360" w:lineRule="auto"/>
        <w:rPr>
          <w:rFonts w:ascii="宋体" w:hAnsi="宋体"/>
          <w:sz w:val="24"/>
        </w:rPr>
      </w:pPr>
      <w:bookmarkStart w:id="26" w:name="_Toc400536541"/>
      <w:bookmarkStart w:id="27" w:name="_Toc327439440"/>
      <w:bookmarkStart w:id="28" w:name="_Toc128372061"/>
      <w:bookmarkStart w:id="29" w:name="_Toc139965335"/>
      <w:bookmarkStart w:id="30" w:name="_Toc128372739"/>
      <w:r>
        <w:rPr>
          <w:rFonts w:hint="eastAsia" w:ascii="宋体" w:hAnsi="宋体"/>
          <w:sz w:val="24"/>
        </w:rPr>
        <w:t xml:space="preserve">    本项目按照《中华人民共和国政府采购法》及相关法规，已办理磋商申请，并得到招标管理机构批准，现通过磋商来择优选定货物服务的供应商。本磋商文件包括本文所列内容及按本须知发出的全部和补充资料。磋商供应商应认真阅读本磋商文件中所有的事项、格式、条款、技术规范等实质性的条件和要求。磋商供应商被视为充分熟悉本磋商项目的全部内容及与履行合同有关的全部内容，熟悉磋商文件的格式、条件和范围。磋商供应商没有按照磋商文件的要求提交相关资料，或者磋商供应商没有对磋商文件相关内容都做出实质性响应是磋商供应商的风险，并可能导致其响应无效。</w:t>
      </w:r>
    </w:p>
    <w:p>
      <w:pPr>
        <w:spacing w:line="360" w:lineRule="auto"/>
        <w:rPr>
          <w:rFonts w:ascii="宋体" w:hAnsi="宋体"/>
          <w:b/>
          <w:sz w:val="24"/>
        </w:rPr>
      </w:pPr>
      <w:r>
        <w:rPr>
          <w:rFonts w:hint="eastAsia" w:ascii="宋体" w:hAnsi="宋体"/>
          <w:b/>
          <w:sz w:val="24"/>
        </w:rPr>
        <w:t>3.2.2磋商文件的构成</w:t>
      </w:r>
    </w:p>
    <w:p>
      <w:pPr>
        <w:spacing w:line="360" w:lineRule="auto"/>
        <w:ind w:firstLine="235" w:firstLineChars="98"/>
        <w:rPr>
          <w:rFonts w:ascii="宋体" w:hAnsi="宋体"/>
          <w:sz w:val="24"/>
        </w:rPr>
      </w:pPr>
      <w:r>
        <w:rPr>
          <w:rFonts w:hint="eastAsia" w:ascii="宋体" w:hAnsi="宋体"/>
          <w:sz w:val="24"/>
        </w:rPr>
        <w:t xml:space="preserve">  磋商文件用以阐明招标项目所需的资质、技术、服务及报价等要求、招标投标程序、有关规定和注意事项以及合同主要条款等。本磋商文件包括以下内容：</w:t>
      </w:r>
    </w:p>
    <w:p>
      <w:pPr>
        <w:numPr>
          <w:ilvl w:val="0"/>
          <w:numId w:val="1"/>
        </w:numPr>
        <w:spacing w:line="360" w:lineRule="auto"/>
        <w:rPr>
          <w:rFonts w:ascii="宋体" w:hAnsi="宋体"/>
          <w:sz w:val="24"/>
        </w:rPr>
      </w:pPr>
      <w:r>
        <w:rPr>
          <w:rFonts w:hint="eastAsia" w:ascii="宋体" w:hAnsi="宋体"/>
          <w:sz w:val="24"/>
        </w:rPr>
        <w:t>磋商公告</w:t>
      </w:r>
    </w:p>
    <w:p>
      <w:pPr>
        <w:numPr>
          <w:ilvl w:val="0"/>
          <w:numId w:val="1"/>
        </w:numPr>
        <w:spacing w:line="360" w:lineRule="auto"/>
        <w:rPr>
          <w:rFonts w:ascii="宋体" w:hAnsi="宋体"/>
          <w:sz w:val="24"/>
        </w:rPr>
      </w:pPr>
      <w:r>
        <w:rPr>
          <w:rFonts w:hint="eastAsia" w:ascii="宋体" w:hAnsi="宋体"/>
          <w:sz w:val="24"/>
        </w:rPr>
        <w:t>供应商须知前附表</w:t>
      </w:r>
    </w:p>
    <w:p>
      <w:pPr>
        <w:numPr>
          <w:ilvl w:val="0"/>
          <w:numId w:val="1"/>
        </w:numPr>
        <w:spacing w:line="360" w:lineRule="auto"/>
        <w:rPr>
          <w:rFonts w:ascii="宋体" w:hAnsi="宋体"/>
          <w:sz w:val="24"/>
        </w:rPr>
      </w:pPr>
      <w:r>
        <w:rPr>
          <w:rFonts w:hint="eastAsia" w:ascii="宋体" w:hAnsi="宋体"/>
          <w:sz w:val="24"/>
        </w:rPr>
        <w:t>供应商须知</w:t>
      </w:r>
    </w:p>
    <w:p>
      <w:pPr>
        <w:numPr>
          <w:ilvl w:val="0"/>
          <w:numId w:val="1"/>
        </w:numPr>
        <w:spacing w:line="360" w:lineRule="auto"/>
        <w:rPr>
          <w:rFonts w:ascii="宋体" w:hAnsi="宋体"/>
          <w:sz w:val="24"/>
        </w:rPr>
      </w:pPr>
      <w:r>
        <w:rPr>
          <w:rFonts w:hint="eastAsia" w:ascii="宋体" w:hAnsi="宋体"/>
          <w:sz w:val="24"/>
        </w:rPr>
        <w:t>项目需求</w:t>
      </w:r>
    </w:p>
    <w:p>
      <w:pPr>
        <w:numPr>
          <w:ilvl w:val="0"/>
          <w:numId w:val="1"/>
        </w:numPr>
        <w:spacing w:line="360" w:lineRule="auto"/>
        <w:rPr>
          <w:rFonts w:ascii="宋体" w:hAnsi="宋体"/>
          <w:sz w:val="24"/>
        </w:rPr>
      </w:pPr>
      <w:r>
        <w:rPr>
          <w:rFonts w:hint="eastAsia" w:ascii="宋体" w:hAnsi="宋体"/>
          <w:sz w:val="24"/>
        </w:rPr>
        <w:t>磋商原则及办法</w:t>
      </w:r>
    </w:p>
    <w:p>
      <w:pPr>
        <w:numPr>
          <w:ilvl w:val="0"/>
          <w:numId w:val="1"/>
        </w:numPr>
        <w:spacing w:line="360" w:lineRule="auto"/>
        <w:rPr>
          <w:rFonts w:ascii="宋体" w:hAnsi="宋体"/>
          <w:sz w:val="24"/>
        </w:rPr>
      </w:pPr>
      <w:r>
        <w:rPr>
          <w:rFonts w:hint="eastAsia" w:ascii="宋体" w:hAnsi="宋体"/>
          <w:sz w:val="24"/>
        </w:rPr>
        <w:t>合同条款及格式</w:t>
      </w:r>
    </w:p>
    <w:p>
      <w:pPr>
        <w:numPr>
          <w:ilvl w:val="0"/>
          <w:numId w:val="1"/>
        </w:numPr>
        <w:spacing w:line="360" w:lineRule="auto"/>
        <w:rPr>
          <w:rFonts w:ascii="宋体" w:hAnsi="宋体"/>
          <w:sz w:val="24"/>
        </w:rPr>
      </w:pPr>
      <w:r>
        <w:rPr>
          <w:rFonts w:hint="eastAsia" w:ascii="宋体" w:hAnsi="宋体"/>
          <w:sz w:val="24"/>
        </w:rPr>
        <w:t>附件（响应文件格式）</w:t>
      </w:r>
    </w:p>
    <w:p>
      <w:pPr>
        <w:spacing w:line="360" w:lineRule="auto"/>
        <w:rPr>
          <w:rFonts w:ascii="宋体" w:hAnsi="宋体"/>
          <w:b/>
          <w:sz w:val="24"/>
        </w:rPr>
      </w:pPr>
      <w:r>
        <w:rPr>
          <w:rFonts w:hint="eastAsia" w:ascii="宋体" w:hAnsi="宋体"/>
          <w:b/>
          <w:sz w:val="24"/>
        </w:rPr>
        <w:t>3.2.3磋商文件的修改与补充</w:t>
      </w:r>
      <w:bookmarkEnd w:id="26"/>
      <w:bookmarkEnd w:id="27"/>
      <w:bookmarkEnd w:id="28"/>
      <w:bookmarkEnd w:id="29"/>
      <w:bookmarkEnd w:id="30"/>
    </w:p>
    <w:p>
      <w:pPr>
        <w:spacing w:line="360" w:lineRule="auto"/>
        <w:ind w:firstLine="480" w:firstLineChars="200"/>
        <w:rPr>
          <w:rFonts w:ascii="宋体" w:hAnsi="宋体"/>
          <w:sz w:val="24"/>
        </w:rPr>
      </w:pPr>
      <w:bookmarkStart w:id="31" w:name="_Toc327439441"/>
      <w:r>
        <w:rPr>
          <w:rFonts w:hint="eastAsia" w:ascii="宋体" w:hAnsi="宋体"/>
          <w:sz w:val="24"/>
        </w:rPr>
        <w:t>磋商截止日期3天前，无论出于何种原因，招标人可主动地或在解答磋商供应商提出的问题时对磋商文件进行修改。</w:t>
      </w:r>
    </w:p>
    <w:p>
      <w:pPr>
        <w:spacing w:line="360" w:lineRule="auto"/>
        <w:ind w:firstLine="480" w:firstLineChars="200"/>
        <w:rPr>
          <w:rFonts w:ascii="宋体" w:hAnsi="宋体"/>
          <w:sz w:val="24"/>
        </w:rPr>
      </w:pPr>
      <w:r>
        <w:rPr>
          <w:rFonts w:hint="eastAsia" w:ascii="宋体" w:hAnsi="宋体"/>
          <w:sz w:val="24"/>
        </w:rPr>
        <w:t>磋商文件的修改将以书面形式或网上公告的形式通知所有获取磋商文件的供应商，并对其具有约束力。供应商在被告知、收到上述公告、通知或答疑书后，应立即向招标代理机构回函确认。未确认情况应当视为对磋商文件修改的知晓，也将视为对修改内容接受的默认。对于未在磋商响应性文件中对修改内容做实质性响应的，对其产生的不利因素由未确认者自行承担。</w:t>
      </w:r>
    </w:p>
    <w:p>
      <w:pPr>
        <w:spacing w:line="360" w:lineRule="auto"/>
        <w:ind w:firstLine="480" w:firstLineChars="200"/>
        <w:rPr>
          <w:rFonts w:ascii="宋体" w:hAnsi="宋体"/>
          <w:sz w:val="24"/>
        </w:rPr>
      </w:pPr>
      <w:r>
        <w:rPr>
          <w:rFonts w:hint="eastAsia" w:ascii="宋体" w:hAnsi="宋体"/>
          <w:sz w:val="24"/>
        </w:rPr>
        <w:t>为使磋商供应商准备磋商时有充分时间对磋商文件的补充或修改内容进行考虑和研究或由于其他原因，招标人可决定是否延长磋商文件递交截止时间和开标时间，并将此变更通知上述每一磋商供应商。</w:t>
      </w:r>
    </w:p>
    <w:p>
      <w:pPr>
        <w:spacing w:line="360" w:lineRule="auto"/>
        <w:rPr>
          <w:rFonts w:ascii="宋体" w:hAnsi="宋体"/>
          <w:b/>
          <w:sz w:val="28"/>
          <w:szCs w:val="28"/>
        </w:rPr>
      </w:pPr>
      <w:r>
        <w:rPr>
          <w:rFonts w:hint="eastAsia" w:ascii="宋体" w:hAnsi="宋体"/>
          <w:b/>
          <w:sz w:val="28"/>
          <w:szCs w:val="28"/>
        </w:rPr>
        <w:t>3.</w:t>
      </w:r>
      <w:bookmarkEnd w:id="31"/>
      <w:r>
        <w:rPr>
          <w:rFonts w:hint="eastAsia" w:ascii="宋体" w:hAnsi="宋体"/>
          <w:b/>
          <w:sz w:val="28"/>
          <w:szCs w:val="28"/>
        </w:rPr>
        <w:t>3磋商响应文件</w:t>
      </w:r>
    </w:p>
    <w:p>
      <w:pPr>
        <w:spacing w:line="360" w:lineRule="auto"/>
        <w:rPr>
          <w:rFonts w:ascii="宋体" w:hAnsi="宋体"/>
          <w:b/>
          <w:sz w:val="24"/>
        </w:rPr>
      </w:pPr>
      <w:bookmarkStart w:id="32" w:name="_Toc400536542"/>
      <w:bookmarkStart w:id="33" w:name="_Toc327439442"/>
      <w:r>
        <w:rPr>
          <w:rFonts w:hint="eastAsia" w:ascii="宋体" w:hAnsi="宋体"/>
          <w:b/>
          <w:sz w:val="24"/>
        </w:rPr>
        <w:t>3.3.1</w:t>
      </w:r>
      <w:bookmarkEnd w:id="32"/>
      <w:bookmarkEnd w:id="33"/>
      <w:r>
        <w:rPr>
          <w:rFonts w:hint="eastAsia" w:ascii="宋体" w:hAnsi="宋体"/>
          <w:b/>
          <w:sz w:val="24"/>
        </w:rPr>
        <w:t>磋商综合要求及说明</w:t>
      </w:r>
    </w:p>
    <w:p>
      <w:pPr>
        <w:spacing w:line="360" w:lineRule="auto"/>
        <w:ind w:firstLine="480" w:firstLineChars="200"/>
        <w:rPr>
          <w:rFonts w:ascii="宋体" w:hAnsi="宋体"/>
          <w:sz w:val="24"/>
        </w:rPr>
      </w:pPr>
      <w:r>
        <w:rPr>
          <w:rFonts w:hint="eastAsia" w:ascii="宋体" w:hAnsi="宋体"/>
          <w:sz w:val="24"/>
        </w:rPr>
        <w:t>1）磋商供应商应按照招标人标书要求有分包的按分包投标，且每包只能报一个方案进行投标，否则按无效投标处理；</w:t>
      </w:r>
    </w:p>
    <w:p>
      <w:pPr>
        <w:spacing w:line="360" w:lineRule="auto"/>
        <w:ind w:firstLine="480" w:firstLineChars="200"/>
        <w:rPr>
          <w:rFonts w:ascii="宋体" w:hAnsi="宋体"/>
          <w:sz w:val="24"/>
          <w:szCs w:val="32"/>
        </w:rPr>
      </w:pPr>
      <w:r>
        <w:rPr>
          <w:rFonts w:hint="eastAsia" w:ascii="宋体" w:hAnsi="宋体"/>
          <w:sz w:val="24"/>
        </w:rPr>
        <w:t>2）磋商供应商对磋商产品技术性能的描述，因欠缺或漏报而影响对磋商供应商磋商响应性文件的评比，不利后果由磋商供应商承担；</w:t>
      </w:r>
    </w:p>
    <w:p>
      <w:pPr>
        <w:spacing w:line="360" w:lineRule="auto"/>
        <w:ind w:firstLine="480" w:firstLineChars="200"/>
        <w:rPr>
          <w:rFonts w:ascii="宋体" w:hAnsi="宋体"/>
          <w:sz w:val="24"/>
        </w:rPr>
      </w:pPr>
      <w:r>
        <w:rPr>
          <w:rFonts w:hint="eastAsia" w:ascii="宋体" w:hAnsi="宋体"/>
          <w:sz w:val="24"/>
        </w:rPr>
        <w:t>3）磋商供应商在磋商响应性文件中所列出的所有货物、服务等均视为包含在磋商项目以及报价中；</w:t>
      </w:r>
    </w:p>
    <w:p>
      <w:pPr>
        <w:spacing w:line="360" w:lineRule="auto"/>
        <w:ind w:firstLine="480" w:firstLineChars="200"/>
        <w:rPr>
          <w:rFonts w:ascii="宋体" w:hAnsi="宋体"/>
          <w:sz w:val="24"/>
        </w:rPr>
      </w:pPr>
      <w:r>
        <w:rPr>
          <w:rFonts w:hint="eastAsia" w:ascii="宋体" w:hAnsi="宋体"/>
          <w:sz w:val="24"/>
        </w:rPr>
        <w:t>4）磋商供应商在本次项目中所提供的货物对于磋商文件中技术参数响应情况必须体现在技术偏离表中；</w:t>
      </w:r>
    </w:p>
    <w:p>
      <w:pPr>
        <w:spacing w:line="360" w:lineRule="auto"/>
        <w:ind w:firstLine="480" w:firstLineChars="200"/>
        <w:rPr>
          <w:rFonts w:ascii="宋体" w:hAnsi="宋体"/>
          <w:sz w:val="24"/>
        </w:rPr>
      </w:pPr>
      <w:r>
        <w:rPr>
          <w:rFonts w:hint="eastAsia" w:ascii="宋体" w:hAnsi="宋体"/>
          <w:sz w:val="24"/>
        </w:rPr>
        <w:t>5）采购人发现具有《中华人民共和国政府采购法》第七十七条中第一至五项情形之一的，有权宣布投标程序和结果无效，在涉标的公证性与违法问题的调查或检查中，成交供应商如拒绝有关部门的监督检查，视其情节，采购人也有权宣布成交结果视同无效。采购人同时报备同级财政部门确认，并对投、成交人的损失不承担任何责任；</w:t>
      </w:r>
    </w:p>
    <w:p>
      <w:pPr>
        <w:spacing w:line="360" w:lineRule="auto"/>
        <w:ind w:firstLine="480" w:firstLineChars="200"/>
        <w:rPr>
          <w:rFonts w:ascii="宋体" w:hAnsi="宋体"/>
          <w:sz w:val="24"/>
        </w:rPr>
      </w:pPr>
      <w:r>
        <w:rPr>
          <w:rFonts w:hint="eastAsia" w:ascii="宋体" w:hAnsi="宋体"/>
          <w:sz w:val="24"/>
        </w:rPr>
        <w:t>6）采购人可视投标品目价格情况适当增加或减少采购数量，并保留拆包或取消采购某些品目的权力；</w:t>
      </w:r>
    </w:p>
    <w:p>
      <w:pPr>
        <w:spacing w:line="360" w:lineRule="auto"/>
        <w:ind w:firstLine="480" w:firstLineChars="200"/>
        <w:rPr>
          <w:rFonts w:ascii="宋体" w:hAnsi="宋体"/>
          <w:sz w:val="24"/>
        </w:rPr>
      </w:pPr>
      <w:r>
        <w:rPr>
          <w:rFonts w:hint="eastAsia" w:ascii="宋体" w:hAnsi="宋体"/>
          <w:sz w:val="24"/>
        </w:rPr>
        <w:t>7）磋商供应商应自行承担所有与准备和参加磋商有关的费用。不论磋商的结果如何，招标人和需方均无义务和责任承担这些费用。</w:t>
      </w:r>
    </w:p>
    <w:p>
      <w:pPr>
        <w:spacing w:line="360" w:lineRule="auto"/>
        <w:ind w:firstLine="480" w:firstLineChars="200"/>
        <w:rPr>
          <w:rFonts w:ascii="宋体" w:hAnsi="宋体"/>
          <w:sz w:val="24"/>
        </w:rPr>
      </w:pPr>
      <w:r>
        <w:rPr>
          <w:rFonts w:hint="eastAsia" w:ascii="宋体" w:hAnsi="宋体"/>
          <w:sz w:val="24"/>
        </w:rPr>
        <w:t>8）本项目不接受联合体投标。</w:t>
      </w:r>
    </w:p>
    <w:p>
      <w:pPr>
        <w:spacing w:line="360" w:lineRule="auto"/>
        <w:rPr>
          <w:rFonts w:ascii="宋体" w:hAnsi="宋体"/>
          <w:b/>
          <w:sz w:val="24"/>
        </w:rPr>
      </w:pPr>
      <w:r>
        <w:rPr>
          <w:rFonts w:hint="eastAsia" w:ascii="宋体" w:hAnsi="宋体"/>
          <w:b/>
          <w:sz w:val="24"/>
        </w:rPr>
        <w:t>3.3.2 磋商响应性文件的制作</w:t>
      </w:r>
    </w:p>
    <w:p>
      <w:pPr>
        <w:spacing w:line="360" w:lineRule="auto"/>
        <w:ind w:firstLine="480" w:firstLineChars="200"/>
        <w:rPr>
          <w:rFonts w:ascii="宋体" w:hAnsi="宋体"/>
          <w:sz w:val="24"/>
        </w:rPr>
      </w:pPr>
      <w:r>
        <w:rPr>
          <w:rFonts w:hint="eastAsia" w:ascii="宋体" w:hAnsi="宋体"/>
          <w:sz w:val="24"/>
        </w:rPr>
        <w:t xml:space="preserve">供应商须按磋商文件的要求制作响应文件，必须编制目录、页码。在封面分别标明“正本”或“副本”字样。响应文件必须胶印装订成册。 </w:t>
      </w:r>
    </w:p>
    <w:p>
      <w:pPr>
        <w:spacing w:line="360" w:lineRule="auto"/>
        <w:rPr>
          <w:rFonts w:ascii="宋体" w:hAnsi="宋体"/>
          <w:b/>
          <w:sz w:val="24"/>
        </w:rPr>
      </w:pPr>
      <w:r>
        <w:rPr>
          <w:rFonts w:hint="eastAsia" w:ascii="宋体" w:hAnsi="宋体"/>
          <w:b/>
          <w:sz w:val="24"/>
        </w:rPr>
        <w:t>3.3.3 有下列情形之一的，视为供应商串通响应，其响应无效：</w:t>
      </w:r>
    </w:p>
    <w:p>
      <w:pPr>
        <w:spacing w:line="360" w:lineRule="auto"/>
        <w:ind w:firstLine="470" w:firstLineChars="196"/>
        <w:rPr>
          <w:rFonts w:ascii="宋体" w:hAnsi="宋体"/>
          <w:sz w:val="24"/>
        </w:rPr>
      </w:pPr>
      <w:r>
        <w:rPr>
          <w:rFonts w:hint="eastAsia" w:ascii="宋体" w:hAnsi="宋体"/>
          <w:sz w:val="24"/>
        </w:rPr>
        <w:t>1）不同供应商的磋商响应性文件由同一单位或者个人编制；</w:t>
      </w:r>
    </w:p>
    <w:p>
      <w:pPr>
        <w:spacing w:line="360" w:lineRule="auto"/>
        <w:ind w:firstLine="470" w:firstLineChars="196"/>
        <w:rPr>
          <w:rFonts w:ascii="宋体" w:hAnsi="宋体"/>
          <w:sz w:val="24"/>
        </w:rPr>
      </w:pPr>
      <w:r>
        <w:rPr>
          <w:rFonts w:hint="eastAsia" w:ascii="宋体" w:hAnsi="宋体"/>
          <w:sz w:val="24"/>
        </w:rPr>
        <w:t>2）不同供应商委托同一单位或者个人办理磋商响应事宜；</w:t>
      </w:r>
    </w:p>
    <w:p>
      <w:pPr>
        <w:spacing w:line="360" w:lineRule="auto"/>
        <w:ind w:firstLine="470" w:firstLineChars="196"/>
        <w:rPr>
          <w:rFonts w:ascii="宋体" w:hAnsi="宋体"/>
          <w:sz w:val="24"/>
        </w:rPr>
      </w:pPr>
      <w:r>
        <w:rPr>
          <w:rFonts w:hint="eastAsia" w:ascii="宋体" w:hAnsi="宋体"/>
          <w:sz w:val="24"/>
        </w:rPr>
        <w:t>3）不同供应商的磋商响应性文件载明的项目管理成员或者联系人为同一人；</w:t>
      </w:r>
    </w:p>
    <w:p>
      <w:pPr>
        <w:spacing w:line="360" w:lineRule="auto"/>
        <w:ind w:firstLine="470" w:firstLineChars="196"/>
        <w:rPr>
          <w:rFonts w:ascii="宋体" w:hAnsi="宋体"/>
          <w:sz w:val="24"/>
        </w:rPr>
      </w:pPr>
      <w:r>
        <w:rPr>
          <w:rFonts w:hint="eastAsia" w:ascii="宋体" w:hAnsi="宋体"/>
          <w:sz w:val="24"/>
        </w:rPr>
        <w:t>4）不同供应商的磋商响应性文件异常一致或者磋商报价呈规律性差异；</w:t>
      </w:r>
    </w:p>
    <w:p>
      <w:pPr>
        <w:spacing w:line="360" w:lineRule="auto"/>
        <w:ind w:firstLine="470" w:firstLineChars="196"/>
        <w:rPr>
          <w:rFonts w:ascii="宋体" w:hAnsi="宋体"/>
          <w:sz w:val="24"/>
        </w:rPr>
      </w:pPr>
      <w:r>
        <w:rPr>
          <w:rFonts w:hint="eastAsia" w:ascii="宋体" w:hAnsi="宋体"/>
          <w:sz w:val="24"/>
        </w:rPr>
        <w:t>5）不同供应商的磋商响应性文件相互混装；</w:t>
      </w:r>
    </w:p>
    <w:p>
      <w:pPr>
        <w:spacing w:line="360" w:lineRule="auto"/>
        <w:ind w:firstLine="470" w:firstLineChars="196"/>
        <w:rPr>
          <w:rFonts w:ascii="宋体" w:hAnsi="宋体"/>
          <w:sz w:val="24"/>
        </w:rPr>
      </w:pPr>
      <w:r>
        <w:rPr>
          <w:rFonts w:hint="eastAsia" w:ascii="宋体" w:hAnsi="宋体"/>
          <w:sz w:val="24"/>
        </w:rPr>
        <w:t>6）不同供应商的磋商保证金从同一单位或者个人的账户转出。</w:t>
      </w:r>
    </w:p>
    <w:p>
      <w:pPr>
        <w:spacing w:line="360" w:lineRule="auto"/>
        <w:rPr>
          <w:rFonts w:ascii="宋体" w:hAnsi="宋体"/>
          <w:b/>
          <w:sz w:val="24"/>
        </w:rPr>
      </w:pPr>
      <w:bookmarkStart w:id="34" w:name="_Toc327439444"/>
      <w:bookmarkStart w:id="35" w:name="_Toc400536544"/>
      <w:r>
        <w:rPr>
          <w:rFonts w:hint="eastAsia" w:ascii="宋体" w:hAnsi="宋体"/>
          <w:b/>
          <w:sz w:val="24"/>
        </w:rPr>
        <w:t>3.3.4 磋商报价</w:t>
      </w:r>
      <w:bookmarkEnd w:id="34"/>
      <w:bookmarkEnd w:id="35"/>
    </w:p>
    <w:p>
      <w:pPr>
        <w:spacing w:line="360" w:lineRule="auto"/>
        <w:ind w:firstLine="480" w:firstLineChars="200"/>
        <w:rPr>
          <w:rFonts w:ascii="宋体" w:hAnsi="宋体"/>
          <w:sz w:val="24"/>
        </w:rPr>
      </w:pPr>
      <w:r>
        <w:rPr>
          <w:rFonts w:hint="eastAsia" w:ascii="宋体" w:hAnsi="宋体"/>
          <w:sz w:val="24"/>
        </w:rPr>
        <w:t xml:space="preserve">3.3.4.1供应商应根据磋商文件要求和范围报价。 </w:t>
      </w:r>
    </w:p>
    <w:p>
      <w:pPr>
        <w:spacing w:line="360" w:lineRule="auto"/>
        <w:ind w:firstLine="480" w:firstLineChars="200"/>
        <w:rPr>
          <w:rFonts w:ascii="宋体" w:hAnsi="宋体"/>
          <w:sz w:val="24"/>
        </w:rPr>
      </w:pPr>
      <w:r>
        <w:rPr>
          <w:rFonts w:hint="eastAsia" w:ascii="宋体" w:hAnsi="宋体"/>
          <w:sz w:val="24"/>
        </w:rPr>
        <w:t>3.3.4.2投标价格应包括完成磋商文件规定的招标范围全部内容所需的全部费用，包括包装费、运输费（含装卸费）、安装费、调试费、检测费、保险费等，并通过合格验收的全部价格，采购人不必再单独支付其他任何费用。</w:t>
      </w:r>
    </w:p>
    <w:p>
      <w:pPr>
        <w:spacing w:line="360" w:lineRule="auto"/>
        <w:ind w:firstLine="480" w:firstLineChars="200"/>
        <w:rPr>
          <w:rFonts w:ascii="宋体" w:hAnsi="宋体"/>
          <w:sz w:val="24"/>
        </w:rPr>
      </w:pPr>
      <w:r>
        <w:rPr>
          <w:rFonts w:hint="eastAsia" w:ascii="宋体" w:hAnsi="宋体"/>
          <w:sz w:val="24"/>
        </w:rPr>
        <w:t>投标价格采用唯一价格，即不得为某一范围价格。投标货币为</w:t>
      </w:r>
      <w:r>
        <w:rPr>
          <w:rFonts w:hint="eastAsia" w:ascii="宋体" w:hAnsi="宋体"/>
          <w:b/>
          <w:sz w:val="24"/>
        </w:rPr>
        <w:t>人民币</w:t>
      </w:r>
      <w:r>
        <w:rPr>
          <w:rFonts w:hint="eastAsia" w:ascii="宋体" w:hAnsi="宋体"/>
          <w:sz w:val="24"/>
        </w:rPr>
        <w:t>。</w:t>
      </w:r>
    </w:p>
    <w:p>
      <w:pPr>
        <w:spacing w:line="360" w:lineRule="auto"/>
        <w:outlineLvl w:val="2"/>
        <w:rPr>
          <w:rFonts w:ascii="宋体" w:hAnsi="宋体"/>
          <w:b/>
          <w:sz w:val="24"/>
        </w:rPr>
      </w:pPr>
      <w:r>
        <w:rPr>
          <w:rFonts w:hint="eastAsia" w:ascii="宋体" w:hAnsi="宋体"/>
          <w:b/>
          <w:sz w:val="24"/>
        </w:rPr>
        <w:t>3.3.5磋商有效期</w:t>
      </w:r>
    </w:p>
    <w:p>
      <w:pPr>
        <w:spacing w:line="360" w:lineRule="auto"/>
        <w:ind w:firstLine="480" w:firstLineChars="200"/>
        <w:rPr>
          <w:rFonts w:ascii="宋体" w:hAnsi="宋体"/>
          <w:sz w:val="24"/>
        </w:rPr>
      </w:pPr>
      <w:r>
        <w:rPr>
          <w:rFonts w:hint="eastAsia" w:ascii="宋体" w:hAnsi="宋体"/>
          <w:sz w:val="24"/>
        </w:rPr>
        <w:t>磋商响应性文件在正式递交日期起60日内有效。</w:t>
      </w:r>
    </w:p>
    <w:p>
      <w:pPr>
        <w:spacing w:line="360" w:lineRule="auto"/>
        <w:rPr>
          <w:rFonts w:ascii="宋体" w:hAnsi="宋体"/>
          <w:b/>
          <w:sz w:val="24"/>
        </w:rPr>
      </w:pPr>
      <w:r>
        <w:rPr>
          <w:rFonts w:hint="eastAsia" w:ascii="宋体" w:hAnsi="宋体"/>
          <w:b/>
          <w:sz w:val="24"/>
        </w:rPr>
        <w:t>3</w:t>
      </w:r>
      <w:r>
        <w:rPr>
          <w:rFonts w:ascii="宋体" w:hAnsi="宋体"/>
          <w:b/>
          <w:sz w:val="24"/>
        </w:rPr>
        <w:t>.</w:t>
      </w:r>
      <w:r>
        <w:rPr>
          <w:rFonts w:hint="eastAsia" w:ascii="宋体" w:hAnsi="宋体"/>
          <w:b/>
          <w:sz w:val="24"/>
        </w:rPr>
        <w:t>3</w:t>
      </w:r>
      <w:r>
        <w:rPr>
          <w:rFonts w:ascii="宋体" w:hAnsi="宋体"/>
          <w:b/>
          <w:sz w:val="24"/>
        </w:rPr>
        <w:t>.</w:t>
      </w:r>
      <w:r>
        <w:rPr>
          <w:rFonts w:hint="eastAsia" w:ascii="宋体" w:hAnsi="宋体"/>
          <w:b/>
          <w:sz w:val="24"/>
        </w:rPr>
        <w:t>6磋商保证金</w:t>
      </w:r>
    </w:p>
    <w:p>
      <w:pPr>
        <w:spacing w:line="360" w:lineRule="auto"/>
        <w:ind w:firstLine="360" w:firstLineChars="150"/>
        <w:rPr>
          <w:rFonts w:ascii="宋体" w:hAnsi="宋体"/>
          <w:sz w:val="24"/>
        </w:rPr>
      </w:pPr>
      <w:bookmarkStart w:id="36" w:name="_Toc400536561"/>
      <w:r>
        <w:rPr>
          <w:rFonts w:hint="eastAsia" w:ascii="宋体" w:hAnsi="宋体"/>
          <w:sz w:val="24"/>
        </w:rPr>
        <w:t>1、</w:t>
      </w:r>
      <w:r>
        <w:rPr>
          <w:rFonts w:hint="eastAsia" w:ascii="宋体" w:hAnsi="宋体"/>
          <w:sz w:val="24"/>
          <w:szCs w:val="28"/>
        </w:rPr>
        <w:t>磋商</w:t>
      </w:r>
      <w:r>
        <w:rPr>
          <w:rFonts w:ascii="宋体" w:hAnsi="宋体"/>
          <w:sz w:val="24"/>
          <w:szCs w:val="28"/>
        </w:rPr>
        <w:t>保证金</w:t>
      </w:r>
      <w:r>
        <w:rPr>
          <w:rFonts w:hint="eastAsia" w:ascii="宋体" w:hAnsi="宋体"/>
          <w:sz w:val="24"/>
          <w:szCs w:val="28"/>
        </w:rPr>
        <w:t>以电汇等非现金方式缴纳</w:t>
      </w:r>
      <w:r>
        <w:rPr>
          <w:rFonts w:ascii="宋体" w:hAnsi="宋体"/>
          <w:sz w:val="24"/>
          <w:szCs w:val="28"/>
        </w:rPr>
        <w:t>。</w:t>
      </w:r>
    </w:p>
    <w:p>
      <w:pPr>
        <w:spacing w:line="360" w:lineRule="auto"/>
        <w:ind w:firstLine="360" w:firstLineChars="150"/>
        <w:rPr>
          <w:rFonts w:ascii="宋体" w:hAnsi="宋体"/>
          <w:sz w:val="24"/>
        </w:rPr>
      </w:pPr>
      <w:r>
        <w:rPr>
          <w:rFonts w:hint="eastAsia" w:ascii="宋体" w:hAnsi="宋体"/>
          <w:sz w:val="24"/>
        </w:rPr>
        <w:t>2、</w:t>
      </w:r>
      <w:r>
        <w:rPr>
          <w:rFonts w:hint="eastAsia" w:ascii="宋体" w:hAnsi="宋体" w:cs="宋体"/>
          <w:kern w:val="0"/>
          <w:sz w:val="24"/>
        </w:rPr>
        <w:t>磋商保证金的退付</w:t>
      </w:r>
    </w:p>
    <w:p>
      <w:pPr>
        <w:widowControl/>
        <w:spacing w:line="360" w:lineRule="auto"/>
        <w:ind w:firstLine="360" w:firstLineChars="150"/>
        <w:rPr>
          <w:rFonts w:ascii="宋体" w:hAnsi="宋体" w:cs="宋体"/>
          <w:kern w:val="0"/>
          <w:sz w:val="24"/>
        </w:rPr>
      </w:pPr>
      <w:r>
        <w:rPr>
          <w:rFonts w:hint="eastAsia" w:ascii="宋体" w:hAnsi="宋体"/>
          <w:sz w:val="24"/>
        </w:rPr>
        <w:t>1）</w:t>
      </w:r>
      <w:r>
        <w:rPr>
          <w:rFonts w:hint="eastAsia" w:ascii="宋体" w:hAnsi="宋体" w:cs="宋体"/>
          <w:kern w:val="0"/>
          <w:sz w:val="24"/>
        </w:rPr>
        <w:t>供应商在磋商截止时间前撤回已提交的响应文件的，我公司应当自收到</w:t>
      </w:r>
      <w:r>
        <w:rPr>
          <w:rFonts w:hint="eastAsia" w:ascii="宋体" w:hAnsi="宋体"/>
          <w:sz w:val="24"/>
        </w:rPr>
        <w:t>供应商</w:t>
      </w:r>
      <w:r>
        <w:rPr>
          <w:rFonts w:hint="eastAsia" w:ascii="宋体" w:hAnsi="宋体" w:cs="宋体"/>
          <w:kern w:val="0"/>
          <w:sz w:val="24"/>
        </w:rPr>
        <w:t>书面撤回通知之日起5个工作日内，由我公司退还，但因供应商自身原因导致无法及时退还的除外。</w:t>
      </w:r>
    </w:p>
    <w:p>
      <w:pPr>
        <w:widowControl/>
        <w:spacing w:line="360" w:lineRule="auto"/>
        <w:ind w:firstLine="360" w:firstLineChars="150"/>
        <w:rPr>
          <w:rFonts w:ascii="宋体" w:hAnsi="宋体" w:cs="宋体"/>
          <w:kern w:val="0"/>
          <w:sz w:val="24"/>
        </w:rPr>
      </w:pPr>
      <w:r>
        <w:rPr>
          <w:rFonts w:hint="eastAsia" w:ascii="宋体" w:hAnsi="宋体"/>
          <w:sz w:val="24"/>
        </w:rPr>
        <w:t>2）</w:t>
      </w:r>
      <w:r>
        <w:rPr>
          <w:rFonts w:hint="eastAsia" w:ascii="宋体" w:hAnsi="宋体" w:cs="宋体"/>
          <w:kern w:val="0"/>
          <w:sz w:val="24"/>
        </w:rPr>
        <w:t>未成交供应商的磋商保证金，在成交通知书发出之日起5个工作日内，由我公司退还，但因供应商自身原因导致无法及时退还的除外。</w:t>
      </w:r>
    </w:p>
    <w:p>
      <w:pPr>
        <w:widowControl/>
        <w:spacing w:line="360" w:lineRule="auto"/>
        <w:ind w:firstLine="360" w:firstLineChars="150"/>
        <w:rPr>
          <w:rFonts w:ascii="宋体" w:hAnsi="宋体" w:cs="宋体"/>
          <w:kern w:val="0"/>
          <w:sz w:val="24"/>
        </w:rPr>
      </w:pPr>
      <w:r>
        <w:rPr>
          <w:rFonts w:hint="eastAsia" w:ascii="宋体" w:hAnsi="宋体"/>
          <w:sz w:val="24"/>
        </w:rPr>
        <w:t>3）</w:t>
      </w:r>
      <w:r>
        <w:rPr>
          <w:rFonts w:hint="eastAsia" w:ascii="宋体" w:hAnsi="宋体" w:cs="宋体"/>
          <w:kern w:val="0"/>
          <w:sz w:val="24"/>
        </w:rPr>
        <w:t>成交人的磋商保证金,成交单位与采购人签订合同之日起5个工作日内，由我公司退还，但因供应商自身原因导致无法及时退还的除外。</w:t>
      </w:r>
    </w:p>
    <w:p>
      <w:pPr>
        <w:widowControl/>
        <w:spacing w:line="360" w:lineRule="auto"/>
        <w:ind w:firstLine="360" w:firstLineChars="150"/>
        <w:rPr>
          <w:rFonts w:ascii="宋体" w:hAnsi="宋体"/>
          <w:sz w:val="24"/>
        </w:rPr>
      </w:pPr>
      <w:r>
        <w:rPr>
          <w:rFonts w:hint="eastAsia" w:ascii="宋体" w:hAnsi="宋体" w:cs="宋体"/>
          <w:kern w:val="0"/>
          <w:sz w:val="24"/>
        </w:rPr>
        <w:t>3</w:t>
      </w:r>
      <w:r>
        <w:rPr>
          <w:rFonts w:hint="eastAsia" w:ascii="宋体" w:hAnsi="宋体"/>
          <w:sz w:val="24"/>
        </w:rPr>
        <w:t>、如供应商有下列情况，磋商保证金不予退还：</w:t>
      </w:r>
    </w:p>
    <w:p>
      <w:pPr>
        <w:spacing w:line="360" w:lineRule="auto"/>
        <w:ind w:firstLine="352" w:firstLineChars="147"/>
        <w:rPr>
          <w:rFonts w:ascii="宋体" w:hAnsi="宋体"/>
          <w:sz w:val="24"/>
        </w:rPr>
      </w:pPr>
      <w:r>
        <w:rPr>
          <w:rFonts w:hint="eastAsia" w:ascii="宋体" w:hAnsi="宋体"/>
          <w:sz w:val="24"/>
        </w:rPr>
        <w:t>1) 供应商在《竞争性磋商文件》中规定的磋商有效期内撤回其《响应文件》的；</w:t>
      </w:r>
    </w:p>
    <w:p>
      <w:pPr>
        <w:spacing w:line="360" w:lineRule="auto"/>
        <w:ind w:firstLine="352" w:firstLineChars="147"/>
        <w:rPr>
          <w:rFonts w:ascii="宋体" w:hAnsi="宋体"/>
          <w:sz w:val="24"/>
        </w:rPr>
      </w:pPr>
      <w:r>
        <w:rPr>
          <w:rFonts w:hint="eastAsia" w:ascii="宋体" w:hAnsi="宋体"/>
          <w:sz w:val="24"/>
        </w:rPr>
        <w:t>2) 成交人在规定期限内未能按规定签订合同的；</w:t>
      </w:r>
    </w:p>
    <w:p>
      <w:pPr>
        <w:spacing w:line="360" w:lineRule="auto"/>
        <w:ind w:firstLine="352" w:firstLineChars="147"/>
        <w:rPr>
          <w:rFonts w:ascii="宋体" w:hAnsi="宋体"/>
          <w:sz w:val="24"/>
        </w:rPr>
      </w:pPr>
      <w:r>
        <w:rPr>
          <w:rFonts w:hint="eastAsia" w:ascii="宋体" w:hAnsi="宋体"/>
          <w:sz w:val="24"/>
        </w:rPr>
        <w:t>3) 供应商在《响应文件》中提供虚假证明材料、虚假技术参数的；</w:t>
      </w:r>
    </w:p>
    <w:p>
      <w:pPr>
        <w:spacing w:line="360" w:lineRule="auto"/>
        <w:ind w:firstLine="352" w:firstLineChars="147"/>
        <w:rPr>
          <w:rFonts w:ascii="宋体" w:hAnsi="宋体"/>
          <w:sz w:val="24"/>
        </w:rPr>
      </w:pPr>
      <w:r>
        <w:rPr>
          <w:rFonts w:hint="eastAsia" w:ascii="宋体" w:hAnsi="宋体"/>
          <w:sz w:val="24"/>
        </w:rPr>
        <w:t>4) 供应商与采购人、其他供应商或者招标代理机构恶意串通的；</w:t>
      </w:r>
    </w:p>
    <w:p>
      <w:pPr>
        <w:spacing w:line="360" w:lineRule="auto"/>
        <w:ind w:firstLine="352" w:firstLineChars="147"/>
        <w:rPr>
          <w:rFonts w:ascii="宋体" w:hAnsi="宋体"/>
          <w:sz w:val="24"/>
        </w:rPr>
      </w:pPr>
      <w:r>
        <w:rPr>
          <w:rFonts w:hint="eastAsia" w:ascii="宋体" w:hAnsi="宋体"/>
          <w:sz w:val="24"/>
        </w:rPr>
        <w:t>5)《竞争性磋商文件》、法律法规规定的其它情形。</w:t>
      </w:r>
    </w:p>
    <w:p>
      <w:pPr>
        <w:spacing w:line="360" w:lineRule="auto"/>
        <w:rPr>
          <w:rFonts w:ascii="宋体" w:hAnsi="宋体"/>
          <w:b/>
          <w:sz w:val="24"/>
        </w:rPr>
      </w:pPr>
      <w:r>
        <w:rPr>
          <w:rFonts w:hint="eastAsia" w:ascii="宋体" w:hAnsi="宋体"/>
          <w:b/>
          <w:sz w:val="24"/>
        </w:rPr>
        <w:t>3.3.</w:t>
      </w:r>
      <w:bookmarkStart w:id="37" w:name="_Toc139965342"/>
      <w:bookmarkStart w:id="38" w:name="_Toc128372747"/>
      <w:bookmarkStart w:id="39" w:name="_Toc128372069"/>
      <w:r>
        <w:rPr>
          <w:rFonts w:hint="eastAsia" w:ascii="宋体" w:hAnsi="宋体"/>
          <w:b/>
          <w:sz w:val="24"/>
        </w:rPr>
        <w:t>7磋商响应性文件的份数和签署</w:t>
      </w:r>
      <w:bookmarkEnd w:id="36"/>
      <w:bookmarkEnd w:id="37"/>
      <w:bookmarkEnd w:id="38"/>
      <w:bookmarkEnd w:id="39"/>
    </w:p>
    <w:p>
      <w:pPr>
        <w:spacing w:line="360" w:lineRule="auto"/>
        <w:ind w:firstLine="480" w:firstLineChars="200"/>
        <w:rPr>
          <w:rFonts w:ascii="宋体" w:hAnsi="宋体"/>
          <w:sz w:val="24"/>
        </w:rPr>
      </w:pPr>
      <w:r>
        <w:rPr>
          <w:rFonts w:hint="eastAsia" w:ascii="宋体" w:hAnsi="宋体"/>
          <w:sz w:val="24"/>
        </w:rPr>
        <w:t>供应商应编制正本（1份）、副本（3份）磋商响应性文件，并明确标明“正本”和“副本”字样。磋商响应性文件正本和副本如有不一致之处，以正本为准。</w:t>
      </w:r>
    </w:p>
    <w:p>
      <w:pPr>
        <w:spacing w:line="360" w:lineRule="auto"/>
        <w:ind w:firstLine="482" w:firstLineChars="200"/>
        <w:rPr>
          <w:rFonts w:ascii="宋体" w:hAnsi="宋体"/>
          <w:sz w:val="24"/>
        </w:rPr>
      </w:pPr>
      <w:r>
        <w:rPr>
          <w:rFonts w:hint="eastAsia" w:ascii="宋体" w:hAnsi="宋体"/>
          <w:b/>
          <w:sz w:val="24"/>
        </w:rPr>
        <w:t>磋商响应性文件中除要求由供应商法定代表人或被授权人签字的内容必须签字、盖章外，其他每页也须加盖公章，否则视为无效响应。</w:t>
      </w:r>
      <w:r>
        <w:rPr>
          <w:rFonts w:hint="eastAsia" w:ascii="宋体" w:hAnsi="宋体"/>
          <w:sz w:val="24"/>
        </w:rPr>
        <w:t>磋商响应性文件应使用不能擦去的墨水打印或书写。全套磋商响应性文件应无涂改和行间插字，除非这些删改是根据招标人的指示进行的，或者是供应商造成的必须修改的错误。修改处应由磋商响应性文件签字人签字证明。</w:t>
      </w:r>
    </w:p>
    <w:p>
      <w:pPr>
        <w:spacing w:line="360" w:lineRule="auto"/>
        <w:rPr>
          <w:rFonts w:ascii="宋体" w:hAnsi="宋体"/>
          <w:b/>
          <w:sz w:val="24"/>
        </w:rPr>
      </w:pPr>
      <w:bookmarkStart w:id="40" w:name="_Toc400536562"/>
      <w:bookmarkStart w:id="41" w:name="_Toc327439448"/>
      <w:r>
        <w:rPr>
          <w:rFonts w:hint="eastAsia" w:ascii="宋体" w:hAnsi="宋体"/>
          <w:b/>
          <w:sz w:val="24"/>
        </w:rPr>
        <w:t>3.3.8磋商响应性文件格式</w:t>
      </w:r>
      <w:bookmarkEnd w:id="40"/>
      <w:bookmarkEnd w:id="41"/>
    </w:p>
    <w:p>
      <w:pPr>
        <w:spacing w:line="360" w:lineRule="auto"/>
        <w:ind w:firstLine="480" w:firstLineChars="200"/>
        <w:rPr>
          <w:rFonts w:ascii="宋体" w:hAnsi="宋体"/>
          <w:sz w:val="24"/>
        </w:rPr>
      </w:pPr>
      <w:r>
        <w:rPr>
          <w:rFonts w:hint="eastAsia" w:ascii="宋体" w:hAnsi="宋体"/>
          <w:sz w:val="24"/>
        </w:rPr>
        <w:t>磋商文件提供的规定格式见附件。</w:t>
      </w:r>
    </w:p>
    <w:p>
      <w:pPr>
        <w:spacing w:line="360" w:lineRule="auto"/>
        <w:rPr>
          <w:rFonts w:ascii="宋体" w:hAnsi="宋体"/>
          <w:b/>
          <w:sz w:val="24"/>
        </w:rPr>
      </w:pPr>
      <w:bookmarkStart w:id="42" w:name="_Toc128372071"/>
      <w:bookmarkStart w:id="43" w:name="_Toc139965344"/>
      <w:bookmarkStart w:id="44" w:name="_Toc327439449"/>
      <w:bookmarkStart w:id="45" w:name="_Toc128372749"/>
      <w:bookmarkStart w:id="46" w:name="_Toc400536563"/>
      <w:r>
        <w:rPr>
          <w:rFonts w:hint="eastAsia" w:ascii="宋体" w:hAnsi="宋体"/>
          <w:b/>
          <w:sz w:val="24"/>
        </w:rPr>
        <w:t>3.3.9 磋商响应性文件的密封</w:t>
      </w:r>
      <w:bookmarkEnd w:id="42"/>
      <w:bookmarkEnd w:id="43"/>
      <w:bookmarkEnd w:id="44"/>
      <w:bookmarkEnd w:id="45"/>
      <w:bookmarkEnd w:id="46"/>
    </w:p>
    <w:p>
      <w:pPr>
        <w:spacing w:line="360" w:lineRule="auto"/>
        <w:ind w:firstLine="480" w:firstLineChars="200"/>
        <w:rPr>
          <w:rFonts w:ascii="宋体" w:hAnsi="宋体"/>
          <w:b/>
          <w:sz w:val="24"/>
        </w:rPr>
      </w:pPr>
      <w:bookmarkStart w:id="47" w:name="_Toc139965345"/>
      <w:bookmarkStart w:id="48" w:name="_Toc128372750"/>
      <w:bookmarkStart w:id="49" w:name="_Toc400536564"/>
      <w:bookmarkStart w:id="50" w:name="_Toc327439450"/>
      <w:bookmarkStart w:id="51" w:name="_Toc128372072"/>
      <w:r>
        <w:rPr>
          <w:rFonts w:hint="eastAsia" w:ascii="宋体" w:hAnsi="宋体"/>
          <w:sz w:val="24"/>
        </w:rPr>
        <w:t>供应商应将磋商响应性文件正本、副本、保证金汇款凭证复印件、电子版分别用标有“正本”、“副本”、 “保证金汇款凭证复印件” 、 “电子版”字样的标识单独密封，并在封套上标明“项目名称”、“项目编号”、“供应商名称”、 “联系电话”和“</w:t>
      </w:r>
      <w:r>
        <w:rPr>
          <w:rFonts w:hint="eastAsia" w:ascii="宋体" w:hAnsi="宋体"/>
          <w:b/>
          <w:sz w:val="24"/>
        </w:rPr>
        <w:t>请勿</w:t>
      </w:r>
      <w:r>
        <w:rPr>
          <w:rFonts w:hint="eastAsia" w:ascii="宋体" w:hAnsi="宋体"/>
          <w:b/>
          <w:sz w:val="24"/>
          <w:highlight w:val="none"/>
        </w:rPr>
        <w:t>于</w:t>
      </w:r>
      <w:r>
        <w:rPr>
          <w:rFonts w:hint="eastAsia"/>
          <w:b/>
          <w:sz w:val="24"/>
          <w:highlight w:val="none"/>
        </w:rPr>
        <w:t>2022年</w:t>
      </w:r>
      <w:r>
        <w:rPr>
          <w:rFonts w:hint="eastAsia"/>
          <w:b/>
          <w:sz w:val="24"/>
          <w:highlight w:val="none"/>
          <w:lang w:val="en-US" w:eastAsia="zh-CN"/>
        </w:rPr>
        <w:t>8</w:t>
      </w:r>
      <w:r>
        <w:rPr>
          <w:rFonts w:hint="eastAsia"/>
          <w:b/>
          <w:sz w:val="24"/>
          <w:highlight w:val="none"/>
        </w:rPr>
        <w:t>月</w:t>
      </w:r>
      <w:r>
        <w:rPr>
          <w:rFonts w:hint="eastAsia"/>
          <w:b/>
          <w:sz w:val="24"/>
          <w:highlight w:val="none"/>
          <w:lang w:val="en-US" w:eastAsia="zh-CN"/>
        </w:rPr>
        <w:t>22</w:t>
      </w:r>
      <w:r>
        <w:rPr>
          <w:rFonts w:hint="eastAsia"/>
          <w:b/>
          <w:sz w:val="24"/>
          <w:highlight w:val="none"/>
        </w:rPr>
        <w:t>日</w:t>
      </w:r>
      <w:r>
        <w:rPr>
          <w:rFonts w:hint="eastAsia"/>
          <w:b/>
          <w:sz w:val="24"/>
          <w:highlight w:val="none"/>
          <w:lang w:val="en-US" w:eastAsia="zh-CN"/>
        </w:rPr>
        <w:t>18</w:t>
      </w:r>
      <w:r>
        <w:rPr>
          <w:rFonts w:hint="eastAsia"/>
          <w:b/>
          <w:sz w:val="24"/>
          <w:highlight w:val="none"/>
        </w:rPr>
        <w:t>时</w:t>
      </w:r>
      <w:r>
        <w:rPr>
          <w:rFonts w:hint="eastAsia"/>
          <w:b/>
          <w:sz w:val="24"/>
          <w:highlight w:val="none"/>
          <w:lang w:val="en-US" w:eastAsia="zh-CN"/>
        </w:rPr>
        <w:t>00</w:t>
      </w:r>
      <w:r>
        <w:rPr>
          <w:rFonts w:hint="eastAsia"/>
          <w:b/>
          <w:sz w:val="24"/>
          <w:highlight w:val="none"/>
        </w:rPr>
        <w:t>分</w:t>
      </w:r>
      <w:r>
        <w:rPr>
          <w:rFonts w:hint="eastAsia" w:ascii="宋体" w:hAnsi="宋体"/>
          <w:b/>
          <w:sz w:val="24"/>
          <w:highlight w:val="none"/>
        </w:rPr>
        <w:t>之前启封！</w:t>
      </w:r>
      <w:r>
        <w:rPr>
          <w:rFonts w:ascii="宋体" w:hAnsi="宋体"/>
          <w:sz w:val="24"/>
          <w:highlight w:val="none"/>
        </w:rPr>
        <w:t>”</w:t>
      </w:r>
      <w:r>
        <w:rPr>
          <w:rFonts w:hint="eastAsia" w:ascii="宋体" w:hAnsi="宋体"/>
          <w:sz w:val="24"/>
          <w:highlight w:val="none"/>
        </w:rPr>
        <w:t>，</w:t>
      </w:r>
      <w:r>
        <w:rPr>
          <w:rFonts w:hint="eastAsia" w:ascii="宋体" w:hAnsi="宋体"/>
          <w:sz w:val="24"/>
        </w:rPr>
        <w:t>用封条密封，并加盖公章和法定代表人章。</w:t>
      </w:r>
      <w:r>
        <w:rPr>
          <w:rFonts w:hint="eastAsia" w:ascii="宋体" w:hAnsi="宋体"/>
          <w:b/>
          <w:sz w:val="24"/>
        </w:rPr>
        <w:t>如果没有按上述规定密封并加注标志，将被视为无效投标，响应文件不予接受，对供应商产生的不利因素由其自行承担。</w:t>
      </w:r>
    </w:p>
    <w:p>
      <w:pPr>
        <w:spacing w:line="360" w:lineRule="auto"/>
        <w:rPr>
          <w:rFonts w:ascii="宋体" w:hAnsi="宋体"/>
          <w:b/>
          <w:sz w:val="24"/>
        </w:rPr>
      </w:pPr>
      <w:r>
        <w:rPr>
          <w:rFonts w:hint="eastAsia" w:ascii="宋体" w:hAnsi="宋体"/>
          <w:b/>
          <w:sz w:val="24"/>
        </w:rPr>
        <w:t>3.3.10 磋商响应性文件递交</w:t>
      </w:r>
      <w:bookmarkEnd w:id="47"/>
      <w:bookmarkEnd w:id="48"/>
      <w:bookmarkEnd w:id="49"/>
      <w:bookmarkEnd w:id="50"/>
      <w:bookmarkEnd w:id="51"/>
    </w:p>
    <w:p>
      <w:pPr>
        <w:spacing w:line="360" w:lineRule="auto"/>
        <w:ind w:firstLine="480" w:firstLineChars="200"/>
        <w:rPr>
          <w:rFonts w:ascii="宋体" w:hAnsi="宋体"/>
          <w:sz w:val="24"/>
          <w:szCs w:val="30"/>
        </w:rPr>
      </w:pPr>
      <w:r>
        <w:rPr>
          <w:rFonts w:hint="eastAsia" w:ascii="宋体" w:hAnsi="宋体"/>
          <w:sz w:val="24"/>
        </w:rPr>
        <w:t>磋商响应性文件应在投标截止时间（北京时间）之前</w:t>
      </w:r>
      <w:r>
        <w:rPr>
          <w:rFonts w:hint="eastAsia" w:ascii="宋体" w:hAnsi="宋体"/>
          <w:sz w:val="24"/>
          <w:highlight w:val="none"/>
        </w:rPr>
        <w:t>【</w:t>
      </w:r>
      <w:r>
        <w:rPr>
          <w:rFonts w:hint="eastAsia" w:ascii="宋体" w:hAnsi="宋体"/>
          <w:b/>
          <w:sz w:val="24"/>
          <w:highlight w:val="none"/>
        </w:rPr>
        <w:t>即2022年</w:t>
      </w:r>
      <w:r>
        <w:rPr>
          <w:rFonts w:hint="eastAsia" w:ascii="宋体" w:hAnsi="宋体"/>
          <w:b/>
          <w:sz w:val="24"/>
          <w:highlight w:val="none"/>
          <w:lang w:val="en-US" w:eastAsia="zh-CN"/>
        </w:rPr>
        <w:t>8</w:t>
      </w:r>
      <w:r>
        <w:rPr>
          <w:rFonts w:hint="eastAsia" w:ascii="宋体" w:hAnsi="宋体"/>
          <w:b/>
          <w:sz w:val="24"/>
          <w:highlight w:val="none"/>
        </w:rPr>
        <w:t>月</w:t>
      </w:r>
      <w:r>
        <w:rPr>
          <w:rFonts w:hint="eastAsia" w:ascii="宋体" w:hAnsi="宋体"/>
          <w:b/>
          <w:sz w:val="24"/>
          <w:highlight w:val="none"/>
          <w:lang w:val="en-US" w:eastAsia="zh-CN"/>
        </w:rPr>
        <w:t>22</w:t>
      </w:r>
      <w:r>
        <w:rPr>
          <w:rFonts w:hint="eastAsia" w:ascii="宋体" w:hAnsi="宋体"/>
          <w:b/>
          <w:sz w:val="24"/>
          <w:highlight w:val="none"/>
        </w:rPr>
        <w:t>日</w:t>
      </w:r>
      <w:r>
        <w:rPr>
          <w:rFonts w:hint="eastAsia" w:ascii="宋体" w:hAnsi="宋体"/>
          <w:b/>
          <w:sz w:val="24"/>
          <w:highlight w:val="none"/>
          <w:lang w:val="en-US" w:eastAsia="zh-CN"/>
        </w:rPr>
        <w:t>18</w:t>
      </w:r>
      <w:r>
        <w:rPr>
          <w:rFonts w:hint="eastAsia" w:ascii="宋体" w:hAnsi="宋体"/>
          <w:b/>
          <w:sz w:val="24"/>
          <w:highlight w:val="none"/>
        </w:rPr>
        <w:t>时</w:t>
      </w:r>
      <w:r>
        <w:rPr>
          <w:rFonts w:hint="eastAsia" w:ascii="宋体" w:hAnsi="宋体"/>
          <w:b/>
          <w:sz w:val="24"/>
          <w:highlight w:val="none"/>
          <w:lang w:val="en-US" w:eastAsia="zh-CN"/>
        </w:rPr>
        <w:t>00</w:t>
      </w:r>
      <w:r>
        <w:rPr>
          <w:rFonts w:hint="eastAsia" w:ascii="宋体" w:hAnsi="宋体"/>
          <w:b/>
          <w:sz w:val="24"/>
          <w:highlight w:val="none"/>
        </w:rPr>
        <w:t>分之前</w:t>
      </w:r>
      <w:r>
        <w:rPr>
          <w:rFonts w:hint="eastAsia" w:ascii="宋体" w:hAnsi="宋体"/>
          <w:sz w:val="24"/>
          <w:highlight w:val="none"/>
        </w:rPr>
        <w:t>】</w:t>
      </w:r>
      <w:r>
        <w:rPr>
          <w:rFonts w:hint="eastAsia" w:ascii="宋体" w:hAnsi="宋体"/>
          <w:sz w:val="24"/>
        </w:rPr>
        <w:t>送达开标地点。招标代理机构将拒绝接受在磋商截止时间后递交的磋商响应性文件。</w:t>
      </w:r>
    </w:p>
    <w:p>
      <w:pPr>
        <w:spacing w:line="360" w:lineRule="auto"/>
        <w:rPr>
          <w:rFonts w:ascii="宋体" w:hAnsi="宋体"/>
          <w:b/>
          <w:sz w:val="24"/>
        </w:rPr>
      </w:pPr>
      <w:bookmarkStart w:id="52" w:name="_Toc128372751"/>
      <w:bookmarkStart w:id="53" w:name="_Toc400536565"/>
      <w:bookmarkStart w:id="54" w:name="_Toc139965346"/>
      <w:bookmarkStart w:id="55" w:name="_Toc128372073"/>
      <w:bookmarkStart w:id="56" w:name="_Toc327439451"/>
      <w:r>
        <w:rPr>
          <w:rFonts w:hint="eastAsia" w:ascii="宋体" w:hAnsi="宋体"/>
          <w:b/>
          <w:sz w:val="24"/>
        </w:rPr>
        <w:t>3.3.11 磋商截止时间</w:t>
      </w:r>
      <w:bookmarkEnd w:id="52"/>
      <w:bookmarkEnd w:id="53"/>
      <w:bookmarkEnd w:id="54"/>
      <w:bookmarkEnd w:id="55"/>
      <w:bookmarkEnd w:id="56"/>
    </w:p>
    <w:p>
      <w:pPr>
        <w:spacing w:line="360" w:lineRule="auto"/>
        <w:ind w:firstLine="480" w:firstLineChars="200"/>
        <w:rPr>
          <w:rFonts w:ascii="宋体" w:hAnsi="宋体"/>
          <w:b/>
          <w:sz w:val="24"/>
        </w:rPr>
      </w:pPr>
      <w:r>
        <w:rPr>
          <w:rFonts w:hint="eastAsia" w:ascii="宋体" w:hAnsi="宋体"/>
          <w:sz w:val="24"/>
        </w:rPr>
        <w:t>磋商截止时间</w:t>
      </w:r>
      <w:r>
        <w:rPr>
          <w:rFonts w:hint="eastAsia" w:ascii="宋体" w:hAnsi="宋体"/>
          <w:sz w:val="24"/>
          <w:highlight w:val="none"/>
        </w:rPr>
        <w:t>为：</w:t>
      </w:r>
      <w:r>
        <w:rPr>
          <w:rFonts w:hint="eastAsia" w:ascii="宋体" w:hAnsi="宋体"/>
          <w:b/>
          <w:sz w:val="24"/>
          <w:highlight w:val="none"/>
        </w:rPr>
        <w:t>2022年</w:t>
      </w:r>
      <w:r>
        <w:rPr>
          <w:rFonts w:hint="eastAsia" w:ascii="宋体" w:hAnsi="宋体"/>
          <w:b/>
          <w:sz w:val="24"/>
          <w:highlight w:val="none"/>
          <w:lang w:val="en-US" w:eastAsia="zh-CN"/>
        </w:rPr>
        <w:t>8</w:t>
      </w:r>
      <w:r>
        <w:rPr>
          <w:rFonts w:hint="eastAsia" w:ascii="宋体" w:hAnsi="宋体"/>
          <w:b/>
          <w:sz w:val="24"/>
          <w:highlight w:val="none"/>
        </w:rPr>
        <w:t>月</w:t>
      </w:r>
      <w:r>
        <w:rPr>
          <w:rFonts w:hint="eastAsia" w:ascii="宋体" w:hAnsi="宋体"/>
          <w:b/>
          <w:sz w:val="24"/>
          <w:highlight w:val="none"/>
          <w:lang w:val="en-US" w:eastAsia="zh-CN"/>
        </w:rPr>
        <w:t>22</w:t>
      </w:r>
      <w:r>
        <w:rPr>
          <w:rFonts w:hint="eastAsia" w:ascii="宋体" w:hAnsi="宋体"/>
          <w:b/>
          <w:sz w:val="24"/>
          <w:highlight w:val="none"/>
        </w:rPr>
        <w:t>日</w:t>
      </w:r>
      <w:r>
        <w:rPr>
          <w:rFonts w:hint="eastAsia" w:ascii="宋体" w:hAnsi="宋体"/>
          <w:b/>
          <w:sz w:val="24"/>
          <w:highlight w:val="none"/>
          <w:lang w:val="en-US" w:eastAsia="zh-CN"/>
        </w:rPr>
        <w:t>18</w:t>
      </w:r>
      <w:r>
        <w:rPr>
          <w:rFonts w:hint="eastAsia" w:ascii="宋体" w:hAnsi="宋体"/>
          <w:b/>
          <w:sz w:val="24"/>
          <w:highlight w:val="none"/>
        </w:rPr>
        <w:t>时</w:t>
      </w:r>
      <w:r>
        <w:rPr>
          <w:rFonts w:hint="eastAsia" w:ascii="宋体" w:hAnsi="宋体"/>
          <w:b/>
          <w:sz w:val="24"/>
          <w:highlight w:val="none"/>
          <w:lang w:val="en-US" w:eastAsia="zh-CN"/>
        </w:rPr>
        <w:t>00</w:t>
      </w:r>
      <w:r>
        <w:rPr>
          <w:rFonts w:hint="eastAsia" w:ascii="宋体" w:hAnsi="宋体"/>
          <w:b/>
          <w:sz w:val="24"/>
          <w:highlight w:val="none"/>
        </w:rPr>
        <w:t>分</w:t>
      </w:r>
      <w:r>
        <w:rPr>
          <w:rFonts w:hint="eastAsia" w:ascii="宋体" w:hAnsi="宋体"/>
          <w:sz w:val="24"/>
          <w:highlight w:val="none"/>
        </w:rPr>
        <w:t>。</w:t>
      </w:r>
    </w:p>
    <w:p>
      <w:pPr>
        <w:spacing w:line="360" w:lineRule="auto"/>
        <w:ind w:firstLine="480" w:firstLineChars="200"/>
        <w:rPr>
          <w:rFonts w:ascii="宋体" w:hAnsi="宋体"/>
          <w:sz w:val="24"/>
        </w:rPr>
      </w:pPr>
      <w:r>
        <w:rPr>
          <w:rFonts w:hint="eastAsia" w:ascii="宋体" w:hAnsi="宋体"/>
          <w:sz w:val="24"/>
        </w:rPr>
        <w:t>采购人可以补充通知的方式，酌情延长磋商截止时间。在上述情况下，招标人与磋商供应商以前在磋商截止期方面的全部权力、责任和义务，将适用于延长后新的磋商截止时间。</w:t>
      </w:r>
    </w:p>
    <w:p>
      <w:pPr>
        <w:spacing w:line="360" w:lineRule="auto"/>
        <w:rPr>
          <w:rFonts w:ascii="宋体" w:hAnsi="宋体"/>
          <w:b/>
          <w:sz w:val="24"/>
        </w:rPr>
      </w:pPr>
      <w:bookmarkStart w:id="57" w:name="_Toc128372752"/>
      <w:bookmarkStart w:id="58" w:name="_Toc400536566"/>
      <w:bookmarkStart w:id="59" w:name="_Toc327439452"/>
      <w:bookmarkStart w:id="60" w:name="_Toc128372074"/>
      <w:bookmarkStart w:id="61" w:name="_Toc139965347"/>
      <w:r>
        <w:rPr>
          <w:rFonts w:hint="eastAsia" w:ascii="宋体" w:hAnsi="宋体"/>
          <w:b/>
          <w:sz w:val="24"/>
        </w:rPr>
        <w:t>3.3.12 磋商响应性文件的修改与撤回</w:t>
      </w:r>
      <w:bookmarkEnd w:id="57"/>
      <w:bookmarkEnd w:id="58"/>
      <w:bookmarkEnd w:id="59"/>
      <w:bookmarkEnd w:id="60"/>
      <w:bookmarkEnd w:id="61"/>
    </w:p>
    <w:p>
      <w:pPr>
        <w:spacing w:line="360" w:lineRule="auto"/>
        <w:ind w:firstLine="480" w:firstLineChars="200"/>
        <w:rPr>
          <w:rFonts w:ascii="宋体" w:hAnsi="宋体"/>
          <w:sz w:val="24"/>
        </w:rPr>
      </w:pPr>
      <w:bookmarkStart w:id="62" w:name="_Toc327439453"/>
      <w:bookmarkStart w:id="63" w:name="_Toc139965348"/>
      <w:bookmarkStart w:id="64" w:name="_Toc128372075"/>
      <w:bookmarkStart w:id="65" w:name="_Toc128372753"/>
      <w:r>
        <w:rPr>
          <w:rFonts w:hint="eastAsia" w:ascii="宋体" w:hAnsi="宋体"/>
          <w:sz w:val="24"/>
        </w:rPr>
        <w:t>磋商供应商可以在递交磋商响应性文件以后，在规定的磋商截止时间之前，可以书面形式向招标人递交修改或撤回其磋商响应性文件的通知。在磋商截止时间以后，不能更改磋商响应性文件。</w:t>
      </w:r>
    </w:p>
    <w:p>
      <w:pPr>
        <w:spacing w:line="360" w:lineRule="auto"/>
        <w:ind w:firstLine="480" w:firstLineChars="200"/>
        <w:rPr>
          <w:rFonts w:ascii="宋体" w:hAnsi="宋体"/>
          <w:sz w:val="24"/>
        </w:rPr>
      </w:pPr>
      <w:r>
        <w:rPr>
          <w:rFonts w:hint="eastAsia" w:ascii="宋体" w:hAnsi="宋体"/>
          <w:sz w:val="24"/>
        </w:rPr>
        <w:t>磋商供应商的修改或撤回通知，应单独密封在一个信封中，在信封上注明“修改”或“撤回”的字样。同时，信封上还须按磋商响应性文件的密封要求加写标志。</w:t>
      </w:r>
    </w:p>
    <w:p>
      <w:pPr>
        <w:spacing w:line="360" w:lineRule="auto"/>
        <w:rPr>
          <w:rFonts w:ascii="宋体" w:hAnsi="宋体"/>
          <w:b/>
          <w:sz w:val="28"/>
          <w:szCs w:val="28"/>
        </w:rPr>
      </w:pPr>
      <w:r>
        <w:rPr>
          <w:rFonts w:hint="eastAsia" w:ascii="宋体" w:hAnsi="宋体"/>
          <w:b/>
          <w:sz w:val="28"/>
          <w:szCs w:val="28"/>
        </w:rPr>
        <w:t>3.4磋商</w:t>
      </w:r>
      <w:bookmarkEnd w:id="62"/>
      <w:bookmarkEnd w:id="63"/>
      <w:bookmarkEnd w:id="64"/>
      <w:bookmarkEnd w:id="65"/>
    </w:p>
    <w:p>
      <w:pPr>
        <w:spacing w:line="360" w:lineRule="auto"/>
        <w:ind w:firstLine="482" w:firstLineChars="200"/>
        <w:rPr>
          <w:rFonts w:ascii="宋体" w:hAnsi="宋体"/>
          <w:b/>
          <w:sz w:val="24"/>
        </w:rPr>
      </w:pPr>
      <w:r>
        <w:rPr>
          <w:rFonts w:hint="eastAsia" w:ascii="宋体" w:hAnsi="宋体"/>
          <w:b/>
          <w:sz w:val="24"/>
        </w:rPr>
        <w:t>供应商在递交响应文件时提供法定代表人授权委托书和被授权人身份证原件或法定代表人身份证明和身份证原件。</w:t>
      </w:r>
    </w:p>
    <w:p>
      <w:pPr>
        <w:spacing w:line="360" w:lineRule="auto"/>
        <w:ind w:firstLine="480" w:firstLineChars="200"/>
        <w:rPr>
          <w:rFonts w:ascii="宋体" w:hAnsi="宋体"/>
          <w:sz w:val="24"/>
        </w:rPr>
      </w:pPr>
      <w:r>
        <w:rPr>
          <w:rFonts w:hint="eastAsia" w:ascii="宋体" w:hAnsi="宋体"/>
          <w:sz w:val="24"/>
        </w:rPr>
        <w:t>采购人有权就磋商响应性文件中含混之处向磋商供应商提出询问或澄清要求。</w:t>
      </w:r>
    </w:p>
    <w:p>
      <w:pPr>
        <w:spacing w:line="360" w:lineRule="auto"/>
        <w:ind w:firstLine="480" w:firstLineChars="200"/>
        <w:rPr>
          <w:rFonts w:ascii="宋体" w:hAnsi="宋体"/>
          <w:sz w:val="24"/>
        </w:rPr>
      </w:pPr>
      <w:r>
        <w:rPr>
          <w:rFonts w:hint="eastAsia" w:ascii="宋体" w:hAnsi="宋体"/>
          <w:sz w:val="24"/>
        </w:rPr>
        <w:t>竞争性磋商后，直到向成交的磋商供应商授予合同时止，凡与审查、澄清、评价和比较投标的有关资料以及授标意见等均不得向磋商供应商及与磋商无关的其他人透露。</w:t>
      </w:r>
    </w:p>
    <w:p>
      <w:pPr>
        <w:spacing w:line="360" w:lineRule="auto"/>
        <w:rPr>
          <w:rFonts w:ascii="宋体" w:hAnsi="宋体"/>
          <w:b/>
          <w:sz w:val="24"/>
        </w:rPr>
      </w:pPr>
      <w:bookmarkStart w:id="66" w:name="_Toc128372755"/>
      <w:bookmarkStart w:id="67" w:name="_Toc327439454"/>
      <w:bookmarkStart w:id="68" w:name="_Toc139965350"/>
      <w:bookmarkStart w:id="69" w:name="_Toc128372077"/>
    </w:p>
    <w:p>
      <w:pPr>
        <w:spacing w:line="360" w:lineRule="auto"/>
        <w:rPr>
          <w:rFonts w:ascii="宋体" w:hAnsi="宋体"/>
          <w:b/>
          <w:sz w:val="28"/>
          <w:szCs w:val="28"/>
        </w:rPr>
      </w:pPr>
      <w:r>
        <w:rPr>
          <w:rFonts w:hint="eastAsia" w:ascii="宋体" w:hAnsi="宋体"/>
          <w:b/>
          <w:sz w:val="28"/>
          <w:szCs w:val="28"/>
        </w:rPr>
        <w:t>3.5 评审</w:t>
      </w:r>
    </w:p>
    <w:p>
      <w:pPr>
        <w:spacing w:line="360" w:lineRule="auto"/>
        <w:ind w:firstLine="236" w:firstLineChars="98"/>
        <w:rPr>
          <w:rFonts w:ascii="宋体" w:hAnsi="宋体"/>
          <w:b/>
          <w:sz w:val="24"/>
        </w:rPr>
      </w:pPr>
      <w:r>
        <w:rPr>
          <w:rFonts w:hint="eastAsia" w:ascii="宋体" w:hAnsi="宋体"/>
          <w:b/>
          <w:sz w:val="24"/>
        </w:rPr>
        <w:t>3.5.1评审流程</w:t>
      </w:r>
    </w:p>
    <w:p>
      <w:pPr>
        <w:spacing w:line="360" w:lineRule="auto"/>
        <w:ind w:firstLine="480" w:firstLineChars="200"/>
        <w:rPr>
          <w:rFonts w:ascii="宋体" w:hAnsi="宋体"/>
          <w:sz w:val="24"/>
        </w:rPr>
      </w:pPr>
      <w:r>
        <w:rPr>
          <w:rFonts w:hint="eastAsia" w:ascii="宋体" w:hAnsi="宋体"/>
          <w:sz w:val="24"/>
        </w:rPr>
        <w:t>评审工作由招标代理机构依法组建的磋商小组负责。</w:t>
      </w:r>
    </w:p>
    <w:p>
      <w:pPr>
        <w:spacing w:line="360" w:lineRule="auto"/>
        <w:ind w:firstLine="480" w:firstLineChars="200"/>
        <w:rPr>
          <w:rFonts w:ascii="宋体" w:hAnsi="宋体"/>
          <w:sz w:val="24"/>
        </w:rPr>
      </w:pPr>
      <w:r>
        <w:rPr>
          <w:rFonts w:hint="eastAsia" w:ascii="宋体" w:hAnsi="宋体"/>
          <w:sz w:val="24"/>
        </w:rPr>
        <w:t>评审流程详见第五章磋商原则及办法。</w:t>
      </w:r>
    </w:p>
    <w:p>
      <w:pPr>
        <w:spacing w:line="360" w:lineRule="auto"/>
        <w:ind w:firstLine="354" w:firstLineChars="147"/>
        <w:rPr>
          <w:rFonts w:ascii="宋体" w:hAnsi="宋体"/>
          <w:b/>
          <w:sz w:val="24"/>
        </w:rPr>
      </w:pPr>
      <w:r>
        <w:rPr>
          <w:rFonts w:hint="eastAsia" w:ascii="宋体" w:hAnsi="宋体"/>
          <w:b/>
          <w:sz w:val="24"/>
        </w:rPr>
        <w:t>3.5.2注意事项</w:t>
      </w:r>
    </w:p>
    <w:p>
      <w:pPr>
        <w:spacing w:line="360" w:lineRule="auto"/>
        <w:ind w:firstLine="480" w:firstLineChars="200"/>
        <w:rPr>
          <w:rFonts w:ascii="宋体" w:hAnsi="宋体"/>
          <w:sz w:val="24"/>
        </w:rPr>
      </w:pPr>
      <w:r>
        <w:rPr>
          <w:rFonts w:hint="eastAsia" w:ascii="宋体" w:hAnsi="宋体"/>
          <w:sz w:val="24"/>
        </w:rPr>
        <w:t>在评审期间，评审过程严格保密。磋商小组可要求供应商对其响应文件中非实质性的有关问题进行澄清、说明或者补正。有关澄清、说明或者补正的要求和答复应以书面形式提交。供应商的澄清、说明或者补正不得超出响应文件的范围或者改变响应文件实质性内容。</w:t>
      </w:r>
    </w:p>
    <w:p>
      <w:pPr>
        <w:spacing w:line="360" w:lineRule="auto"/>
        <w:ind w:firstLine="480" w:firstLineChars="200"/>
        <w:rPr>
          <w:rFonts w:ascii="宋体" w:hAnsi="宋体"/>
          <w:sz w:val="24"/>
        </w:rPr>
      </w:pPr>
      <w:r>
        <w:rPr>
          <w:rFonts w:hint="eastAsia" w:ascii="宋体" w:hAnsi="宋体"/>
          <w:sz w:val="24"/>
        </w:rPr>
        <w:t>如果响应文件没有实质性响应磋商文件的要求，磋商小组将予以拒绝。</w:t>
      </w:r>
    </w:p>
    <w:p>
      <w:pPr>
        <w:spacing w:line="360" w:lineRule="auto"/>
        <w:ind w:firstLine="480" w:firstLineChars="200"/>
        <w:rPr>
          <w:rFonts w:ascii="宋体" w:hAnsi="宋体"/>
          <w:sz w:val="24"/>
        </w:rPr>
      </w:pPr>
      <w:r>
        <w:rPr>
          <w:rFonts w:hint="eastAsia" w:ascii="宋体" w:hAnsi="宋体"/>
          <w:sz w:val="24"/>
        </w:rPr>
        <w:t>评审小组只对确定为实质性响应磋商文件要求的响应文件，根据磋商文件的要求采用相同的评审程序、评分办法及标准进行评价和比较。</w:t>
      </w:r>
    </w:p>
    <w:p>
      <w:pPr>
        <w:spacing w:line="360" w:lineRule="auto"/>
        <w:rPr>
          <w:rFonts w:ascii="宋体" w:hAnsi="宋体"/>
          <w:b/>
          <w:sz w:val="28"/>
          <w:szCs w:val="28"/>
        </w:rPr>
      </w:pPr>
      <w:r>
        <w:rPr>
          <w:rFonts w:hint="eastAsia" w:ascii="宋体" w:hAnsi="宋体"/>
          <w:b/>
          <w:sz w:val="28"/>
          <w:szCs w:val="28"/>
        </w:rPr>
        <w:t>3.6定标</w:t>
      </w:r>
    </w:p>
    <w:p>
      <w:pPr>
        <w:spacing w:line="360" w:lineRule="auto"/>
        <w:ind w:firstLine="236" w:firstLineChars="98"/>
        <w:rPr>
          <w:rFonts w:ascii="宋体" w:hAnsi="宋体"/>
          <w:b/>
          <w:sz w:val="24"/>
        </w:rPr>
      </w:pPr>
      <w:r>
        <w:rPr>
          <w:rFonts w:hint="eastAsia" w:ascii="宋体" w:hAnsi="宋体"/>
          <w:b/>
          <w:sz w:val="24"/>
        </w:rPr>
        <w:t>3.6.1定标原则</w:t>
      </w:r>
    </w:p>
    <w:p>
      <w:pPr>
        <w:spacing w:line="360" w:lineRule="auto"/>
        <w:ind w:firstLine="470" w:firstLineChars="196"/>
        <w:rPr>
          <w:rFonts w:ascii="宋体" w:hAnsi="宋体"/>
          <w:sz w:val="24"/>
        </w:rPr>
      </w:pPr>
      <w:r>
        <w:rPr>
          <w:rFonts w:hint="eastAsia" w:ascii="宋体" w:hAnsi="宋体"/>
          <w:sz w:val="24"/>
        </w:rPr>
        <w:t>采购人根据磋商小组推荐的成交候选人名单，按顺序确定成交人。</w:t>
      </w:r>
    </w:p>
    <w:p>
      <w:pPr>
        <w:spacing w:line="360" w:lineRule="auto"/>
        <w:ind w:firstLine="236" w:firstLineChars="98"/>
        <w:rPr>
          <w:rFonts w:ascii="宋体" w:hAnsi="宋体"/>
          <w:b/>
          <w:sz w:val="24"/>
        </w:rPr>
      </w:pPr>
      <w:r>
        <w:rPr>
          <w:rFonts w:hint="eastAsia" w:ascii="宋体" w:hAnsi="宋体"/>
          <w:b/>
          <w:sz w:val="24"/>
        </w:rPr>
        <w:t>3.6.2定标程序</w:t>
      </w:r>
    </w:p>
    <w:p>
      <w:pPr>
        <w:spacing w:line="360" w:lineRule="auto"/>
        <w:ind w:firstLine="480"/>
        <w:rPr>
          <w:rFonts w:ascii="宋体" w:hAnsi="宋体"/>
          <w:sz w:val="24"/>
        </w:rPr>
      </w:pPr>
      <w:r>
        <w:rPr>
          <w:rFonts w:hint="eastAsia" w:ascii="宋体" w:hAnsi="宋体"/>
          <w:sz w:val="24"/>
        </w:rPr>
        <w:t>采购人或者采购代理机构应当自成交人确定之日起2个工作日内，在省级以上财政部门指定的媒体上公告成交结果，磋商文件应当随成交结果同时公告。</w:t>
      </w:r>
    </w:p>
    <w:p>
      <w:pPr>
        <w:spacing w:line="360" w:lineRule="auto"/>
        <w:rPr>
          <w:rFonts w:ascii="宋体" w:hAnsi="宋体"/>
          <w:b/>
          <w:sz w:val="28"/>
          <w:szCs w:val="28"/>
        </w:rPr>
      </w:pPr>
      <w:r>
        <w:rPr>
          <w:rFonts w:hint="eastAsia" w:ascii="宋体" w:hAnsi="宋体"/>
          <w:b/>
          <w:sz w:val="28"/>
          <w:szCs w:val="28"/>
        </w:rPr>
        <w:t>3.7成交通知书</w:t>
      </w:r>
    </w:p>
    <w:p>
      <w:pPr>
        <w:spacing w:line="360" w:lineRule="auto"/>
        <w:ind w:firstLine="570"/>
        <w:rPr>
          <w:rFonts w:ascii="宋体" w:hAnsi="宋体"/>
          <w:sz w:val="24"/>
        </w:rPr>
      </w:pPr>
      <w:r>
        <w:rPr>
          <w:rFonts w:hint="eastAsia" w:ascii="宋体" w:hAnsi="宋体"/>
          <w:sz w:val="24"/>
        </w:rPr>
        <w:t>在公告成交结果的同时，采购人或者采购代理机构应当向成交人发出成交通知书；对未通过资格审查的供应商，应当告知其未通过的原因；采用综合评分法评审的，还应当告知未成交人本人的评审得分与排序。</w:t>
      </w:r>
    </w:p>
    <w:p>
      <w:pPr>
        <w:spacing w:line="360" w:lineRule="auto"/>
        <w:ind w:firstLine="570"/>
        <w:rPr>
          <w:rFonts w:ascii="宋体" w:hAnsi="宋体"/>
          <w:sz w:val="24"/>
        </w:rPr>
      </w:pPr>
      <w:r>
        <w:rPr>
          <w:rFonts w:hint="eastAsia" w:ascii="宋体" w:hAnsi="宋体"/>
          <w:sz w:val="24"/>
        </w:rPr>
        <w:t>成交通知书对采购人和成交人均具有法律效力。成交通知书发出后，采购人改变成交结果，或者成交人无正当理由放弃成交的，应当承担相应的法律责任。</w:t>
      </w:r>
    </w:p>
    <w:p>
      <w:pPr>
        <w:spacing w:line="360" w:lineRule="auto"/>
        <w:ind w:firstLine="570"/>
        <w:rPr>
          <w:rFonts w:ascii="宋体" w:hAnsi="宋体"/>
          <w:sz w:val="24"/>
        </w:rPr>
      </w:pPr>
      <w:r>
        <w:rPr>
          <w:rFonts w:hint="eastAsia" w:ascii="宋体" w:hAnsi="宋体"/>
          <w:sz w:val="24"/>
        </w:rPr>
        <w:t>成交人的响应文件本应作为无效投标处理或者有政府采购法律法规规章制度规定的中标无效情形的，采购人应当宣布发出的成交通知书无效，并收回发出的成交通知书（成交人也应当交回），依法重新确定成交人或者重新开展采购活动。</w:t>
      </w:r>
    </w:p>
    <w:p>
      <w:pPr>
        <w:spacing w:line="360" w:lineRule="auto"/>
        <w:rPr>
          <w:rFonts w:ascii="宋体" w:hAnsi="宋体"/>
          <w:b/>
          <w:sz w:val="28"/>
          <w:szCs w:val="28"/>
        </w:rPr>
      </w:pPr>
      <w:r>
        <w:rPr>
          <w:rFonts w:hint="eastAsia" w:ascii="宋体" w:hAnsi="宋体"/>
          <w:b/>
          <w:sz w:val="28"/>
          <w:szCs w:val="28"/>
        </w:rPr>
        <w:t>3.8签订政府采购合同</w:t>
      </w:r>
    </w:p>
    <w:p>
      <w:pPr>
        <w:spacing w:line="360" w:lineRule="auto"/>
        <w:ind w:firstLine="236" w:firstLineChars="98"/>
        <w:rPr>
          <w:rFonts w:ascii="宋体" w:hAnsi="宋体"/>
          <w:b/>
          <w:sz w:val="24"/>
        </w:rPr>
      </w:pPr>
      <w:bookmarkStart w:id="70" w:name="_Toc128372756"/>
      <w:bookmarkStart w:id="71" w:name="_Toc128372078"/>
      <w:bookmarkStart w:id="72" w:name="_Toc139965351"/>
      <w:bookmarkStart w:id="73" w:name="_Toc327439456"/>
      <w:bookmarkStart w:id="74" w:name="_Toc400536568"/>
      <w:r>
        <w:rPr>
          <w:rFonts w:hint="eastAsia" w:ascii="宋体" w:hAnsi="宋体"/>
          <w:b/>
          <w:sz w:val="24"/>
        </w:rPr>
        <w:t>3.8.1合同授予</w:t>
      </w:r>
      <w:bookmarkEnd w:id="70"/>
      <w:bookmarkEnd w:id="71"/>
      <w:bookmarkEnd w:id="72"/>
      <w:r>
        <w:rPr>
          <w:rFonts w:hint="eastAsia" w:ascii="宋体" w:hAnsi="宋体"/>
          <w:b/>
          <w:sz w:val="24"/>
        </w:rPr>
        <w:t>原则</w:t>
      </w:r>
      <w:bookmarkEnd w:id="73"/>
      <w:bookmarkEnd w:id="74"/>
    </w:p>
    <w:p>
      <w:pPr>
        <w:spacing w:line="360" w:lineRule="auto"/>
        <w:ind w:firstLine="480" w:firstLineChars="200"/>
        <w:rPr>
          <w:rFonts w:ascii="宋体" w:hAnsi="宋体"/>
          <w:sz w:val="24"/>
        </w:rPr>
      </w:pPr>
      <w:r>
        <w:rPr>
          <w:rFonts w:hint="eastAsia" w:ascii="宋体" w:hAnsi="宋体"/>
          <w:sz w:val="24"/>
        </w:rPr>
        <w:t>招标人将把合同授予经磋商小组评议推荐采购人确认的供应商。若因成交人违约或因不可抗力等原因不能被授予合同，则合同将授予排序在该供应商之后的下一个供应商。</w:t>
      </w:r>
    </w:p>
    <w:p>
      <w:pPr>
        <w:spacing w:line="360" w:lineRule="auto"/>
        <w:ind w:firstLine="480" w:firstLineChars="200"/>
        <w:rPr>
          <w:rFonts w:ascii="宋体" w:hAnsi="宋体"/>
          <w:sz w:val="24"/>
        </w:rPr>
      </w:pPr>
      <w:r>
        <w:rPr>
          <w:rFonts w:hint="eastAsia" w:ascii="宋体" w:hAnsi="宋体"/>
          <w:sz w:val="24"/>
        </w:rPr>
        <w:t>招标人保留在签订合同时调整方案需求和变动所购货物数量的权力。</w:t>
      </w:r>
    </w:p>
    <w:p>
      <w:pPr>
        <w:spacing w:line="360" w:lineRule="auto"/>
        <w:ind w:firstLine="236" w:firstLineChars="98"/>
        <w:rPr>
          <w:rFonts w:ascii="宋体" w:hAnsi="宋体"/>
          <w:b/>
          <w:sz w:val="24"/>
        </w:rPr>
      </w:pPr>
      <w:bookmarkStart w:id="75" w:name="_Toc327439457"/>
      <w:bookmarkStart w:id="76" w:name="_Toc139965353"/>
      <w:bookmarkStart w:id="77" w:name="_Toc128372080"/>
      <w:bookmarkStart w:id="78" w:name="_Toc400536569"/>
      <w:bookmarkStart w:id="79" w:name="_Toc128372758"/>
      <w:r>
        <w:rPr>
          <w:rFonts w:hint="eastAsia" w:ascii="宋体" w:hAnsi="宋体"/>
          <w:b/>
          <w:sz w:val="24"/>
        </w:rPr>
        <w:t>3.8.2合同的签署</w:t>
      </w:r>
      <w:bookmarkEnd w:id="75"/>
      <w:bookmarkEnd w:id="76"/>
      <w:bookmarkEnd w:id="77"/>
      <w:bookmarkEnd w:id="78"/>
      <w:bookmarkEnd w:id="79"/>
      <w:r>
        <w:rPr>
          <w:rFonts w:hint="eastAsia" w:ascii="宋体" w:hAnsi="宋体"/>
          <w:b/>
          <w:sz w:val="24"/>
        </w:rPr>
        <w:t>、履约及验收</w:t>
      </w:r>
    </w:p>
    <w:p>
      <w:pPr>
        <w:spacing w:line="360" w:lineRule="auto"/>
        <w:ind w:firstLine="482" w:firstLineChars="200"/>
        <w:rPr>
          <w:rFonts w:ascii="宋体" w:hAnsi="宋体"/>
          <w:sz w:val="24"/>
        </w:rPr>
      </w:pPr>
      <w:bookmarkStart w:id="80" w:name="_Toc400536570"/>
      <w:bookmarkStart w:id="81" w:name="_Toc128372081"/>
      <w:bookmarkStart w:id="82" w:name="_Toc139965354"/>
      <w:bookmarkStart w:id="83" w:name="_Toc128372759"/>
      <w:bookmarkStart w:id="84" w:name="_Toc327439458"/>
      <w:r>
        <w:rPr>
          <w:rFonts w:hint="eastAsia" w:ascii="宋体" w:hAnsi="宋体"/>
          <w:b/>
          <w:sz w:val="24"/>
        </w:rPr>
        <w:t>签署：</w:t>
      </w:r>
      <w:r>
        <w:rPr>
          <w:rFonts w:hint="eastAsia" w:ascii="宋体" w:hAnsi="宋体"/>
          <w:sz w:val="24"/>
        </w:rPr>
        <w:t>采购人于成交通知书发出之日起30日内与成交人签订政府采购合同。磋商文件、成交人的响应文件均为签订合同的依据，需方与成交人是合同权利与义务的直接、全部责任承担人。招标人所发出的成交通知书对需方和成交供应商具有同等法律效力。</w:t>
      </w:r>
    </w:p>
    <w:p>
      <w:pPr>
        <w:spacing w:line="360" w:lineRule="auto"/>
        <w:ind w:firstLine="480" w:firstLineChars="200"/>
        <w:rPr>
          <w:rFonts w:ascii="宋体" w:hAnsi="宋体"/>
          <w:sz w:val="24"/>
        </w:rPr>
      </w:pPr>
      <w:r>
        <w:rPr>
          <w:rFonts w:hint="eastAsia" w:ascii="宋体" w:hAnsi="宋体"/>
          <w:sz w:val="24"/>
        </w:rPr>
        <w:t>若成交人不能在规定时间内与需方签订合同，或拒签、变相签订合同，招标人依监督职能可采取取消其中标资格并没收其保证金等措施，并可按照财政部令【2017】第87号第七十一条、第七十二条、第七十三条及《中华人民共和国政府采购法实施条例》第七十二条规定办理。此时可由招标人按照排名顺序与下一供应商签订合同或重新组织招标。</w:t>
      </w:r>
    </w:p>
    <w:p>
      <w:pPr>
        <w:spacing w:line="360" w:lineRule="auto"/>
        <w:ind w:firstLine="480" w:firstLineChars="200"/>
        <w:rPr>
          <w:rFonts w:ascii="宋体" w:hAnsi="宋体"/>
          <w:sz w:val="24"/>
        </w:rPr>
      </w:pPr>
      <w:r>
        <w:rPr>
          <w:rFonts w:hint="eastAsia" w:ascii="宋体" w:hAnsi="宋体"/>
          <w:sz w:val="24"/>
        </w:rPr>
        <w:t>如果成交人在规定的合同签订时间内，没有按照磋商文件的规定交纳履约保证金，且又无正当理由的，将视为放弃成交，其交纳的保证金不予退还。</w:t>
      </w:r>
    </w:p>
    <w:p>
      <w:pPr>
        <w:spacing w:line="360" w:lineRule="auto"/>
        <w:ind w:firstLine="482" w:firstLineChars="200"/>
        <w:rPr>
          <w:rFonts w:ascii="宋体" w:hAnsi="宋体"/>
          <w:sz w:val="24"/>
        </w:rPr>
      </w:pPr>
      <w:r>
        <w:rPr>
          <w:rFonts w:hint="eastAsia" w:ascii="宋体" w:hAnsi="宋体"/>
          <w:b/>
          <w:sz w:val="24"/>
        </w:rPr>
        <w:t>履约：</w:t>
      </w:r>
      <w:r>
        <w:rPr>
          <w:rFonts w:hint="eastAsia" w:ascii="宋体" w:hAnsi="宋体"/>
          <w:sz w:val="24"/>
        </w:rPr>
        <w:t>成交人与采购人签订合同后，合同双方应严格执行合同条款，履行合同规定的义务，保证合同的顺利完成。</w:t>
      </w:r>
    </w:p>
    <w:p>
      <w:pPr>
        <w:spacing w:line="360" w:lineRule="auto"/>
        <w:ind w:firstLine="480" w:firstLineChars="200"/>
        <w:rPr>
          <w:rFonts w:ascii="宋体" w:hAnsi="宋体"/>
          <w:sz w:val="24"/>
        </w:rPr>
      </w:pPr>
      <w:r>
        <w:rPr>
          <w:rFonts w:hint="eastAsia" w:ascii="宋体" w:hAnsi="宋体"/>
          <w:sz w:val="24"/>
        </w:rPr>
        <w:t>在合同履行过程中，如发生合同纠纷，合同双方应按照《中华人民共和国民法典》的有关规定进行处理。</w:t>
      </w:r>
    </w:p>
    <w:p>
      <w:pPr>
        <w:spacing w:line="360" w:lineRule="auto"/>
        <w:ind w:firstLine="482" w:firstLineChars="200"/>
        <w:rPr>
          <w:rFonts w:ascii="宋体" w:hAnsi="宋体"/>
          <w:sz w:val="24"/>
        </w:rPr>
      </w:pPr>
      <w:r>
        <w:rPr>
          <w:rFonts w:hint="eastAsia" w:ascii="宋体" w:hAnsi="宋体"/>
          <w:b/>
          <w:sz w:val="24"/>
        </w:rPr>
        <w:t>验收：</w:t>
      </w:r>
      <w:r>
        <w:rPr>
          <w:rFonts w:hint="eastAsia" w:ascii="宋体" w:hAnsi="宋体"/>
          <w:sz w:val="24"/>
        </w:rPr>
        <w:t>采购人应当及时对采购项目进行验收。采购人可以邀请参加本项目的其他投标人或者第三方机构参与验收。参与验收的投标人或者第三方机构的意见作为验收书的参考资料一并存档。</w:t>
      </w:r>
    </w:p>
    <w:p>
      <w:pPr>
        <w:spacing w:line="360" w:lineRule="auto"/>
        <w:rPr>
          <w:rFonts w:ascii="宋体" w:hAnsi="宋体"/>
          <w:b/>
          <w:sz w:val="28"/>
          <w:szCs w:val="28"/>
        </w:rPr>
      </w:pPr>
      <w:r>
        <w:rPr>
          <w:rFonts w:hint="eastAsia" w:ascii="宋体" w:hAnsi="宋体"/>
          <w:b/>
          <w:sz w:val="28"/>
          <w:szCs w:val="28"/>
        </w:rPr>
        <w:t>3.9其他</w:t>
      </w:r>
      <w:bookmarkEnd w:id="80"/>
      <w:bookmarkEnd w:id="81"/>
      <w:bookmarkEnd w:id="82"/>
      <w:bookmarkEnd w:id="83"/>
      <w:bookmarkEnd w:id="84"/>
    </w:p>
    <w:p>
      <w:pPr>
        <w:spacing w:line="360" w:lineRule="auto"/>
        <w:ind w:firstLine="480" w:firstLineChars="200"/>
        <w:rPr>
          <w:rFonts w:ascii="宋体" w:hAnsi="宋体"/>
          <w:sz w:val="24"/>
        </w:rPr>
      </w:pPr>
      <w:bookmarkStart w:id="85" w:name="_Toc400536571"/>
      <w:r>
        <w:rPr>
          <w:rFonts w:hint="eastAsia" w:ascii="宋体" w:hAnsi="宋体"/>
          <w:sz w:val="24"/>
        </w:rPr>
        <w:t>成交后磋商文件和响应文件未尽事宜另行商定。本磋商文件由招标人及招标代理公司负责解释。</w:t>
      </w:r>
    </w:p>
    <w:bookmarkEnd w:id="85"/>
    <w:p>
      <w:pPr>
        <w:spacing w:line="360" w:lineRule="auto"/>
        <w:rPr>
          <w:rFonts w:ascii="宋体" w:hAnsi="宋体"/>
          <w:b/>
          <w:sz w:val="28"/>
          <w:szCs w:val="28"/>
        </w:rPr>
      </w:pPr>
      <w:bookmarkStart w:id="86" w:name="_Toc400536572"/>
      <w:r>
        <w:rPr>
          <w:rFonts w:hint="eastAsia" w:ascii="宋体" w:hAnsi="宋体"/>
          <w:b/>
          <w:sz w:val="28"/>
          <w:szCs w:val="28"/>
        </w:rPr>
        <w:t>3.10</w:t>
      </w:r>
      <w:bookmarkStart w:id="87" w:name="_Toc327439460"/>
      <w:r>
        <w:rPr>
          <w:rFonts w:hint="eastAsia" w:ascii="宋体" w:hAnsi="宋体"/>
          <w:b/>
          <w:sz w:val="28"/>
          <w:szCs w:val="28"/>
        </w:rPr>
        <w:t>澄清与质疑</w:t>
      </w:r>
    </w:p>
    <w:p>
      <w:pPr>
        <w:spacing w:line="360" w:lineRule="auto"/>
        <w:ind w:firstLine="236" w:firstLineChars="98"/>
        <w:rPr>
          <w:rFonts w:ascii="宋体" w:hAnsi="宋体"/>
          <w:b/>
          <w:sz w:val="24"/>
        </w:rPr>
      </w:pPr>
      <w:r>
        <w:rPr>
          <w:rFonts w:hint="eastAsia" w:ascii="宋体" w:hAnsi="宋体"/>
          <w:b/>
          <w:sz w:val="24"/>
        </w:rPr>
        <w:t>3.10.1综合说明</w:t>
      </w:r>
      <w:bookmarkEnd w:id="87"/>
    </w:p>
    <w:p>
      <w:pPr>
        <w:spacing w:line="360" w:lineRule="auto"/>
        <w:ind w:firstLine="480" w:firstLineChars="200"/>
        <w:rPr>
          <w:rFonts w:ascii="宋体" w:hAnsi="宋体"/>
          <w:sz w:val="24"/>
        </w:rPr>
      </w:pPr>
      <w:bookmarkStart w:id="88" w:name="_Toc327439461"/>
      <w:r>
        <w:rPr>
          <w:rFonts w:hint="eastAsia" w:ascii="宋体" w:hAnsi="宋体"/>
          <w:sz w:val="24"/>
        </w:rPr>
        <w:t>供应商对政府采购活动事项有疑问的，可以向采购人和招标代理公司提出询问，采购人和招标代理公司应当及时予以答复，但答复的内容不得涉及商业秘密。供应商认为磋商文件、招标过程或成交结果使自己权益受到损害的，可以在规定期限内，以书面形式向采购人提出质疑。供应商质疑实行实名制，质疑应当有事实根据，不得进行虚假、恶意质疑，干扰政府采购正常工作秩序。</w:t>
      </w:r>
    </w:p>
    <w:p>
      <w:pPr>
        <w:spacing w:line="360" w:lineRule="auto"/>
        <w:ind w:firstLine="235" w:firstLineChars="98"/>
        <w:rPr>
          <w:rFonts w:ascii="宋体" w:hAnsi="宋体"/>
          <w:sz w:val="24"/>
        </w:rPr>
      </w:pPr>
      <w:r>
        <w:rPr>
          <w:rFonts w:hint="eastAsia" w:ascii="宋体" w:hAnsi="宋体"/>
          <w:sz w:val="24"/>
        </w:rPr>
        <w:t>3.10.2</w:t>
      </w:r>
      <w:bookmarkEnd w:id="88"/>
      <w:r>
        <w:rPr>
          <w:rFonts w:hint="eastAsia" w:ascii="宋体" w:hAnsi="宋体"/>
          <w:sz w:val="24"/>
        </w:rPr>
        <w:t>澄清或质疑答复按照：中华人民共和国财政部令第94号</w:t>
      </w:r>
      <w:r>
        <w:rPr>
          <w:rFonts w:ascii="宋体" w:hAnsi="宋体"/>
          <w:sz w:val="24"/>
        </w:rPr>
        <w:t>—</w:t>
      </w:r>
      <w:r>
        <w:rPr>
          <w:rFonts w:hint="eastAsia" w:ascii="宋体" w:hAnsi="宋体"/>
          <w:sz w:val="24"/>
        </w:rPr>
        <w:t>政府采购质疑和投诉办法</w:t>
      </w:r>
    </w:p>
    <w:bookmarkEnd w:id="86"/>
    <w:p>
      <w:pPr>
        <w:spacing w:line="360" w:lineRule="auto"/>
        <w:rPr>
          <w:rFonts w:ascii="宋体" w:hAnsi="宋体"/>
          <w:b/>
          <w:sz w:val="24"/>
        </w:rPr>
      </w:pPr>
    </w:p>
    <w:bookmarkEnd w:id="66"/>
    <w:bookmarkEnd w:id="67"/>
    <w:bookmarkEnd w:id="68"/>
    <w:bookmarkEnd w:id="69"/>
    <w:p>
      <w:pPr>
        <w:pStyle w:val="2"/>
      </w:pPr>
    </w:p>
    <w:p>
      <w:pPr>
        <w:jc w:val="center"/>
        <w:rPr>
          <w:rFonts w:asciiTheme="minorEastAsia" w:hAnsiTheme="minorEastAsia" w:eastAsiaTheme="minorEastAsia"/>
          <w:b/>
          <w:sz w:val="32"/>
          <w:szCs w:val="32"/>
        </w:rPr>
      </w:pPr>
    </w:p>
    <w:p>
      <w:pPr>
        <w:jc w:val="center"/>
        <w:rPr>
          <w:rFonts w:asciiTheme="minorEastAsia" w:hAnsiTheme="minorEastAsia" w:eastAsiaTheme="minorEastAsia"/>
          <w:b/>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rPr>
      </w:pPr>
    </w:p>
    <w:p>
      <w:pPr>
        <w:spacing w:line="360" w:lineRule="auto"/>
        <w:jc w:val="center"/>
        <w:outlineLvl w:val="0"/>
        <w:rPr>
          <w:rFonts w:ascii="宋体" w:hAnsi="宋体"/>
          <w:b/>
          <w:sz w:val="32"/>
          <w:szCs w:val="32"/>
        </w:rPr>
      </w:pPr>
    </w:p>
    <w:p>
      <w:pPr>
        <w:numPr>
          <w:ilvl w:val="0"/>
          <w:numId w:val="2"/>
        </w:numPr>
        <w:spacing w:line="360" w:lineRule="auto"/>
        <w:jc w:val="center"/>
        <w:outlineLvl w:val="0"/>
        <w:rPr>
          <w:rFonts w:hint="eastAsia" w:ascii="宋体" w:hAnsi="宋体"/>
          <w:b/>
          <w:sz w:val="32"/>
          <w:szCs w:val="32"/>
          <w:highlight w:val="none"/>
        </w:rPr>
      </w:pPr>
      <w:r>
        <w:rPr>
          <w:rFonts w:hint="eastAsia" w:ascii="宋体" w:hAnsi="宋体"/>
          <w:b/>
          <w:sz w:val="32"/>
          <w:szCs w:val="32"/>
          <w:highlight w:val="none"/>
        </w:rPr>
        <w:t xml:space="preserve"> 项目需求</w:t>
      </w:r>
    </w:p>
    <w:p>
      <w:pPr>
        <w:pStyle w:val="2"/>
        <w:numPr>
          <w:ilvl w:val="0"/>
          <w:numId w:val="0"/>
        </w:numPr>
        <w:rPr>
          <w:highlight w:val="none"/>
        </w:rPr>
      </w:pPr>
    </w:p>
    <w:p>
      <w:pPr>
        <w:spacing w:line="360" w:lineRule="auto"/>
        <w:ind w:firstLine="960" w:firstLineChars="400"/>
        <w:rPr>
          <w:rFonts w:hint="eastAsia" w:ascii="宋体" w:hAnsi="宋体" w:eastAsia="宋体" w:cs="Times New Roman"/>
          <w:sz w:val="24"/>
          <w:highlight w:val="none"/>
        </w:rPr>
      </w:pPr>
      <w:r>
        <w:rPr>
          <w:rFonts w:hint="eastAsia" w:ascii="宋体" w:hAnsi="宋体" w:eastAsia="宋体" w:cs="Times New Roman"/>
          <w:sz w:val="24"/>
          <w:highlight w:val="none"/>
        </w:rPr>
        <w:t>围绕“药品安全法治教育”，通过媒体深入宣传药品安全法律法规，及时报道药品监管工作的新思路、新举措、新成果，并制作拍摄相关视频。重点为药品专项整治、医疗器械安全宣传周、化妆品安全科普活动周、安全用药月等，全力保障人民群众用药安全。</w:t>
      </w:r>
    </w:p>
    <w:p>
      <w:pPr>
        <w:spacing w:line="360" w:lineRule="auto"/>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 xml:space="preserve">    新疆广播电视台（FM949、FM961、XJTV7）、新疆日报、 乌鲁木齐广播电视台BRT移动电视（都市生活频道）；市区及景区户外LED大屏；分众传媒楼宇电视、电梯轿厢海报；出租车顶灯（彩灯）等形式宣传。</w:t>
      </w:r>
    </w:p>
    <w:p>
      <w:pPr>
        <w:snapToGrid w:val="0"/>
        <w:spacing w:before="120" w:beforeLines="50" w:after="120" w:afterLines="50" w:line="360" w:lineRule="auto"/>
        <w:ind w:firstLine="643" w:firstLineChars="200"/>
        <w:rPr>
          <w:highlight w:val="yellow"/>
        </w:rPr>
      </w:pPr>
      <w:r>
        <w:rPr>
          <w:rFonts w:hint="eastAsia" w:ascii="宋体" w:hAnsi="宋体"/>
          <w:b/>
          <w:sz w:val="32"/>
          <w:szCs w:val="32"/>
          <w:highlight w:val="yellow"/>
        </w:rPr>
        <w:br w:type="page"/>
      </w:r>
      <w:bookmarkStart w:id="124" w:name="_GoBack"/>
      <w:bookmarkEnd w:id="124"/>
    </w:p>
    <w:p>
      <w:pPr>
        <w:spacing w:line="360" w:lineRule="auto"/>
        <w:jc w:val="center"/>
        <w:rPr>
          <w:rFonts w:ascii="宋体" w:hAnsi="宋体"/>
          <w:b/>
          <w:sz w:val="32"/>
          <w:szCs w:val="32"/>
        </w:rPr>
      </w:pPr>
      <w:r>
        <w:rPr>
          <w:rFonts w:hint="eastAsia" w:ascii="宋体" w:hAnsi="宋体"/>
          <w:b/>
          <w:sz w:val="32"/>
          <w:szCs w:val="32"/>
        </w:rPr>
        <w:t>第五章  磋商原则及办法</w:t>
      </w:r>
    </w:p>
    <w:p>
      <w:pPr>
        <w:spacing w:line="360" w:lineRule="auto"/>
        <w:textAlignment w:val="baseline"/>
        <w:outlineLvl w:val="1"/>
        <w:rPr>
          <w:rFonts w:ascii="宋体" w:hAnsi="宋体"/>
          <w:b/>
          <w:sz w:val="28"/>
          <w:szCs w:val="28"/>
        </w:rPr>
      </w:pPr>
      <w:bookmarkStart w:id="89" w:name="_Toc27489"/>
      <w:bookmarkStart w:id="90" w:name="_Toc400536583"/>
      <w:bookmarkStart w:id="91" w:name="_Toc327439477"/>
      <w:r>
        <w:rPr>
          <w:rFonts w:hint="eastAsia" w:ascii="宋体" w:hAnsi="宋体"/>
          <w:b/>
          <w:sz w:val="28"/>
          <w:szCs w:val="28"/>
        </w:rPr>
        <w:t>5.1 磋商工作中的原则及组织</w:t>
      </w:r>
      <w:bookmarkEnd w:id="89"/>
    </w:p>
    <w:p>
      <w:pPr>
        <w:spacing w:line="360" w:lineRule="auto"/>
        <w:ind w:firstLine="236" w:firstLineChars="98"/>
        <w:textAlignment w:val="baseline"/>
        <w:outlineLvl w:val="1"/>
        <w:rPr>
          <w:rFonts w:ascii="宋体" w:hAnsi="宋体"/>
          <w:b/>
          <w:sz w:val="24"/>
        </w:rPr>
      </w:pPr>
      <w:bookmarkStart w:id="92" w:name="_Toc2400"/>
      <w:bookmarkStart w:id="93" w:name="_Toc174336141"/>
      <w:r>
        <w:rPr>
          <w:rFonts w:hint="eastAsia" w:ascii="宋体" w:hAnsi="宋体"/>
          <w:b/>
          <w:sz w:val="24"/>
        </w:rPr>
        <w:t>5.1.1原则</w:t>
      </w:r>
      <w:bookmarkEnd w:id="92"/>
      <w:bookmarkEnd w:id="93"/>
    </w:p>
    <w:p>
      <w:pPr>
        <w:pStyle w:val="18"/>
        <w:spacing w:line="360" w:lineRule="auto"/>
        <w:ind w:firstLineChars="200"/>
        <w:rPr>
          <w:bCs/>
          <w:szCs w:val="24"/>
        </w:rPr>
      </w:pPr>
      <w:r>
        <w:rPr>
          <w:rFonts w:hint="eastAsia"/>
          <w:bCs/>
          <w:szCs w:val="24"/>
        </w:rPr>
        <w:t>招标代理公司组织磋商，在监督部门的监督下</w:t>
      </w:r>
      <w:r>
        <w:rPr>
          <w:bCs/>
          <w:szCs w:val="24"/>
        </w:rPr>
        <w:t>,</w:t>
      </w:r>
      <w:r>
        <w:rPr>
          <w:rFonts w:hint="eastAsia"/>
          <w:bCs/>
          <w:szCs w:val="24"/>
        </w:rPr>
        <w:t>根据《中华人民共和国政府采购法》组建磋商小组，由采购人代表和评审专家共同组成，磋商小组成员应坚持“公开、公平、公正”的宗旨</w:t>
      </w:r>
      <w:r>
        <w:rPr>
          <w:bCs/>
          <w:szCs w:val="24"/>
        </w:rPr>
        <w:t>,</w:t>
      </w:r>
      <w:r>
        <w:rPr>
          <w:rFonts w:hint="eastAsia"/>
          <w:bCs/>
          <w:szCs w:val="24"/>
        </w:rPr>
        <w:t>认真细致地做好磋商评审工作。</w:t>
      </w:r>
    </w:p>
    <w:p>
      <w:pPr>
        <w:numPr>
          <w:ilvl w:val="0"/>
          <w:numId w:val="3"/>
        </w:numPr>
        <w:spacing w:line="360" w:lineRule="auto"/>
        <w:ind w:firstLine="480" w:firstLineChars="200"/>
        <w:rPr>
          <w:rFonts w:hint="eastAsia" w:ascii="宋体" w:hAnsi="宋体"/>
          <w:sz w:val="24"/>
        </w:rPr>
      </w:pPr>
      <w:r>
        <w:rPr>
          <w:rFonts w:hint="eastAsia" w:ascii="宋体" w:hAnsi="宋体"/>
          <w:sz w:val="24"/>
        </w:rPr>
        <w:t>磋商小组成员人数为3人</w:t>
      </w:r>
    </w:p>
    <w:p>
      <w:pPr>
        <w:numPr>
          <w:ilvl w:val="0"/>
          <w:numId w:val="0"/>
        </w:numPr>
        <w:spacing w:line="360" w:lineRule="auto"/>
        <w:ind w:firstLine="480" w:firstLineChars="200"/>
        <w:rPr>
          <w:rFonts w:ascii="宋体" w:hAnsi="宋体"/>
          <w:sz w:val="24"/>
        </w:rPr>
      </w:pPr>
      <w:r>
        <w:rPr>
          <w:rFonts w:hint="eastAsia" w:ascii="宋体" w:hAnsi="宋体"/>
          <w:sz w:val="24"/>
        </w:rPr>
        <w:t>2）磋商小组成员应当客观、公正的履行职责，遵守职业道德，对所提出的评审意见承担个人责任。</w:t>
      </w:r>
    </w:p>
    <w:p>
      <w:pPr>
        <w:pStyle w:val="18"/>
        <w:spacing w:line="360" w:lineRule="auto"/>
        <w:ind w:firstLineChars="200"/>
        <w:rPr>
          <w:bCs/>
          <w:szCs w:val="24"/>
        </w:rPr>
      </w:pPr>
      <w:r>
        <w:rPr>
          <w:rFonts w:hint="eastAsia"/>
          <w:bCs/>
          <w:szCs w:val="24"/>
        </w:rPr>
        <w:t>3) 磋商小组成员和与磋商活动有关的工作人员不得透露对磋商文件的评审和比较、成交候选人的推荐情况以及与磋商有关的其他情况。</w:t>
      </w:r>
    </w:p>
    <w:p>
      <w:pPr>
        <w:adjustRightInd w:val="0"/>
        <w:snapToGrid w:val="0"/>
        <w:spacing w:line="360" w:lineRule="auto"/>
        <w:ind w:firstLine="236" w:firstLineChars="98"/>
        <w:rPr>
          <w:rFonts w:ascii="宋体" w:hAnsi="宋体"/>
          <w:b/>
          <w:sz w:val="24"/>
        </w:rPr>
      </w:pPr>
      <w:r>
        <w:rPr>
          <w:rFonts w:hint="eastAsia" w:ascii="宋体" w:hAnsi="宋体"/>
          <w:b/>
          <w:sz w:val="24"/>
        </w:rPr>
        <w:t>5.1.2 组织</w:t>
      </w:r>
      <w:bookmarkEnd w:id="90"/>
      <w:bookmarkEnd w:id="91"/>
    </w:p>
    <w:p>
      <w:pPr>
        <w:adjustRightInd w:val="0"/>
        <w:snapToGrid w:val="0"/>
        <w:spacing w:line="360" w:lineRule="auto"/>
        <w:ind w:firstLine="480" w:firstLineChars="200"/>
        <w:rPr>
          <w:rFonts w:ascii="宋体" w:hAnsi="宋体"/>
          <w:sz w:val="24"/>
        </w:rPr>
      </w:pPr>
      <w:r>
        <w:rPr>
          <w:rFonts w:hint="eastAsia" w:ascii="宋体" w:hAnsi="宋体"/>
          <w:sz w:val="24"/>
        </w:rPr>
        <w:t>1）磋商小组：由招标代理机构从政采云专家库抽取的专家组成磋商小组。磋商小组根据磋商文件要求负责磋商响应性文件的商务审核和技术评价。</w:t>
      </w:r>
    </w:p>
    <w:p>
      <w:pPr>
        <w:spacing w:line="360" w:lineRule="auto"/>
        <w:ind w:firstLine="480" w:firstLineChars="200"/>
        <w:rPr>
          <w:rFonts w:ascii="宋体" w:hAnsi="宋体"/>
          <w:sz w:val="24"/>
        </w:rPr>
      </w:pPr>
      <w:r>
        <w:rPr>
          <w:rFonts w:hint="eastAsia" w:ascii="宋体" w:hAnsi="宋体"/>
          <w:sz w:val="24"/>
        </w:rPr>
        <w:t>2）代理机构</w:t>
      </w:r>
      <w:r>
        <w:rPr>
          <w:rFonts w:ascii="宋体" w:hAnsi="宋体"/>
          <w:sz w:val="24"/>
        </w:rPr>
        <w:t>:</w:t>
      </w:r>
      <w:r>
        <w:rPr>
          <w:rFonts w:hint="eastAsia" w:ascii="宋体" w:hAnsi="宋体"/>
          <w:sz w:val="24"/>
          <w:lang w:eastAsia="zh-CN"/>
        </w:rPr>
        <w:t>新疆天之源项目管理集团有限公司</w:t>
      </w:r>
      <w:r>
        <w:rPr>
          <w:rFonts w:hint="eastAsia" w:ascii="宋体" w:hAnsi="宋体"/>
          <w:sz w:val="24"/>
        </w:rPr>
        <w:t>工作人员负责磋商文件的制作，对外联系，磋商的会务工作</w:t>
      </w:r>
      <w:r>
        <w:rPr>
          <w:rFonts w:ascii="宋体" w:hAnsi="宋体"/>
          <w:sz w:val="24"/>
        </w:rPr>
        <w:t>,</w:t>
      </w:r>
      <w:r>
        <w:rPr>
          <w:rFonts w:hint="eastAsia" w:ascii="宋体" w:hAnsi="宋体"/>
          <w:sz w:val="24"/>
        </w:rPr>
        <w:t>整理并向磋商小组分发磋商响应性文件；做好磋商会议记录；对磋商过程中的原始文件进行归档；随时印发需要的文件资料</w:t>
      </w:r>
      <w:r>
        <w:rPr>
          <w:rFonts w:ascii="宋体" w:hAnsi="宋体"/>
          <w:sz w:val="24"/>
        </w:rPr>
        <w:t>,</w:t>
      </w:r>
      <w:r>
        <w:rPr>
          <w:rFonts w:hint="eastAsia" w:ascii="宋体" w:hAnsi="宋体"/>
          <w:sz w:val="24"/>
        </w:rPr>
        <w:t>对各种咨询函件及档案文件的统收统发；负责对磋商小组推荐的磋商结果进行审核。</w:t>
      </w:r>
    </w:p>
    <w:p>
      <w:pPr>
        <w:adjustRightInd w:val="0"/>
        <w:snapToGrid w:val="0"/>
        <w:spacing w:line="360" w:lineRule="auto"/>
        <w:ind w:firstLine="480" w:firstLineChars="200"/>
        <w:rPr>
          <w:rFonts w:ascii="宋体" w:hAnsi="宋体"/>
          <w:sz w:val="24"/>
        </w:rPr>
      </w:pPr>
      <w:r>
        <w:rPr>
          <w:rFonts w:hint="eastAsia" w:ascii="宋体" w:hAnsi="宋体"/>
          <w:sz w:val="24"/>
        </w:rPr>
        <w:t>3）监督部门：根据国家有关法律、法规及招标文件的规定</w:t>
      </w:r>
      <w:r>
        <w:rPr>
          <w:rFonts w:ascii="宋体" w:hAnsi="宋体"/>
          <w:sz w:val="24"/>
        </w:rPr>
        <w:t>,</w:t>
      </w:r>
      <w:r>
        <w:rPr>
          <w:rFonts w:hint="eastAsia" w:ascii="宋体" w:hAnsi="宋体"/>
          <w:sz w:val="24"/>
        </w:rPr>
        <w:t>对整个评标过程进行监督</w:t>
      </w:r>
      <w:r>
        <w:rPr>
          <w:rFonts w:ascii="宋体" w:hAnsi="宋体"/>
          <w:sz w:val="24"/>
        </w:rPr>
        <w:t>,</w:t>
      </w:r>
      <w:r>
        <w:rPr>
          <w:rFonts w:hint="eastAsia" w:ascii="宋体" w:hAnsi="宋体"/>
          <w:sz w:val="24"/>
        </w:rPr>
        <w:t>保证评标的公正性</w:t>
      </w:r>
      <w:r>
        <w:rPr>
          <w:rFonts w:ascii="宋体" w:hAnsi="宋体"/>
          <w:sz w:val="24"/>
        </w:rPr>
        <w:t>,</w:t>
      </w:r>
      <w:r>
        <w:rPr>
          <w:rFonts w:hint="eastAsia" w:ascii="宋体" w:hAnsi="宋体"/>
          <w:sz w:val="24"/>
        </w:rPr>
        <w:t>防止违法行为的产生。</w:t>
      </w:r>
    </w:p>
    <w:p>
      <w:pPr>
        <w:framePr w:w="1440" w:h="120" w:hRule="exact" w:wrap="around" w:vAnchor="page" w:hAnchor="page" w:x="361" w:y="541"/>
        <w:adjustRightInd w:val="0"/>
        <w:snapToGrid w:val="0"/>
        <w:spacing w:line="360" w:lineRule="auto"/>
        <w:ind w:firstLine="480" w:firstLineChars="200"/>
        <w:rPr>
          <w:rFonts w:ascii="宋体" w:hAnsi="宋体"/>
          <w:sz w:val="24"/>
        </w:rPr>
      </w:pPr>
    </w:p>
    <w:p>
      <w:pPr>
        <w:adjustRightInd w:val="0"/>
        <w:snapToGrid w:val="0"/>
        <w:spacing w:line="360" w:lineRule="auto"/>
        <w:rPr>
          <w:rFonts w:ascii="宋体" w:hAnsi="宋体"/>
          <w:b/>
          <w:sz w:val="28"/>
          <w:szCs w:val="28"/>
        </w:rPr>
      </w:pPr>
      <w:bookmarkStart w:id="94" w:name="_Toc327439478"/>
      <w:bookmarkStart w:id="95" w:name="_Toc400536584"/>
      <w:r>
        <w:rPr>
          <w:rFonts w:ascii="宋体" w:hAnsi="宋体"/>
          <w:b/>
          <w:sz w:val="28"/>
          <w:szCs w:val="28"/>
        </w:rPr>
        <w:t>5.2</w:t>
      </w:r>
      <w:r>
        <w:rPr>
          <w:rFonts w:hint="eastAsia" w:ascii="宋体" w:hAnsi="宋体"/>
          <w:b/>
          <w:sz w:val="28"/>
          <w:szCs w:val="28"/>
        </w:rPr>
        <w:t>磋商内容及标准</w:t>
      </w:r>
      <w:bookmarkEnd w:id="94"/>
      <w:bookmarkEnd w:id="95"/>
    </w:p>
    <w:p>
      <w:pPr>
        <w:pStyle w:val="2"/>
        <w:adjustRightInd w:val="0"/>
        <w:snapToGrid w:val="0"/>
        <w:spacing w:line="360" w:lineRule="auto"/>
        <w:ind w:firstLine="480" w:firstLineChars="200"/>
        <w:rPr>
          <w:rFonts w:ascii="宋体" w:hAnsi="宋体" w:eastAsia="宋体"/>
        </w:rPr>
      </w:pPr>
      <w:r>
        <w:rPr>
          <w:rFonts w:hint="eastAsia" w:ascii="宋体" w:hAnsi="宋体" w:eastAsia="宋体"/>
        </w:rPr>
        <w:t>磋商小组将审查磋商响应性文件是否完整、有无计算上的错误、是否提交了磋商保证金、文件签署是否合格、磋商响应性文件的总体编排是否有序。</w:t>
      </w:r>
    </w:p>
    <w:p>
      <w:pPr>
        <w:adjustRightInd w:val="0"/>
        <w:snapToGrid w:val="0"/>
        <w:spacing w:line="360" w:lineRule="auto"/>
        <w:ind w:firstLine="480"/>
        <w:rPr>
          <w:rFonts w:ascii="宋体" w:hAnsi="宋体"/>
          <w:sz w:val="24"/>
        </w:rPr>
      </w:pPr>
      <w:r>
        <w:rPr>
          <w:rFonts w:hint="eastAsia" w:ascii="宋体" w:hAnsi="宋体" w:cs="宋体"/>
          <w:sz w:val="24"/>
          <w:lang w:val="zh-CN"/>
        </w:rPr>
        <w:t>采购人将组织磋商小组审查响应件是否完整，审查供应商提供的资格证明文件，评估供应商的技术和生产能力。如果磋商小组认定供应商未完全响应磋商文件，其投标将被视为无效投标。</w:t>
      </w:r>
    </w:p>
    <w:p>
      <w:pPr>
        <w:tabs>
          <w:tab w:val="left" w:pos="8640"/>
        </w:tabs>
        <w:adjustRightInd w:val="0"/>
        <w:snapToGrid w:val="0"/>
        <w:spacing w:line="360" w:lineRule="auto"/>
        <w:ind w:firstLine="480"/>
        <w:rPr>
          <w:rFonts w:ascii="宋体" w:hAnsi="宋体" w:cs="宋体"/>
          <w:sz w:val="24"/>
          <w:lang w:val="zh-CN"/>
        </w:rPr>
      </w:pPr>
      <w:r>
        <w:rPr>
          <w:rFonts w:hint="eastAsia" w:ascii="宋体" w:hAnsi="宋体"/>
          <w:sz w:val="24"/>
        </w:rPr>
        <w:t>磋商小组</w:t>
      </w:r>
      <w:r>
        <w:rPr>
          <w:rFonts w:hint="eastAsia" w:ascii="宋体" w:hAnsi="宋体" w:cs="宋体"/>
          <w:sz w:val="24"/>
          <w:lang w:val="zh-CN"/>
        </w:rPr>
        <w:t>可以对确定为实质上响应磋商文件要求的</w:t>
      </w:r>
      <w:r>
        <w:rPr>
          <w:rFonts w:hint="eastAsia" w:ascii="宋体" w:hAnsi="宋体"/>
          <w:sz w:val="24"/>
        </w:rPr>
        <w:t>磋商响应性文件</w:t>
      </w:r>
      <w:r>
        <w:rPr>
          <w:rFonts w:hint="eastAsia" w:ascii="宋体" w:hAnsi="宋体" w:cs="宋体"/>
          <w:sz w:val="24"/>
          <w:lang w:val="zh-CN"/>
        </w:rPr>
        <w:t>进行校核，修正错误的标准如下：</w:t>
      </w:r>
    </w:p>
    <w:p>
      <w:pPr>
        <w:adjustRightInd w:val="0"/>
        <w:snapToGrid w:val="0"/>
        <w:spacing w:line="360" w:lineRule="auto"/>
        <w:ind w:firstLine="480"/>
        <w:rPr>
          <w:rFonts w:ascii="宋体" w:hAnsi="宋体" w:cs="宋体"/>
          <w:sz w:val="24"/>
          <w:lang w:val="zh-CN"/>
        </w:rPr>
      </w:pPr>
      <w:r>
        <w:rPr>
          <w:rFonts w:ascii="宋体" w:hAnsi="宋体" w:cs="宋体"/>
          <w:sz w:val="24"/>
          <w:lang w:val="zh-CN"/>
        </w:rPr>
        <w:t>1</w:t>
      </w:r>
      <w:r>
        <w:rPr>
          <w:rFonts w:hint="eastAsia" w:ascii="宋体" w:hAnsi="宋体" w:cs="宋体"/>
          <w:sz w:val="24"/>
          <w:lang w:val="zh-CN"/>
        </w:rPr>
        <w:t>）大写金额和小写金额不一致的，以大写金额为准；</w:t>
      </w:r>
    </w:p>
    <w:p>
      <w:pPr>
        <w:adjustRightInd w:val="0"/>
        <w:snapToGrid w:val="0"/>
        <w:spacing w:line="360" w:lineRule="auto"/>
        <w:ind w:firstLine="480"/>
        <w:rPr>
          <w:rFonts w:ascii="宋体" w:hAnsi="宋体" w:cs="宋体"/>
          <w:sz w:val="24"/>
          <w:lang w:val="zh-CN"/>
        </w:rPr>
      </w:pPr>
      <w:r>
        <w:rPr>
          <w:rFonts w:ascii="宋体" w:hAnsi="宋体" w:cs="宋体"/>
          <w:sz w:val="24"/>
          <w:lang w:val="zh-CN"/>
        </w:rPr>
        <w:t xml:space="preserve">2) </w:t>
      </w:r>
      <w:r>
        <w:rPr>
          <w:rFonts w:hint="eastAsia" w:ascii="宋体" w:hAnsi="宋体" w:cs="宋体"/>
          <w:sz w:val="24"/>
          <w:lang w:val="zh-CN"/>
        </w:rPr>
        <w:t>当单价与总价之间不一致时，通常以标出的单价为准。除非磋商小组认为有明显的小数点错位，此时应以标出的总价为准，并修改单价。</w:t>
      </w:r>
    </w:p>
    <w:p>
      <w:pPr>
        <w:adjustRightInd w:val="0"/>
        <w:snapToGrid w:val="0"/>
        <w:spacing w:line="360" w:lineRule="auto"/>
        <w:ind w:firstLine="480"/>
        <w:rPr>
          <w:rFonts w:ascii="宋体" w:hAnsi="宋体" w:cs="宋体"/>
          <w:sz w:val="24"/>
          <w:lang w:val="zh-CN"/>
        </w:rPr>
      </w:pPr>
      <w:r>
        <w:rPr>
          <w:rFonts w:hint="eastAsia" w:ascii="宋体" w:hAnsi="宋体" w:cs="宋体"/>
          <w:sz w:val="24"/>
          <w:lang w:val="zh-CN"/>
        </w:rPr>
        <w:t>如果供应商不接受对其错误的更正，其响应将被视为无效响应。</w:t>
      </w:r>
    </w:p>
    <w:p>
      <w:pPr>
        <w:tabs>
          <w:tab w:val="left" w:pos="8640"/>
        </w:tabs>
        <w:adjustRightInd w:val="0"/>
        <w:snapToGrid w:val="0"/>
        <w:spacing w:line="360" w:lineRule="auto"/>
        <w:ind w:firstLine="480"/>
        <w:rPr>
          <w:rFonts w:ascii="宋体" w:hAnsi="宋体"/>
          <w:sz w:val="24"/>
        </w:rPr>
      </w:pPr>
      <w:r>
        <w:rPr>
          <w:rFonts w:ascii="宋体" w:hAnsi="宋体" w:cs="宋体"/>
          <w:sz w:val="24"/>
          <w:lang w:val="zh-CN"/>
        </w:rPr>
        <w:t>3</w:t>
      </w:r>
      <w:r>
        <w:rPr>
          <w:rFonts w:hint="eastAsia" w:ascii="宋体" w:hAnsi="宋体" w:cs="宋体"/>
          <w:sz w:val="24"/>
          <w:lang w:val="zh-CN"/>
        </w:rPr>
        <w:t>）对于</w:t>
      </w:r>
      <w:r>
        <w:rPr>
          <w:rFonts w:hint="eastAsia" w:ascii="宋体" w:hAnsi="宋体"/>
          <w:sz w:val="24"/>
        </w:rPr>
        <w:t>磋商响应性文件</w:t>
      </w:r>
      <w:r>
        <w:rPr>
          <w:rFonts w:hint="eastAsia" w:ascii="宋体" w:hAnsi="宋体" w:cs="宋体"/>
          <w:sz w:val="24"/>
          <w:lang w:val="zh-CN"/>
        </w:rPr>
        <w:t>中不构成实质性偏差的小的不正规、不一致或不规则，磋商小组可以接受，但这种接受不能损害或影响任何磋商供应商的相对排序。</w:t>
      </w:r>
    </w:p>
    <w:p>
      <w:pPr>
        <w:adjustRightInd w:val="0"/>
        <w:snapToGrid w:val="0"/>
        <w:spacing w:line="360" w:lineRule="auto"/>
        <w:ind w:firstLine="480"/>
        <w:rPr>
          <w:rFonts w:ascii="宋体" w:hAnsi="宋体"/>
          <w:sz w:val="24"/>
        </w:rPr>
      </w:pPr>
      <w:r>
        <w:rPr>
          <w:rFonts w:ascii="宋体" w:hAnsi="宋体" w:cs="宋体"/>
          <w:sz w:val="24"/>
          <w:lang w:val="zh-CN"/>
        </w:rPr>
        <w:t>4</w:t>
      </w:r>
      <w:r>
        <w:rPr>
          <w:rFonts w:hint="eastAsia" w:ascii="宋体" w:hAnsi="宋体" w:cs="宋体"/>
          <w:sz w:val="24"/>
          <w:lang w:val="zh-CN"/>
        </w:rPr>
        <w:t>）磋商小组审查每份</w:t>
      </w:r>
      <w:r>
        <w:rPr>
          <w:rFonts w:hint="eastAsia" w:ascii="宋体" w:hAnsi="宋体"/>
          <w:sz w:val="24"/>
        </w:rPr>
        <w:t>磋商响应性文件</w:t>
      </w:r>
      <w:r>
        <w:rPr>
          <w:rFonts w:hint="eastAsia" w:ascii="宋体" w:hAnsi="宋体" w:cs="宋体"/>
          <w:sz w:val="24"/>
          <w:lang w:val="zh-CN"/>
        </w:rPr>
        <w:t>是否实质上响应了磋商文件的要求。实质上响应的</w:t>
      </w:r>
      <w:r>
        <w:rPr>
          <w:rFonts w:hint="eastAsia" w:ascii="宋体" w:hAnsi="宋体"/>
          <w:sz w:val="24"/>
        </w:rPr>
        <w:t>磋商响应性文件</w:t>
      </w:r>
      <w:r>
        <w:rPr>
          <w:rFonts w:hint="eastAsia" w:ascii="宋体" w:hAnsi="宋体" w:cs="宋体"/>
          <w:sz w:val="24"/>
          <w:lang w:val="zh-CN"/>
        </w:rPr>
        <w:t>应该与磋商文件要求的全部条款、条件和规格相符，没有重大偏离。磋商小组决定</w:t>
      </w:r>
      <w:r>
        <w:rPr>
          <w:rFonts w:hint="eastAsia" w:ascii="宋体" w:hAnsi="宋体"/>
          <w:sz w:val="24"/>
        </w:rPr>
        <w:t>磋商响应性文件</w:t>
      </w:r>
      <w:r>
        <w:rPr>
          <w:rFonts w:hint="eastAsia" w:ascii="宋体" w:hAnsi="宋体" w:cs="宋体"/>
          <w:sz w:val="24"/>
          <w:lang w:val="zh-CN"/>
        </w:rPr>
        <w:t>的响应性只根据</w:t>
      </w:r>
      <w:r>
        <w:rPr>
          <w:rFonts w:hint="eastAsia" w:ascii="宋体" w:hAnsi="宋体"/>
          <w:sz w:val="24"/>
        </w:rPr>
        <w:t>磋商响应性文件</w:t>
      </w:r>
      <w:r>
        <w:rPr>
          <w:rFonts w:hint="eastAsia" w:ascii="宋体" w:hAnsi="宋体" w:cs="宋体"/>
          <w:sz w:val="24"/>
          <w:lang w:val="zh-CN"/>
        </w:rPr>
        <w:t>本身的内容，而不寻求外部的证据。</w:t>
      </w:r>
    </w:p>
    <w:p>
      <w:pPr>
        <w:tabs>
          <w:tab w:val="left" w:pos="8640"/>
        </w:tabs>
        <w:spacing w:line="360" w:lineRule="auto"/>
        <w:ind w:firstLine="482"/>
        <w:rPr>
          <w:rFonts w:ascii="宋体" w:hAnsi="宋体" w:cs="宋体"/>
          <w:sz w:val="24"/>
          <w:lang w:val="zh-CN"/>
        </w:rPr>
      </w:pPr>
      <w:r>
        <w:rPr>
          <w:rFonts w:ascii="宋体" w:hAnsi="宋体" w:cs="宋体"/>
          <w:sz w:val="24"/>
          <w:lang w:val="zh-CN"/>
        </w:rPr>
        <w:t>5</w:t>
      </w:r>
      <w:r>
        <w:rPr>
          <w:rFonts w:hint="eastAsia" w:ascii="宋体" w:hAnsi="宋体" w:cs="宋体"/>
          <w:sz w:val="24"/>
          <w:lang w:val="zh-CN"/>
        </w:rPr>
        <w:t>）如果</w:t>
      </w:r>
      <w:r>
        <w:rPr>
          <w:rFonts w:hint="eastAsia" w:ascii="宋体" w:hAnsi="宋体"/>
          <w:sz w:val="24"/>
        </w:rPr>
        <w:t>磋商响应性文件</w:t>
      </w:r>
      <w:r>
        <w:rPr>
          <w:rFonts w:hint="eastAsia" w:ascii="宋体" w:hAnsi="宋体" w:cs="宋体"/>
          <w:sz w:val="24"/>
          <w:lang w:val="zh-CN"/>
        </w:rPr>
        <w:t>实质上没有响应磋商文件的要求，其响应将被视为无效响应，磋商供应商不得通过修正或撤消不符合要求的偏离从而使其成为实质上响应。</w:t>
      </w:r>
    </w:p>
    <w:p>
      <w:pPr>
        <w:adjustRightInd w:val="0"/>
        <w:snapToGrid w:val="0"/>
        <w:spacing w:line="360" w:lineRule="auto"/>
        <w:rPr>
          <w:rFonts w:ascii="宋体" w:hAnsi="宋体" w:cs="宋体"/>
          <w:b/>
          <w:sz w:val="28"/>
          <w:szCs w:val="28"/>
        </w:rPr>
      </w:pPr>
      <w:r>
        <w:rPr>
          <w:rFonts w:ascii="宋体" w:hAnsi="宋体" w:cs="宋体"/>
          <w:b/>
          <w:sz w:val="28"/>
          <w:szCs w:val="28"/>
        </w:rPr>
        <w:t>5.3</w:t>
      </w:r>
      <w:r>
        <w:rPr>
          <w:rFonts w:hint="eastAsia" w:ascii="宋体" w:hAnsi="宋体" w:cs="宋体"/>
          <w:b/>
          <w:sz w:val="28"/>
          <w:szCs w:val="28"/>
          <w:lang w:val="zh-CN"/>
        </w:rPr>
        <w:t>磋商的程序和方法</w:t>
      </w:r>
    </w:p>
    <w:p>
      <w:pPr>
        <w:adjustRightInd w:val="0"/>
        <w:snapToGrid w:val="0"/>
        <w:spacing w:line="360" w:lineRule="auto"/>
        <w:ind w:firstLine="236" w:firstLineChars="98"/>
        <w:rPr>
          <w:rFonts w:ascii="宋体" w:hAnsi="宋体" w:cs="宋体"/>
          <w:b/>
          <w:sz w:val="24"/>
        </w:rPr>
      </w:pPr>
      <w:r>
        <w:rPr>
          <w:rFonts w:hint="eastAsia" w:ascii="宋体" w:hAnsi="宋体" w:cs="宋体"/>
          <w:b/>
          <w:sz w:val="24"/>
        </w:rPr>
        <w:t>5.3.1 磋商程序</w:t>
      </w:r>
    </w:p>
    <w:p>
      <w:pPr>
        <w:adjustRightInd w:val="0"/>
        <w:snapToGrid w:val="0"/>
        <w:spacing w:line="360" w:lineRule="auto"/>
        <w:ind w:firstLine="472" w:firstLineChars="196"/>
        <w:rPr>
          <w:rFonts w:hint="eastAsia" w:ascii="宋体" w:hAnsi="宋体" w:cs="宋体"/>
          <w:sz w:val="24"/>
          <w:lang w:val="zh-CN"/>
        </w:rPr>
      </w:pPr>
      <w:r>
        <w:rPr>
          <w:rFonts w:hint="eastAsia" w:ascii="宋体" w:hAnsi="宋体" w:cs="宋体"/>
          <w:b/>
          <w:sz w:val="24"/>
          <w:lang w:val="zh-CN"/>
        </w:rPr>
        <w:t>1、资质审查：</w:t>
      </w:r>
      <w:r>
        <w:rPr>
          <w:rFonts w:hint="eastAsia" w:ascii="宋体" w:hAnsi="宋体" w:cs="宋体"/>
          <w:sz w:val="24"/>
          <w:lang w:val="zh-CN"/>
        </w:rPr>
        <w:t>采购人对磋商供应商的磋商响应性文件进行资质审查，依据磋商文件的规定，对磋商响应性文件中提供的资格证明材料进行审查，审查合格者进入符合性审查，审查不合格者将被宣布其为无效响应。</w:t>
      </w:r>
    </w:p>
    <w:p>
      <w:pPr>
        <w:pStyle w:val="30"/>
        <w:spacing w:before="75" w:beforeAutospacing="0" w:after="75" w:afterAutospacing="0" w:line="360" w:lineRule="auto"/>
        <w:ind w:firstLine="480" w:firstLineChars="200"/>
        <w:rPr>
          <w:rFonts w:hint="eastAsia" w:ascii="宋体" w:hAnsi="宋体" w:eastAsia="宋体" w:cs="宋体"/>
        </w:rPr>
      </w:pPr>
      <w:r>
        <w:rPr>
          <w:rFonts w:hint="eastAsia" w:ascii="宋体" w:hAnsi="宋体" w:eastAsia="宋体" w:cs="宋体"/>
        </w:rPr>
        <w:t>1、供应商应符合中华人民共和国政府采购法第二十二条中的相关规定；</w:t>
      </w:r>
    </w:p>
    <w:p>
      <w:pPr>
        <w:pStyle w:val="30"/>
        <w:spacing w:before="75" w:beforeAutospacing="0" w:after="75" w:afterAutospacing="0" w:line="360" w:lineRule="auto"/>
        <w:ind w:firstLine="480" w:firstLineChars="200"/>
        <w:rPr>
          <w:rFonts w:hint="eastAsia" w:ascii="宋体" w:hAnsi="宋体" w:eastAsia="宋体" w:cs="宋体"/>
        </w:rPr>
      </w:pPr>
      <w:r>
        <w:rPr>
          <w:rFonts w:hint="eastAsia" w:ascii="宋体" w:hAnsi="宋体" w:eastAsia="宋体" w:cs="宋体"/>
        </w:rPr>
        <w:t>（1）具有独立承担民事责任的能力；（在中华人民共和国注册，并具有独立法人资格，提供合法有效的法人营业执照）</w:t>
      </w:r>
    </w:p>
    <w:p>
      <w:pPr>
        <w:pStyle w:val="30"/>
        <w:spacing w:before="75" w:beforeAutospacing="0" w:after="75" w:afterAutospacing="0" w:line="360" w:lineRule="auto"/>
        <w:ind w:firstLine="480" w:firstLineChars="200"/>
        <w:rPr>
          <w:rFonts w:hint="eastAsia" w:ascii="宋体" w:hAnsi="宋体" w:eastAsia="宋体" w:cs="宋体"/>
        </w:rPr>
      </w:pPr>
      <w:r>
        <w:rPr>
          <w:rFonts w:hint="eastAsia" w:ascii="宋体" w:hAnsi="宋体" w:eastAsia="宋体" w:cs="宋体"/>
        </w:rPr>
        <w:t>（2）具有良好的商业信誉和健全的财务会计制度；（商业信誉提供有关单位发的证明材料如荣誉证书、有关的报道或业主反馈意见书（业主好评）等、财务会计制度提供参加本次政府采购活动前一个月的会计报表或上一年度的财务审计报告，成立不满一个月不需要提供）</w:t>
      </w:r>
    </w:p>
    <w:p>
      <w:pPr>
        <w:pStyle w:val="30"/>
        <w:spacing w:before="75" w:beforeAutospacing="0" w:after="75" w:afterAutospacing="0" w:line="360" w:lineRule="auto"/>
        <w:ind w:firstLine="480" w:firstLineChars="200"/>
        <w:rPr>
          <w:rFonts w:hint="eastAsia" w:ascii="宋体" w:hAnsi="宋体" w:eastAsia="宋体" w:cs="宋体"/>
        </w:rPr>
      </w:pPr>
      <w:r>
        <w:rPr>
          <w:rFonts w:hint="eastAsia" w:ascii="宋体" w:hAnsi="宋体" w:eastAsia="宋体" w:cs="宋体"/>
        </w:rPr>
        <w:t>（3）具有履行合同所必需的设备和专业技术能力；（根据项目需求提供履约合同所必需的设备和专业技术能力的证明材料或加盖单位章的书面承诺函）</w:t>
      </w:r>
    </w:p>
    <w:p>
      <w:pPr>
        <w:pStyle w:val="30"/>
        <w:spacing w:before="75" w:beforeAutospacing="0" w:after="75" w:afterAutospacing="0" w:line="360" w:lineRule="auto"/>
        <w:ind w:firstLine="480" w:firstLineChars="200"/>
        <w:rPr>
          <w:rFonts w:hint="eastAsia" w:ascii="宋体" w:hAnsi="宋体" w:eastAsia="宋体" w:cs="宋体"/>
        </w:rPr>
      </w:pPr>
      <w:r>
        <w:rPr>
          <w:rFonts w:hint="eastAsia" w:ascii="宋体" w:hAnsi="宋体" w:eastAsia="宋体" w:cs="宋体"/>
        </w:rPr>
        <w:t>（4）有依法缴纳税收和社会保障资金的良好纪录；（提供参加本项目前六个月内（至少一个月）依法缴纳税收和社会保障资金的相关材料）</w:t>
      </w:r>
    </w:p>
    <w:p>
      <w:pPr>
        <w:pStyle w:val="30"/>
        <w:spacing w:before="75" w:beforeAutospacing="0" w:after="75" w:afterAutospacing="0" w:line="360" w:lineRule="auto"/>
        <w:ind w:firstLine="480" w:firstLineChars="200"/>
        <w:rPr>
          <w:rFonts w:hint="eastAsia" w:ascii="宋体" w:hAnsi="宋体" w:eastAsia="宋体" w:cs="宋体"/>
          <w:lang w:eastAsia="zh-CN"/>
        </w:rPr>
      </w:pPr>
      <w:r>
        <w:rPr>
          <w:rFonts w:hint="eastAsia" w:ascii="宋体" w:hAnsi="宋体" w:eastAsia="宋体" w:cs="宋体"/>
        </w:rPr>
        <w:t>（5）参加招标活动前三年内，在经营活动中没有重大违法记录</w:t>
      </w:r>
      <w:r>
        <w:rPr>
          <w:rFonts w:hint="eastAsia" w:ascii="宋体" w:hAnsi="宋体" w:eastAsia="宋体" w:cs="宋体"/>
          <w:lang w:eastAsia="zh-CN"/>
        </w:rPr>
        <w:t>；（提供中国政府采购网查询截图）</w:t>
      </w:r>
    </w:p>
    <w:p>
      <w:pPr>
        <w:pStyle w:val="30"/>
        <w:spacing w:before="75" w:beforeAutospacing="0" w:after="75" w:afterAutospacing="0" w:line="360" w:lineRule="auto"/>
        <w:ind w:firstLine="480" w:firstLineChars="200"/>
        <w:rPr>
          <w:rFonts w:hint="eastAsia" w:ascii="宋体" w:hAnsi="宋体" w:eastAsia="宋体" w:cs="宋体"/>
        </w:rPr>
      </w:pPr>
      <w:r>
        <w:rPr>
          <w:rFonts w:hint="eastAsia" w:ascii="宋体" w:hAnsi="宋体" w:eastAsia="宋体" w:cs="宋体"/>
        </w:rPr>
        <w:t>（6）法律、行政法规规定的其他条件；</w:t>
      </w:r>
    </w:p>
    <w:p>
      <w:pPr>
        <w:pStyle w:val="30"/>
        <w:spacing w:before="75" w:beforeAutospacing="0" w:after="75" w:afterAutospacing="0" w:line="360" w:lineRule="auto"/>
        <w:ind w:firstLine="480" w:firstLineChars="200"/>
        <w:rPr>
          <w:rFonts w:hint="eastAsia" w:ascii="宋体" w:hAnsi="宋体" w:eastAsia="宋体" w:cs="宋体"/>
        </w:rPr>
      </w:pPr>
      <w:r>
        <w:rPr>
          <w:rFonts w:hint="eastAsia" w:ascii="宋体" w:hAnsi="宋体" w:eastAsia="宋体" w:cs="宋体"/>
        </w:rPr>
        <w:t>2、落实政府采购政策需满足的资格要求：（1）根据财政部发布的《政府采购促进中小企业发展管理办法》（财库[2020]46 号）的规定，（2）根据财政部发布的《关于政府采购支持监狱企业发展有关问题的通知》（财库[2014]68号）的规定，（3）根据《财政部、民政部、中国残疾人联合会关于促进残疾人就业政府采购政策的通知》(财库[2017]141 号)的规定。</w:t>
      </w:r>
    </w:p>
    <w:p>
      <w:pPr>
        <w:pStyle w:val="30"/>
        <w:spacing w:before="75" w:beforeAutospacing="0" w:after="75" w:afterAutospacing="0" w:line="360" w:lineRule="auto"/>
        <w:ind w:firstLine="480" w:firstLineChars="200"/>
        <w:rPr>
          <w:rFonts w:hint="eastAsia" w:ascii="宋体" w:hAnsi="宋体" w:eastAsia="宋体" w:cs="宋体"/>
        </w:rPr>
      </w:pPr>
      <w:r>
        <w:rPr>
          <w:rFonts w:hint="eastAsia" w:ascii="宋体" w:hAnsi="宋体" w:eastAsia="宋体" w:cs="宋体"/>
        </w:rPr>
        <w:t>3、在中国境内注册具有独立法人资格、有效的工商营业执照副本、税务登记证副本、组织机构代码证副本或“三证合一”的营业执照.</w:t>
      </w:r>
    </w:p>
    <w:p>
      <w:pPr>
        <w:pStyle w:val="30"/>
        <w:spacing w:before="75" w:beforeAutospacing="0" w:after="75" w:afterAutospacing="0"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4、法定代表人或其委托代理人应携带本人身份证原件及复印件，委托代理人还应携带《法定代表人授权委托书》原件；</w:t>
      </w:r>
    </w:p>
    <w:p>
      <w:pPr>
        <w:pStyle w:val="30"/>
        <w:spacing w:before="75" w:beforeAutospacing="0" w:after="75" w:afterAutospacing="0" w:line="360" w:lineRule="auto"/>
        <w:ind w:firstLine="480" w:firstLineChars="200"/>
      </w:pPr>
      <w:r>
        <w:rPr>
          <w:rFonts w:hint="eastAsia" w:ascii="宋体" w:hAnsi="宋体" w:eastAsia="宋体" w:cs="宋体"/>
          <w:lang w:val="en-US" w:eastAsia="zh-CN"/>
        </w:rPr>
        <w:t>5</w:t>
      </w:r>
      <w:r>
        <w:rPr>
          <w:rFonts w:hint="eastAsia" w:ascii="宋体" w:hAnsi="宋体" w:eastAsia="宋体" w:cs="宋体"/>
        </w:rPr>
        <w:t>、供应商须提供在“信用中国”（www.creditchina.gov.cn）和中国政府采购网（www.ccgp.gov.cn）网站上未被列入失信被执行人、重大税收违法案件当事人名单以及政府采购严重违法失信行为记录名单的网页打印件并加盖公章；</w:t>
      </w:r>
    </w:p>
    <w:p>
      <w:pPr>
        <w:adjustRightInd w:val="0"/>
        <w:snapToGrid w:val="0"/>
        <w:spacing w:line="360" w:lineRule="auto"/>
        <w:ind w:firstLine="480"/>
        <w:rPr>
          <w:rFonts w:ascii="宋体" w:hAnsi="宋体" w:cs="宋体"/>
          <w:sz w:val="24"/>
          <w:lang w:val="zh-CN"/>
        </w:rPr>
      </w:pPr>
      <w:r>
        <w:rPr>
          <w:rFonts w:hint="eastAsia" w:ascii="宋体" w:hAnsi="宋体" w:cs="宋体"/>
          <w:b/>
          <w:sz w:val="24"/>
          <w:lang w:val="zh-CN"/>
        </w:rPr>
        <w:t>2、符合性审查：</w:t>
      </w:r>
      <w:r>
        <w:rPr>
          <w:rFonts w:hint="eastAsia" w:ascii="宋体" w:hAnsi="宋体" w:cs="宋体"/>
          <w:sz w:val="24"/>
          <w:lang w:val="zh-CN"/>
        </w:rPr>
        <w:t>磋商小组对资格审查合格的磋商响应性文件进行符合性审查。依据磋商文件的规定，对磋商响应性文件中的磋商保证金、磋商响应性文件的有效性、完整性和对磋商文件的响应程度进行审查，以确定是否对磋商文件做出实质性的响应。对于未响应磋商文件的磋商供应商将不再进行磋商和最后报价，被宣布其为无效响应。</w:t>
      </w:r>
    </w:p>
    <w:p>
      <w:pPr>
        <w:pStyle w:val="16"/>
        <w:rPr>
          <w:rFonts w:ascii="宋体" w:hAnsi="宋体" w:cs="宋体"/>
          <w:lang w:val="zh-CN"/>
        </w:rPr>
      </w:pPr>
    </w:p>
    <w:p>
      <w:pPr>
        <w:adjustRightInd w:val="0"/>
        <w:snapToGrid w:val="0"/>
        <w:spacing w:line="360" w:lineRule="auto"/>
        <w:ind w:firstLine="562" w:firstLineChars="200"/>
        <w:jc w:val="center"/>
      </w:pPr>
      <w:r>
        <w:rPr>
          <w:rFonts w:hint="eastAsia" w:ascii="宋体" w:hAnsi="宋体" w:cs="宋体"/>
          <w:b/>
          <w:bCs/>
          <w:color w:val="000000"/>
          <w:kern w:val="0"/>
          <w:sz w:val="28"/>
          <w:szCs w:val="28"/>
        </w:rPr>
        <w:t>符合性审查表</w:t>
      </w:r>
    </w:p>
    <w:tbl>
      <w:tblPr>
        <w:tblStyle w:val="33"/>
        <w:tblpPr w:leftFromText="180" w:rightFromText="180" w:vertAnchor="text" w:horzAnchor="page" w:tblpXSpec="center" w:tblpY="175"/>
        <w:tblOverlap w:val="never"/>
        <w:tblW w:w="0" w:type="auto"/>
        <w:jc w:val="center"/>
        <w:tblLayout w:type="fixed"/>
        <w:tblCellMar>
          <w:top w:w="0" w:type="dxa"/>
          <w:left w:w="108" w:type="dxa"/>
          <w:bottom w:w="0" w:type="dxa"/>
          <w:right w:w="108" w:type="dxa"/>
        </w:tblCellMar>
      </w:tblPr>
      <w:tblGrid>
        <w:gridCol w:w="1101"/>
        <w:gridCol w:w="8363"/>
      </w:tblGrid>
      <w:tr>
        <w:tblPrEx>
          <w:tblCellMar>
            <w:top w:w="0" w:type="dxa"/>
            <w:left w:w="108" w:type="dxa"/>
            <w:bottom w:w="0" w:type="dxa"/>
            <w:right w:w="108" w:type="dxa"/>
          </w:tblCellMar>
        </w:tblPrEx>
        <w:trPr>
          <w:trHeight w:val="317" w:hRule="atLeast"/>
          <w:jc w:val="center"/>
        </w:trPr>
        <w:tc>
          <w:tcPr>
            <w:tcW w:w="110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序号</w:t>
            </w:r>
          </w:p>
        </w:tc>
        <w:tc>
          <w:tcPr>
            <w:tcW w:w="836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审  查  内  容</w:t>
            </w:r>
          </w:p>
        </w:tc>
      </w:tr>
      <w:tr>
        <w:tblPrEx>
          <w:tblCellMar>
            <w:top w:w="0" w:type="dxa"/>
            <w:left w:w="108" w:type="dxa"/>
            <w:bottom w:w="0" w:type="dxa"/>
            <w:right w:w="108" w:type="dxa"/>
          </w:tblCellMar>
        </w:tblPrEx>
        <w:trPr>
          <w:trHeight w:val="312" w:hRule="atLeast"/>
          <w:jc w:val="center"/>
        </w:trPr>
        <w:tc>
          <w:tcPr>
            <w:tcW w:w="110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83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616" w:hRule="atLeast"/>
          <w:jc w:val="center"/>
        </w:trPr>
        <w:tc>
          <w:tcPr>
            <w:tcW w:w="110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1</w:t>
            </w:r>
          </w:p>
        </w:tc>
        <w:tc>
          <w:tcPr>
            <w:tcW w:w="836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投标人未递交两份或两份以上内容不同的投标文件。</w:t>
            </w:r>
          </w:p>
        </w:tc>
      </w:tr>
      <w:tr>
        <w:tblPrEx>
          <w:tblCellMar>
            <w:top w:w="0" w:type="dxa"/>
            <w:left w:w="108" w:type="dxa"/>
            <w:bottom w:w="0" w:type="dxa"/>
            <w:right w:w="108" w:type="dxa"/>
          </w:tblCellMar>
        </w:tblPrEx>
        <w:trPr>
          <w:trHeight w:val="556" w:hRule="atLeast"/>
          <w:jc w:val="center"/>
        </w:trPr>
        <w:tc>
          <w:tcPr>
            <w:tcW w:w="11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2</w:t>
            </w:r>
          </w:p>
        </w:tc>
        <w:tc>
          <w:tcPr>
            <w:tcW w:w="8363" w:type="dxa"/>
            <w:tcBorders>
              <w:top w:val="nil"/>
              <w:left w:val="nil"/>
              <w:bottom w:val="single" w:color="auto" w:sz="4" w:space="0"/>
              <w:right w:val="single" w:color="auto" w:sz="4" w:space="0"/>
            </w:tcBorders>
            <w:shd w:val="clear" w:color="000000" w:fill="FFFFFF"/>
            <w:noWrap/>
            <w:vAlign w:val="center"/>
          </w:tcPr>
          <w:p>
            <w:pPr>
              <w:widowControl/>
              <w:rPr>
                <w:rFonts w:ascii="宋体" w:hAnsi="宋体" w:cs="宋体"/>
                <w:color w:val="000000"/>
                <w:kern w:val="0"/>
                <w:sz w:val="24"/>
              </w:rPr>
            </w:pPr>
            <w:r>
              <w:rPr>
                <w:rFonts w:hint="eastAsia" w:ascii="宋体" w:hAnsi="宋体" w:cs="宋体"/>
                <w:color w:val="000000"/>
                <w:kern w:val="0"/>
                <w:sz w:val="24"/>
              </w:rPr>
              <w:t>投标人按招标文件要求提供本项目投标保证金。</w:t>
            </w:r>
          </w:p>
        </w:tc>
      </w:tr>
      <w:tr>
        <w:tblPrEx>
          <w:tblCellMar>
            <w:top w:w="0" w:type="dxa"/>
            <w:left w:w="108" w:type="dxa"/>
            <w:bottom w:w="0" w:type="dxa"/>
            <w:right w:w="108" w:type="dxa"/>
          </w:tblCellMar>
        </w:tblPrEx>
        <w:trPr>
          <w:trHeight w:val="561" w:hRule="atLeast"/>
          <w:jc w:val="center"/>
        </w:trPr>
        <w:tc>
          <w:tcPr>
            <w:tcW w:w="11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3</w:t>
            </w:r>
          </w:p>
        </w:tc>
        <w:tc>
          <w:tcPr>
            <w:tcW w:w="836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rPr>
            </w:pPr>
            <w:r>
              <w:rPr>
                <w:rFonts w:hint="eastAsia" w:ascii="宋体" w:hAnsi="宋体" w:cs="宋体"/>
                <w:color w:val="000000"/>
                <w:kern w:val="0"/>
                <w:sz w:val="24"/>
              </w:rPr>
              <w:t>投标文件按招标文件的要求签署、盖章。</w:t>
            </w:r>
          </w:p>
        </w:tc>
      </w:tr>
      <w:tr>
        <w:tblPrEx>
          <w:tblCellMar>
            <w:top w:w="0" w:type="dxa"/>
            <w:left w:w="108" w:type="dxa"/>
            <w:bottom w:w="0" w:type="dxa"/>
            <w:right w:w="108" w:type="dxa"/>
          </w:tblCellMar>
        </w:tblPrEx>
        <w:trPr>
          <w:trHeight w:val="839" w:hRule="atLeast"/>
          <w:jc w:val="center"/>
        </w:trPr>
        <w:tc>
          <w:tcPr>
            <w:tcW w:w="11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4</w:t>
            </w:r>
          </w:p>
        </w:tc>
        <w:tc>
          <w:tcPr>
            <w:tcW w:w="836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rPr>
            </w:pPr>
            <w:r>
              <w:rPr>
                <w:rFonts w:hint="eastAsia" w:ascii="宋体" w:hAnsi="宋体" w:cs="宋体"/>
                <w:color w:val="000000"/>
                <w:kern w:val="0"/>
                <w:sz w:val="24"/>
              </w:rPr>
              <w:t>投标文件按照招标文件规定的格式填写、没有字迹模糊辨认不清产生歧义。</w:t>
            </w:r>
          </w:p>
        </w:tc>
      </w:tr>
      <w:tr>
        <w:tblPrEx>
          <w:tblCellMar>
            <w:top w:w="0" w:type="dxa"/>
            <w:left w:w="108" w:type="dxa"/>
            <w:bottom w:w="0" w:type="dxa"/>
            <w:right w:w="108" w:type="dxa"/>
          </w:tblCellMar>
        </w:tblPrEx>
        <w:trPr>
          <w:trHeight w:val="567" w:hRule="atLeast"/>
          <w:jc w:val="center"/>
        </w:trPr>
        <w:tc>
          <w:tcPr>
            <w:tcW w:w="110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5</w:t>
            </w:r>
          </w:p>
        </w:tc>
        <w:tc>
          <w:tcPr>
            <w:tcW w:w="836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投标人的投标报价未超过最高限价。</w:t>
            </w:r>
          </w:p>
        </w:tc>
      </w:tr>
      <w:tr>
        <w:tblPrEx>
          <w:tblCellMar>
            <w:top w:w="0" w:type="dxa"/>
            <w:left w:w="108" w:type="dxa"/>
            <w:bottom w:w="0" w:type="dxa"/>
            <w:right w:w="108" w:type="dxa"/>
          </w:tblCellMar>
        </w:tblPrEx>
        <w:trPr>
          <w:trHeight w:val="480" w:hRule="atLeast"/>
          <w:jc w:val="center"/>
        </w:trPr>
        <w:tc>
          <w:tcPr>
            <w:tcW w:w="110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6</w:t>
            </w:r>
          </w:p>
        </w:tc>
        <w:tc>
          <w:tcPr>
            <w:tcW w:w="836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投标有效期满足</w:t>
            </w:r>
            <w:r>
              <w:rPr>
                <w:rFonts w:ascii="宋体" w:hAnsi="宋体" w:cs="宋体"/>
                <w:color w:val="000000"/>
                <w:kern w:val="0"/>
                <w:sz w:val="24"/>
              </w:rPr>
              <w:t>60</w:t>
            </w:r>
            <w:r>
              <w:rPr>
                <w:rFonts w:hint="eastAsia" w:ascii="宋体" w:hAnsi="宋体" w:cs="宋体"/>
                <w:sz w:val="24"/>
              </w:rPr>
              <w:t>日历天</w:t>
            </w:r>
            <w:r>
              <w:rPr>
                <w:rFonts w:hint="eastAsia" w:ascii="宋体" w:hAnsi="宋体" w:cs="宋体"/>
                <w:color w:val="000000"/>
                <w:kern w:val="0"/>
                <w:sz w:val="24"/>
              </w:rPr>
              <w:t>。</w:t>
            </w:r>
          </w:p>
        </w:tc>
      </w:tr>
      <w:tr>
        <w:tblPrEx>
          <w:tblCellMar>
            <w:top w:w="0" w:type="dxa"/>
            <w:left w:w="108" w:type="dxa"/>
            <w:bottom w:w="0" w:type="dxa"/>
            <w:right w:w="108" w:type="dxa"/>
          </w:tblCellMar>
        </w:tblPrEx>
        <w:trPr>
          <w:trHeight w:val="705" w:hRule="atLeast"/>
          <w:jc w:val="center"/>
        </w:trPr>
        <w:tc>
          <w:tcPr>
            <w:tcW w:w="11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7</w:t>
            </w:r>
          </w:p>
        </w:tc>
        <w:tc>
          <w:tcPr>
            <w:tcW w:w="8363" w:type="dxa"/>
            <w:tcBorders>
              <w:top w:val="nil"/>
              <w:left w:val="nil"/>
              <w:bottom w:val="single" w:color="auto" w:sz="4" w:space="0"/>
              <w:right w:val="single" w:color="auto" w:sz="4" w:space="0"/>
            </w:tcBorders>
            <w:shd w:val="clear" w:color="000000" w:fill="FFFFFF"/>
            <w:vAlign w:val="center"/>
          </w:tcPr>
          <w:p>
            <w:pPr>
              <w:widowControl/>
              <w:rPr>
                <w:rFonts w:ascii="宋体" w:hAnsi="宋体" w:cs="宋体"/>
                <w:color w:val="000000"/>
                <w:kern w:val="0"/>
                <w:sz w:val="24"/>
              </w:rPr>
            </w:pPr>
            <w:r>
              <w:rPr>
                <w:rFonts w:hint="eastAsia" w:ascii="宋体" w:hAnsi="宋体" w:cs="宋体"/>
                <w:color w:val="000000"/>
                <w:kern w:val="0"/>
                <w:sz w:val="24"/>
              </w:rPr>
              <w:t>投标文件对招标文件提出的要求和条件做出实质性响应。</w:t>
            </w:r>
          </w:p>
        </w:tc>
      </w:tr>
      <w:tr>
        <w:tblPrEx>
          <w:tblCellMar>
            <w:top w:w="0" w:type="dxa"/>
            <w:left w:w="108" w:type="dxa"/>
            <w:bottom w:w="0" w:type="dxa"/>
            <w:right w:w="108" w:type="dxa"/>
          </w:tblCellMar>
        </w:tblPrEx>
        <w:trPr>
          <w:trHeight w:val="960" w:hRule="atLeast"/>
          <w:jc w:val="center"/>
        </w:trPr>
        <w:tc>
          <w:tcPr>
            <w:tcW w:w="11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8</w:t>
            </w:r>
          </w:p>
        </w:tc>
        <w:tc>
          <w:tcPr>
            <w:tcW w:w="8363" w:type="dxa"/>
            <w:tcBorders>
              <w:top w:val="nil"/>
              <w:left w:val="nil"/>
              <w:bottom w:val="single" w:color="auto" w:sz="4" w:space="0"/>
              <w:right w:val="single" w:color="auto" w:sz="4" w:space="0"/>
            </w:tcBorders>
            <w:shd w:val="clear" w:color="000000" w:fill="FFFFFF"/>
            <w:vAlign w:val="center"/>
          </w:tcPr>
          <w:p>
            <w:pPr>
              <w:widowControl/>
              <w:rPr>
                <w:rFonts w:ascii="宋体" w:hAnsi="宋体" w:cs="宋体"/>
                <w:color w:val="000000"/>
                <w:kern w:val="0"/>
                <w:sz w:val="24"/>
              </w:rPr>
            </w:pPr>
            <w:r>
              <w:rPr>
                <w:rFonts w:hint="eastAsia" w:ascii="宋体" w:hAnsi="宋体" w:cs="宋体"/>
                <w:color w:val="000000"/>
                <w:kern w:val="0"/>
                <w:sz w:val="24"/>
              </w:rPr>
              <w:t>投标人资格条件符合国家有关规定和招标文件要求，或者按照要求对投标文件进行澄清、说明或者补正。</w:t>
            </w:r>
          </w:p>
        </w:tc>
      </w:tr>
      <w:tr>
        <w:tblPrEx>
          <w:tblCellMar>
            <w:top w:w="0" w:type="dxa"/>
            <w:left w:w="108" w:type="dxa"/>
            <w:bottom w:w="0" w:type="dxa"/>
            <w:right w:w="108" w:type="dxa"/>
          </w:tblCellMar>
        </w:tblPrEx>
        <w:trPr>
          <w:trHeight w:val="494" w:hRule="atLeast"/>
          <w:jc w:val="center"/>
        </w:trPr>
        <w:tc>
          <w:tcPr>
            <w:tcW w:w="110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9</w:t>
            </w:r>
          </w:p>
        </w:tc>
        <w:tc>
          <w:tcPr>
            <w:tcW w:w="836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sz w:val="24"/>
              </w:rPr>
              <w:t>投标文件未含有招标人不能接受的附加条件。</w:t>
            </w:r>
          </w:p>
        </w:tc>
      </w:tr>
      <w:tr>
        <w:tblPrEx>
          <w:tblCellMar>
            <w:top w:w="0" w:type="dxa"/>
            <w:left w:w="108" w:type="dxa"/>
            <w:bottom w:w="0" w:type="dxa"/>
            <w:right w:w="108" w:type="dxa"/>
          </w:tblCellMar>
        </w:tblPrEx>
        <w:trPr>
          <w:trHeight w:val="1406" w:hRule="atLeast"/>
          <w:jc w:val="center"/>
        </w:trPr>
        <w:tc>
          <w:tcPr>
            <w:tcW w:w="110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10</w:t>
            </w:r>
          </w:p>
        </w:tc>
        <w:tc>
          <w:tcPr>
            <w:tcW w:w="836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在评标过程中，投标人未试图在投标审查、澄清、比较及授予合同方面向招标人施加任何影响的。</w:t>
            </w:r>
          </w:p>
        </w:tc>
      </w:tr>
      <w:tr>
        <w:tblPrEx>
          <w:tblCellMar>
            <w:top w:w="0" w:type="dxa"/>
            <w:left w:w="108" w:type="dxa"/>
            <w:bottom w:w="0" w:type="dxa"/>
            <w:right w:w="108" w:type="dxa"/>
          </w:tblCellMar>
        </w:tblPrEx>
        <w:trPr>
          <w:trHeight w:val="700" w:hRule="atLeast"/>
          <w:jc w:val="center"/>
        </w:trPr>
        <w:tc>
          <w:tcPr>
            <w:tcW w:w="110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11</w:t>
            </w:r>
          </w:p>
        </w:tc>
        <w:tc>
          <w:tcPr>
            <w:tcW w:w="8363" w:type="dxa"/>
            <w:tcBorders>
              <w:top w:val="nil"/>
              <w:left w:val="nil"/>
              <w:bottom w:val="single" w:color="auto" w:sz="4" w:space="0"/>
              <w:right w:val="single" w:color="auto" w:sz="4" w:space="0"/>
            </w:tcBorders>
            <w:vAlign w:val="center"/>
          </w:tcPr>
          <w:p>
            <w:pPr>
              <w:tabs>
                <w:tab w:val="left" w:pos="-540"/>
              </w:tabs>
              <w:spacing w:line="360" w:lineRule="auto"/>
              <w:rPr>
                <w:rFonts w:ascii="宋体" w:hAnsi="宋体" w:cs="宋体"/>
                <w:color w:val="000000"/>
                <w:kern w:val="0"/>
                <w:sz w:val="24"/>
              </w:rPr>
            </w:pPr>
            <w:r>
              <w:rPr>
                <w:rFonts w:hint="eastAsia" w:ascii="宋体" w:hAnsi="宋体" w:cs="宋体"/>
                <w:color w:val="000000"/>
                <w:kern w:val="0"/>
                <w:sz w:val="24"/>
              </w:rPr>
              <w:t>投标人未违反《中华人民共和国政府采购法》《中华人民共和国政府采购法实施条例》。</w:t>
            </w:r>
          </w:p>
        </w:tc>
      </w:tr>
      <w:tr>
        <w:tblPrEx>
          <w:tblCellMar>
            <w:top w:w="0" w:type="dxa"/>
            <w:left w:w="108" w:type="dxa"/>
            <w:bottom w:w="0" w:type="dxa"/>
            <w:right w:w="108" w:type="dxa"/>
          </w:tblCellMar>
        </w:tblPrEx>
        <w:trPr>
          <w:trHeight w:val="700" w:hRule="atLeast"/>
          <w:jc w:val="center"/>
        </w:trPr>
        <w:tc>
          <w:tcPr>
            <w:tcW w:w="110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12</w:t>
            </w:r>
          </w:p>
        </w:tc>
        <w:tc>
          <w:tcPr>
            <w:tcW w:w="8363" w:type="dxa"/>
            <w:tcBorders>
              <w:top w:val="nil"/>
              <w:left w:val="nil"/>
              <w:bottom w:val="single" w:color="auto" w:sz="4" w:space="0"/>
              <w:right w:val="single" w:color="auto" w:sz="4" w:space="0"/>
            </w:tcBorders>
            <w:vAlign w:val="center"/>
          </w:tcPr>
          <w:p>
            <w:pPr>
              <w:spacing w:before="120" w:beforeLines="50" w:line="360" w:lineRule="auto"/>
              <w:rPr>
                <w:rFonts w:ascii="宋体" w:hAnsi="宋体" w:cs="宋体"/>
                <w:sz w:val="24"/>
                <w:szCs w:val="22"/>
              </w:rPr>
            </w:pPr>
            <w:r>
              <w:rPr>
                <w:rFonts w:hint="eastAsia" w:ascii="宋体" w:hAnsi="宋体" w:cs="宋体"/>
                <w:color w:val="000000"/>
                <w:kern w:val="0"/>
                <w:sz w:val="24"/>
              </w:rPr>
              <w:t>不存在法律、法规和招标文件规定的其他无效情形。</w:t>
            </w:r>
          </w:p>
        </w:tc>
      </w:tr>
      <w:tr>
        <w:tblPrEx>
          <w:tblCellMar>
            <w:top w:w="0" w:type="dxa"/>
            <w:left w:w="108" w:type="dxa"/>
            <w:bottom w:w="0" w:type="dxa"/>
            <w:right w:w="108" w:type="dxa"/>
          </w:tblCellMar>
        </w:tblPrEx>
        <w:trPr>
          <w:trHeight w:val="660" w:hRule="atLeast"/>
          <w:jc w:val="center"/>
        </w:trPr>
        <w:tc>
          <w:tcPr>
            <w:tcW w:w="110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备注</w:t>
            </w:r>
          </w:p>
        </w:tc>
        <w:tc>
          <w:tcPr>
            <w:tcW w:w="8363" w:type="dxa"/>
            <w:tcBorders>
              <w:top w:val="nil"/>
              <w:left w:val="nil"/>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b/>
                <w:sz w:val="24"/>
              </w:rPr>
            </w:pPr>
            <w:r>
              <w:rPr>
                <w:rFonts w:hint="eastAsia" w:ascii="宋体" w:hAnsi="宋体" w:cs="宋体"/>
                <w:b/>
                <w:sz w:val="24"/>
              </w:rPr>
              <w:t>（1）上述各项中用“√”表示通过，“×”表示不通过；</w:t>
            </w:r>
          </w:p>
          <w:p>
            <w:pPr>
              <w:widowControl/>
              <w:jc w:val="left"/>
              <w:rPr>
                <w:rFonts w:ascii="宋体" w:hAnsi="宋体" w:cs="宋体"/>
                <w:b/>
                <w:sz w:val="24"/>
              </w:rPr>
            </w:pPr>
            <w:r>
              <w:rPr>
                <w:rFonts w:hint="eastAsia" w:ascii="宋体" w:hAnsi="宋体" w:cs="宋体"/>
                <w:b/>
                <w:sz w:val="24"/>
              </w:rPr>
              <w:t>（2）以上条件中有一项不符合的，则</w:t>
            </w:r>
            <w:r>
              <w:rPr>
                <w:rFonts w:hint="eastAsia" w:ascii="宋体" w:hAnsi="宋体" w:cs="宋体"/>
                <w:b/>
                <w:bCs/>
                <w:sz w:val="24"/>
              </w:rPr>
              <w:t>投标人</w:t>
            </w:r>
            <w:r>
              <w:rPr>
                <w:rFonts w:hint="eastAsia" w:ascii="宋体" w:hAnsi="宋体" w:cs="宋体"/>
                <w:b/>
                <w:sz w:val="24"/>
              </w:rPr>
              <w:t>不能通过符合性检查；</w:t>
            </w:r>
          </w:p>
          <w:p>
            <w:pPr>
              <w:snapToGrid w:val="0"/>
              <w:spacing w:line="360" w:lineRule="auto"/>
              <w:jc w:val="left"/>
              <w:rPr>
                <w:rFonts w:ascii="宋体" w:hAnsi="宋体" w:cs="宋体"/>
                <w:b/>
                <w:bCs/>
                <w:sz w:val="24"/>
              </w:rPr>
            </w:pPr>
            <w:r>
              <w:rPr>
                <w:rFonts w:hint="eastAsia" w:ascii="宋体" w:hAnsi="宋体" w:cs="宋体"/>
                <w:b/>
                <w:sz w:val="24"/>
              </w:rPr>
              <w:t>（3）</w:t>
            </w:r>
            <w:r>
              <w:rPr>
                <w:rStyle w:val="133"/>
                <w:rFonts w:hint="eastAsia"/>
                <w:b/>
                <w:bCs/>
                <w:sz w:val="24"/>
              </w:rPr>
              <w:t>投标人请认真阅读和理解上述内容，避免投标文件中有存在上述审查标准之一的情况发生而造成废标。</w:t>
            </w:r>
          </w:p>
        </w:tc>
      </w:tr>
    </w:tbl>
    <w:p/>
    <w:p>
      <w:pPr>
        <w:pStyle w:val="16"/>
        <w:rPr>
          <w:lang w:val="zh-CN"/>
        </w:rPr>
      </w:pPr>
    </w:p>
    <w:p>
      <w:pPr>
        <w:spacing w:line="360" w:lineRule="auto"/>
        <w:ind w:firstLine="482" w:firstLineChars="200"/>
        <w:textAlignment w:val="baseline"/>
        <w:outlineLvl w:val="1"/>
        <w:rPr>
          <w:rFonts w:ascii="宋体" w:hAnsi="宋体"/>
          <w:sz w:val="24"/>
        </w:rPr>
      </w:pPr>
      <w:r>
        <w:rPr>
          <w:rFonts w:hint="eastAsia" w:ascii="宋体" w:hAnsi="宋体" w:cs="宋体"/>
          <w:b/>
          <w:sz w:val="24"/>
          <w:lang w:val="zh-CN"/>
        </w:rPr>
        <w:t>3、磋商：</w:t>
      </w:r>
      <w:r>
        <w:rPr>
          <w:rFonts w:hint="eastAsia" w:ascii="宋体" w:hAnsi="宋体" w:cs="宋体"/>
          <w:sz w:val="24"/>
          <w:lang w:val="zh-CN"/>
        </w:rPr>
        <w:t>符合性审查结束后，</w:t>
      </w:r>
      <w:r>
        <w:rPr>
          <w:rFonts w:hint="eastAsia" w:ascii="宋体" w:hAnsi="宋体"/>
          <w:sz w:val="24"/>
        </w:rPr>
        <w:t>磋商小组所有成员应当集中与单一供应商分别进行磋商，并给予所有参加磋商的供应商平等的磋商机会。在磋商过程中，磋商小组可以根据磋商文件和磋商情况实质性变动采购需求中的技术、服务要求以及合同草案条款，但不得变动磋商文件中的其他内容。实质性变动的内容，须经采购人代表确认。</w:t>
      </w:r>
    </w:p>
    <w:p>
      <w:pPr>
        <w:spacing w:line="360" w:lineRule="auto"/>
        <w:ind w:firstLine="480" w:firstLineChars="200"/>
        <w:textAlignment w:val="baseline"/>
        <w:outlineLvl w:val="1"/>
        <w:rPr>
          <w:rFonts w:ascii="宋体" w:hAnsi="宋体"/>
          <w:sz w:val="24"/>
        </w:rPr>
      </w:pPr>
      <w:r>
        <w:rPr>
          <w:rFonts w:hint="eastAsia" w:ascii="宋体" w:hAnsi="宋体"/>
          <w:sz w:val="24"/>
        </w:rPr>
        <w:t>对磋商文件做出的实质性变动是磋商文件的有效组成部分，磋商小组应当及时以书面形式同时通知所有参加磋商的供应商。</w:t>
      </w:r>
    </w:p>
    <w:p>
      <w:pPr>
        <w:spacing w:line="360" w:lineRule="auto"/>
        <w:ind w:firstLine="480" w:firstLineChars="200"/>
        <w:textAlignment w:val="baseline"/>
        <w:outlineLvl w:val="1"/>
        <w:rPr>
          <w:rFonts w:ascii="宋体" w:hAnsi="宋体"/>
          <w:sz w:val="24"/>
        </w:rPr>
      </w:pPr>
      <w:r>
        <w:rPr>
          <w:rFonts w:hint="eastAsia" w:ascii="宋体" w:hAnsi="宋体"/>
          <w:sz w:val="24"/>
        </w:rPr>
        <w:t>供应商应当按照磋商文件的变动情况和磋商小组的要求重新提交响应文件，并由其法定代表人或授权代表签字或者加盖公章。由授权代表签字的，应当附法定代表人授权书。</w:t>
      </w:r>
    </w:p>
    <w:p>
      <w:pPr>
        <w:spacing w:line="360" w:lineRule="auto"/>
        <w:ind w:firstLine="482" w:firstLineChars="200"/>
        <w:textAlignment w:val="baseline"/>
        <w:outlineLvl w:val="1"/>
        <w:rPr>
          <w:rFonts w:ascii="宋体" w:hAnsi="宋体"/>
          <w:b/>
          <w:sz w:val="24"/>
        </w:rPr>
      </w:pPr>
      <w:r>
        <w:rPr>
          <w:rFonts w:hint="eastAsia" w:ascii="宋体" w:hAnsi="宋体" w:cs="宋体"/>
          <w:b/>
          <w:sz w:val="24"/>
        </w:rPr>
        <w:t>4、</w:t>
      </w:r>
      <w:r>
        <w:rPr>
          <w:rFonts w:hint="eastAsia" w:ascii="宋体" w:hAnsi="宋体"/>
          <w:b/>
          <w:sz w:val="24"/>
        </w:rPr>
        <w:t>最后报价：</w:t>
      </w:r>
      <w:r>
        <w:rPr>
          <w:rFonts w:hint="eastAsia" w:ascii="宋体" w:hAnsi="宋体"/>
          <w:sz w:val="24"/>
        </w:rPr>
        <w:t>磋商文件能够详细列明采购标的的技术、服务要求的，磋商结束后，磋商小组应当要求所有实质性响应的供应商在规定时间内提交最后报价，提交最后报价的供应商不得少于 3 家。</w:t>
      </w:r>
    </w:p>
    <w:p>
      <w:pPr>
        <w:spacing w:line="360" w:lineRule="auto"/>
        <w:ind w:firstLine="480" w:firstLineChars="200"/>
        <w:textAlignment w:val="baseline"/>
        <w:outlineLvl w:val="1"/>
        <w:rPr>
          <w:rFonts w:ascii="宋体" w:hAnsi="宋体"/>
          <w:sz w:val="24"/>
        </w:rPr>
      </w:pPr>
      <w:r>
        <w:rPr>
          <w:rFonts w:hint="eastAsia" w:ascii="宋体" w:hAnsi="宋体"/>
          <w:sz w:val="24"/>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spacing w:line="360" w:lineRule="auto"/>
        <w:ind w:firstLine="480" w:firstLineChars="200"/>
        <w:textAlignment w:val="baseline"/>
        <w:outlineLvl w:val="1"/>
        <w:rPr>
          <w:rFonts w:ascii="宋体" w:hAnsi="宋体"/>
          <w:sz w:val="24"/>
        </w:rPr>
      </w:pPr>
      <w:r>
        <w:rPr>
          <w:rFonts w:hint="eastAsia" w:ascii="宋体" w:hAnsi="宋体"/>
          <w:sz w:val="24"/>
        </w:rPr>
        <w:t>最后报价是供应商响应文件的有效组成部分。市场竞争不充分的科研项目，以及需要扶持的科技成果转化项目，提交最后报价的供应商可以为 2 家。</w:t>
      </w:r>
    </w:p>
    <w:p>
      <w:pPr>
        <w:spacing w:line="360" w:lineRule="auto"/>
        <w:ind w:firstLine="470" w:firstLineChars="196"/>
        <w:textAlignment w:val="baseline"/>
        <w:outlineLvl w:val="1"/>
        <w:rPr>
          <w:rFonts w:ascii="宋体" w:hAnsi="宋体"/>
          <w:sz w:val="24"/>
        </w:rPr>
      </w:pPr>
      <w:r>
        <w:rPr>
          <w:rFonts w:hint="eastAsia" w:ascii="宋体" w:hAnsi="宋体"/>
          <w:sz w:val="24"/>
        </w:rPr>
        <w:t>已提交响应文件的供应商，在提交最后报价之前，可以根据磋商情况退出磋商。采购人、采购代理机构应当退还退出磋商的供应商的磋商保证金。</w:t>
      </w:r>
    </w:p>
    <w:p>
      <w:pPr>
        <w:spacing w:line="360" w:lineRule="auto"/>
        <w:ind w:firstLine="480" w:firstLineChars="200"/>
        <w:textAlignment w:val="baseline"/>
        <w:outlineLvl w:val="1"/>
        <w:rPr>
          <w:rFonts w:ascii="宋体" w:hAnsi="宋体"/>
          <w:sz w:val="24"/>
        </w:rPr>
      </w:pPr>
      <w:r>
        <w:rPr>
          <w:rFonts w:hint="eastAsia" w:ascii="宋体" w:hAnsi="宋体"/>
          <w:sz w:val="24"/>
        </w:rPr>
        <w:t>参加磋商的供应商应当对磋商的承诺和最后报价以书面形式确认，并由授权代表签字。</w:t>
      </w:r>
    </w:p>
    <w:p>
      <w:pPr>
        <w:spacing w:line="360" w:lineRule="auto"/>
        <w:ind w:firstLine="482" w:firstLineChars="200"/>
        <w:textAlignment w:val="baseline"/>
        <w:outlineLvl w:val="1"/>
        <w:rPr>
          <w:rFonts w:ascii="宋体" w:hAnsi="宋体"/>
          <w:sz w:val="24"/>
        </w:rPr>
      </w:pPr>
      <w:r>
        <w:rPr>
          <w:rFonts w:hint="eastAsia" w:ascii="宋体" w:hAnsi="宋体" w:cs="宋体"/>
          <w:b/>
          <w:sz w:val="24"/>
          <w:lang w:val="zh-CN"/>
        </w:rPr>
        <w:t>5、</w:t>
      </w:r>
      <w:r>
        <w:rPr>
          <w:rFonts w:hint="eastAsia" w:ascii="宋体" w:hAnsi="宋体"/>
          <w:b/>
          <w:sz w:val="24"/>
        </w:rPr>
        <w:t>综合评分：</w:t>
      </w:r>
      <w:r>
        <w:rPr>
          <w:rFonts w:hint="eastAsia" w:ascii="宋体" w:hAnsi="宋体"/>
          <w:sz w:val="24"/>
        </w:rPr>
        <w:t>磋商结束后，磋商小组应当要求所有实质性响应的供应商在规定时间内提交最后报价，经磋商确定最终采购需求和提交最后报价的供应商后，由磋商小组采用综合评分法对提交最后报价的供应商的响应文件和最后报价进行综合评分。</w:t>
      </w:r>
    </w:p>
    <w:p>
      <w:pPr>
        <w:adjustRightInd w:val="0"/>
        <w:snapToGrid w:val="0"/>
        <w:spacing w:line="360" w:lineRule="auto"/>
        <w:ind w:firstLine="480" w:firstLineChars="200"/>
        <w:rPr>
          <w:rFonts w:ascii="宋体" w:hAnsi="宋体"/>
          <w:sz w:val="24"/>
          <w:highlight w:val="yellow"/>
        </w:rPr>
      </w:pPr>
      <w:r>
        <w:rPr>
          <w:rFonts w:hint="eastAsia" w:ascii="宋体" w:hAnsi="宋体"/>
          <w:sz w:val="24"/>
        </w:rPr>
        <w:t>磋商小组将对其商务和技术部分作进一步的综合比较和评价，以综合得分最高的</w:t>
      </w:r>
      <w:r>
        <w:rPr>
          <w:rFonts w:hint="eastAsia" w:ascii="宋体" w:hAnsi="宋体" w:cs="宋体"/>
          <w:sz w:val="24"/>
          <w:lang w:val="zh-CN"/>
        </w:rPr>
        <w:t>磋商供应商</w:t>
      </w:r>
      <w:r>
        <w:rPr>
          <w:rFonts w:hint="eastAsia" w:ascii="宋体" w:hAnsi="宋体"/>
          <w:sz w:val="24"/>
        </w:rPr>
        <w:t>作为成交候选供应商或者成交供应商。得分相同的，按磋商报价由低到高顺序排列。</w:t>
      </w:r>
      <w:r>
        <w:rPr>
          <w:rFonts w:hint="eastAsia" w:ascii="宋体" w:hAnsi="宋体" w:cs="宋体"/>
          <w:sz w:val="24"/>
        </w:rPr>
        <w:t>得分且投标报价相同的，由评标组长带领评标委员会成员对各投标人的投标文件按照评审因素的量化指标进一步评审，得分最高的投标人为排名第一的中标候选人。</w:t>
      </w:r>
    </w:p>
    <w:p>
      <w:pPr>
        <w:adjustRightInd w:val="0"/>
        <w:snapToGrid w:val="0"/>
        <w:spacing w:line="360" w:lineRule="auto"/>
        <w:ind w:firstLine="480" w:firstLineChars="200"/>
        <w:rPr>
          <w:rFonts w:ascii="宋体" w:hAnsi="宋体"/>
          <w:bCs/>
          <w:sz w:val="24"/>
        </w:rPr>
      </w:pPr>
      <w:r>
        <w:rPr>
          <w:rFonts w:hint="eastAsia" w:ascii="宋体" w:hAnsi="宋体"/>
          <w:bCs/>
          <w:sz w:val="24"/>
        </w:rPr>
        <w:t>6、</w:t>
      </w:r>
      <w:r>
        <w:rPr>
          <w:rFonts w:hint="eastAsia" w:ascii="宋体" w:hAnsi="宋体"/>
          <w:sz w:val="24"/>
        </w:rPr>
        <w:t>磋商小组</w:t>
      </w:r>
      <w:r>
        <w:rPr>
          <w:rFonts w:hint="eastAsia" w:ascii="宋体" w:hAnsi="宋体"/>
          <w:bCs/>
          <w:sz w:val="24"/>
        </w:rPr>
        <w:t>对确定为实质上响应的投标进行政策功能评价，如涉及以下内容，具体标准为：</w:t>
      </w:r>
    </w:p>
    <w:p>
      <w:pPr>
        <w:adjustRightInd w:val="0"/>
        <w:snapToGrid w:val="0"/>
        <w:spacing w:line="360" w:lineRule="auto"/>
        <w:ind w:firstLine="480" w:firstLineChars="200"/>
        <w:rPr>
          <w:rFonts w:ascii="宋体" w:hAnsi="宋体"/>
          <w:bCs/>
          <w:sz w:val="24"/>
        </w:rPr>
      </w:pPr>
      <w:r>
        <w:rPr>
          <w:rFonts w:hint="eastAsia" w:ascii="宋体" w:hAnsi="宋体"/>
          <w:bCs/>
          <w:sz w:val="24"/>
        </w:rPr>
        <w:t>1）根据财库〔2020〕46号《政府采购促进中小企业发展管理办法》规定，本项目对小型和微型企业产品的价格给予 6%的扣除。</w:t>
      </w:r>
    </w:p>
    <w:p>
      <w:pPr>
        <w:adjustRightInd w:val="0"/>
        <w:snapToGrid w:val="0"/>
        <w:spacing w:line="360" w:lineRule="auto"/>
        <w:ind w:firstLine="480" w:firstLineChars="200"/>
        <w:rPr>
          <w:rFonts w:ascii="宋体" w:hAnsi="宋体"/>
          <w:bCs/>
          <w:sz w:val="24"/>
        </w:rPr>
      </w:pPr>
      <w:r>
        <w:rPr>
          <w:rFonts w:hint="eastAsia" w:ascii="宋体" w:hAnsi="宋体"/>
          <w:bCs/>
          <w:sz w:val="24"/>
        </w:rPr>
        <w:t>2）根据财库〔2014〕68号《关于政府采购支持监狱企业发展有关问题的通知》规定，本项目对监狱企业产品的价格给予 6%的扣除。</w:t>
      </w:r>
    </w:p>
    <w:p>
      <w:pPr>
        <w:adjustRightInd w:val="0"/>
        <w:snapToGrid w:val="0"/>
        <w:spacing w:line="360" w:lineRule="auto"/>
        <w:ind w:firstLine="480" w:firstLineChars="200"/>
        <w:rPr>
          <w:rFonts w:ascii="宋体" w:hAnsi="宋体"/>
          <w:bCs/>
          <w:sz w:val="24"/>
        </w:rPr>
      </w:pPr>
      <w:r>
        <w:rPr>
          <w:rFonts w:hint="eastAsia" w:ascii="宋体" w:hAnsi="宋体"/>
          <w:bCs/>
          <w:sz w:val="24"/>
        </w:rPr>
        <w:t>3）根据财库〔2017〕141号《关于促进残疾人就业政府采购政策的通知》的规定，本项目对残疾人福利性单位产品的价格给予 6%的扣除。</w:t>
      </w:r>
    </w:p>
    <w:p>
      <w:pPr>
        <w:adjustRightInd w:val="0"/>
        <w:snapToGrid w:val="0"/>
        <w:spacing w:line="360" w:lineRule="auto"/>
        <w:ind w:firstLine="480" w:firstLineChars="200"/>
        <w:rPr>
          <w:rFonts w:ascii="宋体" w:hAnsi="宋体"/>
          <w:bCs/>
          <w:sz w:val="24"/>
        </w:rPr>
      </w:pPr>
      <w:r>
        <w:rPr>
          <w:rFonts w:hint="eastAsia" w:ascii="宋体" w:hAnsi="宋体"/>
          <w:bCs/>
          <w:sz w:val="24"/>
        </w:rPr>
        <w:t>评标价＝总投标报价—小型和微型企业产品的价格×6%</w:t>
      </w:r>
    </w:p>
    <w:p>
      <w:pPr>
        <w:adjustRightInd w:val="0"/>
        <w:snapToGrid w:val="0"/>
        <w:spacing w:line="360" w:lineRule="auto"/>
        <w:rPr>
          <w:rFonts w:ascii="宋体" w:hAnsi="宋体"/>
          <w:bCs/>
          <w:sz w:val="24"/>
        </w:rPr>
      </w:pPr>
      <w:r>
        <w:rPr>
          <w:rFonts w:hint="eastAsia" w:ascii="宋体" w:hAnsi="宋体"/>
          <w:bCs/>
          <w:sz w:val="24"/>
        </w:rPr>
        <w:t>注：① 上述评标价仅用于计算价格评分，中标金额以实际投标价为准。</w:t>
      </w:r>
    </w:p>
    <w:p>
      <w:pPr>
        <w:adjustRightInd w:val="0"/>
        <w:snapToGrid w:val="0"/>
        <w:spacing w:line="360" w:lineRule="auto"/>
        <w:ind w:firstLine="480" w:firstLineChars="200"/>
        <w:rPr>
          <w:rFonts w:ascii="宋体" w:hAnsi="宋体"/>
          <w:bCs/>
          <w:sz w:val="24"/>
        </w:rPr>
      </w:pPr>
      <w:r>
        <w:rPr>
          <w:rFonts w:hint="eastAsia" w:ascii="宋体" w:hAnsi="宋体"/>
          <w:bCs/>
          <w:sz w:val="24"/>
        </w:rPr>
        <w:t>4）投标人所投产品如被列入财政部与国家主管部门颁发的节能产品目录或环境标志产品目录或无线局域网产品目录，应提供相关证明。在技术、服务等指标同等条件下，结合具有环境标志、节能、无线局域网的产品报价占总项目的比例，优先采购。</w:t>
      </w:r>
    </w:p>
    <w:p>
      <w:pPr>
        <w:adjustRightInd w:val="0"/>
        <w:snapToGrid w:val="0"/>
        <w:spacing w:line="360" w:lineRule="auto"/>
        <w:ind w:firstLine="482"/>
        <w:rPr>
          <w:rFonts w:ascii="宋体" w:hAnsi="宋体"/>
          <w:b/>
          <w:sz w:val="24"/>
        </w:rPr>
      </w:pPr>
      <w:r>
        <w:rPr>
          <w:rFonts w:hint="eastAsia" w:ascii="宋体" w:hAnsi="宋体"/>
          <w:b/>
          <w:bCs/>
          <w:sz w:val="24"/>
        </w:rPr>
        <w:t>7、</w:t>
      </w:r>
      <w:r>
        <w:rPr>
          <w:rFonts w:hint="eastAsia" w:ascii="宋体" w:hAnsi="宋体"/>
          <w:b/>
          <w:sz w:val="24"/>
        </w:rPr>
        <w:t>磋商小组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adjustRightInd w:val="0"/>
        <w:snapToGrid w:val="0"/>
        <w:spacing w:line="360" w:lineRule="auto"/>
        <w:ind w:firstLine="482" w:firstLineChars="200"/>
        <w:rPr>
          <w:rFonts w:ascii="宋体" w:hAnsi="宋体"/>
          <w:b/>
          <w:sz w:val="24"/>
          <w:szCs w:val="24"/>
        </w:rPr>
      </w:pPr>
      <w:r>
        <w:rPr>
          <w:b/>
          <w:sz w:val="24"/>
          <w:szCs w:val="24"/>
        </w:rPr>
        <w:t>5.3.2</w:t>
      </w:r>
      <w:r>
        <w:rPr>
          <w:rFonts w:hint="eastAsia" w:ascii="宋体" w:hAnsi="宋体"/>
          <w:b/>
          <w:sz w:val="24"/>
          <w:szCs w:val="24"/>
        </w:rPr>
        <w:t>评标方法</w:t>
      </w:r>
    </w:p>
    <w:p>
      <w:pPr>
        <w:adjustRightInd w:val="0"/>
        <w:snapToGrid w:val="0"/>
        <w:spacing w:line="360" w:lineRule="auto"/>
        <w:ind w:firstLine="482"/>
        <w:rPr>
          <w:rFonts w:ascii="宋体" w:hAnsi="宋体"/>
          <w:sz w:val="24"/>
        </w:rPr>
      </w:pPr>
      <w:r>
        <w:rPr>
          <w:rFonts w:hint="eastAsia" w:ascii="宋体" w:hAnsi="宋体"/>
          <w:sz w:val="24"/>
        </w:rPr>
        <w:t>“综合评分法”，即是指在最大限度地满足磋商文件实质性要求前提下，按照磋商文件中规定的各项因素进行综合评审后，以评标总得分最高的磋商供应商作为拟成交供应商。综合评分法中的价格分统一采用低价优先法计算，即完全满足磋商文件要求且磋商价格最低的磋商报价为评标基准价，其价格分为满分。其他投标人的价格分统一按照下列公式计算：磋商报价得分=（磋商基准价/最后磋商报价）×价格权值×100%。为使政府采购得到健康有序的发展，评标高度关注综合性价比，招标人不承诺最终最低报价中标，对未中标投标商不作任何解释说明。</w:t>
      </w:r>
    </w:p>
    <w:p>
      <w:pPr>
        <w:adjustRightInd w:val="0"/>
        <w:snapToGrid w:val="0"/>
        <w:spacing w:line="360" w:lineRule="auto"/>
        <w:ind w:firstLine="480" w:firstLineChars="200"/>
        <w:rPr>
          <w:rFonts w:ascii="宋体" w:hAnsi="宋体"/>
          <w:sz w:val="24"/>
          <w:highlight w:val="yellow"/>
        </w:rPr>
      </w:pPr>
      <w:r>
        <w:rPr>
          <w:rFonts w:hint="eastAsia" w:ascii="宋体" w:hAnsi="宋体"/>
          <w:sz w:val="24"/>
        </w:rPr>
        <w:t>采用综合评分法的，磋商结果按评审后得分由高到低顺序排列。得分相同的，按磋商报价由低到高顺序排列。</w:t>
      </w:r>
      <w:r>
        <w:rPr>
          <w:rFonts w:hint="eastAsia" w:ascii="宋体" w:hAnsi="宋体" w:cs="宋体"/>
          <w:sz w:val="24"/>
        </w:rPr>
        <w:t>得分且投标报价相同的，由评标组长带领评标委员会成员对各投标人的投标文件按照评审因素的量化指标进一步评审，得分最高的投标人为排名第一的中标候选人。</w:t>
      </w:r>
    </w:p>
    <w:p>
      <w:pPr>
        <w:spacing w:line="360" w:lineRule="auto"/>
        <w:ind w:firstLine="480" w:firstLineChars="200"/>
        <w:rPr>
          <w:rFonts w:ascii="宋体" w:hAnsi="宋体"/>
          <w:color w:val="FF0000"/>
          <w:sz w:val="24"/>
        </w:rPr>
      </w:pPr>
      <w:r>
        <w:rPr>
          <w:rFonts w:hint="eastAsia" w:ascii="宋体" w:hAnsi="宋体"/>
          <w:sz w:val="24"/>
        </w:rPr>
        <w:t>具体评分分值如下：</w:t>
      </w:r>
    </w:p>
    <w:tbl>
      <w:tblPr>
        <w:tblStyle w:val="33"/>
        <w:tblW w:w="9639"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trPr>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评标因素</w:t>
            </w:r>
          </w:p>
        </w:tc>
        <w:tc>
          <w:tcPr>
            <w:tcW w:w="836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exact"/>
        </w:trPr>
        <w:tc>
          <w:tcPr>
            <w:tcW w:w="12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价格</w:t>
            </w:r>
          </w:p>
          <w:p>
            <w:pPr>
              <w:spacing w:line="320" w:lineRule="exact"/>
              <w:jc w:val="center"/>
              <w:rPr>
                <w:rFonts w:ascii="宋体" w:hAnsi="宋体"/>
                <w:sz w:val="24"/>
              </w:rPr>
            </w:pPr>
            <w:r>
              <w:rPr>
                <w:rFonts w:hint="eastAsia" w:ascii="宋体" w:hAnsi="宋体"/>
                <w:sz w:val="24"/>
              </w:rPr>
              <w:t>（</w:t>
            </w:r>
            <w:r>
              <w:rPr>
                <w:rFonts w:hint="eastAsia" w:ascii="宋体" w:hAnsi="宋体"/>
                <w:sz w:val="24"/>
                <w:lang w:val="en-US" w:eastAsia="zh-CN"/>
              </w:rPr>
              <w:t>1</w:t>
            </w:r>
            <w:r>
              <w:rPr>
                <w:rFonts w:hint="eastAsia" w:ascii="宋体" w:hAnsi="宋体"/>
                <w:sz w:val="24"/>
              </w:rPr>
              <w:t>0分）</w:t>
            </w:r>
          </w:p>
        </w:tc>
        <w:tc>
          <w:tcPr>
            <w:tcW w:w="836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在价格评分时，满足磋商文件要求且合理的最低投标报价为评标基准价，其价格分为满分。其他投标人的价格分统一按照下列公式计算:</w:t>
            </w:r>
          </w:p>
          <w:p>
            <w:pPr>
              <w:spacing w:line="360" w:lineRule="auto"/>
              <w:rPr>
                <w:rFonts w:ascii="宋体" w:hAnsi="宋体"/>
                <w:sz w:val="24"/>
              </w:rPr>
            </w:pPr>
            <w:r>
              <w:rPr>
                <w:rFonts w:hint="eastAsia" w:ascii="宋体" w:hAnsi="宋体"/>
                <w:sz w:val="24"/>
              </w:rPr>
              <w:t>投标报价得分=（评标基准价</w:t>
            </w:r>
            <w:r>
              <w:rPr>
                <w:rFonts w:ascii="宋体" w:hAnsi="宋体"/>
                <w:sz w:val="24"/>
              </w:rPr>
              <w:t>/</w:t>
            </w:r>
            <w:r>
              <w:rPr>
                <w:rFonts w:hint="eastAsia" w:ascii="宋体" w:hAnsi="宋体"/>
                <w:sz w:val="24"/>
              </w:rPr>
              <w:t>最终报价）×价格权值×</w:t>
            </w:r>
            <w:r>
              <w:rPr>
                <w:rFonts w:ascii="宋体" w:hAnsi="宋体"/>
                <w:sz w:val="24"/>
              </w:rPr>
              <w:t>100</w:t>
            </w:r>
            <w:r>
              <w:rPr>
                <w:rFonts w:hint="eastAsia" w:ascii="宋体" w:hAnsi="宋体"/>
                <w:sz w:val="24"/>
              </w:rPr>
              <w:t>%。</w:t>
            </w:r>
          </w:p>
          <w:p>
            <w:pPr>
              <w:spacing w:line="360" w:lineRule="auto"/>
              <w:rPr>
                <w:rFonts w:ascii="宋体" w:hAnsi="宋体"/>
                <w:sz w:val="24"/>
              </w:rPr>
            </w:pPr>
            <w:r>
              <w:rPr>
                <w:rFonts w:hint="eastAsia" w:ascii="宋体" w:hAnsi="宋体"/>
                <w:sz w:val="24"/>
              </w:rPr>
              <w:t>注：1、价格评分取值至小数点后第 2 位，2 位以后四舍五入。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exact"/>
        </w:trPr>
        <w:tc>
          <w:tcPr>
            <w:tcW w:w="12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sz w:val="24"/>
                <w:lang w:val="en-US" w:eastAsia="zh-CN"/>
              </w:rPr>
            </w:pPr>
            <w:r>
              <w:rPr>
                <w:rFonts w:hint="eastAsia" w:ascii="宋体" w:hAnsi="宋体"/>
                <w:sz w:val="24"/>
                <w:lang w:val="en-US" w:eastAsia="zh-CN"/>
              </w:rPr>
              <w:t>企业类似业绩（20分）</w:t>
            </w:r>
          </w:p>
        </w:tc>
        <w:tc>
          <w:tcPr>
            <w:tcW w:w="836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2"/>
              </w:rPr>
            </w:pPr>
            <w:r>
              <w:rPr>
                <w:rFonts w:hint="eastAsia" w:ascii="宋体" w:hAnsi="宋体"/>
                <w:sz w:val="24"/>
                <w:szCs w:val="22"/>
              </w:rPr>
              <w:t>投标人提供</w:t>
            </w:r>
            <w:r>
              <w:rPr>
                <w:rFonts w:hint="eastAsia" w:ascii="宋体" w:hAnsi="宋体"/>
                <w:sz w:val="24"/>
                <w:szCs w:val="22"/>
                <w:lang w:val="en-US" w:eastAsia="zh-CN"/>
              </w:rPr>
              <w:t>近三年（2019年1月1日至投标文件递交截至日前）</w:t>
            </w:r>
            <w:r>
              <w:rPr>
                <w:rFonts w:hint="eastAsia" w:ascii="宋体" w:hAnsi="宋体"/>
                <w:sz w:val="24"/>
                <w:szCs w:val="22"/>
              </w:rPr>
              <w:t>所承担过类似项目业绩，提供一项得</w:t>
            </w:r>
            <w:r>
              <w:rPr>
                <w:rFonts w:hint="eastAsia" w:ascii="宋体" w:hAnsi="宋体"/>
                <w:sz w:val="24"/>
                <w:szCs w:val="22"/>
                <w:lang w:val="en-US" w:eastAsia="zh-CN"/>
              </w:rPr>
              <w:t>2</w:t>
            </w:r>
            <w:r>
              <w:rPr>
                <w:rFonts w:hint="eastAsia" w:ascii="宋体" w:hAnsi="宋体"/>
                <w:sz w:val="24"/>
                <w:szCs w:val="22"/>
              </w:rPr>
              <w:t>分（中标通知书或合同复印件），最多得</w:t>
            </w:r>
            <w:r>
              <w:rPr>
                <w:rFonts w:hint="eastAsia" w:ascii="宋体" w:hAnsi="宋体"/>
                <w:sz w:val="24"/>
                <w:szCs w:val="22"/>
                <w:lang w:val="en-US" w:eastAsia="zh-CN"/>
              </w:rPr>
              <w:t>20</w:t>
            </w:r>
            <w:r>
              <w:rPr>
                <w:rFonts w:hint="eastAsia" w:ascii="宋体" w:hAnsi="宋体"/>
                <w:sz w:val="24"/>
                <w:szCs w:val="22"/>
              </w:rPr>
              <w:t>分；（满</w:t>
            </w:r>
            <w:r>
              <w:rPr>
                <w:rFonts w:hint="eastAsia" w:ascii="宋体" w:hAnsi="宋体"/>
                <w:sz w:val="24"/>
                <w:szCs w:val="22"/>
                <w:lang w:val="en-US" w:eastAsia="zh-CN"/>
              </w:rPr>
              <w:t>20</w:t>
            </w:r>
            <w:r>
              <w:rPr>
                <w:rFonts w:hint="eastAsia" w:ascii="宋体" w:hAnsi="宋体"/>
                <w:sz w:val="24"/>
                <w:szCs w:val="22"/>
              </w:rPr>
              <w:t>分）</w:t>
            </w:r>
          </w:p>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8" w:hRule="exact"/>
        </w:trPr>
        <w:tc>
          <w:tcPr>
            <w:tcW w:w="12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sz w:val="24"/>
                <w:lang w:val="en-US" w:eastAsia="zh-CN"/>
              </w:rPr>
            </w:pPr>
            <w:r>
              <w:rPr>
                <w:rFonts w:hint="eastAsia" w:ascii="宋体" w:hAnsi="宋体"/>
                <w:sz w:val="24"/>
                <w:lang w:val="en-US" w:eastAsia="zh-CN"/>
              </w:rPr>
              <w:t>宣传</w:t>
            </w:r>
            <w:r>
              <w:rPr>
                <w:rFonts w:hint="eastAsia" w:ascii="宋体" w:hAnsi="宋体"/>
                <w:sz w:val="24"/>
              </w:rPr>
              <w:t>方案</w:t>
            </w:r>
            <w:r>
              <w:rPr>
                <w:rFonts w:hint="eastAsia" w:ascii="宋体" w:hAnsi="宋体" w:cs="宋体"/>
                <w:color w:val="000000"/>
                <w:sz w:val="24"/>
              </w:rPr>
              <w:t>（20分）</w:t>
            </w:r>
          </w:p>
        </w:tc>
        <w:tc>
          <w:tcPr>
            <w:tcW w:w="836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sz w:val="24"/>
                <w:lang w:eastAsia="zh-CN"/>
              </w:rPr>
            </w:pPr>
            <w:r>
              <w:rPr>
                <w:rFonts w:hint="eastAsia" w:ascii="宋体" w:hAnsi="宋体"/>
                <w:sz w:val="24"/>
              </w:rPr>
              <w:t xml:space="preserve">① </w:t>
            </w:r>
            <w:r>
              <w:rPr>
                <w:rFonts w:hint="eastAsia" w:ascii="宋体" w:hAnsi="宋体"/>
                <w:bCs/>
                <w:sz w:val="24"/>
              </w:rPr>
              <w:t>结合项目特点，</w:t>
            </w:r>
            <w:r>
              <w:rPr>
                <w:rFonts w:hint="eastAsia" w:ascii="宋体" w:hAnsi="宋体"/>
                <w:sz w:val="24"/>
              </w:rPr>
              <w:t>对项目的组织实施过程、步骤符合实际，可操作性强，能够满足</w:t>
            </w:r>
            <w:r>
              <w:rPr>
                <w:rFonts w:hint="eastAsia" w:ascii="宋体" w:hAnsi="宋体"/>
                <w:sz w:val="24"/>
                <w:lang w:val="en-US" w:eastAsia="zh-CN"/>
              </w:rPr>
              <w:t>招标人</w:t>
            </w:r>
            <w:r>
              <w:rPr>
                <w:rFonts w:hint="eastAsia" w:ascii="宋体" w:hAnsi="宋体"/>
                <w:sz w:val="24"/>
              </w:rPr>
              <w:t>的需求。对药品安全法治教育有独到见解和认识，宣传措施、语言内容科学、受众接受，和环节统筹兼顾、合理、完整、可行，</w:t>
            </w:r>
            <w:r>
              <w:rPr>
                <w:rFonts w:hint="eastAsia" w:ascii="宋体" w:hAnsi="宋体" w:cs="宋体"/>
                <w:color w:val="000000"/>
                <w:sz w:val="24"/>
              </w:rPr>
              <w:t>得20</w:t>
            </w:r>
            <w:r>
              <w:rPr>
                <w:rFonts w:hint="eastAsia" w:ascii="宋体" w:hAnsi="宋体" w:cs="宋体"/>
                <w:color w:val="000000"/>
                <w:sz w:val="24"/>
                <w:lang w:val="en-US" w:eastAsia="zh-CN"/>
              </w:rPr>
              <w:t>-14</w:t>
            </w:r>
            <w:r>
              <w:rPr>
                <w:rFonts w:hint="eastAsia" w:ascii="宋体" w:hAnsi="宋体" w:cs="宋体"/>
                <w:color w:val="000000"/>
                <w:sz w:val="24"/>
              </w:rPr>
              <w:t>分</w:t>
            </w:r>
            <w:r>
              <w:rPr>
                <w:rFonts w:hint="eastAsia" w:ascii="宋体" w:hAnsi="宋体" w:cs="宋体"/>
                <w:color w:val="000000"/>
                <w:sz w:val="24"/>
                <w:lang w:eastAsia="zh-CN"/>
              </w:rPr>
              <w:t>。</w:t>
            </w:r>
          </w:p>
          <w:p>
            <w:pPr>
              <w:spacing w:line="360" w:lineRule="auto"/>
              <w:rPr>
                <w:rFonts w:hint="eastAsia" w:ascii="宋体" w:hAnsi="宋体" w:eastAsia="宋体" w:cs="宋体"/>
                <w:b/>
                <w:color w:val="000000"/>
                <w:sz w:val="24"/>
                <w:lang w:eastAsia="zh-CN"/>
              </w:rPr>
            </w:pPr>
            <w:r>
              <w:rPr>
                <w:rFonts w:hint="eastAsia" w:ascii="宋体" w:hAnsi="宋体"/>
                <w:sz w:val="24"/>
              </w:rPr>
              <w:t xml:space="preserve">② </w:t>
            </w:r>
            <w:r>
              <w:rPr>
                <w:rFonts w:hint="eastAsia" w:ascii="宋体" w:hAnsi="宋体"/>
                <w:bCs/>
                <w:sz w:val="24"/>
              </w:rPr>
              <w:t>结合项目特点，</w:t>
            </w:r>
            <w:r>
              <w:rPr>
                <w:rFonts w:hint="eastAsia" w:ascii="宋体" w:hAnsi="宋体"/>
                <w:sz w:val="24"/>
              </w:rPr>
              <w:t>对项目的组织实施过程、步骤符合实际，可操作性强，能够基本满足</w:t>
            </w:r>
            <w:r>
              <w:rPr>
                <w:rFonts w:hint="eastAsia" w:ascii="宋体" w:hAnsi="宋体"/>
                <w:sz w:val="24"/>
                <w:lang w:val="en-US" w:eastAsia="zh-CN"/>
              </w:rPr>
              <w:t>招标人</w:t>
            </w:r>
            <w:r>
              <w:rPr>
                <w:rFonts w:hint="eastAsia" w:ascii="宋体" w:hAnsi="宋体"/>
                <w:sz w:val="24"/>
              </w:rPr>
              <w:t>的需求。对药品安全法治教育有见解和认识，宣传措施、语言内容科学，和环节统筹兼顾、可行，</w:t>
            </w:r>
            <w:r>
              <w:rPr>
                <w:rFonts w:hint="eastAsia" w:ascii="宋体" w:hAnsi="宋体" w:cs="宋体"/>
                <w:color w:val="000000"/>
                <w:sz w:val="24"/>
              </w:rPr>
              <w:t>得1</w:t>
            </w:r>
            <w:r>
              <w:rPr>
                <w:rFonts w:hint="eastAsia" w:ascii="宋体" w:hAnsi="宋体" w:cs="宋体"/>
                <w:color w:val="000000"/>
                <w:sz w:val="24"/>
                <w:lang w:val="en-US" w:eastAsia="zh-CN"/>
              </w:rPr>
              <w:t>3-7</w:t>
            </w:r>
            <w:r>
              <w:rPr>
                <w:rFonts w:hint="eastAsia" w:ascii="宋体" w:hAnsi="宋体" w:cs="宋体"/>
                <w:color w:val="000000"/>
                <w:sz w:val="24"/>
              </w:rPr>
              <w:t>分</w:t>
            </w:r>
            <w:r>
              <w:rPr>
                <w:rFonts w:hint="eastAsia" w:ascii="宋体" w:hAnsi="宋体" w:cs="宋体"/>
                <w:color w:val="000000"/>
                <w:sz w:val="24"/>
                <w:lang w:eastAsia="zh-CN"/>
              </w:rPr>
              <w:t>。</w:t>
            </w:r>
          </w:p>
          <w:p>
            <w:pPr>
              <w:spacing w:line="360" w:lineRule="auto"/>
              <w:rPr>
                <w:rFonts w:ascii="宋体" w:hAnsi="宋体"/>
                <w:sz w:val="24"/>
              </w:rPr>
            </w:pPr>
            <w:r>
              <w:rPr>
                <w:rFonts w:hint="eastAsia" w:ascii="宋体" w:hAnsi="宋体"/>
                <w:sz w:val="24"/>
              </w:rPr>
              <w:t xml:space="preserve">③ </w:t>
            </w:r>
            <w:r>
              <w:rPr>
                <w:rFonts w:hint="eastAsia" w:ascii="宋体" w:hAnsi="宋体"/>
                <w:bCs/>
                <w:sz w:val="24"/>
              </w:rPr>
              <w:t>结合项目特点，</w:t>
            </w:r>
            <w:r>
              <w:rPr>
                <w:rFonts w:hint="eastAsia" w:ascii="宋体" w:hAnsi="宋体"/>
                <w:sz w:val="24"/>
              </w:rPr>
              <w:t>对项目的组织实施过程、步骤基本符合实际，能够满足</w:t>
            </w:r>
            <w:r>
              <w:rPr>
                <w:rFonts w:hint="eastAsia" w:ascii="宋体" w:hAnsi="宋体"/>
                <w:sz w:val="24"/>
                <w:lang w:val="en-US" w:eastAsia="zh-CN"/>
              </w:rPr>
              <w:t>招标人</w:t>
            </w:r>
            <w:r>
              <w:rPr>
                <w:rFonts w:hint="eastAsia" w:ascii="宋体" w:hAnsi="宋体"/>
                <w:sz w:val="24"/>
              </w:rPr>
              <w:t>的需求。对药品安全法治教育有见解和认识，</w:t>
            </w:r>
            <w:r>
              <w:rPr>
                <w:rFonts w:hint="eastAsia" w:ascii="宋体" w:hAnsi="宋体" w:cs="宋体"/>
                <w:color w:val="000000"/>
                <w:sz w:val="24"/>
              </w:rPr>
              <w:t>得</w:t>
            </w:r>
            <w:r>
              <w:rPr>
                <w:rFonts w:hint="eastAsia" w:ascii="宋体" w:hAnsi="宋体" w:cs="宋体"/>
                <w:color w:val="000000"/>
                <w:sz w:val="24"/>
                <w:lang w:val="en-US" w:eastAsia="zh-CN"/>
              </w:rPr>
              <w:t>6-0</w:t>
            </w:r>
            <w:r>
              <w:rPr>
                <w:rFonts w:hint="eastAsia" w:ascii="宋体" w:hAnsi="宋体" w:cs="宋体"/>
                <w:color w:val="000000"/>
                <w:sz w:val="24"/>
              </w:rPr>
              <w:t>分。</w:t>
            </w:r>
          </w:p>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9" w:hRule="exact"/>
        </w:trPr>
        <w:tc>
          <w:tcPr>
            <w:tcW w:w="12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sz w:val="24"/>
                <w:lang w:val="en-US" w:eastAsia="zh-CN"/>
              </w:rPr>
            </w:pPr>
            <w:r>
              <w:rPr>
                <w:rFonts w:hint="eastAsia" w:ascii="宋体" w:hAnsi="宋体"/>
                <w:sz w:val="24"/>
                <w:lang w:val="en-US" w:eastAsia="zh-CN"/>
              </w:rPr>
              <w:t>项目人员配备、设备配置（20分）</w:t>
            </w:r>
          </w:p>
        </w:tc>
        <w:tc>
          <w:tcPr>
            <w:tcW w:w="836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① 各专业人员（人员的数量、专业）配备齐全，技术力量雄厚，结构合理，其中项目负责人具有</w:t>
            </w:r>
            <w:r>
              <w:rPr>
                <w:rFonts w:hint="eastAsia" w:ascii="宋体" w:hAnsi="宋体" w:eastAsia="宋体" w:cs="Times New Roman"/>
                <w:sz w:val="24"/>
                <w:lang w:val="en-US" w:eastAsia="zh-CN"/>
              </w:rPr>
              <w:t>从业</w:t>
            </w:r>
            <w:r>
              <w:rPr>
                <w:rFonts w:hint="eastAsia" w:ascii="宋体" w:hAnsi="宋体" w:eastAsia="宋体" w:cs="Times New Roman"/>
                <w:sz w:val="24"/>
              </w:rPr>
              <w:t>背景和工作经验，享有知名度，设备齐全</w:t>
            </w:r>
            <w:r>
              <w:rPr>
                <w:rFonts w:hint="eastAsia" w:ascii="宋体" w:hAnsi="宋体" w:eastAsia="宋体" w:cs="Times New Roman"/>
                <w:sz w:val="24"/>
                <w:lang w:eastAsia="zh-CN"/>
              </w:rPr>
              <w:t>，</w:t>
            </w:r>
            <w:r>
              <w:rPr>
                <w:rFonts w:hint="eastAsia" w:ascii="宋体" w:hAnsi="宋体" w:eastAsia="宋体" w:cs="Times New Roman"/>
                <w:sz w:val="24"/>
                <w:lang w:val="en-US" w:eastAsia="zh-CN"/>
              </w:rPr>
              <w:t>项目团队人员配备</w:t>
            </w:r>
            <w:r>
              <w:rPr>
                <w:rFonts w:hint="eastAsia" w:ascii="宋体" w:hAnsi="宋体" w:cs="Times New Roman"/>
                <w:sz w:val="24"/>
                <w:lang w:val="en-US" w:eastAsia="zh-CN"/>
              </w:rPr>
              <w:t>5</w:t>
            </w:r>
            <w:r>
              <w:rPr>
                <w:rFonts w:hint="eastAsia" w:ascii="宋体" w:hAnsi="宋体" w:eastAsia="宋体" w:cs="Times New Roman"/>
                <w:sz w:val="24"/>
                <w:lang w:val="en-US" w:eastAsia="zh-CN"/>
              </w:rPr>
              <w:t>人</w:t>
            </w:r>
            <w:r>
              <w:rPr>
                <w:rFonts w:hint="eastAsia" w:ascii="宋体" w:hAnsi="宋体" w:cs="Times New Roman"/>
                <w:sz w:val="24"/>
                <w:lang w:val="en-US" w:eastAsia="zh-CN"/>
              </w:rPr>
              <w:t>及5人</w:t>
            </w:r>
            <w:r>
              <w:rPr>
                <w:rFonts w:hint="eastAsia" w:ascii="宋体" w:hAnsi="宋体" w:eastAsia="宋体" w:cs="Times New Roman"/>
                <w:sz w:val="24"/>
                <w:lang w:val="en-US" w:eastAsia="zh-CN"/>
              </w:rPr>
              <w:t>以上</w:t>
            </w:r>
            <w:r>
              <w:rPr>
                <w:rFonts w:hint="eastAsia" w:ascii="宋体" w:hAnsi="宋体" w:eastAsia="宋体" w:cs="Times New Roman"/>
                <w:sz w:val="24"/>
              </w:rPr>
              <w:t>得20</w:t>
            </w:r>
            <w:r>
              <w:rPr>
                <w:rFonts w:hint="eastAsia" w:ascii="宋体" w:hAnsi="宋体" w:eastAsia="宋体" w:cs="Times New Roman"/>
                <w:sz w:val="24"/>
                <w:lang w:val="en-US" w:eastAsia="zh-CN"/>
              </w:rPr>
              <w:t>-14</w:t>
            </w:r>
            <w:r>
              <w:rPr>
                <w:rFonts w:hint="eastAsia" w:ascii="宋体" w:hAnsi="宋体" w:eastAsia="宋体" w:cs="Times New Roman"/>
                <w:sz w:val="24"/>
              </w:rPr>
              <w:t>分；</w:t>
            </w:r>
          </w:p>
          <w:p>
            <w:pPr>
              <w:spacing w:line="360" w:lineRule="auto"/>
              <w:rPr>
                <w:rFonts w:hint="eastAsia" w:ascii="宋体" w:hAnsi="宋体" w:eastAsia="宋体" w:cs="Times New Roman"/>
                <w:sz w:val="24"/>
              </w:rPr>
            </w:pPr>
            <w:r>
              <w:rPr>
                <w:rFonts w:hint="eastAsia" w:ascii="宋体" w:hAnsi="宋体" w:eastAsia="宋体" w:cs="Times New Roman"/>
                <w:sz w:val="24"/>
              </w:rPr>
              <w:t>② 各专业人员配备齐全，结构相对合理，其中项目负责人具有</w:t>
            </w:r>
            <w:r>
              <w:rPr>
                <w:rFonts w:hint="eastAsia" w:ascii="宋体" w:hAnsi="宋体" w:eastAsia="宋体" w:cs="Times New Roman"/>
                <w:sz w:val="24"/>
                <w:lang w:val="en-US" w:eastAsia="zh-CN"/>
              </w:rPr>
              <w:t>从业</w:t>
            </w:r>
            <w:r>
              <w:rPr>
                <w:rFonts w:hint="eastAsia" w:ascii="宋体" w:hAnsi="宋体" w:eastAsia="宋体" w:cs="Times New Roman"/>
                <w:sz w:val="24"/>
              </w:rPr>
              <w:t>背景和工作经验，设备齐全</w:t>
            </w:r>
            <w:r>
              <w:rPr>
                <w:rFonts w:hint="eastAsia" w:ascii="宋体" w:hAnsi="宋体" w:eastAsia="宋体" w:cs="Times New Roman"/>
                <w:sz w:val="24"/>
                <w:lang w:eastAsia="zh-CN"/>
              </w:rPr>
              <w:t>，项目团队人员配备</w:t>
            </w:r>
            <w:r>
              <w:rPr>
                <w:rFonts w:hint="eastAsia" w:ascii="宋体" w:hAnsi="宋体" w:cs="Times New Roman"/>
                <w:sz w:val="24"/>
                <w:lang w:val="en-US" w:eastAsia="zh-CN"/>
              </w:rPr>
              <w:t>3</w:t>
            </w:r>
            <w:r>
              <w:rPr>
                <w:rFonts w:hint="eastAsia" w:ascii="宋体" w:hAnsi="宋体" w:eastAsia="宋体" w:cs="Times New Roman"/>
                <w:sz w:val="24"/>
                <w:lang w:val="en-US" w:eastAsia="zh-CN"/>
              </w:rPr>
              <w:t>-</w:t>
            </w:r>
            <w:r>
              <w:rPr>
                <w:rFonts w:hint="eastAsia" w:ascii="宋体" w:hAnsi="宋体" w:cs="Times New Roman"/>
                <w:sz w:val="24"/>
                <w:lang w:val="en-US" w:eastAsia="zh-CN"/>
              </w:rPr>
              <w:t>4</w:t>
            </w:r>
            <w:r>
              <w:rPr>
                <w:rFonts w:hint="eastAsia" w:ascii="宋体" w:hAnsi="宋体" w:eastAsia="宋体" w:cs="Times New Roman"/>
                <w:sz w:val="24"/>
                <w:lang w:val="en-US" w:eastAsia="zh-CN"/>
              </w:rPr>
              <w:t>人</w:t>
            </w:r>
            <w:r>
              <w:rPr>
                <w:rFonts w:hint="eastAsia" w:ascii="宋体" w:hAnsi="宋体" w:eastAsia="宋体" w:cs="Times New Roman"/>
                <w:sz w:val="24"/>
              </w:rPr>
              <w:t>得1</w:t>
            </w:r>
            <w:r>
              <w:rPr>
                <w:rFonts w:hint="eastAsia" w:ascii="宋体" w:hAnsi="宋体" w:eastAsia="宋体" w:cs="Times New Roman"/>
                <w:sz w:val="24"/>
                <w:lang w:val="en-US" w:eastAsia="zh-CN"/>
              </w:rPr>
              <w:t>3-7分</w:t>
            </w:r>
            <w:r>
              <w:rPr>
                <w:rFonts w:hint="eastAsia" w:ascii="宋体" w:hAnsi="宋体" w:eastAsia="宋体" w:cs="Times New Roman"/>
                <w:sz w:val="24"/>
              </w:rPr>
              <w:t>；</w:t>
            </w:r>
          </w:p>
          <w:p>
            <w:pPr>
              <w:spacing w:line="360" w:lineRule="auto"/>
              <w:rPr>
                <w:rFonts w:hint="eastAsia" w:ascii="宋体" w:hAnsi="宋体" w:eastAsia="宋体" w:cs="Times New Roman"/>
                <w:sz w:val="24"/>
              </w:rPr>
            </w:pPr>
            <w:r>
              <w:rPr>
                <w:rFonts w:hint="eastAsia" w:ascii="宋体" w:hAnsi="宋体" w:eastAsia="宋体" w:cs="Times New Roman"/>
                <w:sz w:val="24"/>
              </w:rPr>
              <w:t>③ 有基本的人员配备和设备</w:t>
            </w:r>
            <w:r>
              <w:rPr>
                <w:rFonts w:hint="eastAsia" w:ascii="宋体" w:hAnsi="宋体" w:eastAsia="宋体" w:cs="Times New Roman"/>
                <w:sz w:val="24"/>
                <w:lang w:eastAsia="zh-CN"/>
              </w:rPr>
              <w:t>，项目团队人员配备</w:t>
            </w:r>
            <w:r>
              <w:rPr>
                <w:rFonts w:hint="eastAsia" w:ascii="宋体" w:hAnsi="宋体" w:cs="Times New Roman"/>
                <w:sz w:val="24"/>
                <w:lang w:val="en-US" w:eastAsia="zh-CN"/>
              </w:rPr>
              <w:t>1</w:t>
            </w:r>
            <w:r>
              <w:rPr>
                <w:rFonts w:hint="eastAsia" w:ascii="宋体" w:hAnsi="宋体" w:eastAsia="宋体" w:cs="Times New Roman"/>
                <w:sz w:val="24"/>
                <w:lang w:eastAsia="zh-CN"/>
              </w:rPr>
              <w:t>-</w:t>
            </w:r>
            <w:r>
              <w:rPr>
                <w:rFonts w:hint="eastAsia" w:ascii="宋体" w:hAnsi="宋体" w:cs="Times New Roman"/>
                <w:sz w:val="24"/>
                <w:lang w:val="en-US" w:eastAsia="zh-CN"/>
              </w:rPr>
              <w:t>2</w:t>
            </w:r>
            <w:r>
              <w:rPr>
                <w:rFonts w:hint="eastAsia" w:ascii="宋体" w:hAnsi="宋体" w:eastAsia="宋体" w:cs="Times New Roman"/>
                <w:sz w:val="24"/>
                <w:lang w:eastAsia="zh-CN"/>
              </w:rPr>
              <w:t>人</w:t>
            </w:r>
            <w:r>
              <w:rPr>
                <w:rFonts w:hint="eastAsia" w:ascii="宋体" w:hAnsi="宋体" w:eastAsia="宋体" w:cs="Times New Roman"/>
                <w:sz w:val="24"/>
              </w:rPr>
              <w:t>得</w:t>
            </w:r>
            <w:r>
              <w:rPr>
                <w:rFonts w:hint="eastAsia" w:ascii="宋体" w:hAnsi="宋体" w:eastAsia="宋体" w:cs="Times New Roman"/>
                <w:sz w:val="24"/>
                <w:lang w:val="en-US" w:eastAsia="zh-CN"/>
              </w:rPr>
              <w:t>6-0</w:t>
            </w:r>
            <w:r>
              <w:rPr>
                <w:rFonts w:hint="eastAsia" w:ascii="宋体" w:hAnsi="宋体" w:eastAsia="宋体" w:cs="Times New Roman"/>
                <w:sz w:val="24"/>
              </w:rPr>
              <w:t>分。</w:t>
            </w:r>
          </w:p>
          <w:p>
            <w:pPr>
              <w:pStyle w:val="2"/>
              <w:rPr>
                <w:rFonts w:hint="default" w:eastAsiaTheme="minorEastAsia"/>
                <w:lang w:val="en-US" w:eastAsia="zh-CN"/>
              </w:rPr>
            </w:pPr>
            <w:r>
              <w:rPr>
                <w:rFonts w:hint="eastAsia" w:ascii="宋体" w:hAnsi="宋体"/>
                <w:sz w:val="24"/>
                <w:lang w:val="en-US" w:eastAsia="zh-CN"/>
              </w:rPr>
              <w:t>供应商根据招标文件的要求能提供完全满足项目需求所使用的专业拍摄器材设备（需付证明材料），项目团队人员需提供身份证及本单位社保证明复印件，项目负责人需提供身份证、本单位社保证明复印件并附简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exact"/>
        </w:trPr>
        <w:tc>
          <w:tcPr>
            <w:tcW w:w="12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sz w:val="24"/>
                <w:lang w:val="en-US" w:eastAsia="zh-CN"/>
              </w:rPr>
            </w:pPr>
            <w:r>
              <w:rPr>
                <w:rFonts w:hint="eastAsia" w:ascii="宋体" w:hAnsi="宋体"/>
                <w:sz w:val="24"/>
              </w:rPr>
              <w:t>质量控制（</w:t>
            </w:r>
            <w:r>
              <w:rPr>
                <w:rFonts w:hint="eastAsia" w:ascii="宋体" w:hAnsi="宋体"/>
                <w:sz w:val="24"/>
                <w:lang w:val="en-US" w:eastAsia="zh-CN"/>
              </w:rPr>
              <w:t>8</w:t>
            </w:r>
            <w:r>
              <w:rPr>
                <w:rFonts w:hint="eastAsia" w:ascii="宋体" w:hAnsi="宋体"/>
                <w:sz w:val="24"/>
              </w:rPr>
              <w:t>分）</w:t>
            </w:r>
          </w:p>
        </w:tc>
        <w:tc>
          <w:tcPr>
            <w:tcW w:w="836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4"/>
              </w:rPr>
            </w:pPr>
            <w:r>
              <w:rPr>
                <w:rFonts w:hint="eastAsia" w:ascii="宋体" w:hAnsi="宋体"/>
                <w:sz w:val="24"/>
              </w:rPr>
              <w:t>① 在项目执行过程中，质量控制制度合理可行，针对性强得</w:t>
            </w:r>
            <w:r>
              <w:rPr>
                <w:rFonts w:hint="eastAsia" w:ascii="宋体" w:hAnsi="宋体"/>
                <w:sz w:val="24"/>
                <w:lang w:val="en-US" w:eastAsia="zh-CN"/>
              </w:rPr>
              <w:t>8-6</w:t>
            </w:r>
            <w:r>
              <w:rPr>
                <w:rFonts w:hint="eastAsia" w:ascii="宋体" w:hAnsi="宋体"/>
                <w:sz w:val="24"/>
              </w:rPr>
              <w:t>分；</w:t>
            </w:r>
          </w:p>
          <w:p>
            <w:pPr>
              <w:spacing w:line="360" w:lineRule="auto"/>
              <w:rPr>
                <w:rFonts w:hint="eastAsia" w:ascii="宋体" w:hAnsi="宋体"/>
                <w:sz w:val="24"/>
              </w:rPr>
            </w:pPr>
            <w:r>
              <w:rPr>
                <w:rFonts w:hint="eastAsia" w:ascii="宋体" w:hAnsi="宋体"/>
                <w:sz w:val="24"/>
              </w:rPr>
              <w:t>② 在项目执行过程中，质量控制制度基本合理可行，针对性一般得</w:t>
            </w:r>
            <w:r>
              <w:rPr>
                <w:rFonts w:hint="eastAsia" w:ascii="宋体" w:hAnsi="宋体"/>
                <w:sz w:val="24"/>
                <w:lang w:val="en-US" w:eastAsia="zh-CN"/>
              </w:rPr>
              <w:t>5-3</w:t>
            </w:r>
            <w:r>
              <w:rPr>
                <w:rFonts w:hint="eastAsia" w:ascii="宋体" w:hAnsi="宋体"/>
                <w:sz w:val="24"/>
              </w:rPr>
              <w:t>分；</w:t>
            </w:r>
          </w:p>
          <w:p>
            <w:pPr>
              <w:spacing w:line="360" w:lineRule="auto"/>
              <w:rPr>
                <w:rFonts w:hint="eastAsia" w:ascii="宋体" w:hAnsi="宋体"/>
                <w:sz w:val="24"/>
              </w:rPr>
            </w:pPr>
            <w:r>
              <w:rPr>
                <w:rFonts w:hint="eastAsia" w:ascii="宋体" w:hAnsi="宋体"/>
                <w:sz w:val="24"/>
              </w:rPr>
              <w:t>③ 在项目执行过程中，质量控制制度基本合理可行，针对性差得</w:t>
            </w:r>
            <w:r>
              <w:rPr>
                <w:rFonts w:hint="eastAsia" w:ascii="宋体" w:hAnsi="宋体"/>
                <w:sz w:val="24"/>
                <w:lang w:val="en-US" w:eastAsia="zh-CN"/>
              </w:rPr>
              <w:t>2-0</w:t>
            </w:r>
            <w:r>
              <w:rPr>
                <w:rFonts w:hint="eastAsia" w:ascii="宋体" w:hAnsi="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9" w:hRule="exact"/>
        </w:trPr>
        <w:tc>
          <w:tcPr>
            <w:tcW w:w="12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sz w:val="24"/>
              </w:rPr>
            </w:pPr>
            <w:r>
              <w:rPr>
                <w:rFonts w:hint="eastAsia" w:ascii="宋体" w:hAnsi="宋体"/>
                <w:sz w:val="24"/>
              </w:rPr>
              <w:t>售后服务方案（15分）</w:t>
            </w:r>
          </w:p>
        </w:tc>
        <w:tc>
          <w:tcPr>
            <w:tcW w:w="836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Times New Roman"/>
                <w:sz w:val="24"/>
              </w:rPr>
            </w:pPr>
            <w:r>
              <w:rPr>
                <w:rFonts w:hint="eastAsia" w:ascii="宋体" w:hAnsi="宋体" w:eastAsia="宋体" w:cs="Times New Roman"/>
                <w:sz w:val="24"/>
              </w:rPr>
              <w:t>① 售后服务有切合实际的预案，对宣传效果有调查和分析方法，及时向</w:t>
            </w:r>
            <w:r>
              <w:rPr>
                <w:rFonts w:hint="eastAsia" w:ascii="宋体" w:hAnsi="宋体" w:eastAsia="宋体" w:cs="Times New Roman"/>
                <w:sz w:val="24"/>
                <w:lang w:val="en-US" w:eastAsia="zh-CN"/>
              </w:rPr>
              <w:t>招标人</w:t>
            </w:r>
            <w:r>
              <w:rPr>
                <w:rFonts w:hint="eastAsia" w:ascii="宋体" w:hAnsi="宋体" w:eastAsia="宋体" w:cs="Times New Roman"/>
                <w:sz w:val="24"/>
              </w:rPr>
              <w:t>反馈意见和宣传成效工作总结，得15</w:t>
            </w:r>
            <w:r>
              <w:rPr>
                <w:rFonts w:hint="eastAsia" w:ascii="宋体" w:hAnsi="宋体" w:eastAsia="宋体" w:cs="Times New Roman"/>
                <w:sz w:val="24"/>
                <w:lang w:val="en-US" w:eastAsia="zh-CN"/>
              </w:rPr>
              <w:t>-9</w:t>
            </w:r>
            <w:r>
              <w:rPr>
                <w:rFonts w:hint="eastAsia" w:ascii="宋体" w:hAnsi="宋体" w:eastAsia="宋体" w:cs="Times New Roman"/>
                <w:sz w:val="24"/>
              </w:rPr>
              <w:t>分；</w:t>
            </w:r>
          </w:p>
          <w:p>
            <w:pPr>
              <w:spacing w:line="360" w:lineRule="auto"/>
              <w:rPr>
                <w:rFonts w:hint="eastAsia" w:ascii="宋体" w:hAnsi="宋体" w:eastAsia="宋体" w:cs="Times New Roman"/>
                <w:sz w:val="24"/>
              </w:rPr>
            </w:pPr>
            <w:r>
              <w:rPr>
                <w:rFonts w:hint="eastAsia" w:ascii="宋体" w:hAnsi="宋体" w:eastAsia="宋体" w:cs="Times New Roman"/>
                <w:sz w:val="24"/>
              </w:rPr>
              <w:t>② 有符合本项目的售后服务方案</w:t>
            </w:r>
            <w:r>
              <w:rPr>
                <w:rFonts w:hint="eastAsia" w:ascii="宋体" w:hAnsi="宋体" w:eastAsia="宋体" w:cs="Times New Roman"/>
                <w:sz w:val="24"/>
                <w:lang w:eastAsia="zh-CN"/>
              </w:rPr>
              <w:t>、</w:t>
            </w:r>
            <w:r>
              <w:rPr>
                <w:rFonts w:hint="eastAsia" w:ascii="宋体" w:hAnsi="宋体" w:eastAsia="宋体" w:cs="Times New Roman"/>
                <w:sz w:val="24"/>
                <w:lang w:val="en-US" w:eastAsia="zh-CN"/>
              </w:rPr>
              <w:t>内容基本完整</w:t>
            </w:r>
            <w:r>
              <w:rPr>
                <w:rFonts w:hint="eastAsia" w:ascii="宋体" w:hAnsi="宋体" w:eastAsia="宋体" w:cs="Times New Roman"/>
                <w:sz w:val="24"/>
              </w:rPr>
              <w:t>得8</w:t>
            </w:r>
            <w:r>
              <w:rPr>
                <w:rFonts w:hint="eastAsia" w:ascii="宋体" w:hAnsi="宋体" w:eastAsia="宋体" w:cs="Times New Roman"/>
                <w:sz w:val="24"/>
                <w:lang w:val="en-US" w:eastAsia="zh-CN"/>
              </w:rPr>
              <w:t>-4</w:t>
            </w:r>
            <w:r>
              <w:rPr>
                <w:rFonts w:hint="eastAsia" w:ascii="宋体" w:hAnsi="宋体" w:eastAsia="宋体" w:cs="Times New Roman"/>
                <w:sz w:val="24"/>
              </w:rPr>
              <w:t>分。</w:t>
            </w:r>
          </w:p>
          <w:p>
            <w:pPr>
              <w:pStyle w:val="2"/>
              <w:rPr>
                <w:rFonts w:hint="default" w:eastAsiaTheme="minorEastAsia"/>
                <w:lang w:val="en-US" w:eastAsia="zh-CN"/>
              </w:rPr>
            </w:pPr>
            <w:r>
              <w:rPr>
                <w:rFonts w:hint="eastAsia" w:ascii="宋体" w:hAnsi="宋体" w:eastAsia="宋体" w:cs="Times New Roman"/>
                <w:kern w:val="2"/>
                <w:sz w:val="24"/>
                <w:szCs w:val="20"/>
                <w:lang w:val="en-US" w:eastAsia="zh-CN" w:bidi="ar-SA"/>
              </w:rPr>
              <w:t>③ 售后服务方案内容有缺漏，存在不合理性的得3-0分。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8" w:hRule="exact"/>
        </w:trPr>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en-US" w:eastAsia="zh-CN"/>
              </w:rPr>
              <w:t>服务承诺（5分）</w:t>
            </w:r>
          </w:p>
        </w:tc>
        <w:tc>
          <w:tcPr>
            <w:tcW w:w="836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服务承诺：供应商提供服务承诺完备并承诺实施过程与本项目需求的响应程度：</w:t>
            </w:r>
          </w:p>
          <w:p>
            <w:pPr>
              <w:spacing w:line="360" w:lineRule="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①服务承诺完整，且能完整的符合项目服务需求得5分</w:t>
            </w:r>
          </w:p>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en-US" w:eastAsia="zh-CN"/>
              </w:rPr>
              <w:t>②服务承诺基本完整，且能基本符合项目服务需求得3分</w:t>
            </w:r>
          </w:p>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en-US" w:eastAsia="zh-CN"/>
              </w:rPr>
              <w:t>③服务承诺不完整，但能基本符合项目服务需求得1分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trPr>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auto"/>
              <w:ind w:firstLine="240" w:firstLineChars="100"/>
              <w:jc w:val="left"/>
              <w:rPr>
                <w:rFonts w:ascii="宋体" w:hAnsi="宋体"/>
                <w:sz w:val="24"/>
                <w:szCs w:val="22"/>
              </w:rPr>
            </w:pPr>
            <w:r>
              <w:rPr>
                <w:rFonts w:hint="eastAsia" w:ascii="宋体" w:hAnsi="宋体"/>
                <w:sz w:val="24"/>
                <w:szCs w:val="22"/>
              </w:rPr>
              <w:t>标函质量（</w:t>
            </w:r>
            <w:r>
              <w:rPr>
                <w:rFonts w:hint="eastAsia" w:ascii="宋体" w:hAnsi="宋体"/>
                <w:sz w:val="24"/>
                <w:szCs w:val="22"/>
                <w:lang w:val="en-US" w:eastAsia="zh-CN"/>
              </w:rPr>
              <w:t>2</w:t>
            </w:r>
            <w:r>
              <w:rPr>
                <w:rFonts w:hint="eastAsia" w:ascii="宋体" w:hAnsi="宋体"/>
                <w:sz w:val="24"/>
                <w:szCs w:val="22"/>
              </w:rPr>
              <w:t>分）</w:t>
            </w:r>
          </w:p>
          <w:p>
            <w:pPr>
              <w:spacing w:line="360" w:lineRule="auto"/>
              <w:rPr>
                <w:rFonts w:ascii="宋体" w:hAnsi="宋体"/>
                <w:sz w:val="24"/>
                <w:szCs w:val="22"/>
              </w:rPr>
            </w:pPr>
          </w:p>
        </w:tc>
        <w:tc>
          <w:tcPr>
            <w:tcW w:w="836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2"/>
              </w:rPr>
            </w:pPr>
            <w:r>
              <w:rPr>
                <w:rFonts w:hint="eastAsia" w:ascii="宋体" w:hAnsi="宋体"/>
                <w:sz w:val="24"/>
                <w:szCs w:val="22"/>
              </w:rPr>
              <w:t>有编页、排版等制作规范得1分，每有一处错误或材料缺失扣0.5分，扣完为止；证件复印正文内容清晰得1分，有一个证件或一页不清晰扣0.5分，扣完为止。(满分2分)</w:t>
            </w:r>
          </w:p>
        </w:tc>
      </w:tr>
    </w:tbl>
    <w:p/>
    <w:p>
      <w:pPr>
        <w:spacing w:line="360" w:lineRule="auto"/>
        <w:rPr>
          <w:rFonts w:ascii="宋体" w:hAnsi="宋体"/>
          <w:b/>
          <w:sz w:val="24"/>
        </w:rPr>
      </w:pPr>
      <w:bookmarkStart w:id="96" w:name="_Toc267301287"/>
      <w:bookmarkStart w:id="97" w:name="_Toc349573126"/>
      <w:bookmarkStart w:id="98" w:name="_Toc349637925"/>
      <w:bookmarkStart w:id="99" w:name="_Toc462223637"/>
      <w:bookmarkStart w:id="100" w:name="_Toc298240410"/>
      <w:r>
        <w:rPr>
          <w:rFonts w:hint="eastAsia" w:ascii="宋体" w:hAnsi="宋体"/>
          <w:b/>
          <w:sz w:val="24"/>
        </w:rPr>
        <w:t>5.3.3变更采购方式后采用的评标方法</w:t>
      </w:r>
    </w:p>
    <w:p>
      <w:pPr>
        <w:spacing w:line="360" w:lineRule="auto"/>
        <w:ind w:firstLine="480" w:firstLineChars="200"/>
        <w:rPr>
          <w:rFonts w:ascii="宋体" w:hAnsi="宋体" w:cs="宋体"/>
          <w:sz w:val="24"/>
          <w:lang w:val="zh-CN"/>
        </w:rPr>
      </w:pPr>
      <w:r>
        <w:rPr>
          <w:rFonts w:hint="eastAsia" w:ascii="宋体" w:hAnsi="宋体"/>
          <w:bCs/>
          <w:sz w:val="24"/>
        </w:rPr>
        <w:t>经同级政府采购监管部门审核批准由公开招标变更为竞争性谈判或单一来源方式采购后，原采用 “综合评分法”的项目将选择</w:t>
      </w:r>
      <w:r>
        <w:rPr>
          <w:rFonts w:ascii="宋体" w:hAnsi="宋体" w:cs="宋体"/>
          <w:sz w:val="24"/>
          <w:lang w:val="zh-CN"/>
        </w:rPr>
        <w:t>“</w:t>
      </w:r>
      <w:r>
        <w:rPr>
          <w:rFonts w:hint="eastAsia" w:ascii="宋体" w:hAnsi="宋体" w:cs="宋体"/>
          <w:sz w:val="24"/>
          <w:lang w:val="zh-CN"/>
        </w:rPr>
        <w:t>最低评标价法</w:t>
      </w:r>
      <w:r>
        <w:rPr>
          <w:rFonts w:ascii="宋体" w:hAnsi="宋体" w:cs="宋体"/>
          <w:sz w:val="24"/>
          <w:lang w:val="zh-CN"/>
        </w:rPr>
        <w:t>”</w:t>
      </w:r>
      <w:r>
        <w:rPr>
          <w:rFonts w:hint="eastAsia" w:ascii="宋体" w:hAnsi="宋体" w:cs="宋体"/>
          <w:sz w:val="24"/>
          <w:lang w:val="zh-CN"/>
        </w:rPr>
        <w:t>作为评标方法。</w:t>
      </w:r>
    </w:p>
    <w:p>
      <w:pPr>
        <w:spacing w:line="360" w:lineRule="auto"/>
        <w:rPr>
          <w:rFonts w:ascii="宋体" w:hAnsi="宋体" w:cs="宋体"/>
          <w:b/>
          <w:sz w:val="28"/>
          <w:szCs w:val="28"/>
          <w:lang w:val="zh-CN"/>
        </w:rPr>
      </w:pPr>
      <w:r>
        <w:rPr>
          <w:rFonts w:hint="eastAsia" w:ascii="宋体" w:hAnsi="宋体" w:cs="宋体"/>
          <w:b/>
          <w:sz w:val="28"/>
          <w:szCs w:val="28"/>
          <w:lang w:val="zh-CN"/>
        </w:rPr>
        <w:t>5.4采购人或者采购代理机构负责组织磋商工作，并履行下列职责：</w:t>
      </w:r>
    </w:p>
    <w:p>
      <w:pPr>
        <w:spacing w:line="360" w:lineRule="auto"/>
        <w:ind w:firstLine="480" w:firstLineChars="200"/>
        <w:rPr>
          <w:rFonts w:ascii="宋体" w:hAnsi="宋体" w:cs="宋体"/>
          <w:sz w:val="24"/>
          <w:lang w:val="zh-CN"/>
        </w:rPr>
      </w:pPr>
      <w:r>
        <w:rPr>
          <w:rFonts w:hint="eastAsia" w:ascii="宋体" w:hAnsi="宋体" w:cs="宋体"/>
          <w:sz w:val="24"/>
          <w:lang w:val="zh-CN"/>
        </w:rPr>
        <w:t>1）核对评审专家身份和采购人代表授权函，对评审专家在政府采购活动中的职责履行情况予以记录，并及时将有关违法违规行为向财政部门报告；</w:t>
      </w:r>
    </w:p>
    <w:p>
      <w:pPr>
        <w:spacing w:line="360" w:lineRule="auto"/>
        <w:ind w:firstLine="480" w:firstLineChars="200"/>
        <w:rPr>
          <w:rFonts w:ascii="宋体" w:hAnsi="宋体" w:cs="宋体"/>
          <w:sz w:val="24"/>
          <w:lang w:val="zh-CN"/>
        </w:rPr>
      </w:pPr>
      <w:r>
        <w:rPr>
          <w:rFonts w:hint="eastAsia" w:ascii="宋体" w:hAnsi="宋体" w:cs="宋体"/>
          <w:sz w:val="24"/>
          <w:lang w:val="zh-CN"/>
        </w:rPr>
        <w:t>2）宣布评标纪律；</w:t>
      </w:r>
    </w:p>
    <w:p>
      <w:pPr>
        <w:spacing w:line="360" w:lineRule="auto"/>
        <w:ind w:firstLine="480" w:firstLineChars="200"/>
        <w:rPr>
          <w:rFonts w:ascii="宋体" w:hAnsi="宋体" w:cs="宋体"/>
          <w:sz w:val="24"/>
          <w:lang w:val="zh-CN"/>
        </w:rPr>
      </w:pPr>
      <w:r>
        <w:rPr>
          <w:rFonts w:hint="eastAsia" w:ascii="宋体" w:hAnsi="宋体" w:cs="宋体"/>
          <w:sz w:val="24"/>
          <w:lang w:val="zh-CN"/>
        </w:rPr>
        <w:t>3）公布供应商名单，告知磋商小组应当回避的情形；</w:t>
      </w:r>
    </w:p>
    <w:p>
      <w:pPr>
        <w:spacing w:line="360" w:lineRule="auto"/>
        <w:ind w:firstLine="480" w:firstLineChars="200"/>
        <w:rPr>
          <w:rFonts w:ascii="宋体" w:hAnsi="宋体" w:cs="宋体"/>
          <w:sz w:val="24"/>
          <w:lang w:val="zh-CN"/>
        </w:rPr>
      </w:pPr>
      <w:r>
        <w:rPr>
          <w:rFonts w:hint="eastAsia" w:ascii="宋体" w:hAnsi="宋体" w:cs="宋体"/>
          <w:sz w:val="24"/>
          <w:lang w:val="zh-CN"/>
        </w:rPr>
        <w:t>4) 组织磋商小组推选磋商组长，采购人代表不得担任组长；</w:t>
      </w:r>
    </w:p>
    <w:p>
      <w:pPr>
        <w:spacing w:line="360" w:lineRule="auto"/>
        <w:ind w:firstLine="480" w:firstLineChars="200"/>
        <w:rPr>
          <w:rFonts w:ascii="宋体" w:hAnsi="宋体" w:cs="宋体"/>
          <w:sz w:val="24"/>
          <w:lang w:val="zh-CN"/>
        </w:rPr>
      </w:pPr>
      <w:r>
        <w:rPr>
          <w:rFonts w:hint="eastAsia" w:ascii="宋体" w:hAnsi="宋体" w:cs="宋体"/>
          <w:sz w:val="24"/>
          <w:lang w:val="zh-CN"/>
        </w:rPr>
        <w:t>5）在磋商期间采取必要的通讯管理措施，保证评标活动不受外界干扰；</w:t>
      </w:r>
    </w:p>
    <w:p>
      <w:pPr>
        <w:spacing w:line="360" w:lineRule="auto"/>
        <w:ind w:firstLine="480" w:firstLineChars="200"/>
        <w:rPr>
          <w:rFonts w:ascii="宋体" w:hAnsi="宋体" w:cs="宋体"/>
          <w:sz w:val="24"/>
          <w:lang w:val="zh-CN"/>
        </w:rPr>
      </w:pPr>
      <w:r>
        <w:rPr>
          <w:rFonts w:hint="eastAsia" w:ascii="宋体" w:hAnsi="宋体" w:cs="宋体"/>
          <w:sz w:val="24"/>
          <w:lang w:val="zh-CN"/>
        </w:rPr>
        <w:t>6）根据磋商小组的要求介绍政府采购相关政策法规、磋商文件；</w:t>
      </w:r>
    </w:p>
    <w:p>
      <w:pPr>
        <w:spacing w:line="360" w:lineRule="auto"/>
        <w:ind w:firstLine="480" w:firstLineChars="200"/>
        <w:rPr>
          <w:rFonts w:ascii="宋体" w:hAnsi="宋体" w:cs="宋体"/>
          <w:sz w:val="24"/>
          <w:lang w:val="zh-CN"/>
        </w:rPr>
      </w:pPr>
      <w:r>
        <w:rPr>
          <w:rFonts w:hint="eastAsia" w:ascii="宋体" w:hAnsi="宋体" w:cs="宋体"/>
          <w:sz w:val="24"/>
          <w:lang w:val="zh-CN"/>
        </w:rPr>
        <w:t>7）维护评标秩序，监督磋商小组依照磋商文件规定的评标程序、方法和标准进行独立评审，及时制止和纠正采购人代表、评审专家的倾向性言论或者违法违规行为；</w:t>
      </w:r>
    </w:p>
    <w:p>
      <w:pPr>
        <w:spacing w:line="360" w:lineRule="auto"/>
        <w:ind w:firstLine="480" w:firstLineChars="200"/>
        <w:rPr>
          <w:rFonts w:ascii="宋体" w:hAnsi="宋体" w:cs="宋体"/>
          <w:sz w:val="24"/>
          <w:lang w:val="zh-CN"/>
        </w:rPr>
      </w:pPr>
      <w:r>
        <w:rPr>
          <w:rFonts w:hint="eastAsia" w:ascii="宋体" w:hAnsi="宋体" w:cs="宋体"/>
          <w:sz w:val="24"/>
          <w:lang w:val="zh-CN"/>
        </w:rPr>
        <w:t>8）核对磋商结果，有本章节5.6规定情形的，要求磋商小组复核或者书面说明理由，磋商小组拒绝的，应予记录并向本级财政部门报告；</w:t>
      </w:r>
    </w:p>
    <w:p>
      <w:pPr>
        <w:spacing w:line="360" w:lineRule="auto"/>
        <w:ind w:firstLine="480" w:firstLineChars="200"/>
        <w:rPr>
          <w:rFonts w:ascii="宋体" w:hAnsi="宋体" w:cs="宋体"/>
          <w:sz w:val="24"/>
          <w:lang w:val="zh-CN"/>
        </w:rPr>
      </w:pPr>
      <w:r>
        <w:rPr>
          <w:rFonts w:hint="eastAsia" w:ascii="宋体" w:hAnsi="宋体" w:cs="宋体"/>
          <w:sz w:val="24"/>
          <w:lang w:val="zh-CN"/>
        </w:rPr>
        <w:t>9）评审工作完成后，按照规定向评审专家支付劳务报酬和异地评审差旅费，不得向评审专家以外的其他人员支付评审劳务报酬；</w:t>
      </w:r>
    </w:p>
    <w:p>
      <w:pPr>
        <w:spacing w:line="360" w:lineRule="auto"/>
        <w:ind w:firstLine="480" w:firstLineChars="200"/>
        <w:rPr>
          <w:rFonts w:ascii="宋体" w:hAnsi="宋体" w:cs="宋体"/>
          <w:sz w:val="24"/>
          <w:lang w:val="zh-CN"/>
        </w:rPr>
      </w:pPr>
      <w:r>
        <w:rPr>
          <w:rFonts w:hint="eastAsia" w:ascii="宋体" w:hAnsi="宋体" w:cs="宋体"/>
          <w:sz w:val="24"/>
          <w:lang w:val="zh-CN"/>
        </w:rPr>
        <w:t>10）处理与评标有关的其他事项。</w:t>
      </w:r>
    </w:p>
    <w:p>
      <w:pPr>
        <w:spacing w:line="360" w:lineRule="auto"/>
        <w:ind w:firstLine="480" w:firstLineChars="200"/>
        <w:rPr>
          <w:rFonts w:ascii="宋体" w:hAnsi="宋体" w:cs="宋体"/>
          <w:sz w:val="24"/>
          <w:lang w:val="zh-CN"/>
        </w:rPr>
      </w:pPr>
      <w:r>
        <w:rPr>
          <w:rFonts w:hint="eastAsia" w:ascii="宋体" w:hAnsi="宋体" w:cs="宋体"/>
          <w:sz w:val="24"/>
          <w:lang w:val="zh-CN"/>
        </w:rPr>
        <w:t>采购人可以在评标前说明项目背景和采购需求，说明内容不得含有歧视性、倾向性意见，不得超出招标文件所属范围。说明应提交书面材料，并随采购文件一并存档。</w:t>
      </w:r>
    </w:p>
    <w:p>
      <w:pPr>
        <w:spacing w:line="360" w:lineRule="auto"/>
        <w:rPr>
          <w:rFonts w:ascii="宋体" w:hAnsi="宋体"/>
          <w:b/>
          <w:sz w:val="28"/>
          <w:szCs w:val="28"/>
        </w:rPr>
      </w:pPr>
      <w:bookmarkStart w:id="101" w:name="_Toc327439482"/>
      <w:bookmarkStart w:id="102" w:name="_Toc400536588"/>
      <w:r>
        <w:rPr>
          <w:rFonts w:ascii="宋体" w:hAnsi="宋体"/>
          <w:b/>
          <w:sz w:val="28"/>
          <w:szCs w:val="28"/>
        </w:rPr>
        <w:t>5.5</w:t>
      </w:r>
      <w:r>
        <w:rPr>
          <w:rFonts w:hint="eastAsia" w:ascii="宋体" w:hAnsi="宋体"/>
          <w:b/>
          <w:sz w:val="28"/>
          <w:szCs w:val="28"/>
        </w:rPr>
        <w:t>磋商小组的职责及成交供应商的确定</w:t>
      </w:r>
      <w:bookmarkEnd w:id="101"/>
      <w:bookmarkEnd w:id="102"/>
    </w:p>
    <w:p>
      <w:pPr>
        <w:spacing w:line="360" w:lineRule="auto"/>
        <w:ind w:firstLine="236" w:firstLineChars="98"/>
        <w:rPr>
          <w:rFonts w:ascii="宋体" w:hAnsi="宋体"/>
          <w:b/>
          <w:sz w:val="24"/>
        </w:rPr>
      </w:pPr>
      <w:bookmarkStart w:id="103" w:name="_Toc400536589"/>
      <w:bookmarkStart w:id="104" w:name="_Toc327439483"/>
      <w:r>
        <w:rPr>
          <w:rFonts w:ascii="宋体" w:hAnsi="宋体"/>
          <w:b/>
          <w:sz w:val="24"/>
        </w:rPr>
        <w:t xml:space="preserve">5.5.1 </w:t>
      </w:r>
      <w:r>
        <w:rPr>
          <w:rFonts w:hint="eastAsia" w:ascii="宋体" w:hAnsi="宋体"/>
          <w:b/>
          <w:sz w:val="24"/>
        </w:rPr>
        <w:t xml:space="preserve"> 磋商小组的职责</w:t>
      </w:r>
      <w:bookmarkEnd w:id="103"/>
      <w:bookmarkEnd w:id="104"/>
    </w:p>
    <w:p>
      <w:pPr>
        <w:spacing w:line="360" w:lineRule="auto"/>
        <w:ind w:firstLine="468"/>
        <w:rPr>
          <w:rFonts w:ascii="宋体" w:hAnsi="宋体"/>
          <w:sz w:val="24"/>
        </w:rPr>
      </w:pPr>
      <w:bookmarkStart w:id="105" w:name="_Toc327439484"/>
      <w:bookmarkStart w:id="106" w:name="_Toc400536590"/>
      <w:r>
        <w:rPr>
          <w:rFonts w:hint="eastAsia" w:ascii="宋体" w:hAnsi="宋体"/>
          <w:sz w:val="24"/>
        </w:rPr>
        <w:t>1）审查、评价磋商响应性文件是否符合磋商文件的商务、技术等实质性要求；</w:t>
      </w:r>
    </w:p>
    <w:p>
      <w:pPr>
        <w:spacing w:line="360" w:lineRule="auto"/>
        <w:ind w:firstLine="468"/>
        <w:rPr>
          <w:rFonts w:ascii="宋体" w:hAnsi="宋体"/>
          <w:sz w:val="24"/>
        </w:rPr>
      </w:pPr>
      <w:r>
        <w:rPr>
          <w:rFonts w:hint="eastAsia" w:ascii="宋体" w:hAnsi="宋体"/>
          <w:sz w:val="24"/>
        </w:rPr>
        <w:t>2）要求供应商对磋商响应性文件有关事项作出澄清或者说明；</w:t>
      </w:r>
    </w:p>
    <w:p>
      <w:pPr>
        <w:spacing w:line="360" w:lineRule="auto"/>
        <w:ind w:firstLine="468"/>
        <w:rPr>
          <w:rFonts w:ascii="宋体" w:hAnsi="宋体"/>
          <w:sz w:val="24"/>
        </w:rPr>
      </w:pPr>
      <w:r>
        <w:rPr>
          <w:rFonts w:hint="eastAsia" w:ascii="宋体" w:hAnsi="宋体"/>
          <w:sz w:val="24"/>
        </w:rPr>
        <w:t>3）对磋商响应性文件进行比较和评价；</w:t>
      </w:r>
    </w:p>
    <w:p>
      <w:pPr>
        <w:spacing w:line="360" w:lineRule="auto"/>
        <w:ind w:firstLine="468"/>
        <w:rPr>
          <w:rFonts w:ascii="宋体" w:hAnsi="宋体"/>
          <w:sz w:val="24"/>
        </w:rPr>
      </w:pPr>
      <w:r>
        <w:rPr>
          <w:rFonts w:hint="eastAsia" w:ascii="宋体" w:hAnsi="宋体"/>
          <w:sz w:val="24"/>
        </w:rPr>
        <w:t>4）确定成交候选人名单，以及根据采购人委托直接确定成交人；</w:t>
      </w:r>
    </w:p>
    <w:p>
      <w:pPr>
        <w:spacing w:line="360" w:lineRule="auto"/>
        <w:ind w:firstLine="468"/>
        <w:rPr>
          <w:rFonts w:ascii="宋体" w:hAnsi="宋体"/>
          <w:sz w:val="24"/>
        </w:rPr>
      </w:pPr>
      <w:r>
        <w:rPr>
          <w:rFonts w:hint="eastAsia" w:ascii="宋体" w:hAnsi="宋体"/>
          <w:sz w:val="24"/>
        </w:rPr>
        <w:t>5）向采购人、采购代理机构或者有关部门报告评标中发现的违法行为。</w:t>
      </w:r>
    </w:p>
    <w:p>
      <w:pPr>
        <w:spacing w:line="360" w:lineRule="auto"/>
        <w:ind w:firstLine="236" w:firstLineChars="98"/>
        <w:rPr>
          <w:rFonts w:ascii="宋体" w:hAnsi="宋体"/>
          <w:b/>
          <w:sz w:val="24"/>
        </w:rPr>
      </w:pPr>
      <w:r>
        <w:rPr>
          <w:rFonts w:hint="eastAsia" w:ascii="宋体" w:hAnsi="宋体"/>
          <w:b/>
          <w:sz w:val="24"/>
        </w:rPr>
        <w:t>5.5.2评审报告</w:t>
      </w:r>
    </w:p>
    <w:bookmarkEnd w:id="105"/>
    <w:bookmarkEnd w:id="106"/>
    <w:p>
      <w:pPr>
        <w:spacing w:line="360" w:lineRule="auto"/>
        <w:ind w:firstLine="480" w:firstLineChars="200"/>
        <w:rPr>
          <w:rFonts w:ascii="宋体" w:hAnsi="宋体"/>
          <w:sz w:val="24"/>
        </w:rPr>
      </w:pPr>
      <w:r>
        <w:rPr>
          <w:rFonts w:hint="eastAsia" w:ascii="宋体" w:hAnsi="宋体"/>
          <w:sz w:val="24"/>
        </w:rPr>
        <w:t>磋商小组完成磋商后，提出书面评审报告。评审报告是磋商小组根据全体磋商小组成员签字的原始磋商记录和磋商结果编写的报告，主要内容包括：</w:t>
      </w:r>
    </w:p>
    <w:p>
      <w:pPr>
        <w:spacing w:line="360" w:lineRule="auto"/>
        <w:ind w:firstLine="480" w:firstLineChars="200"/>
        <w:rPr>
          <w:rFonts w:ascii="宋体" w:hAnsi="宋体"/>
          <w:sz w:val="24"/>
        </w:rPr>
      </w:pPr>
      <w:r>
        <w:rPr>
          <w:rFonts w:hint="eastAsia" w:ascii="宋体" w:hAnsi="宋体"/>
          <w:sz w:val="24"/>
        </w:rPr>
        <w:t>1）磋商公告刊登的媒体名称、磋商日期和地点；</w:t>
      </w:r>
    </w:p>
    <w:p>
      <w:pPr>
        <w:spacing w:line="360" w:lineRule="auto"/>
        <w:ind w:firstLine="480" w:firstLineChars="200"/>
        <w:rPr>
          <w:rFonts w:ascii="宋体" w:hAnsi="宋体"/>
          <w:sz w:val="24"/>
        </w:rPr>
      </w:pPr>
      <w:r>
        <w:rPr>
          <w:rFonts w:hint="eastAsia" w:ascii="宋体" w:hAnsi="宋体"/>
          <w:sz w:val="24"/>
        </w:rPr>
        <w:t>2）获取磋商文件的磋商供应商名单和磋商小组成员名单；</w:t>
      </w:r>
    </w:p>
    <w:p>
      <w:pPr>
        <w:spacing w:line="360" w:lineRule="auto"/>
        <w:ind w:firstLine="480" w:firstLineChars="200"/>
        <w:rPr>
          <w:rFonts w:ascii="宋体" w:hAnsi="宋体"/>
          <w:sz w:val="24"/>
        </w:rPr>
      </w:pPr>
      <w:r>
        <w:rPr>
          <w:rFonts w:hint="eastAsia" w:ascii="宋体" w:hAnsi="宋体"/>
          <w:sz w:val="24"/>
        </w:rPr>
        <w:t>3）磋商方法和标准；</w:t>
      </w:r>
    </w:p>
    <w:p>
      <w:pPr>
        <w:spacing w:line="360" w:lineRule="auto"/>
        <w:ind w:firstLine="480" w:firstLineChars="200"/>
        <w:rPr>
          <w:rFonts w:ascii="宋体" w:hAnsi="宋体"/>
          <w:sz w:val="24"/>
        </w:rPr>
      </w:pPr>
      <w:r>
        <w:rPr>
          <w:rFonts w:hint="eastAsia" w:ascii="宋体" w:hAnsi="宋体"/>
          <w:sz w:val="24"/>
        </w:rPr>
        <w:t>4）磋商记录和磋商情况及说明，包括磋商响应性文件未实质性响应的磋商供应商名单及原因；</w:t>
      </w:r>
    </w:p>
    <w:p>
      <w:pPr>
        <w:spacing w:line="360" w:lineRule="auto"/>
        <w:ind w:firstLine="480" w:firstLineChars="200"/>
        <w:rPr>
          <w:rFonts w:ascii="宋体" w:hAnsi="宋体"/>
          <w:sz w:val="24"/>
        </w:rPr>
      </w:pPr>
      <w:r>
        <w:rPr>
          <w:rFonts w:hint="eastAsia" w:ascii="宋体" w:hAnsi="宋体"/>
          <w:sz w:val="24"/>
        </w:rPr>
        <w:t>5）磋商结果和磋商成交供应商名单；</w:t>
      </w:r>
    </w:p>
    <w:p>
      <w:pPr>
        <w:spacing w:line="360" w:lineRule="auto"/>
        <w:ind w:firstLine="480" w:firstLineChars="200"/>
        <w:rPr>
          <w:rFonts w:ascii="宋体" w:hAnsi="宋体"/>
          <w:sz w:val="24"/>
        </w:rPr>
      </w:pPr>
      <w:r>
        <w:rPr>
          <w:rFonts w:hint="eastAsia" w:ascii="宋体" w:hAnsi="宋体"/>
          <w:sz w:val="24"/>
        </w:rPr>
        <w:t>6）其他需要说明的情况，包括磋商过程中磋商供应商根据磋商小组要求进行的澄清、说明或者补正，磋商小组组员的更换等。</w:t>
      </w:r>
    </w:p>
    <w:p>
      <w:pPr>
        <w:spacing w:line="360" w:lineRule="auto"/>
        <w:ind w:firstLine="480" w:firstLineChars="200"/>
        <w:rPr>
          <w:rFonts w:ascii="宋体" w:hAnsi="宋体"/>
          <w:sz w:val="24"/>
        </w:rPr>
      </w:pPr>
      <w:r>
        <w:rPr>
          <w:rFonts w:hint="eastAsia" w:ascii="宋体" w:hAnsi="宋体"/>
          <w:sz w:val="24"/>
        </w:rPr>
        <w:t>评审报告由磋商小组全体成员签字，对磋商结论持有异议的磋商小组成员可以书面方式阐述其不同意见和理由。磋商小组成员拒绝在磋商报告上签字且不陈述其不同意见和理由的，视为同意磋商结论。磋商小组应当对此做出书面说明并记录在案。</w:t>
      </w:r>
    </w:p>
    <w:p>
      <w:pPr>
        <w:spacing w:line="360" w:lineRule="auto"/>
        <w:rPr>
          <w:rFonts w:ascii="宋体" w:hAnsi="宋体"/>
          <w:b/>
          <w:sz w:val="28"/>
          <w:szCs w:val="28"/>
        </w:rPr>
      </w:pPr>
      <w:r>
        <w:rPr>
          <w:rFonts w:ascii="宋体" w:hAnsi="宋体"/>
          <w:b/>
          <w:sz w:val="28"/>
          <w:szCs w:val="28"/>
        </w:rPr>
        <w:t xml:space="preserve">5.6 </w:t>
      </w:r>
      <w:r>
        <w:rPr>
          <w:rFonts w:hint="eastAsia" w:ascii="宋体" w:hAnsi="宋体"/>
          <w:b/>
          <w:sz w:val="28"/>
          <w:szCs w:val="28"/>
        </w:rPr>
        <w:t xml:space="preserve"> 磋商结果汇总完成后，除下列情形外，任何人不得修改磋商结果：</w:t>
      </w:r>
    </w:p>
    <w:p>
      <w:pPr>
        <w:spacing w:line="360" w:lineRule="auto"/>
        <w:ind w:firstLine="468"/>
        <w:rPr>
          <w:rFonts w:ascii="宋体" w:hAnsi="宋体"/>
          <w:sz w:val="24"/>
        </w:rPr>
      </w:pPr>
      <w:r>
        <w:rPr>
          <w:rFonts w:hint="eastAsia" w:ascii="宋体" w:hAnsi="宋体"/>
          <w:sz w:val="24"/>
        </w:rPr>
        <w:t>1）分值汇总计算错误的；</w:t>
      </w:r>
    </w:p>
    <w:p>
      <w:pPr>
        <w:spacing w:line="360" w:lineRule="auto"/>
        <w:ind w:firstLine="468"/>
        <w:rPr>
          <w:rFonts w:ascii="宋体" w:hAnsi="宋体"/>
          <w:sz w:val="24"/>
        </w:rPr>
      </w:pPr>
      <w:r>
        <w:rPr>
          <w:rFonts w:hint="eastAsia" w:ascii="宋体" w:hAnsi="宋体"/>
          <w:sz w:val="24"/>
        </w:rPr>
        <w:t>2）分项评分超出评分标准范围的；</w:t>
      </w:r>
    </w:p>
    <w:p>
      <w:pPr>
        <w:spacing w:line="360" w:lineRule="auto"/>
        <w:ind w:firstLine="468"/>
        <w:rPr>
          <w:rFonts w:ascii="宋体" w:hAnsi="宋体"/>
          <w:sz w:val="24"/>
        </w:rPr>
      </w:pPr>
      <w:r>
        <w:rPr>
          <w:rFonts w:hint="eastAsia" w:ascii="宋体" w:hAnsi="宋体"/>
          <w:sz w:val="24"/>
        </w:rPr>
        <w:t>3）评标委员会成员对客观评审因素评分不一致的；</w:t>
      </w:r>
    </w:p>
    <w:p>
      <w:pPr>
        <w:spacing w:line="360" w:lineRule="auto"/>
        <w:ind w:firstLine="468"/>
        <w:rPr>
          <w:rFonts w:ascii="宋体" w:hAnsi="宋体"/>
          <w:sz w:val="24"/>
        </w:rPr>
      </w:pPr>
      <w:r>
        <w:rPr>
          <w:rFonts w:hint="eastAsia" w:ascii="宋体" w:hAnsi="宋体"/>
          <w:sz w:val="24"/>
        </w:rPr>
        <w:t>4）经评标委员会认定评分畸高、畸低的。</w:t>
      </w:r>
    </w:p>
    <w:p>
      <w:pPr>
        <w:spacing w:line="360" w:lineRule="auto"/>
        <w:ind w:firstLine="468"/>
        <w:rPr>
          <w:rFonts w:ascii="宋体" w:hAnsi="宋体"/>
          <w:sz w:val="24"/>
        </w:rPr>
      </w:pPr>
      <w:r>
        <w:rPr>
          <w:rFonts w:hint="eastAsia" w:ascii="宋体" w:hAnsi="宋体"/>
          <w:sz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pacing w:line="360" w:lineRule="auto"/>
        <w:ind w:firstLine="468"/>
        <w:rPr>
          <w:rFonts w:ascii="宋体" w:hAnsi="宋体"/>
          <w:sz w:val="24"/>
        </w:rPr>
      </w:pPr>
      <w:r>
        <w:rPr>
          <w:rFonts w:hint="eastAsia" w:ascii="宋体" w:hAnsi="宋体"/>
          <w:sz w:val="24"/>
        </w:rPr>
        <w:t>投标人对本条  1） 情形提出质疑的，采购人或者采购代理机构可以组织原评标委员会进行重新评审，重新评审改变评标结果的，应当书面报告本级财政部门。</w:t>
      </w:r>
    </w:p>
    <w:p>
      <w:pPr>
        <w:spacing w:line="360" w:lineRule="auto"/>
        <w:rPr>
          <w:rFonts w:ascii="宋体" w:hAnsi="宋体"/>
          <w:b/>
          <w:sz w:val="28"/>
          <w:szCs w:val="28"/>
        </w:rPr>
      </w:pPr>
      <w:r>
        <w:rPr>
          <w:rFonts w:ascii="宋体" w:hAnsi="宋体"/>
          <w:b/>
          <w:sz w:val="28"/>
          <w:szCs w:val="28"/>
        </w:rPr>
        <w:t>5.7</w:t>
      </w:r>
      <w:r>
        <w:rPr>
          <w:rFonts w:hint="eastAsia" w:ascii="宋体" w:hAnsi="宋体"/>
          <w:b/>
          <w:sz w:val="28"/>
          <w:szCs w:val="28"/>
        </w:rPr>
        <w:t>磋商小组及其成员不得有下列行为</w:t>
      </w:r>
    </w:p>
    <w:p>
      <w:pPr>
        <w:spacing w:line="360" w:lineRule="auto"/>
        <w:ind w:firstLine="480" w:firstLineChars="200"/>
        <w:rPr>
          <w:rFonts w:ascii="宋体" w:hAnsi="宋体"/>
          <w:sz w:val="24"/>
        </w:rPr>
      </w:pPr>
      <w:r>
        <w:rPr>
          <w:rFonts w:hint="eastAsia" w:ascii="宋体" w:hAnsi="宋体"/>
          <w:sz w:val="24"/>
        </w:rPr>
        <w:t>1）确定参与评标至评标结束前私自接触供应商；</w:t>
      </w:r>
    </w:p>
    <w:p>
      <w:pPr>
        <w:spacing w:line="360" w:lineRule="auto"/>
        <w:ind w:firstLine="480" w:firstLineChars="200"/>
        <w:rPr>
          <w:rFonts w:ascii="宋体" w:hAnsi="宋体"/>
          <w:sz w:val="24"/>
        </w:rPr>
      </w:pPr>
      <w:r>
        <w:rPr>
          <w:rFonts w:hint="eastAsia" w:ascii="宋体" w:hAnsi="宋体"/>
          <w:sz w:val="24"/>
        </w:rPr>
        <w:t>2）接受供应商提出的与磋商响应性文件不一致的澄清或者说明，《中华人民共和国财政部令》第87号第五十一条规定的情形除外；</w:t>
      </w:r>
    </w:p>
    <w:p>
      <w:pPr>
        <w:spacing w:line="360" w:lineRule="auto"/>
        <w:ind w:firstLine="480" w:firstLineChars="200"/>
        <w:rPr>
          <w:rFonts w:ascii="宋体" w:hAnsi="宋体"/>
          <w:sz w:val="24"/>
        </w:rPr>
      </w:pPr>
      <w:r>
        <w:rPr>
          <w:rFonts w:hint="eastAsia" w:ascii="宋体" w:hAnsi="宋体"/>
          <w:sz w:val="24"/>
        </w:rPr>
        <w:t>3）违反评标纪律发表倾向性意见或者征询采购人的倾向性意见；</w:t>
      </w:r>
    </w:p>
    <w:p>
      <w:pPr>
        <w:spacing w:line="360" w:lineRule="auto"/>
        <w:ind w:firstLine="480" w:firstLineChars="200"/>
        <w:rPr>
          <w:rFonts w:ascii="宋体" w:hAnsi="宋体"/>
          <w:sz w:val="24"/>
        </w:rPr>
      </w:pPr>
      <w:r>
        <w:rPr>
          <w:rFonts w:hint="eastAsia" w:ascii="宋体" w:hAnsi="宋体"/>
          <w:sz w:val="24"/>
        </w:rPr>
        <w:t>4）对需要专业判断的主观评审因素协商评分；</w:t>
      </w:r>
    </w:p>
    <w:p>
      <w:pPr>
        <w:spacing w:line="360" w:lineRule="auto"/>
        <w:ind w:firstLine="480" w:firstLineChars="200"/>
        <w:rPr>
          <w:rFonts w:ascii="宋体" w:hAnsi="宋体"/>
          <w:sz w:val="24"/>
        </w:rPr>
      </w:pPr>
      <w:r>
        <w:rPr>
          <w:rFonts w:hint="eastAsia" w:ascii="宋体" w:hAnsi="宋体"/>
          <w:sz w:val="24"/>
        </w:rPr>
        <w:t>5) 在评标过程中擅离职守，影响评标程序正常进行的；</w:t>
      </w:r>
    </w:p>
    <w:p>
      <w:pPr>
        <w:spacing w:line="360" w:lineRule="auto"/>
        <w:ind w:firstLine="480" w:firstLineChars="200"/>
        <w:rPr>
          <w:rFonts w:ascii="宋体" w:hAnsi="宋体"/>
          <w:sz w:val="24"/>
        </w:rPr>
      </w:pPr>
      <w:r>
        <w:rPr>
          <w:rFonts w:hint="eastAsia" w:ascii="宋体" w:hAnsi="宋体"/>
          <w:sz w:val="24"/>
        </w:rPr>
        <w:t>6）记录、复制或者带走任何评标资料；</w:t>
      </w:r>
    </w:p>
    <w:p>
      <w:pPr>
        <w:spacing w:line="360" w:lineRule="auto"/>
        <w:ind w:firstLine="480" w:firstLineChars="200"/>
        <w:rPr>
          <w:rFonts w:ascii="宋体" w:hAnsi="宋体"/>
          <w:sz w:val="24"/>
        </w:rPr>
      </w:pPr>
      <w:r>
        <w:rPr>
          <w:rFonts w:hint="eastAsia" w:ascii="宋体" w:hAnsi="宋体"/>
          <w:sz w:val="24"/>
        </w:rPr>
        <w:t>7）其他不遵守评标纪律的行为。</w:t>
      </w:r>
    </w:p>
    <w:p>
      <w:pPr>
        <w:spacing w:line="360" w:lineRule="auto"/>
        <w:rPr>
          <w:rFonts w:ascii="宋体" w:hAnsi="宋体"/>
          <w:b/>
          <w:sz w:val="28"/>
          <w:szCs w:val="28"/>
        </w:rPr>
      </w:pPr>
      <w:bookmarkStart w:id="107" w:name="_Toc392753928"/>
      <w:r>
        <w:rPr>
          <w:rFonts w:ascii="宋体" w:hAnsi="宋体"/>
          <w:b/>
          <w:sz w:val="28"/>
          <w:szCs w:val="28"/>
        </w:rPr>
        <w:t>5.8</w:t>
      </w:r>
      <w:r>
        <w:rPr>
          <w:rFonts w:hint="eastAsia" w:ascii="宋体" w:hAnsi="宋体"/>
          <w:b/>
          <w:sz w:val="28"/>
          <w:szCs w:val="28"/>
        </w:rPr>
        <w:t>供应商的严重违法行为</w:t>
      </w:r>
      <w:bookmarkEnd w:id="107"/>
    </w:p>
    <w:p>
      <w:pPr>
        <w:spacing w:line="360" w:lineRule="auto"/>
        <w:ind w:firstLine="480" w:firstLineChars="200"/>
        <w:rPr>
          <w:rFonts w:ascii="宋体" w:hAnsi="宋体"/>
          <w:sz w:val="24"/>
        </w:rPr>
      </w:pPr>
      <w:r>
        <w:rPr>
          <w:rFonts w:ascii="宋体" w:hAnsi="宋体"/>
          <w:sz w:val="24"/>
        </w:rPr>
        <w:t xml:space="preserve"> 1</w:t>
      </w:r>
      <w:r>
        <w:rPr>
          <w:rFonts w:hint="eastAsia" w:ascii="宋体" w:hAnsi="宋体"/>
          <w:sz w:val="24"/>
        </w:rPr>
        <w:t>）提供回扣或其他商业贿赂，进行非法促销活动；</w:t>
      </w:r>
    </w:p>
    <w:p>
      <w:pPr>
        <w:spacing w:line="360" w:lineRule="auto"/>
        <w:ind w:firstLine="480" w:firstLineChars="200"/>
        <w:rPr>
          <w:rFonts w:ascii="宋体" w:hAnsi="宋体"/>
          <w:sz w:val="24"/>
        </w:rPr>
      </w:pPr>
      <w:r>
        <w:rPr>
          <w:rFonts w:ascii="宋体" w:hAnsi="宋体"/>
          <w:sz w:val="24"/>
        </w:rPr>
        <w:t xml:space="preserve"> 2</w:t>
      </w:r>
      <w:r>
        <w:rPr>
          <w:rFonts w:hint="eastAsia" w:ascii="宋体" w:hAnsi="宋体"/>
          <w:sz w:val="24"/>
        </w:rPr>
        <w:t>）以低于成本的价格投标报价，扰乱市场秩序；</w:t>
      </w:r>
    </w:p>
    <w:p>
      <w:pPr>
        <w:spacing w:line="360" w:lineRule="auto"/>
        <w:ind w:firstLine="480" w:firstLineChars="200"/>
        <w:rPr>
          <w:rFonts w:ascii="宋体" w:hAnsi="宋体"/>
          <w:sz w:val="24"/>
        </w:rPr>
      </w:pPr>
      <w:r>
        <w:rPr>
          <w:rFonts w:ascii="宋体" w:hAnsi="宋体"/>
          <w:sz w:val="24"/>
        </w:rPr>
        <w:t xml:space="preserve"> 3</w:t>
      </w:r>
      <w:r>
        <w:rPr>
          <w:rFonts w:hint="eastAsia" w:ascii="宋体" w:hAnsi="宋体"/>
          <w:sz w:val="24"/>
        </w:rPr>
        <w:t>）相互串通投标，排斥其他供应商的公平竞争，损害采购人或者其他供应商的合法利益；</w:t>
      </w:r>
    </w:p>
    <w:p>
      <w:pPr>
        <w:spacing w:line="360" w:lineRule="auto"/>
        <w:ind w:firstLine="480" w:firstLineChars="200"/>
        <w:rPr>
          <w:rFonts w:ascii="宋体" w:hAnsi="宋体"/>
          <w:sz w:val="24"/>
        </w:rPr>
      </w:pPr>
      <w:r>
        <w:rPr>
          <w:rFonts w:ascii="宋体" w:hAnsi="宋体"/>
          <w:sz w:val="24"/>
        </w:rPr>
        <w:t xml:space="preserve"> 4</w:t>
      </w:r>
      <w:r>
        <w:rPr>
          <w:rFonts w:hint="eastAsia" w:ascii="宋体" w:hAnsi="宋体"/>
          <w:sz w:val="24"/>
        </w:rPr>
        <w:t>）以向采购人、招标代理机构或者评标专家行贿的手段牟取中标；</w:t>
      </w:r>
    </w:p>
    <w:p>
      <w:pPr>
        <w:spacing w:line="360" w:lineRule="auto"/>
        <w:ind w:firstLine="480" w:firstLineChars="200"/>
        <w:rPr>
          <w:rFonts w:ascii="宋体" w:hAnsi="宋体"/>
          <w:sz w:val="24"/>
        </w:rPr>
      </w:pPr>
      <w:r>
        <w:rPr>
          <w:rFonts w:ascii="宋体" w:hAnsi="宋体"/>
          <w:sz w:val="24"/>
        </w:rPr>
        <w:t xml:space="preserve"> 5</w:t>
      </w:r>
      <w:r>
        <w:rPr>
          <w:rFonts w:hint="eastAsia" w:ascii="宋体" w:hAnsi="宋体"/>
          <w:sz w:val="24"/>
        </w:rPr>
        <w:t>）提供虚假证明文件，或者以其他方式弄虚作假，骗取中标；</w:t>
      </w:r>
    </w:p>
    <w:p>
      <w:pPr>
        <w:spacing w:line="360" w:lineRule="auto"/>
        <w:ind w:firstLine="480" w:firstLineChars="200"/>
        <w:rPr>
          <w:rFonts w:ascii="宋体" w:hAnsi="宋体"/>
          <w:sz w:val="24"/>
        </w:rPr>
      </w:pPr>
      <w:r>
        <w:rPr>
          <w:rFonts w:ascii="宋体" w:hAnsi="宋体"/>
          <w:sz w:val="24"/>
        </w:rPr>
        <w:t xml:space="preserve"> 6</w:t>
      </w:r>
      <w:r>
        <w:rPr>
          <w:rFonts w:hint="eastAsia" w:ascii="宋体" w:hAnsi="宋体"/>
          <w:sz w:val="24"/>
        </w:rPr>
        <w:t>）在投标有效期内撤回其投标，中标人在规定期限内不签订合同或者不履行合同义务、不按时缴纳中标服务费；</w:t>
      </w:r>
    </w:p>
    <w:p>
      <w:pPr>
        <w:spacing w:line="360" w:lineRule="auto"/>
        <w:ind w:firstLine="480" w:firstLineChars="200"/>
        <w:rPr>
          <w:rFonts w:ascii="宋体" w:hAnsi="宋体"/>
          <w:sz w:val="24"/>
        </w:rPr>
      </w:pPr>
      <w:r>
        <w:rPr>
          <w:rFonts w:ascii="宋体" w:hAnsi="宋体"/>
          <w:sz w:val="24"/>
        </w:rPr>
        <w:t xml:space="preserve"> 7</w:t>
      </w:r>
      <w:r>
        <w:rPr>
          <w:rFonts w:hint="eastAsia" w:ascii="宋体" w:hAnsi="宋体"/>
          <w:sz w:val="24"/>
        </w:rPr>
        <w:t>）对招标采购造成严重不良影响的恶意报价行为或者其他行为；</w:t>
      </w:r>
    </w:p>
    <w:p>
      <w:pPr>
        <w:spacing w:line="360" w:lineRule="auto"/>
        <w:ind w:firstLine="480" w:firstLineChars="200"/>
        <w:rPr>
          <w:rFonts w:ascii="宋体" w:hAnsi="宋体"/>
          <w:sz w:val="24"/>
        </w:rPr>
      </w:pPr>
      <w:r>
        <w:rPr>
          <w:rFonts w:ascii="宋体" w:hAnsi="宋体"/>
          <w:sz w:val="24"/>
        </w:rPr>
        <w:t xml:space="preserve"> 8</w:t>
      </w:r>
      <w:r>
        <w:rPr>
          <w:rFonts w:hint="eastAsia" w:ascii="宋体" w:hAnsi="宋体"/>
          <w:sz w:val="24"/>
        </w:rPr>
        <w:t>）其他违反法律法规的行为。</w:t>
      </w:r>
    </w:p>
    <w:p>
      <w:pPr>
        <w:spacing w:line="360" w:lineRule="auto"/>
        <w:ind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8</w:t>
      </w:r>
      <w:r>
        <w:rPr>
          <w:rFonts w:ascii="宋体" w:hAnsi="宋体"/>
          <w:sz w:val="24"/>
        </w:rPr>
        <w:t>.1</w:t>
      </w:r>
      <w:r>
        <w:rPr>
          <w:rFonts w:hint="eastAsia" w:ascii="宋体" w:hAnsi="宋体"/>
          <w:sz w:val="24"/>
        </w:rPr>
        <w:t>采购人确认中标人在本招标活动中有严重违法行为，有权宣布其中标无效。</w:t>
      </w:r>
    </w:p>
    <w:p>
      <w:pPr>
        <w:spacing w:line="360" w:lineRule="auto"/>
        <w:ind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8</w:t>
      </w:r>
      <w:r>
        <w:rPr>
          <w:rFonts w:ascii="宋体" w:hAnsi="宋体"/>
          <w:sz w:val="24"/>
        </w:rPr>
        <w:t>.2</w:t>
      </w:r>
      <w:r>
        <w:rPr>
          <w:rFonts w:hint="eastAsia" w:ascii="宋体" w:hAnsi="宋体"/>
          <w:sz w:val="24"/>
        </w:rPr>
        <w:t>采购人在中标后和履行合同的任何时候确认供应商在投标和履约过程中有严重违法行为，有权宣布其成交无效并提请有关监督管理部门查处，并对情节严重者在两年内拒绝接受其投标。</w:t>
      </w:r>
    </w:p>
    <w:p>
      <w:pPr>
        <w:spacing w:line="360" w:lineRule="auto"/>
        <w:rPr>
          <w:rFonts w:ascii="宋体" w:hAnsi="宋体"/>
          <w:b/>
          <w:sz w:val="28"/>
          <w:szCs w:val="28"/>
        </w:rPr>
      </w:pPr>
      <w:bookmarkStart w:id="108" w:name="_Toc400536591"/>
      <w:bookmarkStart w:id="109" w:name="_Toc327439485"/>
      <w:r>
        <w:rPr>
          <w:rFonts w:hint="eastAsia" w:ascii="宋体" w:hAnsi="宋体"/>
          <w:b/>
          <w:sz w:val="28"/>
          <w:szCs w:val="28"/>
        </w:rPr>
        <w:t>5.9成交未果</w:t>
      </w:r>
      <w:bookmarkEnd w:id="108"/>
      <w:bookmarkEnd w:id="109"/>
    </w:p>
    <w:p>
      <w:pPr>
        <w:pStyle w:val="18"/>
        <w:spacing w:line="360" w:lineRule="auto"/>
        <w:ind w:left="359" w:leftChars="171" w:firstLine="120" w:firstLineChars="50"/>
        <w:rPr>
          <w:bCs/>
        </w:rPr>
      </w:pPr>
      <w:r>
        <w:rPr>
          <w:bCs/>
        </w:rPr>
        <w:t>在</w:t>
      </w:r>
      <w:r>
        <w:rPr>
          <w:rFonts w:hint="eastAsia"/>
          <w:bCs/>
        </w:rPr>
        <w:t>磋商</w:t>
      </w:r>
      <w:r>
        <w:rPr>
          <w:bCs/>
        </w:rPr>
        <w:t>采购中，出现下列情形之一的，应予</w:t>
      </w:r>
      <w:r>
        <w:rPr>
          <w:rFonts w:hint="eastAsia"/>
        </w:rPr>
        <w:t>成交未果</w:t>
      </w:r>
      <w:r>
        <w:rPr>
          <w:bCs/>
        </w:rPr>
        <w:t>：</w:t>
      </w:r>
    </w:p>
    <w:p>
      <w:pPr>
        <w:pStyle w:val="18"/>
        <w:spacing w:line="360" w:lineRule="auto"/>
        <w:ind w:firstLine="568" w:firstLineChars="237"/>
        <w:rPr>
          <w:bCs/>
          <w:u w:val="double"/>
        </w:rPr>
      </w:pPr>
      <w:r>
        <w:rPr>
          <w:rFonts w:hint="eastAsia"/>
          <w:bCs/>
        </w:rPr>
        <w:t>1</w:t>
      </w:r>
      <w:r>
        <w:rPr>
          <w:bCs/>
        </w:rPr>
        <w:t>）符合专业条件的供应商或者对</w:t>
      </w:r>
      <w:r>
        <w:rPr>
          <w:rFonts w:hint="eastAsia"/>
          <w:bCs/>
        </w:rPr>
        <w:t>磋商</w:t>
      </w:r>
      <w:r>
        <w:rPr>
          <w:bCs/>
        </w:rPr>
        <w:t>文件作实质响应的供应商不足三家的</w:t>
      </w:r>
      <w:r>
        <w:rPr>
          <w:rFonts w:hint="eastAsia"/>
          <w:bCs/>
        </w:rPr>
        <w:t>（经同级政府采购监管部门审核批准的除外）</w:t>
      </w:r>
      <w:r>
        <w:rPr>
          <w:bCs/>
        </w:rPr>
        <w:t>；</w:t>
      </w:r>
    </w:p>
    <w:p>
      <w:pPr>
        <w:pStyle w:val="18"/>
        <w:spacing w:line="360" w:lineRule="auto"/>
        <w:ind w:firstLineChars="200"/>
        <w:rPr>
          <w:bCs/>
        </w:rPr>
      </w:pPr>
      <w:r>
        <w:rPr>
          <w:rFonts w:hint="eastAsia"/>
          <w:bCs/>
        </w:rPr>
        <w:t>2</w:t>
      </w:r>
      <w:r>
        <w:rPr>
          <w:bCs/>
        </w:rPr>
        <w:t>）出现影响采购公正的违法、违规行为的；</w:t>
      </w:r>
    </w:p>
    <w:p>
      <w:pPr>
        <w:pStyle w:val="18"/>
        <w:spacing w:line="360" w:lineRule="auto"/>
        <w:ind w:left="479" w:leftChars="228" w:firstLine="0"/>
        <w:rPr>
          <w:bCs/>
        </w:rPr>
      </w:pPr>
      <w:r>
        <w:rPr>
          <w:rFonts w:hint="eastAsia"/>
          <w:bCs/>
        </w:rPr>
        <w:t>3</w:t>
      </w:r>
      <w:r>
        <w:rPr>
          <w:bCs/>
        </w:rPr>
        <w:t>）</w:t>
      </w:r>
      <w:r>
        <w:rPr>
          <w:rFonts w:hint="eastAsia"/>
          <w:bCs/>
        </w:rPr>
        <w:t>供应商</w:t>
      </w:r>
      <w:r>
        <w:rPr>
          <w:bCs/>
        </w:rPr>
        <w:t>的报价均超过了采购预算，采购人不能支付的；</w:t>
      </w:r>
    </w:p>
    <w:p>
      <w:pPr>
        <w:pStyle w:val="18"/>
        <w:spacing w:line="360" w:lineRule="auto"/>
        <w:ind w:left="479" w:leftChars="228" w:firstLine="0"/>
        <w:rPr>
          <w:bCs/>
        </w:rPr>
      </w:pPr>
      <w:r>
        <w:rPr>
          <w:rFonts w:hint="eastAsia"/>
          <w:bCs/>
        </w:rPr>
        <w:t>4</w:t>
      </w:r>
      <w:r>
        <w:rPr>
          <w:bCs/>
        </w:rPr>
        <w:t>）因重大变故，采购任务取消的。</w:t>
      </w:r>
    </w:p>
    <w:bookmarkEnd w:id="96"/>
    <w:bookmarkEnd w:id="97"/>
    <w:bookmarkEnd w:id="98"/>
    <w:bookmarkEnd w:id="99"/>
    <w:bookmarkEnd w:id="100"/>
    <w:p>
      <w:pPr>
        <w:autoSpaceDE w:val="0"/>
        <w:autoSpaceDN w:val="0"/>
        <w:adjustRightInd w:val="0"/>
        <w:spacing w:line="360" w:lineRule="auto"/>
        <w:jc w:val="center"/>
        <w:rPr>
          <w:rFonts w:ascii="Arial" w:hAnsi="Arial" w:cs="Arial"/>
          <w:b/>
          <w:sz w:val="32"/>
          <w:szCs w:val="32"/>
        </w:rPr>
      </w:pPr>
    </w:p>
    <w:p>
      <w:pPr>
        <w:autoSpaceDE w:val="0"/>
        <w:autoSpaceDN w:val="0"/>
        <w:adjustRightInd w:val="0"/>
        <w:spacing w:line="360" w:lineRule="auto"/>
        <w:jc w:val="center"/>
        <w:rPr>
          <w:rFonts w:ascii="Arial" w:hAnsi="Arial" w:cs="Arial"/>
          <w:b/>
          <w:sz w:val="32"/>
          <w:szCs w:val="32"/>
        </w:rPr>
      </w:pPr>
    </w:p>
    <w:p>
      <w:pPr>
        <w:autoSpaceDE w:val="0"/>
        <w:autoSpaceDN w:val="0"/>
        <w:adjustRightInd w:val="0"/>
        <w:spacing w:line="360" w:lineRule="auto"/>
        <w:jc w:val="center"/>
        <w:rPr>
          <w:rFonts w:ascii="Arial" w:hAnsi="Arial" w:cs="Arial"/>
          <w:b/>
          <w:sz w:val="32"/>
          <w:szCs w:val="32"/>
        </w:rPr>
      </w:pPr>
    </w:p>
    <w:p>
      <w:pPr>
        <w:autoSpaceDE w:val="0"/>
        <w:autoSpaceDN w:val="0"/>
        <w:adjustRightInd w:val="0"/>
        <w:spacing w:line="360" w:lineRule="auto"/>
        <w:jc w:val="center"/>
        <w:rPr>
          <w:rFonts w:ascii="Arial" w:hAnsi="Arial" w:cs="Arial"/>
          <w:b/>
          <w:sz w:val="32"/>
          <w:szCs w:val="32"/>
        </w:rPr>
      </w:pPr>
    </w:p>
    <w:p>
      <w:pPr>
        <w:pStyle w:val="16"/>
      </w:pPr>
    </w:p>
    <w:p/>
    <w:p>
      <w:pPr>
        <w:pStyle w:val="16"/>
      </w:pPr>
    </w:p>
    <w:p/>
    <w:p>
      <w:pPr>
        <w:numPr>
          <w:ilvl w:val="0"/>
          <w:numId w:val="2"/>
        </w:numPr>
        <w:spacing w:line="360" w:lineRule="auto"/>
        <w:ind w:left="0" w:leftChars="0" w:firstLine="0" w:firstLineChars="0"/>
        <w:jc w:val="center"/>
        <w:rPr>
          <w:rFonts w:hint="eastAsia" w:ascii="宋体" w:hAnsi="宋体"/>
          <w:b/>
          <w:sz w:val="30"/>
          <w:szCs w:val="30"/>
        </w:rPr>
      </w:pPr>
      <w:bookmarkStart w:id="110" w:name="_Toc349637943"/>
      <w:bookmarkStart w:id="111" w:name="_Toc298240429"/>
      <w:bookmarkStart w:id="112" w:name="_Toc462223650"/>
      <w:bookmarkStart w:id="113" w:name="_Toc349573144"/>
      <w:r>
        <w:rPr>
          <w:rFonts w:hint="eastAsia" w:ascii="宋体" w:hAnsi="宋体"/>
          <w:b/>
          <w:sz w:val="30"/>
          <w:szCs w:val="30"/>
        </w:rPr>
        <w:t xml:space="preserve"> 合同条款</w:t>
      </w:r>
    </w:p>
    <w:p>
      <w:pPr>
        <w:pStyle w:val="2"/>
        <w:numPr>
          <w:numId w:val="0"/>
        </w:numPr>
        <w:ind w:leftChars="0"/>
        <w:jc w:val="center"/>
        <w:rPr>
          <w:rFonts w:hint="eastAsia"/>
          <w:b/>
          <w:bCs/>
          <w:sz w:val="28"/>
          <w:szCs w:val="24"/>
          <w:lang w:val="en-US" w:eastAsia="zh-CN"/>
        </w:rPr>
      </w:pPr>
      <w:r>
        <w:rPr>
          <w:rFonts w:hint="eastAsia"/>
          <w:b/>
          <w:bCs/>
          <w:sz w:val="28"/>
          <w:szCs w:val="24"/>
          <w:lang w:val="en-US" w:eastAsia="zh-CN"/>
        </w:rPr>
        <w:t>（甲方有权对合同内容进行实质性修改）</w:t>
      </w:r>
    </w:p>
    <w:p>
      <w:pPr>
        <w:pStyle w:val="2"/>
        <w:numPr>
          <w:numId w:val="0"/>
        </w:numPr>
        <w:ind w:leftChars="0"/>
        <w:jc w:val="center"/>
        <w:rPr>
          <w:rFonts w:hint="default"/>
          <w:b/>
          <w:bCs/>
          <w:sz w:val="28"/>
          <w:szCs w:val="24"/>
          <w:lang w:val="en-US" w:eastAsia="zh-CN"/>
        </w:rPr>
      </w:pPr>
    </w:p>
    <w:p>
      <w:pPr>
        <w:spacing w:line="360" w:lineRule="auto"/>
        <w:jc w:val="center"/>
        <w:rPr>
          <w:rFonts w:ascii="宋体" w:hAnsi="宋体"/>
          <w:b/>
          <w:bCs/>
          <w:sz w:val="28"/>
          <w:szCs w:val="28"/>
        </w:rPr>
      </w:pPr>
      <w:r>
        <w:rPr>
          <w:rFonts w:hint="eastAsia" w:ascii="宋体" w:hAnsi="宋体"/>
          <w:b/>
          <w:bCs/>
          <w:sz w:val="28"/>
          <w:szCs w:val="28"/>
        </w:rPr>
        <w:t>一、合同条款</w:t>
      </w:r>
    </w:p>
    <w:p>
      <w:pPr>
        <w:spacing w:line="360" w:lineRule="auto"/>
        <w:rPr>
          <w:rFonts w:ascii="宋体" w:hAnsi="宋体"/>
          <w:b/>
          <w:bCs/>
          <w:sz w:val="24"/>
        </w:rPr>
      </w:pPr>
      <w:r>
        <w:rPr>
          <w:rFonts w:hint="eastAsia" w:ascii="宋体" w:hAnsi="宋体"/>
          <w:b/>
          <w:bCs/>
          <w:sz w:val="24"/>
        </w:rPr>
        <w:t>1、定义</w:t>
      </w:r>
    </w:p>
    <w:p>
      <w:pPr>
        <w:spacing w:line="360" w:lineRule="auto"/>
        <w:ind w:firstLine="560"/>
        <w:rPr>
          <w:rFonts w:ascii="宋体" w:hAnsi="宋体"/>
          <w:sz w:val="24"/>
        </w:rPr>
      </w:pPr>
      <w:r>
        <w:rPr>
          <w:rFonts w:hint="eastAsia" w:ascii="宋体" w:hAnsi="宋体"/>
          <w:sz w:val="24"/>
        </w:rPr>
        <w:t>1.1 本合同下列词语应解释为：</w:t>
      </w:r>
    </w:p>
    <w:p>
      <w:pPr>
        <w:spacing w:line="360" w:lineRule="auto"/>
        <w:ind w:firstLine="560"/>
        <w:rPr>
          <w:rFonts w:ascii="宋体" w:hAnsi="宋体"/>
          <w:sz w:val="24"/>
        </w:rPr>
      </w:pPr>
      <w:r>
        <w:rPr>
          <w:rFonts w:hint="eastAsia" w:ascii="宋体" w:hAnsi="宋体"/>
          <w:sz w:val="24"/>
        </w:rPr>
        <w:t>(1)“合同”系指买方和卖方（以下简称合同双方）已达成的协议，即由双方签订的合同格式中的文件，包括所有的附件、附录和组成合同部分的所有参考文件。</w:t>
      </w:r>
    </w:p>
    <w:p>
      <w:pPr>
        <w:spacing w:line="360" w:lineRule="auto"/>
        <w:rPr>
          <w:rFonts w:ascii="宋体" w:hAnsi="宋体"/>
          <w:sz w:val="24"/>
        </w:rPr>
      </w:pPr>
      <w:r>
        <w:rPr>
          <w:rFonts w:hint="eastAsia" w:ascii="宋体" w:hAnsi="宋体"/>
          <w:sz w:val="24"/>
        </w:rPr>
        <w:t xml:space="preserve">    (2)“合同价格”系指根据合同规定，在卖方全面正确地履行合同义务时应支付给卖方的价格。</w:t>
      </w:r>
    </w:p>
    <w:p>
      <w:pPr>
        <w:spacing w:line="360" w:lineRule="auto"/>
        <w:rPr>
          <w:rFonts w:ascii="宋体" w:hAnsi="宋体"/>
          <w:sz w:val="24"/>
        </w:rPr>
      </w:pPr>
      <w:r>
        <w:rPr>
          <w:rFonts w:hint="eastAsia" w:ascii="宋体" w:hAnsi="宋体"/>
          <w:sz w:val="24"/>
        </w:rPr>
        <w:t xml:space="preserve">    (3)“货物”系指卖方按合同要求，须向买方提供的一切设备、机械、仪器、备件、工具、手册及其它技术资料和其它材料。</w:t>
      </w:r>
    </w:p>
    <w:p>
      <w:pPr>
        <w:spacing w:line="360" w:lineRule="auto"/>
        <w:ind w:firstLine="480" w:firstLineChars="200"/>
        <w:rPr>
          <w:rFonts w:ascii="宋体" w:hAnsi="宋体"/>
          <w:sz w:val="24"/>
        </w:rPr>
      </w:pPr>
      <w:r>
        <w:rPr>
          <w:rFonts w:hint="eastAsia" w:ascii="宋体" w:hAnsi="宋体"/>
          <w:sz w:val="24"/>
        </w:rPr>
        <w:t>(4)“服务”系指合同规定卖方需承担的运输、保险、安装、试验、调试、技术协助、校准、培训以及其它类似的义务。</w:t>
      </w:r>
    </w:p>
    <w:p>
      <w:pPr>
        <w:spacing w:line="360" w:lineRule="auto"/>
        <w:ind w:firstLine="480"/>
        <w:rPr>
          <w:rFonts w:ascii="宋体" w:hAnsi="宋体"/>
          <w:sz w:val="24"/>
        </w:rPr>
      </w:pPr>
      <w:r>
        <w:rPr>
          <w:rFonts w:hint="eastAsia" w:ascii="宋体" w:hAnsi="宋体"/>
          <w:sz w:val="24"/>
        </w:rPr>
        <w:t>(5)“买方”系指买货物的单位。</w:t>
      </w:r>
    </w:p>
    <w:p>
      <w:pPr>
        <w:spacing w:line="360" w:lineRule="auto"/>
        <w:rPr>
          <w:rFonts w:ascii="宋体" w:hAnsi="宋体"/>
          <w:sz w:val="24"/>
        </w:rPr>
      </w:pPr>
      <w:r>
        <w:rPr>
          <w:rFonts w:hint="eastAsia" w:ascii="宋体" w:hAnsi="宋体"/>
          <w:sz w:val="24"/>
        </w:rPr>
        <w:t xml:space="preserve">    (6)“卖方”系指提供合同货物和服务的制造商或投标人。</w:t>
      </w:r>
    </w:p>
    <w:p>
      <w:pPr>
        <w:spacing w:line="360" w:lineRule="auto"/>
        <w:ind w:firstLine="480"/>
        <w:rPr>
          <w:rFonts w:ascii="宋体" w:hAnsi="宋体"/>
          <w:sz w:val="24"/>
        </w:rPr>
      </w:pPr>
      <w:r>
        <w:rPr>
          <w:rFonts w:hint="eastAsia" w:ascii="宋体" w:hAnsi="宋体"/>
          <w:sz w:val="24"/>
        </w:rPr>
        <w:t>(7)“项目现场”系指将要进行货物安装的地点。</w:t>
      </w:r>
    </w:p>
    <w:p>
      <w:pPr>
        <w:spacing w:line="360" w:lineRule="auto"/>
        <w:ind w:firstLine="480"/>
        <w:rPr>
          <w:rFonts w:ascii="宋体" w:hAnsi="宋体"/>
          <w:sz w:val="24"/>
        </w:rPr>
      </w:pPr>
      <w:r>
        <w:rPr>
          <w:rFonts w:hint="eastAsia" w:ascii="宋体" w:hAnsi="宋体"/>
          <w:sz w:val="24"/>
        </w:rPr>
        <w:t>(8)“天”指日历天数。</w:t>
      </w:r>
    </w:p>
    <w:p>
      <w:pPr>
        <w:spacing w:line="360" w:lineRule="auto"/>
        <w:rPr>
          <w:rFonts w:ascii="宋体" w:hAnsi="宋体"/>
          <w:b/>
          <w:bCs/>
          <w:sz w:val="24"/>
        </w:rPr>
      </w:pPr>
      <w:r>
        <w:rPr>
          <w:rFonts w:hint="eastAsia" w:ascii="宋体" w:hAnsi="宋体"/>
          <w:b/>
          <w:bCs/>
          <w:sz w:val="24"/>
        </w:rPr>
        <w:t>2 、原产地</w:t>
      </w:r>
    </w:p>
    <w:p>
      <w:pPr>
        <w:spacing w:line="360" w:lineRule="auto"/>
        <w:ind w:firstLine="480" w:firstLineChars="200"/>
        <w:rPr>
          <w:rFonts w:ascii="宋体" w:hAnsi="宋体"/>
          <w:sz w:val="24"/>
        </w:rPr>
      </w:pPr>
      <w:r>
        <w:rPr>
          <w:rFonts w:hint="eastAsia" w:ascii="宋体" w:hAnsi="宋体"/>
          <w:sz w:val="24"/>
        </w:rPr>
        <w:t>原产地系指货物的开采、生产地，或提供辅助服务的来源地。</w:t>
      </w:r>
    </w:p>
    <w:p>
      <w:pPr>
        <w:spacing w:line="360" w:lineRule="auto"/>
        <w:rPr>
          <w:rFonts w:ascii="宋体" w:hAnsi="宋体"/>
          <w:b/>
          <w:bCs/>
          <w:sz w:val="24"/>
        </w:rPr>
      </w:pPr>
      <w:r>
        <w:rPr>
          <w:rFonts w:hint="eastAsia" w:ascii="宋体" w:hAnsi="宋体"/>
          <w:b/>
          <w:bCs/>
          <w:sz w:val="24"/>
        </w:rPr>
        <w:t>3、技术规格和标准</w:t>
      </w:r>
    </w:p>
    <w:p>
      <w:pPr>
        <w:spacing w:line="360" w:lineRule="auto"/>
        <w:ind w:firstLine="480"/>
        <w:rPr>
          <w:rFonts w:ascii="宋体" w:hAnsi="宋体"/>
          <w:sz w:val="24"/>
        </w:rPr>
      </w:pPr>
      <w:r>
        <w:rPr>
          <w:rFonts w:hint="eastAsia" w:ascii="宋体" w:hAnsi="宋体"/>
          <w:sz w:val="24"/>
        </w:rPr>
        <w:t>3.1招标文件、投标文件，评标结果表，合同所附附件均为本合同不可分割的一部分。如果所供货物与招标文件、投标文件和评标结果表不一致时，以招标文件、投标文件和评标结果表为准。</w:t>
      </w:r>
    </w:p>
    <w:p>
      <w:pPr>
        <w:spacing w:line="360" w:lineRule="auto"/>
        <w:ind w:firstLine="480"/>
        <w:rPr>
          <w:rFonts w:ascii="宋体" w:hAnsi="宋体"/>
          <w:b/>
          <w:bCs/>
          <w:sz w:val="24"/>
        </w:rPr>
      </w:pPr>
      <w:r>
        <w:rPr>
          <w:rFonts w:hint="eastAsia" w:ascii="宋体" w:hAnsi="宋体"/>
          <w:sz w:val="24"/>
        </w:rPr>
        <w:t>3.2卖方所提供的货物必须符合国家现行有效标准（进口货物有中国进出口商检局认证标志），并为正规制造厂商生产的合格产品，因</w:t>
      </w:r>
      <w:r>
        <w:rPr>
          <w:rFonts w:hint="eastAsia" w:ascii="宋体" w:hAnsi="宋体"/>
          <w:bCs/>
          <w:sz w:val="24"/>
        </w:rPr>
        <w:t>质量问题而发生的任何故障由卖方负责。</w:t>
      </w:r>
    </w:p>
    <w:p>
      <w:pPr>
        <w:spacing w:line="360" w:lineRule="auto"/>
        <w:rPr>
          <w:rFonts w:ascii="宋体" w:hAnsi="宋体"/>
          <w:b/>
          <w:bCs/>
          <w:sz w:val="24"/>
        </w:rPr>
      </w:pPr>
      <w:r>
        <w:rPr>
          <w:rFonts w:hint="eastAsia" w:ascii="宋体" w:hAnsi="宋体"/>
          <w:b/>
          <w:bCs/>
          <w:sz w:val="24"/>
        </w:rPr>
        <w:t>4、专利权</w:t>
      </w:r>
    </w:p>
    <w:p>
      <w:pPr>
        <w:spacing w:line="360" w:lineRule="auto"/>
        <w:ind w:firstLine="470" w:firstLineChars="196"/>
        <w:rPr>
          <w:rFonts w:ascii="宋体" w:hAnsi="宋体"/>
          <w:sz w:val="24"/>
        </w:rPr>
      </w:pPr>
      <w:r>
        <w:rPr>
          <w:rFonts w:hint="eastAsia" w:ascii="宋体" w:hAnsi="宋体"/>
          <w:bCs/>
          <w:sz w:val="24"/>
        </w:rPr>
        <w:t>4.1 卖方须保</w:t>
      </w:r>
      <w:r>
        <w:rPr>
          <w:rFonts w:hint="eastAsia" w:ascii="宋体" w:hAnsi="宋体"/>
          <w:sz w:val="24"/>
        </w:rPr>
        <w:t>障买方在使用该货物、服务及其任何部分不受到第三方关于侵犯专利权、商标权或工业设计权的指控。任何第三方如果提出侵权指控，卖方须与第三方交涉并承担可能发生的一切法律和费用责任。</w:t>
      </w:r>
    </w:p>
    <w:p>
      <w:pPr>
        <w:spacing w:line="360" w:lineRule="auto"/>
        <w:rPr>
          <w:rFonts w:ascii="宋体" w:hAnsi="宋体"/>
          <w:b/>
          <w:bCs/>
          <w:sz w:val="24"/>
        </w:rPr>
      </w:pPr>
      <w:r>
        <w:rPr>
          <w:rFonts w:hint="eastAsia" w:ascii="宋体" w:hAnsi="宋体"/>
          <w:b/>
          <w:bCs/>
          <w:sz w:val="24"/>
        </w:rPr>
        <w:t>5、包装要求</w:t>
      </w:r>
    </w:p>
    <w:p>
      <w:pPr>
        <w:spacing w:line="360" w:lineRule="auto"/>
        <w:ind w:firstLine="560"/>
        <w:rPr>
          <w:rFonts w:ascii="宋体" w:hAnsi="宋体"/>
          <w:sz w:val="24"/>
        </w:rPr>
      </w:pPr>
      <w:r>
        <w:rPr>
          <w:rFonts w:hint="eastAsia" w:ascii="宋体" w:hAnsi="宋体"/>
          <w:sz w:val="24"/>
        </w:rPr>
        <w:t>5.1 提供的全部货物须采用相应标准的保护措施进行包装。这类包装应适于长途运输，并有良好的防潮、防震、防锈和防野蛮装卸等保护措施，以确保货物安全运抵现场。卖方应承担由于其包装不妥而引起货物锈蚀、损坏和丢失的责任。</w:t>
      </w:r>
    </w:p>
    <w:p>
      <w:pPr>
        <w:spacing w:line="360" w:lineRule="auto"/>
        <w:ind w:firstLine="560"/>
        <w:rPr>
          <w:rFonts w:ascii="宋体" w:hAnsi="宋体"/>
          <w:sz w:val="24"/>
        </w:rPr>
      </w:pPr>
      <w:r>
        <w:rPr>
          <w:rFonts w:hint="eastAsia"/>
          <w:sz w:val="24"/>
        </w:rPr>
        <w:t>但</w:t>
      </w:r>
      <w:r>
        <w:rPr>
          <w:rFonts w:hint="eastAsia" w:ascii="宋体" w:hAnsi="宋体"/>
          <w:sz w:val="24"/>
        </w:rPr>
        <w:t>不论采取何种包装形式，供方均需确保无破损，无污染，且方便二次运输。因包装不当造成的损失由供方负责，包退包换。</w:t>
      </w:r>
    </w:p>
    <w:p>
      <w:pPr>
        <w:spacing w:line="360" w:lineRule="auto"/>
        <w:ind w:firstLine="560"/>
        <w:rPr>
          <w:rFonts w:ascii="宋体" w:hAnsi="宋体"/>
          <w:sz w:val="24"/>
        </w:rPr>
      </w:pPr>
      <w:r>
        <w:rPr>
          <w:rFonts w:hint="eastAsia" w:ascii="宋体" w:hAnsi="宋体"/>
          <w:sz w:val="24"/>
        </w:rPr>
        <w:t>5.2 每件包装箱内应附有一份详细装箱单和质量合格证书。</w:t>
      </w:r>
    </w:p>
    <w:p>
      <w:pPr>
        <w:spacing w:line="360" w:lineRule="auto"/>
        <w:rPr>
          <w:rFonts w:ascii="宋体" w:hAnsi="宋体"/>
          <w:b/>
          <w:bCs/>
          <w:sz w:val="24"/>
        </w:rPr>
      </w:pPr>
      <w:r>
        <w:rPr>
          <w:rFonts w:hint="eastAsia" w:ascii="宋体" w:hAnsi="宋体"/>
          <w:b/>
          <w:bCs/>
          <w:sz w:val="24"/>
        </w:rPr>
        <w:t>6、包装标记</w:t>
      </w:r>
    </w:p>
    <w:p>
      <w:pPr>
        <w:spacing w:line="360" w:lineRule="auto"/>
        <w:ind w:firstLine="480" w:firstLineChars="200"/>
        <w:rPr>
          <w:rFonts w:ascii="宋体" w:hAnsi="宋体"/>
          <w:sz w:val="24"/>
        </w:rPr>
      </w:pPr>
      <w:r>
        <w:rPr>
          <w:rFonts w:hint="eastAsia" w:ascii="宋体" w:hAnsi="宋体"/>
          <w:sz w:val="24"/>
        </w:rPr>
        <w:t>6.1 卖方应在每一包装箱邻接的四个侧面用不易褪色的油漆以醒目的中文印刷字样标明以下各项：</w:t>
      </w:r>
    </w:p>
    <w:p>
      <w:pPr>
        <w:spacing w:line="360" w:lineRule="auto"/>
        <w:ind w:firstLine="480" w:firstLineChars="200"/>
        <w:rPr>
          <w:rFonts w:ascii="宋体" w:hAnsi="宋体"/>
          <w:sz w:val="24"/>
        </w:rPr>
      </w:pPr>
      <w:r>
        <w:rPr>
          <w:rFonts w:hint="eastAsia" w:ascii="宋体" w:hAnsi="宋体"/>
          <w:sz w:val="24"/>
        </w:rPr>
        <w:t>(1) 项目名称：</w:t>
      </w:r>
    </w:p>
    <w:p>
      <w:pPr>
        <w:spacing w:line="360" w:lineRule="auto"/>
        <w:ind w:firstLine="480" w:firstLineChars="200"/>
        <w:rPr>
          <w:rFonts w:ascii="宋体" w:hAnsi="宋体"/>
          <w:sz w:val="24"/>
        </w:rPr>
      </w:pPr>
      <w:r>
        <w:rPr>
          <w:rFonts w:hint="eastAsia" w:ascii="宋体" w:hAnsi="宋体"/>
          <w:sz w:val="24"/>
        </w:rPr>
        <w:t>(2) 合同号：</w:t>
      </w:r>
    </w:p>
    <w:p>
      <w:pPr>
        <w:spacing w:line="360" w:lineRule="auto"/>
        <w:ind w:firstLine="480" w:firstLineChars="200"/>
        <w:rPr>
          <w:rFonts w:ascii="宋体" w:hAnsi="宋体"/>
          <w:sz w:val="24"/>
        </w:rPr>
      </w:pPr>
      <w:r>
        <w:rPr>
          <w:rFonts w:hint="eastAsia" w:ascii="宋体" w:hAnsi="宋体"/>
          <w:sz w:val="24"/>
        </w:rPr>
        <w:t>(3) 收货人：</w:t>
      </w:r>
    </w:p>
    <w:p>
      <w:pPr>
        <w:spacing w:line="360" w:lineRule="auto"/>
        <w:ind w:firstLine="480" w:firstLineChars="200"/>
        <w:rPr>
          <w:rFonts w:ascii="宋体" w:hAnsi="宋体"/>
          <w:sz w:val="24"/>
        </w:rPr>
      </w:pPr>
      <w:r>
        <w:rPr>
          <w:rFonts w:hint="eastAsia" w:ascii="宋体" w:hAnsi="宋体"/>
          <w:sz w:val="24"/>
        </w:rPr>
        <w:t>(4) 到站：</w:t>
      </w:r>
    </w:p>
    <w:p>
      <w:pPr>
        <w:spacing w:line="360" w:lineRule="auto"/>
        <w:ind w:firstLine="480" w:firstLineChars="200"/>
        <w:rPr>
          <w:rFonts w:ascii="宋体" w:hAnsi="宋体"/>
          <w:sz w:val="24"/>
        </w:rPr>
      </w:pPr>
      <w:r>
        <w:rPr>
          <w:rFonts w:hint="eastAsia" w:ascii="宋体" w:hAnsi="宋体"/>
          <w:sz w:val="24"/>
        </w:rPr>
        <w:t>(5) 货物的名称、包号、箱号：</w:t>
      </w:r>
    </w:p>
    <w:p>
      <w:pPr>
        <w:spacing w:line="360" w:lineRule="auto"/>
        <w:ind w:firstLine="480" w:firstLineChars="200"/>
        <w:rPr>
          <w:rFonts w:ascii="宋体" w:hAnsi="宋体"/>
          <w:sz w:val="24"/>
        </w:rPr>
      </w:pPr>
      <w:r>
        <w:rPr>
          <w:rFonts w:hint="eastAsia" w:ascii="宋体" w:hAnsi="宋体"/>
          <w:sz w:val="24"/>
        </w:rPr>
        <w:t>(6) 毛重/净重（公斤）：</w:t>
      </w:r>
    </w:p>
    <w:p>
      <w:pPr>
        <w:spacing w:line="360" w:lineRule="auto"/>
        <w:ind w:firstLine="480" w:firstLineChars="200"/>
        <w:rPr>
          <w:rFonts w:ascii="宋体" w:hAnsi="宋体"/>
          <w:sz w:val="24"/>
        </w:rPr>
      </w:pPr>
      <w:r>
        <w:rPr>
          <w:rFonts w:hint="eastAsia" w:ascii="宋体" w:hAnsi="宋体"/>
          <w:sz w:val="24"/>
        </w:rPr>
        <w:t>(7) 尺寸（长×宽×高，以厘米计）：</w:t>
      </w:r>
    </w:p>
    <w:p>
      <w:pPr>
        <w:spacing w:line="360" w:lineRule="auto"/>
        <w:ind w:firstLine="480" w:firstLineChars="200"/>
        <w:rPr>
          <w:rFonts w:ascii="宋体" w:hAnsi="宋体"/>
          <w:sz w:val="24"/>
        </w:rPr>
      </w:pPr>
      <w:r>
        <w:rPr>
          <w:rFonts w:hint="eastAsia" w:ascii="宋体" w:hAnsi="宋体"/>
          <w:sz w:val="24"/>
        </w:rPr>
        <w:t>(8) 发货单位：</w:t>
      </w:r>
    </w:p>
    <w:p>
      <w:pPr>
        <w:spacing w:line="360" w:lineRule="auto"/>
        <w:ind w:firstLine="480"/>
        <w:rPr>
          <w:rFonts w:ascii="宋体" w:hAnsi="宋体"/>
          <w:sz w:val="24"/>
        </w:rPr>
      </w:pPr>
      <w:r>
        <w:rPr>
          <w:rFonts w:hint="eastAsia" w:ascii="宋体" w:hAnsi="宋体"/>
          <w:sz w:val="24"/>
        </w:rPr>
        <w:t>凡重达两吨或两吨以上的包装，卖方应在每件包装箱的两侧用中文和适当的运输标记，标明“重心”和“吊装点”，并根据货物的特点和运输的不同要求，以清晰字样在包装箱上注明“小心轻放”、“勿倒置”、“防潮”等适当的标志，以便装卸和搬运。</w:t>
      </w:r>
    </w:p>
    <w:p>
      <w:pPr>
        <w:spacing w:line="360" w:lineRule="auto"/>
        <w:ind w:firstLine="360" w:firstLineChars="150"/>
        <w:rPr>
          <w:rFonts w:ascii="宋体" w:hAnsi="宋体"/>
          <w:sz w:val="24"/>
        </w:rPr>
      </w:pPr>
      <w:r>
        <w:rPr>
          <w:rFonts w:hint="eastAsia" w:ascii="宋体" w:hAnsi="宋体"/>
          <w:sz w:val="24"/>
        </w:rPr>
        <w:t>6.2标识设备配置信息卡片。</w:t>
      </w:r>
    </w:p>
    <w:p>
      <w:pPr>
        <w:spacing w:line="360" w:lineRule="auto"/>
        <w:rPr>
          <w:rFonts w:ascii="宋体" w:hAnsi="宋体"/>
          <w:b/>
          <w:bCs/>
          <w:sz w:val="24"/>
        </w:rPr>
      </w:pPr>
      <w:r>
        <w:rPr>
          <w:rFonts w:hint="eastAsia" w:ascii="宋体" w:hAnsi="宋体"/>
          <w:b/>
          <w:bCs/>
          <w:sz w:val="24"/>
        </w:rPr>
        <w:t>7、装运条件</w:t>
      </w:r>
    </w:p>
    <w:p>
      <w:pPr>
        <w:spacing w:line="360" w:lineRule="auto"/>
        <w:ind w:firstLine="560"/>
        <w:rPr>
          <w:rFonts w:ascii="宋体" w:hAnsi="宋体"/>
          <w:sz w:val="24"/>
        </w:rPr>
      </w:pPr>
      <w:r>
        <w:rPr>
          <w:rFonts w:hint="eastAsia" w:ascii="宋体" w:hAnsi="宋体"/>
          <w:sz w:val="24"/>
        </w:rPr>
        <w:t>7.1 卖方应在合同规定的交货期前30个日历日以传真或邮件通知买方合同号、货物名称、数量、包装件数、总毛重、总体积（立方米）和备妥待运日期。同时，卖方应以挂号信寄给买方详细交货清单一式三份，包括合同号、货物名称、规格、数量、总毛重、总体积（立方米）和每一包装箱的尺寸（长×宽×高）、单价和总价、备妥待运日期，以及货物在运输和仓储中的特殊要求和注意事项。</w:t>
      </w:r>
    </w:p>
    <w:p>
      <w:pPr>
        <w:spacing w:line="360" w:lineRule="auto"/>
        <w:ind w:firstLine="560"/>
        <w:rPr>
          <w:rFonts w:ascii="宋体" w:hAnsi="宋体"/>
          <w:sz w:val="24"/>
        </w:rPr>
      </w:pPr>
      <w:r>
        <w:rPr>
          <w:rFonts w:hint="eastAsia" w:ascii="宋体" w:hAnsi="宋体"/>
          <w:sz w:val="24"/>
        </w:rPr>
        <w:t>7.2货物到达指定点后，由卖方负责清点、检验合格的日期应视为是货物的交货期。</w:t>
      </w:r>
    </w:p>
    <w:p>
      <w:pPr>
        <w:spacing w:line="360" w:lineRule="auto"/>
        <w:rPr>
          <w:rFonts w:ascii="宋体" w:hAnsi="宋体"/>
          <w:b/>
          <w:bCs/>
          <w:sz w:val="24"/>
        </w:rPr>
      </w:pPr>
      <w:r>
        <w:rPr>
          <w:rFonts w:hint="eastAsia" w:ascii="宋体" w:hAnsi="宋体"/>
          <w:b/>
          <w:bCs/>
          <w:sz w:val="24"/>
        </w:rPr>
        <w:t>8、装运通知</w:t>
      </w:r>
    </w:p>
    <w:p>
      <w:pPr>
        <w:spacing w:line="360" w:lineRule="auto"/>
        <w:ind w:firstLine="560"/>
        <w:rPr>
          <w:rFonts w:ascii="宋体" w:hAnsi="宋体"/>
          <w:sz w:val="24"/>
        </w:rPr>
      </w:pPr>
      <w:r>
        <w:rPr>
          <w:rFonts w:hint="eastAsia" w:ascii="宋体" w:hAnsi="宋体"/>
          <w:sz w:val="24"/>
        </w:rPr>
        <w:t>8.1 卖方应在货物装货后发运前24小时内以传真或邮件通知买方合同号、货物名称、数量、毛重、体积（立方米）、发票金额、运输工具名称及启运日期。卖方应将其重量或尺寸通知买方。若货物中有易燃品或危险品，卖方也须将详细情况通知买方。</w:t>
      </w:r>
    </w:p>
    <w:p>
      <w:pPr>
        <w:spacing w:line="360" w:lineRule="auto"/>
        <w:rPr>
          <w:rFonts w:ascii="宋体" w:hAnsi="宋体"/>
          <w:b/>
          <w:bCs/>
          <w:sz w:val="24"/>
        </w:rPr>
      </w:pPr>
      <w:r>
        <w:rPr>
          <w:rFonts w:hint="eastAsia" w:ascii="宋体" w:hAnsi="宋体"/>
          <w:b/>
          <w:bCs/>
          <w:sz w:val="24"/>
        </w:rPr>
        <w:t>9、保险</w:t>
      </w:r>
    </w:p>
    <w:p>
      <w:pPr>
        <w:spacing w:line="360" w:lineRule="auto"/>
        <w:ind w:firstLine="560"/>
        <w:rPr>
          <w:rFonts w:ascii="宋体" w:hAnsi="宋体"/>
          <w:sz w:val="24"/>
        </w:rPr>
      </w:pPr>
      <w:r>
        <w:rPr>
          <w:rFonts w:hint="eastAsia" w:ascii="宋体" w:hAnsi="宋体"/>
          <w:sz w:val="24"/>
        </w:rPr>
        <w:t>9.1 按合同提供的设备、工具等，从卖方至合同目的地的运输保险，由卖方负责投保并承担全额保险费。保险应以人民币按照发票金额的110%办理“一切险”。</w:t>
      </w:r>
    </w:p>
    <w:p>
      <w:pPr>
        <w:spacing w:line="360" w:lineRule="auto"/>
        <w:rPr>
          <w:rFonts w:ascii="宋体" w:hAnsi="宋体"/>
          <w:b/>
          <w:bCs/>
          <w:sz w:val="24"/>
        </w:rPr>
      </w:pPr>
      <w:r>
        <w:rPr>
          <w:rFonts w:hint="eastAsia" w:ascii="宋体" w:hAnsi="宋体"/>
          <w:b/>
          <w:bCs/>
          <w:sz w:val="24"/>
        </w:rPr>
        <w:t>10、付款</w:t>
      </w:r>
    </w:p>
    <w:p>
      <w:pPr>
        <w:spacing w:line="360" w:lineRule="auto"/>
        <w:ind w:firstLine="480" w:firstLineChars="200"/>
        <w:rPr>
          <w:rFonts w:ascii="宋体" w:hAnsi="宋体"/>
          <w:sz w:val="24"/>
        </w:rPr>
      </w:pPr>
      <w:r>
        <w:rPr>
          <w:rFonts w:hint="eastAsia" w:ascii="宋体" w:hAnsi="宋体"/>
          <w:sz w:val="24"/>
        </w:rPr>
        <w:t>10.1 本合同以人民币付款。</w:t>
      </w:r>
    </w:p>
    <w:p>
      <w:pPr>
        <w:spacing w:line="360" w:lineRule="auto"/>
        <w:ind w:firstLine="480" w:firstLineChars="200"/>
        <w:rPr>
          <w:rFonts w:ascii="宋体" w:hAnsi="宋体"/>
          <w:sz w:val="24"/>
        </w:rPr>
      </w:pPr>
      <w:r>
        <w:rPr>
          <w:rFonts w:hint="eastAsia" w:ascii="宋体" w:hAnsi="宋体"/>
          <w:sz w:val="24"/>
        </w:rPr>
        <w:t>10.2 卖方应按照双方签订的合同规定交货。交货后买方按合同规定审核后付款；</w:t>
      </w:r>
    </w:p>
    <w:p>
      <w:pPr>
        <w:spacing w:line="360" w:lineRule="auto"/>
        <w:ind w:firstLine="480" w:firstLineChars="200"/>
        <w:rPr>
          <w:rFonts w:ascii="宋体" w:hAnsi="宋体"/>
          <w:sz w:val="24"/>
        </w:rPr>
      </w:pPr>
      <w:r>
        <w:rPr>
          <w:rFonts w:hint="eastAsia" w:ascii="宋体" w:hAnsi="宋体"/>
          <w:sz w:val="24"/>
        </w:rPr>
        <w:t>10.3 卖方应在每批货物装运完毕后48小时内将上述10.2条要求除第4项外的单据航寄给买方。</w:t>
      </w:r>
    </w:p>
    <w:p>
      <w:pPr>
        <w:spacing w:line="360" w:lineRule="auto"/>
        <w:ind w:firstLine="480" w:firstLineChars="200"/>
        <w:rPr>
          <w:rFonts w:ascii="宋体" w:hAnsi="宋体"/>
          <w:sz w:val="24"/>
        </w:rPr>
      </w:pPr>
      <w:r>
        <w:rPr>
          <w:rFonts w:hint="eastAsia" w:ascii="宋体" w:hAnsi="宋体"/>
          <w:sz w:val="24"/>
        </w:rPr>
        <w:t>10.4 买方将按合同条款前附表规定的付款条件安排付款，并提供国家税务发票。</w:t>
      </w:r>
    </w:p>
    <w:p>
      <w:pPr>
        <w:spacing w:line="360" w:lineRule="auto"/>
        <w:rPr>
          <w:rFonts w:ascii="宋体" w:hAnsi="宋体"/>
          <w:b/>
          <w:bCs/>
          <w:sz w:val="24"/>
        </w:rPr>
      </w:pPr>
      <w:r>
        <w:rPr>
          <w:rFonts w:hint="eastAsia" w:ascii="宋体" w:hAnsi="宋体"/>
          <w:b/>
          <w:bCs/>
          <w:sz w:val="24"/>
        </w:rPr>
        <w:t>11、伴随服务</w:t>
      </w:r>
    </w:p>
    <w:p>
      <w:pPr>
        <w:spacing w:line="360" w:lineRule="auto"/>
        <w:ind w:firstLine="560"/>
        <w:rPr>
          <w:rFonts w:ascii="宋体" w:hAnsi="宋体"/>
          <w:sz w:val="24"/>
        </w:rPr>
      </w:pPr>
      <w:r>
        <w:rPr>
          <w:rFonts w:hint="eastAsia" w:ascii="宋体" w:hAnsi="宋体"/>
          <w:sz w:val="24"/>
        </w:rPr>
        <w:t>11.1 卖方还应提供以下服务：</w:t>
      </w:r>
    </w:p>
    <w:p>
      <w:pPr>
        <w:spacing w:line="360" w:lineRule="auto"/>
        <w:ind w:firstLine="679" w:firstLineChars="283"/>
        <w:rPr>
          <w:rFonts w:ascii="宋体" w:hAnsi="宋体"/>
          <w:sz w:val="24"/>
        </w:rPr>
      </w:pPr>
      <w:r>
        <w:rPr>
          <w:rFonts w:hint="eastAsia" w:ascii="宋体" w:hAnsi="宋体"/>
          <w:sz w:val="24"/>
        </w:rPr>
        <w:t>(1) 负责货物现场交接验收等，承担交货前的一切责任和费用；</w:t>
      </w:r>
    </w:p>
    <w:p>
      <w:pPr>
        <w:spacing w:line="360" w:lineRule="auto"/>
        <w:ind w:firstLine="679" w:firstLineChars="283"/>
        <w:rPr>
          <w:rFonts w:ascii="宋体" w:hAnsi="宋体"/>
          <w:sz w:val="24"/>
        </w:rPr>
      </w:pPr>
      <w:r>
        <w:rPr>
          <w:rFonts w:hint="eastAsia" w:ascii="宋体" w:hAnsi="宋体"/>
          <w:sz w:val="24"/>
        </w:rPr>
        <w:t>(2) 买方在交货地点验收，如发现损坏、缺件等问题，由卖方负责；</w:t>
      </w:r>
    </w:p>
    <w:p>
      <w:pPr>
        <w:spacing w:line="360" w:lineRule="auto"/>
        <w:ind w:firstLine="560"/>
        <w:rPr>
          <w:rFonts w:ascii="宋体" w:hAnsi="宋体"/>
          <w:sz w:val="24"/>
        </w:rPr>
      </w:pPr>
      <w:r>
        <w:rPr>
          <w:rFonts w:hint="eastAsia" w:ascii="宋体" w:hAnsi="宋体"/>
          <w:sz w:val="24"/>
        </w:rPr>
        <w:t>(3) 承担在质量保证期内的所有义务；</w:t>
      </w:r>
    </w:p>
    <w:p>
      <w:pPr>
        <w:spacing w:line="360" w:lineRule="auto"/>
        <w:ind w:firstLine="560"/>
        <w:rPr>
          <w:rFonts w:ascii="宋体" w:hAnsi="宋体"/>
          <w:sz w:val="24"/>
        </w:rPr>
      </w:pPr>
      <w:r>
        <w:rPr>
          <w:rFonts w:hint="eastAsia" w:ascii="宋体" w:hAnsi="宋体"/>
          <w:sz w:val="24"/>
        </w:rPr>
        <w:t>(4) 免费培训买方操作人员；</w:t>
      </w:r>
    </w:p>
    <w:p>
      <w:pPr>
        <w:spacing w:line="360" w:lineRule="auto"/>
        <w:ind w:firstLine="679" w:firstLineChars="283"/>
        <w:rPr>
          <w:rFonts w:ascii="宋体" w:hAnsi="宋体"/>
          <w:sz w:val="24"/>
        </w:rPr>
      </w:pPr>
      <w:r>
        <w:rPr>
          <w:rFonts w:hint="eastAsia" w:ascii="宋体" w:hAnsi="宋体"/>
          <w:sz w:val="24"/>
        </w:rPr>
        <w:t>(5)卖方对所供产品保质期为自生产日期起1年。</w:t>
      </w:r>
    </w:p>
    <w:p>
      <w:pPr>
        <w:spacing w:line="360" w:lineRule="auto"/>
        <w:ind w:firstLine="560"/>
        <w:rPr>
          <w:rFonts w:ascii="宋体" w:hAnsi="宋体"/>
          <w:sz w:val="24"/>
        </w:rPr>
      </w:pPr>
      <w:r>
        <w:rPr>
          <w:rFonts w:hint="eastAsia" w:ascii="宋体" w:hAnsi="宋体"/>
          <w:sz w:val="24"/>
        </w:rPr>
        <w:t>11.2 伴随服务的费用应含在合同价中，不单独支付。</w:t>
      </w:r>
    </w:p>
    <w:p>
      <w:pPr>
        <w:spacing w:line="360" w:lineRule="auto"/>
        <w:ind w:firstLine="560"/>
        <w:rPr>
          <w:rFonts w:ascii="宋体" w:hAnsi="宋体"/>
          <w:sz w:val="24"/>
        </w:rPr>
      </w:pPr>
      <w:r>
        <w:rPr>
          <w:rFonts w:hint="eastAsia" w:ascii="宋体" w:hAnsi="宋体"/>
          <w:sz w:val="24"/>
        </w:rPr>
        <w:t>11.3卖方应提交与货物相符的中文（或双方同意的其它语言）技术资料，包括但不限于：样本、操作手册、使用说明、服务手册等。</w:t>
      </w:r>
    </w:p>
    <w:p>
      <w:pPr>
        <w:spacing w:line="360" w:lineRule="auto"/>
        <w:ind w:firstLine="560"/>
        <w:rPr>
          <w:rFonts w:ascii="宋体" w:hAnsi="宋体"/>
          <w:sz w:val="24"/>
        </w:rPr>
      </w:pPr>
      <w:r>
        <w:rPr>
          <w:rFonts w:hint="eastAsia" w:ascii="宋体" w:hAnsi="宋体"/>
          <w:sz w:val="24"/>
        </w:rPr>
        <w:t>11.4 一套完整的上述资料应包装好随每批货物发运。</w:t>
      </w:r>
    </w:p>
    <w:p>
      <w:pPr>
        <w:spacing w:line="360" w:lineRule="auto"/>
        <w:rPr>
          <w:rFonts w:ascii="宋体" w:hAnsi="宋体"/>
          <w:b/>
          <w:bCs/>
          <w:sz w:val="24"/>
        </w:rPr>
      </w:pPr>
      <w:r>
        <w:rPr>
          <w:rFonts w:hint="eastAsia" w:ascii="宋体" w:hAnsi="宋体"/>
          <w:b/>
          <w:bCs/>
          <w:sz w:val="24"/>
        </w:rPr>
        <w:t>12、质量保证期</w:t>
      </w:r>
    </w:p>
    <w:p>
      <w:pPr>
        <w:spacing w:line="360" w:lineRule="auto"/>
        <w:ind w:firstLine="480" w:firstLineChars="200"/>
        <w:rPr>
          <w:rFonts w:ascii="宋体" w:hAnsi="宋体"/>
          <w:sz w:val="24"/>
        </w:rPr>
      </w:pPr>
      <w:r>
        <w:rPr>
          <w:rFonts w:hint="eastAsia" w:ascii="宋体" w:hAnsi="宋体"/>
          <w:sz w:val="24"/>
        </w:rPr>
        <w:t>12.1 卖方应保证所供货物是全新的、未使用过的和用一流工艺生产的，并完全符合合同规定的质量、规格和性能要求。</w:t>
      </w:r>
    </w:p>
    <w:p>
      <w:pPr>
        <w:spacing w:line="360" w:lineRule="auto"/>
        <w:ind w:firstLine="480" w:firstLineChars="200"/>
        <w:rPr>
          <w:rFonts w:ascii="宋体" w:hAnsi="宋体"/>
          <w:sz w:val="24"/>
        </w:rPr>
      </w:pPr>
      <w:r>
        <w:rPr>
          <w:rFonts w:hint="eastAsia" w:ascii="宋体" w:hAnsi="宋体"/>
          <w:sz w:val="24"/>
        </w:rPr>
        <w:t>12.2 根据有关部门的检验结果，在项目实施过程中直至质量保证期内，如果货物的数量、质量、规格与合同不符，或证实货物是有缺陷的，包括潜在的缺陷或使用了不符合要求的产品等，买方应尽快以书面形式向卖方提出本保证下的索赔。</w:t>
      </w:r>
    </w:p>
    <w:p>
      <w:pPr>
        <w:spacing w:line="360" w:lineRule="auto"/>
        <w:ind w:firstLine="480" w:firstLineChars="200"/>
        <w:rPr>
          <w:rFonts w:ascii="宋体" w:hAnsi="宋体"/>
          <w:sz w:val="24"/>
        </w:rPr>
      </w:pPr>
      <w:r>
        <w:rPr>
          <w:rFonts w:hint="eastAsia" w:ascii="宋体" w:hAnsi="宋体"/>
          <w:sz w:val="24"/>
        </w:rPr>
        <w:t>12.3卖方应在接到通知后三天内给予答复，并负责处理，若需送法定质检部门检验，检验费用由卖方承担。如发现货物质量严重不符合质量要求的，买方可通知卖方停止供货，解除合同。</w:t>
      </w:r>
    </w:p>
    <w:p>
      <w:pPr>
        <w:spacing w:line="360" w:lineRule="auto"/>
        <w:ind w:firstLine="480" w:firstLineChars="200"/>
        <w:rPr>
          <w:rFonts w:ascii="宋体" w:hAnsi="宋体"/>
          <w:sz w:val="24"/>
        </w:rPr>
      </w:pPr>
      <w:r>
        <w:rPr>
          <w:rFonts w:hint="eastAsia" w:ascii="宋体" w:hAnsi="宋体"/>
          <w:sz w:val="24"/>
        </w:rPr>
        <w:t>12.4 如果卖方在收到通知后三天内没有弥补缺陷。买方可采取必要的补救措施，但其风险和费用将由卖方承担。买方根据合同规定对卖方行使的其他权力不受影响。</w:t>
      </w:r>
    </w:p>
    <w:p>
      <w:pPr>
        <w:spacing w:line="360" w:lineRule="auto"/>
        <w:rPr>
          <w:rFonts w:ascii="宋体" w:hAnsi="宋体"/>
          <w:b/>
          <w:bCs/>
          <w:sz w:val="24"/>
        </w:rPr>
      </w:pPr>
      <w:r>
        <w:rPr>
          <w:rFonts w:hint="eastAsia" w:ascii="宋体" w:hAnsi="宋体"/>
          <w:b/>
          <w:bCs/>
          <w:sz w:val="24"/>
        </w:rPr>
        <w:t>13、验收</w:t>
      </w:r>
    </w:p>
    <w:p>
      <w:pPr>
        <w:spacing w:line="360" w:lineRule="auto"/>
        <w:rPr>
          <w:rFonts w:ascii="宋体" w:hAnsi="宋体"/>
          <w:sz w:val="24"/>
        </w:rPr>
      </w:pPr>
      <w:r>
        <w:rPr>
          <w:rFonts w:hint="eastAsia" w:ascii="宋体" w:hAnsi="宋体"/>
          <w:sz w:val="24"/>
        </w:rPr>
        <w:t xml:space="preserve"> 13.1 买方根据需要将派人参加中间监制和出厂验收或派代表参加交货地点验收。</w:t>
      </w:r>
    </w:p>
    <w:p>
      <w:pPr>
        <w:spacing w:line="360" w:lineRule="auto"/>
        <w:ind w:firstLine="480" w:firstLineChars="200"/>
        <w:rPr>
          <w:rFonts w:ascii="宋体" w:hAnsi="宋体"/>
          <w:sz w:val="24"/>
        </w:rPr>
      </w:pPr>
      <w:r>
        <w:rPr>
          <w:rFonts w:hint="eastAsia" w:ascii="宋体" w:hAnsi="宋体"/>
          <w:sz w:val="24"/>
        </w:rPr>
        <w:t>13.2 到货验收买方应当在10个工作日内完成，验收合格后在验收单上签署“验收合格”字样，逾期验收视为验收合格，验收费用由卖方承担。</w:t>
      </w:r>
    </w:p>
    <w:p>
      <w:pPr>
        <w:spacing w:line="360" w:lineRule="auto"/>
        <w:ind w:firstLine="480" w:firstLineChars="200"/>
        <w:rPr>
          <w:rFonts w:ascii="宋体" w:hAnsi="宋体"/>
          <w:sz w:val="24"/>
        </w:rPr>
      </w:pPr>
      <w:r>
        <w:rPr>
          <w:rFonts w:hint="eastAsia" w:ascii="宋体" w:hAnsi="宋体"/>
          <w:sz w:val="24"/>
        </w:rPr>
        <w:t>13.3买方在验收中发现货物质量不符合合同要求和验收标准或有异议时，应及时通知卖方，卖方应在接到通知后三天内给予答复，并负责处理，若需送法定质检部门检验，检验费用由卖方承担。如发现货物质量严重不符合质量要求的，买方可通知卖方停止供货，解除合同。</w:t>
      </w:r>
    </w:p>
    <w:p>
      <w:pPr>
        <w:spacing w:line="360" w:lineRule="auto"/>
        <w:ind w:firstLine="480" w:firstLineChars="200"/>
        <w:rPr>
          <w:rFonts w:ascii="宋体" w:hAnsi="宋体"/>
          <w:sz w:val="24"/>
        </w:rPr>
      </w:pPr>
      <w:r>
        <w:rPr>
          <w:rFonts w:hint="eastAsia" w:ascii="宋体" w:hAnsi="宋体"/>
          <w:sz w:val="24"/>
        </w:rPr>
        <w:t>13.4卖方应保证所供货物完全符合合同规定的质量、规格和性能要求，在其使用期内应具有满意的性能。在质量保证期内，卖方应对发生的任何不足负责，其费用由卖方承担。</w:t>
      </w:r>
    </w:p>
    <w:p>
      <w:pPr>
        <w:spacing w:line="360" w:lineRule="auto"/>
        <w:ind w:firstLine="480" w:firstLineChars="200"/>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5在交货前，制造商应对货物的质量、规格、性能、数量和重量等进行详细而全面的检验，并出具一份证明货物符合合同规定的检验证书，检验证书是付款时所需要的文件的组成部分，但不能作为有关质量、规格、数量或重量的最终检验。制造商检验的结果和细节应附在检验证书后面。</w:t>
      </w:r>
    </w:p>
    <w:p>
      <w:pPr>
        <w:spacing w:line="360" w:lineRule="auto"/>
        <w:rPr>
          <w:rFonts w:ascii="宋体" w:hAnsi="宋体"/>
          <w:b/>
          <w:bCs/>
          <w:sz w:val="24"/>
        </w:rPr>
      </w:pPr>
      <w:r>
        <w:rPr>
          <w:rFonts w:hint="eastAsia" w:ascii="宋体" w:hAnsi="宋体"/>
          <w:b/>
          <w:bCs/>
          <w:sz w:val="24"/>
        </w:rPr>
        <w:t>14、服务</w:t>
      </w:r>
    </w:p>
    <w:p>
      <w:pPr>
        <w:spacing w:line="360" w:lineRule="auto"/>
        <w:ind w:firstLine="560"/>
        <w:rPr>
          <w:rFonts w:ascii="宋体" w:hAnsi="宋体"/>
          <w:sz w:val="24"/>
        </w:rPr>
      </w:pPr>
      <w:r>
        <w:rPr>
          <w:rFonts w:hint="eastAsia" w:ascii="宋体" w:hAnsi="宋体"/>
          <w:sz w:val="24"/>
        </w:rPr>
        <w:t>14.1在卖方的货物到达现场后，卖方应及时派人到现场与买方代表一起清点货物，办理有关手续。</w:t>
      </w:r>
    </w:p>
    <w:p>
      <w:pPr>
        <w:spacing w:line="360" w:lineRule="auto"/>
        <w:rPr>
          <w:rFonts w:ascii="宋体" w:hAnsi="宋体"/>
          <w:b/>
          <w:bCs/>
          <w:sz w:val="24"/>
        </w:rPr>
      </w:pPr>
      <w:r>
        <w:rPr>
          <w:rFonts w:hint="eastAsia" w:ascii="宋体" w:hAnsi="宋体"/>
          <w:b/>
          <w:bCs/>
          <w:sz w:val="24"/>
        </w:rPr>
        <w:t>15、索赔</w:t>
      </w:r>
    </w:p>
    <w:p>
      <w:pPr>
        <w:spacing w:line="360" w:lineRule="auto"/>
        <w:ind w:firstLine="560"/>
        <w:rPr>
          <w:rFonts w:ascii="宋体" w:hAnsi="宋体"/>
          <w:sz w:val="24"/>
        </w:rPr>
      </w:pPr>
      <w:r>
        <w:rPr>
          <w:rFonts w:hint="eastAsia" w:ascii="宋体" w:hAnsi="宋体"/>
          <w:sz w:val="24"/>
        </w:rPr>
        <w:t>15.1 如果卖方对货物与合同要求不符，并且买方已于规定的质量保证期内和验收期限内提出索赔，卖方应按买方同意的下述一种或多种方法解决索赔事宜。</w:t>
      </w:r>
    </w:p>
    <w:p>
      <w:pPr>
        <w:spacing w:line="360" w:lineRule="auto"/>
        <w:ind w:firstLine="560"/>
        <w:rPr>
          <w:rFonts w:ascii="宋体" w:hAnsi="宋体"/>
          <w:sz w:val="24"/>
        </w:rPr>
      </w:pPr>
      <w:r>
        <w:rPr>
          <w:rFonts w:hint="eastAsia" w:ascii="宋体" w:hAnsi="宋体"/>
          <w:sz w:val="24"/>
        </w:rPr>
        <w:t>(1) 卖方同意买方拒收货物并把被拒收货物的金额以合同规定的同类货币付给买方，卖方负担发生的一切损失和费用，包括利息、银行费用、运输和保险费、检验费、仓储和装卸费以及保管和保护被拒绝货物所需要的其它必要费用。</w:t>
      </w:r>
    </w:p>
    <w:p>
      <w:pPr>
        <w:spacing w:line="360" w:lineRule="auto"/>
        <w:ind w:firstLine="560"/>
        <w:rPr>
          <w:rFonts w:ascii="宋体" w:hAnsi="宋体"/>
          <w:sz w:val="24"/>
        </w:rPr>
      </w:pPr>
      <w:r>
        <w:rPr>
          <w:rFonts w:hint="eastAsia" w:ascii="宋体" w:hAnsi="宋体"/>
          <w:sz w:val="24"/>
        </w:rPr>
        <w:t>(2) 根据货物的低劣和受损程度以及买方遭受损失的金额，经双方同意降低货物价格。</w:t>
      </w:r>
    </w:p>
    <w:p>
      <w:pPr>
        <w:spacing w:line="360" w:lineRule="auto"/>
        <w:ind w:firstLine="560"/>
        <w:rPr>
          <w:rFonts w:ascii="宋体" w:hAnsi="宋体"/>
          <w:sz w:val="24"/>
        </w:rPr>
      </w:pPr>
      <w:r>
        <w:rPr>
          <w:rFonts w:hint="eastAsia" w:ascii="宋体" w:hAnsi="宋体"/>
          <w:sz w:val="24"/>
        </w:rPr>
        <w:t>(3) 更换有缺陷的货物，或修理缺陷部分，以达到合同规定的规格、质量和性能，卖方承担一切费用和风险并负担买方遭受的一切直接费用。同时卖方应相应延长更换货物的质量保证期。</w:t>
      </w:r>
    </w:p>
    <w:p>
      <w:pPr>
        <w:spacing w:line="360" w:lineRule="auto"/>
        <w:ind w:firstLine="560"/>
        <w:rPr>
          <w:rFonts w:ascii="宋体" w:hAnsi="宋体"/>
          <w:sz w:val="24"/>
        </w:rPr>
      </w:pPr>
      <w:r>
        <w:rPr>
          <w:rFonts w:hint="eastAsia" w:ascii="宋体" w:hAnsi="宋体"/>
          <w:sz w:val="24"/>
        </w:rPr>
        <w:t>15.2 如果买方提出索赔通知后10个日历日内卖方未能予以答复，该索赔应视为已被卖方接受。若卖方未能在买方提出索赔通知的10个日历日内或买方同意延长时间，按买方同意的上述任何一种方式处理索赔事宜，买方将从付款或卖方提供的履约保证金中扣回索赔金额。</w:t>
      </w:r>
    </w:p>
    <w:p>
      <w:pPr>
        <w:spacing w:line="360" w:lineRule="auto"/>
        <w:rPr>
          <w:rFonts w:ascii="宋体" w:hAnsi="宋体"/>
          <w:b/>
          <w:bCs/>
          <w:sz w:val="24"/>
        </w:rPr>
      </w:pPr>
      <w:r>
        <w:rPr>
          <w:rFonts w:hint="eastAsia" w:ascii="宋体" w:hAnsi="宋体"/>
          <w:b/>
          <w:bCs/>
          <w:sz w:val="24"/>
        </w:rPr>
        <w:t>16、延期交货</w:t>
      </w:r>
    </w:p>
    <w:p>
      <w:pPr>
        <w:spacing w:line="360" w:lineRule="auto"/>
        <w:ind w:firstLine="560"/>
        <w:rPr>
          <w:rFonts w:ascii="宋体" w:hAnsi="宋体"/>
          <w:sz w:val="24"/>
        </w:rPr>
      </w:pPr>
      <w:r>
        <w:rPr>
          <w:rFonts w:hint="eastAsia" w:ascii="宋体" w:hAnsi="宋体"/>
          <w:sz w:val="24"/>
        </w:rPr>
        <w:t>16.1 卖方应按照合同中买方规定的时间交货和提供服务。</w:t>
      </w:r>
    </w:p>
    <w:p>
      <w:pPr>
        <w:spacing w:line="360" w:lineRule="auto"/>
        <w:ind w:firstLine="560"/>
        <w:rPr>
          <w:rFonts w:ascii="宋体" w:hAnsi="宋体"/>
          <w:sz w:val="24"/>
        </w:rPr>
      </w:pPr>
      <w:r>
        <w:rPr>
          <w:rFonts w:hint="eastAsia" w:ascii="宋体" w:hAnsi="宋体"/>
          <w:sz w:val="24"/>
        </w:rPr>
        <w:t>16.2 除卖方因不可抗力外而拖延交货将受到以下制裁：按18.1条加收误期赔偿。</w:t>
      </w:r>
    </w:p>
    <w:p>
      <w:pPr>
        <w:spacing w:line="360" w:lineRule="auto"/>
        <w:rPr>
          <w:rFonts w:ascii="宋体" w:hAnsi="宋体"/>
          <w:b/>
          <w:bCs/>
          <w:sz w:val="24"/>
        </w:rPr>
      </w:pPr>
      <w:r>
        <w:rPr>
          <w:rFonts w:hint="eastAsia" w:ascii="宋体" w:hAnsi="宋体"/>
          <w:b/>
          <w:bCs/>
          <w:sz w:val="24"/>
        </w:rPr>
        <w:t>17、延期付款</w:t>
      </w:r>
    </w:p>
    <w:p>
      <w:pPr>
        <w:spacing w:line="360" w:lineRule="auto"/>
        <w:ind w:firstLine="560"/>
        <w:rPr>
          <w:rFonts w:ascii="宋体" w:hAnsi="宋体"/>
          <w:sz w:val="24"/>
        </w:rPr>
      </w:pPr>
      <w:r>
        <w:rPr>
          <w:rFonts w:hint="eastAsia" w:ascii="宋体" w:hAnsi="宋体"/>
          <w:sz w:val="24"/>
        </w:rPr>
        <w:t>买方应按照合同条款前附表中的付款条件，按时付款。</w:t>
      </w:r>
    </w:p>
    <w:p>
      <w:pPr>
        <w:spacing w:line="360" w:lineRule="auto"/>
        <w:rPr>
          <w:rFonts w:ascii="宋体" w:hAnsi="宋体"/>
          <w:b/>
          <w:bCs/>
          <w:sz w:val="24"/>
        </w:rPr>
      </w:pPr>
      <w:r>
        <w:rPr>
          <w:rFonts w:hint="eastAsia" w:ascii="宋体" w:hAnsi="宋体"/>
          <w:b/>
          <w:bCs/>
          <w:sz w:val="24"/>
        </w:rPr>
        <w:t>18、误期赔偿</w:t>
      </w:r>
    </w:p>
    <w:p>
      <w:pPr>
        <w:spacing w:line="360" w:lineRule="auto"/>
        <w:ind w:firstLine="560"/>
        <w:rPr>
          <w:rFonts w:ascii="宋体" w:hAnsi="宋体"/>
          <w:sz w:val="24"/>
        </w:rPr>
      </w:pPr>
      <w:r>
        <w:rPr>
          <w:rFonts w:hint="eastAsia" w:ascii="宋体" w:hAnsi="宋体"/>
          <w:sz w:val="24"/>
        </w:rPr>
        <w:t>除合同第19条规定外，如果卖方没有按照合同规定的时间交货和提供服务，买方应从货款中扣除误期赔偿费而不影响合同项下的其它补救方法，赔偿费按合同总价款每天0.1%计收。 但违约损失赔偿的最高限额为迟交设备或未提供服务的合同价的30%。如果达到最高限额，买方有权终止合同。</w:t>
      </w:r>
    </w:p>
    <w:p>
      <w:pPr>
        <w:spacing w:line="360" w:lineRule="auto"/>
        <w:rPr>
          <w:rFonts w:ascii="宋体" w:hAnsi="宋体"/>
          <w:b/>
          <w:bCs/>
          <w:sz w:val="24"/>
        </w:rPr>
      </w:pPr>
      <w:r>
        <w:rPr>
          <w:rFonts w:hint="eastAsia" w:ascii="宋体" w:hAnsi="宋体"/>
          <w:b/>
          <w:bCs/>
          <w:sz w:val="24"/>
        </w:rPr>
        <w:t>19、不可抗力</w:t>
      </w:r>
    </w:p>
    <w:p>
      <w:pPr>
        <w:spacing w:line="360" w:lineRule="auto"/>
        <w:ind w:firstLine="560"/>
        <w:rPr>
          <w:rFonts w:ascii="宋体" w:hAnsi="宋体"/>
          <w:sz w:val="24"/>
        </w:rPr>
      </w:pPr>
      <w:r>
        <w:rPr>
          <w:rFonts w:hint="eastAsia" w:ascii="宋体" w:hAnsi="宋体"/>
          <w:sz w:val="24"/>
        </w:rPr>
        <w:t>19.1 签约双方任一方由于受诸如战争、严重火灾、洪水、台风、地震等不可抗力事故的影响而不能执行合同时，履行合同的期限应予以延长，则延长的期限应相当于事故所影响的时间。不可抗力事故系指买卖双方在缔结合同时所不能预见的，并且它的发生及其后果是无法避免和无法克服的。</w:t>
      </w:r>
    </w:p>
    <w:p>
      <w:pPr>
        <w:spacing w:line="360" w:lineRule="auto"/>
        <w:ind w:firstLine="560"/>
        <w:rPr>
          <w:rFonts w:ascii="宋体" w:hAnsi="宋体"/>
          <w:sz w:val="24"/>
        </w:rPr>
      </w:pPr>
      <w:r>
        <w:rPr>
          <w:rFonts w:hint="eastAsia" w:ascii="宋体" w:hAnsi="宋体"/>
          <w:sz w:val="24"/>
        </w:rPr>
        <w:t>19.2 受阻一方应在不可抗力事故发生后尽快用电报或电传通知对方，并于事故发生后14天内将有关当局出具的证明文件用挂号信寄给对方审阅确认。一旦不可抗力事故的影响持续120天以上，双方应通过友好协商在合理的时间内达成进一步履行合同的协议。</w:t>
      </w:r>
    </w:p>
    <w:p>
      <w:pPr>
        <w:spacing w:line="360" w:lineRule="auto"/>
        <w:rPr>
          <w:rFonts w:ascii="宋体" w:hAnsi="宋体"/>
          <w:b/>
          <w:bCs/>
          <w:sz w:val="24"/>
        </w:rPr>
      </w:pPr>
      <w:r>
        <w:rPr>
          <w:rFonts w:hint="eastAsia" w:ascii="宋体" w:hAnsi="宋体"/>
          <w:b/>
          <w:bCs/>
          <w:sz w:val="24"/>
        </w:rPr>
        <w:t>20、税费</w:t>
      </w:r>
    </w:p>
    <w:p>
      <w:pPr>
        <w:spacing w:line="360" w:lineRule="auto"/>
        <w:ind w:firstLine="560"/>
        <w:rPr>
          <w:rFonts w:ascii="宋体" w:hAnsi="宋体"/>
          <w:sz w:val="24"/>
        </w:rPr>
      </w:pPr>
      <w:r>
        <w:rPr>
          <w:rFonts w:hint="eastAsia" w:ascii="宋体" w:hAnsi="宋体"/>
          <w:sz w:val="24"/>
        </w:rPr>
        <w:t>卖方应承担根据现行税法向卖方课征的与履行本合同有关的一切税费。</w:t>
      </w:r>
    </w:p>
    <w:p>
      <w:pPr>
        <w:spacing w:line="360" w:lineRule="auto"/>
        <w:rPr>
          <w:rFonts w:ascii="宋体" w:hAnsi="宋体"/>
          <w:b/>
          <w:bCs/>
          <w:sz w:val="24"/>
        </w:rPr>
      </w:pPr>
      <w:r>
        <w:rPr>
          <w:rFonts w:hint="eastAsia" w:ascii="宋体" w:hAnsi="宋体"/>
          <w:b/>
          <w:bCs/>
          <w:sz w:val="24"/>
        </w:rPr>
        <w:t>21、履约保证金（无）</w:t>
      </w:r>
    </w:p>
    <w:p>
      <w:pPr>
        <w:spacing w:line="360" w:lineRule="auto"/>
        <w:ind w:firstLine="560"/>
        <w:rPr>
          <w:rFonts w:ascii="宋体" w:hAnsi="宋体"/>
          <w:sz w:val="24"/>
        </w:rPr>
      </w:pPr>
      <w:r>
        <w:rPr>
          <w:rFonts w:hint="eastAsia" w:ascii="宋体" w:hAnsi="宋体"/>
          <w:sz w:val="24"/>
        </w:rPr>
        <w:t>21.1 卖方应在收到中标通知书后7天内向买方提交合同条款前附表中所规定金额的履约保证金。</w:t>
      </w:r>
    </w:p>
    <w:p>
      <w:pPr>
        <w:spacing w:line="360" w:lineRule="auto"/>
        <w:ind w:firstLine="560"/>
        <w:rPr>
          <w:rFonts w:ascii="宋体" w:hAnsi="宋体"/>
          <w:sz w:val="24"/>
        </w:rPr>
      </w:pPr>
      <w:r>
        <w:rPr>
          <w:rFonts w:hint="eastAsia" w:ascii="宋体" w:hAnsi="宋体"/>
          <w:sz w:val="24"/>
        </w:rPr>
        <w:t>21.2 履约保证金用于补偿买方因卖方不能完成其合同义务而蒙受的损失。</w:t>
      </w:r>
    </w:p>
    <w:p>
      <w:pPr>
        <w:spacing w:line="360" w:lineRule="auto"/>
        <w:ind w:firstLine="560"/>
        <w:rPr>
          <w:rFonts w:ascii="宋体" w:hAnsi="宋体"/>
          <w:sz w:val="24"/>
        </w:rPr>
      </w:pPr>
      <w:r>
        <w:rPr>
          <w:rFonts w:hint="eastAsia" w:ascii="宋体" w:hAnsi="宋体"/>
          <w:sz w:val="24"/>
        </w:rPr>
        <w:t>21.3 履约保证金应采用人民币，并采用下述方式之一:电汇（汇票）或支票或现金。</w:t>
      </w:r>
    </w:p>
    <w:p>
      <w:pPr>
        <w:spacing w:line="360" w:lineRule="auto"/>
        <w:ind w:firstLine="560"/>
        <w:rPr>
          <w:rFonts w:ascii="宋体" w:hAnsi="宋体"/>
          <w:sz w:val="24"/>
        </w:rPr>
      </w:pPr>
      <w:r>
        <w:rPr>
          <w:rFonts w:hint="eastAsia" w:ascii="宋体" w:hAnsi="宋体"/>
          <w:sz w:val="24"/>
        </w:rPr>
        <w:t>21.4如果卖方未能按合同规定履行其义务，买方有权从履约保证金中取得补偿。</w:t>
      </w:r>
    </w:p>
    <w:p>
      <w:pPr>
        <w:spacing w:line="360" w:lineRule="auto"/>
        <w:rPr>
          <w:rFonts w:ascii="宋体" w:hAnsi="宋体"/>
          <w:b/>
          <w:bCs/>
          <w:sz w:val="24"/>
        </w:rPr>
      </w:pPr>
      <w:r>
        <w:rPr>
          <w:rFonts w:hint="eastAsia" w:ascii="宋体" w:hAnsi="宋体"/>
          <w:b/>
          <w:bCs/>
          <w:sz w:val="24"/>
        </w:rPr>
        <w:t>22、争端的解决</w:t>
      </w:r>
    </w:p>
    <w:p>
      <w:pPr>
        <w:spacing w:line="360" w:lineRule="auto"/>
        <w:ind w:firstLine="480" w:firstLineChars="200"/>
        <w:rPr>
          <w:rFonts w:ascii="宋体" w:hAnsi="宋体"/>
          <w:sz w:val="24"/>
        </w:rPr>
      </w:pPr>
      <w:r>
        <w:rPr>
          <w:rFonts w:hint="eastAsia" w:ascii="宋体" w:hAnsi="宋体"/>
          <w:sz w:val="24"/>
        </w:rPr>
        <w:t>22.1 在执行本合同中发生的或与本合同有关的争端，双方应通过友好协商解决，经协商不能达成协议时，双方均可向</w:t>
      </w:r>
      <w:r>
        <w:rPr>
          <w:rFonts w:hint="eastAsia" w:ascii="宋体" w:hAnsi="宋体"/>
          <w:sz w:val="24"/>
          <w:lang w:val="en-US" w:eastAsia="zh-CN"/>
        </w:rPr>
        <w:t>甲方</w:t>
      </w:r>
      <w:r>
        <w:rPr>
          <w:rFonts w:hint="eastAsia" w:ascii="宋体" w:hAnsi="宋体"/>
          <w:sz w:val="24"/>
        </w:rPr>
        <w:t>所在地人民法院提起诉讼。</w:t>
      </w:r>
    </w:p>
    <w:p>
      <w:pPr>
        <w:spacing w:line="360" w:lineRule="auto"/>
        <w:ind w:firstLine="480" w:firstLineChars="200"/>
        <w:rPr>
          <w:rFonts w:ascii="宋体" w:hAnsi="宋体"/>
          <w:sz w:val="24"/>
        </w:rPr>
      </w:pPr>
      <w:r>
        <w:rPr>
          <w:rFonts w:hint="eastAsia" w:ascii="宋体" w:hAnsi="宋体"/>
          <w:sz w:val="24"/>
        </w:rPr>
        <w:t>22.2 在诉讼期间，除正在进行诉讼部分外，合同其它部分继续执行。</w:t>
      </w:r>
    </w:p>
    <w:p>
      <w:pPr>
        <w:spacing w:line="360" w:lineRule="auto"/>
        <w:rPr>
          <w:rFonts w:ascii="宋体" w:hAnsi="宋体"/>
          <w:b/>
          <w:bCs/>
          <w:sz w:val="24"/>
        </w:rPr>
      </w:pPr>
      <w:r>
        <w:rPr>
          <w:rFonts w:hint="eastAsia" w:ascii="宋体" w:hAnsi="宋体"/>
          <w:b/>
          <w:bCs/>
          <w:sz w:val="24"/>
        </w:rPr>
        <w:t>23、违约终止合同</w:t>
      </w:r>
    </w:p>
    <w:p>
      <w:pPr>
        <w:spacing w:line="360" w:lineRule="auto"/>
        <w:rPr>
          <w:rFonts w:ascii="宋体" w:hAnsi="宋体"/>
          <w:sz w:val="24"/>
        </w:rPr>
      </w:pPr>
      <w:r>
        <w:rPr>
          <w:rFonts w:hint="eastAsia" w:ascii="宋体" w:hAnsi="宋体"/>
          <w:sz w:val="24"/>
        </w:rPr>
        <w:t xml:space="preserve">    23.1出现下列情况之一的，买方可向卖方发出书面通知书，提出终止部分或全部合同。</w:t>
      </w:r>
    </w:p>
    <w:p>
      <w:pPr>
        <w:spacing w:line="360" w:lineRule="auto"/>
        <w:rPr>
          <w:rFonts w:ascii="宋体" w:hAnsi="宋体"/>
          <w:sz w:val="24"/>
        </w:rPr>
      </w:pPr>
      <w:r>
        <w:rPr>
          <w:rFonts w:hint="eastAsia" w:ascii="宋体" w:hAnsi="宋体"/>
          <w:sz w:val="24"/>
        </w:rPr>
        <w:t xml:space="preserve">    (1) 如果卖方未能在合同规定的限期内或买方同意延长的限期内完成并交付工程；</w:t>
      </w:r>
    </w:p>
    <w:p>
      <w:pPr>
        <w:spacing w:line="360" w:lineRule="auto"/>
        <w:rPr>
          <w:rFonts w:ascii="宋体" w:hAnsi="宋体"/>
          <w:sz w:val="24"/>
        </w:rPr>
      </w:pPr>
      <w:r>
        <w:rPr>
          <w:rFonts w:hint="eastAsia" w:ascii="宋体" w:hAnsi="宋体"/>
          <w:sz w:val="24"/>
        </w:rPr>
        <w:t xml:space="preserve">    (2) 如果卖方未能履行合同规定的其它相关义务；</w:t>
      </w:r>
    </w:p>
    <w:p>
      <w:pPr>
        <w:spacing w:line="360" w:lineRule="auto"/>
        <w:ind w:firstLine="480"/>
        <w:rPr>
          <w:rFonts w:ascii="宋体" w:hAnsi="宋体"/>
          <w:sz w:val="24"/>
        </w:rPr>
      </w:pPr>
      <w:r>
        <w:rPr>
          <w:rFonts w:hint="eastAsia" w:ascii="宋体" w:hAnsi="宋体"/>
          <w:sz w:val="24"/>
        </w:rPr>
        <w:t>(3) 如果买方认为卖方在本合同的竞争或实施中有不正当行为；</w:t>
      </w:r>
    </w:p>
    <w:p>
      <w:pPr>
        <w:spacing w:line="360" w:lineRule="auto"/>
        <w:ind w:firstLine="480"/>
        <w:rPr>
          <w:rFonts w:ascii="宋体" w:hAnsi="宋体"/>
          <w:sz w:val="24"/>
        </w:rPr>
      </w:pPr>
      <w:r>
        <w:rPr>
          <w:rFonts w:hint="eastAsia" w:ascii="宋体" w:hAnsi="宋体"/>
          <w:sz w:val="24"/>
        </w:rPr>
        <w:t>(4) 成交人未按谈判响应性文件实施。</w:t>
      </w:r>
    </w:p>
    <w:p>
      <w:pPr>
        <w:spacing w:line="360" w:lineRule="auto"/>
        <w:rPr>
          <w:rFonts w:ascii="宋体" w:hAnsi="宋体"/>
          <w:sz w:val="24"/>
        </w:rPr>
      </w:pPr>
      <w:r>
        <w:rPr>
          <w:rFonts w:hint="eastAsia" w:ascii="宋体" w:hAnsi="宋体"/>
          <w:sz w:val="24"/>
        </w:rPr>
        <w:t xml:space="preserve">    23.2 如果买方根据上述第23.1条规定，终止了全部或部分合同，买方可以依其认为适当的条件和方法购买与未交设备类似的设备，卖方应承担买方购买类似设备所超出的部分费用。但是卖方应继续执行合同中未终止的部分。</w:t>
      </w:r>
    </w:p>
    <w:p>
      <w:pPr>
        <w:spacing w:line="360" w:lineRule="auto"/>
        <w:rPr>
          <w:rFonts w:ascii="宋体" w:hAnsi="宋体"/>
          <w:b/>
          <w:bCs/>
          <w:sz w:val="24"/>
        </w:rPr>
      </w:pPr>
      <w:r>
        <w:rPr>
          <w:rFonts w:hint="eastAsia" w:ascii="宋体" w:hAnsi="宋体"/>
          <w:b/>
          <w:bCs/>
          <w:sz w:val="24"/>
        </w:rPr>
        <w:t>24、转让与分包</w:t>
      </w:r>
    </w:p>
    <w:p>
      <w:pPr>
        <w:spacing w:line="360" w:lineRule="auto"/>
        <w:ind w:firstLine="560"/>
        <w:rPr>
          <w:rFonts w:ascii="宋体" w:hAnsi="宋体"/>
          <w:sz w:val="24"/>
        </w:rPr>
      </w:pPr>
      <w:r>
        <w:rPr>
          <w:rFonts w:hint="eastAsia" w:ascii="宋体" w:hAnsi="宋体"/>
          <w:sz w:val="24"/>
        </w:rPr>
        <w:t>除买方书面同意外，卖方不得部分转让或全部转让其应履行的合同项下的义务。</w:t>
      </w:r>
    </w:p>
    <w:p>
      <w:pPr>
        <w:spacing w:line="360" w:lineRule="auto"/>
        <w:rPr>
          <w:rFonts w:ascii="宋体" w:hAnsi="宋体"/>
          <w:b/>
          <w:bCs/>
          <w:sz w:val="24"/>
        </w:rPr>
      </w:pPr>
      <w:r>
        <w:rPr>
          <w:rFonts w:hint="eastAsia" w:ascii="宋体" w:hAnsi="宋体"/>
          <w:b/>
          <w:bCs/>
          <w:sz w:val="24"/>
        </w:rPr>
        <w:t>25、通知</w:t>
      </w:r>
    </w:p>
    <w:p>
      <w:pPr>
        <w:spacing w:line="360" w:lineRule="auto"/>
        <w:ind w:firstLine="560"/>
        <w:rPr>
          <w:rFonts w:ascii="宋体" w:hAnsi="宋体"/>
          <w:sz w:val="24"/>
        </w:rPr>
      </w:pPr>
      <w:r>
        <w:rPr>
          <w:rFonts w:hint="eastAsia" w:ascii="宋体" w:hAnsi="宋体"/>
          <w:sz w:val="24"/>
        </w:rPr>
        <w:t>本合同任何一方给另一方的通知都应以书面的形式发送，该通知发送到本合同所确认的通讯地址即视为送达。</w:t>
      </w:r>
    </w:p>
    <w:p>
      <w:pPr>
        <w:spacing w:line="360" w:lineRule="auto"/>
        <w:rPr>
          <w:rFonts w:ascii="宋体" w:hAnsi="宋体"/>
          <w:b/>
          <w:bCs/>
          <w:sz w:val="24"/>
        </w:rPr>
      </w:pPr>
      <w:r>
        <w:rPr>
          <w:rFonts w:hint="eastAsia" w:ascii="宋体" w:hAnsi="宋体"/>
          <w:b/>
          <w:bCs/>
          <w:sz w:val="24"/>
        </w:rPr>
        <w:t>26、合同生效及其它</w:t>
      </w:r>
    </w:p>
    <w:p>
      <w:pPr>
        <w:spacing w:line="360" w:lineRule="auto"/>
        <w:ind w:firstLine="480" w:firstLineChars="200"/>
        <w:rPr>
          <w:rFonts w:ascii="宋体" w:hAnsi="宋体"/>
          <w:sz w:val="24"/>
        </w:rPr>
      </w:pPr>
      <w:r>
        <w:rPr>
          <w:rFonts w:hint="eastAsia" w:ascii="宋体" w:hAnsi="宋体"/>
          <w:sz w:val="24"/>
        </w:rPr>
        <w:t>如需修改合同内容，双方应签署书面修改或补充协议，该修改协议作为本合同的一个组成部分。</w:t>
      </w:r>
    </w:p>
    <w:p/>
    <w:p/>
    <w:p/>
    <w:p>
      <w:pPr>
        <w:rPr>
          <w:rFonts w:ascii="Arial" w:hAnsi="Arial" w:cs="Arial"/>
          <w:b/>
          <w:sz w:val="32"/>
          <w:szCs w:val="32"/>
        </w:rPr>
      </w:pPr>
    </w:p>
    <w:p>
      <w:pPr>
        <w:pStyle w:val="12"/>
      </w:pPr>
    </w:p>
    <w:p/>
    <w:p>
      <w:pPr>
        <w:pStyle w:val="3"/>
        <w:spacing w:after="100" w:afterAutospacing="1" w:line="360" w:lineRule="auto"/>
        <w:ind w:left="0" w:firstLine="0"/>
        <w:jc w:val="center"/>
        <w:rPr>
          <w:rFonts w:ascii="Arial" w:hAnsi="Arial" w:cs="Arial"/>
          <w:sz w:val="32"/>
          <w:szCs w:val="32"/>
        </w:rPr>
      </w:pPr>
    </w:p>
    <w:p/>
    <w:p>
      <w:pPr>
        <w:rPr>
          <w:b/>
          <w:sz w:val="32"/>
          <w:szCs w:val="32"/>
        </w:rPr>
      </w:pPr>
    </w:p>
    <w:bookmarkEnd w:id="110"/>
    <w:bookmarkEnd w:id="111"/>
    <w:bookmarkEnd w:id="112"/>
    <w:bookmarkEnd w:id="113"/>
    <w:p>
      <w:pPr>
        <w:spacing w:line="360" w:lineRule="auto"/>
        <w:jc w:val="center"/>
        <w:rPr>
          <w:rFonts w:ascii="宋体" w:hAnsi="宋体"/>
          <w:sz w:val="32"/>
          <w:szCs w:val="32"/>
        </w:rPr>
      </w:pPr>
      <w:bookmarkStart w:id="114" w:name="_Toc400536594"/>
      <w:bookmarkStart w:id="115" w:name="_Toc386793556"/>
      <w:r>
        <w:rPr>
          <w:rFonts w:hint="eastAsia" w:ascii="宋体" w:hAnsi="宋体"/>
          <w:b/>
          <w:sz w:val="32"/>
          <w:szCs w:val="32"/>
        </w:rPr>
        <w:t>第七章  附件</w:t>
      </w:r>
    </w:p>
    <w:bookmarkEnd w:id="114"/>
    <w:bookmarkEnd w:id="115"/>
    <w:p>
      <w:pPr>
        <w:spacing w:line="360" w:lineRule="auto"/>
        <w:ind w:firstLine="472" w:firstLineChars="197"/>
        <w:rPr>
          <w:rFonts w:ascii="宋体" w:hAnsi="宋体"/>
          <w:sz w:val="24"/>
        </w:rPr>
      </w:pPr>
      <w:r>
        <w:rPr>
          <w:rFonts w:hint="eastAsia" w:ascii="宋体" w:hAnsi="宋体"/>
          <w:sz w:val="24"/>
        </w:rPr>
        <w:t>1</w:t>
      </w:r>
      <w:r>
        <w:rPr>
          <w:rFonts w:hint="eastAsia" w:ascii="宋体" w:hAnsi="宋体"/>
          <w:sz w:val="24"/>
          <w:lang w:eastAsia="zh-CN"/>
        </w:rPr>
        <w:t>、</w:t>
      </w:r>
      <w:r>
        <w:rPr>
          <w:rFonts w:hint="eastAsia" w:ascii="宋体" w:hAnsi="宋体"/>
          <w:sz w:val="24"/>
        </w:rPr>
        <w:t xml:space="preserve"> 响应文件封面格式</w:t>
      </w:r>
      <w:r>
        <w:rPr>
          <w:rFonts w:hint="eastAsia" w:ascii="宋体" w:hAnsi="宋体"/>
          <w:sz w:val="24"/>
          <w:lang w:eastAsia="zh-CN"/>
        </w:rPr>
        <w:t>（</w:t>
      </w:r>
      <w:r>
        <w:rPr>
          <w:rFonts w:hint="eastAsia" w:ascii="宋体" w:hAnsi="宋体"/>
          <w:sz w:val="24"/>
        </w:rPr>
        <w:t>附件1</w:t>
      </w:r>
      <w:r>
        <w:rPr>
          <w:rFonts w:hint="eastAsia" w:ascii="宋体" w:hAnsi="宋体"/>
          <w:sz w:val="24"/>
          <w:lang w:eastAsia="zh-CN"/>
        </w:rPr>
        <w:t>）</w:t>
      </w:r>
      <w:r>
        <w:rPr>
          <w:rFonts w:hint="eastAsia" w:ascii="宋体" w:hAnsi="宋体"/>
          <w:sz w:val="24"/>
        </w:rPr>
        <w:t xml:space="preserve"> </w:t>
      </w:r>
    </w:p>
    <w:p>
      <w:pPr>
        <w:spacing w:line="360" w:lineRule="auto"/>
        <w:ind w:firstLine="480" w:firstLineChars="200"/>
        <w:rPr>
          <w:rFonts w:hint="eastAsia" w:ascii="宋体" w:hAnsi="宋体" w:eastAsia="宋体"/>
          <w:sz w:val="24"/>
          <w:lang w:eastAsia="zh-CN"/>
        </w:rPr>
      </w:pPr>
      <w:r>
        <w:rPr>
          <w:rFonts w:hint="eastAsia" w:ascii="宋体" w:hAnsi="宋体"/>
          <w:sz w:val="24"/>
        </w:rPr>
        <w:t>2</w:t>
      </w:r>
      <w:r>
        <w:rPr>
          <w:rFonts w:hint="eastAsia" w:ascii="宋体" w:hAnsi="宋体"/>
          <w:sz w:val="24"/>
          <w:lang w:eastAsia="zh-CN"/>
        </w:rPr>
        <w:t>、</w:t>
      </w:r>
      <w:r>
        <w:rPr>
          <w:rFonts w:hint="eastAsia" w:ascii="宋体" w:hAnsi="宋体"/>
          <w:sz w:val="24"/>
        </w:rPr>
        <w:t>磋商响应函</w:t>
      </w:r>
      <w:r>
        <w:rPr>
          <w:rFonts w:hint="eastAsia" w:ascii="宋体" w:hAnsi="宋体"/>
          <w:sz w:val="24"/>
          <w:lang w:eastAsia="zh-CN"/>
        </w:rPr>
        <w:t>（</w:t>
      </w:r>
      <w:r>
        <w:rPr>
          <w:rFonts w:hint="eastAsia" w:ascii="宋体" w:hAnsi="宋体"/>
          <w:sz w:val="24"/>
        </w:rPr>
        <w:t>附件2</w:t>
      </w:r>
      <w:r>
        <w:rPr>
          <w:rFonts w:hint="eastAsia" w:ascii="宋体" w:hAnsi="宋体"/>
          <w:sz w:val="24"/>
          <w:lang w:eastAsia="zh-CN"/>
        </w:rPr>
        <w:t>）</w:t>
      </w:r>
    </w:p>
    <w:p>
      <w:pPr>
        <w:spacing w:line="360" w:lineRule="auto"/>
        <w:ind w:firstLine="480" w:firstLineChars="200"/>
        <w:textAlignment w:val="baseline"/>
        <w:rPr>
          <w:rFonts w:hint="eastAsia" w:ascii="宋体" w:hAnsi="宋体" w:eastAsia="宋体"/>
          <w:color w:val="000000"/>
          <w:sz w:val="24"/>
          <w:lang w:val="en-US" w:eastAsia="zh-CN"/>
        </w:rPr>
      </w:pPr>
      <w:r>
        <w:rPr>
          <w:rFonts w:hint="eastAsia" w:ascii="宋体" w:hAnsi="宋体"/>
          <w:sz w:val="24"/>
        </w:rPr>
        <w:t>3</w:t>
      </w:r>
      <w:r>
        <w:rPr>
          <w:rFonts w:hint="eastAsia" w:ascii="宋体" w:hAnsi="宋体"/>
          <w:sz w:val="24"/>
          <w:lang w:eastAsia="zh-CN"/>
        </w:rPr>
        <w:t>、</w:t>
      </w:r>
      <w:r>
        <w:rPr>
          <w:rFonts w:hint="eastAsia" w:ascii="宋体" w:hAnsi="宋体"/>
          <w:color w:val="000000"/>
          <w:sz w:val="24"/>
        </w:rPr>
        <w:t>法定代表人身份证明</w:t>
      </w:r>
      <w:r>
        <w:rPr>
          <w:rFonts w:hint="eastAsia" w:ascii="宋体" w:hAnsi="宋体"/>
          <w:color w:val="000000"/>
          <w:sz w:val="24"/>
          <w:lang w:eastAsia="zh-CN"/>
        </w:rPr>
        <w:t>（</w:t>
      </w:r>
      <w:r>
        <w:rPr>
          <w:rFonts w:hint="eastAsia" w:ascii="宋体" w:hAnsi="宋体"/>
          <w:sz w:val="24"/>
        </w:rPr>
        <w:t>附件</w:t>
      </w:r>
      <w:r>
        <w:rPr>
          <w:rFonts w:hint="eastAsia" w:ascii="宋体" w:hAnsi="宋体"/>
          <w:sz w:val="24"/>
          <w:lang w:val="en-US" w:eastAsia="zh-CN"/>
        </w:rPr>
        <w:t>3）</w:t>
      </w:r>
    </w:p>
    <w:p>
      <w:pPr>
        <w:spacing w:line="360" w:lineRule="auto"/>
        <w:ind w:firstLine="480" w:firstLineChars="200"/>
        <w:rPr>
          <w:rFonts w:hint="eastAsia" w:ascii="宋体" w:hAnsi="宋体" w:eastAsia="宋体"/>
          <w:sz w:val="24"/>
          <w:lang w:val="en-US" w:eastAsia="zh-CN"/>
        </w:rPr>
      </w:pPr>
      <w:r>
        <w:rPr>
          <w:rFonts w:hint="eastAsia" w:ascii="宋体" w:hAnsi="宋体"/>
          <w:sz w:val="24"/>
        </w:rPr>
        <w:t>4</w:t>
      </w:r>
      <w:r>
        <w:rPr>
          <w:rFonts w:hint="eastAsia" w:ascii="宋体" w:hAnsi="宋体"/>
          <w:sz w:val="24"/>
          <w:lang w:eastAsia="zh-CN"/>
        </w:rPr>
        <w:t>、</w:t>
      </w:r>
      <w:r>
        <w:rPr>
          <w:rFonts w:hint="eastAsia" w:ascii="宋体" w:hAnsi="宋体"/>
          <w:color w:val="000000"/>
          <w:sz w:val="24"/>
        </w:rPr>
        <w:t>法定代表人授权委托书</w:t>
      </w:r>
      <w:r>
        <w:rPr>
          <w:rFonts w:hint="eastAsia" w:ascii="宋体" w:hAnsi="宋体"/>
          <w:color w:val="000000"/>
          <w:sz w:val="24"/>
          <w:lang w:eastAsia="zh-CN"/>
        </w:rPr>
        <w:t>（</w:t>
      </w:r>
      <w:r>
        <w:rPr>
          <w:rFonts w:hint="eastAsia" w:ascii="宋体" w:hAnsi="宋体"/>
          <w:sz w:val="24"/>
        </w:rPr>
        <w:t>附件</w:t>
      </w:r>
      <w:r>
        <w:rPr>
          <w:rFonts w:hint="eastAsia" w:ascii="宋体" w:hAnsi="宋体"/>
          <w:sz w:val="24"/>
          <w:lang w:val="en-US" w:eastAsia="zh-CN"/>
        </w:rPr>
        <w:t>4）</w:t>
      </w:r>
    </w:p>
    <w:p>
      <w:pPr>
        <w:spacing w:line="360" w:lineRule="auto"/>
        <w:ind w:firstLine="480" w:firstLineChars="200"/>
        <w:rPr>
          <w:rFonts w:hint="eastAsia" w:ascii="宋体" w:hAnsi="宋体" w:eastAsia="宋体"/>
          <w:sz w:val="24"/>
          <w:lang w:val="en-US" w:eastAsia="zh-CN"/>
        </w:rPr>
      </w:pPr>
      <w:r>
        <w:rPr>
          <w:rFonts w:hint="eastAsia" w:ascii="宋体" w:hAnsi="宋体"/>
          <w:sz w:val="24"/>
        </w:rPr>
        <w:t>5</w:t>
      </w:r>
      <w:r>
        <w:rPr>
          <w:rFonts w:hint="eastAsia" w:ascii="宋体" w:hAnsi="宋体"/>
          <w:sz w:val="24"/>
          <w:lang w:eastAsia="zh-CN"/>
        </w:rPr>
        <w:t>、</w:t>
      </w:r>
      <w:r>
        <w:rPr>
          <w:rFonts w:hint="eastAsia" w:ascii="宋体" w:hAnsi="宋体"/>
          <w:sz w:val="24"/>
        </w:rPr>
        <w:t>供应商资格证明材料</w:t>
      </w:r>
      <w:r>
        <w:rPr>
          <w:rFonts w:hint="eastAsia" w:ascii="宋体" w:hAnsi="宋体"/>
          <w:sz w:val="24"/>
          <w:lang w:eastAsia="zh-CN"/>
        </w:rPr>
        <w:t>（</w:t>
      </w:r>
      <w:r>
        <w:rPr>
          <w:rFonts w:hint="eastAsia" w:ascii="宋体" w:hAnsi="宋体"/>
          <w:sz w:val="24"/>
        </w:rPr>
        <w:t>附件</w:t>
      </w:r>
      <w:r>
        <w:rPr>
          <w:rFonts w:hint="eastAsia" w:ascii="宋体" w:hAnsi="宋体"/>
          <w:sz w:val="24"/>
          <w:lang w:val="en-US" w:eastAsia="zh-CN"/>
        </w:rPr>
        <w:t>5）</w:t>
      </w:r>
    </w:p>
    <w:p>
      <w:pPr>
        <w:spacing w:line="360" w:lineRule="auto"/>
        <w:ind w:firstLine="480" w:firstLineChars="200"/>
        <w:rPr>
          <w:rFonts w:hint="eastAsia" w:ascii="宋体" w:hAnsi="宋体" w:eastAsia="宋体"/>
          <w:sz w:val="24"/>
          <w:lang w:val="en-US" w:eastAsia="zh-CN"/>
        </w:rPr>
      </w:pPr>
      <w:r>
        <w:rPr>
          <w:rFonts w:hint="eastAsia" w:ascii="宋体" w:hAnsi="宋体"/>
          <w:sz w:val="24"/>
        </w:rPr>
        <w:t>6</w:t>
      </w:r>
      <w:r>
        <w:rPr>
          <w:rFonts w:hint="eastAsia" w:ascii="宋体" w:hAnsi="宋体"/>
          <w:sz w:val="24"/>
          <w:lang w:eastAsia="zh-CN"/>
        </w:rPr>
        <w:t>、</w:t>
      </w:r>
      <w:r>
        <w:rPr>
          <w:rFonts w:hint="eastAsia" w:ascii="宋体" w:hAnsi="宋体"/>
          <w:sz w:val="24"/>
        </w:rPr>
        <w:t>磋商报价表</w:t>
      </w:r>
      <w:r>
        <w:rPr>
          <w:rFonts w:hint="eastAsia" w:ascii="宋体" w:hAnsi="宋体"/>
          <w:sz w:val="24"/>
          <w:lang w:eastAsia="zh-CN"/>
        </w:rPr>
        <w:t>（</w:t>
      </w:r>
      <w:r>
        <w:rPr>
          <w:rFonts w:hint="eastAsia" w:ascii="宋体" w:hAnsi="宋体"/>
          <w:sz w:val="24"/>
        </w:rPr>
        <w:t>附件</w:t>
      </w:r>
      <w:r>
        <w:rPr>
          <w:rFonts w:hint="eastAsia" w:ascii="宋体" w:hAnsi="宋体"/>
          <w:sz w:val="24"/>
          <w:lang w:val="en-US" w:eastAsia="zh-CN"/>
        </w:rPr>
        <w:t>6）</w:t>
      </w:r>
    </w:p>
    <w:p>
      <w:pPr>
        <w:spacing w:line="360" w:lineRule="auto"/>
        <w:ind w:firstLine="480" w:firstLineChars="200"/>
        <w:rPr>
          <w:rFonts w:hint="default" w:ascii="宋体" w:hAnsi="宋体" w:eastAsia="宋体"/>
          <w:sz w:val="24"/>
          <w:lang w:val="en-US" w:eastAsia="zh-CN"/>
        </w:rPr>
      </w:pPr>
      <w:r>
        <w:rPr>
          <w:rFonts w:hint="eastAsia" w:ascii="宋体" w:hAnsi="宋体"/>
          <w:sz w:val="24"/>
        </w:rPr>
        <w:t>7</w:t>
      </w:r>
      <w:r>
        <w:rPr>
          <w:rFonts w:hint="eastAsia" w:ascii="宋体" w:hAnsi="宋体"/>
          <w:sz w:val="24"/>
          <w:lang w:eastAsia="zh-CN"/>
        </w:rPr>
        <w:t>、</w:t>
      </w:r>
      <w:r>
        <w:rPr>
          <w:rFonts w:hint="eastAsia" w:ascii="宋体" w:hAnsi="宋体"/>
          <w:sz w:val="24"/>
        </w:rPr>
        <w:t>商务条款偏离表</w:t>
      </w:r>
      <w:r>
        <w:rPr>
          <w:rFonts w:hint="eastAsia" w:ascii="宋体" w:hAnsi="宋体"/>
          <w:sz w:val="24"/>
          <w:lang w:val="en-US" w:eastAsia="zh-CN"/>
        </w:rPr>
        <w:t>(</w:t>
      </w:r>
      <w:r>
        <w:rPr>
          <w:rFonts w:hint="eastAsia" w:ascii="宋体" w:hAnsi="宋体"/>
          <w:sz w:val="24"/>
        </w:rPr>
        <w:t>附件</w:t>
      </w:r>
      <w:r>
        <w:rPr>
          <w:rFonts w:hint="eastAsia" w:ascii="宋体" w:hAnsi="宋体"/>
          <w:sz w:val="24"/>
          <w:lang w:val="en-US" w:eastAsia="zh-CN"/>
        </w:rPr>
        <w:t>7)</w:t>
      </w:r>
    </w:p>
    <w:p>
      <w:pPr>
        <w:spacing w:line="360" w:lineRule="auto"/>
        <w:ind w:firstLine="480" w:firstLineChars="200"/>
        <w:rPr>
          <w:rFonts w:hint="default" w:ascii="宋体" w:hAnsi="宋体" w:eastAsia="宋体"/>
          <w:sz w:val="24"/>
          <w:lang w:val="en-US" w:eastAsia="zh-CN"/>
        </w:rPr>
      </w:pPr>
      <w:r>
        <w:rPr>
          <w:rFonts w:hint="eastAsia" w:ascii="宋体" w:hAnsi="宋体"/>
          <w:sz w:val="24"/>
        </w:rPr>
        <w:t>8</w:t>
      </w:r>
      <w:r>
        <w:rPr>
          <w:rFonts w:hint="eastAsia" w:ascii="宋体" w:hAnsi="宋体"/>
          <w:sz w:val="24"/>
          <w:lang w:eastAsia="zh-CN"/>
        </w:rPr>
        <w:t>、</w:t>
      </w:r>
      <w:r>
        <w:rPr>
          <w:rFonts w:hint="eastAsia" w:ascii="宋体" w:hAnsi="宋体"/>
          <w:sz w:val="24"/>
        </w:rPr>
        <w:t>技术条款偏离表</w:t>
      </w:r>
      <w:r>
        <w:rPr>
          <w:rFonts w:hint="eastAsia" w:ascii="宋体" w:hAnsi="宋体"/>
          <w:sz w:val="24"/>
          <w:lang w:val="en-US" w:eastAsia="zh-CN"/>
        </w:rPr>
        <w:t>(</w:t>
      </w:r>
      <w:r>
        <w:rPr>
          <w:rFonts w:hint="eastAsia" w:ascii="宋体" w:hAnsi="宋体"/>
          <w:sz w:val="24"/>
        </w:rPr>
        <w:t>附件</w:t>
      </w:r>
      <w:r>
        <w:rPr>
          <w:rFonts w:hint="eastAsia" w:ascii="宋体" w:hAnsi="宋体"/>
          <w:sz w:val="24"/>
          <w:lang w:val="en-US" w:eastAsia="zh-CN"/>
        </w:rPr>
        <w:t>8)</w:t>
      </w:r>
    </w:p>
    <w:p>
      <w:pPr>
        <w:spacing w:line="360" w:lineRule="auto"/>
        <w:ind w:firstLine="480" w:firstLineChars="200"/>
        <w:rPr>
          <w:rFonts w:hint="default" w:ascii="宋体" w:hAnsi="宋体" w:eastAsia="宋体"/>
          <w:sz w:val="24"/>
          <w:lang w:val="en-US" w:eastAsia="zh-CN"/>
        </w:rPr>
      </w:pPr>
      <w:r>
        <w:rPr>
          <w:rFonts w:hint="eastAsia" w:ascii="宋体" w:hAnsi="宋体"/>
          <w:sz w:val="24"/>
        </w:rPr>
        <w:t>9</w:t>
      </w:r>
      <w:r>
        <w:rPr>
          <w:rFonts w:hint="eastAsia" w:ascii="宋体" w:hAnsi="宋体"/>
          <w:sz w:val="24"/>
          <w:lang w:eastAsia="zh-CN"/>
        </w:rPr>
        <w:t>、</w:t>
      </w:r>
      <w:r>
        <w:rPr>
          <w:rFonts w:hint="eastAsia" w:ascii="宋体" w:hAnsi="宋体"/>
          <w:sz w:val="24"/>
          <w:lang w:val="en-US" w:eastAsia="zh-CN"/>
        </w:rPr>
        <w:t>企业类似业绩(</w:t>
      </w:r>
      <w:r>
        <w:rPr>
          <w:rFonts w:hint="eastAsia" w:ascii="宋体" w:hAnsi="宋体"/>
          <w:sz w:val="24"/>
        </w:rPr>
        <w:t>附件</w:t>
      </w:r>
      <w:r>
        <w:rPr>
          <w:rFonts w:hint="eastAsia" w:ascii="宋体" w:hAnsi="宋体"/>
          <w:sz w:val="24"/>
          <w:lang w:val="en-US" w:eastAsia="zh-CN"/>
        </w:rPr>
        <w:t>9)</w:t>
      </w:r>
    </w:p>
    <w:p>
      <w:pPr>
        <w:spacing w:line="360" w:lineRule="auto"/>
        <w:ind w:firstLine="480" w:firstLineChars="200"/>
        <w:rPr>
          <w:rFonts w:hint="default" w:ascii="宋体" w:hAnsi="宋体" w:eastAsia="宋体" w:cs="Times New Roman"/>
          <w:sz w:val="24"/>
          <w:lang w:val="en-US" w:eastAsia="zh-CN"/>
        </w:rPr>
      </w:pPr>
      <w:r>
        <w:rPr>
          <w:rFonts w:hint="default" w:ascii="宋体" w:hAnsi="宋体" w:eastAsia="宋体" w:cs="Times New Roman"/>
          <w:sz w:val="24"/>
          <w:lang w:val="en-US" w:eastAsia="zh-CN"/>
        </w:rPr>
        <w:t>10</w:t>
      </w:r>
      <w:r>
        <w:rPr>
          <w:rFonts w:hint="eastAsia" w:ascii="宋体" w:hAnsi="宋体" w:eastAsia="宋体" w:cs="Times New Roman"/>
          <w:sz w:val="24"/>
          <w:lang w:val="en-US" w:eastAsia="zh-CN"/>
        </w:rPr>
        <w:t>、宣传方案(格式自拟）</w:t>
      </w:r>
    </w:p>
    <w:p>
      <w:pPr>
        <w:spacing w:line="360" w:lineRule="auto"/>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11、项目人员配备、设备配置(格式自拟）</w:t>
      </w:r>
    </w:p>
    <w:p>
      <w:pPr>
        <w:spacing w:line="360" w:lineRule="auto"/>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12、质量控制(格式自拟）</w:t>
      </w:r>
    </w:p>
    <w:p>
      <w:pPr>
        <w:spacing w:line="360" w:lineRule="auto"/>
        <w:ind w:firstLine="480" w:firstLineChars="200"/>
        <w:rPr>
          <w:rFonts w:hint="eastAsia" w:ascii="宋体" w:hAnsi="宋体" w:eastAsia="宋体" w:cs="Times New Roman"/>
          <w:sz w:val="24"/>
          <w:lang w:val="en-US" w:eastAsia="zh-CN"/>
        </w:rPr>
      </w:pPr>
      <w:r>
        <w:rPr>
          <w:rFonts w:hint="default" w:ascii="宋体" w:hAnsi="宋体" w:eastAsia="宋体" w:cs="Times New Roman"/>
          <w:sz w:val="24"/>
          <w:lang w:val="en-US" w:eastAsia="zh-CN"/>
        </w:rPr>
        <w:t>1</w:t>
      </w:r>
      <w:r>
        <w:rPr>
          <w:rFonts w:hint="eastAsia" w:ascii="宋体" w:hAnsi="宋体" w:eastAsia="宋体" w:cs="Times New Roman"/>
          <w:sz w:val="24"/>
          <w:lang w:val="en-US" w:eastAsia="zh-CN"/>
        </w:rPr>
        <w:t>3、售后服务方案(格式自拟）</w:t>
      </w:r>
    </w:p>
    <w:p>
      <w:pPr>
        <w:spacing w:line="360" w:lineRule="auto"/>
        <w:ind w:firstLine="480" w:firstLineChars="200"/>
        <w:rPr>
          <w:rFonts w:hint="default"/>
          <w:lang w:val="en-US" w:eastAsia="zh-CN"/>
        </w:rPr>
      </w:pPr>
      <w:r>
        <w:rPr>
          <w:rFonts w:hint="default" w:ascii="宋体" w:hAnsi="宋体" w:eastAsia="宋体" w:cs="Times New Roman"/>
          <w:sz w:val="24"/>
          <w:lang w:val="en-US" w:eastAsia="zh-CN"/>
        </w:rPr>
        <w:t>1</w:t>
      </w:r>
      <w:r>
        <w:rPr>
          <w:rFonts w:hint="eastAsia" w:ascii="宋体" w:hAnsi="宋体" w:eastAsia="宋体" w:cs="Times New Roman"/>
          <w:sz w:val="24"/>
          <w:lang w:val="en-US" w:eastAsia="zh-CN"/>
        </w:rPr>
        <w:t>4、服务承诺(格式自拟）</w:t>
      </w:r>
    </w:p>
    <w:p>
      <w:pPr>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en-US" w:eastAsia="zh-CN"/>
        </w:rPr>
        <w:t>5、</w:t>
      </w:r>
      <w:r>
        <w:rPr>
          <w:rFonts w:hint="eastAsia" w:ascii="宋体" w:hAnsi="宋体"/>
          <w:sz w:val="24"/>
        </w:rPr>
        <w:t>优惠条件承诺书(</w:t>
      </w:r>
      <w:r>
        <w:rPr>
          <w:rFonts w:hint="eastAsia" w:ascii="宋体" w:hAnsi="宋体"/>
          <w:sz w:val="24"/>
          <w:lang w:val="en-US" w:eastAsia="zh-CN"/>
        </w:rPr>
        <w:t>附件10</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en-US" w:eastAsia="zh-CN"/>
        </w:rPr>
        <w:t>6、</w:t>
      </w:r>
      <w:r>
        <w:rPr>
          <w:rFonts w:hint="eastAsia" w:ascii="宋体" w:hAnsi="宋体"/>
          <w:sz w:val="24"/>
        </w:rPr>
        <w:t>无重大违法记录声明</w:t>
      </w:r>
      <w:r>
        <w:rPr>
          <w:rFonts w:hint="eastAsia" w:ascii="宋体" w:hAnsi="宋体"/>
          <w:sz w:val="24"/>
          <w:lang w:val="en-US" w:eastAsia="zh-CN"/>
        </w:rPr>
        <w:t>(附件11）</w:t>
      </w:r>
      <w:r>
        <w:rPr>
          <w:rFonts w:hint="eastAsia" w:ascii="宋体" w:hAnsi="宋体"/>
          <w:sz w:val="24"/>
        </w:rPr>
        <w:t xml:space="preserve"> </w:t>
      </w:r>
    </w:p>
    <w:p>
      <w:pPr>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en-US" w:eastAsia="zh-CN"/>
        </w:rPr>
        <w:t>7、</w:t>
      </w:r>
      <w:r>
        <w:rPr>
          <w:rFonts w:hint="eastAsia" w:ascii="宋体" w:hAnsi="宋体"/>
          <w:sz w:val="24"/>
        </w:rPr>
        <w:t>中小企业声明函</w:t>
      </w:r>
      <w:r>
        <w:rPr>
          <w:rFonts w:hint="eastAsia" w:ascii="宋体" w:hAnsi="宋体"/>
          <w:sz w:val="24"/>
          <w:lang w:eastAsia="zh-CN"/>
        </w:rPr>
        <w:t>（</w:t>
      </w:r>
      <w:r>
        <w:rPr>
          <w:rFonts w:hint="eastAsia" w:ascii="宋体" w:hAnsi="宋体"/>
          <w:sz w:val="24"/>
        </w:rPr>
        <w:t>附件1</w:t>
      </w:r>
      <w:r>
        <w:rPr>
          <w:rFonts w:hint="eastAsia" w:ascii="宋体" w:hAnsi="宋体"/>
          <w:sz w:val="24"/>
          <w:lang w:val="en-US" w:eastAsia="zh-CN"/>
        </w:rPr>
        <w:t>2）</w:t>
      </w:r>
      <w:r>
        <w:rPr>
          <w:rFonts w:hint="eastAsia" w:ascii="宋体" w:hAnsi="宋体"/>
          <w:sz w:val="24"/>
        </w:rPr>
        <w:t>（如有）</w:t>
      </w:r>
    </w:p>
    <w:p>
      <w:pPr>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en-US" w:eastAsia="zh-CN"/>
        </w:rPr>
        <w:t>8、</w:t>
      </w:r>
      <w:r>
        <w:rPr>
          <w:rFonts w:hint="eastAsia" w:ascii="宋体" w:hAnsi="宋体"/>
          <w:sz w:val="24"/>
        </w:rPr>
        <w:t>残疾人福利性单位声明函</w:t>
      </w:r>
      <w:r>
        <w:rPr>
          <w:rFonts w:hint="eastAsia" w:ascii="宋体" w:hAnsi="宋体"/>
          <w:sz w:val="24"/>
          <w:lang w:eastAsia="zh-CN"/>
        </w:rPr>
        <w:t>（</w:t>
      </w:r>
      <w:r>
        <w:rPr>
          <w:rFonts w:hint="eastAsia" w:ascii="宋体" w:hAnsi="宋体"/>
          <w:sz w:val="24"/>
        </w:rPr>
        <w:t>附件1</w:t>
      </w:r>
      <w:r>
        <w:rPr>
          <w:rFonts w:hint="eastAsia" w:ascii="宋体" w:hAnsi="宋体"/>
          <w:sz w:val="24"/>
          <w:lang w:val="en-US" w:eastAsia="zh-CN"/>
        </w:rPr>
        <w:t>3）</w:t>
      </w:r>
      <w:r>
        <w:rPr>
          <w:rFonts w:hint="eastAsia" w:ascii="宋体" w:hAnsi="宋体"/>
          <w:sz w:val="24"/>
        </w:rPr>
        <w:t>（如有）</w:t>
      </w:r>
    </w:p>
    <w:p>
      <w:pPr>
        <w:spacing w:line="360" w:lineRule="auto"/>
        <w:ind w:firstLine="480" w:firstLineChars="200"/>
        <w:rPr>
          <w:rFonts w:hint="eastAsia" w:ascii="宋体" w:hAnsi="宋体" w:eastAsia="宋体"/>
          <w:sz w:val="24"/>
          <w:lang w:val="en-US" w:eastAsia="zh-CN"/>
        </w:rPr>
      </w:pPr>
      <w:r>
        <w:rPr>
          <w:rFonts w:hint="eastAsia" w:ascii="宋体" w:hAnsi="宋体"/>
          <w:sz w:val="24"/>
        </w:rPr>
        <w:t>1</w:t>
      </w:r>
      <w:r>
        <w:rPr>
          <w:rFonts w:hint="eastAsia" w:ascii="宋体" w:hAnsi="宋体"/>
          <w:sz w:val="24"/>
          <w:lang w:val="en-US" w:eastAsia="zh-CN"/>
        </w:rPr>
        <w:t>9、</w:t>
      </w:r>
      <w:r>
        <w:rPr>
          <w:rFonts w:hint="eastAsia" w:ascii="宋体" w:hAnsi="宋体"/>
          <w:sz w:val="24"/>
        </w:rPr>
        <w:t>磋商保证金汇款凭证复印件</w:t>
      </w:r>
      <w:r>
        <w:rPr>
          <w:rFonts w:hint="eastAsia" w:ascii="宋体" w:hAnsi="宋体"/>
          <w:sz w:val="24"/>
          <w:lang w:eastAsia="zh-CN"/>
        </w:rPr>
        <w:t>（</w:t>
      </w:r>
      <w:r>
        <w:rPr>
          <w:rFonts w:hint="eastAsia" w:ascii="宋体" w:hAnsi="宋体"/>
          <w:sz w:val="24"/>
        </w:rPr>
        <w:t>附件1</w:t>
      </w:r>
      <w:r>
        <w:rPr>
          <w:rFonts w:hint="eastAsia" w:ascii="宋体" w:hAnsi="宋体"/>
          <w:sz w:val="24"/>
          <w:lang w:val="en-US" w:eastAsia="zh-CN"/>
        </w:rPr>
        <w:t>4）</w:t>
      </w:r>
    </w:p>
    <w:p>
      <w:pPr>
        <w:spacing w:line="360" w:lineRule="auto"/>
        <w:ind w:firstLine="480" w:firstLineChars="200"/>
        <w:rPr>
          <w:rFonts w:hint="default" w:ascii="宋体" w:hAnsi="宋体" w:eastAsia="宋体"/>
          <w:sz w:val="24"/>
          <w:lang w:val="en-US" w:eastAsia="zh-CN"/>
        </w:rPr>
      </w:pPr>
      <w:r>
        <w:rPr>
          <w:rFonts w:hint="eastAsia" w:ascii="宋体" w:hAnsi="宋体"/>
          <w:sz w:val="24"/>
          <w:lang w:val="en-US" w:eastAsia="zh-CN"/>
        </w:rPr>
        <w:t>20、</w:t>
      </w:r>
      <w:r>
        <w:rPr>
          <w:rFonts w:hint="eastAsia" w:ascii="宋体" w:hAnsi="宋体"/>
          <w:sz w:val="24"/>
        </w:rPr>
        <w:t>供应商认为有必要提交的其他相关证明材料</w:t>
      </w:r>
      <w:r>
        <w:rPr>
          <w:rFonts w:hint="eastAsia" w:ascii="宋体" w:hAnsi="宋体"/>
          <w:sz w:val="24"/>
          <w:lang w:eastAsia="zh-CN"/>
        </w:rPr>
        <w:t>（</w:t>
      </w:r>
      <w:r>
        <w:rPr>
          <w:rFonts w:hint="eastAsia" w:ascii="宋体" w:hAnsi="宋体"/>
          <w:sz w:val="24"/>
        </w:rPr>
        <w:t>附件</w:t>
      </w:r>
      <w:r>
        <w:rPr>
          <w:rFonts w:hint="eastAsia" w:ascii="宋体" w:hAnsi="宋体"/>
          <w:sz w:val="24"/>
          <w:lang w:val="en-US" w:eastAsia="zh-CN"/>
        </w:rPr>
        <w:t>15）</w:t>
      </w:r>
    </w:p>
    <w:p>
      <w:pPr>
        <w:jc w:val="center"/>
        <w:rPr>
          <w:b/>
          <w:sz w:val="32"/>
          <w:szCs w:val="32"/>
        </w:rPr>
      </w:pP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rPr>
          <w:rFonts w:ascii="宋体" w:hAnsi="宋体"/>
          <w:b/>
          <w:sz w:val="32"/>
          <w:szCs w:val="32"/>
        </w:rPr>
      </w:pPr>
    </w:p>
    <w:p>
      <w:pPr>
        <w:spacing w:line="360" w:lineRule="auto"/>
        <w:rPr>
          <w:rFonts w:ascii="宋体" w:hAnsi="宋体"/>
          <w:b/>
          <w:sz w:val="32"/>
          <w:szCs w:val="32"/>
        </w:rPr>
      </w:pPr>
      <w:r>
        <w:rPr>
          <w:rFonts w:hint="eastAsia" w:ascii="宋体" w:hAnsi="宋体"/>
          <w:b/>
          <w:sz w:val="32"/>
          <w:szCs w:val="32"/>
        </w:rPr>
        <w:t>附件1：</w:t>
      </w:r>
      <w:bookmarkStart w:id="116" w:name="_Toc139965361"/>
    </w:p>
    <w:p>
      <w:pPr>
        <w:spacing w:line="360" w:lineRule="auto"/>
        <w:jc w:val="center"/>
        <w:rPr>
          <w:rFonts w:ascii="宋体" w:hAnsi="宋体"/>
          <w:b/>
          <w:sz w:val="32"/>
          <w:szCs w:val="32"/>
        </w:rPr>
      </w:pPr>
      <w:r>
        <w:rPr>
          <w:rFonts w:hint="eastAsia" w:ascii="宋体" w:hAnsi="宋体"/>
          <w:b/>
          <w:sz w:val="32"/>
          <w:szCs w:val="32"/>
        </w:rPr>
        <w:t>响应文件封面格式</w:t>
      </w:r>
    </w:p>
    <w:p>
      <w:pPr>
        <w:spacing w:line="360" w:lineRule="auto"/>
        <w:jc w:val="center"/>
        <w:rPr>
          <w:rFonts w:ascii="宋体" w:hAnsi="宋体"/>
          <w:b/>
          <w:sz w:val="30"/>
          <w:szCs w:val="30"/>
        </w:rPr>
      </w:pPr>
    </w:p>
    <w:p>
      <w:pPr>
        <w:spacing w:line="360" w:lineRule="auto"/>
        <w:jc w:val="center"/>
        <w:rPr>
          <w:rFonts w:ascii="宋体" w:hAnsi="宋体"/>
          <w:b/>
          <w:sz w:val="44"/>
          <w:szCs w:val="44"/>
          <w:u w:val="single"/>
        </w:rPr>
      </w:pPr>
    </w:p>
    <w:p>
      <w:pPr>
        <w:spacing w:line="360" w:lineRule="auto"/>
        <w:jc w:val="center"/>
        <w:rPr>
          <w:rFonts w:ascii="宋体" w:hAnsi="宋体"/>
          <w:b/>
          <w:sz w:val="30"/>
          <w:szCs w:val="30"/>
          <w:u w:val="single"/>
        </w:rPr>
      </w:pPr>
      <w:r>
        <w:rPr>
          <w:rFonts w:hint="eastAsia" w:ascii="宋体" w:hAnsi="宋体"/>
          <w:b/>
          <w:sz w:val="44"/>
          <w:szCs w:val="44"/>
          <w:u w:val="single"/>
        </w:rPr>
        <w:t xml:space="preserve">  项目名称  </w:t>
      </w:r>
    </w:p>
    <w:p>
      <w:pPr>
        <w:spacing w:line="360" w:lineRule="auto"/>
        <w:jc w:val="center"/>
        <w:rPr>
          <w:rFonts w:ascii="宋体" w:hAnsi="宋体"/>
          <w:b/>
          <w:sz w:val="30"/>
          <w:szCs w:val="30"/>
        </w:rPr>
      </w:pPr>
    </w:p>
    <w:p>
      <w:pPr>
        <w:spacing w:line="360" w:lineRule="auto"/>
        <w:jc w:val="center"/>
        <w:rPr>
          <w:rFonts w:ascii="宋体" w:hAnsi="宋体"/>
          <w:b/>
          <w:sz w:val="30"/>
          <w:szCs w:val="30"/>
        </w:rPr>
      </w:pPr>
    </w:p>
    <w:p>
      <w:pPr>
        <w:spacing w:line="360" w:lineRule="auto"/>
        <w:jc w:val="center"/>
        <w:rPr>
          <w:rFonts w:ascii="宋体" w:hAnsi="宋体"/>
          <w:b/>
          <w:sz w:val="30"/>
          <w:szCs w:val="30"/>
        </w:rPr>
      </w:pPr>
    </w:p>
    <w:p>
      <w:pPr>
        <w:spacing w:line="360" w:lineRule="auto"/>
        <w:jc w:val="center"/>
        <w:rPr>
          <w:rFonts w:ascii="宋体" w:hAnsi="宋体"/>
          <w:b/>
          <w:sz w:val="30"/>
          <w:szCs w:val="30"/>
        </w:rPr>
      </w:pPr>
    </w:p>
    <w:p>
      <w:pPr>
        <w:spacing w:line="360" w:lineRule="auto"/>
        <w:jc w:val="center"/>
        <w:rPr>
          <w:rFonts w:ascii="宋体" w:hAnsi="宋体"/>
          <w:b/>
          <w:sz w:val="72"/>
          <w:szCs w:val="72"/>
        </w:rPr>
      </w:pPr>
      <w:r>
        <w:rPr>
          <w:rFonts w:hint="eastAsia" w:ascii="宋体" w:hAnsi="宋体"/>
          <w:b/>
          <w:sz w:val="72"/>
          <w:szCs w:val="72"/>
        </w:rPr>
        <w:t>响 应 文 件</w:t>
      </w:r>
    </w:p>
    <w:p>
      <w:pPr>
        <w:spacing w:line="360" w:lineRule="auto"/>
        <w:ind w:firstLine="3903" w:firstLineChars="1296"/>
        <w:rPr>
          <w:rFonts w:ascii="宋体" w:hAnsi="宋体"/>
          <w:b/>
          <w:sz w:val="30"/>
          <w:szCs w:val="30"/>
          <w:u w:val="single"/>
        </w:rPr>
      </w:pPr>
    </w:p>
    <w:p>
      <w:pPr>
        <w:spacing w:line="360" w:lineRule="auto"/>
        <w:rPr>
          <w:rFonts w:ascii="宋体" w:hAnsi="宋体"/>
          <w:b/>
          <w:sz w:val="30"/>
          <w:szCs w:val="30"/>
          <w:u w:val="single"/>
        </w:rPr>
      </w:pPr>
    </w:p>
    <w:p>
      <w:pPr>
        <w:spacing w:line="360" w:lineRule="auto"/>
        <w:rPr>
          <w:rFonts w:ascii="宋体" w:hAnsi="宋体"/>
          <w:b/>
          <w:sz w:val="30"/>
          <w:szCs w:val="30"/>
          <w:u w:val="single"/>
        </w:rPr>
      </w:pPr>
    </w:p>
    <w:p>
      <w:pPr>
        <w:spacing w:line="360" w:lineRule="auto"/>
        <w:ind w:firstLine="2096" w:firstLineChars="696"/>
        <w:rPr>
          <w:rFonts w:ascii="宋体" w:hAnsi="宋体"/>
          <w:b/>
          <w:sz w:val="30"/>
          <w:szCs w:val="30"/>
          <w:u w:val="single"/>
        </w:rPr>
      </w:pPr>
      <w:r>
        <w:rPr>
          <w:rFonts w:hint="eastAsia" w:ascii="宋体" w:hAnsi="宋体"/>
          <w:b/>
          <w:sz w:val="30"/>
          <w:szCs w:val="30"/>
        </w:rPr>
        <w:t>项目编号：</w:t>
      </w:r>
    </w:p>
    <w:p>
      <w:pPr>
        <w:spacing w:line="360" w:lineRule="auto"/>
        <w:ind w:firstLine="2096" w:firstLineChars="696"/>
        <w:rPr>
          <w:rFonts w:ascii="宋体" w:hAnsi="宋体"/>
          <w:b/>
          <w:sz w:val="30"/>
          <w:szCs w:val="30"/>
        </w:rPr>
      </w:pPr>
      <w:r>
        <w:rPr>
          <w:rFonts w:hint="eastAsia" w:ascii="宋体" w:hAnsi="宋体"/>
          <w:b/>
          <w:sz w:val="30"/>
          <w:szCs w:val="30"/>
        </w:rPr>
        <w:t>供应商名称：</w:t>
      </w:r>
      <w:r>
        <w:rPr>
          <w:rFonts w:hint="eastAsia" w:ascii="宋体" w:hAnsi="宋体"/>
          <w:b/>
          <w:sz w:val="30"/>
          <w:szCs w:val="30"/>
          <w:u w:val="single"/>
        </w:rPr>
        <w:t xml:space="preserve">              （公章）</w:t>
      </w:r>
    </w:p>
    <w:p>
      <w:pPr>
        <w:spacing w:line="360" w:lineRule="auto"/>
        <w:ind w:firstLine="2096" w:firstLineChars="696"/>
        <w:rPr>
          <w:rFonts w:ascii="宋体" w:hAnsi="宋体"/>
          <w:b/>
          <w:sz w:val="30"/>
          <w:szCs w:val="30"/>
        </w:rPr>
      </w:pPr>
      <w:r>
        <w:rPr>
          <w:rFonts w:hint="eastAsia" w:ascii="宋体" w:hAnsi="宋体"/>
          <w:b/>
          <w:sz w:val="30"/>
          <w:szCs w:val="30"/>
        </w:rPr>
        <w:t>供应商地址：</w:t>
      </w:r>
    </w:p>
    <w:p>
      <w:pPr>
        <w:spacing w:line="360" w:lineRule="auto"/>
        <w:ind w:firstLine="2096" w:firstLineChars="696"/>
        <w:rPr>
          <w:rFonts w:ascii="宋体" w:hAnsi="宋体"/>
          <w:b/>
          <w:sz w:val="30"/>
          <w:szCs w:val="30"/>
        </w:rPr>
      </w:pPr>
      <w:r>
        <w:rPr>
          <w:rFonts w:hint="eastAsia" w:ascii="宋体" w:hAnsi="宋体"/>
          <w:b/>
          <w:sz w:val="30"/>
          <w:szCs w:val="30"/>
        </w:rPr>
        <w:t>供应商法定代表人或</w:t>
      </w:r>
    </w:p>
    <w:p>
      <w:pPr>
        <w:spacing w:line="360" w:lineRule="auto"/>
        <w:ind w:firstLine="2096" w:firstLineChars="696"/>
        <w:rPr>
          <w:rFonts w:ascii="宋体" w:hAnsi="宋体"/>
          <w:b/>
          <w:sz w:val="30"/>
          <w:szCs w:val="30"/>
        </w:rPr>
      </w:pPr>
      <w:r>
        <w:rPr>
          <w:rFonts w:hint="eastAsia" w:ascii="宋体" w:hAnsi="宋体"/>
          <w:b/>
          <w:sz w:val="30"/>
          <w:szCs w:val="30"/>
        </w:rPr>
        <w:t>授权委托人（签字）：</w:t>
      </w:r>
    </w:p>
    <w:p>
      <w:pPr>
        <w:spacing w:line="360" w:lineRule="auto"/>
        <w:ind w:firstLine="2096" w:firstLineChars="696"/>
        <w:rPr>
          <w:rFonts w:ascii="宋体" w:hAnsi="宋体"/>
          <w:b/>
          <w:sz w:val="30"/>
          <w:szCs w:val="30"/>
        </w:rPr>
      </w:pPr>
      <w:r>
        <w:rPr>
          <w:rFonts w:hint="eastAsia" w:ascii="宋体" w:hAnsi="宋体"/>
          <w:b/>
          <w:sz w:val="30"/>
          <w:szCs w:val="30"/>
        </w:rPr>
        <w:t>联系电话：</w:t>
      </w:r>
    </w:p>
    <w:p>
      <w:pPr>
        <w:spacing w:line="360" w:lineRule="auto"/>
        <w:ind w:firstLine="5108" w:firstLineChars="1696"/>
        <w:rPr>
          <w:rFonts w:ascii="宋体" w:hAnsi="宋体"/>
          <w:b/>
          <w:sz w:val="30"/>
          <w:szCs w:val="30"/>
        </w:rPr>
      </w:pPr>
      <w:r>
        <w:rPr>
          <w:rFonts w:hint="eastAsia" w:ascii="宋体" w:hAnsi="宋体"/>
          <w:b/>
          <w:sz w:val="30"/>
          <w:szCs w:val="30"/>
        </w:rPr>
        <w:t>年</w:t>
      </w:r>
      <w:r>
        <w:rPr>
          <w:rFonts w:hint="eastAsia" w:ascii="宋体" w:hAnsi="宋体"/>
          <w:b/>
          <w:sz w:val="30"/>
          <w:szCs w:val="30"/>
          <w:lang w:val="en-US" w:eastAsia="zh-CN"/>
        </w:rPr>
        <w:t xml:space="preserve">   </w:t>
      </w:r>
      <w:r>
        <w:rPr>
          <w:rFonts w:hint="eastAsia" w:ascii="宋体" w:hAnsi="宋体"/>
          <w:b/>
          <w:sz w:val="30"/>
          <w:szCs w:val="30"/>
        </w:rPr>
        <w:t>月</w:t>
      </w:r>
      <w:r>
        <w:rPr>
          <w:rFonts w:hint="eastAsia" w:ascii="宋体" w:hAnsi="宋体"/>
          <w:b/>
          <w:sz w:val="30"/>
          <w:szCs w:val="30"/>
          <w:lang w:val="en-US" w:eastAsia="zh-CN"/>
        </w:rPr>
        <w:t xml:space="preserve">   </w:t>
      </w:r>
      <w:r>
        <w:rPr>
          <w:rFonts w:hint="eastAsia" w:ascii="宋体" w:hAnsi="宋体"/>
          <w:b/>
          <w:sz w:val="30"/>
          <w:szCs w:val="30"/>
        </w:rPr>
        <w:t>日</w:t>
      </w:r>
    </w:p>
    <w:bookmarkEnd w:id="116"/>
    <w:p>
      <w:pPr>
        <w:spacing w:line="360" w:lineRule="auto"/>
        <w:rPr>
          <w:rFonts w:ascii="宋体" w:hAnsi="宋体"/>
          <w:b/>
          <w:color w:val="000000"/>
          <w:sz w:val="32"/>
          <w:szCs w:val="32"/>
        </w:rPr>
      </w:pPr>
    </w:p>
    <w:p>
      <w:pPr>
        <w:spacing w:line="360" w:lineRule="auto"/>
        <w:rPr>
          <w:rFonts w:ascii="宋体" w:hAnsi="宋体"/>
          <w:b/>
          <w:color w:val="000000"/>
          <w:sz w:val="32"/>
          <w:szCs w:val="32"/>
        </w:rPr>
      </w:pPr>
      <w:r>
        <w:rPr>
          <w:rFonts w:hint="eastAsia" w:ascii="宋体" w:hAnsi="宋体"/>
          <w:b/>
          <w:color w:val="000000"/>
          <w:sz w:val="32"/>
          <w:szCs w:val="32"/>
        </w:rPr>
        <w:t>附件2：</w:t>
      </w:r>
    </w:p>
    <w:p>
      <w:pPr>
        <w:spacing w:line="360" w:lineRule="auto"/>
        <w:jc w:val="center"/>
        <w:rPr>
          <w:rFonts w:ascii="宋体" w:hAnsi="宋体"/>
          <w:b/>
          <w:color w:val="000000"/>
          <w:sz w:val="32"/>
          <w:szCs w:val="32"/>
        </w:rPr>
      </w:pPr>
      <w:r>
        <w:rPr>
          <w:rFonts w:hint="eastAsia" w:ascii="宋体" w:hAnsi="宋体"/>
          <w:b/>
          <w:color w:val="000000"/>
          <w:sz w:val="32"/>
          <w:szCs w:val="32"/>
        </w:rPr>
        <w:t>磋商响应函</w:t>
      </w:r>
    </w:p>
    <w:p>
      <w:pPr>
        <w:spacing w:line="360" w:lineRule="auto"/>
        <w:rPr>
          <w:rFonts w:hint="eastAsia" w:ascii="宋体" w:hAnsi="宋体" w:eastAsia="宋体"/>
          <w:color w:val="000000"/>
          <w:sz w:val="24"/>
          <w:lang w:eastAsia="zh-CN"/>
        </w:rPr>
      </w:pPr>
      <w:r>
        <w:rPr>
          <w:rFonts w:hint="eastAsia" w:ascii="宋体" w:hAnsi="宋体"/>
          <w:bCs/>
          <w:color w:val="000000"/>
          <w:sz w:val="24"/>
        </w:rPr>
        <w:t>致：</w:t>
      </w:r>
      <w:r>
        <w:rPr>
          <w:rFonts w:hint="eastAsia" w:ascii="宋体" w:hAnsi="宋体"/>
          <w:color w:val="000000"/>
          <w:sz w:val="24"/>
          <w:lang w:eastAsia="zh-CN"/>
        </w:rPr>
        <w:t>新疆天之源项目管理集团有限公司</w:t>
      </w:r>
    </w:p>
    <w:p>
      <w:pPr>
        <w:spacing w:line="360" w:lineRule="auto"/>
        <w:ind w:firstLine="456" w:firstLineChars="200"/>
        <w:rPr>
          <w:rFonts w:ascii="宋体" w:hAnsi="宋体"/>
          <w:color w:val="000000"/>
          <w:sz w:val="24"/>
        </w:rPr>
      </w:pPr>
      <w:r>
        <w:rPr>
          <w:rFonts w:hint="eastAsia" w:ascii="宋体" w:hAnsi="宋体"/>
          <w:color w:val="000000"/>
          <w:spacing w:val="-6"/>
          <w:sz w:val="24"/>
        </w:rPr>
        <w:t>根据贵方项目</w:t>
      </w:r>
      <w:r>
        <w:rPr>
          <w:rFonts w:hint="eastAsia" w:ascii="宋体" w:hAnsi="宋体"/>
          <w:color w:val="000000"/>
          <w:sz w:val="24"/>
        </w:rPr>
        <w:t>的</w:t>
      </w:r>
      <w:r>
        <w:rPr>
          <w:rFonts w:hint="eastAsia" w:ascii="宋体" w:hAnsi="宋体"/>
          <w:color w:val="000000"/>
          <w:spacing w:val="-6"/>
          <w:sz w:val="24"/>
        </w:rPr>
        <w:t>招标采购</w:t>
      </w:r>
      <w:r>
        <w:rPr>
          <w:rFonts w:hint="eastAsia" w:ascii="宋体" w:hAnsi="宋体"/>
          <w:color w:val="000000"/>
          <w:sz w:val="24"/>
        </w:rPr>
        <w:t>(项目编号:      )，正式授权的下述签字人</w:t>
      </w:r>
      <w:r>
        <w:rPr>
          <w:rFonts w:hint="eastAsia" w:ascii="宋体" w:hAnsi="宋体"/>
          <w:color w:val="000000"/>
          <w:sz w:val="24"/>
          <w:u w:val="single"/>
        </w:rPr>
        <w:t>（</w:t>
      </w:r>
      <w:r>
        <w:rPr>
          <w:rFonts w:hint="eastAsia" w:ascii="宋体" w:hAnsi="宋体"/>
          <w:color w:val="000000"/>
          <w:sz w:val="24"/>
        </w:rPr>
        <w:t xml:space="preserve">姓名和职务）代表供应商 </w:t>
      </w:r>
      <w:r>
        <w:rPr>
          <w:rFonts w:hint="eastAsia" w:ascii="宋体" w:hAnsi="宋体"/>
          <w:color w:val="000000"/>
          <w:sz w:val="24"/>
          <w:u w:val="single"/>
        </w:rPr>
        <w:t>（</w:t>
      </w:r>
      <w:r>
        <w:rPr>
          <w:rFonts w:hint="eastAsia" w:ascii="宋体" w:hAnsi="宋体"/>
          <w:color w:val="000000"/>
          <w:sz w:val="24"/>
        </w:rPr>
        <w:t>磋商供应商名称），提交下述文件正本一份，副本三份，保证金汇款凭证一份，电子U盘一份。</w:t>
      </w:r>
    </w:p>
    <w:p>
      <w:pPr>
        <w:spacing w:line="360" w:lineRule="auto"/>
        <w:ind w:firstLine="480" w:firstLineChars="200"/>
        <w:rPr>
          <w:rFonts w:ascii="宋体" w:hAnsi="宋体"/>
          <w:color w:val="000000"/>
          <w:sz w:val="24"/>
        </w:rPr>
      </w:pPr>
      <w:r>
        <w:rPr>
          <w:rFonts w:hint="eastAsia" w:ascii="宋体" w:hAnsi="宋体"/>
          <w:color w:val="000000"/>
          <w:sz w:val="24"/>
        </w:rPr>
        <w:t>1.磋商响应函</w:t>
      </w:r>
    </w:p>
    <w:p>
      <w:pPr>
        <w:spacing w:line="360" w:lineRule="auto"/>
        <w:ind w:firstLine="480" w:firstLineChars="200"/>
        <w:rPr>
          <w:rFonts w:ascii="宋体" w:hAnsi="宋体"/>
          <w:color w:val="000000"/>
          <w:sz w:val="24"/>
        </w:rPr>
      </w:pPr>
      <w:r>
        <w:rPr>
          <w:rFonts w:hint="eastAsia" w:ascii="宋体" w:hAnsi="宋体"/>
          <w:color w:val="000000"/>
          <w:sz w:val="24"/>
        </w:rPr>
        <w:t>2.磋商文件电子版</w:t>
      </w:r>
    </w:p>
    <w:p>
      <w:pPr>
        <w:spacing w:line="360" w:lineRule="auto"/>
        <w:ind w:firstLine="480" w:firstLineChars="200"/>
        <w:rPr>
          <w:rFonts w:ascii="宋体" w:hAnsi="宋体"/>
          <w:color w:val="000000"/>
          <w:sz w:val="24"/>
        </w:rPr>
      </w:pPr>
      <w:r>
        <w:rPr>
          <w:rFonts w:hint="eastAsia" w:ascii="宋体" w:hAnsi="宋体"/>
          <w:color w:val="000000"/>
          <w:sz w:val="24"/>
        </w:rPr>
        <w:t>3.磋商保证金</w:t>
      </w:r>
    </w:p>
    <w:p>
      <w:pPr>
        <w:spacing w:line="360" w:lineRule="auto"/>
        <w:ind w:firstLine="480" w:firstLineChars="200"/>
        <w:rPr>
          <w:rFonts w:ascii="宋体" w:hAnsi="宋体"/>
          <w:color w:val="000000"/>
          <w:sz w:val="24"/>
        </w:rPr>
      </w:pPr>
      <w:r>
        <w:rPr>
          <w:rFonts w:hint="eastAsia" w:ascii="宋体" w:hAnsi="宋体"/>
          <w:color w:val="000000"/>
          <w:sz w:val="24"/>
        </w:rPr>
        <w:t>4.按磋商文件要求供应商提交的全部文件</w:t>
      </w:r>
    </w:p>
    <w:p>
      <w:pPr>
        <w:spacing w:line="360" w:lineRule="auto"/>
        <w:rPr>
          <w:rFonts w:ascii="宋体" w:hAnsi="宋体"/>
          <w:color w:val="000000"/>
          <w:sz w:val="24"/>
        </w:rPr>
      </w:pPr>
      <w:r>
        <w:rPr>
          <w:rFonts w:hint="eastAsia" w:ascii="宋体" w:hAnsi="宋体"/>
          <w:color w:val="000000"/>
          <w:sz w:val="24"/>
        </w:rPr>
        <w:t>据此函，签字人兹宣布同意如下条款：</w:t>
      </w:r>
    </w:p>
    <w:p>
      <w:pPr>
        <w:numPr>
          <w:ilvl w:val="0"/>
          <w:numId w:val="4"/>
        </w:numPr>
        <w:spacing w:line="360" w:lineRule="auto"/>
        <w:rPr>
          <w:rFonts w:ascii="宋体" w:hAnsi="宋体"/>
          <w:color w:val="000000"/>
          <w:sz w:val="24"/>
        </w:rPr>
      </w:pPr>
      <w:r>
        <w:rPr>
          <w:rFonts w:hint="eastAsia" w:ascii="宋体" w:hAnsi="宋体"/>
          <w:color w:val="000000"/>
          <w:sz w:val="24"/>
        </w:rPr>
        <w:t>所附磋商价格表中规定的应提供和交付的货物及服务磋商总价为</w:t>
      </w:r>
      <w:r>
        <w:rPr>
          <w:rFonts w:hint="eastAsia" w:ascii="宋体" w:hAnsi="宋体"/>
          <w:color w:val="000000"/>
          <w:sz w:val="24"/>
          <w:u w:val="single"/>
        </w:rPr>
        <w:t xml:space="preserve">  （</w:t>
      </w:r>
      <w:r>
        <w:rPr>
          <w:rFonts w:hint="eastAsia" w:ascii="宋体" w:hAnsi="宋体"/>
          <w:color w:val="000000"/>
          <w:sz w:val="24"/>
        </w:rPr>
        <w:t>大写）。</w:t>
      </w:r>
    </w:p>
    <w:p>
      <w:pPr>
        <w:spacing w:line="360" w:lineRule="auto"/>
        <w:ind w:firstLine="480" w:firstLineChars="200"/>
        <w:rPr>
          <w:rFonts w:ascii="宋体" w:hAnsi="宋体"/>
          <w:color w:val="000000"/>
          <w:sz w:val="24"/>
        </w:rPr>
      </w:pPr>
      <w:r>
        <w:rPr>
          <w:rFonts w:hint="eastAsia" w:ascii="宋体" w:hAnsi="宋体"/>
          <w:color w:val="000000"/>
          <w:sz w:val="24"/>
        </w:rPr>
        <w:t>⑵我们将按磋商文件的规定履行合同责任和义务。</w:t>
      </w:r>
    </w:p>
    <w:p>
      <w:pPr>
        <w:spacing w:line="360" w:lineRule="auto"/>
        <w:ind w:firstLine="480" w:firstLineChars="200"/>
        <w:rPr>
          <w:rFonts w:ascii="宋体" w:hAnsi="宋体"/>
          <w:color w:val="000000"/>
          <w:sz w:val="24"/>
        </w:rPr>
      </w:pPr>
      <w:r>
        <w:rPr>
          <w:rFonts w:hint="eastAsia" w:ascii="宋体" w:hAnsi="宋体"/>
          <w:color w:val="000000"/>
          <w:sz w:val="24"/>
        </w:rPr>
        <w:t>⑶我们已详细审查全部磋商文件，包括修改意见（如有则附）以及全部参考资料和有关附件。我们完全理解并同意放弃对这方面有不明及误解而要求招标方解释和承担责任的权利。</w:t>
      </w:r>
    </w:p>
    <w:p>
      <w:pPr>
        <w:spacing w:line="360" w:lineRule="auto"/>
        <w:ind w:firstLine="480" w:firstLineChars="200"/>
        <w:rPr>
          <w:rFonts w:ascii="宋体" w:hAnsi="宋体"/>
          <w:color w:val="000000"/>
          <w:sz w:val="24"/>
        </w:rPr>
      </w:pPr>
      <w:r>
        <w:rPr>
          <w:rFonts w:hint="eastAsia" w:ascii="宋体" w:hAnsi="宋体"/>
          <w:color w:val="000000"/>
          <w:sz w:val="24"/>
        </w:rPr>
        <w:t>⑷在供应商须知规定的磋商有效期内遵循本磋商响应性文件，并在磋商须知规定的磋商有效期期满之前具有约束力。</w:t>
      </w:r>
    </w:p>
    <w:p>
      <w:pPr>
        <w:spacing w:line="360" w:lineRule="auto"/>
        <w:ind w:firstLine="480" w:firstLineChars="200"/>
        <w:rPr>
          <w:rFonts w:ascii="宋体" w:hAnsi="宋体"/>
          <w:color w:val="000000"/>
          <w:sz w:val="24"/>
        </w:rPr>
      </w:pPr>
      <w:r>
        <w:rPr>
          <w:rFonts w:hint="eastAsia" w:ascii="宋体" w:hAnsi="宋体"/>
          <w:color w:val="000000"/>
          <w:sz w:val="24"/>
        </w:rPr>
        <w:t>⑸如果在规定的磋商有效期内撤回投标，我们的磋商保证金可被贵方没收。</w:t>
      </w:r>
    </w:p>
    <w:p>
      <w:pPr>
        <w:spacing w:line="360" w:lineRule="auto"/>
        <w:ind w:firstLine="480" w:firstLineChars="200"/>
        <w:rPr>
          <w:rFonts w:ascii="宋体" w:hAnsi="宋体"/>
          <w:color w:val="000000"/>
          <w:sz w:val="24"/>
        </w:rPr>
      </w:pPr>
      <w:r>
        <w:rPr>
          <w:rFonts w:hint="eastAsia" w:ascii="宋体" w:hAnsi="宋体"/>
          <w:color w:val="000000"/>
          <w:sz w:val="24"/>
        </w:rPr>
        <w:t>⑹同意提供贵方可能要求的与本投标有关的任何证据或资料。</w:t>
      </w:r>
    </w:p>
    <w:p>
      <w:pPr>
        <w:spacing w:line="360" w:lineRule="auto"/>
        <w:ind w:firstLine="480" w:firstLineChars="200"/>
        <w:rPr>
          <w:rFonts w:ascii="宋体" w:hAnsi="宋体"/>
          <w:color w:val="000000"/>
          <w:sz w:val="24"/>
        </w:rPr>
      </w:pPr>
      <w:r>
        <w:rPr>
          <w:rFonts w:hint="eastAsia" w:ascii="宋体" w:hAnsi="宋体"/>
          <w:color w:val="000000"/>
          <w:sz w:val="24"/>
        </w:rPr>
        <w:t>⑺我们同意提供按照招标单位可能出示的与其投标有关的一切数据或资料。</w:t>
      </w:r>
    </w:p>
    <w:p>
      <w:pPr>
        <w:spacing w:line="360" w:lineRule="auto"/>
        <w:ind w:firstLine="480" w:firstLineChars="200"/>
        <w:rPr>
          <w:rFonts w:ascii="宋体" w:hAnsi="宋体"/>
          <w:color w:val="000000"/>
          <w:sz w:val="24"/>
        </w:rPr>
      </w:pPr>
      <w:r>
        <w:rPr>
          <w:rFonts w:hint="eastAsia" w:ascii="宋体" w:hAnsi="宋体"/>
          <w:color w:val="000000"/>
          <w:sz w:val="24"/>
        </w:rPr>
        <w:t>⑻我们理解贵方不一定要接受最低报价的投标或收到的任何投标。</w:t>
      </w:r>
    </w:p>
    <w:p>
      <w:pPr>
        <w:spacing w:line="360" w:lineRule="auto"/>
        <w:ind w:firstLine="480" w:firstLineChars="200"/>
        <w:rPr>
          <w:rFonts w:ascii="宋体" w:hAnsi="宋体"/>
          <w:color w:val="000000"/>
          <w:sz w:val="24"/>
          <w:u w:val="single"/>
        </w:rPr>
      </w:pPr>
      <w:r>
        <w:rPr>
          <w:rFonts w:hint="eastAsia" w:ascii="宋体" w:hAnsi="宋体"/>
          <w:color w:val="000000"/>
          <w:sz w:val="24"/>
        </w:rPr>
        <w:t>⑼与本投标有关的一切正式往来通讯请寄至：</w:t>
      </w:r>
    </w:p>
    <w:p>
      <w:pPr>
        <w:spacing w:line="360" w:lineRule="auto"/>
        <w:ind w:firstLine="480" w:firstLineChars="200"/>
        <w:rPr>
          <w:rFonts w:ascii="宋体" w:hAnsi="宋体"/>
          <w:color w:val="000000"/>
          <w:sz w:val="24"/>
        </w:rPr>
      </w:pPr>
      <w:r>
        <w:rPr>
          <w:rFonts w:hint="eastAsia" w:ascii="宋体" w:hAnsi="宋体"/>
          <w:color w:val="000000"/>
          <w:sz w:val="24"/>
        </w:rPr>
        <w:t xml:space="preserve">电话：  </w:t>
      </w:r>
    </w:p>
    <w:p>
      <w:pPr>
        <w:spacing w:line="360" w:lineRule="auto"/>
        <w:ind w:firstLine="480" w:firstLineChars="200"/>
        <w:rPr>
          <w:rFonts w:ascii="宋体" w:hAnsi="宋体"/>
          <w:color w:val="000000"/>
          <w:sz w:val="24"/>
          <w:u w:val="single"/>
        </w:rPr>
      </w:pPr>
      <w:r>
        <w:rPr>
          <w:rFonts w:hint="eastAsia" w:ascii="宋体" w:hAnsi="宋体"/>
          <w:color w:val="000000"/>
          <w:sz w:val="24"/>
        </w:rPr>
        <w:t>传真：</w:t>
      </w:r>
    </w:p>
    <w:p>
      <w:pPr>
        <w:spacing w:line="360" w:lineRule="auto"/>
        <w:ind w:firstLine="480" w:firstLineChars="200"/>
        <w:rPr>
          <w:rFonts w:ascii="宋体" w:hAnsi="宋体"/>
          <w:color w:val="000000"/>
          <w:sz w:val="24"/>
          <w:u w:val="single"/>
        </w:rPr>
      </w:pPr>
      <w:r>
        <w:rPr>
          <w:rFonts w:hint="eastAsia" w:ascii="宋体" w:hAnsi="宋体"/>
          <w:color w:val="000000"/>
          <w:sz w:val="24"/>
        </w:rPr>
        <w:t>磋商供应商名称（公章）：</w:t>
      </w:r>
    </w:p>
    <w:p>
      <w:pPr>
        <w:spacing w:line="360" w:lineRule="auto"/>
        <w:ind w:firstLine="480" w:firstLineChars="200"/>
        <w:rPr>
          <w:rFonts w:ascii="宋体" w:hAnsi="宋体"/>
          <w:color w:val="000000"/>
          <w:sz w:val="24"/>
          <w:u w:val="single"/>
        </w:rPr>
      </w:pPr>
      <w:r>
        <w:rPr>
          <w:rFonts w:hint="eastAsia" w:ascii="宋体" w:hAnsi="宋体"/>
          <w:color w:val="000000"/>
          <w:sz w:val="24"/>
        </w:rPr>
        <w:t>法定代表人或授权代表人（签字）：</w:t>
      </w:r>
    </w:p>
    <w:p>
      <w:pPr>
        <w:spacing w:line="360" w:lineRule="auto"/>
        <w:ind w:firstLine="480" w:firstLineChars="200"/>
        <w:rPr>
          <w:rFonts w:ascii="宋体" w:hAnsi="宋体"/>
          <w:color w:val="000000"/>
          <w:sz w:val="24"/>
          <w:u w:val="single"/>
        </w:rPr>
      </w:pPr>
      <w:r>
        <w:rPr>
          <w:rFonts w:hint="eastAsia" w:ascii="宋体" w:hAnsi="宋体"/>
          <w:bCs/>
          <w:color w:val="000000"/>
          <w:sz w:val="24"/>
        </w:rPr>
        <w:t>日期：年  月  日</w:t>
      </w:r>
    </w:p>
    <w:p>
      <w:pPr>
        <w:spacing w:line="360" w:lineRule="auto"/>
        <w:rPr>
          <w:rFonts w:ascii="宋体" w:hAnsi="宋体"/>
          <w:b/>
          <w:sz w:val="32"/>
          <w:szCs w:val="32"/>
        </w:rPr>
      </w:pPr>
    </w:p>
    <w:p>
      <w:pPr>
        <w:spacing w:line="360" w:lineRule="auto"/>
        <w:rPr>
          <w:rFonts w:ascii="宋体" w:hAnsi="宋体"/>
          <w:b/>
          <w:sz w:val="32"/>
          <w:szCs w:val="32"/>
        </w:rPr>
      </w:pPr>
      <w:r>
        <w:rPr>
          <w:rFonts w:hint="eastAsia" w:ascii="宋体" w:hAnsi="宋体"/>
          <w:b/>
          <w:sz w:val="32"/>
          <w:szCs w:val="32"/>
        </w:rPr>
        <w:t>附件3：</w:t>
      </w:r>
      <w:bookmarkStart w:id="117" w:name="_Toc139965362"/>
    </w:p>
    <w:p>
      <w:pPr>
        <w:spacing w:line="360" w:lineRule="auto"/>
        <w:jc w:val="center"/>
        <w:rPr>
          <w:rFonts w:ascii="宋体"/>
          <w:b/>
          <w:sz w:val="32"/>
          <w:szCs w:val="32"/>
        </w:rPr>
      </w:pPr>
      <w:bookmarkStart w:id="118" w:name="_Toc327439494"/>
      <w:r>
        <w:rPr>
          <w:rFonts w:hint="eastAsia" w:ascii="宋体" w:hAnsi="宋体"/>
          <w:b/>
          <w:sz w:val="32"/>
          <w:szCs w:val="32"/>
        </w:rPr>
        <w:t>法定代表人身份证明</w:t>
      </w:r>
    </w:p>
    <w:p>
      <w:pPr>
        <w:spacing w:line="360" w:lineRule="auto"/>
        <w:ind w:firstLine="480" w:firstLineChars="200"/>
        <w:rPr>
          <w:rFonts w:ascii="宋体"/>
          <w:sz w:val="24"/>
        </w:rPr>
      </w:pPr>
      <w:r>
        <w:rPr>
          <w:rFonts w:hint="eastAsia" w:ascii="宋体" w:hAnsi="宋体"/>
          <w:sz w:val="24"/>
        </w:rPr>
        <w:t>磋商供应商名称：</w:t>
      </w:r>
    </w:p>
    <w:p>
      <w:pPr>
        <w:spacing w:line="360" w:lineRule="auto"/>
        <w:ind w:firstLine="480" w:firstLineChars="200"/>
        <w:rPr>
          <w:rFonts w:ascii="宋体"/>
          <w:sz w:val="24"/>
        </w:rPr>
      </w:pPr>
      <w:r>
        <w:rPr>
          <w:rFonts w:hint="eastAsia" w:ascii="宋体" w:hAnsi="宋体"/>
          <w:sz w:val="24"/>
        </w:rPr>
        <w:t>单位性质：</w:t>
      </w:r>
    </w:p>
    <w:p>
      <w:pPr>
        <w:spacing w:line="360" w:lineRule="auto"/>
        <w:ind w:firstLine="480" w:firstLineChars="200"/>
        <w:rPr>
          <w:rFonts w:ascii="宋体"/>
          <w:sz w:val="24"/>
        </w:rPr>
      </w:pPr>
      <w:r>
        <w:rPr>
          <w:rFonts w:hint="eastAsia" w:ascii="宋体" w:hAnsi="宋体"/>
          <w:sz w:val="24"/>
        </w:rPr>
        <w:t>地址：</w:t>
      </w:r>
    </w:p>
    <w:p>
      <w:pPr>
        <w:spacing w:line="360" w:lineRule="auto"/>
        <w:ind w:firstLine="480" w:firstLineChars="200"/>
        <w:rPr>
          <w:rFonts w:ascii="宋体"/>
          <w:sz w:val="24"/>
        </w:rPr>
      </w:pPr>
      <w:r>
        <w:rPr>
          <w:rFonts w:hint="eastAsia" w:ascii="宋体" w:hAnsi="宋体"/>
          <w:sz w:val="24"/>
        </w:rPr>
        <w:t>成立时间：年月日</w:t>
      </w:r>
    </w:p>
    <w:p>
      <w:pPr>
        <w:spacing w:line="360" w:lineRule="auto"/>
        <w:ind w:firstLine="480" w:firstLineChars="200"/>
        <w:rPr>
          <w:rFonts w:ascii="宋体"/>
          <w:sz w:val="24"/>
        </w:rPr>
      </w:pPr>
      <w:r>
        <w:rPr>
          <w:rFonts w:hint="eastAsia" w:ascii="宋体" w:hAnsi="宋体"/>
          <w:sz w:val="24"/>
        </w:rPr>
        <w:t>经营期限：</w:t>
      </w:r>
    </w:p>
    <w:p>
      <w:pPr>
        <w:spacing w:line="360" w:lineRule="auto"/>
        <w:ind w:firstLine="480" w:firstLineChars="200"/>
        <w:rPr>
          <w:rFonts w:ascii="宋体"/>
          <w:sz w:val="24"/>
        </w:rPr>
      </w:pPr>
      <w:r>
        <w:rPr>
          <w:rFonts w:hint="eastAsia" w:ascii="宋体" w:hAnsi="宋体"/>
          <w:sz w:val="24"/>
        </w:rPr>
        <w:t>姓名：性别：年龄：职务：</w:t>
      </w:r>
    </w:p>
    <w:p>
      <w:pPr>
        <w:spacing w:line="360" w:lineRule="auto"/>
        <w:ind w:firstLine="480" w:firstLineChars="200"/>
        <w:rPr>
          <w:rFonts w:ascii="宋体"/>
          <w:sz w:val="24"/>
        </w:rPr>
      </w:pPr>
      <w:r>
        <w:rPr>
          <w:rFonts w:hint="eastAsia" w:ascii="宋体" w:hAnsi="宋体"/>
          <w:sz w:val="24"/>
        </w:rPr>
        <w:t>身份证号码：</w:t>
      </w:r>
    </w:p>
    <w:p>
      <w:pPr>
        <w:spacing w:line="360" w:lineRule="auto"/>
        <w:ind w:firstLine="480" w:firstLineChars="200"/>
        <w:rPr>
          <w:rFonts w:ascii="宋体"/>
          <w:sz w:val="24"/>
        </w:rPr>
      </w:pPr>
      <w:r>
        <w:rPr>
          <w:rFonts w:hint="eastAsia" w:ascii="宋体" w:hAnsi="宋体"/>
          <w:sz w:val="24"/>
        </w:rPr>
        <w:t>系</w:t>
      </w:r>
      <w:r>
        <w:rPr>
          <w:rFonts w:hint="eastAsia" w:ascii="宋体" w:hAnsi="宋体"/>
          <w:sz w:val="24"/>
          <w:u w:val="single"/>
        </w:rPr>
        <w:t>（磋商供应商名称）</w:t>
      </w:r>
      <w:r>
        <w:rPr>
          <w:rFonts w:hint="eastAsia" w:ascii="宋体" w:hAnsi="宋体"/>
          <w:sz w:val="24"/>
        </w:rPr>
        <w:t>的法定代表人。</w:t>
      </w:r>
    </w:p>
    <w:p>
      <w:pPr>
        <w:spacing w:line="360" w:lineRule="auto"/>
        <w:ind w:firstLine="960" w:firstLineChars="400"/>
        <w:rPr>
          <w:rFonts w:ascii="宋体"/>
          <w:sz w:val="24"/>
        </w:rPr>
      </w:pPr>
      <w:r>
        <w:rPr>
          <w:rFonts w:hint="eastAsia" w:ascii="宋体" w:hAnsi="宋体"/>
          <w:sz w:val="24"/>
        </w:rPr>
        <w:t>特此证明。</w:t>
      </w:r>
    </w:p>
    <w:p>
      <w:pPr>
        <w:spacing w:line="360" w:lineRule="auto"/>
        <w:jc w:val="center"/>
        <w:rPr>
          <w:rFonts w:ascii="宋体" w:hAnsi="宋体"/>
          <w:b/>
          <w:sz w:val="32"/>
          <w:szCs w:val="32"/>
        </w:rPr>
      </w:pPr>
    </w:p>
    <w:p>
      <w:pPr>
        <w:spacing w:line="360" w:lineRule="auto"/>
        <w:ind w:firstLine="480" w:firstLineChars="200"/>
        <w:rPr>
          <w:rFonts w:ascii="宋体" w:hAnsi="宋体"/>
          <w:color w:val="000000"/>
          <w:sz w:val="24"/>
          <w:u w:val="single"/>
        </w:rPr>
      </w:pPr>
      <w:r>
        <w:rPr>
          <w:rFonts w:hint="eastAsia" w:ascii="宋体" w:hAnsi="宋体"/>
          <w:color w:val="000000"/>
          <w:sz w:val="24"/>
        </w:rPr>
        <w:t>磋商供应商名称（公章）：</w:t>
      </w:r>
    </w:p>
    <w:p>
      <w:pPr>
        <w:spacing w:line="360" w:lineRule="auto"/>
        <w:ind w:firstLine="480" w:firstLineChars="200"/>
        <w:rPr>
          <w:rFonts w:ascii="宋体" w:hAnsi="宋体"/>
          <w:color w:val="000000"/>
          <w:sz w:val="24"/>
          <w:u w:val="single"/>
        </w:rPr>
      </w:pPr>
      <w:r>
        <w:rPr>
          <w:rFonts w:hint="eastAsia" w:ascii="宋体" w:hAnsi="宋体"/>
          <w:color w:val="000000"/>
          <w:sz w:val="24"/>
        </w:rPr>
        <w:t>法定代表人（签字）：</w:t>
      </w:r>
    </w:p>
    <w:p>
      <w:pPr>
        <w:spacing w:line="360" w:lineRule="auto"/>
        <w:ind w:firstLine="480" w:firstLineChars="200"/>
        <w:rPr>
          <w:rFonts w:ascii="宋体" w:hAnsi="宋体"/>
          <w:color w:val="000000"/>
          <w:sz w:val="24"/>
          <w:u w:val="single"/>
        </w:rPr>
      </w:pPr>
      <w:r>
        <w:rPr>
          <w:rFonts w:hint="eastAsia" w:ascii="宋体" w:hAnsi="宋体"/>
          <w:bCs/>
          <w:color w:val="000000"/>
          <w:sz w:val="24"/>
        </w:rPr>
        <w:t>日期：年月日</w:t>
      </w:r>
    </w:p>
    <w:p>
      <w:pPr>
        <w:spacing w:line="360" w:lineRule="auto"/>
        <w:rPr>
          <w:rFonts w:ascii="宋体" w:hAnsi="宋体"/>
          <w:b/>
          <w:sz w:val="32"/>
          <w:szCs w:val="32"/>
        </w:rPr>
      </w:pPr>
    </w:p>
    <w:tbl>
      <w:tblPr>
        <w:tblStyle w:val="33"/>
        <w:tblW w:w="91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8"/>
        <w:gridCol w:w="4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498" w:type="dxa"/>
            <w:vAlign w:val="center"/>
          </w:tcPr>
          <w:p>
            <w:pPr>
              <w:spacing w:after="120" w:afterLines="50" w:line="360" w:lineRule="auto"/>
              <w:jc w:val="center"/>
              <w:rPr>
                <w:rFonts w:ascii="宋体" w:hAnsi="宋体"/>
                <w:b/>
                <w:sz w:val="24"/>
              </w:rPr>
            </w:pPr>
            <w:r>
              <w:rPr>
                <w:rFonts w:hint="eastAsia" w:ascii="宋体" w:hAnsi="宋体"/>
                <w:b/>
                <w:sz w:val="24"/>
              </w:rPr>
              <w:t>法定代表人身份证</w:t>
            </w:r>
          </w:p>
          <w:p>
            <w:pPr>
              <w:spacing w:after="120" w:afterLines="50" w:line="360" w:lineRule="auto"/>
              <w:jc w:val="center"/>
              <w:rPr>
                <w:rFonts w:ascii="宋体" w:hAnsi="宋体"/>
                <w:b/>
                <w:sz w:val="24"/>
              </w:rPr>
            </w:pPr>
            <w:r>
              <w:rPr>
                <w:rFonts w:hint="eastAsia" w:ascii="宋体" w:hAnsi="宋体"/>
                <w:b/>
                <w:sz w:val="24"/>
              </w:rPr>
              <w:t>复印件正面</w:t>
            </w:r>
          </w:p>
        </w:tc>
        <w:tc>
          <w:tcPr>
            <w:tcW w:w="4610" w:type="dxa"/>
            <w:vAlign w:val="center"/>
          </w:tcPr>
          <w:p>
            <w:pPr>
              <w:spacing w:after="120" w:afterLines="50" w:line="360" w:lineRule="auto"/>
              <w:jc w:val="center"/>
              <w:rPr>
                <w:rFonts w:ascii="宋体" w:hAnsi="宋体"/>
                <w:b/>
                <w:sz w:val="24"/>
              </w:rPr>
            </w:pPr>
            <w:r>
              <w:rPr>
                <w:rFonts w:hint="eastAsia" w:ascii="宋体" w:hAnsi="宋体"/>
                <w:b/>
                <w:sz w:val="24"/>
              </w:rPr>
              <w:t>法定代表人身份证</w:t>
            </w:r>
          </w:p>
          <w:p>
            <w:pPr>
              <w:spacing w:after="120" w:afterLines="50" w:line="360" w:lineRule="auto"/>
              <w:jc w:val="center"/>
              <w:rPr>
                <w:rFonts w:ascii="宋体" w:hAnsi="宋体"/>
                <w:b/>
                <w:sz w:val="24"/>
              </w:rPr>
            </w:pPr>
            <w:r>
              <w:rPr>
                <w:rFonts w:hint="eastAsia" w:ascii="宋体" w:hAnsi="宋体"/>
                <w:b/>
                <w:sz w:val="24"/>
              </w:rPr>
              <w:t>复印件反面</w:t>
            </w:r>
          </w:p>
        </w:tc>
      </w:tr>
    </w:tbl>
    <w:p>
      <w:pPr>
        <w:spacing w:line="360" w:lineRule="auto"/>
        <w:jc w:val="center"/>
        <w:rPr>
          <w:rFonts w:ascii="宋体" w:hAnsi="宋体"/>
          <w:b/>
          <w:sz w:val="32"/>
          <w:szCs w:val="32"/>
        </w:rPr>
      </w:pP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rPr>
          <w:rFonts w:ascii="宋体" w:hAnsi="宋体"/>
          <w:b/>
          <w:sz w:val="32"/>
          <w:szCs w:val="32"/>
        </w:rPr>
      </w:pPr>
      <w:r>
        <w:rPr>
          <w:rFonts w:hint="eastAsia" w:ascii="宋体" w:hAnsi="宋体"/>
          <w:b/>
          <w:sz w:val="32"/>
          <w:szCs w:val="32"/>
        </w:rPr>
        <w:br w:type="page"/>
      </w:r>
      <w:r>
        <w:rPr>
          <w:rFonts w:hint="eastAsia" w:ascii="宋体" w:hAnsi="宋体"/>
          <w:b/>
          <w:sz w:val="32"/>
          <w:szCs w:val="32"/>
        </w:rPr>
        <w:t>附件4：</w:t>
      </w:r>
    </w:p>
    <w:p>
      <w:pPr>
        <w:spacing w:line="360" w:lineRule="auto"/>
        <w:jc w:val="center"/>
        <w:rPr>
          <w:rFonts w:ascii="宋体" w:hAnsi="宋体"/>
          <w:b/>
          <w:sz w:val="32"/>
          <w:szCs w:val="32"/>
        </w:rPr>
      </w:pPr>
      <w:r>
        <w:rPr>
          <w:rFonts w:hint="eastAsia" w:ascii="宋体" w:hAnsi="宋体"/>
          <w:b/>
          <w:sz w:val="32"/>
          <w:szCs w:val="32"/>
        </w:rPr>
        <w:t>法定代表人授权委托书</w:t>
      </w:r>
    </w:p>
    <w:p>
      <w:pPr>
        <w:spacing w:line="360" w:lineRule="auto"/>
        <w:jc w:val="center"/>
        <w:rPr>
          <w:rFonts w:ascii="宋体" w:hAnsi="宋体"/>
          <w:sz w:val="24"/>
        </w:rPr>
      </w:pPr>
    </w:p>
    <w:p>
      <w:pPr>
        <w:spacing w:line="360" w:lineRule="auto"/>
        <w:ind w:firstLine="480" w:firstLineChars="200"/>
        <w:jc w:val="left"/>
        <w:rPr>
          <w:rFonts w:ascii="宋体" w:hAnsi="宋体"/>
          <w:color w:val="000000"/>
          <w:sz w:val="24"/>
          <w:u w:val="single"/>
        </w:rPr>
      </w:pPr>
      <w:r>
        <w:rPr>
          <w:rFonts w:hint="eastAsia" w:ascii="宋体" w:hAnsi="宋体"/>
          <w:color w:val="000000"/>
          <w:sz w:val="24"/>
        </w:rPr>
        <w:t>本授权书声明：我单位的（法定代表人代表姓名、职务）代表本单位授权</w:t>
      </w:r>
      <w:r>
        <w:rPr>
          <w:rFonts w:hint="eastAsia" w:ascii="宋体" w:hAnsi="宋体"/>
          <w:color w:val="000000"/>
          <w:sz w:val="24"/>
          <w:u w:val="single"/>
        </w:rPr>
        <w:t>（</w:t>
      </w:r>
      <w:r>
        <w:rPr>
          <w:rFonts w:hint="eastAsia" w:ascii="宋体" w:hAnsi="宋体"/>
          <w:color w:val="000000"/>
          <w:sz w:val="24"/>
        </w:rPr>
        <w:t>被授权人的姓名、职务）为本单位的合法代理人，就项目的投标及合同的执行、完成，以本单位的名义处理一切与之有关的事务。</w:t>
      </w:r>
    </w:p>
    <w:p>
      <w:pPr>
        <w:spacing w:line="360" w:lineRule="auto"/>
        <w:ind w:firstLine="538"/>
        <w:jc w:val="left"/>
        <w:rPr>
          <w:rFonts w:ascii="宋体" w:hAnsi="宋体"/>
          <w:color w:val="000000"/>
          <w:sz w:val="24"/>
        </w:rPr>
      </w:pPr>
    </w:p>
    <w:p>
      <w:pPr>
        <w:spacing w:line="360" w:lineRule="auto"/>
        <w:ind w:firstLine="538"/>
        <w:jc w:val="left"/>
        <w:rPr>
          <w:rFonts w:ascii="宋体" w:hAnsi="宋体"/>
          <w:color w:val="000000"/>
          <w:sz w:val="24"/>
        </w:rPr>
      </w:pPr>
      <w:r>
        <w:rPr>
          <w:rFonts w:hint="eastAsia" w:ascii="宋体" w:hAnsi="宋体"/>
          <w:color w:val="000000"/>
          <w:sz w:val="24"/>
        </w:rPr>
        <w:t>本授权书于年月日签字生效，特此声明。</w:t>
      </w:r>
    </w:p>
    <w:p>
      <w:pPr>
        <w:spacing w:line="360" w:lineRule="auto"/>
        <w:ind w:firstLine="538"/>
        <w:jc w:val="left"/>
        <w:rPr>
          <w:rFonts w:ascii="宋体" w:hAnsi="宋体"/>
          <w:color w:val="000000"/>
          <w:sz w:val="24"/>
        </w:rPr>
      </w:pPr>
    </w:p>
    <w:p>
      <w:pPr>
        <w:spacing w:line="360" w:lineRule="auto"/>
        <w:ind w:firstLine="538"/>
        <w:jc w:val="left"/>
        <w:rPr>
          <w:rFonts w:ascii="宋体" w:hAnsi="宋体"/>
          <w:color w:val="000000"/>
          <w:sz w:val="24"/>
        </w:rPr>
      </w:pPr>
    </w:p>
    <w:p>
      <w:pPr>
        <w:spacing w:after="120" w:afterLines="50" w:line="360" w:lineRule="auto"/>
        <w:ind w:firstLine="437"/>
        <w:rPr>
          <w:rFonts w:ascii="宋体" w:hAnsi="宋体"/>
          <w:color w:val="000000"/>
          <w:sz w:val="24"/>
          <w:u w:val="single"/>
        </w:rPr>
      </w:pPr>
      <w:r>
        <w:rPr>
          <w:rFonts w:hint="eastAsia" w:ascii="宋体" w:hAnsi="宋体"/>
          <w:color w:val="000000"/>
          <w:sz w:val="24"/>
        </w:rPr>
        <w:t>磋商供应商名称（公章）：</w:t>
      </w:r>
    </w:p>
    <w:p>
      <w:pPr>
        <w:spacing w:after="120" w:afterLines="50" w:line="360" w:lineRule="auto"/>
        <w:ind w:firstLine="437"/>
        <w:rPr>
          <w:rFonts w:ascii="宋体" w:hAnsi="宋体"/>
          <w:color w:val="000000"/>
          <w:sz w:val="24"/>
        </w:rPr>
      </w:pPr>
      <w:r>
        <w:rPr>
          <w:rFonts w:hint="eastAsia" w:ascii="宋体" w:hAnsi="宋体"/>
          <w:color w:val="000000"/>
          <w:sz w:val="24"/>
        </w:rPr>
        <w:t>法定代表人签字：</w:t>
      </w:r>
    </w:p>
    <w:p>
      <w:pPr>
        <w:spacing w:after="120" w:afterLines="50" w:line="360" w:lineRule="auto"/>
        <w:ind w:firstLine="437"/>
        <w:rPr>
          <w:rFonts w:ascii="宋体" w:hAnsi="宋体"/>
          <w:color w:val="000000"/>
          <w:sz w:val="24"/>
          <w:u w:val="single"/>
        </w:rPr>
      </w:pPr>
      <w:r>
        <w:rPr>
          <w:rFonts w:hint="eastAsia" w:ascii="宋体" w:hAnsi="宋体"/>
          <w:color w:val="000000"/>
          <w:sz w:val="24"/>
        </w:rPr>
        <w:t>授权代表人签字：</w:t>
      </w:r>
    </w:p>
    <w:p>
      <w:pPr>
        <w:spacing w:line="360" w:lineRule="auto"/>
        <w:ind w:firstLine="470" w:firstLineChars="196"/>
        <w:rPr>
          <w:rFonts w:ascii="宋体" w:hAnsi="宋体"/>
          <w:sz w:val="24"/>
        </w:rPr>
      </w:pPr>
      <w:r>
        <w:rPr>
          <w:rFonts w:hint="eastAsia" w:ascii="宋体" w:hAnsi="宋体"/>
          <w:color w:val="000000"/>
          <w:sz w:val="24"/>
        </w:rPr>
        <w:t>日期：年月日</w:t>
      </w:r>
    </w:p>
    <w:p>
      <w:pPr>
        <w:spacing w:line="360" w:lineRule="auto"/>
        <w:jc w:val="right"/>
        <w:rPr>
          <w:rFonts w:ascii="宋体" w:hAnsi="宋体"/>
          <w:sz w:val="24"/>
        </w:rPr>
      </w:pPr>
    </w:p>
    <w:tbl>
      <w:tblPr>
        <w:tblStyle w:val="33"/>
        <w:tblW w:w="91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8"/>
        <w:gridCol w:w="4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498" w:type="dxa"/>
            <w:vAlign w:val="center"/>
          </w:tcPr>
          <w:p>
            <w:pPr>
              <w:spacing w:after="120" w:afterLines="50" w:line="360" w:lineRule="auto"/>
              <w:jc w:val="center"/>
              <w:rPr>
                <w:rFonts w:ascii="宋体" w:hAnsi="宋体"/>
                <w:b/>
                <w:sz w:val="24"/>
              </w:rPr>
            </w:pPr>
            <w:r>
              <w:rPr>
                <w:rFonts w:hint="eastAsia" w:ascii="宋体" w:hAnsi="宋体"/>
                <w:b/>
                <w:sz w:val="24"/>
              </w:rPr>
              <w:t>法定代表人身份证</w:t>
            </w:r>
          </w:p>
          <w:p>
            <w:pPr>
              <w:spacing w:after="120" w:afterLines="50" w:line="360" w:lineRule="auto"/>
              <w:jc w:val="center"/>
              <w:rPr>
                <w:rFonts w:ascii="宋体" w:hAnsi="宋体"/>
                <w:b/>
                <w:sz w:val="24"/>
              </w:rPr>
            </w:pPr>
            <w:r>
              <w:rPr>
                <w:rFonts w:hint="eastAsia" w:ascii="宋体" w:hAnsi="宋体"/>
                <w:b/>
                <w:sz w:val="24"/>
              </w:rPr>
              <w:t>复印件（正、反面）</w:t>
            </w:r>
          </w:p>
        </w:tc>
        <w:tc>
          <w:tcPr>
            <w:tcW w:w="4610" w:type="dxa"/>
            <w:vAlign w:val="center"/>
          </w:tcPr>
          <w:p>
            <w:pPr>
              <w:spacing w:after="120" w:afterLines="50" w:line="360" w:lineRule="auto"/>
              <w:jc w:val="center"/>
              <w:rPr>
                <w:rFonts w:ascii="宋体" w:hAnsi="宋体"/>
                <w:b/>
                <w:sz w:val="24"/>
              </w:rPr>
            </w:pPr>
            <w:r>
              <w:rPr>
                <w:rFonts w:hint="eastAsia" w:ascii="宋体" w:hAnsi="宋体"/>
                <w:b/>
                <w:sz w:val="24"/>
              </w:rPr>
              <w:t>被授权人身份证</w:t>
            </w:r>
          </w:p>
          <w:p>
            <w:pPr>
              <w:spacing w:after="120" w:afterLines="50" w:line="360" w:lineRule="auto"/>
              <w:jc w:val="center"/>
              <w:rPr>
                <w:rFonts w:ascii="宋体" w:hAnsi="宋体"/>
                <w:b/>
                <w:sz w:val="24"/>
              </w:rPr>
            </w:pPr>
            <w:r>
              <w:rPr>
                <w:rFonts w:hint="eastAsia" w:ascii="宋体" w:hAnsi="宋体"/>
                <w:b/>
                <w:sz w:val="24"/>
              </w:rPr>
              <w:t>复印件（正、反面）</w:t>
            </w:r>
          </w:p>
        </w:tc>
      </w:tr>
    </w:tbl>
    <w:p>
      <w:pPr>
        <w:pStyle w:val="4"/>
        <w:spacing w:before="0" w:after="0" w:line="360" w:lineRule="auto"/>
        <w:rPr>
          <w:rFonts w:ascii="宋体" w:hAnsi="宋体" w:eastAsia="宋体"/>
          <w:spacing w:val="10"/>
          <w:sz w:val="24"/>
          <w:szCs w:val="24"/>
        </w:rPr>
      </w:pPr>
    </w:p>
    <w:p>
      <w:pPr>
        <w:spacing w:line="360" w:lineRule="auto"/>
      </w:pPr>
    </w:p>
    <w:p>
      <w:pPr>
        <w:spacing w:line="360" w:lineRule="auto"/>
      </w:pPr>
    </w:p>
    <w:p>
      <w:pPr>
        <w:spacing w:line="360" w:lineRule="auto"/>
      </w:pPr>
    </w:p>
    <w:p>
      <w:pPr>
        <w:spacing w:line="360" w:lineRule="auto"/>
      </w:pPr>
    </w:p>
    <w:p>
      <w:pPr>
        <w:spacing w:line="360" w:lineRule="auto"/>
      </w:pPr>
    </w:p>
    <w:p>
      <w:pPr>
        <w:pStyle w:val="2"/>
      </w:pPr>
    </w:p>
    <w:p>
      <w:pPr>
        <w:pStyle w:val="2"/>
      </w:pPr>
    </w:p>
    <w:p>
      <w:pPr>
        <w:pStyle w:val="2"/>
      </w:pPr>
    </w:p>
    <w:p>
      <w:pPr>
        <w:pStyle w:val="2"/>
      </w:pPr>
    </w:p>
    <w:p>
      <w:pPr>
        <w:spacing w:line="360" w:lineRule="auto"/>
        <w:jc w:val="left"/>
        <w:rPr>
          <w:rFonts w:ascii="宋体" w:hAnsi="宋体"/>
          <w:b/>
          <w:color w:val="000000"/>
          <w:sz w:val="32"/>
          <w:szCs w:val="32"/>
        </w:rPr>
      </w:pPr>
      <w:r>
        <w:rPr>
          <w:rFonts w:hint="eastAsia" w:ascii="宋体" w:hAnsi="宋体"/>
          <w:b/>
          <w:color w:val="000000"/>
          <w:sz w:val="32"/>
          <w:szCs w:val="32"/>
        </w:rPr>
        <w:t>附件5：</w:t>
      </w:r>
    </w:p>
    <w:p>
      <w:pPr>
        <w:spacing w:line="360" w:lineRule="auto"/>
        <w:jc w:val="center"/>
        <w:sectPr>
          <w:footerReference r:id="rId6" w:type="default"/>
          <w:pgSz w:w="11907" w:h="16840"/>
          <w:pgMar w:top="1440" w:right="1247" w:bottom="1440" w:left="1361" w:header="851" w:footer="992" w:gutter="0"/>
          <w:pgNumType w:start="1"/>
          <w:cols w:space="720" w:num="1"/>
          <w:docGrid w:linePitch="312" w:charSpace="0"/>
        </w:sectPr>
      </w:pPr>
      <w:r>
        <w:rPr>
          <w:rFonts w:hint="eastAsia" w:ascii="宋体" w:hAnsi="宋体"/>
          <w:b/>
          <w:color w:val="000000"/>
          <w:sz w:val="32"/>
          <w:szCs w:val="32"/>
        </w:rPr>
        <w:t>供应商资格证明材料</w:t>
      </w:r>
    </w:p>
    <w:bookmarkEnd w:id="117"/>
    <w:bookmarkEnd w:id="118"/>
    <w:p>
      <w:pPr>
        <w:spacing w:line="360" w:lineRule="auto"/>
        <w:jc w:val="left"/>
        <w:rPr>
          <w:rFonts w:ascii="宋体" w:hAnsi="宋体"/>
          <w:b/>
          <w:color w:val="000000"/>
          <w:sz w:val="32"/>
          <w:szCs w:val="32"/>
        </w:rPr>
      </w:pPr>
      <w:r>
        <w:rPr>
          <w:rFonts w:hint="eastAsia" w:ascii="宋体" w:hAnsi="宋体"/>
          <w:b/>
          <w:color w:val="000000"/>
          <w:sz w:val="32"/>
          <w:szCs w:val="32"/>
        </w:rPr>
        <w:t xml:space="preserve">附件6： </w:t>
      </w:r>
    </w:p>
    <w:p>
      <w:pPr>
        <w:spacing w:line="360" w:lineRule="auto"/>
        <w:jc w:val="center"/>
        <w:rPr>
          <w:rFonts w:ascii="宋体" w:hAnsi="宋体"/>
          <w:b/>
          <w:color w:val="000000"/>
          <w:sz w:val="32"/>
          <w:szCs w:val="32"/>
        </w:rPr>
      </w:pPr>
      <w:r>
        <w:rPr>
          <w:rFonts w:hint="eastAsia" w:ascii="宋体" w:hAnsi="宋体"/>
          <w:b/>
          <w:color w:val="000000"/>
          <w:sz w:val="32"/>
          <w:szCs w:val="32"/>
        </w:rPr>
        <w:t>磋商报价表</w:t>
      </w:r>
    </w:p>
    <w:p>
      <w:pPr>
        <w:tabs>
          <w:tab w:val="left" w:pos="9360"/>
        </w:tabs>
        <w:spacing w:line="360" w:lineRule="auto"/>
        <w:ind w:firstLine="600" w:firstLineChars="250"/>
        <w:jc w:val="left"/>
        <w:rPr>
          <w:rFonts w:ascii="宋体" w:hAnsi="宋体"/>
          <w:color w:val="000000"/>
          <w:sz w:val="24"/>
        </w:rPr>
      </w:pPr>
      <w:r>
        <w:rPr>
          <w:rFonts w:hint="eastAsia" w:ascii="宋体" w:hAnsi="宋体"/>
          <w:color w:val="000000"/>
          <w:sz w:val="24"/>
        </w:rPr>
        <w:t>磋商供应商名称：       项目编号：                   币种：</w:t>
      </w:r>
      <w:r>
        <w:rPr>
          <w:rFonts w:hint="eastAsia" w:ascii="宋体" w:hAnsi="宋体"/>
          <w:color w:val="000000"/>
          <w:sz w:val="24"/>
          <w:u w:val="single"/>
        </w:rPr>
        <w:t>人民币</w:t>
      </w:r>
    </w:p>
    <w:tbl>
      <w:tblPr>
        <w:tblStyle w:val="33"/>
        <w:tblW w:w="946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216"/>
        <w:gridCol w:w="1235"/>
        <w:gridCol w:w="1579"/>
        <w:gridCol w:w="1394"/>
        <w:gridCol w:w="1649"/>
        <w:gridCol w:w="152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exact"/>
          <w:jc w:val="center"/>
        </w:trPr>
        <w:tc>
          <w:tcPr>
            <w:tcW w:w="862" w:type="dxa"/>
            <w:noWrap/>
            <w:vAlign w:val="center"/>
          </w:tcPr>
          <w:p>
            <w:pPr>
              <w:jc w:val="center"/>
              <w:rPr>
                <w:rFonts w:ascii="宋体" w:hAnsi="宋体"/>
                <w:sz w:val="24"/>
              </w:rPr>
            </w:pPr>
            <w:r>
              <w:rPr>
                <w:rFonts w:hint="eastAsia" w:ascii="宋体" w:hAnsi="宋体"/>
                <w:sz w:val="24"/>
              </w:rPr>
              <w:t>序号</w:t>
            </w:r>
          </w:p>
        </w:tc>
        <w:tc>
          <w:tcPr>
            <w:tcW w:w="1216" w:type="dxa"/>
            <w:noWrap/>
            <w:vAlign w:val="center"/>
          </w:tcPr>
          <w:p>
            <w:pPr>
              <w:jc w:val="center"/>
              <w:rPr>
                <w:rFonts w:ascii="宋体" w:hAnsi="宋体"/>
                <w:sz w:val="24"/>
              </w:rPr>
            </w:pPr>
            <w:r>
              <w:rPr>
                <w:rFonts w:hint="eastAsia" w:ascii="宋体" w:hAnsi="宋体"/>
                <w:sz w:val="24"/>
              </w:rPr>
              <w:t>服务内容</w:t>
            </w:r>
          </w:p>
        </w:tc>
        <w:tc>
          <w:tcPr>
            <w:tcW w:w="1235" w:type="dxa"/>
            <w:noWrap/>
            <w:vAlign w:val="center"/>
          </w:tcPr>
          <w:p>
            <w:pPr>
              <w:jc w:val="center"/>
              <w:rPr>
                <w:rFonts w:ascii="宋体" w:hAnsi="宋体"/>
                <w:sz w:val="24"/>
              </w:rPr>
            </w:pPr>
            <w:r>
              <w:rPr>
                <w:rFonts w:hint="eastAsia" w:ascii="宋体" w:hAnsi="宋体"/>
                <w:sz w:val="24"/>
              </w:rPr>
              <w:t>单价（元）</w:t>
            </w:r>
          </w:p>
        </w:tc>
        <w:tc>
          <w:tcPr>
            <w:tcW w:w="1579" w:type="dxa"/>
            <w:noWrap/>
            <w:vAlign w:val="center"/>
          </w:tcPr>
          <w:p>
            <w:pPr>
              <w:jc w:val="center"/>
              <w:rPr>
                <w:rFonts w:ascii="宋体" w:hAnsi="宋体"/>
                <w:sz w:val="24"/>
              </w:rPr>
            </w:pPr>
            <w:r>
              <w:rPr>
                <w:rFonts w:hint="eastAsia" w:ascii="宋体" w:hAnsi="宋体"/>
                <w:sz w:val="24"/>
              </w:rPr>
              <w:t>数量</w:t>
            </w:r>
          </w:p>
        </w:tc>
        <w:tc>
          <w:tcPr>
            <w:tcW w:w="1394" w:type="dxa"/>
            <w:noWrap/>
            <w:vAlign w:val="center"/>
          </w:tcPr>
          <w:p>
            <w:pPr>
              <w:jc w:val="center"/>
              <w:rPr>
                <w:rFonts w:ascii="宋体" w:hAnsi="宋体"/>
                <w:sz w:val="24"/>
              </w:rPr>
            </w:pPr>
            <w:r>
              <w:rPr>
                <w:rFonts w:hint="eastAsia" w:ascii="宋体" w:hAnsi="宋体"/>
                <w:sz w:val="24"/>
              </w:rPr>
              <w:t>总价（元）</w:t>
            </w:r>
          </w:p>
        </w:tc>
        <w:tc>
          <w:tcPr>
            <w:tcW w:w="1649" w:type="dxa"/>
            <w:noWrap/>
            <w:vAlign w:val="center"/>
          </w:tcPr>
          <w:p>
            <w:pPr>
              <w:jc w:val="center"/>
              <w:rPr>
                <w:rFonts w:ascii="宋体" w:hAnsi="宋体"/>
                <w:sz w:val="24"/>
              </w:rPr>
            </w:pPr>
            <w:r>
              <w:rPr>
                <w:rFonts w:hint="eastAsia" w:ascii="宋体" w:hAnsi="宋体"/>
                <w:sz w:val="24"/>
              </w:rPr>
              <w:t>编制期限</w:t>
            </w:r>
          </w:p>
        </w:tc>
        <w:tc>
          <w:tcPr>
            <w:tcW w:w="1528" w:type="dxa"/>
            <w:noWrap/>
            <w:vAlign w:val="center"/>
          </w:tcPr>
          <w:p>
            <w:pPr>
              <w:jc w:val="center"/>
              <w:rPr>
                <w:rFonts w:ascii="宋体" w:hAnsi="宋体"/>
                <w:sz w:val="24"/>
              </w:rPr>
            </w:pPr>
            <w:r>
              <w:rPr>
                <w:rFonts w:hint="eastAsia" w:ascii="宋体" w:hAnsi="宋体"/>
                <w:sz w:val="24"/>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exact"/>
          <w:jc w:val="center"/>
        </w:trPr>
        <w:tc>
          <w:tcPr>
            <w:tcW w:w="862" w:type="dxa"/>
            <w:noWrap/>
            <w:vAlign w:val="center"/>
          </w:tcPr>
          <w:p>
            <w:pPr>
              <w:jc w:val="center"/>
              <w:rPr>
                <w:rFonts w:ascii="宋体" w:hAnsi="宋体"/>
                <w:sz w:val="24"/>
              </w:rPr>
            </w:pPr>
          </w:p>
        </w:tc>
        <w:tc>
          <w:tcPr>
            <w:tcW w:w="1216" w:type="dxa"/>
            <w:noWrap/>
            <w:vAlign w:val="center"/>
          </w:tcPr>
          <w:p>
            <w:pPr>
              <w:jc w:val="center"/>
              <w:rPr>
                <w:rFonts w:ascii="宋体" w:hAnsi="宋体"/>
                <w:sz w:val="24"/>
              </w:rPr>
            </w:pPr>
          </w:p>
        </w:tc>
        <w:tc>
          <w:tcPr>
            <w:tcW w:w="1235" w:type="dxa"/>
            <w:noWrap/>
            <w:vAlign w:val="center"/>
          </w:tcPr>
          <w:p>
            <w:pPr>
              <w:jc w:val="center"/>
              <w:rPr>
                <w:rFonts w:ascii="宋体" w:hAnsi="宋体"/>
                <w:sz w:val="24"/>
              </w:rPr>
            </w:pPr>
          </w:p>
        </w:tc>
        <w:tc>
          <w:tcPr>
            <w:tcW w:w="1579" w:type="dxa"/>
            <w:noWrap/>
            <w:vAlign w:val="center"/>
          </w:tcPr>
          <w:p>
            <w:pPr>
              <w:jc w:val="center"/>
              <w:rPr>
                <w:rFonts w:ascii="宋体" w:hAnsi="宋体"/>
                <w:sz w:val="24"/>
              </w:rPr>
            </w:pPr>
          </w:p>
        </w:tc>
        <w:tc>
          <w:tcPr>
            <w:tcW w:w="1394" w:type="dxa"/>
            <w:noWrap/>
            <w:vAlign w:val="center"/>
          </w:tcPr>
          <w:p>
            <w:pPr>
              <w:jc w:val="center"/>
              <w:rPr>
                <w:rFonts w:ascii="宋体" w:hAnsi="宋体"/>
                <w:sz w:val="24"/>
              </w:rPr>
            </w:pPr>
          </w:p>
        </w:tc>
        <w:tc>
          <w:tcPr>
            <w:tcW w:w="1649" w:type="dxa"/>
            <w:noWrap/>
            <w:vAlign w:val="center"/>
          </w:tcPr>
          <w:p>
            <w:pPr>
              <w:jc w:val="center"/>
              <w:rPr>
                <w:rFonts w:ascii="宋体" w:hAnsi="宋体"/>
                <w:b/>
                <w:sz w:val="24"/>
                <w:u w:val="single"/>
              </w:rPr>
            </w:pPr>
          </w:p>
        </w:tc>
        <w:tc>
          <w:tcPr>
            <w:tcW w:w="1528" w:type="dxa"/>
            <w:noWrap/>
            <w:vAlign w:val="center"/>
          </w:tcPr>
          <w:p>
            <w:pPr>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exact"/>
          <w:jc w:val="center"/>
        </w:trPr>
        <w:tc>
          <w:tcPr>
            <w:tcW w:w="862" w:type="dxa"/>
            <w:noWrap/>
            <w:vAlign w:val="center"/>
          </w:tcPr>
          <w:p>
            <w:pPr>
              <w:jc w:val="center"/>
              <w:rPr>
                <w:rFonts w:ascii="宋体" w:hAnsi="宋体"/>
                <w:sz w:val="24"/>
              </w:rPr>
            </w:pPr>
          </w:p>
        </w:tc>
        <w:tc>
          <w:tcPr>
            <w:tcW w:w="1216" w:type="dxa"/>
            <w:noWrap/>
            <w:vAlign w:val="center"/>
          </w:tcPr>
          <w:p>
            <w:pPr>
              <w:jc w:val="center"/>
              <w:rPr>
                <w:rFonts w:ascii="宋体" w:hAnsi="宋体"/>
                <w:sz w:val="24"/>
              </w:rPr>
            </w:pPr>
          </w:p>
        </w:tc>
        <w:tc>
          <w:tcPr>
            <w:tcW w:w="1235" w:type="dxa"/>
            <w:noWrap/>
            <w:vAlign w:val="center"/>
          </w:tcPr>
          <w:p>
            <w:pPr>
              <w:jc w:val="center"/>
              <w:rPr>
                <w:rFonts w:ascii="宋体" w:hAnsi="宋体"/>
                <w:sz w:val="24"/>
              </w:rPr>
            </w:pPr>
          </w:p>
        </w:tc>
        <w:tc>
          <w:tcPr>
            <w:tcW w:w="1579" w:type="dxa"/>
            <w:noWrap/>
            <w:vAlign w:val="center"/>
          </w:tcPr>
          <w:p>
            <w:pPr>
              <w:jc w:val="center"/>
              <w:rPr>
                <w:rFonts w:ascii="宋体" w:hAnsi="宋体"/>
                <w:sz w:val="24"/>
              </w:rPr>
            </w:pPr>
          </w:p>
        </w:tc>
        <w:tc>
          <w:tcPr>
            <w:tcW w:w="1394" w:type="dxa"/>
            <w:noWrap/>
            <w:vAlign w:val="center"/>
          </w:tcPr>
          <w:p>
            <w:pPr>
              <w:jc w:val="center"/>
              <w:rPr>
                <w:rFonts w:ascii="宋体" w:hAnsi="宋体"/>
                <w:sz w:val="24"/>
              </w:rPr>
            </w:pPr>
          </w:p>
        </w:tc>
        <w:tc>
          <w:tcPr>
            <w:tcW w:w="1649" w:type="dxa"/>
            <w:noWrap/>
            <w:vAlign w:val="center"/>
          </w:tcPr>
          <w:p>
            <w:pPr>
              <w:jc w:val="center"/>
              <w:rPr>
                <w:rFonts w:ascii="宋体" w:hAnsi="宋体"/>
                <w:b/>
                <w:sz w:val="24"/>
                <w:u w:val="single"/>
              </w:rPr>
            </w:pPr>
          </w:p>
        </w:tc>
        <w:tc>
          <w:tcPr>
            <w:tcW w:w="1528" w:type="dxa"/>
            <w:noWrap/>
            <w:vAlign w:val="center"/>
          </w:tcPr>
          <w:p>
            <w:pPr>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862" w:type="dxa"/>
            <w:noWrap/>
            <w:vAlign w:val="center"/>
          </w:tcPr>
          <w:p>
            <w:pPr>
              <w:jc w:val="center"/>
              <w:rPr>
                <w:rFonts w:ascii="宋体" w:hAnsi="宋体"/>
                <w:sz w:val="24"/>
              </w:rPr>
            </w:pPr>
          </w:p>
        </w:tc>
        <w:tc>
          <w:tcPr>
            <w:tcW w:w="1216" w:type="dxa"/>
            <w:noWrap/>
            <w:vAlign w:val="center"/>
          </w:tcPr>
          <w:p>
            <w:pPr>
              <w:jc w:val="center"/>
              <w:rPr>
                <w:rFonts w:ascii="宋体" w:hAnsi="宋体"/>
                <w:sz w:val="24"/>
              </w:rPr>
            </w:pPr>
          </w:p>
        </w:tc>
        <w:tc>
          <w:tcPr>
            <w:tcW w:w="1235" w:type="dxa"/>
            <w:noWrap/>
            <w:vAlign w:val="center"/>
          </w:tcPr>
          <w:p>
            <w:pPr>
              <w:jc w:val="center"/>
              <w:rPr>
                <w:rFonts w:ascii="宋体" w:hAnsi="宋体"/>
                <w:sz w:val="24"/>
              </w:rPr>
            </w:pPr>
          </w:p>
        </w:tc>
        <w:tc>
          <w:tcPr>
            <w:tcW w:w="1579" w:type="dxa"/>
            <w:noWrap/>
            <w:vAlign w:val="center"/>
          </w:tcPr>
          <w:p>
            <w:pPr>
              <w:jc w:val="center"/>
              <w:rPr>
                <w:rFonts w:ascii="宋体" w:hAnsi="宋体"/>
                <w:sz w:val="24"/>
              </w:rPr>
            </w:pPr>
          </w:p>
        </w:tc>
        <w:tc>
          <w:tcPr>
            <w:tcW w:w="1394" w:type="dxa"/>
            <w:noWrap/>
            <w:vAlign w:val="center"/>
          </w:tcPr>
          <w:p>
            <w:pPr>
              <w:jc w:val="center"/>
              <w:rPr>
                <w:rFonts w:ascii="宋体" w:hAnsi="宋体"/>
                <w:sz w:val="24"/>
              </w:rPr>
            </w:pPr>
          </w:p>
        </w:tc>
        <w:tc>
          <w:tcPr>
            <w:tcW w:w="1649" w:type="dxa"/>
            <w:noWrap/>
            <w:vAlign w:val="center"/>
          </w:tcPr>
          <w:p>
            <w:pPr>
              <w:jc w:val="center"/>
              <w:rPr>
                <w:rFonts w:ascii="宋体" w:hAnsi="宋体"/>
                <w:b/>
                <w:sz w:val="24"/>
                <w:u w:val="single"/>
              </w:rPr>
            </w:pPr>
          </w:p>
        </w:tc>
        <w:tc>
          <w:tcPr>
            <w:tcW w:w="1528" w:type="dxa"/>
            <w:noWrap/>
            <w:vAlign w:val="center"/>
          </w:tcPr>
          <w:p>
            <w:pPr>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862" w:type="dxa"/>
            <w:noWrap/>
            <w:vAlign w:val="center"/>
          </w:tcPr>
          <w:p>
            <w:pPr>
              <w:jc w:val="center"/>
              <w:rPr>
                <w:rFonts w:ascii="宋体" w:hAnsi="宋体"/>
                <w:sz w:val="24"/>
              </w:rPr>
            </w:pPr>
          </w:p>
        </w:tc>
        <w:tc>
          <w:tcPr>
            <w:tcW w:w="1216" w:type="dxa"/>
            <w:noWrap/>
            <w:vAlign w:val="center"/>
          </w:tcPr>
          <w:p>
            <w:pPr>
              <w:jc w:val="center"/>
              <w:rPr>
                <w:rFonts w:ascii="宋体" w:hAnsi="宋体"/>
                <w:sz w:val="24"/>
              </w:rPr>
            </w:pPr>
          </w:p>
        </w:tc>
        <w:tc>
          <w:tcPr>
            <w:tcW w:w="1235" w:type="dxa"/>
            <w:noWrap/>
            <w:vAlign w:val="center"/>
          </w:tcPr>
          <w:p>
            <w:pPr>
              <w:jc w:val="center"/>
              <w:rPr>
                <w:rFonts w:ascii="宋体" w:hAnsi="宋体"/>
                <w:sz w:val="24"/>
              </w:rPr>
            </w:pPr>
          </w:p>
        </w:tc>
        <w:tc>
          <w:tcPr>
            <w:tcW w:w="1579" w:type="dxa"/>
            <w:noWrap/>
            <w:vAlign w:val="center"/>
          </w:tcPr>
          <w:p>
            <w:pPr>
              <w:jc w:val="center"/>
              <w:rPr>
                <w:rFonts w:ascii="宋体" w:hAnsi="宋体"/>
                <w:sz w:val="24"/>
              </w:rPr>
            </w:pPr>
          </w:p>
        </w:tc>
        <w:tc>
          <w:tcPr>
            <w:tcW w:w="1394" w:type="dxa"/>
            <w:noWrap/>
            <w:vAlign w:val="center"/>
          </w:tcPr>
          <w:p>
            <w:pPr>
              <w:jc w:val="center"/>
              <w:rPr>
                <w:rFonts w:ascii="宋体" w:hAnsi="宋体"/>
                <w:sz w:val="24"/>
              </w:rPr>
            </w:pPr>
          </w:p>
        </w:tc>
        <w:tc>
          <w:tcPr>
            <w:tcW w:w="1649" w:type="dxa"/>
            <w:noWrap/>
            <w:vAlign w:val="center"/>
          </w:tcPr>
          <w:p>
            <w:pPr>
              <w:jc w:val="center"/>
              <w:rPr>
                <w:rFonts w:ascii="宋体" w:hAnsi="宋体"/>
                <w:b/>
                <w:sz w:val="24"/>
                <w:u w:val="single"/>
              </w:rPr>
            </w:pPr>
          </w:p>
        </w:tc>
        <w:tc>
          <w:tcPr>
            <w:tcW w:w="1528" w:type="dxa"/>
            <w:noWrap/>
            <w:vAlign w:val="center"/>
          </w:tcPr>
          <w:p>
            <w:pPr>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862" w:type="dxa"/>
            <w:noWrap/>
            <w:vAlign w:val="center"/>
          </w:tcPr>
          <w:p>
            <w:pPr>
              <w:jc w:val="center"/>
              <w:rPr>
                <w:rFonts w:ascii="宋体" w:hAnsi="宋体"/>
                <w:sz w:val="24"/>
              </w:rPr>
            </w:pPr>
          </w:p>
        </w:tc>
        <w:tc>
          <w:tcPr>
            <w:tcW w:w="1216" w:type="dxa"/>
            <w:noWrap/>
            <w:vAlign w:val="center"/>
          </w:tcPr>
          <w:p>
            <w:pPr>
              <w:jc w:val="center"/>
              <w:rPr>
                <w:rFonts w:ascii="宋体" w:hAnsi="宋体"/>
                <w:sz w:val="24"/>
              </w:rPr>
            </w:pPr>
          </w:p>
        </w:tc>
        <w:tc>
          <w:tcPr>
            <w:tcW w:w="1235" w:type="dxa"/>
            <w:noWrap/>
            <w:vAlign w:val="center"/>
          </w:tcPr>
          <w:p>
            <w:pPr>
              <w:jc w:val="center"/>
              <w:rPr>
                <w:rFonts w:ascii="宋体" w:hAnsi="宋体"/>
                <w:sz w:val="24"/>
              </w:rPr>
            </w:pPr>
          </w:p>
        </w:tc>
        <w:tc>
          <w:tcPr>
            <w:tcW w:w="1579" w:type="dxa"/>
            <w:noWrap/>
            <w:vAlign w:val="center"/>
          </w:tcPr>
          <w:p>
            <w:pPr>
              <w:jc w:val="center"/>
              <w:rPr>
                <w:rFonts w:ascii="宋体" w:hAnsi="宋体"/>
                <w:sz w:val="24"/>
              </w:rPr>
            </w:pPr>
          </w:p>
        </w:tc>
        <w:tc>
          <w:tcPr>
            <w:tcW w:w="1394" w:type="dxa"/>
            <w:noWrap/>
            <w:vAlign w:val="center"/>
          </w:tcPr>
          <w:p>
            <w:pPr>
              <w:jc w:val="center"/>
              <w:rPr>
                <w:rFonts w:ascii="宋体" w:hAnsi="宋体"/>
                <w:sz w:val="24"/>
              </w:rPr>
            </w:pPr>
          </w:p>
        </w:tc>
        <w:tc>
          <w:tcPr>
            <w:tcW w:w="1649" w:type="dxa"/>
            <w:noWrap/>
            <w:vAlign w:val="center"/>
          </w:tcPr>
          <w:p>
            <w:pPr>
              <w:jc w:val="center"/>
              <w:rPr>
                <w:rFonts w:ascii="宋体" w:hAnsi="宋体"/>
                <w:b/>
                <w:sz w:val="24"/>
                <w:u w:val="single"/>
              </w:rPr>
            </w:pPr>
          </w:p>
        </w:tc>
        <w:tc>
          <w:tcPr>
            <w:tcW w:w="1528" w:type="dxa"/>
            <w:noWrap/>
            <w:vAlign w:val="center"/>
          </w:tcPr>
          <w:p>
            <w:pPr>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819" w:hRule="exact"/>
          <w:jc w:val="center"/>
        </w:trPr>
        <w:tc>
          <w:tcPr>
            <w:tcW w:w="9463" w:type="dxa"/>
            <w:gridSpan w:val="7"/>
            <w:noWrap/>
            <w:vAlign w:val="center"/>
          </w:tcPr>
          <w:p>
            <w:pPr>
              <w:rPr>
                <w:rFonts w:ascii="宋体" w:hAnsi="宋体"/>
                <w:sz w:val="24"/>
              </w:rPr>
            </w:pPr>
          </w:p>
          <w:p>
            <w:pPr>
              <w:rPr>
                <w:rFonts w:ascii="宋体" w:hAnsi="宋体"/>
                <w:sz w:val="24"/>
                <w:u w:val="single"/>
              </w:rPr>
            </w:pPr>
            <w:r>
              <w:rPr>
                <w:rFonts w:hint="eastAsia" w:ascii="宋体" w:hAnsi="宋体"/>
                <w:sz w:val="24"/>
              </w:rPr>
              <w:t xml:space="preserve">投标人名称（公章）：  法定代表人或授权代表人（签字）：    </w:t>
            </w:r>
            <w:r>
              <w:rPr>
                <w:rFonts w:hint="eastAsia" w:ascii="宋体" w:hAnsi="宋体"/>
                <w:bCs/>
                <w:sz w:val="24"/>
              </w:rPr>
              <w:t>日期： 年 月 日</w:t>
            </w:r>
          </w:p>
          <w:p>
            <w:pPr>
              <w:rPr>
                <w:rFonts w:ascii="宋体" w:hAnsi="宋体"/>
                <w:sz w:val="24"/>
              </w:rPr>
            </w:pPr>
          </w:p>
          <w:p>
            <w:pPr>
              <w:rPr>
                <w:rFonts w:ascii="宋体" w:hAnsi="宋体"/>
                <w:sz w:val="24"/>
              </w:rPr>
            </w:pPr>
            <w:r>
              <w:rPr>
                <w:rFonts w:hint="eastAsia" w:ascii="宋体" w:hAnsi="宋体"/>
                <w:color w:val="000000"/>
                <w:sz w:val="24"/>
              </w:rPr>
              <w:t>投标报价</w:t>
            </w:r>
            <w:r>
              <w:rPr>
                <w:rFonts w:hint="eastAsia" w:ascii="宋体" w:hAnsi="宋体"/>
                <w:color w:val="000000"/>
                <w:spacing w:val="4"/>
                <w:sz w:val="24"/>
              </w:rPr>
              <w:t>合计：（大写：   小写：）</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95" w:hRule="exact"/>
          <w:jc w:val="center"/>
        </w:trPr>
        <w:tc>
          <w:tcPr>
            <w:tcW w:w="9463" w:type="dxa"/>
            <w:gridSpan w:val="7"/>
            <w:noWrap/>
            <w:vAlign w:val="center"/>
          </w:tcPr>
          <w:p>
            <w:pPr>
              <w:pStyle w:val="20"/>
              <w:spacing w:line="400" w:lineRule="exact"/>
              <w:ind w:right="-15"/>
              <w:rPr>
                <w:rFonts w:hAnsi="宋体" w:cs="宋体"/>
                <w:sz w:val="24"/>
                <w:szCs w:val="24"/>
                <w:highlight w:val="yellow"/>
              </w:rPr>
            </w:pPr>
            <w:r>
              <w:rPr>
                <w:rFonts w:hint="eastAsia" w:hAnsi="宋体" w:cs="宋体"/>
                <w:b/>
                <w:sz w:val="24"/>
                <w:szCs w:val="24"/>
              </w:rPr>
              <w:t>备注：此报价应包含设计、人工、</w:t>
            </w:r>
            <w:r>
              <w:rPr>
                <w:rFonts w:hint="eastAsia" w:hAnsi="宋体" w:cs="宋体"/>
                <w:b/>
                <w:sz w:val="24"/>
                <w:szCs w:val="24"/>
                <w:lang w:val="en-US" w:eastAsia="zh-CN"/>
              </w:rPr>
              <w:t>服务</w:t>
            </w:r>
            <w:r>
              <w:rPr>
                <w:rFonts w:hint="eastAsia" w:hAnsi="宋体" w:cs="宋体"/>
                <w:b/>
                <w:sz w:val="24"/>
                <w:szCs w:val="24"/>
              </w:rPr>
              <w:t>、运输、税金等一系列费用。</w:t>
            </w:r>
          </w:p>
        </w:tc>
      </w:tr>
    </w:tbl>
    <w:p>
      <w:pPr>
        <w:spacing w:line="360" w:lineRule="auto"/>
        <w:rPr>
          <w:rFonts w:ascii="宋体" w:hAnsi="宋体"/>
          <w:b/>
          <w:sz w:val="24"/>
        </w:rPr>
        <w:sectPr>
          <w:headerReference r:id="rId7" w:type="default"/>
          <w:pgSz w:w="11907" w:h="16840"/>
          <w:pgMar w:top="1440" w:right="1247" w:bottom="1440" w:left="1361" w:header="851" w:footer="992" w:gutter="0"/>
          <w:cols w:space="720" w:num="1"/>
          <w:docGrid w:linePitch="312" w:charSpace="0"/>
        </w:sectPr>
      </w:pPr>
    </w:p>
    <w:p>
      <w:pPr>
        <w:spacing w:line="360" w:lineRule="auto"/>
        <w:rPr>
          <w:rFonts w:ascii="宋体" w:hAnsi="宋体"/>
          <w:b/>
          <w:sz w:val="32"/>
          <w:szCs w:val="32"/>
        </w:rPr>
      </w:pPr>
      <w:r>
        <w:rPr>
          <w:rFonts w:hint="eastAsia" w:ascii="宋体" w:hAnsi="宋体"/>
          <w:b/>
          <w:sz w:val="32"/>
          <w:szCs w:val="32"/>
        </w:rPr>
        <w:t>附件7：</w:t>
      </w:r>
    </w:p>
    <w:p>
      <w:pPr>
        <w:spacing w:line="360" w:lineRule="auto"/>
        <w:jc w:val="center"/>
        <w:rPr>
          <w:rFonts w:ascii="宋体" w:hAnsi="宋体"/>
          <w:b/>
          <w:sz w:val="24"/>
        </w:rPr>
      </w:pPr>
      <w:r>
        <w:rPr>
          <w:rFonts w:hint="eastAsia" w:ascii="宋体" w:hAnsi="宋体"/>
          <w:b/>
          <w:sz w:val="32"/>
          <w:szCs w:val="32"/>
        </w:rPr>
        <w:t>商务条款偏离表</w:t>
      </w:r>
    </w:p>
    <w:tbl>
      <w:tblPr>
        <w:tblStyle w:val="33"/>
        <w:tblW w:w="94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38"/>
        <w:gridCol w:w="1983"/>
        <w:gridCol w:w="2348"/>
        <w:gridCol w:w="2345"/>
        <w:gridCol w:w="1274"/>
        <w:gridCol w:w="9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360" w:lineRule="auto"/>
              <w:jc w:val="center"/>
              <w:rPr>
                <w:rFonts w:ascii="宋体" w:hAnsi="宋体"/>
                <w:bCs/>
                <w:color w:val="000000"/>
                <w:sz w:val="24"/>
              </w:rPr>
            </w:pPr>
            <w:r>
              <w:rPr>
                <w:rFonts w:hint="eastAsia" w:ascii="宋体" w:hAnsi="宋体"/>
                <w:bCs/>
                <w:color w:val="000000"/>
                <w:sz w:val="24"/>
              </w:rPr>
              <w:t>序号</w:t>
            </w:r>
          </w:p>
        </w:tc>
        <w:tc>
          <w:tcPr>
            <w:tcW w:w="1983" w:type="dxa"/>
            <w:tcMar>
              <w:top w:w="15" w:type="dxa"/>
              <w:left w:w="15" w:type="dxa"/>
              <w:bottom w:w="0" w:type="dxa"/>
              <w:right w:w="15" w:type="dxa"/>
            </w:tcMar>
            <w:vAlign w:val="center"/>
          </w:tcPr>
          <w:p>
            <w:pPr>
              <w:spacing w:line="360" w:lineRule="auto"/>
              <w:jc w:val="center"/>
              <w:rPr>
                <w:rFonts w:ascii="宋体" w:hAnsi="宋体"/>
                <w:bCs/>
                <w:color w:val="000000"/>
                <w:sz w:val="24"/>
              </w:rPr>
            </w:pPr>
            <w:r>
              <w:rPr>
                <w:rFonts w:hint="eastAsia" w:ascii="宋体" w:hAnsi="宋体"/>
                <w:bCs/>
                <w:color w:val="000000"/>
                <w:sz w:val="24"/>
              </w:rPr>
              <w:t>磋商文件条目号</w:t>
            </w:r>
          </w:p>
        </w:tc>
        <w:tc>
          <w:tcPr>
            <w:tcW w:w="2348" w:type="dxa"/>
            <w:tcMar>
              <w:top w:w="15" w:type="dxa"/>
              <w:left w:w="15" w:type="dxa"/>
              <w:bottom w:w="0" w:type="dxa"/>
              <w:right w:w="15" w:type="dxa"/>
            </w:tcMar>
            <w:vAlign w:val="center"/>
          </w:tcPr>
          <w:p>
            <w:pPr>
              <w:spacing w:line="360" w:lineRule="auto"/>
              <w:jc w:val="center"/>
              <w:rPr>
                <w:rFonts w:ascii="宋体" w:hAnsi="宋体"/>
                <w:bCs/>
                <w:color w:val="000000"/>
                <w:sz w:val="24"/>
              </w:rPr>
            </w:pPr>
            <w:r>
              <w:rPr>
                <w:rFonts w:hint="eastAsia" w:ascii="宋体" w:hAnsi="宋体"/>
                <w:bCs/>
                <w:color w:val="000000"/>
                <w:sz w:val="24"/>
              </w:rPr>
              <w:t>磋商文件的商务条款</w:t>
            </w:r>
          </w:p>
        </w:tc>
        <w:tc>
          <w:tcPr>
            <w:tcW w:w="2345" w:type="dxa"/>
            <w:vAlign w:val="center"/>
          </w:tcPr>
          <w:p>
            <w:pPr>
              <w:spacing w:line="360" w:lineRule="auto"/>
              <w:jc w:val="center"/>
              <w:rPr>
                <w:rFonts w:ascii="宋体" w:hAnsi="宋体"/>
                <w:bCs/>
                <w:color w:val="000000"/>
                <w:sz w:val="24"/>
              </w:rPr>
            </w:pPr>
            <w:r>
              <w:rPr>
                <w:rFonts w:hint="eastAsia" w:ascii="宋体" w:hAnsi="宋体"/>
                <w:bCs/>
                <w:color w:val="000000"/>
                <w:sz w:val="24"/>
              </w:rPr>
              <w:t>响应文件的商务条款</w:t>
            </w:r>
          </w:p>
        </w:tc>
        <w:tc>
          <w:tcPr>
            <w:tcW w:w="1274" w:type="dxa"/>
            <w:tcBorders>
              <w:right w:val="single" w:color="auto" w:sz="4" w:space="0"/>
            </w:tcBorders>
            <w:vAlign w:val="center"/>
          </w:tcPr>
          <w:p>
            <w:pPr>
              <w:spacing w:line="360" w:lineRule="auto"/>
              <w:jc w:val="center"/>
              <w:rPr>
                <w:rFonts w:ascii="宋体" w:hAnsi="宋体"/>
                <w:bCs/>
                <w:color w:val="000000"/>
                <w:sz w:val="24"/>
              </w:rPr>
            </w:pPr>
            <w:r>
              <w:rPr>
                <w:rFonts w:hint="eastAsia" w:ascii="宋体" w:hAnsi="宋体"/>
                <w:bCs/>
                <w:color w:val="000000"/>
                <w:sz w:val="24"/>
              </w:rPr>
              <w:t>偏离情况</w:t>
            </w:r>
          </w:p>
        </w:tc>
        <w:tc>
          <w:tcPr>
            <w:tcW w:w="900" w:type="dxa"/>
            <w:tcBorders>
              <w:left w:val="single" w:color="auto" w:sz="4" w:space="0"/>
            </w:tcBorders>
            <w:vAlign w:val="center"/>
          </w:tcPr>
          <w:p>
            <w:pPr>
              <w:spacing w:line="360" w:lineRule="auto"/>
              <w:jc w:val="center"/>
              <w:rPr>
                <w:rFonts w:ascii="宋体" w:hAnsi="宋体"/>
                <w:bCs/>
                <w:color w:val="000000"/>
                <w:sz w:val="24"/>
              </w:rPr>
            </w:pPr>
            <w:r>
              <w:rPr>
                <w:rFonts w:hint="eastAsia" w:ascii="宋体" w:hAnsi="宋体"/>
                <w:bCs/>
                <w:color w:val="000000"/>
                <w:sz w:val="24"/>
              </w:rPr>
              <w:t>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360" w:lineRule="auto"/>
              <w:jc w:val="center"/>
              <w:rPr>
                <w:rFonts w:ascii="宋体" w:hAnsi="宋体"/>
                <w:bCs/>
                <w:color w:val="000000"/>
                <w:sz w:val="24"/>
              </w:rPr>
            </w:pPr>
          </w:p>
        </w:tc>
        <w:tc>
          <w:tcPr>
            <w:tcW w:w="1983" w:type="dxa"/>
            <w:tcMar>
              <w:top w:w="15" w:type="dxa"/>
              <w:left w:w="15" w:type="dxa"/>
              <w:bottom w:w="0" w:type="dxa"/>
              <w:right w:w="15" w:type="dxa"/>
            </w:tcMar>
            <w:vAlign w:val="center"/>
          </w:tcPr>
          <w:p>
            <w:pPr>
              <w:spacing w:line="360" w:lineRule="auto"/>
              <w:jc w:val="center"/>
              <w:rPr>
                <w:rFonts w:ascii="宋体" w:hAnsi="宋体"/>
                <w:bCs/>
                <w:color w:val="000000"/>
                <w:sz w:val="24"/>
              </w:rPr>
            </w:pPr>
          </w:p>
        </w:tc>
        <w:tc>
          <w:tcPr>
            <w:tcW w:w="2348" w:type="dxa"/>
            <w:tcMar>
              <w:top w:w="15" w:type="dxa"/>
              <w:left w:w="15" w:type="dxa"/>
              <w:bottom w:w="0" w:type="dxa"/>
              <w:right w:w="15" w:type="dxa"/>
            </w:tcMar>
            <w:vAlign w:val="center"/>
          </w:tcPr>
          <w:p>
            <w:pPr>
              <w:spacing w:line="360" w:lineRule="auto"/>
              <w:jc w:val="center"/>
              <w:rPr>
                <w:rFonts w:ascii="宋体" w:hAnsi="宋体"/>
                <w:bCs/>
                <w:color w:val="000000"/>
                <w:sz w:val="24"/>
              </w:rPr>
            </w:pPr>
          </w:p>
        </w:tc>
        <w:tc>
          <w:tcPr>
            <w:tcW w:w="2345" w:type="dxa"/>
            <w:vAlign w:val="center"/>
          </w:tcPr>
          <w:p>
            <w:pPr>
              <w:spacing w:line="360" w:lineRule="auto"/>
              <w:jc w:val="center"/>
              <w:rPr>
                <w:rFonts w:ascii="宋体" w:hAnsi="宋体"/>
                <w:bCs/>
                <w:color w:val="000000"/>
                <w:sz w:val="24"/>
              </w:rPr>
            </w:pPr>
          </w:p>
        </w:tc>
        <w:tc>
          <w:tcPr>
            <w:tcW w:w="1274" w:type="dxa"/>
            <w:tcBorders>
              <w:right w:val="single" w:color="auto" w:sz="4" w:space="0"/>
            </w:tcBorders>
            <w:vAlign w:val="center"/>
          </w:tcPr>
          <w:p>
            <w:pPr>
              <w:spacing w:line="360" w:lineRule="auto"/>
              <w:jc w:val="center"/>
              <w:rPr>
                <w:rFonts w:ascii="宋体" w:hAnsi="宋体"/>
                <w:bCs/>
                <w:color w:val="000000"/>
                <w:sz w:val="24"/>
              </w:rPr>
            </w:pPr>
          </w:p>
        </w:tc>
        <w:tc>
          <w:tcPr>
            <w:tcW w:w="900" w:type="dxa"/>
            <w:tcBorders>
              <w:left w:val="single" w:color="auto" w:sz="4" w:space="0"/>
            </w:tcBorders>
            <w:vAlign w:val="center"/>
          </w:tcPr>
          <w:p>
            <w:pPr>
              <w:spacing w:line="360" w:lineRule="auto"/>
              <w:jc w:val="center"/>
              <w:rPr>
                <w:rFonts w:ascii="宋体" w:hAnsi="宋体"/>
                <w:bCs/>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360" w:lineRule="auto"/>
              <w:jc w:val="center"/>
              <w:rPr>
                <w:rFonts w:ascii="宋体" w:hAnsi="宋体"/>
                <w:bCs/>
                <w:color w:val="000000"/>
                <w:sz w:val="24"/>
              </w:rPr>
            </w:pPr>
          </w:p>
        </w:tc>
        <w:tc>
          <w:tcPr>
            <w:tcW w:w="1983" w:type="dxa"/>
            <w:tcMar>
              <w:top w:w="15" w:type="dxa"/>
              <w:left w:w="15" w:type="dxa"/>
              <w:bottom w:w="0" w:type="dxa"/>
              <w:right w:w="15" w:type="dxa"/>
            </w:tcMar>
            <w:vAlign w:val="center"/>
          </w:tcPr>
          <w:p>
            <w:pPr>
              <w:spacing w:line="360" w:lineRule="auto"/>
              <w:jc w:val="center"/>
              <w:rPr>
                <w:rFonts w:ascii="宋体" w:hAnsi="宋体"/>
                <w:bCs/>
                <w:color w:val="000000"/>
                <w:sz w:val="24"/>
              </w:rPr>
            </w:pPr>
          </w:p>
        </w:tc>
        <w:tc>
          <w:tcPr>
            <w:tcW w:w="2348" w:type="dxa"/>
            <w:tcMar>
              <w:top w:w="15" w:type="dxa"/>
              <w:left w:w="15" w:type="dxa"/>
              <w:bottom w:w="0" w:type="dxa"/>
              <w:right w:w="15" w:type="dxa"/>
            </w:tcMar>
            <w:vAlign w:val="center"/>
          </w:tcPr>
          <w:p>
            <w:pPr>
              <w:spacing w:line="360" w:lineRule="auto"/>
              <w:jc w:val="center"/>
              <w:rPr>
                <w:rFonts w:ascii="宋体" w:hAnsi="宋体"/>
                <w:bCs/>
                <w:color w:val="000000"/>
                <w:sz w:val="24"/>
              </w:rPr>
            </w:pPr>
          </w:p>
        </w:tc>
        <w:tc>
          <w:tcPr>
            <w:tcW w:w="2345" w:type="dxa"/>
            <w:vAlign w:val="center"/>
          </w:tcPr>
          <w:p>
            <w:pPr>
              <w:spacing w:line="360" w:lineRule="auto"/>
              <w:jc w:val="center"/>
              <w:rPr>
                <w:rFonts w:ascii="宋体" w:hAnsi="宋体"/>
                <w:bCs/>
                <w:color w:val="000000"/>
                <w:sz w:val="24"/>
              </w:rPr>
            </w:pPr>
          </w:p>
        </w:tc>
        <w:tc>
          <w:tcPr>
            <w:tcW w:w="1274" w:type="dxa"/>
            <w:tcBorders>
              <w:right w:val="single" w:color="auto" w:sz="4" w:space="0"/>
            </w:tcBorders>
            <w:vAlign w:val="center"/>
          </w:tcPr>
          <w:p>
            <w:pPr>
              <w:spacing w:line="360" w:lineRule="auto"/>
              <w:jc w:val="center"/>
              <w:rPr>
                <w:rFonts w:ascii="宋体" w:hAnsi="宋体"/>
                <w:bCs/>
                <w:color w:val="000000"/>
                <w:sz w:val="24"/>
              </w:rPr>
            </w:pPr>
          </w:p>
        </w:tc>
        <w:tc>
          <w:tcPr>
            <w:tcW w:w="900" w:type="dxa"/>
            <w:tcBorders>
              <w:left w:val="single" w:color="auto" w:sz="4" w:space="0"/>
            </w:tcBorders>
            <w:vAlign w:val="center"/>
          </w:tcPr>
          <w:p>
            <w:pPr>
              <w:spacing w:line="360" w:lineRule="auto"/>
              <w:jc w:val="center"/>
              <w:rPr>
                <w:rFonts w:ascii="宋体" w:hAnsi="宋体"/>
                <w:bCs/>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360" w:lineRule="auto"/>
              <w:jc w:val="center"/>
              <w:rPr>
                <w:rFonts w:ascii="宋体" w:hAnsi="宋体"/>
                <w:bCs/>
                <w:color w:val="000000"/>
                <w:sz w:val="24"/>
              </w:rPr>
            </w:pPr>
          </w:p>
        </w:tc>
        <w:tc>
          <w:tcPr>
            <w:tcW w:w="1983" w:type="dxa"/>
            <w:tcMar>
              <w:top w:w="15" w:type="dxa"/>
              <w:left w:w="15" w:type="dxa"/>
              <w:bottom w:w="0" w:type="dxa"/>
              <w:right w:w="15" w:type="dxa"/>
            </w:tcMar>
            <w:vAlign w:val="center"/>
          </w:tcPr>
          <w:p>
            <w:pPr>
              <w:spacing w:line="360" w:lineRule="auto"/>
              <w:jc w:val="center"/>
              <w:rPr>
                <w:rFonts w:ascii="宋体" w:hAnsi="宋体"/>
                <w:bCs/>
                <w:color w:val="000000"/>
                <w:sz w:val="24"/>
              </w:rPr>
            </w:pPr>
          </w:p>
        </w:tc>
        <w:tc>
          <w:tcPr>
            <w:tcW w:w="2348" w:type="dxa"/>
            <w:tcMar>
              <w:top w:w="15" w:type="dxa"/>
              <w:left w:w="15" w:type="dxa"/>
              <w:bottom w:w="0" w:type="dxa"/>
              <w:right w:w="15" w:type="dxa"/>
            </w:tcMar>
            <w:vAlign w:val="center"/>
          </w:tcPr>
          <w:p>
            <w:pPr>
              <w:spacing w:line="360" w:lineRule="auto"/>
              <w:jc w:val="center"/>
              <w:rPr>
                <w:rFonts w:ascii="宋体" w:hAnsi="宋体"/>
                <w:bCs/>
                <w:color w:val="000000"/>
                <w:sz w:val="24"/>
              </w:rPr>
            </w:pPr>
          </w:p>
        </w:tc>
        <w:tc>
          <w:tcPr>
            <w:tcW w:w="2345" w:type="dxa"/>
            <w:vAlign w:val="center"/>
          </w:tcPr>
          <w:p>
            <w:pPr>
              <w:spacing w:line="360" w:lineRule="auto"/>
              <w:jc w:val="center"/>
              <w:rPr>
                <w:rFonts w:ascii="宋体" w:hAnsi="宋体"/>
                <w:bCs/>
                <w:color w:val="000000"/>
                <w:sz w:val="24"/>
              </w:rPr>
            </w:pPr>
          </w:p>
        </w:tc>
        <w:tc>
          <w:tcPr>
            <w:tcW w:w="1274" w:type="dxa"/>
            <w:tcBorders>
              <w:right w:val="single" w:color="auto" w:sz="4" w:space="0"/>
            </w:tcBorders>
            <w:vAlign w:val="center"/>
          </w:tcPr>
          <w:p>
            <w:pPr>
              <w:spacing w:line="360" w:lineRule="auto"/>
              <w:jc w:val="center"/>
              <w:rPr>
                <w:rFonts w:ascii="宋体" w:hAnsi="宋体"/>
                <w:bCs/>
                <w:color w:val="000000"/>
                <w:sz w:val="24"/>
              </w:rPr>
            </w:pPr>
          </w:p>
        </w:tc>
        <w:tc>
          <w:tcPr>
            <w:tcW w:w="900" w:type="dxa"/>
            <w:tcBorders>
              <w:left w:val="single" w:color="auto" w:sz="4" w:space="0"/>
            </w:tcBorders>
            <w:vAlign w:val="center"/>
          </w:tcPr>
          <w:p>
            <w:pPr>
              <w:spacing w:line="360" w:lineRule="auto"/>
              <w:jc w:val="center"/>
              <w:rPr>
                <w:rFonts w:ascii="宋体" w:hAnsi="宋体"/>
                <w:bCs/>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360" w:lineRule="auto"/>
              <w:jc w:val="center"/>
              <w:rPr>
                <w:rFonts w:ascii="宋体" w:hAnsi="宋体"/>
                <w:bCs/>
                <w:color w:val="000000"/>
                <w:sz w:val="24"/>
              </w:rPr>
            </w:pPr>
          </w:p>
        </w:tc>
        <w:tc>
          <w:tcPr>
            <w:tcW w:w="1983" w:type="dxa"/>
            <w:tcMar>
              <w:top w:w="15" w:type="dxa"/>
              <w:left w:w="15" w:type="dxa"/>
              <w:bottom w:w="0" w:type="dxa"/>
              <w:right w:w="15" w:type="dxa"/>
            </w:tcMar>
            <w:vAlign w:val="center"/>
          </w:tcPr>
          <w:p>
            <w:pPr>
              <w:spacing w:line="360" w:lineRule="auto"/>
              <w:jc w:val="center"/>
              <w:rPr>
                <w:rFonts w:ascii="宋体" w:hAnsi="宋体"/>
                <w:bCs/>
                <w:color w:val="000000"/>
                <w:sz w:val="24"/>
              </w:rPr>
            </w:pPr>
          </w:p>
        </w:tc>
        <w:tc>
          <w:tcPr>
            <w:tcW w:w="2348" w:type="dxa"/>
            <w:tcMar>
              <w:top w:w="15" w:type="dxa"/>
              <w:left w:w="15" w:type="dxa"/>
              <w:bottom w:w="0" w:type="dxa"/>
              <w:right w:w="15" w:type="dxa"/>
            </w:tcMar>
            <w:vAlign w:val="center"/>
          </w:tcPr>
          <w:p>
            <w:pPr>
              <w:spacing w:line="360" w:lineRule="auto"/>
              <w:jc w:val="center"/>
              <w:rPr>
                <w:rFonts w:ascii="宋体" w:hAnsi="宋体"/>
                <w:bCs/>
                <w:color w:val="000000"/>
                <w:sz w:val="24"/>
              </w:rPr>
            </w:pPr>
          </w:p>
        </w:tc>
        <w:tc>
          <w:tcPr>
            <w:tcW w:w="2345" w:type="dxa"/>
            <w:vAlign w:val="center"/>
          </w:tcPr>
          <w:p>
            <w:pPr>
              <w:spacing w:line="360" w:lineRule="auto"/>
              <w:jc w:val="center"/>
              <w:rPr>
                <w:rFonts w:ascii="宋体" w:hAnsi="宋体"/>
                <w:bCs/>
                <w:color w:val="000000"/>
                <w:sz w:val="24"/>
              </w:rPr>
            </w:pPr>
          </w:p>
        </w:tc>
        <w:tc>
          <w:tcPr>
            <w:tcW w:w="1274" w:type="dxa"/>
            <w:tcBorders>
              <w:right w:val="single" w:color="auto" w:sz="4" w:space="0"/>
            </w:tcBorders>
            <w:vAlign w:val="center"/>
          </w:tcPr>
          <w:p>
            <w:pPr>
              <w:spacing w:line="360" w:lineRule="auto"/>
              <w:jc w:val="center"/>
              <w:rPr>
                <w:rFonts w:ascii="宋体" w:hAnsi="宋体"/>
                <w:bCs/>
                <w:color w:val="000000"/>
                <w:sz w:val="24"/>
              </w:rPr>
            </w:pPr>
          </w:p>
        </w:tc>
        <w:tc>
          <w:tcPr>
            <w:tcW w:w="900" w:type="dxa"/>
            <w:tcBorders>
              <w:left w:val="single" w:color="auto" w:sz="4" w:space="0"/>
            </w:tcBorders>
            <w:vAlign w:val="center"/>
          </w:tcPr>
          <w:p>
            <w:pPr>
              <w:spacing w:line="360" w:lineRule="auto"/>
              <w:jc w:val="center"/>
              <w:rPr>
                <w:rFonts w:ascii="宋体" w:hAnsi="宋体"/>
                <w:bCs/>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360" w:lineRule="auto"/>
              <w:jc w:val="center"/>
              <w:rPr>
                <w:rFonts w:ascii="宋体" w:hAnsi="宋体"/>
                <w:bCs/>
                <w:color w:val="000000"/>
                <w:sz w:val="24"/>
              </w:rPr>
            </w:pPr>
          </w:p>
        </w:tc>
        <w:tc>
          <w:tcPr>
            <w:tcW w:w="1983" w:type="dxa"/>
            <w:tcMar>
              <w:top w:w="15" w:type="dxa"/>
              <w:left w:w="15" w:type="dxa"/>
              <w:bottom w:w="0" w:type="dxa"/>
              <w:right w:w="15" w:type="dxa"/>
            </w:tcMar>
            <w:vAlign w:val="center"/>
          </w:tcPr>
          <w:p>
            <w:pPr>
              <w:spacing w:line="360" w:lineRule="auto"/>
              <w:jc w:val="center"/>
              <w:rPr>
                <w:rFonts w:ascii="宋体" w:hAnsi="宋体"/>
                <w:bCs/>
                <w:color w:val="000000"/>
                <w:sz w:val="24"/>
              </w:rPr>
            </w:pPr>
          </w:p>
        </w:tc>
        <w:tc>
          <w:tcPr>
            <w:tcW w:w="2348" w:type="dxa"/>
            <w:tcMar>
              <w:top w:w="15" w:type="dxa"/>
              <w:left w:w="15" w:type="dxa"/>
              <w:bottom w:w="0" w:type="dxa"/>
              <w:right w:w="15" w:type="dxa"/>
            </w:tcMar>
            <w:vAlign w:val="center"/>
          </w:tcPr>
          <w:p>
            <w:pPr>
              <w:spacing w:line="360" w:lineRule="auto"/>
              <w:jc w:val="center"/>
              <w:rPr>
                <w:rFonts w:ascii="宋体" w:hAnsi="宋体"/>
                <w:bCs/>
                <w:color w:val="000000"/>
                <w:sz w:val="24"/>
              </w:rPr>
            </w:pPr>
          </w:p>
        </w:tc>
        <w:tc>
          <w:tcPr>
            <w:tcW w:w="2345" w:type="dxa"/>
            <w:vAlign w:val="center"/>
          </w:tcPr>
          <w:p>
            <w:pPr>
              <w:spacing w:line="360" w:lineRule="auto"/>
              <w:jc w:val="center"/>
              <w:rPr>
                <w:rFonts w:ascii="宋体" w:hAnsi="宋体"/>
                <w:bCs/>
                <w:color w:val="000000"/>
                <w:sz w:val="24"/>
              </w:rPr>
            </w:pPr>
          </w:p>
        </w:tc>
        <w:tc>
          <w:tcPr>
            <w:tcW w:w="1274" w:type="dxa"/>
            <w:tcBorders>
              <w:right w:val="single" w:color="auto" w:sz="4" w:space="0"/>
            </w:tcBorders>
            <w:vAlign w:val="center"/>
          </w:tcPr>
          <w:p>
            <w:pPr>
              <w:spacing w:line="360" w:lineRule="auto"/>
              <w:jc w:val="center"/>
              <w:rPr>
                <w:rFonts w:ascii="宋体" w:hAnsi="宋体"/>
                <w:bCs/>
                <w:color w:val="000000"/>
                <w:sz w:val="24"/>
              </w:rPr>
            </w:pPr>
          </w:p>
        </w:tc>
        <w:tc>
          <w:tcPr>
            <w:tcW w:w="900" w:type="dxa"/>
            <w:tcBorders>
              <w:left w:val="single" w:color="auto" w:sz="4" w:space="0"/>
            </w:tcBorders>
            <w:vAlign w:val="center"/>
          </w:tcPr>
          <w:p>
            <w:pPr>
              <w:spacing w:line="360" w:lineRule="auto"/>
              <w:jc w:val="center"/>
              <w:rPr>
                <w:rFonts w:ascii="宋体" w:hAnsi="宋体"/>
                <w:bCs/>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360" w:lineRule="auto"/>
              <w:jc w:val="center"/>
              <w:rPr>
                <w:rFonts w:ascii="宋体" w:hAnsi="宋体"/>
                <w:bCs/>
                <w:color w:val="000000"/>
                <w:sz w:val="24"/>
              </w:rPr>
            </w:pPr>
          </w:p>
        </w:tc>
        <w:tc>
          <w:tcPr>
            <w:tcW w:w="1983" w:type="dxa"/>
            <w:tcMar>
              <w:top w:w="15" w:type="dxa"/>
              <w:left w:w="15" w:type="dxa"/>
              <w:bottom w:w="0" w:type="dxa"/>
              <w:right w:w="15" w:type="dxa"/>
            </w:tcMar>
            <w:vAlign w:val="center"/>
          </w:tcPr>
          <w:p>
            <w:pPr>
              <w:spacing w:line="360" w:lineRule="auto"/>
              <w:jc w:val="center"/>
              <w:rPr>
                <w:rFonts w:ascii="宋体" w:hAnsi="宋体"/>
                <w:bCs/>
                <w:color w:val="000000"/>
                <w:sz w:val="24"/>
              </w:rPr>
            </w:pPr>
          </w:p>
        </w:tc>
        <w:tc>
          <w:tcPr>
            <w:tcW w:w="2348" w:type="dxa"/>
            <w:tcMar>
              <w:top w:w="15" w:type="dxa"/>
              <w:left w:w="15" w:type="dxa"/>
              <w:bottom w:w="0" w:type="dxa"/>
              <w:right w:w="15" w:type="dxa"/>
            </w:tcMar>
            <w:vAlign w:val="center"/>
          </w:tcPr>
          <w:p>
            <w:pPr>
              <w:spacing w:line="360" w:lineRule="auto"/>
              <w:jc w:val="center"/>
              <w:rPr>
                <w:rFonts w:ascii="宋体" w:hAnsi="宋体"/>
                <w:bCs/>
                <w:color w:val="000000"/>
                <w:sz w:val="24"/>
              </w:rPr>
            </w:pPr>
          </w:p>
        </w:tc>
        <w:tc>
          <w:tcPr>
            <w:tcW w:w="2345" w:type="dxa"/>
            <w:vAlign w:val="center"/>
          </w:tcPr>
          <w:p>
            <w:pPr>
              <w:spacing w:line="360" w:lineRule="auto"/>
              <w:jc w:val="center"/>
              <w:rPr>
                <w:rFonts w:ascii="宋体" w:hAnsi="宋体"/>
                <w:bCs/>
                <w:color w:val="000000"/>
                <w:sz w:val="24"/>
              </w:rPr>
            </w:pPr>
          </w:p>
        </w:tc>
        <w:tc>
          <w:tcPr>
            <w:tcW w:w="1274" w:type="dxa"/>
            <w:tcBorders>
              <w:right w:val="single" w:color="auto" w:sz="4" w:space="0"/>
            </w:tcBorders>
            <w:vAlign w:val="center"/>
          </w:tcPr>
          <w:p>
            <w:pPr>
              <w:spacing w:line="360" w:lineRule="auto"/>
              <w:jc w:val="center"/>
              <w:rPr>
                <w:rFonts w:ascii="宋体" w:hAnsi="宋体"/>
                <w:bCs/>
                <w:color w:val="000000"/>
                <w:sz w:val="24"/>
              </w:rPr>
            </w:pPr>
          </w:p>
        </w:tc>
        <w:tc>
          <w:tcPr>
            <w:tcW w:w="900" w:type="dxa"/>
            <w:tcBorders>
              <w:left w:val="single" w:color="auto" w:sz="4" w:space="0"/>
            </w:tcBorders>
            <w:vAlign w:val="center"/>
          </w:tcPr>
          <w:p>
            <w:pPr>
              <w:spacing w:line="360" w:lineRule="auto"/>
              <w:jc w:val="center"/>
              <w:rPr>
                <w:rFonts w:ascii="宋体" w:hAnsi="宋体"/>
                <w:bCs/>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360" w:lineRule="auto"/>
              <w:jc w:val="center"/>
              <w:rPr>
                <w:rFonts w:ascii="宋体" w:hAnsi="宋体"/>
                <w:bCs/>
                <w:color w:val="000000"/>
                <w:sz w:val="24"/>
              </w:rPr>
            </w:pPr>
          </w:p>
        </w:tc>
        <w:tc>
          <w:tcPr>
            <w:tcW w:w="1983" w:type="dxa"/>
            <w:tcMar>
              <w:top w:w="15" w:type="dxa"/>
              <w:left w:w="15" w:type="dxa"/>
              <w:bottom w:w="0" w:type="dxa"/>
              <w:right w:w="15" w:type="dxa"/>
            </w:tcMar>
            <w:vAlign w:val="center"/>
          </w:tcPr>
          <w:p>
            <w:pPr>
              <w:spacing w:line="360" w:lineRule="auto"/>
              <w:jc w:val="center"/>
              <w:rPr>
                <w:rFonts w:ascii="宋体" w:hAnsi="宋体"/>
                <w:bCs/>
                <w:color w:val="000000"/>
                <w:sz w:val="24"/>
              </w:rPr>
            </w:pPr>
          </w:p>
        </w:tc>
        <w:tc>
          <w:tcPr>
            <w:tcW w:w="2348" w:type="dxa"/>
            <w:tcMar>
              <w:top w:w="15" w:type="dxa"/>
              <w:left w:w="15" w:type="dxa"/>
              <w:bottom w:w="0" w:type="dxa"/>
              <w:right w:w="15" w:type="dxa"/>
            </w:tcMar>
            <w:vAlign w:val="center"/>
          </w:tcPr>
          <w:p>
            <w:pPr>
              <w:spacing w:line="360" w:lineRule="auto"/>
              <w:jc w:val="center"/>
              <w:rPr>
                <w:rFonts w:ascii="宋体" w:hAnsi="宋体"/>
                <w:bCs/>
                <w:color w:val="000000"/>
                <w:sz w:val="24"/>
              </w:rPr>
            </w:pPr>
          </w:p>
        </w:tc>
        <w:tc>
          <w:tcPr>
            <w:tcW w:w="2345" w:type="dxa"/>
            <w:vAlign w:val="center"/>
          </w:tcPr>
          <w:p>
            <w:pPr>
              <w:spacing w:line="360" w:lineRule="auto"/>
              <w:jc w:val="center"/>
              <w:rPr>
                <w:rFonts w:ascii="宋体" w:hAnsi="宋体"/>
                <w:bCs/>
                <w:color w:val="000000"/>
                <w:sz w:val="24"/>
              </w:rPr>
            </w:pPr>
          </w:p>
        </w:tc>
        <w:tc>
          <w:tcPr>
            <w:tcW w:w="1274" w:type="dxa"/>
            <w:tcBorders>
              <w:right w:val="single" w:color="auto" w:sz="4" w:space="0"/>
            </w:tcBorders>
            <w:vAlign w:val="center"/>
          </w:tcPr>
          <w:p>
            <w:pPr>
              <w:spacing w:line="360" w:lineRule="auto"/>
              <w:jc w:val="center"/>
              <w:rPr>
                <w:rFonts w:ascii="宋体" w:hAnsi="宋体"/>
                <w:bCs/>
                <w:color w:val="000000"/>
                <w:sz w:val="24"/>
              </w:rPr>
            </w:pPr>
          </w:p>
        </w:tc>
        <w:tc>
          <w:tcPr>
            <w:tcW w:w="900" w:type="dxa"/>
            <w:tcBorders>
              <w:left w:val="single" w:color="auto" w:sz="4" w:space="0"/>
            </w:tcBorders>
            <w:vAlign w:val="center"/>
          </w:tcPr>
          <w:p>
            <w:pPr>
              <w:spacing w:line="360" w:lineRule="auto"/>
              <w:jc w:val="center"/>
              <w:rPr>
                <w:rFonts w:ascii="宋体" w:hAnsi="宋体"/>
                <w:bCs/>
                <w:color w:val="000000"/>
                <w:sz w:val="24"/>
              </w:rPr>
            </w:pPr>
          </w:p>
        </w:tc>
      </w:tr>
    </w:tbl>
    <w:p>
      <w:pPr>
        <w:spacing w:line="360" w:lineRule="auto"/>
        <w:rPr>
          <w:rFonts w:ascii="宋体" w:hAnsi="宋体"/>
          <w:sz w:val="24"/>
        </w:rPr>
      </w:pPr>
    </w:p>
    <w:p>
      <w:pPr>
        <w:spacing w:line="360" w:lineRule="auto"/>
        <w:rPr>
          <w:rFonts w:ascii="宋体" w:hAnsi="宋体"/>
          <w:b/>
          <w:sz w:val="24"/>
        </w:rPr>
      </w:pPr>
      <w:r>
        <w:rPr>
          <w:rFonts w:hint="eastAsia" w:ascii="宋体" w:hAnsi="宋体"/>
          <w:b/>
          <w:sz w:val="24"/>
        </w:rPr>
        <w:t>注：除本商务偏离表中所列的偏离内容外，其他所有商务条款均应完全响应“竞争性磋商文件”中的要求。</w:t>
      </w:r>
    </w:p>
    <w:p>
      <w:pPr>
        <w:spacing w:line="360" w:lineRule="auto"/>
        <w:rPr>
          <w:rFonts w:ascii="宋体" w:hAnsi="宋体"/>
          <w:color w:val="000000"/>
          <w:sz w:val="24"/>
        </w:rPr>
      </w:pPr>
      <w:bookmarkStart w:id="119" w:name="_Toc327439493"/>
    </w:p>
    <w:p>
      <w:pPr>
        <w:spacing w:line="360" w:lineRule="auto"/>
        <w:rPr>
          <w:rFonts w:ascii="宋体" w:hAnsi="宋体"/>
          <w:color w:val="000000"/>
          <w:sz w:val="24"/>
          <w:u w:val="single"/>
        </w:rPr>
      </w:pPr>
      <w:r>
        <w:rPr>
          <w:rFonts w:hint="eastAsia" w:ascii="宋体" w:hAnsi="宋体"/>
          <w:color w:val="000000"/>
          <w:sz w:val="24"/>
        </w:rPr>
        <w:t>磋商供应商名称（公章）：</w:t>
      </w:r>
    </w:p>
    <w:p>
      <w:pPr>
        <w:spacing w:line="360" w:lineRule="auto"/>
        <w:rPr>
          <w:rFonts w:ascii="宋体" w:hAnsi="宋体"/>
          <w:color w:val="000000"/>
          <w:sz w:val="24"/>
          <w:u w:val="single"/>
        </w:rPr>
      </w:pPr>
      <w:r>
        <w:rPr>
          <w:rFonts w:hint="eastAsia" w:ascii="宋体" w:hAnsi="宋体"/>
          <w:color w:val="000000"/>
          <w:sz w:val="24"/>
        </w:rPr>
        <w:t>法定代表人或授权代表人（签字）：</w:t>
      </w:r>
    </w:p>
    <w:p>
      <w:pPr>
        <w:spacing w:line="360" w:lineRule="auto"/>
        <w:rPr>
          <w:rFonts w:ascii="宋体" w:hAnsi="宋体"/>
          <w:color w:val="000000"/>
          <w:sz w:val="24"/>
          <w:u w:val="single"/>
        </w:rPr>
      </w:pPr>
      <w:r>
        <w:rPr>
          <w:rFonts w:hint="eastAsia" w:ascii="宋体" w:hAnsi="宋体"/>
          <w:bCs/>
          <w:color w:val="000000"/>
          <w:sz w:val="24"/>
        </w:rPr>
        <w:t>日期：年月日</w:t>
      </w:r>
    </w:p>
    <w:p>
      <w:pPr>
        <w:snapToGrid w:val="0"/>
        <w:spacing w:line="360" w:lineRule="auto"/>
        <w:ind w:firstLine="5880" w:firstLineChars="2450"/>
        <w:rPr>
          <w:rFonts w:ascii="宋体" w:hAnsi="宋体"/>
          <w:bCs/>
          <w:sz w:val="24"/>
          <w:u w:val="single"/>
        </w:rPr>
      </w:pPr>
    </w:p>
    <w:p>
      <w:pPr>
        <w:snapToGrid w:val="0"/>
        <w:spacing w:line="360" w:lineRule="auto"/>
        <w:ind w:firstLine="5880" w:firstLineChars="2450"/>
        <w:rPr>
          <w:rFonts w:ascii="宋体" w:hAnsi="宋体"/>
          <w:bCs/>
          <w:sz w:val="24"/>
          <w:u w:val="single"/>
        </w:rPr>
      </w:pPr>
    </w:p>
    <w:p>
      <w:pPr>
        <w:snapToGrid w:val="0"/>
        <w:spacing w:line="360" w:lineRule="auto"/>
        <w:ind w:firstLine="5880" w:firstLineChars="2450"/>
        <w:rPr>
          <w:rFonts w:ascii="宋体" w:hAnsi="宋体"/>
          <w:bCs/>
          <w:sz w:val="24"/>
          <w:u w:val="single"/>
        </w:rPr>
      </w:pPr>
    </w:p>
    <w:p>
      <w:pPr>
        <w:snapToGrid w:val="0"/>
        <w:spacing w:line="360" w:lineRule="auto"/>
        <w:ind w:firstLine="5880" w:firstLineChars="2450"/>
        <w:rPr>
          <w:rFonts w:ascii="宋体" w:hAnsi="宋体"/>
          <w:bCs/>
          <w:sz w:val="24"/>
          <w:u w:val="single"/>
        </w:rPr>
      </w:pPr>
    </w:p>
    <w:p>
      <w:pPr>
        <w:snapToGrid w:val="0"/>
        <w:spacing w:line="360" w:lineRule="auto"/>
        <w:ind w:firstLine="5880" w:firstLineChars="2450"/>
        <w:rPr>
          <w:rFonts w:ascii="宋体" w:hAnsi="宋体"/>
          <w:bCs/>
          <w:sz w:val="24"/>
          <w:u w:val="single"/>
        </w:rPr>
      </w:pPr>
    </w:p>
    <w:p>
      <w:pPr>
        <w:snapToGrid w:val="0"/>
        <w:spacing w:line="360" w:lineRule="auto"/>
        <w:ind w:firstLine="5880" w:firstLineChars="2450"/>
        <w:rPr>
          <w:rFonts w:ascii="宋体" w:hAnsi="宋体"/>
          <w:bCs/>
          <w:sz w:val="24"/>
          <w:u w:val="single"/>
        </w:rPr>
      </w:pPr>
    </w:p>
    <w:p>
      <w:pPr>
        <w:snapToGrid w:val="0"/>
        <w:spacing w:line="360" w:lineRule="auto"/>
        <w:rPr>
          <w:rFonts w:ascii="宋体" w:hAnsi="宋体"/>
          <w:bCs/>
          <w:sz w:val="24"/>
          <w:u w:val="single"/>
        </w:rPr>
      </w:pPr>
    </w:p>
    <w:p>
      <w:pPr>
        <w:spacing w:line="360" w:lineRule="auto"/>
        <w:ind w:right="600"/>
        <w:rPr>
          <w:rFonts w:ascii="宋体" w:hAnsi="宋体"/>
          <w:b/>
          <w:sz w:val="24"/>
        </w:rPr>
      </w:pPr>
    </w:p>
    <w:p>
      <w:pPr>
        <w:rPr>
          <w:rFonts w:ascii="宋体" w:hAnsi="宋体"/>
          <w:b/>
          <w:sz w:val="24"/>
        </w:rPr>
      </w:pPr>
    </w:p>
    <w:p>
      <w:pPr>
        <w:pStyle w:val="2"/>
      </w:pPr>
    </w:p>
    <w:p>
      <w:pPr>
        <w:spacing w:line="360" w:lineRule="auto"/>
        <w:ind w:right="600"/>
        <w:rPr>
          <w:rFonts w:ascii="宋体" w:hAnsi="宋体"/>
          <w:b/>
          <w:sz w:val="32"/>
          <w:szCs w:val="32"/>
        </w:rPr>
      </w:pPr>
    </w:p>
    <w:p>
      <w:pPr>
        <w:spacing w:line="360" w:lineRule="auto"/>
        <w:ind w:right="600"/>
        <w:rPr>
          <w:rFonts w:ascii="宋体" w:hAnsi="宋体"/>
          <w:b/>
          <w:sz w:val="32"/>
          <w:szCs w:val="32"/>
        </w:rPr>
      </w:pPr>
      <w:r>
        <w:rPr>
          <w:rFonts w:hint="eastAsia" w:ascii="宋体" w:hAnsi="宋体"/>
          <w:b/>
          <w:sz w:val="32"/>
          <w:szCs w:val="32"/>
        </w:rPr>
        <w:t>附件8：</w:t>
      </w:r>
    </w:p>
    <w:p>
      <w:pPr>
        <w:snapToGrid w:val="0"/>
        <w:spacing w:line="360" w:lineRule="auto"/>
        <w:jc w:val="center"/>
        <w:rPr>
          <w:rFonts w:ascii="宋体" w:hAnsi="宋体"/>
          <w:b/>
          <w:sz w:val="32"/>
          <w:szCs w:val="32"/>
        </w:rPr>
      </w:pPr>
      <w:r>
        <w:rPr>
          <w:rFonts w:hint="eastAsia" w:ascii="宋体" w:hAnsi="宋体"/>
          <w:b/>
          <w:sz w:val="32"/>
          <w:szCs w:val="32"/>
        </w:rPr>
        <w:t>技术条款偏离表</w:t>
      </w:r>
    </w:p>
    <w:tbl>
      <w:tblPr>
        <w:tblStyle w:val="33"/>
        <w:tblW w:w="0" w:type="auto"/>
        <w:jc w:val="center"/>
        <w:tblLayout w:type="fixed"/>
        <w:tblCellMar>
          <w:top w:w="0" w:type="dxa"/>
          <w:left w:w="0" w:type="dxa"/>
          <w:bottom w:w="0" w:type="dxa"/>
          <w:right w:w="0" w:type="dxa"/>
        </w:tblCellMar>
      </w:tblPr>
      <w:tblGrid>
        <w:gridCol w:w="1080"/>
        <w:gridCol w:w="1440"/>
        <w:gridCol w:w="1620"/>
        <w:gridCol w:w="2160"/>
        <w:gridCol w:w="2340"/>
        <w:gridCol w:w="1129"/>
      </w:tblGrid>
      <w:tr>
        <w:tblPrEx>
          <w:tblCellMar>
            <w:top w:w="0" w:type="dxa"/>
            <w:left w:w="0" w:type="dxa"/>
            <w:bottom w:w="0" w:type="dxa"/>
            <w:right w:w="0" w:type="dxa"/>
          </w:tblCellMar>
        </w:tblPrEx>
        <w:trPr>
          <w:cantSplit/>
          <w:trHeight w:val="402" w:hRule="atLeast"/>
          <w:jc w:val="center"/>
        </w:trPr>
        <w:tc>
          <w:tcPr>
            <w:tcW w:w="1080"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序号</w:t>
            </w:r>
          </w:p>
        </w:tc>
        <w:tc>
          <w:tcPr>
            <w:tcW w:w="144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sz w:val="24"/>
              </w:rPr>
            </w:pPr>
            <w:r>
              <w:rPr>
                <w:rFonts w:hint="eastAsia" w:ascii="宋体" w:hAnsi="宋体"/>
                <w:sz w:val="24"/>
              </w:rPr>
              <w:t>服务名称</w:t>
            </w:r>
          </w:p>
        </w:tc>
        <w:tc>
          <w:tcPr>
            <w:tcW w:w="162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sz w:val="24"/>
              </w:rPr>
            </w:pPr>
            <w:r>
              <w:rPr>
                <w:rFonts w:hint="eastAsia" w:ascii="宋体" w:hAnsi="宋体"/>
                <w:sz w:val="24"/>
              </w:rPr>
              <w:t>服务内容</w:t>
            </w:r>
          </w:p>
        </w:tc>
        <w:tc>
          <w:tcPr>
            <w:tcW w:w="4500" w:type="dxa"/>
            <w:gridSpan w:val="2"/>
            <w:tcBorders>
              <w:top w:val="single" w:color="auto" w:sz="4" w:space="0"/>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sz w:val="24"/>
              </w:rPr>
            </w:pPr>
            <w:r>
              <w:rPr>
                <w:rFonts w:hint="eastAsia" w:ascii="宋体" w:hAnsi="宋体"/>
                <w:sz w:val="24"/>
              </w:rPr>
              <w:t>规格响应情况</w:t>
            </w:r>
          </w:p>
        </w:tc>
        <w:tc>
          <w:tcPr>
            <w:tcW w:w="112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sz w:val="24"/>
              </w:rPr>
            </w:pPr>
            <w:r>
              <w:rPr>
                <w:rFonts w:hint="eastAsia" w:ascii="宋体" w:hAnsi="宋体"/>
                <w:sz w:val="24"/>
              </w:rPr>
              <w:t>偏离情况</w:t>
            </w:r>
          </w:p>
        </w:tc>
      </w:tr>
      <w:tr>
        <w:tblPrEx>
          <w:tblCellMar>
            <w:top w:w="0" w:type="dxa"/>
            <w:left w:w="0" w:type="dxa"/>
            <w:bottom w:w="0" w:type="dxa"/>
            <w:right w:w="0" w:type="dxa"/>
          </w:tblCellMar>
        </w:tblPrEx>
        <w:trPr>
          <w:cantSplit/>
          <w:trHeight w:val="402"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pStyle w:val="20"/>
              <w:spacing w:line="360" w:lineRule="auto"/>
              <w:jc w:val="center"/>
              <w:rPr>
                <w:rFonts w:hAnsi="宋体" w:cs="Times New Roman"/>
                <w:sz w:val="24"/>
              </w:rPr>
            </w:pPr>
            <w:r>
              <w:rPr>
                <w:rFonts w:hint="eastAsia" w:hAnsi="宋体"/>
                <w:sz w:val="24"/>
              </w:rPr>
              <w:t>磋商</w:t>
            </w:r>
            <w:r>
              <w:rPr>
                <w:rFonts w:hint="eastAsia" w:hAnsi="宋体" w:cs="Times New Roman"/>
                <w:sz w:val="24"/>
              </w:rPr>
              <w:t>文件技术要求</w:t>
            </w:r>
          </w:p>
          <w:p>
            <w:pPr>
              <w:spacing w:line="360" w:lineRule="auto"/>
              <w:jc w:val="center"/>
              <w:rPr>
                <w:rFonts w:ascii="宋体" w:hAnsi="宋体"/>
                <w:sz w:val="24"/>
              </w:rPr>
            </w:pPr>
            <w:r>
              <w:rPr>
                <w:rFonts w:hint="eastAsia" w:hAnsi="宋体"/>
                <w:sz w:val="24"/>
              </w:rPr>
              <w:t>的内容与数值</w:t>
            </w: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pStyle w:val="20"/>
              <w:spacing w:line="360" w:lineRule="auto"/>
              <w:jc w:val="center"/>
              <w:rPr>
                <w:rFonts w:hAnsi="宋体" w:cs="Times New Roman"/>
                <w:sz w:val="24"/>
              </w:rPr>
            </w:pPr>
            <w:r>
              <w:rPr>
                <w:rFonts w:hint="eastAsia" w:hAnsi="宋体"/>
                <w:sz w:val="24"/>
              </w:rPr>
              <w:t>供应商</w:t>
            </w:r>
            <w:r>
              <w:rPr>
                <w:rFonts w:hint="eastAsia" w:hAnsi="宋体" w:cs="Times New Roman"/>
                <w:sz w:val="24"/>
              </w:rPr>
              <w:t>的技术响</w:t>
            </w:r>
          </w:p>
          <w:p>
            <w:pPr>
              <w:spacing w:line="360" w:lineRule="auto"/>
              <w:jc w:val="center"/>
              <w:rPr>
                <w:rFonts w:ascii="宋体" w:hAnsi="宋体"/>
                <w:sz w:val="24"/>
              </w:rPr>
            </w:pPr>
            <w:r>
              <w:rPr>
                <w:rFonts w:hint="eastAsia" w:hAnsi="宋体"/>
                <w:sz w:val="24"/>
              </w:rPr>
              <w:t>应内容与数值</w:t>
            </w: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360" w:lineRule="auto"/>
              <w:ind w:right="458" w:rightChars="218"/>
              <w:jc w:val="center"/>
              <w:rPr>
                <w:rFonts w:ascii="宋体" w:hAnsi="宋体"/>
                <w:sz w:val="24"/>
              </w:rPr>
            </w:pPr>
          </w:p>
        </w:tc>
      </w:tr>
      <w:tr>
        <w:tblPrEx>
          <w:tblCellMar>
            <w:top w:w="0" w:type="dxa"/>
            <w:left w:w="0" w:type="dxa"/>
            <w:bottom w:w="0" w:type="dxa"/>
            <w:right w:w="0" w:type="dxa"/>
          </w:tblCellMar>
        </w:tblPrEx>
        <w:trPr>
          <w:trHeight w:val="390" w:hRule="atLeast"/>
          <w:jc w:val="center"/>
        </w:trPr>
        <w:tc>
          <w:tcPr>
            <w:tcW w:w="1080"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sz w:val="24"/>
              </w:rPr>
            </w:pPr>
          </w:p>
        </w:tc>
        <w:tc>
          <w:tcPr>
            <w:tcW w:w="162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sz w:val="24"/>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sz w:val="24"/>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sz w:val="24"/>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sz w:val="24"/>
              </w:rPr>
            </w:pPr>
          </w:p>
        </w:tc>
      </w:tr>
      <w:tr>
        <w:tblPrEx>
          <w:tblCellMar>
            <w:top w:w="0" w:type="dxa"/>
            <w:left w:w="0" w:type="dxa"/>
            <w:bottom w:w="0" w:type="dxa"/>
            <w:right w:w="0" w:type="dxa"/>
          </w:tblCellMar>
        </w:tblPrEx>
        <w:trPr>
          <w:trHeight w:val="402" w:hRule="atLeast"/>
          <w:jc w:val="center"/>
        </w:trPr>
        <w:tc>
          <w:tcPr>
            <w:tcW w:w="1080"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sz w:val="24"/>
              </w:rPr>
            </w:pPr>
          </w:p>
        </w:tc>
        <w:tc>
          <w:tcPr>
            <w:tcW w:w="162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sz w:val="24"/>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sz w:val="24"/>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ind w:left="-15" w:leftChars="-7"/>
              <w:jc w:val="center"/>
              <w:rPr>
                <w:rFonts w:ascii="宋体" w:hAnsi="宋体"/>
                <w:sz w:val="24"/>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360" w:lineRule="auto"/>
              <w:ind w:left="-15" w:leftChars="-7"/>
              <w:jc w:val="center"/>
              <w:rPr>
                <w:rFonts w:ascii="宋体" w:hAnsi="宋体"/>
                <w:sz w:val="24"/>
              </w:rPr>
            </w:pPr>
          </w:p>
        </w:tc>
      </w:tr>
      <w:tr>
        <w:tblPrEx>
          <w:tblCellMar>
            <w:top w:w="0" w:type="dxa"/>
            <w:left w:w="0" w:type="dxa"/>
            <w:bottom w:w="0" w:type="dxa"/>
            <w:right w:w="0" w:type="dxa"/>
          </w:tblCellMar>
        </w:tblPrEx>
        <w:trPr>
          <w:trHeight w:val="402" w:hRule="atLeast"/>
          <w:jc w:val="center"/>
        </w:trPr>
        <w:tc>
          <w:tcPr>
            <w:tcW w:w="1080"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sz w:val="24"/>
              </w:rPr>
            </w:pPr>
          </w:p>
        </w:tc>
        <w:tc>
          <w:tcPr>
            <w:tcW w:w="162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sz w:val="24"/>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sz w:val="24"/>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sz w:val="24"/>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sz w:val="24"/>
              </w:rPr>
            </w:pPr>
          </w:p>
        </w:tc>
      </w:tr>
      <w:tr>
        <w:tblPrEx>
          <w:tblCellMar>
            <w:top w:w="0" w:type="dxa"/>
            <w:left w:w="0" w:type="dxa"/>
            <w:bottom w:w="0" w:type="dxa"/>
            <w:right w:w="0" w:type="dxa"/>
          </w:tblCellMar>
        </w:tblPrEx>
        <w:trPr>
          <w:trHeight w:val="402" w:hRule="atLeast"/>
          <w:jc w:val="center"/>
        </w:trPr>
        <w:tc>
          <w:tcPr>
            <w:tcW w:w="1080"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sz w:val="24"/>
              </w:rPr>
            </w:pPr>
          </w:p>
        </w:tc>
        <w:tc>
          <w:tcPr>
            <w:tcW w:w="162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sz w:val="24"/>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sz w:val="24"/>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sz w:val="24"/>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sz w:val="24"/>
              </w:rPr>
            </w:pPr>
          </w:p>
        </w:tc>
      </w:tr>
      <w:tr>
        <w:tblPrEx>
          <w:tblCellMar>
            <w:top w:w="0" w:type="dxa"/>
            <w:left w:w="0" w:type="dxa"/>
            <w:bottom w:w="0" w:type="dxa"/>
            <w:right w:w="0" w:type="dxa"/>
          </w:tblCellMar>
        </w:tblPrEx>
        <w:trPr>
          <w:trHeight w:val="402" w:hRule="atLeast"/>
          <w:jc w:val="center"/>
        </w:trPr>
        <w:tc>
          <w:tcPr>
            <w:tcW w:w="1080" w:type="dxa"/>
            <w:tcBorders>
              <w:top w:val="nil"/>
              <w:left w:val="single" w:color="auto" w:sz="4" w:space="0"/>
              <w:bottom w:val="single" w:color="auto" w:sz="4" w:space="0"/>
              <w:right w:val="single" w:color="auto" w:sz="4" w:space="0"/>
            </w:tcBorders>
            <w:vAlign w:val="bottom"/>
          </w:tcPr>
          <w:p>
            <w:pPr>
              <w:spacing w:line="360" w:lineRule="auto"/>
              <w:rPr>
                <w:rFonts w:ascii="宋体" w:hAnsi="宋体"/>
                <w:sz w:val="24"/>
              </w:rPr>
            </w:pPr>
          </w:p>
        </w:tc>
        <w:tc>
          <w:tcPr>
            <w:tcW w:w="1440" w:type="dxa"/>
            <w:tcBorders>
              <w:top w:val="nil"/>
              <w:left w:val="nil"/>
              <w:bottom w:val="single" w:color="auto" w:sz="4" w:space="0"/>
              <w:right w:val="single" w:color="auto" w:sz="4" w:space="0"/>
            </w:tcBorders>
            <w:tcMar>
              <w:top w:w="15" w:type="dxa"/>
              <w:left w:w="15" w:type="dxa"/>
              <w:right w:w="15" w:type="dxa"/>
            </w:tcMar>
            <w:vAlign w:val="bottom"/>
          </w:tcPr>
          <w:p>
            <w:pPr>
              <w:spacing w:line="360" w:lineRule="auto"/>
              <w:rPr>
                <w:rFonts w:ascii="宋体" w:hAnsi="宋体"/>
                <w:sz w:val="24"/>
              </w:rPr>
            </w:pPr>
          </w:p>
        </w:tc>
        <w:tc>
          <w:tcPr>
            <w:tcW w:w="1620" w:type="dxa"/>
            <w:tcBorders>
              <w:top w:val="nil"/>
              <w:left w:val="nil"/>
              <w:bottom w:val="single" w:color="auto" w:sz="4" w:space="0"/>
              <w:right w:val="single" w:color="auto" w:sz="4" w:space="0"/>
            </w:tcBorders>
            <w:tcMar>
              <w:top w:w="15" w:type="dxa"/>
              <w:left w:w="15" w:type="dxa"/>
              <w:right w:w="15" w:type="dxa"/>
            </w:tcMar>
            <w:vAlign w:val="bottom"/>
          </w:tcPr>
          <w:p>
            <w:pPr>
              <w:spacing w:line="360" w:lineRule="auto"/>
              <w:rPr>
                <w:rFonts w:ascii="宋体" w:hAnsi="宋体"/>
                <w:sz w:val="24"/>
              </w:rPr>
            </w:pPr>
          </w:p>
        </w:tc>
        <w:tc>
          <w:tcPr>
            <w:tcW w:w="2160" w:type="dxa"/>
            <w:tcBorders>
              <w:top w:val="nil"/>
              <w:left w:val="nil"/>
              <w:bottom w:val="single" w:color="auto" w:sz="4" w:space="0"/>
              <w:right w:val="single" w:color="auto" w:sz="4" w:space="0"/>
            </w:tcBorders>
            <w:tcMar>
              <w:top w:w="15" w:type="dxa"/>
              <w:left w:w="15" w:type="dxa"/>
              <w:right w:w="15" w:type="dxa"/>
            </w:tcMar>
            <w:vAlign w:val="bottom"/>
          </w:tcPr>
          <w:p>
            <w:pPr>
              <w:spacing w:line="360" w:lineRule="auto"/>
              <w:jc w:val="center"/>
              <w:rPr>
                <w:rFonts w:ascii="宋体" w:hAnsi="宋体"/>
                <w:sz w:val="24"/>
              </w:rPr>
            </w:pPr>
          </w:p>
        </w:tc>
        <w:tc>
          <w:tcPr>
            <w:tcW w:w="2340" w:type="dxa"/>
            <w:tcBorders>
              <w:top w:val="nil"/>
              <w:left w:val="nil"/>
              <w:bottom w:val="single" w:color="auto" w:sz="4" w:space="0"/>
              <w:right w:val="single" w:color="auto" w:sz="4" w:space="0"/>
            </w:tcBorders>
            <w:tcMar>
              <w:top w:w="15" w:type="dxa"/>
              <w:left w:w="15" w:type="dxa"/>
              <w:right w:w="15" w:type="dxa"/>
            </w:tcMar>
            <w:vAlign w:val="bottom"/>
          </w:tcPr>
          <w:p>
            <w:pPr>
              <w:spacing w:line="360" w:lineRule="auto"/>
              <w:rPr>
                <w:rFonts w:ascii="宋体" w:hAnsi="宋体"/>
                <w:sz w:val="24"/>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bottom"/>
          </w:tcPr>
          <w:p>
            <w:pPr>
              <w:spacing w:line="360" w:lineRule="auto"/>
              <w:rPr>
                <w:rFonts w:ascii="宋体" w:hAnsi="宋体"/>
                <w:sz w:val="24"/>
              </w:rPr>
            </w:pPr>
          </w:p>
        </w:tc>
      </w:tr>
      <w:tr>
        <w:tblPrEx>
          <w:tblCellMar>
            <w:top w:w="0" w:type="dxa"/>
            <w:left w:w="0" w:type="dxa"/>
            <w:bottom w:w="0" w:type="dxa"/>
            <w:right w:w="0" w:type="dxa"/>
          </w:tblCellMar>
        </w:tblPrEx>
        <w:trPr>
          <w:trHeight w:val="402" w:hRule="atLeast"/>
          <w:jc w:val="center"/>
        </w:trPr>
        <w:tc>
          <w:tcPr>
            <w:tcW w:w="1080" w:type="dxa"/>
            <w:tcBorders>
              <w:top w:val="nil"/>
              <w:left w:val="single" w:color="auto" w:sz="4" w:space="0"/>
              <w:bottom w:val="single" w:color="auto" w:sz="4" w:space="0"/>
              <w:right w:val="single" w:color="auto" w:sz="4" w:space="0"/>
            </w:tcBorders>
            <w:vAlign w:val="bottom"/>
          </w:tcPr>
          <w:p>
            <w:pPr>
              <w:spacing w:line="360" w:lineRule="auto"/>
              <w:rPr>
                <w:rFonts w:ascii="宋体" w:hAnsi="宋体"/>
                <w:sz w:val="24"/>
              </w:rPr>
            </w:pPr>
          </w:p>
        </w:tc>
        <w:tc>
          <w:tcPr>
            <w:tcW w:w="1440" w:type="dxa"/>
            <w:tcBorders>
              <w:top w:val="nil"/>
              <w:left w:val="nil"/>
              <w:bottom w:val="single" w:color="auto" w:sz="4" w:space="0"/>
              <w:right w:val="single" w:color="auto" w:sz="4" w:space="0"/>
            </w:tcBorders>
            <w:tcMar>
              <w:top w:w="15" w:type="dxa"/>
              <w:left w:w="15" w:type="dxa"/>
              <w:right w:w="15" w:type="dxa"/>
            </w:tcMar>
            <w:vAlign w:val="bottom"/>
          </w:tcPr>
          <w:p>
            <w:pPr>
              <w:spacing w:line="360" w:lineRule="auto"/>
              <w:rPr>
                <w:rFonts w:ascii="宋体" w:hAnsi="宋体"/>
                <w:sz w:val="24"/>
              </w:rPr>
            </w:pPr>
          </w:p>
        </w:tc>
        <w:tc>
          <w:tcPr>
            <w:tcW w:w="1620" w:type="dxa"/>
            <w:tcBorders>
              <w:top w:val="nil"/>
              <w:left w:val="nil"/>
              <w:bottom w:val="single" w:color="auto" w:sz="4" w:space="0"/>
              <w:right w:val="single" w:color="auto" w:sz="4" w:space="0"/>
            </w:tcBorders>
            <w:tcMar>
              <w:top w:w="15" w:type="dxa"/>
              <w:left w:w="15" w:type="dxa"/>
              <w:right w:w="15" w:type="dxa"/>
            </w:tcMar>
            <w:vAlign w:val="bottom"/>
          </w:tcPr>
          <w:p>
            <w:pPr>
              <w:spacing w:line="360" w:lineRule="auto"/>
              <w:rPr>
                <w:rFonts w:ascii="宋体" w:hAnsi="宋体"/>
                <w:sz w:val="24"/>
              </w:rPr>
            </w:pPr>
          </w:p>
        </w:tc>
        <w:tc>
          <w:tcPr>
            <w:tcW w:w="2160" w:type="dxa"/>
            <w:tcBorders>
              <w:top w:val="nil"/>
              <w:left w:val="nil"/>
              <w:bottom w:val="single" w:color="auto" w:sz="4" w:space="0"/>
              <w:right w:val="single" w:color="auto" w:sz="4" w:space="0"/>
            </w:tcBorders>
            <w:tcMar>
              <w:top w:w="15" w:type="dxa"/>
              <w:left w:w="15" w:type="dxa"/>
              <w:right w:w="15" w:type="dxa"/>
            </w:tcMar>
            <w:vAlign w:val="bottom"/>
          </w:tcPr>
          <w:p>
            <w:pPr>
              <w:spacing w:line="360" w:lineRule="auto"/>
              <w:jc w:val="center"/>
              <w:rPr>
                <w:rFonts w:ascii="宋体" w:hAnsi="宋体"/>
                <w:sz w:val="24"/>
              </w:rPr>
            </w:pPr>
          </w:p>
        </w:tc>
        <w:tc>
          <w:tcPr>
            <w:tcW w:w="2340" w:type="dxa"/>
            <w:tcBorders>
              <w:top w:val="nil"/>
              <w:left w:val="nil"/>
              <w:bottom w:val="single" w:color="auto" w:sz="4" w:space="0"/>
              <w:right w:val="single" w:color="auto" w:sz="4" w:space="0"/>
            </w:tcBorders>
            <w:tcMar>
              <w:top w:w="15" w:type="dxa"/>
              <w:left w:w="15" w:type="dxa"/>
              <w:right w:w="15" w:type="dxa"/>
            </w:tcMar>
            <w:vAlign w:val="bottom"/>
          </w:tcPr>
          <w:p>
            <w:pPr>
              <w:spacing w:line="360" w:lineRule="auto"/>
              <w:rPr>
                <w:rFonts w:ascii="宋体" w:hAnsi="宋体"/>
                <w:sz w:val="24"/>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bottom"/>
          </w:tcPr>
          <w:p>
            <w:pPr>
              <w:spacing w:line="360" w:lineRule="auto"/>
              <w:rPr>
                <w:rFonts w:ascii="宋体" w:hAnsi="宋体"/>
                <w:sz w:val="24"/>
              </w:rPr>
            </w:pPr>
          </w:p>
        </w:tc>
      </w:tr>
    </w:tbl>
    <w:p>
      <w:pPr>
        <w:snapToGrid w:val="0"/>
        <w:spacing w:line="360" w:lineRule="auto"/>
        <w:jc w:val="center"/>
        <w:rPr>
          <w:rFonts w:ascii="宋体" w:hAnsi="宋体"/>
          <w:b/>
          <w:sz w:val="30"/>
          <w:szCs w:val="30"/>
        </w:rPr>
      </w:pPr>
    </w:p>
    <w:p>
      <w:pPr>
        <w:pStyle w:val="20"/>
        <w:spacing w:line="360" w:lineRule="auto"/>
        <w:ind w:firstLine="472" w:firstLineChars="196"/>
        <w:jc w:val="left"/>
        <w:rPr>
          <w:rFonts w:hAnsi="宋体"/>
          <w:b/>
          <w:sz w:val="24"/>
          <w:szCs w:val="24"/>
        </w:rPr>
      </w:pPr>
      <w:r>
        <w:rPr>
          <w:rFonts w:hint="eastAsia" w:hAnsi="宋体"/>
          <w:b/>
          <w:sz w:val="24"/>
          <w:szCs w:val="24"/>
        </w:rPr>
        <w:t>注：供应商应对竞争性磋商文件要求的内容给予逐条响应，以自己服务所能达到的内容予以填写，不应复制竞争性磋商文件的要求作为响应内容，否则视为无效投标。</w:t>
      </w:r>
    </w:p>
    <w:p>
      <w:pPr>
        <w:pStyle w:val="27"/>
        <w:spacing w:line="360" w:lineRule="auto"/>
        <w:ind w:left="480" w:hanging="480"/>
        <w:rPr>
          <w:rFonts w:ascii="宋体" w:hAnsi="宋体"/>
          <w:b w:val="0"/>
        </w:rPr>
      </w:pPr>
    </w:p>
    <w:p>
      <w:pPr>
        <w:pStyle w:val="27"/>
        <w:spacing w:line="360" w:lineRule="auto"/>
        <w:ind w:left="480" w:hanging="480"/>
        <w:rPr>
          <w:rFonts w:ascii="宋体" w:hAnsi="宋体"/>
          <w:b w:val="0"/>
        </w:rPr>
      </w:pPr>
    </w:p>
    <w:p>
      <w:pPr>
        <w:spacing w:line="360" w:lineRule="auto"/>
        <w:rPr>
          <w:rFonts w:ascii="宋体" w:hAnsi="宋体"/>
          <w:bCs/>
          <w:sz w:val="24"/>
        </w:rPr>
      </w:pPr>
    </w:p>
    <w:p>
      <w:pPr>
        <w:spacing w:line="360" w:lineRule="auto"/>
        <w:rPr>
          <w:rFonts w:ascii="宋体" w:hAnsi="宋体"/>
          <w:bCs/>
          <w:sz w:val="24"/>
        </w:rPr>
      </w:pPr>
    </w:p>
    <w:p>
      <w:pPr>
        <w:spacing w:line="360" w:lineRule="auto"/>
        <w:ind w:firstLine="480" w:firstLineChars="200"/>
        <w:rPr>
          <w:rFonts w:ascii="宋体" w:hAnsi="宋体"/>
          <w:color w:val="000000"/>
          <w:sz w:val="24"/>
          <w:u w:val="single"/>
        </w:rPr>
      </w:pPr>
      <w:r>
        <w:rPr>
          <w:rFonts w:hint="eastAsia" w:ascii="宋体" w:hAnsi="宋体"/>
          <w:color w:val="000000"/>
          <w:sz w:val="24"/>
        </w:rPr>
        <w:t>磋商供应商名称（公章）：</w:t>
      </w:r>
    </w:p>
    <w:p>
      <w:pPr>
        <w:spacing w:line="360" w:lineRule="auto"/>
        <w:ind w:firstLine="480" w:firstLineChars="200"/>
        <w:rPr>
          <w:rFonts w:ascii="宋体" w:hAnsi="宋体"/>
          <w:color w:val="000000"/>
          <w:sz w:val="24"/>
          <w:u w:val="single"/>
        </w:rPr>
      </w:pPr>
      <w:r>
        <w:rPr>
          <w:rFonts w:hint="eastAsia" w:ascii="宋体" w:hAnsi="宋体"/>
          <w:color w:val="000000"/>
          <w:sz w:val="24"/>
        </w:rPr>
        <w:t>法定代表人或授权代表人（签字）：</w:t>
      </w:r>
    </w:p>
    <w:p>
      <w:pPr>
        <w:spacing w:line="360" w:lineRule="auto"/>
        <w:ind w:firstLine="480" w:firstLineChars="200"/>
        <w:rPr>
          <w:rFonts w:ascii="宋体" w:hAnsi="宋体"/>
          <w:color w:val="000000"/>
          <w:sz w:val="24"/>
          <w:u w:val="single"/>
        </w:rPr>
      </w:pPr>
      <w:r>
        <w:rPr>
          <w:rFonts w:hint="eastAsia" w:ascii="宋体" w:hAnsi="宋体"/>
          <w:bCs/>
          <w:color w:val="000000"/>
          <w:sz w:val="24"/>
        </w:rPr>
        <w:t>日期：年月日</w:t>
      </w:r>
    </w:p>
    <w:p>
      <w:pPr>
        <w:spacing w:line="360" w:lineRule="auto"/>
        <w:rPr>
          <w:rFonts w:ascii="宋体" w:hAnsi="宋体"/>
          <w:b/>
          <w:bCs/>
        </w:rPr>
      </w:pPr>
    </w:p>
    <w:bookmarkEnd w:id="119"/>
    <w:p>
      <w:pPr>
        <w:pStyle w:val="5"/>
        <w:spacing w:line="360" w:lineRule="auto"/>
        <w:rPr>
          <w:rFonts w:ascii="宋体" w:hAnsi="宋体"/>
        </w:rPr>
        <w:sectPr>
          <w:pgSz w:w="11907" w:h="16840"/>
          <w:pgMar w:top="1440" w:right="1247" w:bottom="1440" w:left="1361" w:header="851" w:footer="992" w:gutter="0"/>
          <w:cols w:space="720" w:num="1"/>
          <w:docGrid w:linePitch="312" w:charSpace="0"/>
        </w:sectPr>
      </w:pPr>
      <w:bookmarkStart w:id="120" w:name="_Toc400536597"/>
      <w:bookmarkStart w:id="121" w:name="_Toc258923314"/>
    </w:p>
    <w:p>
      <w:pPr>
        <w:spacing w:line="360" w:lineRule="auto"/>
        <w:rPr>
          <w:b/>
          <w:sz w:val="32"/>
          <w:szCs w:val="32"/>
        </w:rPr>
      </w:pPr>
      <w:r>
        <w:rPr>
          <w:rFonts w:hint="eastAsia" w:ascii="宋体" w:hAnsi="宋体"/>
          <w:b/>
          <w:sz w:val="32"/>
          <w:szCs w:val="32"/>
        </w:rPr>
        <w:t>附件9：</w:t>
      </w:r>
    </w:p>
    <w:bookmarkEnd w:id="120"/>
    <w:bookmarkEnd w:id="121"/>
    <w:p>
      <w:pPr>
        <w:spacing w:line="360" w:lineRule="auto"/>
        <w:jc w:val="center"/>
        <w:rPr>
          <w:rFonts w:hint="default" w:ascii="宋体" w:hAnsi="宋体" w:eastAsia="宋体"/>
          <w:lang w:val="en-US" w:eastAsia="zh-CN"/>
        </w:rPr>
      </w:pPr>
      <w:r>
        <w:rPr>
          <w:rFonts w:hint="eastAsia"/>
          <w:b/>
          <w:sz w:val="32"/>
          <w:szCs w:val="32"/>
          <w:lang w:val="en-US" w:eastAsia="zh-CN"/>
        </w:rPr>
        <w:t>企业类似业绩</w:t>
      </w:r>
    </w:p>
    <w:tbl>
      <w:tblPr>
        <w:tblStyle w:val="33"/>
        <w:tblW w:w="8925" w:type="dxa"/>
        <w:jc w:val="center"/>
        <w:tblLayout w:type="fixed"/>
        <w:tblCellMar>
          <w:top w:w="0" w:type="dxa"/>
          <w:left w:w="108" w:type="dxa"/>
          <w:bottom w:w="0" w:type="dxa"/>
          <w:right w:w="108" w:type="dxa"/>
        </w:tblCellMar>
      </w:tblPr>
      <w:tblGrid>
        <w:gridCol w:w="900"/>
        <w:gridCol w:w="1620"/>
        <w:gridCol w:w="1620"/>
        <w:gridCol w:w="1980"/>
        <w:gridCol w:w="1440"/>
        <w:gridCol w:w="1365"/>
      </w:tblGrid>
      <w:tr>
        <w:tblPrEx>
          <w:tblCellMar>
            <w:top w:w="0" w:type="dxa"/>
            <w:left w:w="108" w:type="dxa"/>
            <w:bottom w:w="0" w:type="dxa"/>
            <w:right w:w="108" w:type="dxa"/>
          </w:tblCellMar>
        </w:tblPrEx>
        <w:trPr>
          <w:trHeight w:val="102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序号</w:t>
            </w:r>
          </w:p>
        </w:tc>
        <w:tc>
          <w:tcPr>
            <w:tcW w:w="16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项目名称</w:t>
            </w:r>
          </w:p>
        </w:tc>
        <w:tc>
          <w:tcPr>
            <w:tcW w:w="16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使用单位</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使用单位电话</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合同金额</w:t>
            </w:r>
          </w:p>
        </w:tc>
        <w:tc>
          <w:tcPr>
            <w:tcW w:w="13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签订日期</w:t>
            </w: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3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3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3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3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3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3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3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3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r>
    </w:tbl>
    <w:p>
      <w:pPr>
        <w:spacing w:line="360" w:lineRule="auto"/>
        <w:rPr>
          <w:rFonts w:ascii="宋体" w:hAnsi="宋体"/>
          <w:sz w:val="24"/>
        </w:rPr>
      </w:pPr>
    </w:p>
    <w:p>
      <w:pPr>
        <w:spacing w:line="360" w:lineRule="auto"/>
        <w:rPr>
          <w:rFonts w:ascii="宋体" w:hAnsi="宋体"/>
          <w:b/>
          <w:sz w:val="28"/>
        </w:rPr>
      </w:pPr>
    </w:p>
    <w:p>
      <w:pPr>
        <w:spacing w:line="360" w:lineRule="auto"/>
        <w:rPr>
          <w:rFonts w:ascii="宋体" w:hAnsi="宋体"/>
          <w:b/>
          <w:sz w:val="28"/>
        </w:rPr>
      </w:pPr>
    </w:p>
    <w:p>
      <w:pPr>
        <w:spacing w:line="360" w:lineRule="auto"/>
        <w:rPr>
          <w:rFonts w:ascii="宋体" w:hAnsi="宋体"/>
          <w:color w:val="000000"/>
          <w:sz w:val="24"/>
          <w:u w:val="single"/>
        </w:rPr>
      </w:pPr>
      <w:r>
        <w:rPr>
          <w:rFonts w:hint="eastAsia" w:ascii="宋体" w:hAnsi="宋体"/>
          <w:color w:val="000000"/>
          <w:sz w:val="24"/>
        </w:rPr>
        <w:t>磋商供应商名称（公章）：</w:t>
      </w:r>
    </w:p>
    <w:p>
      <w:pPr>
        <w:spacing w:line="360" w:lineRule="auto"/>
        <w:rPr>
          <w:rFonts w:ascii="宋体" w:hAnsi="宋体"/>
          <w:color w:val="000000"/>
          <w:sz w:val="24"/>
          <w:u w:val="single"/>
        </w:rPr>
      </w:pPr>
      <w:r>
        <w:rPr>
          <w:rFonts w:hint="eastAsia" w:ascii="宋体" w:hAnsi="宋体"/>
          <w:color w:val="000000"/>
          <w:sz w:val="24"/>
        </w:rPr>
        <w:t>法定代表人或授权代表人（签字）：</w:t>
      </w:r>
    </w:p>
    <w:p>
      <w:pPr>
        <w:spacing w:line="360" w:lineRule="auto"/>
        <w:rPr>
          <w:rFonts w:ascii="宋体" w:hAnsi="宋体"/>
          <w:color w:val="000000"/>
          <w:sz w:val="24"/>
          <w:u w:val="single"/>
        </w:rPr>
      </w:pPr>
      <w:r>
        <w:rPr>
          <w:rFonts w:hint="eastAsia" w:ascii="宋体" w:hAnsi="宋体"/>
          <w:bCs/>
          <w:color w:val="000000"/>
          <w:sz w:val="24"/>
        </w:rPr>
        <w:t>日期：年月日</w:t>
      </w:r>
    </w:p>
    <w:p>
      <w:pPr>
        <w:spacing w:line="360" w:lineRule="auto"/>
        <w:rPr>
          <w:rFonts w:ascii="宋体" w:hAnsi="宋体"/>
          <w:b/>
          <w:bCs/>
        </w:rPr>
      </w:pPr>
    </w:p>
    <w:p>
      <w:pPr>
        <w:spacing w:line="360" w:lineRule="auto"/>
        <w:rPr>
          <w:rFonts w:ascii="宋体" w:hAnsi="宋体"/>
          <w:b/>
          <w:sz w:val="24"/>
        </w:rPr>
      </w:pPr>
    </w:p>
    <w:p>
      <w:pPr>
        <w:pStyle w:val="2"/>
      </w:pPr>
    </w:p>
    <w:p>
      <w:pPr>
        <w:pStyle w:val="2"/>
      </w:pPr>
    </w:p>
    <w:p>
      <w:pPr>
        <w:pStyle w:val="2"/>
      </w:pPr>
    </w:p>
    <w:p>
      <w:pPr>
        <w:spacing w:line="360" w:lineRule="auto"/>
        <w:rPr>
          <w:rFonts w:ascii="宋体" w:hAnsi="宋体"/>
          <w:b/>
          <w:sz w:val="24"/>
        </w:rPr>
      </w:pPr>
    </w:p>
    <w:p>
      <w:pPr>
        <w:spacing w:line="360" w:lineRule="auto"/>
        <w:rPr>
          <w:rFonts w:hint="eastAsia" w:ascii="宋体" w:hAnsi="宋体" w:eastAsia="宋体"/>
          <w:b/>
          <w:sz w:val="32"/>
          <w:szCs w:val="32"/>
          <w:lang w:val="en-US" w:eastAsia="zh-CN"/>
        </w:rPr>
      </w:pPr>
      <w:r>
        <w:rPr>
          <w:rFonts w:hint="eastAsia" w:ascii="宋体" w:hAnsi="宋体"/>
          <w:b/>
          <w:sz w:val="32"/>
          <w:szCs w:val="32"/>
        </w:rPr>
        <w:t>附件1</w:t>
      </w:r>
      <w:r>
        <w:rPr>
          <w:rFonts w:hint="eastAsia" w:ascii="宋体" w:hAnsi="宋体"/>
          <w:b/>
          <w:sz w:val="32"/>
          <w:szCs w:val="32"/>
          <w:lang w:val="en-US" w:eastAsia="zh-CN"/>
        </w:rPr>
        <w:t>0</w:t>
      </w:r>
      <w:r>
        <w:rPr>
          <w:rFonts w:hint="eastAsia" w:ascii="宋体" w:hAnsi="宋体"/>
          <w:b/>
          <w:sz w:val="32"/>
          <w:szCs w:val="32"/>
        </w:rPr>
        <w:t>：</w:t>
      </w:r>
    </w:p>
    <w:p>
      <w:pPr>
        <w:spacing w:line="360" w:lineRule="auto"/>
        <w:jc w:val="center"/>
        <w:rPr>
          <w:rFonts w:hint="eastAsia"/>
          <w:b/>
          <w:sz w:val="32"/>
          <w:szCs w:val="32"/>
        </w:rPr>
      </w:pPr>
      <w:bookmarkStart w:id="122" w:name="_Toc400536598"/>
      <w:bookmarkStart w:id="123" w:name="_Toc258923315"/>
    </w:p>
    <w:p>
      <w:pPr>
        <w:spacing w:line="360" w:lineRule="auto"/>
        <w:jc w:val="center"/>
        <w:rPr>
          <w:b/>
          <w:sz w:val="32"/>
          <w:szCs w:val="32"/>
        </w:rPr>
      </w:pPr>
      <w:r>
        <w:rPr>
          <w:rFonts w:hint="eastAsia"/>
          <w:b/>
          <w:sz w:val="32"/>
          <w:szCs w:val="32"/>
        </w:rPr>
        <w:t>优惠条件承诺书</w:t>
      </w:r>
      <w:bookmarkEnd w:id="122"/>
      <w:bookmarkEnd w:id="123"/>
    </w:p>
    <w:p>
      <w:pPr>
        <w:spacing w:line="360" w:lineRule="auto"/>
        <w:jc w:val="center"/>
        <w:rPr>
          <w:b/>
          <w:sz w:val="30"/>
          <w:szCs w:val="30"/>
        </w:rPr>
      </w:pPr>
    </w:p>
    <w:p>
      <w:pPr>
        <w:spacing w:line="360" w:lineRule="auto"/>
        <w:rPr>
          <w:rFonts w:hint="eastAsia" w:ascii="宋体" w:hAnsi="宋体" w:eastAsia="宋体"/>
          <w:sz w:val="24"/>
          <w:lang w:eastAsia="zh-CN"/>
        </w:rPr>
      </w:pPr>
      <w:r>
        <w:rPr>
          <w:rFonts w:hint="eastAsia" w:ascii="宋体" w:hAnsi="宋体"/>
          <w:sz w:val="24"/>
        </w:rPr>
        <w:t>致：</w:t>
      </w:r>
      <w:r>
        <w:rPr>
          <w:rFonts w:hint="eastAsia" w:ascii="宋体" w:hAnsi="宋体"/>
          <w:sz w:val="24"/>
          <w:lang w:eastAsia="zh-CN"/>
        </w:rPr>
        <w:t>新疆天之源项目管理集团有限公司</w:t>
      </w:r>
    </w:p>
    <w:p>
      <w:pPr>
        <w:spacing w:line="360" w:lineRule="auto"/>
        <w:ind w:firstLine="480" w:firstLineChars="200"/>
        <w:textAlignment w:val="baseline"/>
        <w:rPr>
          <w:rFonts w:ascii="宋体" w:hAnsi="宋体"/>
          <w:color w:val="000000"/>
          <w:sz w:val="24"/>
        </w:rPr>
      </w:pPr>
      <w:r>
        <w:rPr>
          <w:rFonts w:hint="eastAsia" w:ascii="宋体" w:hAnsi="宋体"/>
          <w:color w:val="000000"/>
          <w:sz w:val="24"/>
        </w:rPr>
        <w:t>经仔细阅读你们的磋商文件，对所投标项目向贵单位特作如下优惠条件承诺：</w:t>
      </w:r>
    </w:p>
    <w:p>
      <w:pPr>
        <w:spacing w:line="360" w:lineRule="auto"/>
        <w:ind w:firstLine="360" w:firstLineChars="150"/>
        <w:textAlignment w:val="baseline"/>
        <w:rPr>
          <w:rFonts w:ascii="宋体" w:hAnsi="宋体"/>
          <w:color w:val="000000"/>
          <w:sz w:val="24"/>
        </w:rPr>
      </w:pPr>
      <w:r>
        <w:rPr>
          <w:rFonts w:hint="eastAsia" w:ascii="宋体" w:hAnsi="宋体"/>
          <w:color w:val="000000"/>
          <w:sz w:val="24"/>
        </w:rPr>
        <w:t>（1）</w:t>
      </w:r>
      <w:r>
        <w:rPr>
          <w:rFonts w:ascii="宋体" w:hAnsi="宋体"/>
          <w:color w:val="000000"/>
          <w:sz w:val="24"/>
        </w:rPr>
        <w:t>．．．．．．</w:t>
      </w:r>
    </w:p>
    <w:p>
      <w:pPr>
        <w:spacing w:line="360" w:lineRule="auto"/>
        <w:ind w:firstLine="360" w:firstLineChars="150"/>
        <w:textAlignment w:val="baseline"/>
        <w:rPr>
          <w:rFonts w:ascii="宋体" w:hAnsi="宋体"/>
          <w:color w:val="000000"/>
          <w:sz w:val="24"/>
        </w:rPr>
      </w:pPr>
      <w:r>
        <w:rPr>
          <w:rFonts w:hint="eastAsia" w:ascii="宋体" w:hAnsi="宋体"/>
          <w:color w:val="000000"/>
          <w:sz w:val="24"/>
        </w:rPr>
        <w:t>（2）．．．．．．</w:t>
      </w:r>
    </w:p>
    <w:p>
      <w:pPr>
        <w:spacing w:line="360" w:lineRule="auto"/>
        <w:ind w:firstLine="360" w:firstLineChars="150"/>
        <w:textAlignment w:val="baseline"/>
        <w:rPr>
          <w:rFonts w:ascii="宋体" w:hAnsi="宋体"/>
          <w:color w:val="000000"/>
          <w:sz w:val="24"/>
        </w:rPr>
      </w:pPr>
      <w:r>
        <w:rPr>
          <w:rFonts w:hint="eastAsia" w:ascii="宋体" w:hAnsi="宋体"/>
          <w:color w:val="000000"/>
          <w:sz w:val="24"/>
        </w:rPr>
        <w:t>（3）．．．．．．</w:t>
      </w:r>
    </w:p>
    <w:p>
      <w:pPr>
        <w:spacing w:line="360" w:lineRule="auto"/>
        <w:ind w:firstLine="480" w:firstLineChars="200"/>
        <w:textAlignment w:val="baseline"/>
        <w:rPr>
          <w:rFonts w:ascii="宋体" w:hAnsi="宋体"/>
          <w:color w:val="000000"/>
          <w:sz w:val="24"/>
        </w:rPr>
      </w:pPr>
      <w:r>
        <w:rPr>
          <w:rFonts w:hint="eastAsia" w:ascii="宋体" w:hAnsi="宋体"/>
          <w:color w:val="000000"/>
          <w:sz w:val="24"/>
        </w:rPr>
        <w:t>．．．．．．</w:t>
      </w:r>
    </w:p>
    <w:p>
      <w:pPr>
        <w:spacing w:line="360" w:lineRule="auto"/>
        <w:textAlignment w:val="baseline"/>
        <w:rPr>
          <w:rFonts w:ascii="宋体" w:hAnsi="宋体"/>
          <w:color w:val="000000"/>
          <w:sz w:val="24"/>
        </w:rPr>
      </w:pPr>
      <w:r>
        <w:rPr>
          <w:rFonts w:hint="eastAsia" w:ascii="宋体" w:hAnsi="宋体"/>
          <w:color w:val="000000"/>
          <w:sz w:val="24"/>
        </w:rPr>
        <w:t>特此承诺！</w:t>
      </w:r>
    </w:p>
    <w:p>
      <w:pPr>
        <w:spacing w:line="360" w:lineRule="auto"/>
        <w:textAlignment w:val="baseline"/>
        <w:rPr>
          <w:rFonts w:ascii="宋体" w:hAnsi="宋体"/>
          <w:color w:val="000000"/>
          <w:sz w:val="24"/>
        </w:rPr>
      </w:pPr>
    </w:p>
    <w:p>
      <w:pPr>
        <w:spacing w:line="360" w:lineRule="auto"/>
        <w:rPr>
          <w:rFonts w:ascii="宋体" w:hAnsi="宋体"/>
          <w:color w:val="000000"/>
          <w:sz w:val="24"/>
        </w:rPr>
      </w:pPr>
    </w:p>
    <w:p>
      <w:pPr>
        <w:spacing w:line="360" w:lineRule="auto"/>
        <w:rPr>
          <w:rFonts w:ascii="宋体" w:hAnsi="宋体"/>
          <w:color w:val="000000"/>
          <w:sz w:val="24"/>
        </w:rPr>
      </w:pPr>
    </w:p>
    <w:p>
      <w:pPr>
        <w:spacing w:line="360" w:lineRule="auto"/>
        <w:rPr>
          <w:rFonts w:ascii="宋体" w:hAnsi="宋体"/>
          <w:color w:val="000000"/>
          <w:sz w:val="24"/>
        </w:rPr>
      </w:pPr>
    </w:p>
    <w:p>
      <w:pPr>
        <w:spacing w:line="360" w:lineRule="auto"/>
        <w:rPr>
          <w:rFonts w:ascii="宋体" w:hAnsi="宋体"/>
          <w:color w:val="000000"/>
          <w:sz w:val="24"/>
        </w:rPr>
      </w:pPr>
    </w:p>
    <w:p>
      <w:pPr>
        <w:spacing w:line="360" w:lineRule="auto"/>
        <w:rPr>
          <w:rFonts w:ascii="宋体" w:hAnsi="宋体"/>
          <w:color w:val="000000"/>
          <w:sz w:val="24"/>
        </w:rPr>
      </w:pPr>
    </w:p>
    <w:p>
      <w:pPr>
        <w:spacing w:line="360" w:lineRule="auto"/>
        <w:rPr>
          <w:rFonts w:ascii="宋体" w:hAnsi="宋体"/>
          <w:color w:val="000000"/>
          <w:sz w:val="24"/>
          <w:u w:val="single"/>
        </w:rPr>
      </w:pPr>
      <w:r>
        <w:rPr>
          <w:rFonts w:hint="eastAsia" w:ascii="宋体" w:hAnsi="宋体"/>
          <w:color w:val="000000"/>
          <w:sz w:val="24"/>
        </w:rPr>
        <w:t>磋商供应商名称（公章）：</w:t>
      </w:r>
    </w:p>
    <w:p>
      <w:pPr>
        <w:spacing w:line="360" w:lineRule="auto"/>
        <w:rPr>
          <w:rFonts w:ascii="宋体" w:hAnsi="宋体"/>
          <w:color w:val="000000"/>
          <w:sz w:val="24"/>
        </w:rPr>
      </w:pPr>
      <w:r>
        <w:rPr>
          <w:rFonts w:hint="eastAsia" w:ascii="宋体" w:hAnsi="宋体"/>
          <w:bCs/>
          <w:color w:val="000000"/>
          <w:sz w:val="24"/>
        </w:rPr>
        <w:t>法定代表人或授权代表人（签字）：</w:t>
      </w:r>
    </w:p>
    <w:p>
      <w:pPr>
        <w:spacing w:line="360" w:lineRule="auto"/>
        <w:rPr>
          <w:rFonts w:ascii="宋体" w:hAnsi="宋体"/>
          <w:color w:val="000000"/>
          <w:sz w:val="24"/>
        </w:rPr>
      </w:pPr>
      <w:r>
        <w:rPr>
          <w:rFonts w:hint="eastAsia" w:ascii="宋体" w:hAnsi="宋体"/>
          <w:color w:val="000000"/>
          <w:sz w:val="24"/>
        </w:rPr>
        <w:t>职务：</w:t>
      </w:r>
    </w:p>
    <w:p>
      <w:pPr>
        <w:spacing w:line="360" w:lineRule="auto"/>
        <w:rPr>
          <w:rFonts w:ascii="宋体" w:hAnsi="宋体"/>
          <w:color w:val="000000"/>
          <w:sz w:val="24"/>
        </w:rPr>
      </w:pPr>
      <w:r>
        <w:rPr>
          <w:rFonts w:hint="eastAsia" w:ascii="宋体" w:hAnsi="宋体"/>
          <w:color w:val="000000"/>
          <w:sz w:val="24"/>
        </w:rPr>
        <w:t>地址：</w:t>
      </w:r>
    </w:p>
    <w:p>
      <w:pPr>
        <w:spacing w:line="360" w:lineRule="auto"/>
        <w:rPr>
          <w:rFonts w:ascii="宋体" w:hAnsi="宋体"/>
          <w:color w:val="000000"/>
          <w:sz w:val="24"/>
        </w:rPr>
      </w:pPr>
      <w:r>
        <w:rPr>
          <w:rFonts w:hint="eastAsia" w:ascii="宋体" w:hAnsi="宋体"/>
          <w:color w:val="000000"/>
          <w:sz w:val="24"/>
        </w:rPr>
        <w:t>电话：</w:t>
      </w:r>
    </w:p>
    <w:p>
      <w:pPr>
        <w:spacing w:line="360" w:lineRule="auto"/>
        <w:rPr>
          <w:rFonts w:ascii="宋体" w:hAnsi="宋体"/>
          <w:color w:val="000000"/>
          <w:sz w:val="24"/>
          <w:u w:val="single"/>
        </w:rPr>
      </w:pPr>
      <w:r>
        <w:rPr>
          <w:rFonts w:hint="eastAsia" w:ascii="宋体" w:hAnsi="宋体"/>
          <w:color w:val="000000"/>
          <w:sz w:val="24"/>
        </w:rPr>
        <w:t>传真：</w:t>
      </w:r>
    </w:p>
    <w:p>
      <w:pPr>
        <w:spacing w:line="360" w:lineRule="auto"/>
        <w:ind w:right="480"/>
        <w:rPr>
          <w:rFonts w:ascii="宋体" w:hAnsi="宋体"/>
          <w:color w:val="000000"/>
          <w:sz w:val="24"/>
        </w:rPr>
      </w:pPr>
      <w:r>
        <w:rPr>
          <w:rFonts w:hint="eastAsia" w:ascii="宋体" w:hAnsi="宋体"/>
          <w:color w:val="000000"/>
          <w:sz w:val="24"/>
        </w:rPr>
        <w:t>日期：年月日</w:t>
      </w:r>
    </w:p>
    <w:p>
      <w:pPr>
        <w:spacing w:line="360" w:lineRule="auto"/>
        <w:rPr>
          <w:rFonts w:ascii="宋体" w:hAnsi="宋体"/>
          <w:b/>
          <w:sz w:val="24"/>
        </w:rPr>
      </w:pPr>
    </w:p>
    <w:p>
      <w:pPr>
        <w:spacing w:line="360" w:lineRule="auto"/>
        <w:ind w:firstLine="2424" w:firstLineChars="1150"/>
        <w:rPr>
          <w:rFonts w:ascii="宋体" w:hAnsi="宋体"/>
          <w:sz w:val="28"/>
          <w:szCs w:val="28"/>
        </w:rPr>
      </w:pPr>
      <w:r>
        <w:rPr>
          <w:rFonts w:ascii="宋体" w:hAnsi="宋体"/>
          <w:b/>
        </w:rPr>
        <w:br w:type="page"/>
      </w:r>
    </w:p>
    <w:p>
      <w:pPr>
        <w:spacing w:line="360" w:lineRule="auto"/>
        <w:rPr>
          <w:rFonts w:ascii="宋体" w:hAnsi="宋体"/>
          <w:b/>
          <w:sz w:val="32"/>
          <w:szCs w:val="32"/>
        </w:rPr>
      </w:pPr>
    </w:p>
    <w:p>
      <w:pPr>
        <w:spacing w:line="360" w:lineRule="auto"/>
        <w:rPr>
          <w:rFonts w:ascii="宋体" w:hAnsi="宋体"/>
          <w:b/>
          <w:bCs/>
          <w:sz w:val="32"/>
          <w:szCs w:val="32"/>
        </w:rPr>
      </w:pPr>
      <w:r>
        <w:rPr>
          <w:rFonts w:hint="eastAsia" w:ascii="宋体" w:hAnsi="宋体"/>
          <w:b/>
          <w:sz w:val="32"/>
          <w:szCs w:val="32"/>
        </w:rPr>
        <w:t>附件1</w:t>
      </w:r>
      <w:r>
        <w:rPr>
          <w:rFonts w:hint="eastAsia" w:ascii="宋体" w:hAnsi="宋体"/>
          <w:b/>
          <w:sz w:val="32"/>
          <w:szCs w:val="32"/>
          <w:lang w:val="en-US" w:eastAsia="zh-CN"/>
        </w:rPr>
        <w:t>1</w:t>
      </w:r>
      <w:r>
        <w:rPr>
          <w:rFonts w:hint="eastAsia" w:ascii="宋体" w:hAnsi="宋体"/>
          <w:b/>
          <w:sz w:val="32"/>
          <w:szCs w:val="32"/>
        </w:rPr>
        <w:t>：</w:t>
      </w:r>
    </w:p>
    <w:p>
      <w:pPr>
        <w:spacing w:line="360" w:lineRule="auto"/>
        <w:jc w:val="center"/>
        <w:rPr>
          <w:rFonts w:ascii="宋体" w:hAnsi="宋体"/>
          <w:b/>
          <w:bCs/>
          <w:sz w:val="32"/>
          <w:szCs w:val="32"/>
        </w:rPr>
      </w:pPr>
      <w:r>
        <w:rPr>
          <w:rFonts w:hint="eastAsia" w:ascii="宋体" w:hAnsi="宋体"/>
          <w:b/>
          <w:bCs/>
          <w:sz w:val="32"/>
          <w:szCs w:val="32"/>
        </w:rPr>
        <w:t>无重大违法记录声明</w:t>
      </w:r>
    </w:p>
    <w:p>
      <w:pPr>
        <w:spacing w:line="360" w:lineRule="auto"/>
        <w:jc w:val="center"/>
        <w:rPr>
          <w:rFonts w:ascii="宋体" w:hAnsi="宋体"/>
          <w:b/>
          <w:bCs/>
          <w:sz w:val="30"/>
          <w:szCs w:val="30"/>
        </w:rPr>
      </w:pPr>
    </w:p>
    <w:p>
      <w:pPr>
        <w:spacing w:line="360" w:lineRule="auto"/>
        <w:rPr>
          <w:rFonts w:hint="eastAsia" w:ascii="宋体" w:hAnsi="宋体" w:eastAsia="宋体"/>
          <w:sz w:val="24"/>
          <w:lang w:eastAsia="zh-CN"/>
        </w:rPr>
      </w:pPr>
      <w:r>
        <w:rPr>
          <w:rFonts w:hint="eastAsia" w:ascii="宋体" w:hAnsi="宋体"/>
          <w:sz w:val="24"/>
        </w:rPr>
        <w:t>致：</w:t>
      </w:r>
      <w:r>
        <w:rPr>
          <w:rFonts w:hint="eastAsia" w:ascii="宋体" w:hAnsi="宋体"/>
          <w:sz w:val="24"/>
          <w:lang w:eastAsia="zh-CN"/>
        </w:rPr>
        <w:t>新疆天之源项目管理集团有限公司</w:t>
      </w:r>
    </w:p>
    <w:p>
      <w:pPr>
        <w:spacing w:line="360" w:lineRule="auto"/>
        <w:ind w:firstLine="480"/>
        <w:rPr>
          <w:rFonts w:ascii="宋体" w:hAnsi="宋体"/>
          <w:bCs/>
          <w:sz w:val="24"/>
        </w:rPr>
      </w:pPr>
      <w:r>
        <w:rPr>
          <w:rFonts w:hint="eastAsia" w:ascii="宋体" w:hAnsi="宋体"/>
          <w:bCs/>
          <w:sz w:val="24"/>
        </w:rPr>
        <w:t>我单位参加政府采购活动前三年内，在经营活动中没有重大违法记录。</w:t>
      </w:r>
    </w:p>
    <w:p>
      <w:pPr>
        <w:spacing w:line="360" w:lineRule="auto"/>
        <w:ind w:firstLine="480"/>
        <w:rPr>
          <w:rFonts w:ascii="宋体" w:hAnsi="宋体"/>
          <w:bCs/>
          <w:sz w:val="24"/>
        </w:rPr>
      </w:pPr>
      <w:r>
        <w:rPr>
          <w:rFonts w:hint="eastAsia" w:ascii="宋体" w:hAnsi="宋体"/>
          <w:bCs/>
          <w:sz w:val="24"/>
        </w:rPr>
        <w:t>若采购单位在本项目采购过程中发现我单位近三年内在经营活动中有重大违法记录，我单位将无条件地退出本项目的招标，并承担因此引起的一切后果。</w:t>
      </w:r>
    </w:p>
    <w:p>
      <w:pPr>
        <w:spacing w:line="360" w:lineRule="auto"/>
        <w:ind w:firstLine="480"/>
        <w:rPr>
          <w:rFonts w:ascii="宋体" w:hAnsi="宋体"/>
          <w:bCs/>
          <w:sz w:val="24"/>
        </w:rPr>
      </w:pPr>
    </w:p>
    <w:p>
      <w:pPr>
        <w:spacing w:line="360" w:lineRule="auto"/>
        <w:ind w:firstLine="480"/>
        <w:rPr>
          <w:rFonts w:ascii="宋体" w:hAnsi="宋体"/>
          <w:bCs/>
          <w:sz w:val="24"/>
        </w:rPr>
      </w:pPr>
    </w:p>
    <w:p>
      <w:pPr>
        <w:spacing w:line="360" w:lineRule="auto"/>
        <w:ind w:firstLine="480"/>
        <w:rPr>
          <w:rFonts w:ascii="宋体" w:hAnsi="宋体"/>
          <w:bCs/>
          <w:sz w:val="24"/>
        </w:rPr>
      </w:pPr>
      <w:r>
        <w:rPr>
          <w:rFonts w:hint="eastAsia" w:ascii="宋体" w:hAnsi="宋体"/>
          <w:bCs/>
          <w:sz w:val="24"/>
        </w:rPr>
        <w:t>特此声明!</w:t>
      </w:r>
    </w:p>
    <w:p>
      <w:pPr>
        <w:spacing w:line="360" w:lineRule="auto"/>
        <w:ind w:firstLine="480"/>
        <w:rPr>
          <w:rFonts w:ascii="宋体" w:hAnsi="宋体"/>
          <w:bCs/>
          <w:sz w:val="24"/>
        </w:rPr>
      </w:pPr>
    </w:p>
    <w:p>
      <w:pPr>
        <w:spacing w:line="360" w:lineRule="auto"/>
        <w:rPr>
          <w:rFonts w:ascii="宋体" w:hAnsi="宋体"/>
          <w:bCs/>
          <w:sz w:val="36"/>
          <w:szCs w:val="36"/>
        </w:rPr>
      </w:pPr>
    </w:p>
    <w:p>
      <w:pPr>
        <w:spacing w:line="360" w:lineRule="auto"/>
        <w:rPr>
          <w:rFonts w:ascii="宋体" w:hAnsi="宋体"/>
          <w:bCs/>
          <w:sz w:val="36"/>
          <w:szCs w:val="36"/>
        </w:rPr>
      </w:pPr>
    </w:p>
    <w:p>
      <w:pPr>
        <w:spacing w:line="360" w:lineRule="auto"/>
        <w:rPr>
          <w:rFonts w:ascii="宋体" w:hAnsi="宋体"/>
          <w:bCs/>
          <w:sz w:val="36"/>
          <w:szCs w:val="36"/>
        </w:rPr>
      </w:pPr>
    </w:p>
    <w:p>
      <w:pPr>
        <w:spacing w:line="360" w:lineRule="auto"/>
        <w:rPr>
          <w:rFonts w:ascii="宋体" w:hAnsi="宋体"/>
          <w:color w:val="000000"/>
          <w:sz w:val="24"/>
          <w:u w:val="single"/>
        </w:rPr>
      </w:pPr>
      <w:r>
        <w:rPr>
          <w:rFonts w:hint="eastAsia" w:ascii="宋体" w:hAnsi="宋体"/>
          <w:color w:val="000000"/>
          <w:sz w:val="24"/>
        </w:rPr>
        <w:t>磋商供应商名称（公章）：</w:t>
      </w:r>
    </w:p>
    <w:p>
      <w:pPr>
        <w:spacing w:line="360" w:lineRule="auto"/>
        <w:rPr>
          <w:rFonts w:ascii="宋体" w:hAnsi="宋体"/>
          <w:color w:val="000000"/>
          <w:sz w:val="24"/>
          <w:u w:val="single"/>
        </w:rPr>
      </w:pPr>
      <w:r>
        <w:rPr>
          <w:rFonts w:hint="eastAsia" w:ascii="宋体" w:hAnsi="宋体"/>
          <w:color w:val="000000"/>
          <w:sz w:val="24"/>
        </w:rPr>
        <w:t>法定代表人或授权代表人（签字）：</w:t>
      </w:r>
    </w:p>
    <w:p>
      <w:pPr>
        <w:spacing w:line="360" w:lineRule="auto"/>
        <w:rPr>
          <w:rFonts w:ascii="宋体" w:hAnsi="宋体"/>
          <w:color w:val="000000"/>
          <w:sz w:val="24"/>
          <w:u w:val="single"/>
        </w:rPr>
      </w:pPr>
      <w:r>
        <w:rPr>
          <w:rFonts w:hint="eastAsia" w:ascii="宋体" w:hAnsi="宋体"/>
          <w:bCs/>
          <w:color w:val="000000"/>
          <w:sz w:val="24"/>
        </w:rPr>
        <w:t>日期：年月日</w:t>
      </w:r>
    </w:p>
    <w:p>
      <w:pPr>
        <w:spacing w:line="360" w:lineRule="auto"/>
        <w:jc w:val="center"/>
        <w:rPr>
          <w:rFonts w:ascii="宋体" w:hAnsi="宋体"/>
          <w:b/>
          <w:sz w:val="28"/>
          <w:szCs w:val="28"/>
        </w:rPr>
      </w:pPr>
    </w:p>
    <w:p>
      <w:pPr>
        <w:spacing w:line="360" w:lineRule="auto"/>
        <w:rPr>
          <w:rFonts w:ascii="宋体" w:hAnsi="宋体"/>
          <w:b/>
          <w:sz w:val="28"/>
          <w:szCs w:val="28"/>
        </w:rPr>
      </w:pPr>
    </w:p>
    <w:p>
      <w:pPr>
        <w:spacing w:line="360" w:lineRule="auto"/>
        <w:jc w:val="center"/>
        <w:rPr>
          <w:rFonts w:ascii="宋体" w:hAnsi="宋体"/>
          <w:b/>
          <w:sz w:val="28"/>
          <w:szCs w:val="28"/>
        </w:rPr>
      </w:pPr>
    </w:p>
    <w:p>
      <w:pPr>
        <w:spacing w:line="360" w:lineRule="auto"/>
        <w:jc w:val="center"/>
        <w:rPr>
          <w:rFonts w:ascii="宋体" w:hAnsi="宋体"/>
          <w:b/>
          <w:sz w:val="28"/>
          <w:szCs w:val="28"/>
        </w:rPr>
      </w:pPr>
    </w:p>
    <w:p>
      <w:pPr>
        <w:spacing w:line="360" w:lineRule="auto"/>
        <w:jc w:val="center"/>
        <w:rPr>
          <w:rFonts w:ascii="宋体" w:hAnsi="宋体"/>
          <w:b/>
          <w:sz w:val="28"/>
          <w:szCs w:val="28"/>
        </w:rPr>
      </w:pPr>
    </w:p>
    <w:p>
      <w:pPr>
        <w:spacing w:line="360" w:lineRule="auto"/>
        <w:jc w:val="center"/>
        <w:rPr>
          <w:rFonts w:ascii="宋体" w:hAnsi="宋体"/>
          <w:b/>
          <w:sz w:val="28"/>
          <w:szCs w:val="28"/>
        </w:rPr>
      </w:pPr>
    </w:p>
    <w:p>
      <w:pPr>
        <w:spacing w:line="360" w:lineRule="auto"/>
        <w:rPr>
          <w:rFonts w:ascii="宋体" w:hAnsi="宋体"/>
          <w:b/>
          <w:sz w:val="28"/>
          <w:szCs w:val="28"/>
        </w:rPr>
      </w:pPr>
    </w:p>
    <w:p>
      <w:pPr>
        <w:spacing w:line="360" w:lineRule="auto"/>
        <w:rPr>
          <w:rFonts w:ascii="宋体" w:hAnsi="宋体"/>
          <w:b/>
          <w:sz w:val="32"/>
          <w:szCs w:val="32"/>
        </w:rPr>
      </w:pPr>
    </w:p>
    <w:p>
      <w:pPr>
        <w:spacing w:line="360" w:lineRule="auto"/>
        <w:rPr>
          <w:rFonts w:ascii="宋体" w:hAnsi="宋体"/>
          <w:b/>
          <w:bCs/>
          <w:sz w:val="32"/>
          <w:szCs w:val="32"/>
        </w:rPr>
      </w:pPr>
      <w:r>
        <w:rPr>
          <w:rFonts w:hint="eastAsia" w:ascii="宋体" w:hAnsi="宋体"/>
          <w:b/>
          <w:sz w:val="32"/>
          <w:szCs w:val="32"/>
        </w:rPr>
        <w:t>附件1</w:t>
      </w:r>
      <w:r>
        <w:rPr>
          <w:rFonts w:hint="eastAsia" w:ascii="宋体" w:hAnsi="宋体"/>
          <w:b/>
          <w:sz w:val="32"/>
          <w:szCs w:val="32"/>
          <w:lang w:val="en-US" w:eastAsia="zh-CN"/>
        </w:rPr>
        <w:t>2</w:t>
      </w:r>
      <w:r>
        <w:rPr>
          <w:rFonts w:hint="eastAsia" w:ascii="宋体" w:hAnsi="宋体"/>
          <w:b/>
          <w:sz w:val="32"/>
          <w:szCs w:val="32"/>
        </w:rPr>
        <w:t>：</w:t>
      </w:r>
    </w:p>
    <w:p>
      <w:pPr>
        <w:spacing w:line="360" w:lineRule="auto"/>
        <w:jc w:val="center"/>
        <w:rPr>
          <w:rFonts w:ascii="宋体" w:hAnsi="宋体"/>
          <w:b/>
          <w:bCs/>
          <w:sz w:val="32"/>
          <w:szCs w:val="32"/>
        </w:rPr>
      </w:pPr>
      <w:r>
        <w:rPr>
          <w:rFonts w:hint="eastAsia" w:ascii="宋体" w:hAnsi="宋体"/>
          <w:b/>
          <w:bCs/>
          <w:sz w:val="32"/>
          <w:szCs w:val="32"/>
        </w:rPr>
        <w:t>中小企业声明函（工程、服务）</w:t>
      </w:r>
    </w:p>
    <w:p>
      <w:pPr>
        <w:spacing w:line="360" w:lineRule="auto"/>
        <w:jc w:val="center"/>
        <w:rPr>
          <w:rFonts w:ascii="宋体" w:hAnsi="宋体"/>
          <w:b/>
          <w:bCs/>
          <w:sz w:val="30"/>
          <w:szCs w:val="30"/>
        </w:rPr>
      </w:pPr>
      <w:r>
        <w:rPr>
          <w:rFonts w:hint="eastAsia" w:ascii="宋体" w:hAnsi="宋体"/>
          <w:b/>
          <w:bCs/>
          <w:sz w:val="30"/>
          <w:szCs w:val="30"/>
        </w:rPr>
        <w:t>（如有）</w:t>
      </w:r>
    </w:p>
    <w:p>
      <w:pPr>
        <w:widowControl/>
        <w:spacing w:line="360" w:lineRule="auto"/>
        <w:ind w:firstLine="480" w:firstLineChars="200"/>
        <w:jc w:val="left"/>
        <w:rPr>
          <w:rFonts w:ascii="宋体" w:hAnsi="宋体" w:cs="宋体"/>
          <w:sz w:val="24"/>
          <w:szCs w:val="24"/>
        </w:rPr>
      </w:pPr>
      <w:r>
        <w:rPr>
          <w:rFonts w:hint="eastAsia" w:ascii="宋体" w:hAnsi="宋体" w:cs="宋体"/>
          <w:color w:val="000000"/>
          <w:kern w:val="0"/>
          <w:sz w:val="24"/>
          <w:szCs w:val="24"/>
        </w:rPr>
        <w:t>本公司（联合体）郑重声明，根据《政府采购促进中小企业发展管理办法》（财库﹝2020﹞46 号）的规定，本公司（联合体）参加</w:t>
      </w:r>
      <w:r>
        <w:rPr>
          <w:rFonts w:hint="eastAsia" w:ascii="宋体" w:hAnsi="宋体" w:cs="宋体"/>
          <w:color w:val="000000"/>
          <w:kern w:val="0"/>
          <w:sz w:val="24"/>
          <w:szCs w:val="24"/>
          <w:u w:val="single"/>
        </w:rPr>
        <w:t>（单位名称）</w:t>
      </w:r>
      <w:r>
        <w:rPr>
          <w:rFonts w:hint="eastAsia" w:ascii="宋体" w:hAnsi="宋体" w:cs="宋体"/>
          <w:color w:val="000000"/>
          <w:kern w:val="0"/>
          <w:sz w:val="24"/>
          <w:szCs w:val="24"/>
        </w:rPr>
        <w:t>的</w:t>
      </w:r>
      <w:r>
        <w:rPr>
          <w:rFonts w:hint="eastAsia" w:ascii="宋体" w:hAnsi="宋体" w:cs="宋体"/>
          <w:color w:val="000000"/>
          <w:kern w:val="0"/>
          <w:sz w:val="24"/>
          <w:szCs w:val="24"/>
          <w:u w:val="single"/>
        </w:rPr>
        <w:t>（项目名称）</w:t>
      </w:r>
      <w:r>
        <w:rPr>
          <w:rFonts w:hint="eastAsia" w:ascii="宋体" w:hAnsi="宋体" w:cs="宋体"/>
          <w:color w:val="000000"/>
          <w:kern w:val="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widowControl/>
        <w:spacing w:line="360" w:lineRule="auto"/>
        <w:ind w:firstLine="480" w:firstLineChars="200"/>
        <w:jc w:val="left"/>
        <w:rPr>
          <w:rFonts w:ascii="宋体" w:hAnsi="宋体" w:cs="宋体"/>
          <w:sz w:val="24"/>
          <w:szCs w:val="24"/>
        </w:rPr>
      </w:pPr>
      <w:r>
        <w:rPr>
          <w:rFonts w:hint="eastAsia" w:ascii="宋体" w:hAnsi="宋体" w:cs="宋体"/>
          <w:color w:val="000000"/>
          <w:kern w:val="0"/>
          <w:sz w:val="24"/>
          <w:szCs w:val="24"/>
        </w:rPr>
        <w:t xml:space="preserve">1. </w:t>
      </w:r>
      <w:r>
        <w:rPr>
          <w:rFonts w:hint="eastAsia" w:ascii="宋体" w:hAnsi="宋体" w:cs="宋体"/>
          <w:color w:val="000000"/>
          <w:kern w:val="0"/>
          <w:sz w:val="24"/>
          <w:szCs w:val="24"/>
          <w:u w:val="single"/>
        </w:rPr>
        <w:t>（标的名称）</w:t>
      </w:r>
      <w:r>
        <w:rPr>
          <w:rFonts w:hint="eastAsia" w:ascii="宋体" w:hAnsi="宋体" w:cs="宋体"/>
          <w:color w:val="000000"/>
          <w:kern w:val="0"/>
          <w:sz w:val="24"/>
          <w:szCs w:val="24"/>
        </w:rPr>
        <w:t>，属于</w:t>
      </w:r>
      <w:r>
        <w:rPr>
          <w:rFonts w:hint="eastAsia" w:ascii="宋体" w:hAnsi="宋体" w:cs="宋体"/>
          <w:color w:val="000000"/>
          <w:kern w:val="0"/>
          <w:sz w:val="24"/>
          <w:szCs w:val="24"/>
          <w:u w:val="single"/>
        </w:rPr>
        <w:t>（采购文件中明确的所属行业）</w:t>
      </w:r>
      <w:r>
        <w:rPr>
          <w:rFonts w:hint="eastAsia" w:ascii="宋体" w:hAnsi="宋体" w:cs="宋体"/>
          <w:color w:val="000000"/>
          <w:kern w:val="0"/>
          <w:sz w:val="24"/>
          <w:szCs w:val="24"/>
        </w:rPr>
        <w:t>；承建（承接）企业为</w:t>
      </w:r>
      <w:r>
        <w:rPr>
          <w:rFonts w:hint="eastAsia" w:ascii="宋体" w:hAnsi="宋体" w:cs="宋体"/>
          <w:color w:val="000000"/>
          <w:kern w:val="0"/>
          <w:sz w:val="24"/>
          <w:szCs w:val="24"/>
          <w:u w:val="single"/>
        </w:rPr>
        <w:t>（企业名称）</w:t>
      </w:r>
      <w:r>
        <w:rPr>
          <w:rFonts w:hint="eastAsia" w:ascii="宋体" w:hAnsi="宋体" w:cs="宋体"/>
          <w:color w:val="000000"/>
          <w:kern w:val="0"/>
          <w:sz w:val="24"/>
          <w:szCs w:val="24"/>
        </w:rPr>
        <w:t>，从业人员人，营业收入为万元，资产总额为万元，属于</w:t>
      </w:r>
      <w:r>
        <w:rPr>
          <w:rFonts w:hint="eastAsia" w:ascii="宋体" w:hAnsi="宋体" w:cs="宋体"/>
          <w:color w:val="000000"/>
          <w:kern w:val="0"/>
          <w:sz w:val="24"/>
          <w:szCs w:val="24"/>
          <w:u w:val="single"/>
        </w:rPr>
        <w:t>（中型企业、小型企业、微型企业）</w:t>
      </w:r>
      <w:r>
        <w:rPr>
          <w:rFonts w:hint="eastAsia" w:ascii="宋体" w:hAnsi="宋体" w:cs="宋体"/>
          <w:color w:val="000000"/>
          <w:kern w:val="0"/>
          <w:sz w:val="24"/>
          <w:szCs w:val="24"/>
        </w:rPr>
        <w:t>；</w:t>
      </w:r>
    </w:p>
    <w:p>
      <w:pPr>
        <w:widowControl/>
        <w:spacing w:line="360" w:lineRule="auto"/>
        <w:ind w:firstLine="480" w:firstLineChars="200"/>
        <w:jc w:val="left"/>
        <w:rPr>
          <w:rFonts w:ascii="宋体" w:hAnsi="宋体" w:cs="宋体"/>
          <w:sz w:val="24"/>
          <w:szCs w:val="24"/>
        </w:rPr>
      </w:pPr>
      <w:r>
        <w:rPr>
          <w:rFonts w:hint="eastAsia" w:ascii="宋体" w:hAnsi="宋体" w:cs="宋体"/>
          <w:color w:val="000000"/>
          <w:kern w:val="0"/>
          <w:sz w:val="24"/>
          <w:szCs w:val="24"/>
        </w:rPr>
        <w:t>2.</w:t>
      </w:r>
      <w:r>
        <w:rPr>
          <w:rFonts w:hint="eastAsia" w:ascii="宋体" w:hAnsi="宋体" w:cs="宋体"/>
          <w:color w:val="000000"/>
          <w:kern w:val="0"/>
          <w:sz w:val="24"/>
          <w:szCs w:val="24"/>
          <w:u w:val="single"/>
        </w:rPr>
        <w:t>（标的名称）</w:t>
      </w:r>
      <w:r>
        <w:rPr>
          <w:rFonts w:hint="eastAsia" w:ascii="宋体" w:hAnsi="宋体" w:cs="宋体"/>
          <w:color w:val="000000"/>
          <w:kern w:val="0"/>
          <w:sz w:val="24"/>
          <w:szCs w:val="24"/>
        </w:rPr>
        <w:t>，属于</w:t>
      </w:r>
      <w:r>
        <w:rPr>
          <w:rFonts w:hint="eastAsia" w:ascii="宋体" w:hAnsi="宋体" w:cs="宋体"/>
          <w:color w:val="000000"/>
          <w:kern w:val="0"/>
          <w:sz w:val="24"/>
          <w:szCs w:val="24"/>
          <w:u w:val="single"/>
        </w:rPr>
        <w:t>（采购文件中明确的所属行业）</w:t>
      </w:r>
      <w:r>
        <w:rPr>
          <w:rFonts w:hint="eastAsia" w:ascii="宋体" w:hAnsi="宋体" w:cs="宋体"/>
          <w:color w:val="000000"/>
          <w:kern w:val="0"/>
          <w:sz w:val="24"/>
          <w:szCs w:val="24"/>
        </w:rPr>
        <w:t>；承建（承接）企业为</w:t>
      </w:r>
      <w:r>
        <w:rPr>
          <w:rFonts w:hint="eastAsia" w:ascii="宋体" w:hAnsi="宋体" w:cs="宋体"/>
          <w:color w:val="000000"/>
          <w:kern w:val="0"/>
          <w:sz w:val="24"/>
          <w:szCs w:val="24"/>
          <w:u w:val="single"/>
        </w:rPr>
        <w:t>（企业名称）</w:t>
      </w:r>
      <w:r>
        <w:rPr>
          <w:rFonts w:hint="eastAsia" w:ascii="宋体" w:hAnsi="宋体" w:cs="宋体"/>
          <w:color w:val="000000"/>
          <w:kern w:val="0"/>
          <w:sz w:val="24"/>
          <w:szCs w:val="24"/>
        </w:rPr>
        <w:t>，从业人员人，营业收入为万元，资产总额为万元，属于</w:t>
      </w:r>
      <w:r>
        <w:rPr>
          <w:rFonts w:hint="eastAsia" w:ascii="宋体" w:hAnsi="宋体" w:cs="宋体"/>
          <w:color w:val="000000"/>
          <w:kern w:val="0"/>
          <w:sz w:val="24"/>
          <w:szCs w:val="24"/>
          <w:u w:val="single"/>
        </w:rPr>
        <w:t>（中型企业、小型企业、微型企业）</w:t>
      </w:r>
      <w:r>
        <w:rPr>
          <w:rFonts w:hint="eastAsia" w:ascii="宋体" w:hAnsi="宋体" w:cs="宋体"/>
          <w:color w:val="000000"/>
          <w:kern w:val="0"/>
          <w:sz w:val="24"/>
          <w:szCs w:val="24"/>
        </w:rPr>
        <w:t>；</w:t>
      </w:r>
    </w:p>
    <w:p>
      <w:pPr>
        <w:widowControl/>
        <w:spacing w:line="360" w:lineRule="auto"/>
        <w:ind w:firstLine="480" w:firstLineChars="200"/>
        <w:jc w:val="left"/>
        <w:rPr>
          <w:rFonts w:ascii="宋体" w:hAnsi="宋体" w:cs="宋体"/>
          <w:sz w:val="24"/>
          <w:szCs w:val="24"/>
        </w:rPr>
      </w:pPr>
      <w:r>
        <w:rPr>
          <w:rFonts w:hint="eastAsia" w:ascii="宋体" w:hAnsi="宋体" w:cs="宋体"/>
          <w:color w:val="000000"/>
          <w:kern w:val="0"/>
          <w:sz w:val="24"/>
          <w:szCs w:val="24"/>
        </w:rPr>
        <w:t>……</w:t>
      </w:r>
    </w:p>
    <w:p>
      <w:pPr>
        <w:widowControl/>
        <w:spacing w:line="360" w:lineRule="auto"/>
        <w:ind w:firstLine="480" w:firstLineChars="200"/>
        <w:jc w:val="left"/>
        <w:rPr>
          <w:rFonts w:ascii="宋体" w:hAnsi="宋体" w:cs="宋体"/>
          <w:sz w:val="24"/>
          <w:szCs w:val="24"/>
        </w:rPr>
      </w:pPr>
      <w:r>
        <w:rPr>
          <w:rFonts w:hint="eastAsia" w:ascii="宋体" w:hAnsi="宋体" w:cs="宋体"/>
          <w:color w:val="000000"/>
          <w:kern w:val="0"/>
          <w:sz w:val="24"/>
          <w:szCs w:val="24"/>
        </w:rPr>
        <w:t>以上企业，不属于大企业的分支机构，不存在控股股东为大企业的情形，也不存在与大企业的负责人为同一人的情形。</w:t>
      </w:r>
    </w:p>
    <w:p>
      <w:pPr>
        <w:widowControl/>
        <w:spacing w:line="360" w:lineRule="auto"/>
        <w:ind w:firstLine="480" w:firstLineChars="200"/>
        <w:jc w:val="left"/>
        <w:rPr>
          <w:rFonts w:ascii="宋体" w:hAnsi="宋体" w:cs="宋体"/>
          <w:sz w:val="24"/>
          <w:szCs w:val="24"/>
        </w:rPr>
      </w:pPr>
      <w:r>
        <w:rPr>
          <w:rFonts w:hint="eastAsia" w:ascii="宋体" w:hAnsi="宋体" w:cs="宋体"/>
          <w:color w:val="000000"/>
          <w:kern w:val="0"/>
          <w:sz w:val="24"/>
          <w:szCs w:val="24"/>
        </w:rPr>
        <w:t>本企业对上述声明内容的真实性负责。如有虚假，将依法承担相应责任。</w:t>
      </w:r>
    </w:p>
    <w:p>
      <w:pPr>
        <w:widowControl/>
        <w:spacing w:line="360" w:lineRule="auto"/>
        <w:jc w:val="center"/>
        <w:rPr>
          <w:rFonts w:ascii="宋体" w:hAnsi="宋体" w:cs="宋体"/>
          <w:color w:val="000000"/>
          <w:kern w:val="0"/>
          <w:sz w:val="24"/>
          <w:szCs w:val="24"/>
        </w:rPr>
      </w:pPr>
    </w:p>
    <w:p>
      <w:pPr>
        <w:widowControl/>
        <w:spacing w:line="360" w:lineRule="auto"/>
        <w:jc w:val="center"/>
        <w:rPr>
          <w:rFonts w:ascii="宋体" w:hAnsi="宋体" w:cs="宋体"/>
          <w:color w:val="000000"/>
          <w:kern w:val="0"/>
          <w:sz w:val="24"/>
          <w:szCs w:val="24"/>
        </w:rPr>
      </w:pPr>
    </w:p>
    <w:p>
      <w:pPr>
        <w:widowControl/>
        <w:spacing w:line="360" w:lineRule="auto"/>
        <w:jc w:val="center"/>
        <w:rPr>
          <w:rFonts w:ascii="宋体" w:hAnsi="宋体" w:cs="宋体"/>
          <w:sz w:val="24"/>
          <w:szCs w:val="24"/>
        </w:rPr>
      </w:pPr>
      <w:r>
        <w:rPr>
          <w:rFonts w:hint="eastAsia" w:ascii="宋体" w:hAnsi="宋体" w:cs="宋体"/>
          <w:color w:val="000000"/>
          <w:kern w:val="0"/>
          <w:sz w:val="24"/>
          <w:szCs w:val="24"/>
        </w:rPr>
        <w:t>企业名称（盖章）：</w:t>
      </w:r>
    </w:p>
    <w:p>
      <w:pPr>
        <w:widowControl/>
        <w:spacing w:line="360" w:lineRule="auto"/>
        <w:jc w:val="center"/>
        <w:rPr>
          <w:rFonts w:ascii="宋体" w:hAnsi="宋体" w:cs="宋体"/>
          <w:sz w:val="24"/>
          <w:szCs w:val="24"/>
        </w:rPr>
      </w:pPr>
      <w:r>
        <w:rPr>
          <w:rFonts w:hint="eastAsia" w:ascii="宋体" w:hAnsi="宋体" w:cs="宋体"/>
          <w:color w:val="000000"/>
          <w:kern w:val="0"/>
          <w:sz w:val="24"/>
          <w:szCs w:val="24"/>
        </w:rPr>
        <w:t>日期：</w:t>
      </w:r>
    </w:p>
    <w:p>
      <w:pPr>
        <w:spacing w:line="360" w:lineRule="auto"/>
        <w:rPr>
          <w:rFonts w:ascii="宋体" w:hAnsi="宋体"/>
          <w:color w:val="000000"/>
          <w:sz w:val="24"/>
          <w:szCs w:val="24"/>
        </w:rPr>
      </w:pPr>
    </w:p>
    <w:p>
      <w:pPr>
        <w:widowControl/>
        <w:spacing w:line="360" w:lineRule="auto"/>
        <w:ind w:firstLine="480" w:firstLineChars="200"/>
        <w:jc w:val="left"/>
        <w:rPr>
          <w:sz w:val="24"/>
          <w:szCs w:val="24"/>
        </w:rPr>
      </w:pPr>
      <w:r>
        <w:rPr>
          <w:rFonts w:hint="eastAsia" w:ascii="宋体" w:hAnsi="宋体" w:cs="宋体"/>
          <w:color w:val="000000"/>
          <w:kern w:val="0"/>
          <w:sz w:val="24"/>
          <w:szCs w:val="24"/>
        </w:rPr>
        <w:t>从业人员、营业收入、资产总额填报上一年度数据，无上一年度数据的新成立企业可不填报。</w:t>
      </w:r>
    </w:p>
    <w:p>
      <w:pPr>
        <w:spacing w:line="360" w:lineRule="auto"/>
        <w:rPr>
          <w:rFonts w:ascii="宋体" w:hAnsi="宋体"/>
          <w:color w:val="000000"/>
          <w:sz w:val="28"/>
          <w:szCs w:val="28"/>
        </w:rPr>
      </w:pPr>
    </w:p>
    <w:p>
      <w:pPr>
        <w:spacing w:line="360" w:lineRule="auto"/>
        <w:rPr>
          <w:rFonts w:ascii="宋体" w:hAnsi="宋体"/>
          <w:color w:val="000000"/>
          <w:sz w:val="28"/>
          <w:szCs w:val="28"/>
        </w:rPr>
      </w:pPr>
    </w:p>
    <w:p>
      <w:pPr>
        <w:widowControl/>
        <w:spacing w:line="360" w:lineRule="auto"/>
        <w:rPr>
          <w:rFonts w:ascii="宋体" w:hAnsi="宋体" w:cs="宋体"/>
          <w:color w:val="000000"/>
          <w:kern w:val="0"/>
          <w:sz w:val="24"/>
        </w:rPr>
      </w:pPr>
    </w:p>
    <w:p>
      <w:pPr>
        <w:widowControl/>
        <w:spacing w:line="360" w:lineRule="auto"/>
        <w:rPr>
          <w:rFonts w:ascii="宋体" w:hAnsi="宋体"/>
          <w:b/>
          <w:sz w:val="32"/>
          <w:szCs w:val="32"/>
        </w:rPr>
      </w:pPr>
      <w:r>
        <w:rPr>
          <w:rFonts w:hint="eastAsia" w:ascii="宋体" w:hAnsi="宋体"/>
          <w:b/>
          <w:sz w:val="32"/>
          <w:szCs w:val="32"/>
        </w:rPr>
        <w:t>附件1</w:t>
      </w:r>
      <w:r>
        <w:rPr>
          <w:rFonts w:hint="eastAsia" w:ascii="宋体" w:hAnsi="宋体"/>
          <w:b/>
          <w:sz w:val="32"/>
          <w:szCs w:val="32"/>
          <w:lang w:val="en-US" w:eastAsia="zh-CN"/>
        </w:rPr>
        <w:t>3</w:t>
      </w:r>
      <w:r>
        <w:rPr>
          <w:rFonts w:hint="eastAsia" w:ascii="宋体" w:hAnsi="宋体"/>
          <w:b/>
          <w:sz w:val="32"/>
          <w:szCs w:val="32"/>
        </w:rPr>
        <w:t>：</w:t>
      </w:r>
    </w:p>
    <w:p>
      <w:pPr>
        <w:spacing w:line="360" w:lineRule="auto"/>
        <w:jc w:val="center"/>
        <w:rPr>
          <w:rFonts w:ascii="宋体" w:hAnsi="宋体"/>
          <w:b/>
          <w:spacing w:val="6"/>
          <w:sz w:val="30"/>
          <w:szCs w:val="30"/>
        </w:rPr>
      </w:pPr>
      <w:r>
        <w:rPr>
          <w:rFonts w:hint="eastAsia" w:ascii="宋体" w:hAnsi="宋体"/>
          <w:b/>
          <w:spacing w:val="6"/>
          <w:sz w:val="30"/>
          <w:szCs w:val="30"/>
        </w:rPr>
        <w:t>残疾人福利性单位声明函</w:t>
      </w:r>
    </w:p>
    <w:p>
      <w:pPr>
        <w:pStyle w:val="2"/>
        <w:jc w:val="center"/>
        <w:rPr>
          <w:b/>
          <w:sz w:val="30"/>
          <w:szCs w:val="30"/>
        </w:rPr>
      </w:pPr>
      <w:r>
        <w:rPr>
          <w:rFonts w:hint="eastAsia"/>
          <w:b/>
          <w:sz w:val="30"/>
          <w:szCs w:val="30"/>
        </w:rPr>
        <w:t>（如有）</w:t>
      </w:r>
    </w:p>
    <w:p>
      <w:pPr>
        <w:spacing w:line="360" w:lineRule="auto"/>
        <w:rPr>
          <w:rFonts w:ascii="宋体" w:hAnsi="宋体"/>
          <w:b/>
          <w:spacing w:val="6"/>
          <w:sz w:val="24"/>
        </w:rPr>
      </w:pPr>
    </w:p>
    <w:p>
      <w:pPr>
        <w:spacing w:line="360" w:lineRule="auto"/>
        <w:ind w:firstLine="504" w:firstLineChars="200"/>
        <w:rPr>
          <w:rFonts w:ascii="宋体" w:hAnsi="宋体"/>
          <w:spacing w:val="6"/>
          <w:sz w:val="24"/>
        </w:rPr>
      </w:pPr>
      <w:r>
        <w:rPr>
          <w:rFonts w:hint="eastAsia" w:ascii="宋体" w:hAnsi="宋体"/>
          <w:spacing w:val="6"/>
          <w:sz w:val="24"/>
        </w:rPr>
        <w:t>本单位郑重声明，根据《财政部 民政部 中国残疾人联合会关于促进残疾人就业政府采购政策的通知》（财库</w:t>
      </w:r>
      <w:r>
        <w:rPr>
          <w:rFonts w:hint="eastAsia" w:ascii="宋体" w:hAnsi="宋体"/>
          <w:sz w:val="24"/>
        </w:rPr>
        <w:t>〔2017〕 141</w:t>
      </w:r>
      <w:r>
        <w:rPr>
          <w:rFonts w:hint="eastAsia" w:ascii="宋体" w:hAnsi="宋体"/>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ascii="宋体" w:hAnsi="宋体"/>
          <w:spacing w:val="6"/>
          <w:sz w:val="24"/>
        </w:rPr>
      </w:pPr>
      <w:r>
        <w:rPr>
          <w:rFonts w:hint="eastAsia" w:ascii="宋体" w:hAnsi="宋体"/>
          <w:spacing w:val="6"/>
          <w:sz w:val="24"/>
        </w:rPr>
        <w:t>本单位对上述声明的真实性负责。如有虚假，将依法承担相应责任。</w:t>
      </w:r>
    </w:p>
    <w:p>
      <w:pPr>
        <w:spacing w:line="360" w:lineRule="auto"/>
        <w:ind w:firstLine="504" w:firstLineChars="200"/>
        <w:rPr>
          <w:rFonts w:ascii="宋体" w:hAnsi="宋体"/>
          <w:spacing w:val="6"/>
          <w:sz w:val="24"/>
        </w:rPr>
      </w:pPr>
    </w:p>
    <w:p>
      <w:pPr>
        <w:spacing w:line="360" w:lineRule="auto"/>
        <w:jc w:val="center"/>
        <w:rPr>
          <w:rFonts w:ascii="宋体" w:hAnsi="宋体"/>
          <w:b/>
          <w:bCs/>
          <w:sz w:val="30"/>
          <w:szCs w:val="30"/>
        </w:rPr>
      </w:pPr>
    </w:p>
    <w:p>
      <w:pPr>
        <w:spacing w:line="360" w:lineRule="auto"/>
        <w:jc w:val="center"/>
        <w:rPr>
          <w:rFonts w:ascii="宋体" w:hAnsi="宋体"/>
          <w:b/>
          <w:bCs/>
          <w:sz w:val="30"/>
          <w:szCs w:val="30"/>
        </w:rPr>
      </w:pPr>
    </w:p>
    <w:p>
      <w:pPr>
        <w:spacing w:line="360" w:lineRule="auto"/>
        <w:jc w:val="center"/>
        <w:rPr>
          <w:rFonts w:ascii="宋体" w:hAnsi="宋体"/>
          <w:b/>
          <w:bCs/>
          <w:sz w:val="30"/>
          <w:szCs w:val="30"/>
        </w:rPr>
      </w:pPr>
    </w:p>
    <w:p>
      <w:pPr>
        <w:spacing w:line="360" w:lineRule="auto"/>
        <w:jc w:val="center"/>
        <w:rPr>
          <w:rFonts w:ascii="宋体" w:hAnsi="宋体"/>
          <w:b/>
          <w:bCs/>
          <w:sz w:val="30"/>
          <w:szCs w:val="30"/>
        </w:rPr>
      </w:pPr>
    </w:p>
    <w:p>
      <w:pPr>
        <w:spacing w:line="360" w:lineRule="auto"/>
        <w:jc w:val="center"/>
        <w:rPr>
          <w:rFonts w:ascii="宋体" w:hAnsi="宋体"/>
          <w:b/>
          <w:bCs/>
          <w:sz w:val="30"/>
          <w:szCs w:val="30"/>
        </w:rPr>
      </w:pPr>
    </w:p>
    <w:p>
      <w:pPr>
        <w:spacing w:line="360" w:lineRule="auto"/>
        <w:rPr>
          <w:rFonts w:ascii="宋体" w:hAnsi="宋体"/>
          <w:color w:val="000000"/>
          <w:sz w:val="24"/>
          <w:u w:val="single"/>
        </w:rPr>
      </w:pPr>
      <w:r>
        <w:rPr>
          <w:rFonts w:hint="eastAsia" w:ascii="宋体" w:hAnsi="宋体"/>
          <w:color w:val="000000"/>
          <w:sz w:val="24"/>
        </w:rPr>
        <w:t>磋商供应商名称（公章）：</w:t>
      </w:r>
    </w:p>
    <w:p>
      <w:pPr>
        <w:spacing w:line="360" w:lineRule="auto"/>
        <w:rPr>
          <w:rFonts w:ascii="宋体" w:hAnsi="宋体"/>
          <w:color w:val="000000"/>
          <w:sz w:val="24"/>
          <w:u w:val="single"/>
        </w:rPr>
      </w:pPr>
      <w:r>
        <w:rPr>
          <w:rFonts w:hint="eastAsia" w:ascii="宋体" w:hAnsi="宋体"/>
          <w:color w:val="000000"/>
          <w:sz w:val="24"/>
        </w:rPr>
        <w:t>法定代表人（签字）：</w:t>
      </w:r>
    </w:p>
    <w:p>
      <w:pPr>
        <w:spacing w:line="360" w:lineRule="auto"/>
        <w:rPr>
          <w:rFonts w:ascii="宋体" w:hAnsi="宋体"/>
          <w:color w:val="000000"/>
          <w:sz w:val="24"/>
          <w:u w:val="single"/>
        </w:rPr>
      </w:pPr>
      <w:r>
        <w:rPr>
          <w:rFonts w:hint="eastAsia" w:ascii="宋体" w:hAnsi="宋体"/>
          <w:bCs/>
          <w:color w:val="000000"/>
          <w:sz w:val="24"/>
        </w:rPr>
        <w:t>日期：年月日</w:t>
      </w:r>
    </w:p>
    <w:p>
      <w:pPr>
        <w:snapToGrid w:val="0"/>
        <w:spacing w:line="360" w:lineRule="auto"/>
        <w:rPr>
          <w:rFonts w:ascii="宋体" w:hAnsi="宋体"/>
          <w:b/>
          <w:bCs/>
          <w:sz w:val="32"/>
        </w:rPr>
      </w:pPr>
    </w:p>
    <w:p>
      <w:pPr>
        <w:pStyle w:val="2"/>
      </w:pPr>
    </w:p>
    <w:p>
      <w:pPr>
        <w:spacing w:line="360" w:lineRule="auto"/>
        <w:rPr>
          <w:rFonts w:ascii="宋体" w:hAnsi="宋体"/>
          <w:color w:val="000000"/>
          <w:sz w:val="28"/>
          <w:szCs w:val="28"/>
        </w:rPr>
      </w:pPr>
    </w:p>
    <w:p>
      <w:pPr>
        <w:spacing w:line="360" w:lineRule="auto"/>
        <w:jc w:val="center"/>
        <w:rPr>
          <w:rFonts w:ascii="宋体" w:hAnsi="宋体"/>
          <w:b/>
          <w:bCs/>
          <w:color w:val="000000"/>
          <w:sz w:val="32"/>
          <w:szCs w:val="32"/>
        </w:rPr>
      </w:pPr>
    </w:p>
    <w:p>
      <w:pPr>
        <w:spacing w:line="360" w:lineRule="auto"/>
        <w:jc w:val="center"/>
        <w:rPr>
          <w:rFonts w:ascii="宋体" w:hAnsi="宋体"/>
          <w:b/>
          <w:bCs/>
          <w:color w:val="000000"/>
          <w:sz w:val="32"/>
          <w:szCs w:val="32"/>
        </w:rPr>
      </w:pPr>
    </w:p>
    <w:p>
      <w:pPr>
        <w:spacing w:line="360" w:lineRule="auto"/>
        <w:jc w:val="center"/>
        <w:rPr>
          <w:rFonts w:ascii="宋体" w:hAnsi="宋体"/>
          <w:b/>
          <w:bCs/>
          <w:color w:val="000000"/>
          <w:sz w:val="32"/>
          <w:szCs w:val="32"/>
        </w:rPr>
      </w:pPr>
    </w:p>
    <w:p>
      <w:pPr>
        <w:widowControl/>
        <w:spacing w:line="360" w:lineRule="auto"/>
        <w:rPr>
          <w:rFonts w:ascii="宋体" w:hAnsi="宋体"/>
          <w:b/>
          <w:sz w:val="32"/>
          <w:szCs w:val="32"/>
        </w:rPr>
      </w:pPr>
      <w:r>
        <w:rPr>
          <w:rFonts w:hint="eastAsia" w:ascii="宋体" w:hAnsi="宋体"/>
          <w:b/>
          <w:sz w:val="32"/>
          <w:szCs w:val="32"/>
        </w:rPr>
        <w:t>附件1</w:t>
      </w:r>
      <w:r>
        <w:rPr>
          <w:rFonts w:hint="eastAsia" w:ascii="宋体" w:hAnsi="宋体"/>
          <w:b/>
          <w:sz w:val="32"/>
          <w:szCs w:val="32"/>
          <w:lang w:val="en-US" w:eastAsia="zh-CN"/>
        </w:rPr>
        <w:t>4</w:t>
      </w:r>
      <w:r>
        <w:rPr>
          <w:rFonts w:hint="eastAsia" w:ascii="宋体" w:hAnsi="宋体"/>
          <w:b/>
          <w:sz w:val="32"/>
          <w:szCs w:val="32"/>
        </w:rPr>
        <w:t>：</w:t>
      </w:r>
    </w:p>
    <w:p>
      <w:pPr>
        <w:spacing w:line="360" w:lineRule="auto"/>
        <w:jc w:val="center"/>
        <w:rPr>
          <w:rFonts w:ascii="宋体" w:hAnsi="宋体"/>
          <w:b/>
          <w:bCs/>
          <w:color w:val="000000"/>
          <w:sz w:val="32"/>
          <w:szCs w:val="32"/>
        </w:rPr>
      </w:pPr>
    </w:p>
    <w:p>
      <w:pPr>
        <w:spacing w:line="360" w:lineRule="auto"/>
        <w:jc w:val="center"/>
        <w:rPr>
          <w:rFonts w:ascii="宋体" w:hAnsi="宋体"/>
          <w:b/>
          <w:bCs/>
          <w:color w:val="000000"/>
          <w:sz w:val="32"/>
          <w:szCs w:val="32"/>
        </w:rPr>
      </w:pPr>
      <w:r>
        <w:rPr>
          <w:rFonts w:hint="eastAsia" w:ascii="宋体" w:hAnsi="宋体"/>
          <w:b/>
          <w:bCs/>
          <w:color w:val="000000"/>
          <w:sz w:val="32"/>
          <w:szCs w:val="32"/>
        </w:rPr>
        <w:t>磋商保证金汇款凭证复印件</w:t>
      </w: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jc w:val="center"/>
        <w:rPr>
          <w:rFonts w:ascii="宋体" w:hAnsi="宋体"/>
          <w:color w:val="000000"/>
          <w:sz w:val="24"/>
          <w:szCs w:val="24"/>
        </w:rPr>
      </w:pPr>
    </w:p>
    <w:p>
      <w:pPr>
        <w:spacing w:line="360" w:lineRule="auto"/>
        <w:jc w:val="center"/>
        <w:rPr>
          <w:rFonts w:ascii="宋体" w:hAnsi="宋体"/>
          <w:color w:val="000000"/>
          <w:sz w:val="24"/>
          <w:szCs w:val="24"/>
        </w:rPr>
      </w:pPr>
    </w:p>
    <w:p>
      <w:pPr>
        <w:spacing w:line="360" w:lineRule="auto"/>
        <w:jc w:val="center"/>
        <w:rPr>
          <w:rFonts w:ascii="宋体" w:hAnsi="宋体"/>
          <w:color w:val="000000"/>
          <w:sz w:val="24"/>
          <w:szCs w:val="24"/>
        </w:rPr>
      </w:pPr>
    </w:p>
    <w:p>
      <w:pPr>
        <w:snapToGrid w:val="0"/>
        <w:spacing w:line="360" w:lineRule="auto"/>
        <w:ind w:firstLine="482" w:firstLineChars="200"/>
        <w:jc w:val="left"/>
        <w:rPr>
          <w:rFonts w:ascii="宋体" w:hAnsi="宋体"/>
          <w:b/>
          <w:sz w:val="24"/>
        </w:rPr>
      </w:pPr>
    </w:p>
    <w:p>
      <w:pPr>
        <w:snapToGrid w:val="0"/>
        <w:spacing w:line="360" w:lineRule="auto"/>
        <w:ind w:firstLine="482" w:firstLineChars="200"/>
        <w:jc w:val="left"/>
        <w:rPr>
          <w:rFonts w:ascii="宋体" w:hAnsi="宋体"/>
          <w:b/>
          <w:sz w:val="24"/>
        </w:rPr>
      </w:pPr>
    </w:p>
    <w:p>
      <w:pPr>
        <w:snapToGrid w:val="0"/>
        <w:spacing w:line="360" w:lineRule="auto"/>
        <w:jc w:val="left"/>
        <w:rPr>
          <w:rFonts w:ascii="宋体" w:hAnsi="宋体"/>
          <w:b/>
          <w:sz w:val="24"/>
          <w:szCs w:val="24"/>
        </w:rPr>
      </w:pPr>
    </w:p>
    <w:p>
      <w:pPr>
        <w:spacing w:line="360" w:lineRule="auto"/>
        <w:jc w:val="center"/>
        <w:rPr>
          <w:rFonts w:ascii="仿宋_GB2312" w:hAnsi="宋体" w:eastAsia="仿宋_GB2312"/>
          <w:b/>
          <w:color w:val="000000"/>
          <w:sz w:val="28"/>
          <w:szCs w:val="28"/>
        </w:rPr>
      </w:pPr>
    </w:p>
    <w:p>
      <w:pPr>
        <w:spacing w:line="360" w:lineRule="auto"/>
        <w:jc w:val="center"/>
        <w:rPr>
          <w:rFonts w:ascii="仿宋_GB2312" w:hAnsi="宋体" w:eastAsia="仿宋_GB2312"/>
          <w:b/>
          <w:color w:val="000000"/>
          <w:sz w:val="28"/>
          <w:szCs w:val="28"/>
        </w:rPr>
      </w:pPr>
    </w:p>
    <w:p>
      <w:pPr>
        <w:widowControl/>
        <w:spacing w:line="360" w:lineRule="auto"/>
        <w:rPr>
          <w:rFonts w:ascii="宋体" w:hAnsi="宋体"/>
          <w:b/>
          <w:sz w:val="32"/>
          <w:szCs w:val="32"/>
        </w:rPr>
      </w:pPr>
    </w:p>
    <w:p>
      <w:pPr>
        <w:widowControl/>
        <w:spacing w:line="360" w:lineRule="auto"/>
        <w:rPr>
          <w:rFonts w:ascii="宋体" w:hAnsi="宋体"/>
          <w:b/>
          <w:sz w:val="32"/>
          <w:szCs w:val="32"/>
        </w:rPr>
      </w:pPr>
    </w:p>
    <w:p>
      <w:pPr>
        <w:widowControl/>
        <w:spacing w:line="360" w:lineRule="auto"/>
        <w:rPr>
          <w:rFonts w:ascii="宋体" w:hAnsi="宋体"/>
          <w:b/>
          <w:sz w:val="32"/>
          <w:szCs w:val="32"/>
        </w:rPr>
      </w:pPr>
    </w:p>
    <w:p>
      <w:pPr>
        <w:widowControl/>
        <w:spacing w:line="360" w:lineRule="auto"/>
        <w:rPr>
          <w:rFonts w:ascii="宋体" w:hAnsi="宋体"/>
          <w:b/>
          <w:sz w:val="32"/>
          <w:szCs w:val="32"/>
        </w:rPr>
      </w:pPr>
    </w:p>
    <w:p>
      <w:pPr>
        <w:pStyle w:val="12"/>
      </w:pPr>
    </w:p>
    <w:p/>
    <w:p>
      <w:pPr>
        <w:widowControl/>
        <w:spacing w:line="360" w:lineRule="auto"/>
        <w:rPr>
          <w:rFonts w:ascii="宋体" w:hAnsi="宋体"/>
          <w:b/>
          <w:sz w:val="32"/>
          <w:szCs w:val="32"/>
        </w:rPr>
      </w:pPr>
    </w:p>
    <w:p>
      <w:pPr>
        <w:widowControl/>
        <w:spacing w:line="360" w:lineRule="auto"/>
        <w:rPr>
          <w:rFonts w:ascii="宋体" w:hAnsi="宋体"/>
          <w:b/>
          <w:sz w:val="32"/>
          <w:szCs w:val="32"/>
        </w:rPr>
      </w:pPr>
    </w:p>
    <w:p>
      <w:pPr>
        <w:widowControl/>
        <w:spacing w:line="360" w:lineRule="auto"/>
        <w:rPr>
          <w:rFonts w:ascii="宋体" w:hAnsi="宋体"/>
          <w:b/>
          <w:sz w:val="32"/>
          <w:szCs w:val="32"/>
        </w:rPr>
      </w:pPr>
    </w:p>
    <w:p>
      <w:pPr>
        <w:widowControl/>
        <w:spacing w:line="360" w:lineRule="auto"/>
        <w:rPr>
          <w:rFonts w:ascii="宋体" w:hAnsi="宋体"/>
          <w:b/>
          <w:sz w:val="32"/>
          <w:szCs w:val="32"/>
        </w:rPr>
      </w:pPr>
      <w:r>
        <w:rPr>
          <w:rFonts w:hint="eastAsia" w:ascii="宋体" w:hAnsi="宋体"/>
          <w:b/>
          <w:sz w:val="32"/>
          <w:szCs w:val="32"/>
        </w:rPr>
        <w:t>附件</w:t>
      </w:r>
      <w:r>
        <w:rPr>
          <w:rFonts w:hint="eastAsia" w:ascii="宋体" w:hAnsi="宋体"/>
          <w:b/>
          <w:sz w:val="32"/>
          <w:szCs w:val="32"/>
          <w:lang w:val="en-US" w:eastAsia="zh-CN"/>
        </w:rPr>
        <w:t>15</w:t>
      </w:r>
      <w:r>
        <w:rPr>
          <w:rFonts w:hint="eastAsia" w:ascii="宋体" w:hAnsi="宋体"/>
          <w:b/>
          <w:sz w:val="32"/>
          <w:szCs w:val="32"/>
        </w:rPr>
        <w:t>：</w:t>
      </w:r>
    </w:p>
    <w:p>
      <w:pPr>
        <w:widowControl/>
        <w:spacing w:line="360" w:lineRule="auto"/>
        <w:jc w:val="center"/>
        <w:rPr>
          <w:rFonts w:ascii="宋体" w:hAnsi="宋体"/>
          <w:b/>
          <w:sz w:val="32"/>
          <w:szCs w:val="32"/>
        </w:rPr>
      </w:pPr>
    </w:p>
    <w:p>
      <w:pPr>
        <w:widowControl/>
        <w:spacing w:line="360" w:lineRule="auto"/>
        <w:jc w:val="center"/>
        <w:rPr>
          <w:rFonts w:ascii="宋体" w:hAnsi="宋体"/>
          <w:b/>
          <w:sz w:val="32"/>
          <w:szCs w:val="32"/>
        </w:rPr>
      </w:pPr>
      <w:r>
        <w:rPr>
          <w:rFonts w:hint="eastAsia" w:ascii="宋体" w:hAnsi="宋体"/>
          <w:b/>
          <w:sz w:val="32"/>
          <w:szCs w:val="32"/>
        </w:rPr>
        <w:t>供应商认为有必要提交的其他相关证明材料</w:t>
      </w:r>
    </w:p>
    <w:p>
      <w:pPr>
        <w:spacing w:line="360" w:lineRule="auto"/>
      </w:pPr>
    </w:p>
    <w:p/>
    <w:p/>
    <w:sectPr>
      <w:headerReference r:id="rId8" w:type="default"/>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center" w:pos="4649"/>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center" w:pos="4649"/>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center" w:pos="4649"/>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4"/>
                          </w:pPr>
                          <w:r>
                            <w:fldChar w:fldCharType="begin"/>
                          </w:r>
                          <w:r>
                            <w:instrText xml:space="preserve"> PAGE  \* MERGEFORMAT </w:instrText>
                          </w:r>
                          <w:r>
                            <w:fldChar w:fldCharType="separate"/>
                          </w:r>
                          <w:r>
                            <w:t>21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24"/>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4"/>
                          </w:pPr>
                          <w:r>
                            <w:fldChar w:fldCharType="begin"/>
                          </w:r>
                          <w:r>
                            <w:instrText xml:space="preserve"> PAGE  \* MERGEFORMAT </w:instrText>
                          </w:r>
                          <w:r>
                            <w:fldChar w:fldCharType="separate"/>
                          </w:r>
                          <w:r>
                            <w:t>53</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pPr>
                      <w:pStyle w:val="24"/>
                    </w:pPr>
                    <w:r>
                      <w:fldChar w:fldCharType="begin"/>
                    </w:r>
                    <w:r>
                      <w:instrText xml:space="preserve"> PAGE  \* MERGEFORMAT </w:instrText>
                    </w:r>
                    <w:r>
                      <w:fldChar w:fldCharType="separate"/>
                    </w:r>
                    <w:r>
                      <w:t>53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thickThinSmallGap" w:color="622423" w:themeColor="accent2" w:themeShade="7F" w:sz="24" w:space="1"/>
      </w:pBdr>
      <w:jc w:val="both"/>
      <w:rPr>
        <w:rFonts w:asciiTheme="majorHAnsi" w:hAnsiTheme="majorHAnsi" w:eastAsiaTheme="majorEastAsia" w:cstheme="majorBidi"/>
        <w:sz w:val="32"/>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ajorHAnsi" w:hAnsiTheme="majorHAnsi" w:eastAsiaTheme="majorEastAsia" w:cstheme="majorBidi"/>
        <w:b/>
        <w:sz w:val="28"/>
        <w:szCs w:val="28"/>
      </w:rPr>
      <w:alias w:val="标题"/>
      <w:id w:val="34700929"/>
      <w:text/>
    </w:sdtPr>
    <w:sdtEndPr>
      <w:rPr>
        <w:rFonts w:asciiTheme="majorHAnsi" w:hAnsiTheme="majorHAnsi" w:eastAsiaTheme="majorEastAsia" w:cstheme="majorBidi"/>
        <w:b/>
        <w:sz w:val="28"/>
        <w:szCs w:val="28"/>
      </w:rPr>
    </w:sdtEndPr>
    <w:sdtContent>
      <w:p>
        <w:pPr>
          <w:pStyle w:val="25"/>
          <w:pBdr>
            <w:bottom w:val="thickThinSmallGap" w:color="622423" w:themeColor="accent2" w:themeShade="7F" w:sz="24" w:space="1"/>
          </w:pBdr>
          <w:jc w:val="both"/>
          <w:rPr>
            <w:rFonts w:asciiTheme="majorHAnsi" w:hAnsiTheme="majorHAnsi" w:eastAsiaTheme="majorEastAsia" w:cstheme="majorBidi"/>
            <w:sz w:val="32"/>
            <w:szCs w:val="32"/>
          </w:rPr>
        </w:pPr>
      </w:p>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thickThinSmallGap" w:color="622423" w:themeColor="accent2" w:themeShade="7F" w:sz="24" w:space="1"/>
      </w:pBdr>
      <w:jc w:val="both"/>
      <w:rPr>
        <w:rFonts w:hint="eastAsia" w:asciiTheme="majorHAnsi" w:hAnsiTheme="majorHAnsi" w:eastAsiaTheme="majorEastAsia" w:cstheme="majorBidi"/>
        <w:b/>
        <w:sz w:val="28"/>
        <w:szCs w:val="28"/>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61D7D3"/>
    <w:multiLevelType w:val="singleLevel"/>
    <w:tmpl w:val="9461D7D3"/>
    <w:lvl w:ilvl="0" w:tentative="0">
      <w:start w:val="1"/>
      <w:numFmt w:val="decimal"/>
      <w:suff w:val="nothing"/>
      <w:lvlText w:val="%1）"/>
      <w:lvlJc w:val="left"/>
    </w:lvl>
  </w:abstractNum>
  <w:abstractNum w:abstractNumId="1">
    <w:nsid w:val="184C4843"/>
    <w:multiLevelType w:val="singleLevel"/>
    <w:tmpl w:val="184C4843"/>
    <w:lvl w:ilvl="0" w:tentative="0">
      <w:start w:val="4"/>
      <w:numFmt w:val="chineseCounting"/>
      <w:suff w:val="space"/>
      <w:lvlText w:val="第%1章"/>
      <w:lvlJc w:val="left"/>
      <w:rPr>
        <w:rFonts w:hint="eastAsia"/>
      </w:rPr>
    </w:lvl>
  </w:abstractNum>
  <w:abstractNum w:abstractNumId="2">
    <w:nsid w:val="246319BB"/>
    <w:multiLevelType w:val="multilevel"/>
    <w:tmpl w:val="246319BB"/>
    <w:lvl w:ilvl="0" w:tentative="0">
      <w:start w:val="1"/>
      <w:numFmt w:val="decimalEnclosedParen"/>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4010644F"/>
    <w:multiLevelType w:val="multilevel"/>
    <w:tmpl w:val="4010644F"/>
    <w:lvl w:ilvl="0" w:tentative="0">
      <w:start w:val="1"/>
      <w:numFmt w:val="decimal"/>
      <w:lvlText w:val="（%1）"/>
      <w:lvlJc w:val="left"/>
      <w:pPr>
        <w:ind w:left="956" w:hanging="720"/>
      </w:pPr>
      <w:rPr>
        <w:rFonts w:hint="default"/>
      </w:rPr>
    </w:lvl>
    <w:lvl w:ilvl="1" w:tentative="0">
      <w:start w:val="1"/>
      <w:numFmt w:val="lowerLetter"/>
      <w:lvlText w:val="%2)"/>
      <w:lvlJc w:val="left"/>
      <w:pPr>
        <w:ind w:left="1076" w:hanging="420"/>
      </w:pPr>
    </w:lvl>
    <w:lvl w:ilvl="2" w:tentative="0">
      <w:start w:val="1"/>
      <w:numFmt w:val="lowerRoman"/>
      <w:lvlText w:val="%3."/>
      <w:lvlJc w:val="right"/>
      <w:pPr>
        <w:ind w:left="1496" w:hanging="420"/>
      </w:pPr>
    </w:lvl>
    <w:lvl w:ilvl="3" w:tentative="0">
      <w:start w:val="1"/>
      <w:numFmt w:val="decimal"/>
      <w:lvlText w:val="%4."/>
      <w:lvlJc w:val="left"/>
      <w:pPr>
        <w:ind w:left="1916" w:hanging="420"/>
      </w:pPr>
    </w:lvl>
    <w:lvl w:ilvl="4" w:tentative="0">
      <w:start w:val="1"/>
      <w:numFmt w:val="lowerLetter"/>
      <w:lvlText w:val="%5)"/>
      <w:lvlJc w:val="left"/>
      <w:pPr>
        <w:ind w:left="2336" w:hanging="420"/>
      </w:pPr>
    </w:lvl>
    <w:lvl w:ilvl="5" w:tentative="0">
      <w:start w:val="1"/>
      <w:numFmt w:val="lowerRoman"/>
      <w:lvlText w:val="%6."/>
      <w:lvlJc w:val="right"/>
      <w:pPr>
        <w:ind w:left="2756" w:hanging="420"/>
      </w:pPr>
    </w:lvl>
    <w:lvl w:ilvl="6" w:tentative="0">
      <w:start w:val="1"/>
      <w:numFmt w:val="decimal"/>
      <w:lvlText w:val="%7."/>
      <w:lvlJc w:val="left"/>
      <w:pPr>
        <w:ind w:left="3176" w:hanging="420"/>
      </w:pPr>
    </w:lvl>
    <w:lvl w:ilvl="7" w:tentative="0">
      <w:start w:val="1"/>
      <w:numFmt w:val="lowerLetter"/>
      <w:lvlText w:val="%8)"/>
      <w:lvlJc w:val="left"/>
      <w:pPr>
        <w:ind w:left="3596" w:hanging="420"/>
      </w:pPr>
    </w:lvl>
    <w:lvl w:ilvl="8" w:tentative="0">
      <w:start w:val="1"/>
      <w:numFmt w:val="lowerRoman"/>
      <w:lvlText w:val="%9."/>
      <w:lvlJc w:val="right"/>
      <w:pPr>
        <w:ind w:left="4016"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jY2U5ODQyYWQ0N2UyMjZmYTU0ZDgxOGZkNTc0MTUifQ=="/>
  </w:docVars>
  <w:rsids>
    <w:rsidRoot w:val="00250826"/>
    <w:rsid w:val="00002F17"/>
    <w:rsid w:val="00005805"/>
    <w:rsid w:val="00014C3B"/>
    <w:rsid w:val="000326FE"/>
    <w:rsid w:val="000463D9"/>
    <w:rsid w:val="000515B2"/>
    <w:rsid w:val="00057D8B"/>
    <w:rsid w:val="0006064C"/>
    <w:rsid w:val="00071B97"/>
    <w:rsid w:val="00077C21"/>
    <w:rsid w:val="00083527"/>
    <w:rsid w:val="0009448B"/>
    <w:rsid w:val="000A2161"/>
    <w:rsid w:val="000A244B"/>
    <w:rsid w:val="000B05C0"/>
    <w:rsid w:val="000B6FF1"/>
    <w:rsid w:val="000D0876"/>
    <w:rsid w:val="000D178B"/>
    <w:rsid w:val="000D58BF"/>
    <w:rsid w:val="000E0608"/>
    <w:rsid w:val="000F0153"/>
    <w:rsid w:val="000F6AD1"/>
    <w:rsid w:val="00111AFF"/>
    <w:rsid w:val="0011215D"/>
    <w:rsid w:val="00126596"/>
    <w:rsid w:val="00155481"/>
    <w:rsid w:val="001670DD"/>
    <w:rsid w:val="001724B6"/>
    <w:rsid w:val="00173A60"/>
    <w:rsid w:val="00173B86"/>
    <w:rsid w:val="00193159"/>
    <w:rsid w:val="001A318D"/>
    <w:rsid w:val="001B0007"/>
    <w:rsid w:val="001D0B71"/>
    <w:rsid w:val="001D1B17"/>
    <w:rsid w:val="001E06D5"/>
    <w:rsid w:val="001E2A86"/>
    <w:rsid w:val="001E4C4D"/>
    <w:rsid w:val="001E7CBA"/>
    <w:rsid w:val="001F7390"/>
    <w:rsid w:val="002017C0"/>
    <w:rsid w:val="00202A7C"/>
    <w:rsid w:val="00202FDA"/>
    <w:rsid w:val="00203C7D"/>
    <w:rsid w:val="00225E01"/>
    <w:rsid w:val="00232E12"/>
    <w:rsid w:val="0023452A"/>
    <w:rsid w:val="002454B7"/>
    <w:rsid w:val="00250826"/>
    <w:rsid w:val="00251950"/>
    <w:rsid w:val="002530B0"/>
    <w:rsid w:val="00262D42"/>
    <w:rsid w:val="0027497F"/>
    <w:rsid w:val="00274BDB"/>
    <w:rsid w:val="00285B8C"/>
    <w:rsid w:val="0028752D"/>
    <w:rsid w:val="00293D22"/>
    <w:rsid w:val="00297365"/>
    <w:rsid w:val="002A4A2B"/>
    <w:rsid w:val="002B777D"/>
    <w:rsid w:val="002C0FE8"/>
    <w:rsid w:val="002D2E15"/>
    <w:rsid w:val="002D36A0"/>
    <w:rsid w:val="002F1C47"/>
    <w:rsid w:val="002F270D"/>
    <w:rsid w:val="00300DA8"/>
    <w:rsid w:val="00303C9D"/>
    <w:rsid w:val="003076C7"/>
    <w:rsid w:val="00310575"/>
    <w:rsid w:val="00333CC0"/>
    <w:rsid w:val="003465ED"/>
    <w:rsid w:val="003505BB"/>
    <w:rsid w:val="0035305B"/>
    <w:rsid w:val="00366A60"/>
    <w:rsid w:val="003725CF"/>
    <w:rsid w:val="00377484"/>
    <w:rsid w:val="003807B5"/>
    <w:rsid w:val="00380DA9"/>
    <w:rsid w:val="00381034"/>
    <w:rsid w:val="00387127"/>
    <w:rsid w:val="0039097E"/>
    <w:rsid w:val="00391CBC"/>
    <w:rsid w:val="00395082"/>
    <w:rsid w:val="003B4B16"/>
    <w:rsid w:val="003C1DEB"/>
    <w:rsid w:val="003C25DC"/>
    <w:rsid w:val="003C4E4D"/>
    <w:rsid w:val="003D245C"/>
    <w:rsid w:val="003D49A6"/>
    <w:rsid w:val="003D732D"/>
    <w:rsid w:val="00407151"/>
    <w:rsid w:val="00411731"/>
    <w:rsid w:val="00414B4B"/>
    <w:rsid w:val="004233B8"/>
    <w:rsid w:val="0044068F"/>
    <w:rsid w:val="0044661B"/>
    <w:rsid w:val="0045369C"/>
    <w:rsid w:val="00453B10"/>
    <w:rsid w:val="0046308F"/>
    <w:rsid w:val="004661BD"/>
    <w:rsid w:val="00467A65"/>
    <w:rsid w:val="00474F21"/>
    <w:rsid w:val="00484442"/>
    <w:rsid w:val="00484AE5"/>
    <w:rsid w:val="004A00E6"/>
    <w:rsid w:val="004A1886"/>
    <w:rsid w:val="004A7A13"/>
    <w:rsid w:val="004B4628"/>
    <w:rsid w:val="004C4C6D"/>
    <w:rsid w:val="004D51CE"/>
    <w:rsid w:val="004E123D"/>
    <w:rsid w:val="004E173C"/>
    <w:rsid w:val="00512067"/>
    <w:rsid w:val="00520816"/>
    <w:rsid w:val="00520E95"/>
    <w:rsid w:val="00521BA2"/>
    <w:rsid w:val="0052482E"/>
    <w:rsid w:val="005260DA"/>
    <w:rsid w:val="00532AC0"/>
    <w:rsid w:val="00534EED"/>
    <w:rsid w:val="005477EA"/>
    <w:rsid w:val="0055008F"/>
    <w:rsid w:val="00552ABD"/>
    <w:rsid w:val="005560A5"/>
    <w:rsid w:val="00573930"/>
    <w:rsid w:val="00574D5B"/>
    <w:rsid w:val="005773B6"/>
    <w:rsid w:val="00590108"/>
    <w:rsid w:val="00592E95"/>
    <w:rsid w:val="005C143D"/>
    <w:rsid w:val="005D03CC"/>
    <w:rsid w:val="005D331D"/>
    <w:rsid w:val="005E1076"/>
    <w:rsid w:val="005E68F5"/>
    <w:rsid w:val="005F1AE4"/>
    <w:rsid w:val="00606A52"/>
    <w:rsid w:val="00612588"/>
    <w:rsid w:val="00614085"/>
    <w:rsid w:val="0063327B"/>
    <w:rsid w:val="00644EDD"/>
    <w:rsid w:val="00650D25"/>
    <w:rsid w:val="00654C7A"/>
    <w:rsid w:val="0067136C"/>
    <w:rsid w:val="00693BF1"/>
    <w:rsid w:val="006C56B7"/>
    <w:rsid w:val="006D4740"/>
    <w:rsid w:val="006D5D23"/>
    <w:rsid w:val="006E331A"/>
    <w:rsid w:val="00714B15"/>
    <w:rsid w:val="00724833"/>
    <w:rsid w:val="00732C2D"/>
    <w:rsid w:val="007371E8"/>
    <w:rsid w:val="0075292B"/>
    <w:rsid w:val="00754F1A"/>
    <w:rsid w:val="007623F2"/>
    <w:rsid w:val="00765313"/>
    <w:rsid w:val="007661FC"/>
    <w:rsid w:val="00793EFF"/>
    <w:rsid w:val="007949C7"/>
    <w:rsid w:val="00794E07"/>
    <w:rsid w:val="007A051D"/>
    <w:rsid w:val="007B1E6C"/>
    <w:rsid w:val="007C2903"/>
    <w:rsid w:val="007E06B8"/>
    <w:rsid w:val="007E3E3F"/>
    <w:rsid w:val="007E4A63"/>
    <w:rsid w:val="0080126A"/>
    <w:rsid w:val="008077C2"/>
    <w:rsid w:val="00817011"/>
    <w:rsid w:val="0082092F"/>
    <w:rsid w:val="00837CCC"/>
    <w:rsid w:val="0084350C"/>
    <w:rsid w:val="00844E1B"/>
    <w:rsid w:val="00872899"/>
    <w:rsid w:val="00886614"/>
    <w:rsid w:val="00886F34"/>
    <w:rsid w:val="00894D7D"/>
    <w:rsid w:val="00896959"/>
    <w:rsid w:val="008A0D1B"/>
    <w:rsid w:val="008B43FC"/>
    <w:rsid w:val="008C6B0E"/>
    <w:rsid w:val="008E5AE0"/>
    <w:rsid w:val="008E6F18"/>
    <w:rsid w:val="008E7F68"/>
    <w:rsid w:val="008F34A0"/>
    <w:rsid w:val="008F35A2"/>
    <w:rsid w:val="008F5217"/>
    <w:rsid w:val="008F564D"/>
    <w:rsid w:val="00904046"/>
    <w:rsid w:val="0090497D"/>
    <w:rsid w:val="009107F8"/>
    <w:rsid w:val="00942C14"/>
    <w:rsid w:val="00960717"/>
    <w:rsid w:val="00961756"/>
    <w:rsid w:val="00963BED"/>
    <w:rsid w:val="00972667"/>
    <w:rsid w:val="009752A9"/>
    <w:rsid w:val="009775B1"/>
    <w:rsid w:val="0097781A"/>
    <w:rsid w:val="009823FF"/>
    <w:rsid w:val="0098441F"/>
    <w:rsid w:val="009A2B84"/>
    <w:rsid w:val="009D1441"/>
    <w:rsid w:val="009F2014"/>
    <w:rsid w:val="00A04CB2"/>
    <w:rsid w:val="00A072BD"/>
    <w:rsid w:val="00A2005F"/>
    <w:rsid w:val="00A43CC5"/>
    <w:rsid w:val="00A4708B"/>
    <w:rsid w:val="00A51424"/>
    <w:rsid w:val="00A62FC9"/>
    <w:rsid w:val="00A76FAB"/>
    <w:rsid w:val="00A77547"/>
    <w:rsid w:val="00A9041B"/>
    <w:rsid w:val="00AB3A1D"/>
    <w:rsid w:val="00AC27C3"/>
    <w:rsid w:val="00AC2E98"/>
    <w:rsid w:val="00AD11E6"/>
    <w:rsid w:val="00AD463E"/>
    <w:rsid w:val="00AD471E"/>
    <w:rsid w:val="00AE39BB"/>
    <w:rsid w:val="00AF240C"/>
    <w:rsid w:val="00B04B1B"/>
    <w:rsid w:val="00B04CF8"/>
    <w:rsid w:val="00B1466C"/>
    <w:rsid w:val="00B146A1"/>
    <w:rsid w:val="00B2161E"/>
    <w:rsid w:val="00B22D75"/>
    <w:rsid w:val="00B2315F"/>
    <w:rsid w:val="00B3405B"/>
    <w:rsid w:val="00B47307"/>
    <w:rsid w:val="00B52D76"/>
    <w:rsid w:val="00B67AE0"/>
    <w:rsid w:val="00B731B8"/>
    <w:rsid w:val="00B8019F"/>
    <w:rsid w:val="00B83C09"/>
    <w:rsid w:val="00B857A5"/>
    <w:rsid w:val="00B8613C"/>
    <w:rsid w:val="00B86249"/>
    <w:rsid w:val="00B913A0"/>
    <w:rsid w:val="00B9230D"/>
    <w:rsid w:val="00BA0AC0"/>
    <w:rsid w:val="00BA53E7"/>
    <w:rsid w:val="00BA78C4"/>
    <w:rsid w:val="00BB06D9"/>
    <w:rsid w:val="00BB22CF"/>
    <w:rsid w:val="00BC562C"/>
    <w:rsid w:val="00BD29B6"/>
    <w:rsid w:val="00BD3FE7"/>
    <w:rsid w:val="00BD704C"/>
    <w:rsid w:val="00BE0050"/>
    <w:rsid w:val="00C02D33"/>
    <w:rsid w:val="00C12426"/>
    <w:rsid w:val="00C1453F"/>
    <w:rsid w:val="00C14703"/>
    <w:rsid w:val="00C17BF1"/>
    <w:rsid w:val="00C4517A"/>
    <w:rsid w:val="00C4658E"/>
    <w:rsid w:val="00C47F68"/>
    <w:rsid w:val="00C5506D"/>
    <w:rsid w:val="00C57DEB"/>
    <w:rsid w:val="00C654C5"/>
    <w:rsid w:val="00C76BBC"/>
    <w:rsid w:val="00C86C15"/>
    <w:rsid w:val="00C904B2"/>
    <w:rsid w:val="00C90EF5"/>
    <w:rsid w:val="00C91BE3"/>
    <w:rsid w:val="00C97407"/>
    <w:rsid w:val="00CA03EF"/>
    <w:rsid w:val="00CB32A7"/>
    <w:rsid w:val="00CC2460"/>
    <w:rsid w:val="00CC414E"/>
    <w:rsid w:val="00CD785B"/>
    <w:rsid w:val="00CE337B"/>
    <w:rsid w:val="00CE4EF4"/>
    <w:rsid w:val="00CE7F31"/>
    <w:rsid w:val="00CF114A"/>
    <w:rsid w:val="00CF51FC"/>
    <w:rsid w:val="00CF6507"/>
    <w:rsid w:val="00D11C34"/>
    <w:rsid w:val="00D41C0B"/>
    <w:rsid w:val="00D4234E"/>
    <w:rsid w:val="00D5638D"/>
    <w:rsid w:val="00D5721A"/>
    <w:rsid w:val="00D57661"/>
    <w:rsid w:val="00D80073"/>
    <w:rsid w:val="00D822FF"/>
    <w:rsid w:val="00D82393"/>
    <w:rsid w:val="00DB4D02"/>
    <w:rsid w:val="00E00E3D"/>
    <w:rsid w:val="00E06491"/>
    <w:rsid w:val="00E07619"/>
    <w:rsid w:val="00E076D0"/>
    <w:rsid w:val="00E230E4"/>
    <w:rsid w:val="00E24D57"/>
    <w:rsid w:val="00E31761"/>
    <w:rsid w:val="00E55C74"/>
    <w:rsid w:val="00E91CC0"/>
    <w:rsid w:val="00E92FAC"/>
    <w:rsid w:val="00E951E8"/>
    <w:rsid w:val="00EB0EA0"/>
    <w:rsid w:val="00EB15F2"/>
    <w:rsid w:val="00EB17E1"/>
    <w:rsid w:val="00EB2DB9"/>
    <w:rsid w:val="00EB550B"/>
    <w:rsid w:val="00EC78F9"/>
    <w:rsid w:val="00ED44C4"/>
    <w:rsid w:val="00EE0DBE"/>
    <w:rsid w:val="00EE2CD4"/>
    <w:rsid w:val="00F053D6"/>
    <w:rsid w:val="00F11055"/>
    <w:rsid w:val="00F20850"/>
    <w:rsid w:val="00F36A36"/>
    <w:rsid w:val="00F41F4E"/>
    <w:rsid w:val="00F7072A"/>
    <w:rsid w:val="00F77693"/>
    <w:rsid w:val="00F82D4A"/>
    <w:rsid w:val="00F847B8"/>
    <w:rsid w:val="00FB5BB5"/>
    <w:rsid w:val="00FB5D67"/>
    <w:rsid w:val="00FC1943"/>
    <w:rsid w:val="00FC515B"/>
    <w:rsid w:val="00FE2D46"/>
    <w:rsid w:val="01C10ACA"/>
    <w:rsid w:val="024C0009"/>
    <w:rsid w:val="03A269B9"/>
    <w:rsid w:val="03BF65DA"/>
    <w:rsid w:val="0576187D"/>
    <w:rsid w:val="064B3C1E"/>
    <w:rsid w:val="06592366"/>
    <w:rsid w:val="09C3538C"/>
    <w:rsid w:val="0BDE7782"/>
    <w:rsid w:val="0D8458C4"/>
    <w:rsid w:val="0D9A45D4"/>
    <w:rsid w:val="0E0853CD"/>
    <w:rsid w:val="0E771E16"/>
    <w:rsid w:val="0F2C7FC2"/>
    <w:rsid w:val="0F417553"/>
    <w:rsid w:val="101871A3"/>
    <w:rsid w:val="107D4074"/>
    <w:rsid w:val="12446483"/>
    <w:rsid w:val="131549A4"/>
    <w:rsid w:val="13BA32C6"/>
    <w:rsid w:val="143B1BC5"/>
    <w:rsid w:val="1440747E"/>
    <w:rsid w:val="14EB3B2C"/>
    <w:rsid w:val="14F3199D"/>
    <w:rsid w:val="15010114"/>
    <w:rsid w:val="150A4496"/>
    <w:rsid w:val="16396384"/>
    <w:rsid w:val="164318CB"/>
    <w:rsid w:val="17095FB5"/>
    <w:rsid w:val="18D823D6"/>
    <w:rsid w:val="19383EBB"/>
    <w:rsid w:val="19617F5C"/>
    <w:rsid w:val="1A4325B3"/>
    <w:rsid w:val="1B10627E"/>
    <w:rsid w:val="1DB37C64"/>
    <w:rsid w:val="1DCB06F9"/>
    <w:rsid w:val="20C46C1B"/>
    <w:rsid w:val="22727CB1"/>
    <w:rsid w:val="232C0428"/>
    <w:rsid w:val="23797CBC"/>
    <w:rsid w:val="270D7F7D"/>
    <w:rsid w:val="271A0381"/>
    <w:rsid w:val="2758282A"/>
    <w:rsid w:val="28096BD7"/>
    <w:rsid w:val="28A864B3"/>
    <w:rsid w:val="2907261F"/>
    <w:rsid w:val="2A43616A"/>
    <w:rsid w:val="2AAE49FA"/>
    <w:rsid w:val="2AC84F8A"/>
    <w:rsid w:val="2B911DE9"/>
    <w:rsid w:val="2BB63055"/>
    <w:rsid w:val="2C5935D1"/>
    <w:rsid w:val="2C602A8C"/>
    <w:rsid w:val="2DB32B5F"/>
    <w:rsid w:val="2F174EAD"/>
    <w:rsid w:val="2F3E41B4"/>
    <w:rsid w:val="2F4E3FC3"/>
    <w:rsid w:val="2FC147D2"/>
    <w:rsid w:val="30491A38"/>
    <w:rsid w:val="31D50931"/>
    <w:rsid w:val="32FA0B2B"/>
    <w:rsid w:val="338A6308"/>
    <w:rsid w:val="34BA6149"/>
    <w:rsid w:val="36DD0DAD"/>
    <w:rsid w:val="3811027B"/>
    <w:rsid w:val="396A4AED"/>
    <w:rsid w:val="39BB1CF1"/>
    <w:rsid w:val="39E621B3"/>
    <w:rsid w:val="39F54AEB"/>
    <w:rsid w:val="3ACA794F"/>
    <w:rsid w:val="3AD50A2B"/>
    <w:rsid w:val="3C7C5CF0"/>
    <w:rsid w:val="404A4588"/>
    <w:rsid w:val="409E221E"/>
    <w:rsid w:val="40A97284"/>
    <w:rsid w:val="412A1332"/>
    <w:rsid w:val="41A57291"/>
    <w:rsid w:val="424566C9"/>
    <w:rsid w:val="44E6249F"/>
    <w:rsid w:val="452361D8"/>
    <w:rsid w:val="468E0956"/>
    <w:rsid w:val="46E63A6F"/>
    <w:rsid w:val="47FE19DE"/>
    <w:rsid w:val="4B8156D8"/>
    <w:rsid w:val="4C700AF6"/>
    <w:rsid w:val="4D6A6E3A"/>
    <w:rsid w:val="4E0F6524"/>
    <w:rsid w:val="4E8B1908"/>
    <w:rsid w:val="505B3B7E"/>
    <w:rsid w:val="5082688B"/>
    <w:rsid w:val="516F016A"/>
    <w:rsid w:val="52212188"/>
    <w:rsid w:val="53A27940"/>
    <w:rsid w:val="54E55EF8"/>
    <w:rsid w:val="555E38D2"/>
    <w:rsid w:val="562B387C"/>
    <w:rsid w:val="565F19BA"/>
    <w:rsid w:val="56BC1CB6"/>
    <w:rsid w:val="57D40EEC"/>
    <w:rsid w:val="58631568"/>
    <w:rsid w:val="58866CBD"/>
    <w:rsid w:val="58DD1693"/>
    <w:rsid w:val="594E685E"/>
    <w:rsid w:val="59F118CF"/>
    <w:rsid w:val="5B080989"/>
    <w:rsid w:val="5B5238B0"/>
    <w:rsid w:val="5C10293F"/>
    <w:rsid w:val="5CC07E68"/>
    <w:rsid w:val="5CFD353E"/>
    <w:rsid w:val="5CFD56A9"/>
    <w:rsid w:val="5D9B4374"/>
    <w:rsid w:val="5F7D54AD"/>
    <w:rsid w:val="60E93800"/>
    <w:rsid w:val="61956058"/>
    <w:rsid w:val="62F45876"/>
    <w:rsid w:val="633A2503"/>
    <w:rsid w:val="64D43BB1"/>
    <w:rsid w:val="650F7593"/>
    <w:rsid w:val="655F0424"/>
    <w:rsid w:val="660364FC"/>
    <w:rsid w:val="660A40EC"/>
    <w:rsid w:val="664B6D6A"/>
    <w:rsid w:val="66F51A02"/>
    <w:rsid w:val="67496101"/>
    <w:rsid w:val="677B51A5"/>
    <w:rsid w:val="67D57B3E"/>
    <w:rsid w:val="68206101"/>
    <w:rsid w:val="68BE1FE5"/>
    <w:rsid w:val="6A671B55"/>
    <w:rsid w:val="6A7774B8"/>
    <w:rsid w:val="6C344852"/>
    <w:rsid w:val="6CB510B3"/>
    <w:rsid w:val="6D026E97"/>
    <w:rsid w:val="6F45669A"/>
    <w:rsid w:val="6F903F12"/>
    <w:rsid w:val="71AB16C7"/>
    <w:rsid w:val="725E54B1"/>
    <w:rsid w:val="732857F3"/>
    <w:rsid w:val="73B41531"/>
    <w:rsid w:val="73E74705"/>
    <w:rsid w:val="77235A48"/>
    <w:rsid w:val="779E172A"/>
    <w:rsid w:val="78801C2E"/>
    <w:rsid w:val="78E35D19"/>
    <w:rsid w:val="79556C16"/>
    <w:rsid w:val="795B27B8"/>
    <w:rsid w:val="7A586198"/>
    <w:rsid w:val="7ADD0560"/>
    <w:rsid w:val="7AE23D4B"/>
    <w:rsid w:val="7B204250"/>
    <w:rsid w:val="7B7C73DF"/>
    <w:rsid w:val="7C271B9B"/>
    <w:rsid w:val="7C69593B"/>
    <w:rsid w:val="7C842545"/>
    <w:rsid w:val="7D0E27AB"/>
    <w:rsid w:val="7D8F42D1"/>
    <w:rsid w:val="7DF635B8"/>
    <w:rsid w:val="7FFD22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4"/>
    <w:qFormat/>
    <w:uiPriority w:val="9"/>
    <w:pPr>
      <w:keepNext/>
      <w:tabs>
        <w:tab w:val="left" w:pos="360"/>
      </w:tabs>
      <w:ind w:left="360" w:hanging="360"/>
      <w:outlineLvl w:val="0"/>
    </w:pPr>
    <w:rPr>
      <w:b/>
    </w:rPr>
  </w:style>
  <w:style w:type="paragraph" w:styleId="4">
    <w:name w:val="heading 2"/>
    <w:basedOn w:val="1"/>
    <w:next w:val="1"/>
    <w:link w:val="45"/>
    <w:qFormat/>
    <w:uiPriority w:val="0"/>
    <w:pPr>
      <w:keepNext/>
      <w:keepLines/>
      <w:spacing w:before="260" w:after="260" w:line="416" w:lineRule="auto"/>
      <w:outlineLvl w:val="1"/>
    </w:pPr>
    <w:rPr>
      <w:rFonts w:ascii="Arial" w:hAnsi="Arial" w:eastAsia="黑体"/>
      <w:b/>
      <w:sz w:val="32"/>
    </w:rPr>
  </w:style>
  <w:style w:type="paragraph" w:styleId="5">
    <w:name w:val="heading 3"/>
    <w:basedOn w:val="1"/>
    <w:next w:val="1"/>
    <w:link w:val="46"/>
    <w:qFormat/>
    <w:uiPriority w:val="9"/>
    <w:pPr>
      <w:keepNext/>
      <w:keepLines/>
      <w:spacing w:before="260" w:after="260" w:line="416" w:lineRule="auto"/>
      <w:outlineLvl w:val="2"/>
    </w:pPr>
    <w:rPr>
      <w:b/>
      <w:bCs/>
      <w:sz w:val="32"/>
      <w:szCs w:val="32"/>
    </w:rPr>
  </w:style>
  <w:style w:type="paragraph" w:styleId="6">
    <w:name w:val="heading 4"/>
    <w:basedOn w:val="1"/>
    <w:next w:val="1"/>
    <w:link w:val="47"/>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48"/>
    <w:qFormat/>
    <w:uiPriority w:val="0"/>
    <w:pPr>
      <w:keepNext/>
      <w:keepLines/>
      <w:tabs>
        <w:tab w:val="left" w:pos="1440"/>
      </w:tabs>
      <w:spacing w:before="280" w:after="290" w:line="372" w:lineRule="auto"/>
      <w:ind w:left="1440" w:hanging="900"/>
      <w:outlineLvl w:val="4"/>
    </w:pPr>
    <w:rPr>
      <w:b/>
      <w:sz w:val="28"/>
    </w:rPr>
  </w:style>
  <w:style w:type="paragraph" w:styleId="8">
    <w:name w:val="heading 6"/>
    <w:basedOn w:val="1"/>
    <w:next w:val="1"/>
    <w:link w:val="49"/>
    <w:qFormat/>
    <w:uiPriority w:val="0"/>
    <w:pPr>
      <w:keepNext/>
      <w:keepLines/>
      <w:tabs>
        <w:tab w:val="left" w:pos="1440"/>
      </w:tabs>
      <w:spacing w:before="240" w:after="64" w:line="317" w:lineRule="auto"/>
      <w:ind w:left="1440" w:hanging="900"/>
      <w:outlineLvl w:val="5"/>
    </w:pPr>
    <w:rPr>
      <w:rFonts w:ascii="Arial" w:hAnsi="Arial" w:eastAsia="黑体"/>
      <w:b/>
      <w:sz w:val="24"/>
    </w:rPr>
  </w:style>
  <w:style w:type="paragraph" w:styleId="9">
    <w:name w:val="heading 7"/>
    <w:basedOn w:val="1"/>
    <w:next w:val="1"/>
    <w:link w:val="50"/>
    <w:qFormat/>
    <w:uiPriority w:val="0"/>
    <w:pPr>
      <w:keepNext/>
      <w:keepLines/>
      <w:tabs>
        <w:tab w:val="left" w:pos="1440"/>
      </w:tabs>
      <w:spacing w:before="240" w:after="64" w:line="317" w:lineRule="auto"/>
      <w:ind w:left="1440" w:hanging="900"/>
      <w:outlineLvl w:val="6"/>
    </w:pPr>
    <w:rPr>
      <w:b/>
      <w:sz w:val="24"/>
    </w:rPr>
  </w:style>
  <w:style w:type="paragraph" w:styleId="10">
    <w:name w:val="heading 8"/>
    <w:basedOn w:val="1"/>
    <w:next w:val="1"/>
    <w:link w:val="51"/>
    <w:qFormat/>
    <w:uiPriority w:val="0"/>
    <w:pPr>
      <w:keepNext/>
      <w:keepLines/>
      <w:tabs>
        <w:tab w:val="left" w:pos="1440"/>
      </w:tabs>
      <w:spacing w:before="240" w:after="64" w:line="317" w:lineRule="auto"/>
      <w:ind w:left="1440" w:hanging="900"/>
      <w:outlineLvl w:val="7"/>
    </w:pPr>
    <w:rPr>
      <w:rFonts w:ascii="Arial" w:hAnsi="Arial" w:eastAsia="黑体"/>
      <w:sz w:val="24"/>
    </w:rPr>
  </w:style>
  <w:style w:type="paragraph" w:styleId="11">
    <w:name w:val="heading 9"/>
    <w:basedOn w:val="1"/>
    <w:next w:val="1"/>
    <w:link w:val="52"/>
    <w:qFormat/>
    <w:uiPriority w:val="0"/>
    <w:pPr>
      <w:keepNext/>
      <w:keepLines/>
      <w:tabs>
        <w:tab w:val="left" w:pos="1440"/>
      </w:tabs>
      <w:spacing w:before="240" w:after="64" w:line="317" w:lineRule="auto"/>
      <w:ind w:left="1440" w:hanging="900"/>
      <w:outlineLvl w:val="8"/>
    </w:pPr>
    <w:rPr>
      <w:rFonts w:ascii="Arial" w:hAnsi="Arial" w:eastAsia="黑体"/>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4"/>
    <w:qFormat/>
    <w:uiPriority w:val="0"/>
    <w:rPr>
      <w:rFonts w:ascii="Arial" w:hAnsi="Arial" w:cs="Arial" w:eastAsiaTheme="minorEastAsia"/>
      <w:sz w:val="24"/>
      <w:szCs w:val="22"/>
    </w:rPr>
  </w:style>
  <w:style w:type="paragraph" w:styleId="12">
    <w:name w:val="table of authorities"/>
    <w:basedOn w:val="1"/>
    <w:next w:val="1"/>
    <w:unhideWhenUsed/>
    <w:qFormat/>
    <w:uiPriority w:val="99"/>
    <w:pPr>
      <w:ind w:left="420" w:leftChars="200"/>
    </w:pPr>
  </w:style>
  <w:style w:type="paragraph" w:styleId="13">
    <w:name w:val="Normal Indent"/>
    <w:basedOn w:val="1"/>
    <w:link w:val="77"/>
    <w:qFormat/>
    <w:uiPriority w:val="0"/>
    <w:pPr>
      <w:ind w:firstLine="420" w:firstLineChars="200"/>
    </w:pPr>
    <w:rPr>
      <w:rFonts w:asciiTheme="minorHAnsi" w:hAnsiTheme="minorHAnsi" w:eastAsiaTheme="minorEastAsia" w:cstheme="minorBidi"/>
      <w:szCs w:val="24"/>
    </w:rPr>
  </w:style>
  <w:style w:type="paragraph" w:styleId="14">
    <w:name w:val="caption"/>
    <w:basedOn w:val="1"/>
    <w:next w:val="1"/>
    <w:qFormat/>
    <w:uiPriority w:val="0"/>
    <w:rPr>
      <w:rFonts w:ascii="Arial" w:hAnsi="Arial" w:eastAsia="黑体" w:cs="Arial"/>
      <w:sz w:val="20"/>
    </w:rPr>
  </w:style>
  <w:style w:type="paragraph" w:styleId="15">
    <w:name w:val="Document Map"/>
    <w:basedOn w:val="1"/>
    <w:link w:val="90"/>
    <w:qFormat/>
    <w:uiPriority w:val="0"/>
    <w:pPr>
      <w:shd w:val="clear" w:color="auto" w:fill="000080"/>
    </w:pPr>
    <w:rPr>
      <w:rFonts w:asciiTheme="minorHAnsi" w:hAnsiTheme="minorHAnsi" w:eastAsiaTheme="minorEastAsia" w:cstheme="minorBidi"/>
      <w:szCs w:val="22"/>
    </w:rPr>
  </w:style>
  <w:style w:type="paragraph" w:styleId="16">
    <w:name w:val="toa heading"/>
    <w:basedOn w:val="1"/>
    <w:next w:val="1"/>
    <w:qFormat/>
    <w:uiPriority w:val="0"/>
    <w:pPr>
      <w:spacing w:before="120"/>
    </w:pPr>
    <w:rPr>
      <w:rFonts w:ascii="Cambria" w:hAnsi="Cambria"/>
      <w:sz w:val="24"/>
    </w:rPr>
  </w:style>
  <w:style w:type="paragraph" w:styleId="17">
    <w:name w:val="Salutation"/>
    <w:basedOn w:val="1"/>
    <w:next w:val="1"/>
    <w:link w:val="54"/>
    <w:qFormat/>
    <w:uiPriority w:val="0"/>
    <w:rPr>
      <w:rFonts w:ascii="宋体"/>
      <w:b/>
      <w:sz w:val="28"/>
    </w:rPr>
  </w:style>
  <w:style w:type="paragraph" w:styleId="18">
    <w:name w:val="Body Text Indent"/>
    <w:basedOn w:val="1"/>
    <w:link w:val="56"/>
    <w:qFormat/>
    <w:uiPriority w:val="0"/>
    <w:pPr>
      <w:ind w:firstLine="480"/>
    </w:pPr>
    <w:rPr>
      <w:rFonts w:ascii="宋体" w:hAnsi="宋体"/>
      <w:sz w:val="24"/>
    </w:rPr>
  </w:style>
  <w:style w:type="paragraph" w:styleId="19">
    <w:name w:val="toc 3"/>
    <w:basedOn w:val="1"/>
    <w:next w:val="1"/>
    <w:qFormat/>
    <w:uiPriority w:val="39"/>
    <w:pPr>
      <w:ind w:left="840" w:leftChars="400"/>
    </w:pPr>
  </w:style>
  <w:style w:type="paragraph" w:styleId="20">
    <w:name w:val="Plain Text"/>
    <w:basedOn w:val="1"/>
    <w:link w:val="96"/>
    <w:qFormat/>
    <w:uiPriority w:val="0"/>
    <w:rPr>
      <w:rFonts w:ascii="宋体" w:hAnsi="Courier New" w:cstheme="minorBidi"/>
      <w:szCs w:val="22"/>
    </w:rPr>
  </w:style>
  <w:style w:type="paragraph" w:styleId="21">
    <w:name w:val="Date"/>
    <w:basedOn w:val="1"/>
    <w:next w:val="1"/>
    <w:link w:val="58"/>
    <w:qFormat/>
    <w:uiPriority w:val="0"/>
    <w:pPr>
      <w:ind w:left="100"/>
    </w:pPr>
    <w:rPr>
      <w:sz w:val="24"/>
    </w:rPr>
  </w:style>
  <w:style w:type="paragraph" w:styleId="22">
    <w:name w:val="Body Text Indent 2"/>
    <w:basedOn w:val="1"/>
    <w:link w:val="89"/>
    <w:qFormat/>
    <w:uiPriority w:val="0"/>
    <w:pPr>
      <w:ind w:firstLine="435"/>
    </w:pPr>
    <w:rPr>
      <w:rFonts w:ascii="宋体" w:hAnsi="宋体" w:eastAsiaTheme="minorEastAsia" w:cstheme="minorBidi"/>
      <w:sz w:val="24"/>
      <w:szCs w:val="22"/>
    </w:rPr>
  </w:style>
  <w:style w:type="paragraph" w:styleId="23">
    <w:name w:val="Balloon Text"/>
    <w:basedOn w:val="1"/>
    <w:link w:val="60"/>
    <w:semiHidden/>
    <w:qFormat/>
    <w:uiPriority w:val="99"/>
    <w:rPr>
      <w:sz w:val="18"/>
      <w:szCs w:val="18"/>
    </w:rPr>
  </w:style>
  <w:style w:type="paragraph" w:styleId="24">
    <w:name w:val="footer"/>
    <w:basedOn w:val="1"/>
    <w:link w:val="61"/>
    <w:unhideWhenUsed/>
    <w:qFormat/>
    <w:uiPriority w:val="99"/>
    <w:pPr>
      <w:tabs>
        <w:tab w:val="center" w:pos="4153"/>
        <w:tab w:val="right" w:pos="8306"/>
      </w:tabs>
      <w:snapToGrid w:val="0"/>
      <w:jc w:val="left"/>
    </w:pPr>
    <w:rPr>
      <w:sz w:val="18"/>
      <w:szCs w:val="18"/>
    </w:rPr>
  </w:style>
  <w:style w:type="paragraph" w:styleId="25">
    <w:name w:val="header"/>
    <w:basedOn w:val="1"/>
    <w:link w:val="62"/>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Body Text Indent 3"/>
    <w:basedOn w:val="1"/>
    <w:link w:val="63"/>
    <w:qFormat/>
    <w:uiPriority w:val="0"/>
    <w:pPr>
      <w:ind w:left="471" w:hanging="471" w:hangingChars="200"/>
    </w:pPr>
    <w:rPr>
      <w:rFonts w:ascii="Arial" w:hAnsi="Arial" w:cs="Arial"/>
      <w:b/>
      <w:bCs/>
      <w:sz w:val="24"/>
    </w:rPr>
  </w:style>
  <w:style w:type="paragraph" w:styleId="28">
    <w:name w:val="toc 2"/>
    <w:basedOn w:val="1"/>
    <w:next w:val="1"/>
    <w:qFormat/>
    <w:uiPriority w:val="39"/>
    <w:pPr>
      <w:ind w:left="420" w:leftChars="200"/>
    </w:pPr>
  </w:style>
  <w:style w:type="paragraph" w:styleId="29">
    <w:name w:val="Body Text 2"/>
    <w:basedOn w:val="1"/>
    <w:link w:val="64"/>
    <w:qFormat/>
    <w:uiPriority w:val="0"/>
    <w:pPr>
      <w:spacing w:line="360" w:lineRule="auto"/>
    </w:pPr>
    <w:rPr>
      <w:b/>
      <w:sz w:val="28"/>
      <w:szCs w:val="21"/>
    </w:rPr>
  </w:style>
  <w:style w:type="paragraph" w:styleId="30">
    <w:name w:val="Normal (Web)"/>
    <w:basedOn w:val="1"/>
    <w:link w:val="106"/>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31">
    <w:name w:val="Title"/>
    <w:basedOn w:val="1"/>
    <w:next w:val="1"/>
    <w:qFormat/>
    <w:uiPriority w:val="10"/>
    <w:pPr>
      <w:spacing w:before="240" w:after="60"/>
      <w:jc w:val="center"/>
      <w:outlineLvl w:val="0"/>
    </w:pPr>
    <w:rPr>
      <w:rFonts w:asciiTheme="majorHAnsi" w:hAnsiTheme="majorHAnsi" w:eastAsiaTheme="majorEastAsia" w:cstheme="majorBidi"/>
      <w:b/>
      <w:bCs/>
      <w:sz w:val="32"/>
      <w:szCs w:val="32"/>
    </w:rPr>
  </w:style>
  <w:style w:type="paragraph" w:styleId="32">
    <w:name w:val="Body Text First Indent"/>
    <w:basedOn w:val="2"/>
    <w:link w:val="101"/>
    <w:qFormat/>
    <w:uiPriority w:val="0"/>
    <w:pPr>
      <w:spacing w:after="120"/>
      <w:ind w:firstLine="420" w:firstLineChars="100"/>
    </w:pPr>
  </w:style>
  <w:style w:type="table" w:styleId="34">
    <w:name w:val="Table Grid"/>
    <w:basedOn w:val="33"/>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6">
    <w:name w:val="Strong"/>
    <w:basedOn w:val="35"/>
    <w:qFormat/>
    <w:uiPriority w:val="22"/>
    <w:rPr>
      <w:b/>
      <w:bCs/>
    </w:rPr>
  </w:style>
  <w:style w:type="character" w:styleId="37">
    <w:name w:val="page number"/>
    <w:basedOn w:val="35"/>
    <w:qFormat/>
    <w:uiPriority w:val="0"/>
  </w:style>
  <w:style w:type="character" w:styleId="38">
    <w:name w:val="FollowedHyperlink"/>
    <w:qFormat/>
    <w:uiPriority w:val="0"/>
    <w:rPr>
      <w:color w:val="800080"/>
      <w:u w:val="single"/>
    </w:rPr>
  </w:style>
  <w:style w:type="character" w:styleId="39">
    <w:name w:val="Emphasis"/>
    <w:qFormat/>
    <w:uiPriority w:val="20"/>
    <w:rPr>
      <w:color w:val="CC0033"/>
    </w:rPr>
  </w:style>
  <w:style w:type="character" w:styleId="40">
    <w:name w:val="Hyperlink"/>
    <w:basedOn w:val="35"/>
    <w:qFormat/>
    <w:uiPriority w:val="99"/>
    <w:rPr>
      <w:color w:val="0000FF"/>
      <w:u w:val="single"/>
    </w:rPr>
  </w:style>
  <w:style w:type="character" w:styleId="41">
    <w:name w:val="annotation reference"/>
    <w:basedOn w:val="35"/>
    <w:semiHidden/>
    <w:unhideWhenUsed/>
    <w:qFormat/>
    <w:uiPriority w:val="99"/>
    <w:rPr>
      <w:sz w:val="21"/>
      <w:szCs w:val="21"/>
    </w:rPr>
  </w:style>
  <w:style w:type="character" w:styleId="42">
    <w:name w:val="HTML Sample"/>
    <w:basedOn w:val="35"/>
    <w:semiHidden/>
    <w:unhideWhenUsed/>
    <w:qFormat/>
    <w:uiPriority w:val="99"/>
    <w:rPr>
      <w:rFonts w:ascii="宋体" w:hAnsi="宋体" w:eastAsia="宋体" w:cs="宋体"/>
    </w:rPr>
  </w:style>
  <w:style w:type="paragraph" w:customStyle="1" w:styleId="43">
    <w:name w:val="正文（缩进）"/>
    <w:basedOn w:val="1"/>
    <w:next w:val="1"/>
    <w:qFormat/>
    <w:uiPriority w:val="0"/>
    <w:pPr>
      <w:widowControl/>
      <w:ind w:firstLine="480"/>
    </w:pPr>
    <w:rPr>
      <w:rFonts w:ascii="仿宋" w:hAnsi="仿宋"/>
      <w:kern w:val="0"/>
      <w:sz w:val="28"/>
      <w:lang w:bidi="th-TH"/>
    </w:rPr>
  </w:style>
  <w:style w:type="character" w:customStyle="1" w:styleId="44">
    <w:name w:val="标题 1 字符"/>
    <w:basedOn w:val="35"/>
    <w:link w:val="3"/>
    <w:qFormat/>
    <w:uiPriority w:val="9"/>
    <w:rPr>
      <w:rFonts w:ascii="Times New Roman" w:hAnsi="Times New Roman" w:eastAsia="宋体" w:cs="Times New Roman"/>
      <w:b/>
      <w:szCs w:val="20"/>
    </w:rPr>
  </w:style>
  <w:style w:type="character" w:customStyle="1" w:styleId="45">
    <w:name w:val="标题 2 字符"/>
    <w:basedOn w:val="35"/>
    <w:link w:val="4"/>
    <w:qFormat/>
    <w:uiPriority w:val="0"/>
    <w:rPr>
      <w:rFonts w:ascii="Arial" w:hAnsi="Arial" w:eastAsia="黑体" w:cs="Times New Roman"/>
      <w:b/>
      <w:sz w:val="32"/>
      <w:szCs w:val="20"/>
    </w:rPr>
  </w:style>
  <w:style w:type="character" w:customStyle="1" w:styleId="46">
    <w:name w:val="标题 3 字符"/>
    <w:basedOn w:val="35"/>
    <w:link w:val="5"/>
    <w:qFormat/>
    <w:uiPriority w:val="9"/>
    <w:rPr>
      <w:rFonts w:ascii="Times New Roman" w:hAnsi="Times New Roman" w:eastAsia="宋体" w:cs="Times New Roman"/>
      <w:b/>
      <w:bCs/>
      <w:sz w:val="32"/>
      <w:szCs w:val="32"/>
    </w:rPr>
  </w:style>
  <w:style w:type="character" w:customStyle="1" w:styleId="47">
    <w:name w:val="标题 4 字符"/>
    <w:basedOn w:val="35"/>
    <w:link w:val="6"/>
    <w:qFormat/>
    <w:uiPriority w:val="0"/>
    <w:rPr>
      <w:rFonts w:ascii="Arial" w:hAnsi="Arial" w:eastAsia="黑体" w:cs="Times New Roman"/>
      <w:b/>
      <w:bCs/>
      <w:sz w:val="28"/>
      <w:szCs w:val="28"/>
    </w:rPr>
  </w:style>
  <w:style w:type="character" w:customStyle="1" w:styleId="48">
    <w:name w:val="标题 5 字符"/>
    <w:basedOn w:val="35"/>
    <w:link w:val="7"/>
    <w:qFormat/>
    <w:uiPriority w:val="0"/>
    <w:rPr>
      <w:rFonts w:ascii="Times New Roman" w:hAnsi="Times New Roman" w:eastAsia="宋体" w:cs="Times New Roman"/>
      <w:b/>
      <w:sz w:val="28"/>
      <w:szCs w:val="20"/>
    </w:rPr>
  </w:style>
  <w:style w:type="character" w:customStyle="1" w:styleId="49">
    <w:name w:val="标题 6 字符"/>
    <w:basedOn w:val="35"/>
    <w:link w:val="8"/>
    <w:qFormat/>
    <w:uiPriority w:val="0"/>
    <w:rPr>
      <w:rFonts w:ascii="Arial" w:hAnsi="Arial" w:eastAsia="黑体" w:cs="Times New Roman"/>
      <w:b/>
      <w:sz w:val="24"/>
      <w:szCs w:val="20"/>
    </w:rPr>
  </w:style>
  <w:style w:type="character" w:customStyle="1" w:styleId="50">
    <w:name w:val="标题 7 字符"/>
    <w:basedOn w:val="35"/>
    <w:link w:val="9"/>
    <w:qFormat/>
    <w:uiPriority w:val="0"/>
    <w:rPr>
      <w:rFonts w:ascii="Times New Roman" w:hAnsi="Times New Roman" w:eastAsia="宋体" w:cs="Times New Roman"/>
      <w:b/>
      <w:sz w:val="24"/>
      <w:szCs w:val="20"/>
    </w:rPr>
  </w:style>
  <w:style w:type="character" w:customStyle="1" w:styleId="51">
    <w:name w:val="标题 8 字符"/>
    <w:basedOn w:val="35"/>
    <w:link w:val="10"/>
    <w:qFormat/>
    <w:uiPriority w:val="0"/>
    <w:rPr>
      <w:rFonts w:ascii="Arial" w:hAnsi="Arial" w:eastAsia="黑体" w:cs="Times New Roman"/>
      <w:sz w:val="24"/>
      <w:szCs w:val="20"/>
    </w:rPr>
  </w:style>
  <w:style w:type="character" w:customStyle="1" w:styleId="52">
    <w:name w:val="标题 9 字符"/>
    <w:basedOn w:val="35"/>
    <w:link w:val="11"/>
    <w:qFormat/>
    <w:uiPriority w:val="0"/>
    <w:rPr>
      <w:rFonts w:ascii="Arial" w:hAnsi="Arial" w:eastAsia="黑体" w:cs="Times New Roman"/>
      <w:szCs w:val="20"/>
    </w:rPr>
  </w:style>
  <w:style w:type="character" w:customStyle="1" w:styleId="53">
    <w:name w:val="文档结构图 Char"/>
    <w:basedOn w:val="35"/>
    <w:qFormat/>
    <w:uiPriority w:val="0"/>
    <w:rPr>
      <w:rFonts w:ascii="宋体" w:hAnsi="Times New Roman" w:eastAsia="宋体" w:cs="Times New Roman"/>
      <w:sz w:val="18"/>
      <w:szCs w:val="18"/>
    </w:rPr>
  </w:style>
  <w:style w:type="character" w:customStyle="1" w:styleId="54">
    <w:name w:val="称呼 字符"/>
    <w:basedOn w:val="35"/>
    <w:link w:val="17"/>
    <w:qFormat/>
    <w:uiPriority w:val="0"/>
    <w:rPr>
      <w:rFonts w:ascii="宋体" w:hAnsi="Times New Roman" w:eastAsia="宋体" w:cs="Times New Roman"/>
      <w:b/>
      <w:sz w:val="28"/>
      <w:szCs w:val="20"/>
    </w:rPr>
  </w:style>
  <w:style w:type="character" w:customStyle="1" w:styleId="55">
    <w:name w:val="正文文本 Char"/>
    <w:basedOn w:val="35"/>
    <w:qFormat/>
    <w:uiPriority w:val="0"/>
    <w:rPr>
      <w:rFonts w:ascii="Times New Roman" w:hAnsi="Times New Roman" w:eastAsia="宋体" w:cs="Times New Roman"/>
      <w:szCs w:val="20"/>
    </w:rPr>
  </w:style>
  <w:style w:type="character" w:customStyle="1" w:styleId="56">
    <w:name w:val="正文文本缩进 字符"/>
    <w:basedOn w:val="35"/>
    <w:link w:val="18"/>
    <w:qFormat/>
    <w:uiPriority w:val="0"/>
    <w:rPr>
      <w:rFonts w:ascii="宋体" w:hAnsi="宋体" w:eastAsia="宋体" w:cs="Times New Roman"/>
      <w:sz w:val="24"/>
      <w:szCs w:val="20"/>
    </w:rPr>
  </w:style>
  <w:style w:type="character" w:customStyle="1" w:styleId="57">
    <w:name w:val="纯文本 Char"/>
    <w:basedOn w:val="35"/>
    <w:qFormat/>
    <w:uiPriority w:val="0"/>
    <w:rPr>
      <w:rFonts w:ascii="宋体" w:hAnsi="Courier New" w:eastAsia="宋体" w:cs="Courier New"/>
      <w:szCs w:val="21"/>
    </w:rPr>
  </w:style>
  <w:style w:type="character" w:customStyle="1" w:styleId="58">
    <w:name w:val="日期 字符"/>
    <w:basedOn w:val="35"/>
    <w:link w:val="21"/>
    <w:qFormat/>
    <w:uiPriority w:val="0"/>
    <w:rPr>
      <w:rFonts w:ascii="Times New Roman" w:hAnsi="Times New Roman" w:eastAsia="宋体" w:cs="Times New Roman"/>
      <w:sz w:val="24"/>
      <w:szCs w:val="20"/>
    </w:rPr>
  </w:style>
  <w:style w:type="character" w:customStyle="1" w:styleId="59">
    <w:name w:val="正文文本缩进 2 Char"/>
    <w:basedOn w:val="35"/>
    <w:qFormat/>
    <w:uiPriority w:val="0"/>
    <w:rPr>
      <w:rFonts w:ascii="Times New Roman" w:hAnsi="Times New Roman" w:eastAsia="宋体" w:cs="Times New Roman"/>
      <w:szCs w:val="20"/>
    </w:rPr>
  </w:style>
  <w:style w:type="character" w:customStyle="1" w:styleId="60">
    <w:name w:val="批注框文本 字符"/>
    <w:basedOn w:val="35"/>
    <w:link w:val="23"/>
    <w:semiHidden/>
    <w:qFormat/>
    <w:uiPriority w:val="99"/>
    <w:rPr>
      <w:rFonts w:ascii="Times New Roman" w:hAnsi="Times New Roman" w:eastAsia="宋体" w:cs="Times New Roman"/>
      <w:sz w:val="18"/>
      <w:szCs w:val="18"/>
    </w:rPr>
  </w:style>
  <w:style w:type="character" w:customStyle="1" w:styleId="61">
    <w:name w:val="页脚 字符"/>
    <w:basedOn w:val="35"/>
    <w:link w:val="24"/>
    <w:qFormat/>
    <w:uiPriority w:val="99"/>
    <w:rPr>
      <w:rFonts w:ascii="Times New Roman" w:hAnsi="Times New Roman" w:eastAsia="宋体" w:cs="Times New Roman"/>
      <w:sz w:val="18"/>
      <w:szCs w:val="18"/>
    </w:rPr>
  </w:style>
  <w:style w:type="character" w:customStyle="1" w:styleId="62">
    <w:name w:val="页眉 字符"/>
    <w:basedOn w:val="35"/>
    <w:link w:val="25"/>
    <w:qFormat/>
    <w:uiPriority w:val="99"/>
    <w:rPr>
      <w:rFonts w:ascii="Times New Roman" w:hAnsi="Times New Roman" w:eastAsia="宋体" w:cs="Times New Roman"/>
      <w:sz w:val="18"/>
      <w:szCs w:val="18"/>
    </w:rPr>
  </w:style>
  <w:style w:type="character" w:customStyle="1" w:styleId="63">
    <w:name w:val="正文文本缩进 3 字符"/>
    <w:basedOn w:val="35"/>
    <w:link w:val="27"/>
    <w:qFormat/>
    <w:uiPriority w:val="0"/>
    <w:rPr>
      <w:rFonts w:ascii="Arial" w:hAnsi="Arial" w:eastAsia="宋体" w:cs="Arial"/>
      <w:b/>
      <w:bCs/>
      <w:sz w:val="24"/>
      <w:szCs w:val="20"/>
    </w:rPr>
  </w:style>
  <w:style w:type="character" w:customStyle="1" w:styleId="64">
    <w:name w:val="正文文本 2 字符"/>
    <w:basedOn w:val="35"/>
    <w:link w:val="29"/>
    <w:qFormat/>
    <w:uiPriority w:val="0"/>
    <w:rPr>
      <w:rFonts w:ascii="Times New Roman" w:hAnsi="Times New Roman" w:eastAsia="宋体" w:cs="Times New Roman"/>
      <w:b/>
      <w:sz w:val="28"/>
      <w:szCs w:val="21"/>
    </w:rPr>
  </w:style>
  <w:style w:type="character" w:customStyle="1" w:styleId="65">
    <w:name w:val="正文首行缩进 Char"/>
    <w:basedOn w:val="55"/>
    <w:qFormat/>
    <w:uiPriority w:val="0"/>
    <w:rPr>
      <w:rFonts w:ascii="Times New Roman" w:hAnsi="Times New Roman" w:eastAsia="宋体" w:cs="Times New Roman"/>
      <w:szCs w:val="20"/>
    </w:rPr>
  </w:style>
  <w:style w:type="character" w:customStyle="1" w:styleId="66">
    <w:name w:val="p21"/>
    <w:qFormat/>
    <w:uiPriority w:val="0"/>
    <w:rPr>
      <w:rFonts w:hint="default" w:ascii="Arial" w:hAnsi="Arial" w:cs="Arial"/>
      <w:color w:val="333333"/>
      <w:sz w:val="18"/>
      <w:szCs w:val="18"/>
      <w:u w:val="none"/>
    </w:rPr>
  </w:style>
  <w:style w:type="character" w:customStyle="1" w:styleId="67">
    <w:name w:val="font21"/>
    <w:basedOn w:val="35"/>
    <w:qFormat/>
    <w:uiPriority w:val="0"/>
    <w:rPr>
      <w:rFonts w:hint="eastAsia" w:ascii="宋体" w:hAnsi="宋体" w:eastAsia="宋体" w:cs="宋体"/>
      <w:color w:val="000000"/>
      <w:sz w:val="22"/>
      <w:szCs w:val="22"/>
      <w:u w:val="none"/>
    </w:rPr>
  </w:style>
  <w:style w:type="character" w:customStyle="1" w:styleId="68">
    <w:name w:val="所标正文 Char Char"/>
    <w:link w:val="69"/>
    <w:qFormat/>
    <w:uiPriority w:val="0"/>
    <w:rPr>
      <w:rFonts w:ascii="仿宋_GB2312" w:hAnsi="Calibri" w:eastAsia="仿宋_GB2312"/>
      <w:sz w:val="30"/>
      <w:szCs w:val="28"/>
    </w:rPr>
  </w:style>
  <w:style w:type="paragraph" w:customStyle="1" w:styleId="69">
    <w:name w:val="所标正文"/>
    <w:basedOn w:val="1"/>
    <w:link w:val="68"/>
    <w:qFormat/>
    <w:uiPriority w:val="0"/>
    <w:pPr>
      <w:spacing w:line="360" w:lineRule="auto"/>
      <w:ind w:firstLine="200" w:firstLineChars="200"/>
    </w:pPr>
    <w:rPr>
      <w:rFonts w:ascii="仿宋_GB2312" w:hAnsi="Calibri" w:eastAsia="仿宋_GB2312" w:cstheme="minorBidi"/>
      <w:sz w:val="30"/>
      <w:szCs w:val="28"/>
    </w:rPr>
  </w:style>
  <w:style w:type="character" w:customStyle="1" w:styleId="70">
    <w:name w:val="正文文字 Char1"/>
    <w:link w:val="71"/>
    <w:qFormat/>
    <w:uiPriority w:val="0"/>
    <w:rPr>
      <w:rFonts w:ascii="宋体" w:eastAsia="宋体"/>
      <w:color w:val="000000"/>
      <w:sz w:val="28"/>
      <w:u w:color="000000"/>
    </w:rPr>
  </w:style>
  <w:style w:type="paragraph" w:customStyle="1" w:styleId="71">
    <w:name w:val="正文文字"/>
    <w:basedOn w:val="1"/>
    <w:link w:val="70"/>
    <w:qFormat/>
    <w:uiPriority w:val="0"/>
    <w:pPr>
      <w:widowControl/>
      <w:spacing w:line="2375" w:lineRule="atLeast"/>
      <w:ind w:firstLine="419"/>
      <w:textAlignment w:val="baseline"/>
    </w:pPr>
    <w:rPr>
      <w:rFonts w:ascii="宋体" w:hAnsiTheme="minorHAnsi" w:cstheme="minorBidi"/>
      <w:color w:val="000000"/>
      <w:sz w:val="28"/>
      <w:szCs w:val="22"/>
      <w:u w:color="000000"/>
    </w:rPr>
  </w:style>
  <w:style w:type="character" w:customStyle="1" w:styleId="72">
    <w:name w:val="marklong"/>
    <w:basedOn w:val="35"/>
    <w:qFormat/>
    <w:uiPriority w:val="0"/>
  </w:style>
  <w:style w:type="character" w:customStyle="1" w:styleId="73">
    <w:name w:val="unnamed1"/>
    <w:basedOn w:val="35"/>
    <w:qFormat/>
    <w:uiPriority w:val="0"/>
  </w:style>
  <w:style w:type="character" w:customStyle="1" w:styleId="74">
    <w:name w:val="css21"/>
    <w:qFormat/>
    <w:uiPriority w:val="0"/>
    <w:rPr>
      <w:sz w:val="18"/>
      <w:szCs w:val="18"/>
    </w:rPr>
  </w:style>
  <w:style w:type="character" w:customStyle="1" w:styleId="75">
    <w:name w:val="font01"/>
    <w:basedOn w:val="35"/>
    <w:qFormat/>
    <w:uiPriority w:val="0"/>
    <w:rPr>
      <w:rFonts w:hint="eastAsia" w:ascii="宋体" w:hAnsi="宋体" w:eastAsia="宋体" w:cs="宋体"/>
      <w:color w:val="000000"/>
      <w:sz w:val="22"/>
      <w:szCs w:val="22"/>
      <w:u w:val="none"/>
    </w:rPr>
  </w:style>
  <w:style w:type="character" w:customStyle="1" w:styleId="76">
    <w:name w:val="纯文本 Char Char Char Char Char Char"/>
    <w:qFormat/>
    <w:locked/>
    <w:uiPriority w:val="0"/>
    <w:rPr>
      <w:rFonts w:ascii="宋体" w:hAnsi="Courier New" w:eastAsia="宋体"/>
      <w:kern w:val="2"/>
      <w:sz w:val="21"/>
      <w:lang w:val="en-US" w:eastAsia="zh-CN" w:bidi="ar-SA"/>
    </w:rPr>
  </w:style>
  <w:style w:type="character" w:customStyle="1" w:styleId="77">
    <w:name w:val="正文缩进 字符"/>
    <w:link w:val="13"/>
    <w:qFormat/>
    <w:uiPriority w:val="0"/>
    <w:rPr>
      <w:szCs w:val="24"/>
    </w:rPr>
  </w:style>
  <w:style w:type="character" w:customStyle="1" w:styleId="78">
    <w:name w:val="样式 正文缩进 + 首行缩进:  2 字符 Char"/>
    <w:link w:val="79"/>
    <w:qFormat/>
    <w:uiPriority w:val="0"/>
    <w:rPr>
      <w:sz w:val="24"/>
    </w:rPr>
  </w:style>
  <w:style w:type="paragraph" w:customStyle="1" w:styleId="79">
    <w:name w:val="样式 正文缩进 + 首行缩进:  2 字符"/>
    <w:basedOn w:val="13"/>
    <w:link w:val="78"/>
    <w:qFormat/>
    <w:uiPriority w:val="0"/>
    <w:pPr>
      <w:spacing w:line="360" w:lineRule="auto"/>
      <w:ind w:firstLine="200"/>
    </w:pPr>
    <w:rPr>
      <w:sz w:val="24"/>
      <w:szCs w:val="22"/>
    </w:rPr>
  </w:style>
  <w:style w:type="character" w:customStyle="1" w:styleId="80">
    <w:name w:val="标准段落正文 Char"/>
    <w:link w:val="81"/>
    <w:qFormat/>
    <w:uiPriority w:val="0"/>
    <w:rPr>
      <w:rFonts w:cs="宋体"/>
      <w:sz w:val="24"/>
    </w:rPr>
  </w:style>
  <w:style w:type="paragraph" w:customStyle="1" w:styleId="81">
    <w:name w:val="标准段落正文"/>
    <w:basedOn w:val="1"/>
    <w:link w:val="80"/>
    <w:qFormat/>
    <w:uiPriority w:val="0"/>
    <w:pPr>
      <w:spacing w:line="360" w:lineRule="auto"/>
      <w:ind w:firstLine="482"/>
    </w:pPr>
    <w:rPr>
      <w:rFonts w:cs="宋体" w:asciiTheme="minorHAnsi" w:hAnsiTheme="minorHAnsi" w:eastAsiaTheme="minorEastAsia"/>
      <w:sz w:val="24"/>
      <w:szCs w:val="22"/>
    </w:rPr>
  </w:style>
  <w:style w:type="character" w:customStyle="1" w:styleId="82">
    <w:name w:val="正文文字 Char"/>
    <w:qFormat/>
    <w:uiPriority w:val="0"/>
    <w:rPr>
      <w:rFonts w:ascii="Arial" w:hAnsi="Arial" w:eastAsia="宋体" w:cs="Arial"/>
      <w:kern w:val="2"/>
      <w:sz w:val="24"/>
      <w:lang w:val="en-US" w:eastAsia="zh-CN" w:bidi="ar-SA"/>
    </w:rPr>
  </w:style>
  <w:style w:type="character" w:customStyle="1" w:styleId="83">
    <w:name w:val="书籍标题1"/>
    <w:qFormat/>
    <w:uiPriority w:val="0"/>
    <w:rPr>
      <w:b/>
      <w:bCs/>
      <w:smallCaps/>
      <w:spacing w:val="5"/>
    </w:rPr>
  </w:style>
  <w:style w:type="character" w:customStyle="1" w:styleId="84">
    <w:name w:val="con"/>
    <w:qFormat/>
    <w:uiPriority w:val="0"/>
  </w:style>
  <w:style w:type="character" w:customStyle="1" w:styleId="85">
    <w:name w:val="明显参考1"/>
    <w:qFormat/>
    <w:uiPriority w:val="0"/>
    <w:rPr>
      <w:b/>
      <w:bCs/>
      <w:smallCaps/>
      <w:color w:val="C0504D"/>
      <w:spacing w:val="5"/>
      <w:u w:val="single"/>
    </w:rPr>
  </w:style>
  <w:style w:type="character" w:customStyle="1" w:styleId="86">
    <w:name w:val="grame"/>
    <w:basedOn w:val="35"/>
    <w:qFormat/>
    <w:uiPriority w:val="0"/>
  </w:style>
  <w:style w:type="paragraph" w:customStyle="1" w:styleId="87">
    <w:name w:val="列出段落1"/>
    <w:basedOn w:val="1"/>
    <w:qFormat/>
    <w:uiPriority w:val="34"/>
    <w:pPr>
      <w:ind w:firstLine="420" w:firstLineChars="200"/>
    </w:pPr>
    <w:rPr>
      <w:rFonts w:ascii="Calibri" w:hAnsi="Calibri"/>
      <w:szCs w:val="22"/>
    </w:rPr>
  </w:style>
  <w:style w:type="paragraph" w:customStyle="1" w:styleId="88">
    <w:name w:val="标题 31"/>
    <w:basedOn w:val="1"/>
    <w:next w:val="1"/>
    <w:qFormat/>
    <w:uiPriority w:val="0"/>
    <w:pPr>
      <w:adjustRightInd w:val="0"/>
      <w:snapToGrid w:val="0"/>
      <w:spacing w:line="360" w:lineRule="auto"/>
      <w:outlineLvl w:val="2"/>
    </w:pPr>
    <w:rPr>
      <w:rFonts w:hAnsi="宋体"/>
      <w:b/>
      <w:bCs/>
      <w:sz w:val="24"/>
      <w:szCs w:val="21"/>
    </w:rPr>
  </w:style>
  <w:style w:type="character" w:customStyle="1" w:styleId="89">
    <w:name w:val="正文文本缩进 2 字符"/>
    <w:basedOn w:val="35"/>
    <w:link w:val="22"/>
    <w:qFormat/>
    <w:uiPriority w:val="0"/>
    <w:rPr>
      <w:rFonts w:ascii="宋体" w:hAnsi="宋体"/>
      <w:sz w:val="24"/>
    </w:rPr>
  </w:style>
  <w:style w:type="character" w:customStyle="1" w:styleId="90">
    <w:name w:val="文档结构图 字符"/>
    <w:basedOn w:val="35"/>
    <w:link w:val="15"/>
    <w:qFormat/>
    <w:uiPriority w:val="99"/>
    <w:rPr>
      <w:shd w:val="clear" w:color="auto" w:fill="000080"/>
    </w:rPr>
  </w:style>
  <w:style w:type="paragraph" w:customStyle="1" w:styleId="91">
    <w:name w:val="Char"/>
    <w:basedOn w:val="1"/>
    <w:semiHidden/>
    <w:qFormat/>
    <w:uiPriority w:val="0"/>
    <w:rPr>
      <w:rFonts w:ascii="Tahoma" w:hAnsi="Tahoma" w:cs="仿宋_GB2312"/>
      <w:sz w:val="24"/>
      <w:szCs w:val="28"/>
    </w:rPr>
  </w:style>
  <w:style w:type="paragraph" w:customStyle="1" w:styleId="92">
    <w:name w:val="正文缩进1"/>
    <w:basedOn w:val="1"/>
    <w:qFormat/>
    <w:uiPriority w:val="0"/>
    <w:pPr>
      <w:ind w:firstLine="420" w:firstLineChars="200"/>
    </w:pPr>
    <w:rPr>
      <w:rFonts w:ascii="Calibri" w:hAnsi="Calibri"/>
    </w:rPr>
  </w:style>
  <w:style w:type="paragraph" w:customStyle="1" w:styleId="93">
    <w:name w:val="条目3"/>
    <w:basedOn w:val="20"/>
    <w:qFormat/>
    <w:uiPriority w:val="0"/>
  </w:style>
  <w:style w:type="character" w:customStyle="1" w:styleId="94">
    <w:name w:val="正文文本 字符"/>
    <w:basedOn w:val="35"/>
    <w:link w:val="2"/>
    <w:qFormat/>
    <w:uiPriority w:val="0"/>
    <w:rPr>
      <w:rFonts w:ascii="Arial" w:hAnsi="Arial" w:cs="Arial"/>
      <w:sz w:val="24"/>
    </w:rPr>
  </w:style>
  <w:style w:type="paragraph" w:customStyle="1" w:styleId="95">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96">
    <w:name w:val="纯文本 字符"/>
    <w:basedOn w:val="35"/>
    <w:link w:val="20"/>
    <w:qFormat/>
    <w:uiPriority w:val="0"/>
    <w:rPr>
      <w:rFonts w:ascii="宋体" w:hAnsi="Courier New" w:eastAsia="宋体"/>
    </w:rPr>
  </w:style>
  <w:style w:type="paragraph" w:customStyle="1" w:styleId="97">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98">
    <w:name w:val="列出段落11"/>
    <w:basedOn w:val="1"/>
    <w:qFormat/>
    <w:uiPriority w:val="0"/>
    <w:pPr>
      <w:ind w:firstLine="420" w:firstLineChars="200"/>
    </w:pPr>
  </w:style>
  <w:style w:type="paragraph" w:customStyle="1" w:styleId="99">
    <w:name w:val="Char1"/>
    <w:basedOn w:val="1"/>
    <w:qFormat/>
    <w:uiPriority w:val="0"/>
    <w:pPr>
      <w:widowControl/>
      <w:spacing w:after="160" w:line="240" w:lineRule="exact"/>
      <w:jc w:val="left"/>
    </w:pPr>
    <w:rPr>
      <w:rFonts w:ascii="Verdana" w:hAnsi="Verdana"/>
      <w:kern w:val="0"/>
      <w:sz w:val="20"/>
      <w:lang w:eastAsia="en-US"/>
    </w:rPr>
  </w:style>
  <w:style w:type="paragraph" w:customStyle="1" w:styleId="100">
    <w:name w:val="首页大标题"/>
    <w:basedOn w:val="69"/>
    <w:qFormat/>
    <w:uiPriority w:val="0"/>
    <w:pPr>
      <w:ind w:firstLine="0" w:firstLineChars="0"/>
      <w:jc w:val="center"/>
    </w:pPr>
    <w:rPr>
      <w:rFonts w:ascii="黑体" w:eastAsia="黑体"/>
      <w:b/>
      <w:sz w:val="52"/>
    </w:rPr>
  </w:style>
  <w:style w:type="character" w:customStyle="1" w:styleId="101">
    <w:name w:val="正文文本首行缩进 字符"/>
    <w:basedOn w:val="94"/>
    <w:link w:val="32"/>
    <w:qFormat/>
    <w:uiPriority w:val="0"/>
    <w:rPr>
      <w:rFonts w:ascii="Arial" w:hAnsi="Arial" w:cs="Arial"/>
      <w:sz w:val="24"/>
    </w:rPr>
  </w:style>
  <w:style w:type="paragraph" w:customStyle="1" w:styleId="102">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3">
    <w:name w:val="p0"/>
    <w:basedOn w:val="1"/>
    <w:qFormat/>
    <w:uiPriority w:val="0"/>
    <w:pPr>
      <w:widowControl/>
    </w:pPr>
    <w:rPr>
      <w:kern w:val="0"/>
      <w:szCs w:val="21"/>
    </w:rPr>
  </w:style>
  <w:style w:type="paragraph" w:customStyle="1" w:styleId="104">
    <w:name w:val="条目2"/>
    <w:basedOn w:val="20"/>
    <w:qFormat/>
    <w:uiPriority w:val="0"/>
    <w:pPr>
      <w:tabs>
        <w:tab w:val="left" w:pos="420"/>
      </w:tabs>
      <w:spacing w:line="360" w:lineRule="auto"/>
      <w:ind w:left="420" w:hanging="420"/>
    </w:pPr>
    <w:rPr>
      <w:color w:val="000000"/>
      <w:sz w:val="30"/>
    </w:rPr>
  </w:style>
  <w:style w:type="paragraph" w:customStyle="1" w:styleId="105">
    <w:name w:val="1 Char Char Char Char"/>
    <w:basedOn w:val="1"/>
    <w:qFormat/>
    <w:uiPriority w:val="0"/>
    <w:rPr>
      <w:rFonts w:ascii="Tahoma" w:hAnsi="Tahoma"/>
      <w:sz w:val="24"/>
    </w:rPr>
  </w:style>
  <w:style w:type="character" w:customStyle="1" w:styleId="106">
    <w:name w:val="普通(网站) 字符"/>
    <w:link w:val="30"/>
    <w:qFormat/>
    <w:uiPriority w:val="99"/>
    <w:rPr>
      <w:rFonts w:ascii="Arial Unicode MS" w:hAnsi="Arial Unicode MS" w:eastAsia="Arial Unicode MS" w:cs="Arial Unicode MS"/>
      <w:kern w:val="0"/>
      <w:sz w:val="24"/>
      <w:szCs w:val="24"/>
    </w:rPr>
  </w:style>
  <w:style w:type="paragraph" w:styleId="107">
    <w:name w:val="List Paragraph"/>
    <w:basedOn w:val="1"/>
    <w:link w:val="116"/>
    <w:qFormat/>
    <w:uiPriority w:val="0"/>
    <w:pPr>
      <w:ind w:firstLine="420" w:firstLineChars="200"/>
    </w:pPr>
    <w:rPr>
      <w:rFonts w:asciiTheme="minorHAnsi" w:hAnsiTheme="minorHAnsi" w:eastAsiaTheme="minorEastAsia" w:cstheme="minorBidi"/>
      <w:szCs w:val="22"/>
    </w:rPr>
  </w:style>
  <w:style w:type="paragraph" w:customStyle="1" w:styleId="108">
    <w:name w:val="宋体小四"/>
    <w:basedOn w:val="1"/>
    <w:qFormat/>
    <w:uiPriority w:val="0"/>
    <w:pPr>
      <w:spacing w:line="360" w:lineRule="auto"/>
      <w:ind w:firstLine="480" w:firstLineChars="200"/>
    </w:pPr>
    <w:rPr>
      <w:rFonts w:ascii="Arial" w:hAnsi="Arial"/>
      <w:sz w:val="24"/>
    </w:rPr>
  </w:style>
  <w:style w:type="paragraph" w:customStyle="1" w:styleId="109">
    <w:name w:val="列出段落2"/>
    <w:basedOn w:val="1"/>
    <w:qFormat/>
    <w:uiPriority w:val="34"/>
    <w:pPr>
      <w:ind w:firstLine="420" w:firstLineChars="200"/>
    </w:pPr>
    <w:rPr>
      <w:rFonts w:asciiTheme="minorHAnsi" w:hAnsiTheme="minorHAnsi" w:cstheme="minorBidi"/>
      <w:szCs w:val="24"/>
    </w:rPr>
  </w:style>
  <w:style w:type="paragraph" w:customStyle="1" w:styleId="110">
    <w:name w:val="验收文档-首页保密文字"/>
    <w:basedOn w:val="1"/>
    <w:qFormat/>
    <w:uiPriority w:val="0"/>
    <w:pPr>
      <w:tabs>
        <w:tab w:val="left" w:pos="2700"/>
      </w:tabs>
      <w:spacing w:line="520" w:lineRule="exact"/>
      <w:jc w:val="center"/>
    </w:pPr>
    <w:rPr>
      <w:rFonts w:ascii="仿宋_GB2312" w:eastAsia="仿宋_GB2312" w:cstheme="minorBidi"/>
      <w:sz w:val="28"/>
      <w:szCs w:val="24"/>
    </w:rPr>
  </w:style>
  <w:style w:type="paragraph" w:customStyle="1" w:styleId="111">
    <w:name w:val="样式1"/>
    <w:basedOn w:val="5"/>
    <w:qFormat/>
    <w:uiPriority w:val="0"/>
    <w:pPr>
      <w:spacing w:before="0" w:after="0" w:line="240" w:lineRule="auto"/>
    </w:pPr>
    <w:rPr>
      <w:rFonts w:ascii="宋体" w:hAnsi="宋体"/>
      <w:szCs w:val="21"/>
    </w:rPr>
  </w:style>
  <w:style w:type="paragraph" w:customStyle="1" w:styleId="112">
    <w:name w:val="验收文档-首页主标题"/>
    <w:basedOn w:val="1"/>
    <w:qFormat/>
    <w:uiPriority w:val="0"/>
    <w:pPr>
      <w:jc w:val="center"/>
    </w:pPr>
    <w:rPr>
      <w:rFonts w:ascii="黑体" w:eastAsia="黑体"/>
      <w:sz w:val="52"/>
      <w:szCs w:val="52"/>
    </w:rPr>
  </w:style>
  <w:style w:type="paragraph" w:customStyle="1" w:styleId="113">
    <w:name w:val="TOC 标题1"/>
    <w:basedOn w:val="3"/>
    <w:next w:val="1"/>
    <w:unhideWhenUsed/>
    <w:qFormat/>
    <w:uiPriority w:val="39"/>
    <w:pPr>
      <w:widowControl/>
      <w:spacing w:before="240" w:line="259" w:lineRule="auto"/>
      <w:ind w:left="0" w:firstLine="0"/>
      <w:jc w:val="left"/>
      <w:outlineLvl w:val="9"/>
    </w:pPr>
    <w:rPr>
      <w:rFonts w:asciiTheme="majorHAnsi" w:hAnsiTheme="majorHAnsi" w:eastAsiaTheme="majorEastAsia" w:cstheme="majorBidi"/>
      <w:color w:val="376092" w:themeColor="accent1" w:themeShade="BF"/>
      <w:kern w:val="0"/>
      <w:sz w:val="32"/>
      <w:szCs w:val="32"/>
    </w:rPr>
  </w:style>
  <w:style w:type="paragraph" w:customStyle="1" w:styleId="114">
    <w:name w:val="正文1125"/>
    <w:basedOn w:val="1"/>
    <w:qFormat/>
    <w:uiPriority w:val="0"/>
    <w:pPr>
      <w:adjustRightInd w:val="0"/>
      <w:snapToGrid w:val="0"/>
      <w:spacing w:afterLines="50"/>
      <w:ind w:firstLine="560" w:firstLineChars="200"/>
    </w:pPr>
    <w:rPr>
      <w:szCs w:val="28"/>
    </w:rPr>
  </w:style>
  <w:style w:type="paragraph" w:customStyle="1" w:styleId="115">
    <w:name w:val="文件抬头"/>
    <w:qFormat/>
    <w:uiPriority w:val="0"/>
    <w:pPr>
      <w:widowControl w:val="0"/>
      <w:jc w:val="both"/>
    </w:pPr>
    <w:rPr>
      <w:rFonts w:ascii="Calibri" w:hAnsi="Calibri" w:eastAsia="仿宋_GB2312" w:cs="Times New Roman"/>
      <w:kern w:val="2"/>
      <w:sz w:val="32"/>
      <w:szCs w:val="21"/>
      <w:lang w:val="en-US" w:eastAsia="zh-CN" w:bidi="ar-SA"/>
    </w:rPr>
  </w:style>
  <w:style w:type="character" w:customStyle="1" w:styleId="116">
    <w:name w:val="列表段落 字符"/>
    <w:link w:val="107"/>
    <w:qFormat/>
    <w:uiPriority w:val="0"/>
  </w:style>
  <w:style w:type="character" w:customStyle="1" w:styleId="117">
    <w:name w:val="bookmark-item"/>
    <w:basedOn w:val="35"/>
    <w:qFormat/>
    <w:uiPriority w:val="0"/>
  </w:style>
  <w:style w:type="paragraph" w:customStyle="1" w:styleId="118">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119">
    <w:name w:val="param-name"/>
    <w:basedOn w:val="35"/>
    <w:qFormat/>
    <w:uiPriority w:val="0"/>
  </w:style>
  <w:style w:type="character" w:customStyle="1" w:styleId="120">
    <w:name w:val="apple-converted-space"/>
    <w:basedOn w:val="35"/>
    <w:qFormat/>
    <w:uiPriority w:val="0"/>
  </w:style>
  <w:style w:type="paragraph" w:styleId="121">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2">
    <w:name w:val="Body Main 2"/>
    <w:basedOn w:val="1"/>
    <w:qFormat/>
    <w:uiPriority w:val="0"/>
    <w:pPr>
      <w:spacing w:before="240"/>
      <w:ind w:left="720" w:firstLine="720"/>
    </w:pPr>
    <w:rPr>
      <w:rFonts w:asciiTheme="minorHAnsi" w:hAnsiTheme="minorHAnsi" w:eastAsiaTheme="minorEastAsia" w:cstheme="minorBidi"/>
      <w:szCs w:val="22"/>
    </w:rPr>
  </w:style>
  <w:style w:type="character" w:customStyle="1" w:styleId="123">
    <w:name w:val="font31"/>
    <w:basedOn w:val="35"/>
    <w:qFormat/>
    <w:uiPriority w:val="0"/>
    <w:rPr>
      <w:rFonts w:hint="eastAsia" w:ascii="宋体" w:hAnsi="宋体" w:eastAsia="宋体" w:cs="宋体"/>
      <w:color w:val="000000"/>
      <w:sz w:val="21"/>
      <w:szCs w:val="21"/>
      <w:u w:val="none"/>
    </w:rPr>
  </w:style>
  <w:style w:type="character" w:customStyle="1" w:styleId="124">
    <w:name w:val="font11"/>
    <w:basedOn w:val="35"/>
    <w:qFormat/>
    <w:uiPriority w:val="0"/>
    <w:rPr>
      <w:rFonts w:ascii="Calibri" w:hAnsi="Calibri" w:cs="Calibri"/>
      <w:color w:val="000000"/>
      <w:sz w:val="21"/>
      <w:szCs w:val="21"/>
      <w:u w:val="none"/>
    </w:rPr>
  </w:style>
  <w:style w:type="character" w:customStyle="1" w:styleId="125">
    <w:name w:val="font51"/>
    <w:basedOn w:val="35"/>
    <w:qFormat/>
    <w:uiPriority w:val="0"/>
    <w:rPr>
      <w:rFonts w:hint="eastAsia" w:ascii="宋体" w:hAnsi="宋体" w:eastAsia="宋体" w:cs="宋体"/>
      <w:color w:val="000000"/>
      <w:sz w:val="22"/>
      <w:szCs w:val="22"/>
      <w:u w:val="none"/>
    </w:rPr>
  </w:style>
  <w:style w:type="character" w:customStyle="1" w:styleId="126">
    <w:name w:val="font71"/>
    <w:basedOn w:val="35"/>
    <w:qFormat/>
    <w:uiPriority w:val="0"/>
    <w:rPr>
      <w:rFonts w:hint="default" w:ascii="Calibri" w:hAnsi="Calibri" w:cs="Calibri"/>
      <w:color w:val="000000"/>
      <w:sz w:val="22"/>
      <w:szCs w:val="22"/>
      <w:u w:val="none"/>
    </w:rPr>
  </w:style>
  <w:style w:type="character" w:customStyle="1" w:styleId="127">
    <w:name w:val="font61"/>
    <w:basedOn w:val="35"/>
    <w:qFormat/>
    <w:uiPriority w:val="0"/>
    <w:rPr>
      <w:rFonts w:hint="eastAsia" w:ascii="宋体" w:hAnsi="宋体" w:eastAsia="宋体" w:cs="宋体"/>
      <w:color w:val="000000"/>
      <w:sz w:val="22"/>
      <w:szCs w:val="22"/>
      <w:u w:val="none"/>
    </w:rPr>
  </w:style>
  <w:style w:type="paragraph" w:customStyle="1" w:styleId="128">
    <w:name w:val="正文1"/>
    <w:link w:val="129"/>
    <w:qFormat/>
    <w:uiPriority w:val="0"/>
    <w:pPr>
      <w:jc w:val="both"/>
    </w:pPr>
    <w:rPr>
      <w:rFonts w:ascii="Times New Roman" w:hAnsi="Times New Roman" w:eastAsia="宋体" w:cs="Times New Roman"/>
      <w:kern w:val="2"/>
      <w:sz w:val="21"/>
      <w:szCs w:val="21"/>
      <w:lang w:val="en-US" w:eastAsia="zh-CN" w:bidi="ar-SA"/>
    </w:rPr>
  </w:style>
  <w:style w:type="character" w:customStyle="1" w:styleId="129">
    <w:name w:val="正文1 字符"/>
    <w:basedOn w:val="35"/>
    <w:link w:val="128"/>
    <w:qFormat/>
    <w:uiPriority w:val="0"/>
    <w:rPr>
      <w:rFonts w:ascii="Times New Roman" w:hAnsi="Times New Roman" w:eastAsia="宋体" w:cs="Times New Roman"/>
      <w:szCs w:val="21"/>
    </w:rPr>
  </w:style>
  <w:style w:type="paragraph" w:customStyle="1" w:styleId="130">
    <w:name w:val="列表段落1"/>
    <w:basedOn w:val="1"/>
    <w:qFormat/>
    <w:uiPriority w:val="34"/>
    <w:pPr>
      <w:ind w:firstLine="420" w:firstLineChars="200"/>
    </w:pPr>
    <w:rPr>
      <w:rFonts w:ascii="Calibri" w:hAnsi="Calibri"/>
      <w:szCs w:val="22"/>
    </w:rPr>
  </w:style>
  <w:style w:type="paragraph" w:customStyle="1" w:styleId="131">
    <w:name w:val="立项正文"/>
    <w:basedOn w:val="1"/>
    <w:qFormat/>
    <w:uiPriority w:val="0"/>
    <w:pPr>
      <w:spacing w:line="360" w:lineRule="auto"/>
      <w:ind w:firstLine="480" w:firstLineChars="200"/>
    </w:pPr>
    <w:rPr>
      <w:rFonts w:cs="宋体"/>
      <w:sz w:val="24"/>
    </w:rPr>
  </w:style>
  <w:style w:type="paragraph" w:customStyle="1" w:styleId="132">
    <w:name w:val="表格内容"/>
    <w:basedOn w:val="1"/>
    <w:qFormat/>
    <w:uiPriority w:val="9"/>
    <w:pPr>
      <w:spacing w:line="360" w:lineRule="auto"/>
      <w:jc w:val="center"/>
    </w:pPr>
  </w:style>
  <w:style w:type="character" w:customStyle="1" w:styleId="133">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50</Pages>
  <Words>24225</Words>
  <Characters>25248</Characters>
  <Lines>204</Lines>
  <Paragraphs>57</Paragraphs>
  <TotalTime>87</TotalTime>
  <ScaleCrop>false</ScaleCrop>
  <LinksUpToDate>false</LinksUpToDate>
  <CharactersWithSpaces>25583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2021-06-29T04:15:00Z</dcterms:created>
  <dc:creator>Micorosoft</dc:creator>
  <cp:lastModifiedBy>。。。</cp:lastModifiedBy>
  <cp:lastPrinted>2021-08-11T09:13:00Z</cp:lastPrinted>
  <dcterms:modified xsi:type="dcterms:W3CDTF">2022-08-10T09:45:43Z</dcterms:modified>
  <dc:title>新疆天壹中山工程咨询有限公司</dc:title>
  <cp:revision>182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F2155F77A86048539A06BA75F3545F31</vt:lpwstr>
  </property>
</Properties>
</file>