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30"/>
        </w:tabs>
        <w:jc w:val="center"/>
        <w:rPr>
          <w:rFonts w:ascii="Times New Roman" w:hAnsi="Times New Roman" w:eastAsia="仿宋" w:cs="Times New Roman"/>
          <w:b/>
          <w:sz w:val="72"/>
          <w:szCs w:val="18"/>
        </w:rPr>
      </w:pPr>
      <w:bookmarkStart w:id="0" w:name="_Toc23527879"/>
      <w:bookmarkStart w:id="1" w:name="_Toc22213"/>
      <w:bookmarkStart w:id="2" w:name="_Toc32220"/>
      <w:bookmarkStart w:id="3" w:name="_Toc25569"/>
      <w:bookmarkStart w:id="4" w:name="_Toc19706"/>
      <w:bookmarkStart w:id="5" w:name="_Toc528765749"/>
    </w:p>
    <w:p>
      <w:pPr>
        <w:pStyle w:val="2"/>
        <w:tabs>
          <w:tab w:val="left" w:pos="630"/>
        </w:tabs>
        <w:jc w:val="center"/>
        <w:rPr>
          <w:rFonts w:eastAsia="仿宋"/>
          <w:b/>
          <w:sz w:val="72"/>
          <w:szCs w:val="18"/>
        </w:rPr>
      </w:pPr>
      <w:bookmarkStart w:id="300" w:name="_GoBack"/>
      <w:r>
        <w:rPr>
          <w:rFonts w:hint="eastAsia" w:ascii="Times New Roman" w:hAnsi="Times New Roman" w:eastAsia="仿宋" w:cs="Times New Roman"/>
          <w:b/>
          <w:sz w:val="72"/>
          <w:szCs w:val="18"/>
        </w:rPr>
        <w:t>新疆维吾尔自治区儿童医院信息化能力建设项目</w:t>
      </w:r>
      <w:bookmarkEnd w:id="300"/>
      <w:r>
        <w:rPr>
          <w:rFonts w:eastAsia="仿宋"/>
          <w:b/>
          <w:sz w:val="72"/>
          <w:szCs w:val="18"/>
        </w:rPr>
        <w:t>招标文件</w:t>
      </w:r>
    </w:p>
    <w:p>
      <w:pPr>
        <w:spacing w:line="440" w:lineRule="exact"/>
        <w:rPr>
          <w:rFonts w:eastAsia="仿宋"/>
        </w:rPr>
      </w:pPr>
    </w:p>
    <w:p>
      <w:pPr>
        <w:spacing w:line="440" w:lineRule="exact"/>
        <w:rPr>
          <w:rFonts w:eastAsia="仿宋"/>
        </w:rPr>
      </w:pPr>
    </w:p>
    <w:p>
      <w:pPr>
        <w:spacing w:line="440" w:lineRule="exact"/>
        <w:rPr>
          <w:rFonts w:eastAsia="仿宋"/>
        </w:rPr>
      </w:pPr>
    </w:p>
    <w:p>
      <w:pPr>
        <w:spacing w:line="440" w:lineRule="exact"/>
        <w:rPr>
          <w:rFonts w:eastAsia="仿宋"/>
        </w:rPr>
      </w:pPr>
    </w:p>
    <w:p>
      <w:pPr>
        <w:pStyle w:val="2"/>
        <w:tabs>
          <w:tab w:val="left" w:pos="630"/>
        </w:tabs>
        <w:rPr>
          <w:rFonts w:ascii="Times New Roman" w:eastAsia="仿宋"/>
        </w:rPr>
      </w:pPr>
    </w:p>
    <w:tbl>
      <w:tblPr>
        <w:tblStyle w:val="67"/>
        <w:tblW w:w="8258" w:type="dxa"/>
        <w:jc w:val="center"/>
        <w:tblLayout w:type="fixed"/>
        <w:tblCellMar>
          <w:top w:w="0" w:type="dxa"/>
          <w:left w:w="108" w:type="dxa"/>
          <w:bottom w:w="0" w:type="dxa"/>
          <w:right w:w="108" w:type="dxa"/>
        </w:tblCellMar>
      </w:tblPr>
      <w:tblGrid>
        <w:gridCol w:w="2414"/>
        <w:gridCol w:w="5844"/>
      </w:tblGrid>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rPr>
            </w:pPr>
            <w:r>
              <w:rPr>
                <w:rFonts w:eastAsia="仿宋"/>
                <w:sz w:val="28"/>
                <w:szCs w:val="28"/>
              </w:rPr>
              <w:t>项目名称：</w:t>
            </w:r>
          </w:p>
        </w:tc>
        <w:tc>
          <w:tcPr>
            <w:tcW w:w="5844" w:type="dxa"/>
            <w:vAlign w:val="center"/>
          </w:tcPr>
          <w:p>
            <w:pPr>
              <w:tabs>
                <w:tab w:val="left" w:pos="2431"/>
                <w:tab w:val="left" w:pos="2943"/>
              </w:tabs>
              <w:adjustRightInd w:val="0"/>
              <w:snapToGrid w:val="0"/>
              <w:spacing w:line="360" w:lineRule="exact"/>
              <w:rPr>
                <w:rFonts w:hint="eastAsia" w:eastAsia="仿宋"/>
                <w:bCs/>
                <w:sz w:val="28"/>
                <w:szCs w:val="28"/>
                <w:lang w:eastAsia="zh-CN"/>
              </w:rPr>
            </w:pPr>
            <w:r>
              <w:rPr>
                <w:rFonts w:hint="eastAsia" w:eastAsia="仿宋"/>
                <w:bCs/>
                <w:sz w:val="28"/>
                <w:szCs w:val="28"/>
                <w:lang w:eastAsia="zh-CN"/>
              </w:rPr>
              <w:t>新疆维吾尔自治区儿童医院</w:t>
            </w:r>
          </w:p>
        </w:tc>
      </w:tr>
      <w:tr>
        <w:trPr>
          <w:trHeight w:val="603"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项目编号：</w:t>
            </w:r>
          </w:p>
        </w:tc>
        <w:tc>
          <w:tcPr>
            <w:tcW w:w="5844" w:type="dxa"/>
            <w:vAlign w:val="center"/>
          </w:tcPr>
          <w:p>
            <w:pPr>
              <w:tabs>
                <w:tab w:val="left" w:pos="2431"/>
                <w:tab w:val="left" w:pos="2943"/>
              </w:tabs>
              <w:adjustRightInd w:val="0"/>
              <w:snapToGrid w:val="0"/>
              <w:spacing w:line="360" w:lineRule="exact"/>
              <w:jc w:val="left"/>
              <w:rPr>
                <w:rFonts w:hint="eastAsia" w:eastAsia="仿宋"/>
                <w:bCs/>
                <w:sz w:val="28"/>
                <w:szCs w:val="28"/>
                <w:lang w:eastAsia="zh-CN"/>
              </w:rPr>
            </w:pPr>
            <w:r>
              <w:rPr>
                <w:rFonts w:hint="eastAsia" w:eastAsia="仿宋"/>
                <w:bCs/>
                <w:sz w:val="28"/>
                <w:szCs w:val="28"/>
                <w:lang w:eastAsia="zh-CN"/>
              </w:rPr>
              <w:t>2022-XBZC-01153</w:t>
            </w:r>
          </w:p>
        </w:tc>
      </w:tr>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采购人：</w:t>
            </w:r>
          </w:p>
        </w:tc>
        <w:tc>
          <w:tcPr>
            <w:tcW w:w="5844" w:type="dxa"/>
            <w:vAlign w:val="center"/>
          </w:tcPr>
          <w:p>
            <w:pPr>
              <w:tabs>
                <w:tab w:val="left" w:pos="2431"/>
                <w:tab w:val="left" w:pos="2943"/>
              </w:tabs>
              <w:adjustRightInd w:val="0"/>
              <w:snapToGrid w:val="0"/>
              <w:spacing w:line="360" w:lineRule="exact"/>
              <w:jc w:val="left"/>
              <w:rPr>
                <w:rFonts w:hint="eastAsia" w:eastAsia="仿宋"/>
                <w:bCs/>
                <w:sz w:val="28"/>
                <w:szCs w:val="28"/>
                <w:lang w:eastAsia="zh-CN"/>
              </w:rPr>
            </w:pPr>
            <w:r>
              <w:rPr>
                <w:rFonts w:hint="eastAsia" w:eastAsia="仿宋"/>
                <w:bCs/>
                <w:sz w:val="28"/>
                <w:szCs w:val="28"/>
                <w:lang w:eastAsia="zh-CN"/>
              </w:rPr>
              <w:t>新疆维吾尔自治区儿童医院</w:t>
            </w:r>
          </w:p>
        </w:tc>
      </w:tr>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联系人：</w:t>
            </w:r>
          </w:p>
        </w:tc>
        <w:tc>
          <w:tcPr>
            <w:tcW w:w="5844" w:type="dxa"/>
            <w:vAlign w:val="center"/>
          </w:tcPr>
          <w:p>
            <w:pPr>
              <w:tabs>
                <w:tab w:val="left" w:pos="2431"/>
                <w:tab w:val="left" w:pos="2943"/>
              </w:tabs>
              <w:adjustRightInd w:val="0"/>
              <w:snapToGrid w:val="0"/>
              <w:spacing w:line="360" w:lineRule="exact"/>
              <w:jc w:val="left"/>
              <w:rPr>
                <w:rFonts w:hint="eastAsia" w:eastAsia="仿宋"/>
                <w:bCs/>
                <w:sz w:val="28"/>
                <w:szCs w:val="28"/>
                <w:lang w:eastAsia="zh-CN"/>
              </w:rPr>
            </w:pPr>
            <w:r>
              <w:rPr>
                <w:rFonts w:hint="eastAsia" w:eastAsia="仿宋"/>
                <w:bCs/>
                <w:sz w:val="28"/>
                <w:szCs w:val="28"/>
                <w:lang w:eastAsia="zh-CN"/>
              </w:rPr>
              <w:t>张老师</w:t>
            </w:r>
          </w:p>
        </w:tc>
      </w:tr>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联系电话：</w:t>
            </w:r>
          </w:p>
        </w:tc>
        <w:tc>
          <w:tcPr>
            <w:tcW w:w="5844" w:type="dxa"/>
            <w:vAlign w:val="center"/>
          </w:tcPr>
          <w:p>
            <w:pPr>
              <w:widowControl/>
              <w:jc w:val="left"/>
              <w:rPr>
                <w:rFonts w:hint="eastAsia" w:eastAsia="仿宋"/>
                <w:bCs/>
                <w:sz w:val="28"/>
                <w:szCs w:val="28"/>
                <w:lang w:eastAsia="zh-CN"/>
              </w:rPr>
            </w:pPr>
            <w:r>
              <w:rPr>
                <w:rFonts w:hint="eastAsia" w:eastAsia="仿宋"/>
                <w:bCs/>
                <w:sz w:val="28"/>
                <w:szCs w:val="28"/>
                <w:lang w:eastAsia="zh-CN"/>
              </w:rPr>
              <w:t>0991-3056196</w:t>
            </w:r>
          </w:p>
        </w:tc>
      </w:tr>
      <w:tr>
        <w:tblPrEx>
          <w:tblCellMar>
            <w:top w:w="0" w:type="dxa"/>
            <w:left w:w="108" w:type="dxa"/>
            <w:bottom w:w="0" w:type="dxa"/>
            <w:right w:w="108" w:type="dxa"/>
          </w:tblCellMar>
        </w:tblPrEx>
        <w:trPr>
          <w:trHeight w:val="603"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代理机构(盖章)：</w:t>
            </w:r>
          </w:p>
        </w:tc>
        <w:tc>
          <w:tcPr>
            <w:tcW w:w="5844" w:type="dxa"/>
            <w:vAlign w:val="center"/>
          </w:tcPr>
          <w:p>
            <w:pPr>
              <w:tabs>
                <w:tab w:val="left" w:pos="2431"/>
                <w:tab w:val="left" w:pos="2943"/>
              </w:tabs>
              <w:adjustRightInd w:val="0"/>
              <w:snapToGrid w:val="0"/>
              <w:spacing w:line="360" w:lineRule="exact"/>
              <w:jc w:val="left"/>
              <w:rPr>
                <w:rFonts w:eastAsia="仿宋"/>
                <w:bCs/>
                <w:sz w:val="28"/>
                <w:szCs w:val="28"/>
              </w:rPr>
            </w:pPr>
            <w:r>
              <w:rPr>
                <w:rFonts w:eastAsia="仿宋"/>
                <w:bCs/>
                <w:sz w:val="28"/>
                <w:szCs w:val="28"/>
              </w:rPr>
              <w:t>新疆西北招标有限公司</w:t>
            </w:r>
          </w:p>
        </w:tc>
      </w:tr>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代理机构联系人：</w:t>
            </w:r>
          </w:p>
        </w:tc>
        <w:tc>
          <w:tcPr>
            <w:tcW w:w="5844" w:type="dxa"/>
            <w:vAlign w:val="center"/>
          </w:tcPr>
          <w:p>
            <w:pPr>
              <w:tabs>
                <w:tab w:val="left" w:pos="2431"/>
                <w:tab w:val="left" w:pos="2943"/>
              </w:tabs>
              <w:adjustRightInd w:val="0"/>
              <w:snapToGrid w:val="0"/>
              <w:spacing w:line="360" w:lineRule="exact"/>
              <w:jc w:val="left"/>
              <w:rPr>
                <w:rFonts w:eastAsia="仿宋"/>
                <w:bCs/>
                <w:sz w:val="28"/>
                <w:szCs w:val="28"/>
              </w:rPr>
            </w:pPr>
            <w:r>
              <w:rPr>
                <w:rFonts w:eastAsia="仿宋"/>
                <w:bCs/>
                <w:sz w:val="28"/>
                <w:szCs w:val="28"/>
              </w:rPr>
              <w:t>王静  李华</w:t>
            </w:r>
            <w:r>
              <w:rPr>
                <w:rFonts w:hint="eastAsia" w:eastAsia="仿宋"/>
                <w:bCs/>
                <w:sz w:val="28"/>
                <w:szCs w:val="28"/>
              </w:rPr>
              <w:t xml:space="preserve">  刘建新</w:t>
            </w:r>
          </w:p>
        </w:tc>
      </w:tr>
      <w:tr>
        <w:tblPrEx>
          <w:tblCellMar>
            <w:top w:w="0" w:type="dxa"/>
            <w:left w:w="108" w:type="dxa"/>
            <w:bottom w:w="0" w:type="dxa"/>
            <w:right w:w="108" w:type="dxa"/>
          </w:tblCellMar>
        </w:tblPrEx>
        <w:trPr>
          <w:trHeight w:val="603"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代理机构电话：</w:t>
            </w:r>
          </w:p>
        </w:tc>
        <w:tc>
          <w:tcPr>
            <w:tcW w:w="5844" w:type="dxa"/>
            <w:vAlign w:val="center"/>
          </w:tcPr>
          <w:p>
            <w:pPr>
              <w:tabs>
                <w:tab w:val="left" w:pos="2431"/>
                <w:tab w:val="left" w:pos="2943"/>
              </w:tabs>
              <w:adjustRightInd w:val="0"/>
              <w:snapToGrid w:val="0"/>
              <w:spacing w:line="360" w:lineRule="exact"/>
              <w:jc w:val="left"/>
              <w:rPr>
                <w:rFonts w:eastAsia="仿宋"/>
                <w:bCs/>
                <w:sz w:val="28"/>
                <w:szCs w:val="28"/>
              </w:rPr>
            </w:pPr>
            <w:r>
              <w:rPr>
                <w:rFonts w:eastAsia="仿宋"/>
                <w:bCs/>
                <w:sz w:val="28"/>
                <w:szCs w:val="28"/>
              </w:rPr>
              <w:t>0991-5823555</w:t>
            </w:r>
          </w:p>
        </w:tc>
      </w:tr>
      <w:tr>
        <w:tblPrEx>
          <w:tblCellMar>
            <w:top w:w="0" w:type="dxa"/>
            <w:left w:w="108" w:type="dxa"/>
            <w:bottom w:w="0" w:type="dxa"/>
            <w:right w:w="108" w:type="dxa"/>
          </w:tblCellMar>
        </w:tblPrEx>
        <w:trPr>
          <w:trHeight w:val="619" w:hRule="atLeast"/>
          <w:jc w:val="center"/>
        </w:trPr>
        <w:tc>
          <w:tcPr>
            <w:tcW w:w="2414" w:type="dxa"/>
            <w:vAlign w:val="center"/>
          </w:tcPr>
          <w:p>
            <w:pPr>
              <w:tabs>
                <w:tab w:val="left" w:pos="2431"/>
                <w:tab w:val="left" w:pos="2943"/>
              </w:tabs>
              <w:adjustRightInd w:val="0"/>
              <w:snapToGrid w:val="0"/>
              <w:spacing w:line="360" w:lineRule="exact"/>
              <w:jc w:val="distribute"/>
              <w:rPr>
                <w:rFonts w:eastAsia="仿宋"/>
                <w:bCs/>
                <w:sz w:val="28"/>
                <w:szCs w:val="28"/>
              </w:rPr>
            </w:pPr>
            <w:r>
              <w:rPr>
                <w:rFonts w:eastAsia="仿宋"/>
                <w:bCs/>
                <w:sz w:val="28"/>
                <w:szCs w:val="28"/>
              </w:rPr>
              <w:t>代理机构地址：</w:t>
            </w:r>
          </w:p>
        </w:tc>
        <w:tc>
          <w:tcPr>
            <w:tcW w:w="5844" w:type="dxa"/>
            <w:vAlign w:val="center"/>
          </w:tcPr>
          <w:p>
            <w:pPr>
              <w:tabs>
                <w:tab w:val="left" w:pos="2431"/>
                <w:tab w:val="left" w:pos="2943"/>
              </w:tabs>
              <w:adjustRightInd w:val="0"/>
              <w:snapToGrid w:val="0"/>
              <w:spacing w:line="360" w:lineRule="exact"/>
              <w:jc w:val="left"/>
              <w:rPr>
                <w:rFonts w:eastAsia="仿宋"/>
                <w:bCs/>
                <w:sz w:val="28"/>
                <w:szCs w:val="28"/>
              </w:rPr>
            </w:pPr>
            <w:r>
              <w:rPr>
                <w:rFonts w:eastAsia="仿宋"/>
                <w:bCs/>
                <w:sz w:val="28"/>
                <w:szCs w:val="28"/>
              </w:rPr>
              <w:t>新疆乌鲁木齐市伊宁路318号江西大厦9楼</w:t>
            </w:r>
          </w:p>
        </w:tc>
      </w:tr>
    </w:tbl>
    <w:p>
      <w:pPr>
        <w:spacing w:line="0" w:lineRule="atLeast"/>
        <w:jc w:val="center"/>
        <w:rPr>
          <w:rFonts w:eastAsia="仿宋"/>
          <w:b/>
          <w:sz w:val="32"/>
          <w:szCs w:val="18"/>
        </w:rPr>
      </w:pPr>
    </w:p>
    <w:p>
      <w:pPr>
        <w:spacing w:line="540" w:lineRule="exact"/>
        <w:jc w:val="center"/>
        <w:rPr>
          <w:rFonts w:eastAsia="仿宋"/>
          <w:sz w:val="40"/>
          <w:szCs w:val="40"/>
        </w:rPr>
      </w:pPr>
    </w:p>
    <w:p>
      <w:pPr>
        <w:spacing w:line="540" w:lineRule="exact"/>
        <w:jc w:val="center"/>
        <w:rPr>
          <w:rFonts w:eastAsia="仿宋"/>
          <w:sz w:val="32"/>
          <w:szCs w:val="40"/>
        </w:rPr>
      </w:pPr>
      <w:r>
        <w:rPr>
          <w:rFonts w:eastAsia="仿宋"/>
          <w:sz w:val="32"/>
          <w:szCs w:val="40"/>
        </w:rPr>
        <w:t>二〇二</w:t>
      </w:r>
      <w:r>
        <w:rPr>
          <w:rFonts w:hint="eastAsia" w:eastAsia="仿宋"/>
          <w:sz w:val="32"/>
          <w:szCs w:val="40"/>
        </w:rPr>
        <w:t>二</w:t>
      </w:r>
      <w:r>
        <w:rPr>
          <w:rFonts w:eastAsia="仿宋"/>
          <w:sz w:val="32"/>
          <w:szCs w:val="40"/>
        </w:rPr>
        <w:t>年</w:t>
      </w:r>
      <w:r>
        <w:rPr>
          <w:rFonts w:hint="eastAsia" w:eastAsia="仿宋"/>
          <w:sz w:val="32"/>
          <w:szCs w:val="40"/>
          <w:lang w:val="en-US" w:eastAsia="zh-CN"/>
        </w:rPr>
        <w:t>七</w:t>
      </w:r>
      <w:r>
        <w:rPr>
          <w:rFonts w:eastAsia="仿宋"/>
          <w:sz w:val="32"/>
          <w:szCs w:val="40"/>
        </w:rPr>
        <w:t>月</w:t>
      </w:r>
    </w:p>
    <w:p>
      <w:pPr>
        <w:pStyle w:val="34"/>
        <w:spacing w:line="400" w:lineRule="atLeast"/>
        <w:jc w:val="center"/>
        <w:rPr>
          <w:rFonts w:ascii="Times New Roman" w:eastAsia="仿宋"/>
          <w:b/>
          <w:sz w:val="52"/>
        </w:rPr>
      </w:pPr>
    </w:p>
    <w:p>
      <w:pPr>
        <w:spacing w:line="500" w:lineRule="exact"/>
        <w:jc w:val="center"/>
        <w:rPr>
          <w:rFonts w:eastAsia="仿宋"/>
          <w:bCs/>
          <w:sz w:val="40"/>
        </w:rPr>
        <w:sectPr>
          <w:footerReference r:id="rId5" w:type="default"/>
          <w:pgSz w:w="11906" w:h="16838"/>
          <w:pgMar w:top="1134" w:right="850" w:bottom="1134" w:left="850" w:header="283" w:footer="283" w:gutter="0"/>
          <w:pgNumType w:start="1"/>
          <w:cols w:space="720" w:num="1"/>
          <w:docGrid w:type="lines" w:linePitch="339" w:charSpace="0"/>
        </w:sectPr>
      </w:pPr>
    </w:p>
    <w:p>
      <w:pPr>
        <w:spacing w:line="500" w:lineRule="exact"/>
        <w:jc w:val="center"/>
        <w:rPr>
          <w:rFonts w:eastAsia="仿宋"/>
          <w:bCs/>
          <w:sz w:val="40"/>
        </w:rPr>
      </w:pPr>
      <w:r>
        <w:rPr>
          <w:rFonts w:eastAsia="仿宋"/>
          <w:bCs/>
          <w:sz w:val="40"/>
        </w:rPr>
        <w:t>目录</w:t>
      </w:r>
      <w:bookmarkEnd w:id="0"/>
      <w:bookmarkEnd w:id="1"/>
      <w:bookmarkEnd w:id="2"/>
      <w:bookmarkEnd w:id="3"/>
    </w:p>
    <w:p>
      <w:pPr>
        <w:pStyle w:val="44"/>
        <w:tabs>
          <w:tab w:val="right" w:leader="dot" w:pos="10206"/>
        </w:tabs>
      </w:pPr>
      <w:r>
        <w:rPr>
          <w:rFonts w:eastAsia="仿宋"/>
          <w:bCs/>
        </w:rPr>
        <w:fldChar w:fldCharType="begin"/>
      </w:r>
      <w:r>
        <w:rPr>
          <w:rFonts w:eastAsia="仿宋"/>
          <w:bCs/>
        </w:rPr>
        <w:instrText xml:space="preserve">TOC \o "1-3" \h \u </w:instrText>
      </w:r>
      <w:r>
        <w:rPr>
          <w:rFonts w:eastAsia="仿宋"/>
          <w:bCs/>
        </w:rPr>
        <w:fldChar w:fldCharType="separate"/>
      </w:r>
      <w:r>
        <w:rPr>
          <w:rFonts w:eastAsia="仿宋"/>
          <w:bCs/>
        </w:rPr>
        <w:fldChar w:fldCharType="begin"/>
      </w:r>
      <w:r>
        <w:rPr>
          <w:rFonts w:eastAsia="仿宋"/>
          <w:bCs/>
        </w:rPr>
        <w:instrText xml:space="preserve"> HYPERLINK \l _Toc20827 </w:instrText>
      </w:r>
      <w:r>
        <w:rPr>
          <w:rFonts w:eastAsia="仿宋"/>
          <w:bCs/>
        </w:rPr>
        <w:fldChar w:fldCharType="separate"/>
      </w:r>
      <w:r>
        <w:rPr>
          <w:rFonts w:ascii="Times New Roman" w:hAnsi="Times New Roman" w:eastAsia="仿宋"/>
        </w:rPr>
        <w:t>第一部分  投标须知</w:t>
      </w:r>
      <w:r>
        <w:tab/>
      </w:r>
      <w:r>
        <w:fldChar w:fldCharType="begin"/>
      </w:r>
      <w:r>
        <w:instrText xml:space="preserve"> PAGEREF _Toc20827 \h </w:instrText>
      </w:r>
      <w:r>
        <w:fldChar w:fldCharType="separate"/>
      </w:r>
      <w:r>
        <w:t>5</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_Toc24209 </w:instrText>
      </w:r>
      <w:r>
        <w:rPr>
          <w:rFonts w:eastAsia="仿宋"/>
          <w:bCs/>
        </w:rPr>
        <w:fldChar w:fldCharType="separate"/>
      </w:r>
      <w:r>
        <w:rPr>
          <w:rFonts w:eastAsia="仿宋"/>
          <w:bCs w:val="0"/>
        </w:rPr>
        <w:t>（一）投标人须知附表</w:t>
      </w:r>
      <w:r>
        <w:tab/>
      </w:r>
      <w:r>
        <w:fldChar w:fldCharType="begin"/>
      </w:r>
      <w:r>
        <w:instrText xml:space="preserve"> PAGEREF _Toc24209 \h </w:instrText>
      </w:r>
      <w:r>
        <w:fldChar w:fldCharType="separate"/>
      </w:r>
      <w:r>
        <w:t>5</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_Toc27532 </w:instrText>
      </w:r>
      <w:r>
        <w:rPr>
          <w:rFonts w:eastAsia="仿宋"/>
          <w:bCs/>
        </w:rPr>
        <w:fldChar w:fldCharType="separate"/>
      </w:r>
      <w:r>
        <w:rPr>
          <w:rFonts w:eastAsia="仿宋"/>
          <w:bCs w:val="0"/>
        </w:rPr>
        <w:t>（二）投标人须知</w:t>
      </w:r>
      <w:r>
        <w:tab/>
      </w:r>
      <w:r>
        <w:fldChar w:fldCharType="begin"/>
      </w:r>
      <w:r>
        <w:instrText xml:space="preserve"> PAGEREF _Toc27532 \h </w:instrText>
      </w:r>
      <w:r>
        <w:fldChar w:fldCharType="separate"/>
      </w:r>
      <w:r>
        <w:t>8</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_Toc7815 </w:instrText>
      </w:r>
      <w:r>
        <w:rPr>
          <w:rFonts w:eastAsia="仿宋"/>
          <w:bCs/>
        </w:rPr>
        <w:fldChar w:fldCharType="separate"/>
      </w:r>
      <w:r>
        <w:rPr>
          <w:rFonts w:ascii="Times New Roman" w:hAnsi="Times New Roman" w:eastAsia="仿宋"/>
          <w:bCs w:val="0"/>
          <w:szCs w:val="24"/>
        </w:rPr>
        <w:t>1</w:t>
      </w:r>
      <w:r>
        <w:rPr>
          <w:rFonts w:hint="eastAsia" w:ascii="Times New Roman" w:hAnsi="Times New Roman" w:eastAsia="仿宋"/>
          <w:bCs w:val="0"/>
          <w:szCs w:val="24"/>
        </w:rPr>
        <w:t>.</w:t>
      </w:r>
      <w:r>
        <w:rPr>
          <w:rFonts w:ascii="Times New Roman" w:hAnsi="Times New Roman" w:eastAsia="仿宋"/>
          <w:bCs w:val="0"/>
          <w:szCs w:val="24"/>
        </w:rPr>
        <w:t>总则</w:t>
      </w:r>
      <w:r>
        <w:tab/>
      </w:r>
      <w:r>
        <w:fldChar w:fldCharType="begin"/>
      </w:r>
      <w:r>
        <w:instrText xml:space="preserve"> PAGEREF _Toc7815 \h </w:instrText>
      </w:r>
      <w:r>
        <w:fldChar w:fldCharType="separate"/>
      </w:r>
      <w:r>
        <w:t>8</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_Toc13638 </w:instrText>
      </w:r>
      <w:r>
        <w:rPr>
          <w:rFonts w:eastAsia="仿宋"/>
          <w:bCs/>
        </w:rPr>
        <w:fldChar w:fldCharType="separate"/>
      </w:r>
      <w:r>
        <w:rPr>
          <w:rFonts w:ascii="Times New Roman" w:hAnsi="Times New Roman" w:eastAsia="仿宋"/>
          <w:bCs w:val="0"/>
          <w:szCs w:val="24"/>
        </w:rPr>
        <w:t>2.投标费用</w:t>
      </w:r>
      <w:r>
        <w:tab/>
      </w:r>
      <w:r>
        <w:fldChar w:fldCharType="begin"/>
      </w:r>
      <w:r>
        <w:instrText xml:space="preserve"> PAGEREF _Toc13638 \h </w:instrText>
      </w:r>
      <w:r>
        <w:fldChar w:fldCharType="separate"/>
      </w:r>
      <w:r>
        <w:t>8</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_Toc14053 </w:instrText>
      </w:r>
      <w:r>
        <w:rPr>
          <w:rFonts w:eastAsia="仿宋"/>
          <w:bCs/>
        </w:rPr>
        <w:fldChar w:fldCharType="separate"/>
      </w:r>
      <w:r>
        <w:rPr>
          <w:rFonts w:ascii="Times New Roman" w:hAnsi="Times New Roman" w:eastAsia="仿宋"/>
          <w:bCs w:val="0"/>
          <w:szCs w:val="24"/>
        </w:rPr>
        <w:t>3.招标文件的构成</w:t>
      </w:r>
      <w:r>
        <w:tab/>
      </w:r>
      <w:r>
        <w:fldChar w:fldCharType="begin"/>
      </w:r>
      <w:r>
        <w:instrText xml:space="preserve"> PAGEREF _Toc14053 \h </w:instrText>
      </w:r>
      <w:r>
        <w:fldChar w:fldCharType="separate"/>
      </w:r>
      <w:r>
        <w:t>8</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_Toc8605 </w:instrText>
      </w:r>
      <w:r>
        <w:rPr>
          <w:rFonts w:eastAsia="仿宋"/>
          <w:bCs/>
        </w:rPr>
        <w:fldChar w:fldCharType="separate"/>
      </w:r>
      <w:r>
        <w:rPr>
          <w:rFonts w:ascii="Times New Roman" w:hAnsi="Times New Roman" w:eastAsia="仿宋"/>
          <w:bCs w:val="0"/>
          <w:szCs w:val="24"/>
        </w:rPr>
        <w:t>4.招标文件的澄清</w:t>
      </w:r>
      <w:r>
        <w:tab/>
      </w:r>
      <w:r>
        <w:fldChar w:fldCharType="begin"/>
      </w:r>
      <w:r>
        <w:instrText xml:space="preserve"> PAGEREF _Toc8605 \h </w:instrText>
      </w:r>
      <w:r>
        <w:fldChar w:fldCharType="separate"/>
      </w:r>
      <w:r>
        <w:t>9</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_Toc3880 </w:instrText>
      </w:r>
      <w:r>
        <w:rPr>
          <w:rFonts w:eastAsia="仿宋"/>
          <w:bCs/>
        </w:rPr>
        <w:fldChar w:fldCharType="separate"/>
      </w:r>
      <w:r>
        <w:rPr>
          <w:rFonts w:ascii="Times New Roman" w:hAnsi="Times New Roman" w:eastAsia="仿宋"/>
          <w:bCs w:val="0"/>
          <w:szCs w:val="24"/>
        </w:rPr>
        <w:t>5.招标文件的修改或补充</w:t>
      </w:r>
      <w:r>
        <w:tab/>
      </w:r>
      <w:r>
        <w:fldChar w:fldCharType="begin"/>
      </w:r>
      <w:r>
        <w:instrText xml:space="preserve"> PAGEREF _Toc3880 \h </w:instrText>
      </w:r>
      <w:r>
        <w:fldChar w:fldCharType="separate"/>
      </w:r>
      <w:r>
        <w:t>9</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_Toc2079 </w:instrText>
      </w:r>
      <w:r>
        <w:rPr>
          <w:rFonts w:eastAsia="仿宋"/>
          <w:bCs/>
        </w:rPr>
        <w:fldChar w:fldCharType="separate"/>
      </w:r>
      <w:r>
        <w:rPr>
          <w:rFonts w:ascii="Times New Roman" w:hAnsi="Times New Roman" w:eastAsia="仿宋"/>
          <w:bCs w:val="0"/>
          <w:szCs w:val="24"/>
        </w:rPr>
        <w:t>6.招标文件的理解</w:t>
      </w:r>
      <w:r>
        <w:tab/>
      </w:r>
      <w:r>
        <w:fldChar w:fldCharType="begin"/>
      </w:r>
      <w:r>
        <w:instrText xml:space="preserve"> PAGEREF _Toc2079 \h </w:instrText>
      </w:r>
      <w:r>
        <w:fldChar w:fldCharType="separate"/>
      </w:r>
      <w:r>
        <w:t>9</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_Toc30280 </w:instrText>
      </w:r>
      <w:r>
        <w:rPr>
          <w:rFonts w:eastAsia="仿宋"/>
          <w:bCs/>
        </w:rPr>
        <w:fldChar w:fldCharType="separate"/>
      </w:r>
      <w:r>
        <w:rPr>
          <w:rFonts w:ascii="Times New Roman" w:hAnsi="Times New Roman" w:eastAsia="仿宋"/>
          <w:bCs w:val="0"/>
          <w:szCs w:val="24"/>
        </w:rPr>
        <w:t>7.廉洁自律承诺要求</w:t>
      </w:r>
      <w:r>
        <w:tab/>
      </w:r>
      <w:r>
        <w:fldChar w:fldCharType="begin"/>
      </w:r>
      <w:r>
        <w:instrText xml:space="preserve"> PAGEREF _Toc30280 \h </w:instrText>
      </w:r>
      <w:r>
        <w:fldChar w:fldCharType="separate"/>
      </w:r>
      <w:r>
        <w:t>9</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_Toc12280 </w:instrText>
      </w:r>
      <w:r>
        <w:rPr>
          <w:rFonts w:eastAsia="仿宋"/>
          <w:bCs/>
        </w:rPr>
        <w:fldChar w:fldCharType="separate"/>
      </w:r>
      <w:r>
        <w:rPr>
          <w:rFonts w:ascii="Times New Roman" w:hAnsi="Times New Roman" w:eastAsia="仿宋"/>
        </w:rPr>
        <w:t>第二部分   招标说明</w:t>
      </w:r>
      <w:r>
        <w:tab/>
      </w:r>
      <w:r>
        <w:fldChar w:fldCharType="begin"/>
      </w:r>
      <w:r>
        <w:instrText xml:space="preserve"> PAGEREF _Toc12280 \h </w:instrText>
      </w:r>
      <w:r>
        <w:fldChar w:fldCharType="separate"/>
      </w:r>
      <w:r>
        <w:t>10</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_Toc19072 </w:instrText>
      </w:r>
      <w:r>
        <w:rPr>
          <w:rFonts w:eastAsia="仿宋"/>
          <w:bCs/>
        </w:rPr>
        <w:fldChar w:fldCharType="separate"/>
      </w:r>
      <w:r>
        <w:rPr>
          <w:rFonts w:ascii="Times New Roman" w:hAnsi="Times New Roman" w:eastAsia="仿宋"/>
          <w:bCs w:val="0"/>
        </w:rPr>
        <w:t>第一章 对投标人的资格要求</w:t>
      </w:r>
      <w:r>
        <w:tab/>
      </w:r>
      <w:r>
        <w:fldChar w:fldCharType="begin"/>
      </w:r>
      <w:r>
        <w:instrText xml:space="preserve"> PAGEREF _Toc19072 \h </w:instrText>
      </w:r>
      <w:r>
        <w:fldChar w:fldCharType="separate"/>
      </w:r>
      <w:r>
        <w:t>10</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_Toc32523 </w:instrText>
      </w:r>
      <w:r>
        <w:rPr>
          <w:rFonts w:eastAsia="仿宋"/>
          <w:bCs/>
        </w:rPr>
        <w:fldChar w:fldCharType="separate"/>
      </w:r>
      <w:r>
        <w:rPr>
          <w:rFonts w:ascii="Times New Roman" w:hAnsi="Times New Roman" w:eastAsia="仿宋"/>
          <w:bCs w:val="0"/>
        </w:rPr>
        <w:t>第二章 投标文件的编写</w:t>
      </w:r>
      <w:r>
        <w:tab/>
      </w:r>
      <w:r>
        <w:fldChar w:fldCharType="begin"/>
      </w:r>
      <w:r>
        <w:instrText xml:space="preserve"> PAGEREF _Toc32523 \h </w:instrText>
      </w:r>
      <w:r>
        <w:fldChar w:fldCharType="separate"/>
      </w:r>
      <w:r>
        <w:t>10</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_Toc1076 </w:instrText>
      </w:r>
      <w:r>
        <w:rPr>
          <w:rFonts w:eastAsia="仿宋"/>
          <w:bCs/>
        </w:rPr>
        <w:fldChar w:fldCharType="separate"/>
      </w:r>
      <w:r>
        <w:rPr>
          <w:rFonts w:ascii="Times New Roman" w:hAnsi="Times New Roman" w:eastAsia="仿宋"/>
          <w:bCs w:val="0"/>
        </w:rPr>
        <w:t>第三章 投标文件的递交</w:t>
      </w:r>
      <w:r>
        <w:tab/>
      </w:r>
      <w:r>
        <w:fldChar w:fldCharType="begin"/>
      </w:r>
      <w:r>
        <w:instrText xml:space="preserve"> PAGEREF _Toc1076 \h </w:instrText>
      </w:r>
      <w:r>
        <w:fldChar w:fldCharType="separate"/>
      </w:r>
      <w:r>
        <w:t>13</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_Toc16076 </w:instrText>
      </w:r>
      <w:r>
        <w:rPr>
          <w:rFonts w:eastAsia="仿宋"/>
          <w:bCs/>
        </w:rPr>
        <w:fldChar w:fldCharType="separate"/>
      </w:r>
      <w:r>
        <w:rPr>
          <w:rFonts w:ascii="Times New Roman" w:hAnsi="Times New Roman" w:eastAsia="仿宋"/>
          <w:bCs w:val="0"/>
        </w:rPr>
        <w:t>第四章 评标委员会</w:t>
      </w:r>
      <w:r>
        <w:tab/>
      </w:r>
      <w:r>
        <w:fldChar w:fldCharType="begin"/>
      </w:r>
      <w:r>
        <w:instrText xml:space="preserve"> PAGEREF _Toc16076 \h </w:instrText>
      </w:r>
      <w:r>
        <w:fldChar w:fldCharType="separate"/>
      </w:r>
      <w:r>
        <w:t>14</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_Toc22908 </w:instrText>
      </w:r>
      <w:r>
        <w:rPr>
          <w:rFonts w:eastAsia="仿宋"/>
          <w:bCs/>
        </w:rPr>
        <w:fldChar w:fldCharType="separate"/>
      </w:r>
      <w:r>
        <w:rPr>
          <w:rFonts w:ascii="Times New Roman" w:hAnsi="Times New Roman" w:eastAsia="仿宋"/>
          <w:bCs w:val="0"/>
        </w:rPr>
        <w:t>第五章 开 标</w:t>
      </w:r>
      <w:r>
        <w:tab/>
      </w:r>
      <w:r>
        <w:fldChar w:fldCharType="begin"/>
      </w:r>
      <w:r>
        <w:instrText xml:space="preserve"> PAGEREF _Toc22908 \h </w:instrText>
      </w:r>
      <w:r>
        <w:fldChar w:fldCharType="separate"/>
      </w:r>
      <w:r>
        <w:t>15</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_Toc28659 </w:instrText>
      </w:r>
      <w:r>
        <w:rPr>
          <w:rFonts w:eastAsia="仿宋"/>
          <w:bCs/>
        </w:rPr>
        <w:fldChar w:fldCharType="separate"/>
      </w:r>
      <w:r>
        <w:rPr>
          <w:rFonts w:ascii="Times New Roman" w:hAnsi="Times New Roman" w:eastAsia="仿宋"/>
          <w:bCs w:val="0"/>
        </w:rPr>
        <w:t>第六章 资格审查</w:t>
      </w:r>
      <w:r>
        <w:tab/>
      </w:r>
      <w:r>
        <w:fldChar w:fldCharType="begin"/>
      </w:r>
      <w:r>
        <w:instrText xml:space="preserve"> PAGEREF _Toc28659 \h </w:instrText>
      </w:r>
      <w:r>
        <w:fldChar w:fldCharType="separate"/>
      </w:r>
      <w:r>
        <w:t>16</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_Toc18199 </w:instrText>
      </w:r>
      <w:r>
        <w:rPr>
          <w:rFonts w:eastAsia="仿宋"/>
          <w:bCs/>
        </w:rPr>
        <w:fldChar w:fldCharType="separate"/>
      </w:r>
      <w:r>
        <w:rPr>
          <w:rFonts w:ascii="Times New Roman" w:hAnsi="Times New Roman" w:eastAsia="仿宋"/>
          <w:bCs w:val="0"/>
        </w:rPr>
        <w:t>第七章 评 审</w:t>
      </w:r>
      <w:r>
        <w:tab/>
      </w:r>
      <w:r>
        <w:fldChar w:fldCharType="begin"/>
      </w:r>
      <w:r>
        <w:instrText xml:space="preserve"> PAGEREF _Toc18199 \h </w:instrText>
      </w:r>
      <w:r>
        <w:fldChar w:fldCharType="separate"/>
      </w:r>
      <w:r>
        <w:t>17</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_Toc26544 </w:instrText>
      </w:r>
      <w:r>
        <w:rPr>
          <w:rFonts w:eastAsia="仿宋"/>
          <w:bCs/>
        </w:rPr>
        <w:fldChar w:fldCharType="separate"/>
      </w:r>
      <w:r>
        <w:rPr>
          <w:rFonts w:ascii="Times New Roman" w:hAnsi="Times New Roman" w:eastAsia="仿宋"/>
          <w:bCs w:val="0"/>
        </w:rPr>
        <w:t>第八章 合同的签订与执行</w:t>
      </w:r>
      <w:r>
        <w:tab/>
      </w:r>
      <w:r>
        <w:fldChar w:fldCharType="begin"/>
      </w:r>
      <w:r>
        <w:instrText xml:space="preserve"> PAGEREF _Toc26544 \h </w:instrText>
      </w:r>
      <w:r>
        <w:fldChar w:fldCharType="separate"/>
      </w:r>
      <w:r>
        <w:t>20</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_Toc17646 </w:instrText>
      </w:r>
      <w:r>
        <w:rPr>
          <w:rFonts w:eastAsia="仿宋"/>
          <w:bCs/>
        </w:rPr>
        <w:fldChar w:fldCharType="separate"/>
      </w:r>
      <w:r>
        <w:rPr>
          <w:rFonts w:ascii="Times New Roman" w:hAnsi="Times New Roman" w:eastAsia="仿宋"/>
          <w:bCs w:val="0"/>
        </w:rPr>
        <w:t>第九章  其他说明</w:t>
      </w:r>
      <w:r>
        <w:tab/>
      </w:r>
      <w:r>
        <w:fldChar w:fldCharType="begin"/>
      </w:r>
      <w:r>
        <w:instrText xml:space="preserve"> PAGEREF _Toc17646 \h </w:instrText>
      </w:r>
      <w:r>
        <w:fldChar w:fldCharType="separate"/>
      </w:r>
      <w:r>
        <w:t>21</w:t>
      </w:r>
      <w:r>
        <w:fldChar w:fldCharType="end"/>
      </w:r>
      <w:r>
        <w:rPr>
          <w:rFonts w:eastAsia="仿宋"/>
          <w:bCs/>
        </w:rPr>
        <w:fldChar w:fldCharType="end"/>
      </w:r>
    </w:p>
    <w:p>
      <w:pPr>
        <w:pStyle w:val="56"/>
        <w:tabs>
          <w:tab w:val="right" w:leader="dot" w:pos="10206"/>
        </w:tabs>
      </w:pPr>
      <w:r>
        <w:rPr>
          <w:rFonts w:eastAsia="仿宋"/>
          <w:bCs/>
        </w:rPr>
        <w:fldChar w:fldCharType="begin"/>
      </w:r>
      <w:r>
        <w:rPr>
          <w:rFonts w:eastAsia="仿宋"/>
          <w:bCs/>
        </w:rPr>
        <w:instrText xml:space="preserve"> HYPERLINK \l _Toc6085 </w:instrText>
      </w:r>
      <w:r>
        <w:rPr>
          <w:rFonts w:eastAsia="仿宋"/>
          <w:bCs/>
        </w:rPr>
        <w:fldChar w:fldCharType="separate"/>
      </w:r>
      <w:r>
        <w:rPr>
          <w:rFonts w:ascii="Times New Roman" w:hAnsi="Times New Roman" w:eastAsia="仿宋"/>
          <w:bCs w:val="0"/>
        </w:rPr>
        <w:t>第十章  评审方法</w:t>
      </w:r>
      <w:r>
        <w:tab/>
      </w:r>
      <w:r>
        <w:fldChar w:fldCharType="begin"/>
      </w:r>
      <w:r>
        <w:instrText xml:space="preserve"> PAGEREF _Toc6085 \h </w:instrText>
      </w:r>
      <w:r>
        <w:fldChar w:fldCharType="separate"/>
      </w:r>
      <w:r>
        <w:t>21</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_Toc23483 </w:instrText>
      </w:r>
      <w:r>
        <w:rPr>
          <w:rFonts w:eastAsia="仿宋"/>
          <w:bCs/>
        </w:rPr>
        <w:fldChar w:fldCharType="separate"/>
      </w:r>
      <w:r>
        <w:rPr>
          <w:rFonts w:hint="eastAsia" w:ascii="Times New Roman" w:hAnsi="Times New Roman" w:eastAsia="仿宋"/>
        </w:rPr>
        <w:t xml:space="preserve">第三部分 </w:t>
      </w:r>
      <w:r>
        <w:rPr>
          <w:rFonts w:ascii="Times New Roman" w:hAnsi="Times New Roman" w:eastAsia="仿宋"/>
        </w:rPr>
        <w:t>采购要求及技术规格参数</w:t>
      </w:r>
      <w:r>
        <w:tab/>
      </w:r>
      <w:r>
        <w:fldChar w:fldCharType="begin"/>
      </w:r>
      <w:r>
        <w:instrText xml:space="preserve"> PAGEREF _Toc23483 \h </w:instrText>
      </w:r>
      <w:r>
        <w:fldChar w:fldCharType="separate"/>
      </w:r>
      <w:r>
        <w:t>28</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_Toc9685 </w:instrText>
      </w:r>
      <w:r>
        <w:rPr>
          <w:rFonts w:eastAsia="仿宋"/>
          <w:bCs/>
        </w:rPr>
        <w:fldChar w:fldCharType="separate"/>
      </w:r>
      <w:r>
        <w:rPr>
          <w:rFonts w:hint="eastAsia"/>
        </w:rPr>
        <w:t>1 项目概述</w:t>
      </w:r>
      <w:r>
        <w:tab/>
      </w:r>
      <w:r>
        <w:fldChar w:fldCharType="begin"/>
      </w:r>
      <w:r>
        <w:instrText xml:space="preserve"> PAGEREF _Toc9685 \h </w:instrText>
      </w:r>
      <w:r>
        <w:fldChar w:fldCharType="separate"/>
      </w:r>
      <w:r>
        <w:t>30</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_Toc25413 </w:instrText>
      </w:r>
      <w:r>
        <w:rPr>
          <w:rFonts w:eastAsia="仿宋"/>
          <w:bCs/>
        </w:rPr>
        <w:fldChar w:fldCharType="separate"/>
      </w:r>
      <w:r>
        <w:rPr>
          <w:rFonts w:hint="eastAsia"/>
        </w:rPr>
        <w:t>2 建设内容</w:t>
      </w:r>
      <w:r>
        <w:tab/>
      </w:r>
      <w:r>
        <w:fldChar w:fldCharType="begin"/>
      </w:r>
      <w:r>
        <w:instrText xml:space="preserve"> PAGEREF _Toc25413 \h </w:instrText>
      </w:r>
      <w:r>
        <w:fldChar w:fldCharType="separate"/>
      </w:r>
      <w:r>
        <w:t>31</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_Toc27475 </w:instrText>
      </w:r>
      <w:r>
        <w:rPr>
          <w:rFonts w:eastAsia="仿宋"/>
          <w:bCs/>
        </w:rPr>
        <w:fldChar w:fldCharType="separate"/>
      </w:r>
      <w:r>
        <w:rPr>
          <w:rFonts w:eastAsia="仿宋"/>
          <w:bCs/>
        </w:rPr>
        <w:t>第四部分 合同条款</w:t>
      </w:r>
      <w:r>
        <w:tab/>
      </w:r>
      <w:r>
        <w:fldChar w:fldCharType="begin"/>
      </w:r>
      <w:r>
        <w:instrText xml:space="preserve"> PAGEREF _Toc27475 \h </w:instrText>
      </w:r>
      <w:r>
        <w:fldChar w:fldCharType="separate"/>
      </w:r>
      <w:r>
        <w:t>86</w:t>
      </w:r>
      <w:r>
        <w:fldChar w:fldCharType="end"/>
      </w:r>
      <w:r>
        <w:rPr>
          <w:rFonts w:eastAsia="仿宋"/>
          <w:bCs/>
        </w:rPr>
        <w:fldChar w:fldCharType="end"/>
      </w:r>
    </w:p>
    <w:p>
      <w:pPr>
        <w:pStyle w:val="44"/>
        <w:tabs>
          <w:tab w:val="right" w:leader="dot" w:pos="10206"/>
        </w:tabs>
      </w:pPr>
      <w:r>
        <w:rPr>
          <w:rFonts w:eastAsia="仿宋"/>
          <w:bCs/>
        </w:rPr>
        <w:fldChar w:fldCharType="begin"/>
      </w:r>
      <w:r>
        <w:rPr>
          <w:rFonts w:eastAsia="仿宋"/>
          <w:bCs/>
        </w:rPr>
        <w:instrText xml:space="preserve"> HYPERLINK \l _Toc12788 </w:instrText>
      </w:r>
      <w:r>
        <w:rPr>
          <w:rFonts w:eastAsia="仿宋"/>
          <w:bCs/>
        </w:rPr>
        <w:fldChar w:fldCharType="separate"/>
      </w:r>
      <w:r>
        <w:rPr>
          <w:rFonts w:ascii="Times New Roman" w:hAnsi="Times New Roman" w:eastAsia="仿宋"/>
        </w:rPr>
        <w:t>第五部分  投标文件格式</w:t>
      </w:r>
      <w:r>
        <w:tab/>
      </w:r>
      <w:r>
        <w:fldChar w:fldCharType="begin"/>
      </w:r>
      <w:r>
        <w:instrText xml:space="preserve"> PAGEREF _Toc12788 \h </w:instrText>
      </w:r>
      <w:r>
        <w:fldChar w:fldCharType="separate"/>
      </w:r>
      <w:r>
        <w:t>93</w:t>
      </w:r>
      <w:r>
        <w:fldChar w:fldCharType="end"/>
      </w:r>
      <w:r>
        <w:rPr>
          <w:rFonts w:eastAsia="仿宋"/>
          <w:bCs/>
        </w:rPr>
        <w:fldChar w:fldCharType="end"/>
      </w:r>
    </w:p>
    <w:p>
      <w:pPr>
        <w:pStyle w:val="56"/>
        <w:tabs>
          <w:tab w:val="right" w:leader="dot" w:pos="10206"/>
        </w:tabs>
      </w:pPr>
    </w:p>
    <w:p>
      <w:pPr>
        <w:pStyle w:val="56"/>
        <w:tabs>
          <w:tab w:val="right" w:leader="dot" w:pos="10206"/>
        </w:tabs>
      </w:pPr>
    </w:p>
    <w:p>
      <w:pPr>
        <w:pStyle w:val="56"/>
        <w:tabs>
          <w:tab w:val="right" w:leader="dot" w:pos="10206"/>
        </w:tabs>
      </w:pPr>
    </w:p>
    <w:p>
      <w:pPr>
        <w:pStyle w:val="65"/>
        <w:ind w:firstLine="210"/>
        <w:rPr>
          <w:rFonts w:ascii="Times New Roman" w:hAnsi="Times New Roman" w:eastAsia="仿宋"/>
          <w:color w:val="000000"/>
          <w:sz w:val="27"/>
          <w:szCs w:val="27"/>
        </w:rPr>
      </w:pPr>
      <w:r>
        <w:rPr>
          <w:rFonts w:eastAsia="仿宋"/>
          <w:bCs/>
        </w:rPr>
        <w:fldChar w:fldCharType="end"/>
      </w:r>
    </w:p>
    <w:p>
      <w:pPr>
        <w:pStyle w:val="61"/>
        <w:spacing w:before="75" w:beforeAutospacing="0" w:after="75" w:afterAutospacing="0"/>
        <w:jc w:val="center"/>
        <w:rPr>
          <w:rFonts w:hint="eastAsia" w:ascii="Times New Roman" w:hAnsi="Times New Roman" w:eastAsia="仿宋"/>
          <w:b/>
          <w:bCs/>
          <w:color w:val="000000"/>
          <w:sz w:val="30"/>
          <w:szCs w:val="30"/>
          <w:lang w:eastAsia="zh-CN"/>
        </w:rPr>
      </w:pPr>
      <w:r>
        <w:rPr>
          <w:rFonts w:hint="eastAsia" w:ascii="Times New Roman" w:hAnsi="Times New Roman" w:eastAsia="仿宋"/>
          <w:b/>
          <w:bCs/>
          <w:color w:val="000000"/>
          <w:sz w:val="30"/>
          <w:szCs w:val="30"/>
          <w:lang w:eastAsia="zh-CN"/>
        </w:rPr>
        <w:t>新疆维吾尔自治区儿童医院信息化能力建设项目</w:t>
      </w:r>
    </w:p>
    <w:p>
      <w:pPr>
        <w:pStyle w:val="61"/>
        <w:spacing w:before="75" w:beforeAutospacing="0" w:after="75" w:afterAutospacing="0"/>
        <w:jc w:val="center"/>
        <w:rPr>
          <w:rFonts w:ascii="Times New Roman" w:hAnsi="Times New Roman" w:eastAsia="仿宋"/>
          <w:b/>
          <w:bCs/>
          <w:color w:val="000000"/>
          <w:sz w:val="30"/>
          <w:szCs w:val="30"/>
        </w:rPr>
      </w:pPr>
      <w:r>
        <w:rPr>
          <w:rFonts w:hint="eastAsia" w:ascii="Times New Roman" w:hAnsi="Times New Roman" w:eastAsia="仿宋"/>
          <w:b/>
          <w:bCs/>
          <w:color w:val="000000"/>
          <w:sz w:val="30"/>
          <w:szCs w:val="30"/>
        </w:rPr>
        <w:t>公开招标公告</w:t>
      </w:r>
    </w:p>
    <w:tbl>
      <w:tblPr>
        <w:tblStyle w:val="6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2" w:type="dxa"/>
          </w:tcPr>
          <w:p>
            <w:pPr>
              <w:pStyle w:val="61"/>
              <w:spacing w:before="75" w:beforeAutospacing="0" w:after="75" w:afterAutospacing="0"/>
              <w:rPr>
                <w:rFonts w:hint="eastAsia" w:ascii="Times New Roman" w:hAnsi="Times New Roman" w:eastAsia="仿宋"/>
                <w:color w:val="000000"/>
                <w:sz w:val="27"/>
                <w:szCs w:val="27"/>
                <w:vertAlign w:val="baseline"/>
                <w:lang w:eastAsia="zh-CN"/>
              </w:rPr>
            </w:pPr>
            <w:r>
              <w:rPr>
                <w:rFonts w:hint="eastAsia" w:ascii="Times New Roman" w:hAnsi="Times New Roman" w:eastAsia="仿宋"/>
                <w:color w:val="000000"/>
                <w:sz w:val="27"/>
                <w:szCs w:val="27"/>
                <w:vertAlign w:val="baseline"/>
              </w:rPr>
              <w:t>项目编号：</w:t>
            </w:r>
            <w:r>
              <w:rPr>
                <w:rFonts w:hint="eastAsia" w:ascii="Times New Roman" w:hAnsi="Times New Roman" w:eastAsia="仿宋"/>
                <w:color w:val="000000"/>
                <w:sz w:val="27"/>
                <w:szCs w:val="27"/>
                <w:vertAlign w:val="baseline"/>
                <w:lang w:eastAsia="zh-CN"/>
              </w:rPr>
              <w:t>2022-XBZC-01153</w:t>
            </w:r>
          </w:p>
          <w:p>
            <w:pPr>
              <w:pStyle w:val="61"/>
              <w:spacing w:before="75" w:beforeAutospacing="0" w:after="75" w:afterAutospacing="0"/>
              <w:ind w:firstLine="540" w:firstLineChars="200"/>
              <w:rPr>
                <w:rFonts w:ascii="Times New Roman" w:hAnsi="Times New Roman" w:eastAsia="仿宋"/>
                <w:color w:val="000000"/>
                <w:sz w:val="27"/>
                <w:szCs w:val="27"/>
                <w:vertAlign w:val="baseline"/>
              </w:rPr>
            </w:pPr>
            <w:r>
              <w:rPr>
                <w:rFonts w:hint="eastAsia" w:ascii="Times New Roman" w:hAnsi="Times New Roman" w:eastAsia="仿宋"/>
                <w:color w:val="000000"/>
                <w:sz w:val="27"/>
                <w:szCs w:val="27"/>
                <w:vertAlign w:val="baseline"/>
              </w:rPr>
              <w:t>新疆西北招标有限公司受</w:t>
            </w:r>
            <w:r>
              <w:rPr>
                <w:rFonts w:hint="eastAsia" w:ascii="Times New Roman" w:hAnsi="Times New Roman" w:eastAsia="仿宋"/>
                <w:color w:val="000000"/>
                <w:sz w:val="27"/>
                <w:szCs w:val="27"/>
                <w:vertAlign w:val="baseline"/>
                <w:lang w:eastAsia="zh-CN"/>
              </w:rPr>
              <w:t>新疆维吾尔自治区儿童医院</w:t>
            </w:r>
            <w:r>
              <w:rPr>
                <w:rFonts w:hint="eastAsia" w:ascii="Times New Roman" w:hAnsi="Times New Roman" w:eastAsia="仿宋"/>
                <w:color w:val="000000"/>
                <w:sz w:val="27"/>
                <w:szCs w:val="27"/>
                <w:vertAlign w:val="baseline"/>
              </w:rPr>
              <w:t>的委托，对</w:t>
            </w:r>
            <w:r>
              <w:rPr>
                <w:rFonts w:hint="eastAsia" w:ascii="Times New Roman" w:hAnsi="Times New Roman" w:eastAsia="仿宋"/>
                <w:color w:val="000000"/>
                <w:sz w:val="27"/>
                <w:szCs w:val="27"/>
                <w:vertAlign w:val="baseline"/>
                <w:lang w:eastAsia="zh-CN"/>
              </w:rPr>
              <w:t>新疆维吾尔自治区儿童医院信息化能力建设项目</w:t>
            </w:r>
            <w:r>
              <w:rPr>
                <w:rFonts w:hint="eastAsia" w:ascii="Times New Roman" w:hAnsi="Times New Roman" w:eastAsia="仿宋"/>
                <w:color w:val="000000"/>
                <w:sz w:val="27"/>
                <w:szCs w:val="27"/>
                <w:vertAlign w:val="baseline"/>
              </w:rPr>
              <w:t>组织公开招标。兹邀请合格投标人以密封标书的形式前来投标。</w:t>
            </w:r>
          </w:p>
        </w:tc>
      </w:tr>
    </w:tbl>
    <w:p>
      <w:pPr>
        <w:pStyle w:val="61"/>
        <w:spacing w:before="75" w:beforeAutospacing="0" w:after="75" w:afterAutospacing="0"/>
        <w:ind w:firstLine="540" w:firstLineChars="200"/>
        <w:rPr>
          <w:rFonts w:ascii="Times New Roman" w:hAnsi="Times New Roman" w:eastAsia="仿宋"/>
          <w:color w:val="000000"/>
          <w:sz w:val="27"/>
          <w:szCs w:val="27"/>
        </w:rPr>
      </w:pP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1、招标内容及预算：</w:t>
      </w:r>
      <w:r>
        <w:rPr>
          <w:rFonts w:hint="eastAsia" w:ascii="Times New Roman" w:hAnsi="Times New Roman" w:eastAsia="仿宋"/>
          <w:color w:val="000000"/>
          <w:sz w:val="27"/>
          <w:szCs w:val="27"/>
          <w:lang w:val="en-US" w:eastAsia="zh-CN"/>
        </w:rPr>
        <w:t xml:space="preserve">  768.35</w:t>
      </w:r>
      <w:r>
        <w:rPr>
          <w:rFonts w:hint="eastAsia" w:ascii="Times New Roman" w:hAnsi="Times New Roman" w:eastAsia="仿宋"/>
          <w:color w:val="000000"/>
          <w:sz w:val="27"/>
          <w:szCs w:val="27"/>
        </w:rPr>
        <w:t>万元（招标清单及技术参数详见招标文件）</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投标人资格要求：</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1.满足《中华人民共和国政府采购法》第二十二条规定，并提供下列材料：</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①法人或者其他组织的营业执照等证明文件，自然人的身份证明；</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②经审计的最近一个年度的财务状况报告（成立不满一年不需提供）；</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③依法缴纳税收和社会保障资金的相关材料（提供提交投标文件截止时间前一年内至少一个月依法缴纳税收及缴纳社会保障资金的证明材料。投标人依法享受缓缴、免缴税收、社会保障资金的提供证明材料。）；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④具备履行合同所必需的设备和专业技术能力的证明材料；</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⑤参加政府采购活动前3年内在经营活动中没有重大违法记录的书面声明；</w:t>
      </w:r>
    </w:p>
    <w:p>
      <w:pPr>
        <w:pStyle w:val="61"/>
        <w:spacing w:before="75" w:beforeAutospacing="0" w:after="75" w:afterAutospacing="0"/>
      </w:pPr>
      <w:r>
        <w:rPr>
          <w:rFonts w:hint="eastAsia" w:ascii="Times New Roman" w:hAnsi="Times New Roman" w:eastAsia="仿宋"/>
          <w:color w:val="000000"/>
          <w:sz w:val="27"/>
          <w:szCs w:val="27"/>
        </w:rPr>
        <w:t>⑥未被列入“中国执行信息公开网”网站（http：//zxgk.court.gov.cn）失信被执行人、“信用中国”网站（www.creditchina.gov.cn）重大税收违法案件当事人名单、政府采购严重失信行为记录名单。（提供网页截图）。</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2.落实政府采购政策需满足的资格要求：本项目为非专门面向中小企业（含中型、小型、微型企业）采购项目，根据《政府采购促进中小企业发展管理办法》（财库[2020]46号）的规定，评标时将给予此类企业进行价格</w:t>
      </w:r>
      <w:r>
        <w:rPr>
          <w:rFonts w:hint="eastAsia" w:ascii="Times New Roman" w:hAnsi="Times New Roman" w:eastAsia="仿宋"/>
          <w:color w:val="000000"/>
          <w:sz w:val="27"/>
          <w:szCs w:val="27"/>
          <w:lang w:val="en-US" w:eastAsia="zh-CN"/>
        </w:rPr>
        <w:t>10</w:t>
      </w:r>
      <w:r>
        <w:rPr>
          <w:rFonts w:hint="eastAsia" w:ascii="Times New Roman" w:hAnsi="Times New Roman" w:eastAsia="仿宋"/>
          <w:color w:val="000000"/>
          <w:sz w:val="27"/>
          <w:szCs w:val="27"/>
        </w:rPr>
        <w:t>%的优惠，监狱企业、残疾人福利性单位视同为小微企业，用优惠后的价格参与评审。</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3.本项目的特定资格要求：</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①投标人应出具三证合一的《营业执照》副本原件；</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②法定代表人参加投标的，应提供法定代表人居民身份证；法定代表人授权人参加投标的，应提供法定代表人授权书及被授权人居民身份证；</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③投标人须提供通过“信用中国”网站（</w:t>
      </w:r>
      <w:r>
        <w:rPr>
          <w:rFonts w:ascii="Times New Roman" w:hAnsi="Times New Roman" w:eastAsia="仿宋"/>
          <w:color w:val="000000"/>
          <w:sz w:val="27"/>
          <w:szCs w:val="27"/>
        </w:rPr>
        <w:t>www.creditchina.gov.cn</w:t>
      </w:r>
      <w:r>
        <w:rPr>
          <w:rFonts w:hint="eastAsia" w:ascii="Times New Roman" w:hAnsi="Times New Roman" w:eastAsia="仿宋"/>
          <w:color w:val="000000"/>
          <w:sz w:val="27"/>
          <w:szCs w:val="27"/>
        </w:rPr>
        <w:t>）、“中国执行信息公开网”网站（http：//zxgk.court.gov.cn）、中国政府采购网（</w:t>
      </w:r>
      <w:r>
        <w:rPr>
          <w:rFonts w:ascii="Times New Roman" w:hAnsi="Times New Roman" w:eastAsia="仿宋"/>
          <w:color w:val="000000"/>
          <w:sz w:val="27"/>
          <w:szCs w:val="27"/>
        </w:rPr>
        <w:t>www.ccgp.gov.cn</w:t>
      </w:r>
      <w:r>
        <w:rPr>
          <w:rFonts w:hint="eastAsia" w:ascii="Times New Roman" w:hAnsi="Times New Roman" w:eastAsia="仿宋"/>
          <w:color w:val="000000"/>
          <w:sz w:val="27"/>
          <w:szCs w:val="27"/>
        </w:rPr>
        <w:t>）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④单位负责人为同一人或者存在直接控股、管理关系的不同供应商，不得参加同一合同项下的政府采购活动。</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⑤本项目不允许联合体投标。</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三、获取（下载）招标文件</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时间：202</w:t>
      </w:r>
      <w:r>
        <w:rPr>
          <w:rFonts w:hint="eastAsia" w:ascii="Times New Roman" w:hAnsi="Times New Roman" w:eastAsia="仿宋"/>
          <w:color w:val="000000"/>
          <w:sz w:val="27"/>
          <w:szCs w:val="27"/>
        </w:rPr>
        <w:t>2</w:t>
      </w:r>
      <w:r>
        <w:rPr>
          <w:rFonts w:ascii="Times New Roman" w:hAnsi="Times New Roman" w:eastAsia="仿宋"/>
          <w:color w:val="000000"/>
          <w:sz w:val="27"/>
          <w:szCs w:val="27"/>
        </w:rPr>
        <w:t>年</w:t>
      </w:r>
      <w:r>
        <w:rPr>
          <w:rFonts w:hint="eastAsia" w:ascii="Times New Roman" w:hAnsi="Times New Roman" w:eastAsia="仿宋"/>
          <w:color w:val="000000"/>
          <w:sz w:val="27"/>
          <w:szCs w:val="27"/>
          <w:lang w:val="en-US" w:eastAsia="zh-CN"/>
        </w:rPr>
        <w:t>07</w:t>
      </w:r>
      <w:r>
        <w:rPr>
          <w:rFonts w:ascii="Times New Roman" w:hAnsi="Times New Roman" w:eastAsia="仿宋"/>
          <w:color w:val="000000"/>
          <w:sz w:val="27"/>
          <w:szCs w:val="27"/>
        </w:rPr>
        <w:t>月</w:t>
      </w:r>
      <w:r>
        <w:rPr>
          <w:rFonts w:hint="eastAsia" w:ascii="Times New Roman" w:hAnsi="Times New Roman" w:eastAsia="仿宋"/>
          <w:color w:val="000000"/>
          <w:sz w:val="27"/>
          <w:szCs w:val="27"/>
          <w:lang w:val="en-US" w:eastAsia="zh-CN"/>
        </w:rPr>
        <w:t>28</w:t>
      </w:r>
      <w:r>
        <w:rPr>
          <w:rFonts w:ascii="Times New Roman" w:hAnsi="Times New Roman" w:eastAsia="仿宋"/>
          <w:color w:val="000000"/>
          <w:sz w:val="27"/>
          <w:szCs w:val="27"/>
        </w:rPr>
        <w:t>日至202</w:t>
      </w:r>
      <w:r>
        <w:rPr>
          <w:rFonts w:hint="eastAsia" w:ascii="Times New Roman" w:hAnsi="Times New Roman" w:eastAsia="仿宋"/>
          <w:color w:val="000000"/>
          <w:sz w:val="27"/>
          <w:szCs w:val="27"/>
        </w:rPr>
        <w:t>2</w:t>
      </w:r>
      <w:r>
        <w:rPr>
          <w:rFonts w:ascii="Times New Roman" w:hAnsi="Times New Roman" w:eastAsia="仿宋"/>
          <w:color w:val="000000"/>
          <w:sz w:val="27"/>
          <w:szCs w:val="27"/>
        </w:rPr>
        <w:t>年</w:t>
      </w:r>
      <w:r>
        <w:rPr>
          <w:rFonts w:hint="eastAsia" w:ascii="Times New Roman" w:hAnsi="Times New Roman" w:eastAsia="仿宋"/>
          <w:color w:val="000000"/>
          <w:sz w:val="27"/>
          <w:szCs w:val="27"/>
          <w:lang w:val="en-US" w:eastAsia="zh-CN"/>
        </w:rPr>
        <w:t>08</w:t>
      </w:r>
      <w:r>
        <w:rPr>
          <w:rFonts w:ascii="Times New Roman" w:hAnsi="Times New Roman" w:eastAsia="仿宋"/>
          <w:color w:val="000000"/>
          <w:sz w:val="27"/>
          <w:szCs w:val="27"/>
        </w:rPr>
        <w:t>月</w:t>
      </w:r>
      <w:r>
        <w:rPr>
          <w:rFonts w:hint="eastAsia" w:ascii="Times New Roman" w:hAnsi="Times New Roman" w:eastAsia="仿宋"/>
          <w:color w:val="000000"/>
          <w:sz w:val="27"/>
          <w:szCs w:val="27"/>
          <w:lang w:val="en-US" w:eastAsia="zh-CN"/>
        </w:rPr>
        <w:t>03</w:t>
      </w:r>
      <w:r>
        <w:rPr>
          <w:rFonts w:ascii="Times New Roman" w:hAnsi="Times New Roman" w:eastAsia="仿宋"/>
          <w:color w:val="000000"/>
          <w:sz w:val="27"/>
          <w:szCs w:val="27"/>
        </w:rPr>
        <w:t>日，每天上午10:00至13:30，下午15:30至18:30（北京时间，线下获取文件法定节假日除外）</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地点（网址）：新疆西北招标有限公司（乌鲁木齐市伊宁路318号江西大厦9楼）</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方式：线下获取（现场购买）</w:t>
      </w:r>
      <w:r>
        <w:rPr>
          <w:rFonts w:hint="eastAsia" w:ascii="Times New Roman" w:hAnsi="Times New Roman" w:eastAsia="仿宋"/>
          <w:color w:val="000000"/>
          <w:sz w:val="27"/>
          <w:szCs w:val="27"/>
        </w:rPr>
        <w:t>，售后不退。</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售价（元）：200/</w:t>
      </w:r>
      <w:r>
        <w:rPr>
          <w:rFonts w:hint="eastAsia" w:ascii="Times New Roman" w:hAnsi="Times New Roman" w:eastAsia="仿宋"/>
          <w:color w:val="000000"/>
          <w:sz w:val="27"/>
          <w:szCs w:val="27"/>
        </w:rPr>
        <w:t>套</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四、提交投标文件截止时间、开标时间和地点</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提交投标文件截止时间：</w:t>
      </w:r>
      <w:r>
        <w:rPr>
          <w:rFonts w:hint="eastAsia" w:ascii="Times New Roman" w:hAnsi="Times New Roman" w:eastAsia="仿宋"/>
          <w:color w:val="000000"/>
          <w:sz w:val="27"/>
          <w:szCs w:val="27"/>
        </w:rPr>
        <w:t>2022年</w:t>
      </w:r>
      <w:r>
        <w:rPr>
          <w:rFonts w:hint="eastAsia" w:ascii="Times New Roman" w:hAnsi="Times New Roman" w:eastAsia="仿宋"/>
          <w:color w:val="000000"/>
          <w:sz w:val="27"/>
          <w:szCs w:val="27"/>
          <w:lang w:val="en-US" w:eastAsia="zh-CN"/>
        </w:rPr>
        <w:t>08</w:t>
      </w:r>
      <w:r>
        <w:rPr>
          <w:rFonts w:hint="eastAsia" w:ascii="Times New Roman" w:hAnsi="Times New Roman" w:eastAsia="仿宋"/>
          <w:color w:val="000000"/>
          <w:sz w:val="27"/>
          <w:szCs w:val="27"/>
        </w:rPr>
        <w:t>月</w:t>
      </w:r>
      <w:r>
        <w:rPr>
          <w:rFonts w:hint="eastAsia" w:ascii="Times New Roman" w:hAnsi="Times New Roman" w:eastAsia="仿宋"/>
          <w:color w:val="000000"/>
          <w:sz w:val="27"/>
          <w:szCs w:val="27"/>
          <w:lang w:val="en-US" w:eastAsia="zh-CN"/>
        </w:rPr>
        <w:t>18</w:t>
      </w:r>
      <w:r>
        <w:rPr>
          <w:rFonts w:hint="eastAsia" w:ascii="Times New Roman" w:hAnsi="Times New Roman" w:eastAsia="仿宋"/>
          <w:color w:val="000000"/>
          <w:sz w:val="27"/>
          <w:szCs w:val="27"/>
        </w:rPr>
        <w:t>日</w:t>
      </w:r>
      <w:r>
        <w:rPr>
          <w:rFonts w:ascii="Times New Roman" w:hAnsi="Times New Roman" w:eastAsia="仿宋"/>
          <w:color w:val="000000"/>
          <w:sz w:val="27"/>
          <w:szCs w:val="27"/>
        </w:rPr>
        <w:t>11:00（北京时间）</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投标地点：新疆西北招标有限公司（乌鲁木齐市伊宁路318号江西大厦9楼</w:t>
      </w:r>
      <w:r>
        <w:rPr>
          <w:rFonts w:hint="eastAsia" w:ascii="Times New Roman" w:hAnsi="Times New Roman" w:eastAsia="仿宋"/>
          <w:color w:val="000000"/>
          <w:sz w:val="27"/>
          <w:szCs w:val="27"/>
        </w:rPr>
        <w:t>）</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开标时间：</w:t>
      </w:r>
      <w:r>
        <w:rPr>
          <w:rFonts w:hint="eastAsia" w:ascii="Times New Roman" w:hAnsi="Times New Roman" w:eastAsia="仿宋"/>
          <w:color w:val="000000"/>
          <w:sz w:val="27"/>
          <w:szCs w:val="27"/>
        </w:rPr>
        <w:t>2022年</w:t>
      </w:r>
      <w:r>
        <w:rPr>
          <w:rFonts w:hint="eastAsia" w:ascii="Times New Roman" w:hAnsi="Times New Roman" w:eastAsia="仿宋"/>
          <w:color w:val="000000"/>
          <w:sz w:val="27"/>
          <w:szCs w:val="27"/>
          <w:lang w:val="en-US" w:eastAsia="zh-CN"/>
        </w:rPr>
        <w:t>08</w:t>
      </w:r>
      <w:r>
        <w:rPr>
          <w:rFonts w:hint="eastAsia" w:ascii="Times New Roman" w:hAnsi="Times New Roman" w:eastAsia="仿宋"/>
          <w:color w:val="000000"/>
          <w:sz w:val="27"/>
          <w:szCs w:val="27"/>
        </w:rPr>
        <w:t>月</w:t>
      </w:r>
      <w:r>
        <w:rPr>
          <w:rFonts w:hint="eastAsia" w:ascii="Times New Roman" w:hAnsi="Times New Roman" w:eastAsia="仿宋"/>
          <w:color w:val="000000"/>
          <w:sz w:val="27"/>
          <w:szCs w:val="27"/>
          <w:lang w:val="en-US" w:eastAsia="zh-CN"/>
        </w:rPr>
        <w:t>18</w:t>
      </w:r>
      <w:r>
        <w:rPr>
          <w:rFonts w:hint="eastAsia" w:ascii="Times New Roman" w:hAnsi="Times New Roman" w:eastAsia="仿宋"/>
          <w:color w:val="000000"/>
          <w:sz w:val="27"/>
          <w:szCs w:val="27"/>
        </w:rPr>
        <w:t>日</w:t>
      </w:r>
      <w:r>
        <w:rPr>
          <w:rFonts w:ascii="Times New Roman" w:hAnsi="Times New Roman" w:eastAsia="仿宋"/>
          <w:color w:val="000000"/>
          <w:sz w:val="27"/>
          <w:szCs w:val="27"/>
        </w:rPr>
        <w:t>11:00（北京时间）</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开标地点：新疆西北招标有限公司（乌鲁木齐市伊宁路318号江西大厦9楼</w:t>
      </w:r>
      <w:r>
        <w:rPr>
          <w:rFonts w:hint="eastAsia" w:ascii="Times New Roman" w:hAnsi="Times New Roman" w:eastAsia="仿宋"/>
          <w:color w:val="000000"/>
          <w:sz w:val="27"/>
          <w:szCs w:val="27"/>
        </w:rPr>
        <w:t>)</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五、公告期限</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自本公告发布之日起5个工作日。</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六、其他补充事宜</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投标人获取采购文件时应提交的资料：</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三证合一的《营业执照》副本原件</w:t>
      </w:r>
      <w:r>
        <w:rPr>
          <w:rFonts w:hint="eastAsia" w:ascii="Times New Roman" w:hAnsi="Times New Roman" w:eastAsia="仿宋"/>
          <w:color w:val="000000"/>
          <w:sz w:val="27"/>
          <w:szCs w:val="27"/>
          <w:lang w:eastAsia="zh-CN"/>
        </w:rPr>
        <w:t>，</w:t>
      </w:r>
      <w:r>
        <w:rPr>
          <w:rFonts w:ascii="Times New Roman" w:hAnsi="Times New Roman" w:eastAsia="仿宋"/>
          <w:color w:val="000000"/>
          <w:sz w:val="27"/>
          <w:szCs w:val="27"/>
        </w:rPr>
        <w:t>法定代表人参加投标的，提供法定代表人居民身份证</w:t>
      </w:r>
      <w:r>
        <w:rPr>
          <w:rFonts w:hint="eastAsia" w:ascii="Times New Roman" w:hAnsi="Times New Roman" w:eastAsia="仿宋"/>
          <w:color w:val="000000"/>
          <w:sz w:val="27"/>
          <w:szCs w:val="27"/>
        </w:rPr>
        <w:t>原件及法人证明书</w:t>
      </w:r>
      <w:r>
        <w:rPr>
          <w:rFonts w:ascii="Times New Roman" w:hAnsi="Times New Roman" w:eastAsia="仿宋"/>
          <w:color w:val="000000"/>
          <w:sz w:val="27"/>
          <w:szCs w:val="27"/>
        </w:rPr>
        <w:t>；法定代表人授权人参加投标的，提供法定代表人授权委托书</w:t>
      </w:r>
      <w:r>
        <w:rPr>
          <w:rFonts w:hint="eastAsia" w:ascii="Times New Roman" w:hAnsi="Times New Roman" w:eastAsia="仿宋"/>
          <w:color w:val="000000"/>
          <w:sz w:val="27"/>
          <w:szCs w:val="27"/>
        </w:rPr>
        <w:t>（含有法人身份证和被授权人复印件）</w:t>
      </w:r>
      <w:r>
        <w:rPr>
          <w:rFonts w:ascii="Times New Roman" w:hAnsi="Times New Roman" w:eastAsia="仿宋"/>
          <w:color w:val="000000"/>
          <w:sz w:val="27"/>
          <w:szCs w:val="27"/>
        </w:rPr>
        <w:t>及被授权人居民身份证</w:t>
      </w:r>
      <w:r>
        <w:rPr>
          <w:rFonts w:hint="eastAsia" w:ascii="Times New Roman" w:hAnsi="Times New Roman" w:eastAsia="仿宋"/>
          <w:color w:val="000000"/>
          <w:sz w:val="27"/>
          <w:szCs w:val="27"/>
        </w:rPr>
        <w:t>原件</w:t>
      </w:r>
      <w:r>
        <w:rPr>
          <w:rFonts w:ascii="Times New Roman" w:hAnsi="Times New Roman" w:eastAsia="仿宋"/>
          <w:color w:val="000000"/>
          <w:sz w:val="27"/>
          <w:szCs w:val="27"/>
        </w:rPr>
        <w:t>；</w:t>
      </w:r>
      <w:r>
        <w:rPr>
          <w:rFonts w:hint="eastAsia" w:ascii="Times New Roman" w:hAnsi="Times New Roman" w:eastAsia="仿宋"/>
          <w:color w:val="000000"/>
          <w:sz w:val="27"/>
          <w:szCs w:val="27"/>
        </w:rPr>
        <w:t>提供通过“信用中国”网站（</w:t>
      </w:r>
      <w:r>
        <w:rPr>
          <w:rFonts w:ascii="Times New Roman" w:hAnsi="Times New Roman" w:eastAsia="仿宋"/>
          <w:color w:val="000000"/>
          <w:sz w:val="27"/>
          <w:szCs w:val="27"/>
        </w:rPr>
        <w:t>www.creditchina.gov.cn</w:t>
      </w:r>
      <w:r>
        <w:rPr>
          <w:rFonts w:hint="eastAsia" w:ascii="Times New Roman" w:hAnsi="Times New Roman" w:eastAsia="仿宋"/>
          <w:color w:val="000000"/>
          <w:sz w:val="27"/>
          <w:szCs w:val="27"/>
        </w:rPr>
        <w:t>）、“中国执行信息公开网”网站（http：//zxgk.court.gov.cn）、中国政府采购网（</w:t>
      </w:r>
      <w:r>
        <w:rPr>
          <w:rFonts w:ascii="Times New Roman" w:hAnsi="Times New Roman" w:eastAsia="仿宋"/>
          <w:color w:val="000000"/>
          <w:sz w:val="27"/>
          <w:szCs w:val="27"/>
        </w:rPr>
        <w:t>www.ccgp.gov.cn</w:t>
      </w:r>
      <w:r>
        <w:rPr>
          <w:rFonts w:hint="eastAsia" w:ascii="Times New Roman" w:hAnsi="Times New Roman" w:eastAsia="仿宋"/>
          <w:color w:val="000000"/>
          <w:sz w:val="27"/>
          <w:szCs w:val="27"/>
        </w:rPr>
        <w:t>）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p>
      <w:pPr>
        <w:pStyle w:val="61"/>
        <w:spacing w:before="75" w:beforeAutospacing="0" w:after="75" w:afterAutospacing="0"/>
        <w:rPr>
          <w:rFonts w:ascii="Times New Roman" w:hAnsi="Times New Roman" w:eastAsia="仿宋"/>
          <w:color w:val="000000"/>
          <w:sz w:val="27"/>
          <w:szCs w:val="27"/>
        </w:rPr>
      </w:pP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七、对本次采购提出询问，请按以下方式联系</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1.采购人信息</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名 称：</w:t>
      </w:r>
      <w:r>
        <w:rPr>
          <w:rFonts w:hint="eastAsia" w:ascii="Times New Roman" w:hAnsi="Times New Roman" w:eastAsia="仿宋"/>
          <w:color w:val="000000"/>
          <w:sz w:val="27"/>
          <w:szCs w:val="27"/>
        </w:rPr>
        <w:t xml:space="preserve">  </w:t>
      </w:r>
      <w:r>
        <w:rPr>
          <w:rFonts w:hint="eastAsia" w:ascii="Times New Roman" w:hAnsi="Times New Roman" w:eastAsia="仿宋"/>
          <w:color w:val="000000"/>
          <w:sz w:val="27"/>
          <w:szCs w:val="27"/>
          <w:lang w:eastAsia="zh-CN"/>
        </w:rPr>
        <w:t>新疆维吾尔自治区儿童医院</w:t>
      </w:r>
      <w:r>
        <w:rPr>
          <w:rFonts w:hint="eastAsia" w:ascii="Times New Roman" w:hAnsi="Times New Roman" w:eastAsia="仿宋"/>
          <w:color w:val="000000"/>
          <w:sz w:val="27"/>
          <w:szCs w:val="27"/>
        </w:rPr>
        <w:t xml:space="preserve">    </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联系人：</w:t>
      </w:r>
      <w:r>
        <w:rPr>
          <w:rFonts w:hint="eastAsia" w:ascii="Times New Roman" w:hAnsi="Times New Roman" w:eastAsia="仿宋"/>
          <w:color w:val="000000"/>
          <w:sz w:val="27"/>
          <w:szCs w:val="27"/>
        </w:rPr>
        <w:t xml:space="preserve"> </w:t>
      </w:r>
      <w:r>
        <w:rPr>
          <w:rFonts w:hint="eastAsia" w:ascii="Times New Roman" w:hAnsi="Times New Roman" w:eastAsia="仿宋"/>
          <w:color w:val="000000"/>
          <w:sz w:val="27"/>
          <w:szCs w:val="27"/>
          <w:lang w:val="en-US" w:eastAsia="zh-CN"/>
        </w:rPr>
        <w:t>张老师</w:t>
      </w:r>
      <w:r>
        <w:rPr>
          <w:rFonts w:hint="eastAsia" w:ascii="Times New Roman" w:hAnsi="Times New Roman" w:eastAsia="仿宋"/>
          <w:color w:val="000000"/>
          <w:sz w:val="27"/>
          <w:szCs w:val="27"/>
        </w:rPr>
        <w:t xml:space="preserve">      </w:t>
      </w:r>
    </w:p>
    <w:p>
      <w:pPr>
        <w:pStyle w:val="61"/>
        <w:spacing w:before="75" w:beforeAutospacing="0" w:after="75" w:afterAutospacing="0"/>
        <w:rPr>
          <w:rFonts w:hint="eastAsia" w:ascii="Times New Roman" w:hAnsi="Times New Roman" w:eastAsia="仿宋"/>
          <w:color w:val="000000"/>
          <w:sz w:val="27"/>
          <w:szCs w:val="27"/>
          <w:lang w:eastAsia="zh-CN"/>
        </w:rPr>
      </w:pPr>
      <w:r>
        <w:rPr>
          <w:rFonts w:ascii="Times New Roman" w:hAnsi="Times New Roman" w:eastAsia="仿宋"/>
          <w:color w:val="000000"/>
          <w:sz w:val="27"/>
          <w:szCs w:val="27"/>
        </w:rPr>
        <w:t>联系方式：</w:t>
      </w:r>
      <w:r>
        <w:rPr>
          <w:rFonts w:hint="eastAsia" w:ascii="Times New Roman" w:hAnsi="Times New Roman" w:eastAsia="仿宋"/>
          <w:color w:val="000000"/>
          <w:sz w:val="27"/>
          <w:szCs w:val="27"/>
          <w:lang w:eastAsia="zh-CN"/>
        </w:rPr>
        <w:t>0991-3056196</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2.采购代理机构信息</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名 称：新疆西北招标有限公司</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地 址：乌鲁木齐市伊宁路318号江西大厦9楼</w:t>
      </w:r>
    </w:p>
    <w:p>
      <w:pPr>
        <w:pStyle w:val="61"/>
        <w:spacing w:before="75" w:beforeAutospacing="0" w:after="75" w:afterAutospacing="0"/>
        <w:rPr>
          <w:rFonts w:ascii="Times New Roman" w:hAnsi="Times New Roman" w:eastAsia="仿宋"/>
          <w:color w:val="000000"/>
          <w:sz w:val="27"/>
          <w:szCs w:val="27"/>
        </w:rPr>
      </w:pPr>
      <w:r>
        <w:rPr>
          <w:rFonts w:hint="eastAsia" w:ascii="Times New Roman" w:hAnsi="Times New Roman" w:eastAsia="仿宋"/>
          <w:color w:val="000000"/>
          <w:sz w:val="27"/>
          <w:szCs w:val="27"/>
        </w:rPr>
        <w:t>项目负责人：王培民</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联系人：</w:t>
      </w:r>
      <w:r>
        <w:rPr>
          <w:rFonts w:hint="eastAsia" w:ascii="Times New Roman" w:hAnsi="Times New Roman" w:eastAsia="仿宋"/>
          <w:color w:val="000000"/>
          <w:sz w:val="27"/>
          <w:szCs w:val="27"/>
        </w:rPr>
        <w:t>王静   刘建新  陈玉萍  李华</w:t>
      </w:r>
    </w:p>
    <w:p>
      <w:pPr>
        <w:pStyle w:val="61"/>
        <w:spacing w:before="75" w:beforeAutospacing="0" w:after="75" w:afterAutospacing="0"/>
        <w:rPr>
          <w:rFonts w:ascii="Times New Roman" w:hAnsi="Times New Roman" w:eastAsia="仿宋"/>
          <w:color w:val="000000"/>
          <w:sz w:val="27"/>
          <w:szCs w:val="27"/>
        </w:rPr>
      </w:pPr>
      <w:r>
        <w:rPr>
          <w:rFonts w:ascii="Times New Roman" w:hAnsi="Times New Roman" w:eastAsia="仿宋"/>
          <w:color w:val="000000"/>
          <w:sz w:val="27"/>
          <w:szCs w:val="27"/>
        </w:rPr>
        <w:t>联系方式：0991-5823555</w:t>
      </w:r>
    </w:p>
    <w:p>
      <w:pPr>
        <w:pStyle w:val="61"/>
        <w:spacing w:before="75" w:beforeAutospacing="0" w:after="75" w:afterAutospacing="0"/>
        <w:rPr>
          <w:rFonts w:ascii="Times New Roman" w:hAnsi="Times New Roman" w:eastAsia="仿宋"/>
        </w:rPr>
      </w:pPr>
      <w:r>
        <w:rPr>
          <w:rFonts w:ascii="Times New Roman" w:hAnsi="Times New Roman" w:eastAsia="仿宋"/>
          <w:color w:val="000000"/>
          <w:sz w:val="27"/>
          <w:szCs w:val="27"/>
        </w:rPr>
        <w:t> </w:t>
      </w:r>
    </w:p>
    <w:p>
      <w:pPr>
        <w:pStyle w:val="61"/>
        <w:spacing w:before="75" w:beforeAutospacing="0" w:after="75" w:afterAutospacing="0"/>
        <w:rPr>
          <w:rFonts w:ascii="Times New Roman" w:hAnsi="Times New Roman" w:eastAsia="仿宋"/>
        </w:rPr>
      </w:pPr>
      <w:r>
        <w:rPr>
          <w:rFonts w:ascii="Times New Roman" w:hAnsi="Times New Roman" w:eastAsia="仿宋"/>
          <w:color w:val="000000"/>
          <w:sz w:val="27"/>
          <w:szCs w:val="27"/>
        </w:rPr>
        <w:t> </w:t>
      </w:r>
    </w:p>
    <w:p>
      <w:pPr>
        <w:pStyle w:val="61"/>
        <w:spacing w:before="75" w:beforeAutospacing="0" w:after="75" w:afterAutospacing="0"/>
        <w:rPr>
          <w:rFonts w:ascii="Times New Roman" w:eastAsia="仿宋" w:cs="Times New Roman"/>
          <w:color w:val="000000"/>
        </w:rPr>
      </w:pPr>
      <w:r>
        <w:rPr>
          <w:rFonts w:ascii="Times New Roman" w:eastAsia="仿宋" w:cs="Times New Roman"/>
          <w:color w:val="000000"/>
          <w:sz w:val="27"/>
          <w:szCs w:val="27"/>
        </w:rPr>
        <w:t> </w:t>
      </w:r>
    </w:p>
    <w:p>
      <w:pPr>
        <w:rPr>
          <w:rFonts w:eastAsia="仿宋"/>
        </w:rPr>
      </w:pPr>
    </w:p>
    <w:p>
      <w:pPr>
        <w:widowControl/>
        <w:spacing w:line="500" w:lineRule="exact"/>
        <w:ind w:firstLine="640"/>
        <w:jc w:val="left"/>
        <w:rPr>
          <w:rFonts w:eastAsia="仿宋"/>
          <w:bCs/>
        </w:rPr>
      </w:pPr>
      <w:r>
        <w:rPr>
          <w:rFonts w:eastAsia="仿宋"/>
          <w:bCs/>
          <w:color w:val="666666"/>
          <w:kern w:val="0"/>
          <w:shd w:val="clear" w:color="auto" w:fill="FFFFFF"/>
        </w:rPr>
        <w:t xml:space="preserve"> </w:t>
      </w:r>
    </w:p>
    <w:p>
      <w:pPr>
        <w:spacing w:line="500" w:lineRule="exact"/>
        <w:rPr>
          <w:rFonts w:eastAsia="仿宋"/>
          <w:bCs/>
        </w:rPr>
      </w:pPr>
    </w:p>
    <w:p>
      <w:pPr>
        <w:snapToGrid w:val="0"/>
        <w:spacing w:line="500" w:lineRule="exact"/>
        <w:ind w:firstLine="640" w:firstLineChars="200"/>
        <w:rPr>
          <w:rFonts w:eastAsia="仿宋"/>
          <w:bCs/>
          <w:kern w:val="0"/>
          <w:sz w:val="32"/>
          <w:szCs w:val="32"/>
        </w:rPr>
      </w:pPr>
    </w:p>
    <w:p>
      <w:pPr>
        <w:spacing w:line="500" w:lineRule="exact"/>
        <w:rPr>
          <w:rFonts w:eastAsia="仿宋"/>
          <w:bCs/>
        </w:rPr>
        <w:sectPr>
          <w:footerReference r:id="rId6" w:type="default"/>
          <w:pgSz w:w="11906" w:h="16838"/>
          <w:pgMar w:top="1134" w:right="850" w:bottom="1134" w:left="850" w:header="283" w:footer="283" w:gutter="0"/>
          <w:pgNumType w:start="1"/>
          <w:cols w:space="720" w:num="1"/>
          <w:docGrid w:type="lines" w:linePitch="339" w:charSpace="0"/>
        </w:sectPr>
      </w:pPr>
    </w:p>
    <w:p>
      <w:pPr>
        <w:pStyle w:val="63"/>
        <w:spacing w:before="0" w:after="0" w:line="500" w:lineRule="exact"/>
        <w:rPr>
          <w:rFonts w:ascii="Times New Roman" w:hAnsi="Times New Roman" w:eastAsia="仿宋"/>
          <w:b w:val="0"/>
        </w:rPr>
      </w:pPr>
      <w:bookmarkStart w:id="6" w:name="_Toc23527881"/>
      <w:bookmarkStart w:id="7" w:name="_Toc99785513"/>
      <w:bookmarkStart w:id="8" w:name="_Toc20827"/>
      <w:r>
        <w:rPr>
          <w:rFonts w:ascii="Times New Roman" w:hAnsi="Times New Roman" w:eastAsia="仿宋"/>
          <w:b w:val="0"/>
          <w:sz w:val="40"/>
        </w:rPr>
        <w:t>第一部分  投标须知</w:t>
      </w:r>
      <w:bookmarkEnd w:id="6"/>
      <w:bookmarkEnd w:id="7"/>
      <w:bookmarkEnd w:id="8"/>
    </w:p>
    <w:p>
      <w:pPr>
        <w:pStyle w:val="3"/>
        <w:numPr>
          <w:ilvl w:val="0"/>
          <w:numId w:val="0"/>
        </w:numPr>
        <w:spacing w:before="0" w:after="0" w:line="500" w:lineRule="exact"/>
        <w:jc w:val="center"/>
        <w:rPr>
          <w:rFonts w:eastAsia="仿宋"/>
          <w:b w:val="0"/>
          <w:bCs w:val="0"/>
          <w:sz w:val="36"/>
        </w:rPr>
      </w:pPr>
      <w:bookmarkStart w:id="9" w:name="_Toc23527882"/>
      <w:bookmarkStart w:id="10" w:name="_Toc99785514"/>
      <w:bookmarkStart w:id="11" w:name="_Toc24209"/>
      <w:r>
        <w:rPr>
          <w:rFonts w:eastAsia="仿宋"/>
          <w:b w:val="0"/>
          <w:bCs w:val="0"/>
          <w:sz w:val="36"/>
        </w:rPr>
        <w:t>（一）投标人须知附表</w:t>
      </w:r>
      <w:bookmarkEnd w:id="4"/>
      <w:bookmarkEnd w:id="9"/>
      <w:bookmarkEnd w:id="10"/>
      <w:bookmarkEnd w:id="11"/>
    </w:p>
    <w:tbl>
      <w:tblPr>
        <w:tblStyle w:val="67"/>
        <w:tblpPr w:leftFromText="180" w:rightFromText="180" w:vertAnchor="text" w:horzAnchor="page" w:tblpXSpec="center" w:tblpY="292"/>
        <w:tblOverlap w:val="never"/>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1"/>
        <w:gridCol w:w="89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序号</w:t>
            </w:r>
          </w:p>
        </w:tc>
        <w:tc>
          <w:tcPr>
            <w:tcW w:w="8968"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1</w:t>
            </w:r>
          </w:p>
        </w:tc>
        <w:tc>
          <w:tcPr>
            <w:tcW w:w="8968" w:type="dxa"/>
            <w:tcBorders>
              <w:top w:val="single" w:color="auto" w:sz="4" w:space="0"/>
              <w:left w:val="single" w:color="auto" w:sz="4" w:space="0"/>
              <w:bottom w:val="single" w:color="auto" w:sz="4" w:space="0"/>
              <w:right w:val="single" w:color="auto" w:sz="4" w:space="0"/>
            </w:tcBorders>
            <w:vAlign w:val="center"/>
          </w:tcPr>
          <w:p>
            <w:pPr>
              <w:rPr>
                <w:rFonts w:hint="eastAsia" w:eastAsia="仿宋"/>
                <w:bCs/>
                <w:lang w:eastAsia="zh-CN"/>
              </w:rPr>
            </w:pPr>
            <w:r>
              <w:rPr>
                <w:rFonts w:eastAsia="仿宋"/>
                <w:bCs/>
              </w:rPr>
              <w:t>项目名称：</w:t>
            </w:r>
            <w:r>
              <w:rPr>
                <w:rFonts w:hint="eastAsia" w:eastAsia="仿宋"/>
                <w:bCs/>
                <w:lang w:eastAsia="zh-CN"/>
              </w:rPr>
              <w:t>新疆维吾尔自治区儿童医院信息化能力建设项目</w:t>
            </w:r>
          </w:p>
          <w:p>
            <w:pPr>
              <w:jc w:val="left"/>
              <w:rPr>
                <w:rFonts w:hint="eastAsia" w:eastAsia="仿宋"/>
                <w:bCs/>
                <w:lang w:eastAsia="zh-CN"/>
              </w:rPr>
            </w:pPr>
            <w:r>
              <w:rPr>
                <w:rFonts w:eastAsia="仿宋"/>
                <w:bCs/>
              </w:rPr>
              <w:t>项目编号：</w:t>
            </w:r>
            <w:r>
              <w:rPr>
                <w:rFonts w:hint="eastAsia" w:eastAsia="仿宋"/>
                <w:bCs/>
                <w:lang w:eastAsia="zh-CN"/>
              </w:rPr>
              <w:t>2022-XBZC-01153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ind w:right="102"/>
              <w:jc w:val="center"/>
              <w:rPr>
                <w:rFonts w:eastAsia="仿宋"/>
                <w:bCs/>
              </w:rPr>
            </w:pPr>
            <w:r>
              <w:rPr>
                <w:rFonts w:eastAsia="仿宋"/>
                <w:bCs/>
              </w:rPr>
              <w:t>2</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采购人：</w:t>
            </w:r>
            <w:r>
              <w:rPr>
                <w:rFonts w:hint="eastAsia" w:eastAsia="仿宋"/>
                <w:bCs/>
                <w:lang w:eastAsia="zh-CN"/>
              </w:rPr>
              <w:t>新疆维吾尔自治区儿童医院</w:t>
            </w:r>
            <w:r>
              <w:rPr>
                <w:rFonts w:eastAsia="仿宋"/>
                <w:bCs/>
              </w:rPr>
              <w:t xml:space="preserve">                  </w:t>
            </w:r>
          </w:p>
          <w:p>
            <w:pPr>
              <w:jc w:val="left"/>
              <w:rPr>
                <w:rFonts w:eastAsia="仿宋"/>
                <w:bCs/>
              </w:rPr>
            </w:pPr>
            <w:r>
              <w:rPr>
                <w:rFonts w:eastAsia="仿宋"/>
                <w:bCs/>
              </w:rPr>
              <w:t>采购人联系人：</w:t>
            </w:r>
            <w:r>
              <w:rPr>
                <w:rFonts w:hint="eastAsia" w:eastAsia="仿宋"/>
                <w:bCs/>
                <w:lang w:eastAsia="zh-CN"/>
              </w:rPr>
              <w:t>张老师</w:t>
            </w:r>
            <w:r>
              <w:rPr>
                <w:rFonts w:eastAsia="仿宋"/>
                <w:bCs/>
              </w:rPr>
              <w:t xml:space="preserve">             </w:t>
            </w:r>
          </w:p>
          <w:p>
            <w:pPr>
              <w:jc w:val="left"/>
              <w:rPr>
                <w:rFonts w:hint="eastAsia" w:eastAsia="仿宋"/>
                <w:bCs/>
                <w:lang w:eastAsia="zh-CN"/>
              </w:rPr>
            </w:pPr>
            <w:r>
              <w:rPr>
                <w:rFonts w:eastAsia="仿宋"/>
                <w:bCs/>
              </w:rPr>
              <w:t>联系电话：</w:t>
            </w:r>
            <w:r>
              <w:rPr>
                <w:rFonts w:hint="eastAsia" w:ascii="Times New Roman" w:hAnsi="Times New Roman" w:eastAsia="仿宋"/>
                <w:color w:val="000000"/>
                <w:sz w:val="27"/>
                <w:szCs w:val="27"/>
                <w:lang w:eastAsia="zh-CN"/>
              </w:rPr>
              <w:t>0991-3056196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3</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hint="default" w:eastAsia="仿宋"/>
                <w:bCs/>
                <w:lang w:val="en-US" w:eastAsia="zh-CN"/>
              </w:rPr>
            </w:pPr>
            <w:r>
              <w:rPr>
                <w:rFonts w:eastAsia="仿宋"/>
                <w:bCs/>
              </w:rPr>
              <w:t>招标内容：</w:t>
            </w:r>
            <w:r>
              <w:rPr>
                <w:rFonts w:hint="eastAsia" w:eastAsia="仿宋"/>
                <w:bCs/>
                <w:lang w:val="en-US" w:eastAsia="zh-CN"/>
              </w:rPr>
              <w:t>详见第三部分采购要求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4</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招标控制价：</w:t>
            </w:r>
            <w:r>
              <w:rPr>
                <w:rFonts w:hint="eastAsia" w:eastAsia="仿宋"/>
                <w:bCs/>
                <w:lang w:val="en-US" w:eastAsia="zh-CN"/>
              </w:rPr>
              <w:t>768.35</w:t>
            </w:r>
            <w:r>
              <w:rPr>
                <w:rFonts w:eastAsia="仿宋"/>
                <w:bCs/>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5</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color w:val="FF0000"/>
              </w:rPr>
              <w:t xml:space="preserve"> </w:t>
            </w:r>
            <w:r>
              <w:rPr>
                <w:rFonts w:hint="eastAsia" w:eastAsia="仿宋"/>
                <w:bCs/>
                <w:color w:val="FF0000"/>
                <w:lang w:val="en-US" w:eastAsia="zh-CN"/>
              </w:rPr>
              <w:t>交货</w:t>
            </w:r>
            <w:r>
              <w:rPr>
                <w:rFonts w:eastAsia="仿宋"/>
                <w:bCs/>
                <w:color w:val="FF0000"/>
              </w:rPr>
              <w:t>期：</w:t>
            </w:r>
            <w:r>
              <w:rPr>
                <w:rFonts w:hint="eastAsia" w:eastAsia="仿宋"/>
                <w:bCs/>
                <w:color w:val="FF0000"/>
                <w:lang w:val="en-US" w:eastAsia="zh-CN"/>
              </w:rPr>
              <w:t xml:space="preserve">         </w:t>
            </w:r>
            <w:r>
              <w:rPr>
                <w:rFonts w:eastAsia="仿宋"/>
                <w:bCs/>
                <w:color w:val="FF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6</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资格标准：</w:t>
            </w:r>
          </w:p>
          <w:p>
            <w:pPr>
              <w:jc w:val="left"/>
              <w:rPr>
                <w:rFonts w:eastAsia="仿宋"/>
                <w:bCs/>
              </w:rPr>
            </w:pPr>
            <w:r>
              <w:rPr>
                <w:rFonts w:eastAsia="仿宋"/>
                <w:bCs/>
              </w:rPr>
              <w:t>①投标人必须是在中华人民共和国境内注册的，具有独立法人资格的企业，法定代表人为同一个人的两个及两个以上法人，其母公司、全资子公司及控股公司只能有一家投标；</w:t>
            </w:r>
          </w:p>
          <w:p>
            <w:pPr>
              <w:jc w:val="left"/>
              <w:rPr>
                <w:rFonts w:eastAsia="仿宋"/>
                <w:bCs/>
              </w:rPr>
            </w:pPr>
            <w:r>
              <w:rPr>
                <w:rFonts w:hint="eastAsia" w:eastAsia="仿宋"/>
                <w:bCs/>
              </w:rPr>
              <w:t>②</w:t>
            </w:r>
            <w:r>
              <w:rPr>
                <w:rFonts w:eastAsia="仿宋"/>
                <w:bCs/>
              </w:rPr>
              <w:t xml:space="preserve">投标人符合《中华人民共和国政府采购法》第22条规定的条件，具有企业法人营业执照； </w:t>
            </w:r>
          </w:p>
          <w:p>
            <w:pPr>
              <w:jc w:val="left"/>
              <w:rPr>
                <w:rFonts w:eastAsia="仿宋"/>
                <w:bCs/>
              </w:rPr>
            </w:pPr>
            <w:r>
              <w:rPr>
                <w:rFonts w:eastAsia="仿宋"/>
                <w:bCs/>
              </w:rPr>
              <w:t xml:space="preserve">③近三年内未被“信用中国”网站列入失信被执行人和重大税收违法案件当事人名单的、被“中国政府采购网”网站列入政府采购严重违法失信行为记录名单（处罚期限尚未届满的）的证明文件（网页截图加盖公章）； </w:t>
            </w:r>
          </w:p>
          <w:p>
            <w:pPr>
              <w:jc w:val="left"/>
              <w:rPr>
                <w:rFonts w:eastAsia="仿宋"/>
                <w:bCs/>
                <w:highlight w:val="yellow"/>
              </w:rPr>
            </w:pPr>
            <w:r>
              <w:rPr>
                <w:rFonts w:eastAsia="仿宋"/>
                <w:bCs/>
              </w:rPr>
              <w:t>④不接受联合体投标。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7</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投标人应提供下列资格证明文件，否则其投标将被拒绝：</w:t>
            </w:r>
          </w:p>
          <w:p>
            <w:pPr>
              <w:jc w:val="left"/>
              <w:rPr>
                <w:rFonts w:eastAsia="仿宋"/>
                <w:bCs/>
              </w:rPr>
            </w:pPr>
            <w:r>
              <w:rPr>
                <w:rFonts w:eastAsia="仿宋"/>
                <w:bCs/>
              </w:rPr>
              <w:t>①企业法人营业执照（</w:t>
            </w:r>
            <w:r>
              <w:rPr>
                <w:rFonts w:hint="eastAsia" w:eastAsia="仿宋"/>
                <w:bCs/>
              </w:rPr>
              <w:t>原件</w:t>
            </w:r>
            <w:r>
              <w:rPr>
                <w:rFonts w:eastAsia="仿宋"/>
                <w:bCs/>
              </w:rPr>
              <w:t xml:space="preserve">）； </w:t>
            </w:r>
          </w:p>
          <w:p>
            <w:pPr>
              <w:jc w:val="left"/>
              <w:rPr>
                <w:rFonts w:eastAsia="仿宋"/>
                <w:bCs/>
              </w:rPr>
            </w:pPr>
            <w:r>
              <w:rPr>
                <w:rFonts w:eastAsia="仿宋"/>
                <w:bCs/>
              </w:rPr>
              <w:t>②法人授权委托书（原件），投标代表身份证（</w:t>
            </w:r>
            <w:r>
              <w:rPr>
                <w:rFonts w:hint="eastAsia" w:eastAsia="仿宋"/>
                <w:bCs/>
              </w:rPr>
              <w:t>原件及</w:t>
            </w:r>
            <w:r>
              <w:rPr>
                <w:rFonts w:eastAsia="仿宋"/>
                <w:bCs/>
              </w:rPr>
              <w:t xml:space="preserve">复印件加盖公章）； </w:t>
            </w:r>
          </w:p>
          <w:p>
            <w:pPr>
              <w:jc w:val="left"/>
              <w:rPr>
                <w:rFonts w:eastAsia="仿宋"/>
                <w:bCs/>
              </w:rPr>
            </w:pPr>
            <w:r>
              <w:rPr>
                <w:rFonts w:eastAsia="仿宋"/>
                <w:bCs/>
              </w:rPr>
              <w:t>③近三年内未被“信用中国”网站列入失信被执行人和重大税收违法案件当事人名单的、被“中国政府采购网”网站列入政府采购严重违法失信行为记录名单（处罚期限尚未届满的）的证明文件（网页截图加盖公章）；</w:t>
            </w:r>
          </w:p>
          <w:p>
            <w:pPr>
              <w:jc w:val="left"/>
              <w:rPr>
                <w:rFonts w:eastAsia="仿宋"/>
                <w:bCs/>
              </w:rPr>
            </w:pPr>
            <w:r>
              <w:rPr>
                <w:rFonts w:eastAsia="仿宋"/>
                <w:bCs/>
              </w:rPr>
              <w:t>④反商业贿赂承诺书（原件）。</w:t>
            </w:r>
          </w:p>
          <w:p>
            <w:pPr>
              <w:jc w:val="left"/>
              <w:rPr>
                <w:rFonts w:eastAsia="仿宋"/>
                <w:bCs/>
              </w:rPr>
            </w:pPr>
            <w:r>
              <w:rPr>
                <w:rFonts w:eastAsia="仿宋"/>
                <w:bCs/>
              </w:rPr>
              <w:t>⑤投标保证金凭证（复印件加盖公章）。</w:t>
            </w:r>
          </w:p>
          <w:p>
            <w:pPr>
              <w:jc w:val="left"/>
              <w:rPr>
                <w:rFonts w:eastAsia="仿宋"/>
                <w:bCs/>
              </w:rPr>
            </w:pPr>
            <w:r>
              <w:rPr>
                <w:rFonts w:eastAsia="仿宋"/>
                <w:bCs/>
              </w:rPr>
              <w:t>注：①-⑤项应提供加盖公章复印件或原件</w:t>
            </w:r>
            <w:r>
              <w:rPr>
                <w:rFonts w:hint="eastAsia" w:eastAsia="仿宋"/>
                <w:bCs/>
              </w:rPr>
              <w:t>应随身携带以上证件供监督人审查</w:t>
            </w:r>
            <w:r>
              <w:rPr>
                <w:rFonts w:hint="eastAsia" w:eastAsia="仿宋"/>
                <w:bCs/>
                <w:lang w:eastAsia="zh-CN"/>
              </w:rPr>
              <w:t>，</w:t>
            </w:r>
            <w:r>
              <w:rPr>
                <w:rFonts w:eastAsia="仿宋"/>
                <w:bCs/>
              </w:rPr>
              <w:t>否则其投标将被拒绝。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rPr>
            </w:pPr>
            <w:r>
              <w:rPr>
                <w:rFonts w:eastAsia="仿宋"/>
                <w:bCs/>
              </w:rPr>
              <w:t>8</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color w:val="FF0000"/>
              </w:rPr>
            </w:pPr>
            <w:r>
              <w:rPr>
                <w:rFonts w:eastAsia="仿宋"/>
                <w:bCs/>
              </w:rPr>
              <w:t>招标答疑：如有答疑，</w:t>
            </w:r>
            <w:r>
              <w:rPr>
                <w:rFonts w:eastAsia="仿宋"/>
                <w:bCs/>
                <w:color w:val="000000" w:themeColor="text1"/>
                <w14:textFill>
                  <w14:solidFill>
                    <w14:schemeClr w14:val="tx1"/>
                  </w14:solidFill>
                </w14:textFill>
              </w:rPr>
              <w:t>请于202</w:t>
            </w:r>
            <w:r>
              <w:rPr>
                <w:rFonts w:hint="eastAsia" w:eastAsia="仿宋"/>
                <w:bCs/>
                <w:color w:val="000000" w:themeColor="text1"/>
                <w14:textFill>
                  <w14:solidFill>
                    <w14:schemeClr w14:val="tx1"/>
                  </w14:solidFill>
                </w14:textFill>
              </w:rPr>
              <w:t>2</w:t>
            </w:r>
            <w:r>
              <w:rPr>
                <w:rFonts w:eastAsia="仿宋"/>
                <w:bCs/>
                <w:color w:val="000000" w:themeColor="text1"/>
                <w14:textFill>
                  <w14:solidFill>
                    <w14:schemeClr w14:val="tx1"/>
                  </w14:solidFill>
                </w14:textFill>
              </w:rPr>
              <w:t>年</w:t>
            </w:r>
            <w:r>
              <w:rPr>
                <w:rFonts w:hint="eastAsia" w:eastAsia="仿宋"/>
                <w:bCs/>
                <w:color w:val="000000" w:themeColor="text1"/>
                <w:lang w:val="en-US" w:eastAsia="zh-CN"/>
                <w14:textFill>
                  <w14:solidFill>
                    <w14:schemeClr w14:val="tx1"/>
                  </w14:solidFill>
                </w14:textFill>
              </w:rPr>
              <w:t>08</w:t>
            </w:r>
            <w:r>
              <w:rPr>
                <w:rFonts w:eastAsia="仿宋"/>
                <w:bCs/>
                <w:color w:val="000000" w:themeColor="text1"/>
                <w14:textFill>
                  <w14:solidFill>
                    <w14:schemeClr w14:val="tx1"/>
                  </w14:solidFill>
                </w14:textFill>
              </w:rPr>
              <w:t>月</w:t>
            </w:r>
            <w:r>
              <w:rPr>
                <w:rFonts w:hint="eastAsia" w:eastAsia="仿宋"/>
                <w:bCs/>
                <w:color w:val="000000" w:themeColor="text1"/>
                <w:lang w:val="en-US" w:eastAsia="zh-CN"/>
                <w14:textFill>
                  <w14:solidFill>
                    <w14:schemeClr w14:val="tx1"/>
                  </w14:solidFill>
                </w14:textFill>
              </w:rPr>
              <w:t>04</w:t>
            </w:r>
            <w:r>
              <w:rPr>
                <w:rFonts w:eastAsia="仿宋"/>
                <w:bCs/>
                <w:color w:val="000000" w:themeColor="text1"/>
                <w14:textFill>
                  <w14:solidFill>
                    <w14:schemeClr w14:val="tx1"/>
                  </w14:solidFill>
                </w14:textFill>
              </w:rPr>
              <w:t>日12:00前</w:t>
            </w:r>
            <w:r>
              <w:rPr>
                <w:rFonts w:eastAsia="仿宋"/>
                <w:bCs/>
              </w:rPr>
              <w:t>将答疑以书面形式，加盖投标人公章，递交到新疆西北招标有限公司（乌鲁木齐市伊宁路318号江西大厦9楼），电子版（Word格式）同时发送至</w:t>
            </w:r>
            <w:r>
              <w:rPr>
                <w:rFonts w:hint="eastAsia" w:eastAsia="仿宋"/>
                <w:bCs/>
                <w:lang w:val="en-US" w:eastAsia="zh-CN"/>
              </w:rPr>
              <w:t>583967239</w:t>
            </w:r>
            <w:r>
              <w:rPr>
                <w:rFonts w:eastAsia="仿宋"/>
                <w:bCs/>
              </w:rPr>
              <w:t>@qq.邮箱，如无答疑，需递交纸质无答疑函到发送至</w:t>
            </w:r>
            <w:r>
              <w:rPr>
                <w:rFonts w:hint="eastAsia" w:eastAsia="仿宋"/>
                <w:bCs/>
                <w:lang w:val="en-US" w:eastAsia="zh-CN"/>
              </w:rPr>
              <w:t>583967239</w:t>
            </w:r>
            <w:r>
              <w:rPr>
                <w:rFonts w:eastAsia="仿宋"/>
                <w:bCs/>
              </w:rPr>
              <w:t>@qq邮箱。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hint="eastAsia" w:eastAsia="仿宋"/>
                <w:bCs/>
                <w:lang w:val="en-US" w:eastAsia="zh-CN"/>
              </w:rPr>
              <w:t>9</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投标有效期：提交投标文件的截止之日起90日历日。</w:t>
            </w:r>
          </w:p>
          <w:p>
            <w:pPr>
              <w:jc w:val="left"/>
              <w:rPr>
                <w:rFonts w:eastAsia="仿宋"/>
                <w:bCs/>
              </w:rPr>
            </w:pPr>
            <w:r>
              <w:rPr>
                <w:rFonts w:eastAsia="仿宋"/>
                <w:bCs/>
              </w:rPr>
              <w:t>有效期不足将导致其投标文件无效。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
                <w:bCs/>
                <w:lang w:val="en-US" w:eastAsia="zh-CN"/>
              </w:rPr>
            </w:pPr>
            <w:r>
              <w:rPr>
                <w:rFonts w:hint="eastAsia" w:eastAsia="仿宋"/>
                <w:bCs/>
                <w:lang w:val="en-US" w:eastAsia="zh-CN"/>
              </w:rPr>
              <w:t>10</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color w:val="000000" w:themeColor="text1"/>
                <w14:textFill>
                  <w14:solidFill>
                    <w14:schemeClr w14:val="tx1"/>
                  </w14:solidFill>
                </w14:textFill>
              </w:rPr>
            </w:pPr>
            <w:r>
              <w:rPr>
                <w:rFonts w:eastAsia="仿宋"/>
                <w:bCs/>
              </w:rPr>
              <w:t>开标时间：</w:t>
            </w:r>
            <w:r>
              <w:rPr>
                <w:rFonts w:eastAsia="仿宋"/>
                <w:bCs/>
                <w:color w:val="000000" w:themeColor="text1"/>
                <w14:textFill>
                  <w14:solidFill>
                    <w14:schemeClr w14:val="tx1"/>
                  </w14:solidFill>
                </w14:textFill>
              </w:rPr>
              <w:t>202</w:t>
            </w:r>
            <w:r>
              <w:rPr>
                <w:rFonts w:hint="eastAsia" w:eastAsia="仿宋"/>
                <w:bCs/>
                <w:color w:val="000000" w:themeColor="text1"/>
                <w14:textFill>
                  <w14:solidFill>
                    <w14:schemeClr w14:val="tx1"/>
                  </w14:solidFill>
                </w14:textFill>
              </w:rPr>
              <w:t>2</w:t>
            </w:r>
            <w:r>
              <w:rPr>
                <w:rFonts w:eastAsia="仿宋"/>
                <w:bCs/>
                <w:color w:val="000000" w:themeColor="text1"/>
                <w14:textFill>
                  <w14:solidFill>
                    <w14:schemeClr w14:val="tx1"/>
                  </w14:solidFill>
                </w14:textFill>
              </w:rPr>
              <w:t>年</w:t>
            </w:r>
            <w:r>
              <w:rPr>
                <w:rFonts w:hint="eastAsia" w:eastAsia="仿宋"/>
                <w:bCs/>
                <w:color w:val="000000" w:themeColor="text1"/>
                <w:lang w:val="en-US" w:eastAsia="zh-CN"/>
                <w14:textFill>
                  <w14:solidFill>
                    <w14:schemeClr w14:val="tx1"/>
                  </w14:solidFill>
                </w14:textFill>
              </w:rPr>
              <w:t>08</w:t>
            </w:r>
            <w:r>
              <w:rPr>
                <w:rFonts w:eastAsia="仿宋"/>
                <w:bCs/>
                <w:color w:val="000000" w:themeColor="text1"/>
                <w14:textFill>
                  <w14:solidFill>
                    <w14:schemeClr w14:val="tx1"/>
                  </w14:solidFill>
                </w14:textFill>
              </w:rPr>
              <w:t>月</w:t>
            </w:r>
            <w:r>
              <w:rPr>
                <w:rFonts w:hint="eastAsia" w:eastAsia="仿宋"/>
                <w:bCs/>
                <w:color w:val="000000" w:themeColor="text1"/>
                <w:lang w:val="en-US" w:eastAsia="zh-CN"/>
                <w14:textFill>
                  <w14:solidFill>
                    <w14:schemeClr w14:val="tx1"/>
                  </w14:solidFill>
                </w14:textFill>
              </w:rPr>
              <w:t>18</w:t>
            </w:r>
            <w:r>
              <w:rPr>
                <w:rFonts w:eastAsia="仿宋"/>
                <w:bCs/>
                <w:color w:val="000000" w:themeColor="text1"/>
                <w14:textFill>
                  <w14:solidFill>
                    <w14:schemeClr w14:val="tx1"/>
                  </w14:solidFill>
                </w14:textFill>
              </w:rPr>
              <w:t>日11:00分（北京时间）</w:t>
            </w:r>
          </w:p>
          <w:p>
            <w:pPr>
              <w:jc w:val="left"/>
              <w:rPr>
                <w:rFonts w:eastAsia="仿宋"/>
                <w:bCs/>
                <w:color w:val="000000" w:themeColor="text1"/>
                <w14:textFill>
                  <w14:solidFill>
                    <w14:schemeClr w14:val="tx1"/>
                  </w14:solidFill>
                </w14:textFill>
              </w:rPr>
            </w:pPr>
            <w:r>
              <w:rPr>
                <w:rFonts w:eastAsia="仿宋"/>
                <w:bCs/>
                <w:color w:val="000000" w:themeColor="text1"/>
                <w14:textFill>
                  <w14:solidFill>
                    <w14:schemeClr w14:val="tx1"/>
                  </w14:solidFill>
                </w14:textFill>
              </w:rPr>
              <w:t>开标地点：新疆西北招标有限公司会议室（乌鲁木齐市伊宁路318号江西大厦9楼） </w:t>
            </w:r>
          </w:p>
          <w:p>
            <w:pPr>
              <w:jc w:val="left"/>
              <w:rPr>
                <w:rFonts w:eastAsia="仿宋"/>
                <w:bCs/>
              </w:rPr>
            </w:pPr>
            <w:r>
              <w:rPr>
                <w:rFonts w:eastAsia="仿宋"/>
                <w:bCs/>
                <w:color w:val="000000" w:themeColor="text1"/>
                <w14:textFill>
                  <w14:solidFill>
                    <w14:schemeClr w14:val="tx1"/>
                  </w14:solidFill>
                </w14:textFill>
              </w:rPr>
              <w:t>投标截止时间：202</w:t>
            </w:r>
            <w:r>
              <w:rPr>
                <w:rFonts w:hint="eastAsia" w:eastAsia="仿宋"/>
                <w:bCs/>
                <w:color w:val="000000" w:themeColor="text1"/>
                <w14:textFill>
                  <w14:solidFill>
                    <w14:schemeClr w14:val="tx1"/>
                  </w14:solidFill>
                </w14:textFill>
              </w:rPr>
              <w:t>2</w:t>
            </w:r>
            <w:r>
              <w:rPr>
                <w:rFonts w:eastAsia="仿宋"/>
                <w:bCs/>
                <w:color w:val="000000" w:themeColor="text1"/>
                <w14:textFill>
                  <w14:solidFill>
                    <w14:schemeClr w14:val="tx1"/>
                  </w14:solidFill>
                </w14:textFill>
              </w:rPr>
              <w:t>年</w:t>
            </w:r>
            <w:r>
              <w:rPr>
                <w:rFonts w:hint="eastAsia" w:eastAsia="仿宋"/>
                <w:bCs/>
                <w:color w:val="000000" w:themeColor="text1"/>
                <w:lang w:val="en-US" w:eastAsia="zh-CN"/>
                <w14:textFill>
                  <w14:solidFill>
                    <w14:schemeClr w14:val="tx1"/>
                  </w14:solidFill>
                </w14:textFill>
              </w:rPr>
              <w:t>08</w:t>
            </w:r>
            <w:r>
              <w:rPr>
                <w:rFonts w:eastAsia="仿宋"/>
                <w:bCs/>
                <w:color w:val="000000" w:themeColor="text1"/>
                <w14:textFill>
                  <w14:solidFill>
                    <w14:schemeClr w14:val="tx1"/>
                  </w14:solidFill>
                </w14:textFill>
              </w:rPr>
              <w:t>月</w:t>
            </w:r>
            <w:r>
              <w:rPr>
                <w:rFonts w:hint="eastAsia" w:eastAsia="仿宋"/>
                <w:bCs/>
                <w:color w:val="000000" w:themeColor="text1"/>
                <w:lang w:val="en-US" w:eastAsia="zh-CN"/>
                <w14:textFill>
                  <w14:solidFill>
                    <w14:schemeClr w14:val="tx1"/>
                  </w14:solidFill>
                </w14:textFill>
              </w:rPr>
              <w:t>18</w:t>
            </w:r>
            <w:r>
              <w:rPr>
                <w:rFonts w:eastAsia="仿宋"/>
                <w:bCs/>
                <w:color w:val="000000" w:themeColor="text1"/>
                <w14:textFill>
                  <w14:solidFill>
                    <w14:schemeClr w14:val="tx1"/>
                  </w14:solidFill>
                </w14:textFill>
              </w:rPr>
              <w:t>日11:</w:t>
            </w:r>
            <w:r>
              <w:rPr>
                <w:rFonts w:eastAsia="仿宋"/>
                <w:bCs/>
              </w:rPr>
              <w:t xml:space="preserve">00分（北京时间）  </w:t>
            </w:r>
          </w:p>
          <w:p>
            <w:pPr>
              <w:jc w:val="left"/>
              <w:rPr>
                <w:rFonts w:eastAsia="仿宋"/>
                <w:bCs/>
              </w:rPr>
            </w:pPr>
            <w:r>
              <w:rPr>
                <w:rFonts w:eastAsia="仿宋"/>
                <w:bCs/>
              </w:rPr>
              <w:t>投标文件递交地点：乌鲁木齐市伊宁路318号江西大厦9楼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1</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投标文件的编制和份数：投标人须按照招标文件规定编制投标文件；投标文件正本一份，副本</w:t>
            </w:r>
            <w:r>
              <w:rPr>
                <w:rFonts w:hint="eastAsia" w:eastAsia="仿宋"/>
                <w:bCs/>
              </w:rPr>
              <w:t>肆</w:t>
            </w:r>
            <w:r>
              <w:rPr>
                <w:rFonts w:eastAsia="仿宋"/>
                <w:bCs/>
              </w:rPr>
              <w:t>份。电子版一份（PDF或与之兼容格式，U盘）。</w:t>
            </w:r>
          </w:p>
          <w:p>
            <w:pPr>
              <w:jc w:val="left"/>
              <w:rPr>
                <w:rFonts w:eastAsia="仿宋"/>
                <w:bCs/>
              </w:rPr>
            </w:pPr>
            <w:r>
              <w:rPr>
                <w:rFonts w:eastAsia="仿宋"/>
                <w:bCs/>
              </w:rPr>
              <w:t>报价一览表壹份单独密封。</w:t>
            </w:r>
          </w:p>
          <w:p>
            <w:pPr>
              <w:jc w:val="left"/>
              <w:rPr>
                <w:rFonts w:eastAsia="仿宋"/>
                <w:bCs/>
              </w:rPr>
            </w:pPr>
            <w:r>
              <w:rPr>
                <w:rFonts w:eastAsia="仿宋"/>
                <w:bCs/>
              </w:rPr>
              <w:t>投标文件必须用A4幅面纸张打印装订，应编制、目录、页码必须用胶装装订成册，在相应位置签名并加盖公章。投标文件封面标明“正本”、“副本”字样。正本与副本如有不一致，则以正本为准。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2</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投标保证金的形式：银行电汇</w:t>
            </w:r>
          </w:p>
          <w:p>
            <w:pPr>
              <w:jc w:val="left"/>
              <w:rPr>
                <w:rFonts w:eastAsia="仿宋"/>
                <w:bCs/>
              </w:rPr>
            </w:pPr>
            <w:r>
              <w:rPr>
                <w:rFonts w:eastAsia="仿宋"/>
                <w:bCs/>
              </w:rPr>
              <w:t>投标保证金的金额：预算金额*</w:t>
            </w:r>
            <w:r>
              <w:rPr>
                <w:rFonts w:hint="eastAsia" w:eastAsia="仿宋"/>
                <w:bCs/>
                <w:lang w:val="en-US" w:eastAsia="zh-CN"/>
              </w:rPr>
              <w:t>1</w:t>
            </w:r>
            <w:r>
              <w:rPr>
                <w:rFonts w:eastAsia="仿宋"/>
                <w:bCs/>
              </w:rPr>
              <w:t>%</w:t>
            </w:r>
          </w:p>
          <w:p>
            <w:pPr>
              <w:jc w:val="left"/>
              <w:rPr>
                <w:rFonts w:eastAsia="仿宋"/>
                <w:bCs/>
              </w:rPr>
            </w:pPr>
            <w:r>
              <w:rPr>
                <w:rFonts w:eastAsia="仿宋"/>
                <w:bCs/>
              </w:rPr>
              <w:t>递交方式：从投标人基本账户以网银或银行电汇形式汇至本公司账户，否则其投标文件将被拒绝评审，投标人提交投标保证金应充分考虑资金在途时间。</w:t>
            </w:r>
          </w:p>
          <w:p>
            <w:pPr>
              <w:jc w:val="left"/>
              <w:rPr>
                <w:rFonts w:eastAsia="仿宋"/>
                <w:bCs/>
              </w:rPr>
            </w:pPr>
            <w:r>
              <w:rPr>
                <w:rFonts w:eastAsia="仿宋"/>
                <w:bCs/>
              </w:rPr>
              <w:t>开户名称： 新疆西北招标有限公司</w:t>
            </w:r>
          </w:p>
          <w:p>
            <w:pPr>
              <w:jc w:val="left"/>
              <w:rPr>
                <w:rFonts w:eastAsia="仿宋"/>
                <w:bCs/>
              </w:rPr>
            </w:pPr>
            <w:r>
              <w:rPr>
                <w:rFonts w:eastAsia="仿宋"/>
                <w:bCs/>
              </w:rPr>
              <w:t>开户银行：中国银行乌鲁木齐</w:t>
            </w:r>
            <w:r>
              <w:rPr>
                <w:rFonts w:hint="eastAsia" w:eastAsia="仿宋"/>
                <w:bCs/>
                <w:lang w:eastAsia="zh-CN"/>
              </w:rPr>
              <w:t>市</w:t>
            </w:r>
            <w:r>
              <w:rPr>
                <w:rFonts w:eastAsia="仿宋"/>
                <w:bCs/>
              </w:rPr>
              <w:t>奇台路支行</w:t>
            </w:r>
          </w:p>
          <w:p>
            <w:pPr>
              <w:jc w:val="left"/>
              <w:rPr>
                <w:rFonts w:eastAsia="仿宋"/>
                <w:bCs/>
              </w:rPr>
            </w:pPr>
            <w:r>
              <w:rPr>
                <w:rFonts w:eastAsia="仿宋"/>
                <w:bCs/>
              </w:rPr>
              <w:t>账   号：107638779707</w:t>
            </w:r>
          </w:p>
          <w:p>
            <w:pPr>
              <w:jc w:val="left"/>
              <w:rPr>
                <w:rFonts w:eastAsia="仿宋"/>
                <w:bCs/>
              </w:rPr>
            </w:pPr>
            <w:r>
              <w:rPr>
                <w:rFonts w:eastAsia="仿宋"/>
                <w:bCs/>
              </w:rPr>
              <w:t>投标保证金缴纳期限：开标时间及投标文件递交截止时间前缴纳完毕，逾期不予受理。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3</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标书费：200元/份（售后不退）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4</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采购控制价的解释：采购人将以预算金额确定为投标控制最高价。投标人的投标报价如超出本项目规定投标控制价，则属重大偏差，不得进入评审阶段。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5</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不允许中标单位将成交项目分包或转交他人承担。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6</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投标文件中涉及到复印件及扫描件资料的，需清晰可见，否则按无效处理。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bCs/>
                <w:lang w:eastAsia="zh-CN"/>
              </w:rPr>
            </w:pPr>
            <w:r>
              <w:rPr>
                <w:rFonts w:eastAsia="仿宋"/>
                <w:bCs/>
              </w:rPr>
              <w:t>1</w:t>
            </w:r>
            <w:r>
              <w:rPr>
                <w:rFonts w:hint="eastAsia" w:eastAsia="仿宋"/>
                <w:bCs/>
                <w:lang w:val="en-US" w:eastAsia="zh-CN"/>
              </w:rPr>
              <w:t>7</w:t>
            </w:r>
          </w:p>
        </w:tc>
        <w:tc>
          <w:tcPr>
            <w:tcW w:w="8968" w:type="dxa"/>
            <w:tcBorders>
              <w:top w:val="single" w:color="auto" w:sz="4" w:space="0"/>
              <w:left w:val="single" w:color="auto" w:sz="4" w:space="0"/>
              <w:bottom w:val="single" w:color="auto" w:sz="4" w:space="0"/>
              <w:right w:val="single" w:color="auto" w:sz="4" w:space="0"/>
            </w:tcBorders>
            <w:vAlign w:val="center"/>
          </w:tcPr>
          <w:p>
            <w:pPr>
              <w:jc w:val="left"/>
              <w:rPr>
                <w:rFonts w:eastAsia="仿宋"/>
                <w:bCs/>
              </w:rPr>
            </w:pPr>
            <w:r>
              <w:rPr>
                <w:rFonts w:eastAsia="仿宋"/>
                <w:bCs/>
              </w:rPr>
              <w:t>付款</w:t>
            </w:r>
            <w:r>
              <w:rPr>
                <w:rFonts w:hint="eastAsia" w:eastAsia="仿宋"/>
                <w:bCs/>
                <w:lang w:val="en-US" w:eastAsia="zh-CN"/>
              </w:rPr>
              <w:t>方式</w:t>
            </w:r>
            <w:r>
              <w:rPr>
                <w:rFonts w:hint="eastAsia" w:eastAsia="仿宋"/>
                <w:bCs/>
              </w:rPr>
              <w:t>：合同签订后，乙方将合同总金额的35%货款保证金（以银行保函形式）及10%履约保证金（以银行保函形式）交至甲方。甲方全额支付合同金额。设备安装验收合格正常使用180天后，返还35%货款保证金；设备质保期满无质量问题经甲方确认无误后，返还10%履约保证金。</w:t>
            </w:r>
          </w:p>
        </w:tc>
      </w:tr>
    </w:tbl>
    <w:p>
      <w:pPr>
        <w:pStyle w:val="3"/>
        <w:snapToGrid w:val="0"/>
        <w:spacing w:before="0" w:after="0" w:line="500" w:lineRule="exact"/>
        <w:jc w:val="center"/>
        <w:rPr>
          <w:rFonts w:eastAsia="仿宋"/>
          <w:b w:val="0"/>
          <w:bCs w:val="0"/>
        </w:rPr>
        <w:sectPr>
          <w:pgSz w:w="11906" w:h="16838"/>
          <w:pgMar w:top="1134" w:right="850" w:bottom="1134" w:left="850" w:header="283" w:footer="283" w:gutter="0"/>
          <w:cols w:space="720" w:num="1"/>
          <w:docGrid w:type="lines" w:linePitch="339" w:charSpace="0"/>
        </w:sectPr>
      </w:pPr>
    </w:p>
    <w:p>
      <w:pPr>
        <w:pStyle w:val="3"/>
        <w:numPr>
          <w:ilvl w:val="0"/>
          <w:numId w:val="0"/>
        </w:numPr>
        <w:snapToGrid w:val="0"/>
        <w:spacing w:before="0" w:after="0" w:line="500" w:lineRule="exact"/>
        <w:jc w:val="center"/>
        <w:rPr>
          <w:rFonts w:eastAsia="仿宋"/>
          <w:b w:val="0"/>
          <w:bCs w:val="0"/>
        </w:rPr>
      </w:pPr>
      <w:bookmarkStart w:id="12" w:name="_Toc99785515"/>
      <w:bookmarkStart w:id="13" w:name="_Toc23527883"/>
      <w:bookmarkStart w:id="14" w:name="_Toc27532"/>
      <w:r>
        <w:rPr>
          <w:rFonts w:eastAsia="仿宋"/>
          <w:b w:val="0"/>
          <w:bCs w:val="0"/>
        </w:rPr>
        <w:t>（二）投标人须知</w:t>
      </w:r>
      <w:bookmarkEnd w:id="12"/>
      <w:bookmarkEnd w:id="13"/>
      <w:bookmarkEnd w:id="14"/>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15" w:name="_Toc23527884"/>
      <w:bookmarkStart w:id="16" w:name="_Toc99785516"/>
      <w:bookmarkStart w:id="17" w:name="_Toc7815"/>
      <w:r>
        <w:rPr>
          <w:rFonts w:ascii="Times New Roman" w:hAnsi="Times New Roman" w:eastAsia="仿宋"/>
          <w:b w:val="0"/>
          <w:bCs w:val="0"/>
          <w:sz w:val="24"/>
          <w:szCs w:val="24"/>
        </w:rPr>
        <w:t>1</w:t>
      </w:r>
      <w:r>
        <w:rPr>
          <w:rFonts w:hint="eastAsia" w:ascii="Times New Roman" w:hAnsi="Times New Roman" w:eastAsia="仿宋"/>
          <w:b w:val="0"/>
          <w:bCs w:val="0"/>
          <w:sz w:val="24"/>
          <w:szCs w:val="24"/>
        </w:rPr>
        <w:t>.</w:t>
      </w:r>
      <w:r>
        <w:rPr>
          <w:rFonts w:ascii="Times New Roman" w:hAnsi="Times New Roman" w:eastAsia="仿宋"/>
          <w:b w:val="0"/>
          <w:bCs w:val="0"/>
          <w:sz w:val="24"/>
          <w:szCs w:val="24"/>
        </w:rPr>
        <w:t>总则</w:t>
      </w:r>
      <w:bookmarkEnd w:id="15"/>
      <w:bookmarkEnd w:id="16"/>
      <w:bookmarkEnd w:id="17"/>
    </w:p>
    <w:p>
      <w:pPr>
        <w:snapToGrid w:val="0"/>
        <w:spacing w:line="500" w:lineRule="exact"/>
        <w:ind w:firstLine="480" w:firstLineChars="200"/>
        <w:rPr>
          <w:rFonts w:eastAsia="仿宋"/>
          <w:bCs/>
        </w:rPr>
      </w:pPr>
      <w:r>
        <w:rPr>
          <w:rFonts w:eastAsia="仿宋"/>
          <w:bCs/>
        </w:rPr>
        <w:t>1.1本招标文件仅适用于投标人须知前附表第3项所叙述项目的项目采购。</w:t>
      </w:r>
    </w:p>
    <w:p>
      <w:pPr>
        <w:snapToGrid w:val="0"/>
        <w:spacing w:line="500" w:lineRule="exact"/>
        <w:ind w:firstLine="480" w:firstLineChars="200"/>
        <w:rPr>
          <w:rFonts w:eastAsia="仿宋"/>
          <w:bCs/>
        </w:rPr>
      </w:pPr>
      <w:r>
        <w:rPr>
          <w:rFonts w:eastAsia="仿宋"/>
          <w:bCs/>
        </w:rPr>
        <w:t>1.2本次招标方式：采取公开招标方式</w:t>
      </w:r>
    </w:p>
    <w:p>
      <w:pPr>
        <w:snapToGrid w:val="0"/>
        <w:spacing w:line="500" w:lineRule="exact"/>
        <w:ind w:firstLine="480" w:firstLineChars="200"/>
        <w:rPr>
          <w:rFonts w:eastAsia="仿宋"/>
          <w:bCs/>
        </w:rPr>
      </w:pPr>
      <w:r>
        <w:rPr>
          <w:rFonts w:eastAsia="仿宋"/>
          <w:bCs/>
        </w:rPr>
        <w:t>1.3项目的一般概述：</w:t>
      </w:r>
    </w:p>
    <w:p>
      <w:pPr>
        <w:snapToGrid w:val="0"/>
        <w:spacing w:line="500" w:lineRule="exact"/>
        <w:ind w:firstLine="480" w:firstLineChars="200"/>
        <w:rPr>
          <w:rFonts w:eastAsia="仿宋"/>
          <w:bCs/>
        </w:rPr>
      </w:pPr>
      <w:r>
        <w:rPr>
          <w:rFonts w:eastAsia="仿宋"/>
          <w:bCs/>
        </w:rPr>
        <w:t>1.3.1采购人名称：</w:t>
      </w:r>
      <w:r>
        <w:rPr>
          <w:rFonts w:hint="eastAsia" w:eastAsia="仿宋"/>
          <w:bCs/>
          <w:lang w:eastAsia="zh-CN"/>
        </w:rPr>
        <w:t>新疆维吾尔自治区儿童医院</w:t>
      </w:r>
      <w:r>
        <w:rPr>
          <w:rFonts w:eastAsia="仿宋"/>
          <w:bCs/>
        </w:rPr>
        <w:t>；</w:t>
      </w:r>
    </w:p>
    <w:p>
      <w:pPr>
        <w:snapToGrid w:val="0"/>
        <w:spacing w:line="500" w:lineRule="exact"/>
        <w:ind w:firstLine="480" w:firstLineChars="200"/>
        <w:rPr>
          <w:rFonts w:eastAsia="仿宋"/>
          <w:bCs/>
        </w:rPr>
      </w:pPr>
      <w:r>
        <w:rPr>
          <w:rFonts w:eastAsia="仿宋"/>
          <w:bCs/>
        </w:rPr>
        <w:t>1.3.2项目名称：</w:t>
      </w:r>
      <w:r>
        <w:rPr>
          <w:rFonts w:hint="eastAsia" w:eastAsia="仿宋"/>
          <w:bCs/>
          <w:lang w:eastAsia="zh-CN"/>
        </w:rPr>
        <w:t>新疆维吾尔自治区儿童医院信息化能力建设项目</w:t>
      </w:r>
      <w:r>
        <w:rPr>
          <w:rFonts w:eastAsia="仿宋"/>
          <w:bCs/>
        </w:rPr>
        <w:t>；</w:t>
      </w:r>
    </w:p>
    <w:p>
      <w:pPr>
        <w:snapToGrid w:val="0"/>
        <w:spacing w:line="500" w:lineRule="exact"/>
        <w:ind w:firstLine="480" w:firstLineChars="200"/>
        <w:rPr>
          <w:rFonts w:eastAsia="仿宋"/>
          <w:bCs/>
        </w:rPr>
      </w:pPr>
      <w:r>
        <w:rPr>
          <w:rFonts w:eastAsia="仿宋"/>
          <w:bCs/>
        </w:rPr>
        <w:t>1.3.3项目交付地点：甲方指定地点；</w:t>
      </w:r>
    </w:p>
    <w:p>
      <w:pPr>
        <w:adjustRightInd w:val="0"/>
        <w:snapToGrid w:val="0"/>
        <w:spacing w:line="500" w:lineRule="exact"/>
        <w:ind w:firstLine="480" w:firstLineChars="200"/>
        <w:textAlignment w:val="center"/>
        <w:rPr>
          <w:rFonts w:eastAsia="仿宋"/>
          <w:bCs/>
        </w:rPr>
      </w:pPr>
      <w:r>
        <w:rPr>
          <w:rFonts w:eastAsia="仿宋"/>
          <w:bCs/>
        </w:rPr>
        <w:t>1.3.4项目招标范围：</w:t>
      </w:r>
      <w:r>
        <w:rPr>
          <w:rFonts w:hint="eastAsia" w:eastAsia="仿宋"/>
          <w:bCs/>
          <w:lang w:eastAsia="zh-CN"/>
        </w:rPr>
        <w:t>新疆维吾尔自治区儿童医院</w:t>
      </w:r>
      <w:r>
        <w:rPr>
          <w:rFonts w:eastAsia="仿宋"/>
          <w:bCs/>
        </w:rPr>
        <w:t>；</w:t>
      </w:r>
    </w:p>
    <w:p>
      <w:pPr>
        <w:snapToGrid w:val="0"/>
        <w:spacing w:line="500" w:lineRule="exact"/>
        <w:ind w:firstLine="480" w:firstLineChars="200"/>
        <w:textAlignment w:val="center"/>
        <w:rPr>
          <w:rFonts w:eastAsia="仿宋"/>
          <w:bCs/>
          <w:color w:val="000000"/>
        </w:rPr>
      </w:pPr>
      <w:r>
        <w:rPr>
          <w:rFonts w:eastAsia="仿宋"/>
          <w:bCs/>
          <w:color w:val="000000"/>
        </w:rPr>
        <w:t>1.3.5 标段说明：只能有一个最终报价。</w:t>
      </w:r>
    </w:p>
    <w:p>
      <w:pPr>
        <w:snapToGrid w:val="0"/>
        <w:spacing w:line="500" w:lineRule="exact"/>
        <w:ind w:firstLine="480" w:firstLineChars="200"/>
        <w:textAlignment w:val="center"/>
        <w:rPr>
          <w:rFonts w:eastAsia="仿宋"/>
          <w:bCs/>
        </w:rPr>
      </w:pPr>
      <w:r>
        <w:rPr>
          <w:rFonts w:eastAsia="仿宋"/>
          <w:bCs/>
          <w:color w:val="000000"/>
        </w:rPr>
        <w:t>1.3.6工期要求：见投标须知表</w:t>
      </w:r>
      <w:r>
        <w:rPr>
          <w:rFonts w:eastAsia="仿宋"/>
          <w:bCs/>
        </w:rPr>
        <w:t xml:space="preserve">。   </w:t>
      </w:r>
    </w:p>
    <w:p>
      <w:pPr>
        <w:snapToGrid w:val="0"/>
        <w:spacing w:line="500" w:lineRule="exact"/>
        <w:ind w:firstLine="480" w:firstLineChars="200"/>
        <w:rPr>
          <w:rFonts w:eastAsia="仿宋"/>
          <w:bCs/>
        </w:rPr>
      </w:pPr>
      <w:r>
        <w:rPr>
          <w:rFonts w:eastAsia="仿宋"/>
          <w:bCs/>
        </w:rPr>
        <w:t>1.3.7本项目不接受联合体投标。</w:t>
      </w:r>
    </w:p>
    <w:p>
      <w:pPr>
        <w:snapToGrid w:val="0"/>
        <w:spacing w:line="500" w:lineRule="exact"/>
        <w:ind w:firstLine="480" w:firstLineChars="200"/>
        <w:rPr>
          <w:rFonts w:eastAsia="仿宋"/>
          <w:bCs/>
        </w:rPr>
      </w:pPr>
      <w:r>
        <w:rPr>
          <w:rFonts w:eastAsia="仿宋"/>
          <w:bCs/>
        </w:rPr>
        <w:t>联合体投标，是指两个以上法人或者其他组织组成一个联合体，以一个投标人的身份共同投标的行为。联合体投标的投标资格以联合体中最低资质为准。</w:t>
      </w:r>
    </w:p>
    <w:p>
      <w:pPr>
        <w:snapToGrid w:val="0"/>
        <w:spacing w:line="500" w:lineRule="exact"/>
        <w:ind w:firstLine="480" w:firstLineChars="200"/>
        <w:rPr>
          <w:rFonts w:eastAsia="仿宋"/>
          <w:bCs/>
        </w:rPr>
      </w:pPr>
      <w:r>
        <w:rPr>
          <w:rFonts w:eastAsia="仿宋"/>
          <w:bCs/>
        </w:rPr>
        <w:t>1.3.8本项目变更的程序：项目如有变更，变更之前，由</w:t>
      </w:r>
      <w:r>
        <w:rPr>
          <w:rFonts w:hint="eastAsia" w:eastAsia="仿宋"/>
          <w:bCs/>
        </w:rPr>
        <w:t>招标代理机构</w:t>
      </w:r>
      <w:r>
        <w:rPr>
          <w:rFonts w:eastAsia="仿宋"/>
          <w:bCs/>
        </w:rPr>
        <w:t>通过公告形式告知所有投标人。</w:t>
      </w:r>
    </w:p>
    <w:p>
      <w:pPr>
        <w:snapToGrid w:val="0"/>
        <w:spacing w:line="500" w:lineRule="exact"/>
        <w:ind w:left="560"/>
        <w:rPr>
          <w:rFonts w:eastAsia="仿宋"/>
          <w:bCs/>
        </w:rPr>
      </w:pPr>
      <w:r>
        <w:rPr>
          <w:rFonts w:eastAsia="仿宋"/>
          <w:bCs/>
        </w:rPr>
        <w:t>1.3.9资金来源：自筹资金。招标控制价：</w:t>
      </w:r>
      <w:r>
        <w:rPr>
          <w:rFonts w:hint="eastAsia" w:eastAsia="仿宋"/>
          <w:bCs/>
          <w:lang w:val="en-US" w:eastAsia="zh-CN"/>
        </w:rPr>
        <w:t>768.35</w:t>
      </w:r>
      <w:r>
        <w:rPr>
          <w:rFonts w:eastAsia="仿宋"/>
          <w:bCs/>
        </w:rPr>
        <w:t>万元</w:t>
      </w:r>
    </w:p>
    <w:p>
      <w:pPr>
        <w:snapToGrid w:val="0"/>
        <w:spacing w:line="500" w:lineRule="exact"/>
        <w:ind w:left="560"/>
        <w:rPr>
          <w:rFonts w:eastAsia="仿宋"/>
          <w:bCs/>
        </w:rPr>
      </w:pPr>
      <w:r>
        <w:rPr>
          <w:rFonts w:eastAsia="仿宋"/>
          <w:bCs/>
        </w:rPr>
        <w:t>1.3.10评标方法：采用</w:t>
      </w:r>
      <w:r>
        <w:rPr>
          <w:rFonts w:eastAsia="仿宋"/>
          <w:bCs/>
          <w:u w:val="single"/>
        </w:rPr>
        <w:t>综合评分法</w:t>
      </w:r>
      <w:r>
        <w:rPr>
          <w:rFonts w:eastAsia="仿宋"/>
          <w:bCs/>
        </w:rPr>
        <w:t>进行评标。</w:t>
      </w:r>
    </w:p>
    <w:p>
      <w:pPr>
        <w:snapToGrid w:val="0"/>
        <w:spacing w:line="500" w:lineRule="exact"/>
        <w:ind w:left="560"/>
        <w:rPr>
          <w:rFonts w:eastAsia="仿宋"/>
          <w:bCs/>
        </w:rPr>
      </w:pPr>
      <w:r>
        <w:rPr>
          <w:rFonts w:eastAsia="仿宋"/>
          <w:bCs/>
        </w:rPr>
        <w:t>1.3.11采购标准：见第三部分 采购要求及技术规格参数</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18" w:name="_Toc13638"/>
      <w:bookmarkStart w:id="19" w:name="_Toc99785517"/>
      <w:bookmarkStart w:id="20" w:name="_Toc23527885"/>
      <w:r>
        <w:rPr>
          <w:rFonts w:ascii="Times New Roman" w:hAnsi="Times New Roman" w:eastAsia="仿宋"/>
          <w:b w:val="0"/>
          <w:bCs w:val="0"/>
          <w:sz w:val="24"/>
          <w:szCs w:val="24"/>
        </w:rPr>
        <w:t>2.投标费用</w:t>
      </w:r>
      <w:bookmarkEnd w:id="18"/>
      <w:bookmarkEnd w:id="19"/>
      <w:bookmarkEnd w:id="20"/>
    </w:p>
    <w:p>
      <w:pPr>
        <w:snapToGrid w:val="0"/>
        <w:spacing w:line="500" w:lineRule="exact"/>
        <w:ind w:firstLine="480" w:firstLineChars="200"/>
        <w:rPr>
          <w:rFonts w:eastAsia="仿宋"/>
          <w:bCs/>
        </w:rPr>
      </w:pPr>
      <w:r>
        <w:rPr>
          <w:rFonts w:eastAsia="仿宋"/>
          <w:bCs/>
        </w:rPr>
        <w:t>投标人自行承担响应招标、参加投标招标的一切费用。不论投标的结果如何，</w:t>
      </w:r>
      <w:r>
        <w:rPr>
          <w:rFonts w:hint="eastAsia" w:eastAsia="仿宋"/>
          <w:bCs/>
          <w:lang w:eastAsia="zh-CN"/>
        </w:rPr>
        <w:t>新疆维吾尔自治区儿童医院</w:t>
      </w:r>
      <w:r>
        <w:rPr>
          <w:rFonts w:eastAsia="仿宋"/>
          <w:bCs/>
        </w:rPr>
        <w:t>在任何情况下均无义务和责任承担因投标所发生的一切费用。</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21" w:name="_Toc99785518"/>
      <w:bookmarkStart w:id="22" w:name="_Toc23527886"/>
      <w:bookmarkStart w:id="23" w:name="_Toc14053"/>
      <w:r>
        <w:rPr>
          <w:rFonts w:ascii="Times New Roman" w:hAnsi="Times New Roman" w:eastAsia="仿宋"/>
          <w:b w:val="0"/>
          <w:bCs w:val="0"/>
          <w:sz w:val="24"/>
          <w:szCs w:val="24"/>
        </w:rPr>
        <w:t>3.招标文件的构成</w:t>
      </w:r>
      <w:bookmarkEnd w:id="21"/>
      <w:bookmarkEnd w:id="22"/>
      <w:bookmarkEnd w:id="23"/>
    </w:p>
    <w:p>
      <w:pPr>
        <w:snapToGrid w:val="0"/>
        <w:spacing w:line="500" w:lineRule="exact"/>
        <w:ind w:firstLine="480" w:firstLineChars="200"/>
        <w:rPr>
          <w:rFonts w:eastAsia="仿宋"/>
          <w:bCs/>
        </w:rPr>
      </w:pPr>
      <w:r>
        <w:rPr>
          <w:rFonts w:eastAsia="仿宋"/>
          <w:bCs/>
        </w:rPr>
        <w:t>3.1招标文件由下述部分组成：</w:t>
      </w:r>
    </w:p>
    <w:p>
      <w:pPr>
        <w:snapToGrid w:val="0"/>
        <w:spacing w:line="500" w:lineRule="exact"/>
        <w:ind w:firstLine="600" w:firstLineChars="250"/>
        <w:rPr>
          <w:rFonts w:eastAsia="仿宋"/>
          <w:bCs/>
        </w:rPr>
      </w:pPr>
      <w:r>
        <w:rPr>
          <w:rFonts w:eastAsia="仿宋"/>
          <w:bCs/>
        </w:rPr>
        <w:t>第一部分 投标须知</w:t>
      </w:r>
    </w:p>
    <w:p>
      <w:pPr>
        <w:snapToGrid w:val="0"/>
        <w:spacing w:line="500" w:lineRule="exact"/>
        <w:ind w:left="560"/>
        <w:rPr>
          <w:rFonts w:eastAsia="仿宋"/>
          <w:bCs/>
        </w:rPr>
      </w:pPr>
      <w:r>
        <w:rPr>
          <w:rFonts w:eastAsia="仿宋"/>
          <w:bCs/>
        </w:rPr>
        <w:t>第二部分 招标说明</w:t>
      </w:r>
    </w:p>
    <w:p>
      <w:pPr>
        <w:snapToGrid w:val="0"/>
        <w:spacing w:line="500" w:lineRule="exact"/>
        <w:ind w:left="560"/>
        <w:rPr>
          <w:rFonts w:eastAsia="仿宋"/>
          <w:bCs/>
        </w:rPr>
      </w:pPr>
      <w:r>
        <w:rPr>
          <w:rFonts w:eastAsia="仿宋"/>
          <w:bCs/>
        </w:rPr>
        <w:t>第三部分 采购要求及技术规格参数</w:t>
      </w:r>
    </w:p>
    <w:p>
      <w:pPr>
        <w:snapToGrid w:val="0"/>
        <w:spacing w:line="500" w:lineRule="exact"/>
        <w:ind w:left="560"/>
        <w:rPr>
          <w:rFonts w:eastAsia="仿宋"/>
          <w:bCs/>
        </w:rPr>
      </w:pPr>
      <w:r>
        <w:rPr>
          <w:rFonts w:eastAsia="仿宋"/>
          <w:bCs/>
        </w:rPr>
        <w:t>第四部分 合同条款</w:t>
      </w:r>
    </w:p>
    <w:p>
      <w:pPr>
        <w:snapToGrid w:val="0"/>
        <w:spacing w:line="500" w:lineRule="exact"/>
        <w:ind w:left="560"/>
        <w:rPr>
          <w:rFonts w:eastAsia="仿宋"/>
          <w:bCs/>
        </w:rPr>
      </w:pPr>
      <w:r>
        <w:rPr>
          <w:rFonts w:eastAsia="仿宋"/>
          <w:bCs/>
        </w:rPr>
        <w:t>第五部分 投标文件格式（编制顺序及范本格式）</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24" w:name="_Toc99785519"/>
      <w:bookmarkStart w:id="25" w:name="_Toc8605"/>
      <w:bookmarkStart w:id="26" w:name="_Toc23527887"/>
      <w:r>
        <w:rPr>
          <w:rFonts w:ascii="Times New Roman" w:hAnsi="Times New Roman" w:eastAsia="仿宋"/>
          <w:b w:val="0"/>
          <w:bCs w:val="0"/>
          <w:sz w:val="24"/>
          <w:szCs w:val="24"/>
        </w:rPr>
        <w:t>4.招标文件的澄清</w:t>
      </w:r>
      <w:bookmarkEnd w:id="24"/>
      <w:bookmarkEnd w:id="25"/>
      <w:bookmarkEnd w:id="26"/>
    </w:p>
    <w:p>
      <w:pPr>
        <w:snapToGrid w:val="0"/>
        <w:spacing w:line="500" w:lineRule="exact"/>
        <w:ind w:firstLine="480" w:firstLineChars="200"/>
        <w:rPr>
          <w:rFonts w:eastAsia="仿宋"/>
          <w:bCs/>
        </w:rPr>
      </w:pPr>
      <w:r>
        <w:rPr>
          <w:rFonts w:eastAsia="仿宋"/>
          <w:bCs/>
        </w:rPr>
        <w:t>4.1投标人在收到招标文件后，若有疑问需要澄清的，应于投标截止时间前15日以书面形式向招标人提出，招标人将以招标文件补充形式予以解答。逾期未提交者视为对招标文件的要求、资格审核条件、评分方法等招标文件的所有内容无异议。开标后不得对招标文件的评分方法、技术参数、资格审核条件提出质疑。</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27" w:name="_Toc3880"/>
      <w:bookmarkStart w:id="28" w:name="_Toc99785520"/>
      <w:bookmarkStart w:id="29" w:name="_Toc23527888"/>
      <w:r>
        <w:rPr>
          <w:rFonts w:ascii="Times New Roman" w:hAnsi="Times New Roman" w:eastAsia="仿宋"/>
          <w:b w:val="0"/>
          <w:bCs w:val="0"/>
          <w:sz w:val="24"/>
          <w:szCs w:val="24"/>
        </w:rPr>
        <w:t>5.招标文件的修改或补充</w:t>
      </w:r>
      <w:bookmarkEnd w:id="27"/>
      <w:bookmarkEnd w:id="28"/>
      <w:bookmarkEnd w:id="29"/>
    </w:p>
    <w:p>
      <w:pPr>
        <w:pStyle w:val="61"/>
        <w:snapToGrid w:val="0"/>
        <w:spacing w:before="0" w:beforeAutospacing="0" w:after="0" w:afterAutospacing="0" w:line="500" w:lineRule="exact"/>
        <w:ind w:firstLine="480" w:firstLineChars="200"/>
        <w:rPr>
          <w:rFonts w:ascii="Times New Roman" w:eastAsia="仿宋" w:cs="Times New Roman"/>
          <w:bCs/>
        </w:rPr>
      </w:pPr>
      <w:r>
        <w:rPr>
          <w:rFonts w:ascii="Times New Roman" w:eastAsia="仿宋" w:cs="Times New Roman"/>
          <w:bCs/>
        </w:rPr>
        <w:t>5.1对招标文件进行必要的修改，招标代理机构将在投标截止时间15日前以书面形式通知所有购买招标文件的投标商。该修改的内容为招标文件的组成部分；。</w:t>
      </w:r>
    </w:p>
    <w:p>
      <w:pPr>
        <w:snapToGrid w:val="0"/>
        <w:spacing w:line="500" w:lineRule="exact"/>
        <w:ind w:firstLine="480" w:firstLineChars="200"/>
        <w:rPr>
          <w:rFonts w:eastAsia="仿宋"/>
          <w:bCs/>
        </w:rPr>
      </w:pPr>
      <w:r>
        <w:rPr>
          <w:rFonts w:eastAsia="仿宋"/>
          <w:bCs/>
        </w:rPr>
        <w:t>5.2招标文件的澄清、修改、答疑会纪要等书面材料在本招标项目中均称招标文件补充。</w:t>
      </w:r>
    </w:p>
    <w:p>
      <w:pPr>
        <w:snapToGrid w:val="0"/>
        <w:spacing w:line="500" w:lineRule="exact"/>
        <w:ind w:firstLine="480" w:firstLineChars="200"/>
        <w:jc w:val="left"/>
        <w:rPr>
          <w:rFonts w:eastAsia="仿宋"/>
          <w:bCs/>
        </w:rPr>
      </w:pPr>
      <w:r>
        <w:rPr>
          <w:rFonts w:eastAsia="仿宋"/>
          <w:bCs/>
        </w:rPr>
        <w:t>5.3招标文件的修改和补充文件将作为招标文件的组成部分，并且对投标人具有同等约束力。</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30" w:name="_Toc99785521"/>
      <w:bookmarkStart w:id="31" w:name="_Toc23527889"/>
      <w:bookmarkStart w:id="32" w:name="_Toc2079"/>
      <w:r>
        <w:rPr>
          <w:rFonts w:ascii="Times New Roman" w:hAnsi="Times New Roman" w:eastAsia="仿宋"/>
          <w:b w:val="0"/>
          <w:bCs w:val="0"/>
          <w:sz w:val="24"/>
          <w:szCs w:val="24"/>
        </w:rPr>
        <w:t>6.招标文件的理解</w:t>
      </w:r>
      <w:bookmarkEnd w:id="30"/>
      <w:bookmarkEnd w:id="31"/>
      <w:bookmarkEnd w:id="32"/>
    </w:p>
    <w:p>
      <w:pPr>
        <w:snapToGrid w:val="0"/>
        <w:spacing w:line="500" w:lineRule="exact"/>
        <w:ind w:firstLine="480" w:firstLineChars="200"/>
        <w:jc w:val="left"/>
        <w:rPr>
          <w:rFonts w:eastAsia="仿宋"/>
          <w:bCs/>
        </w:rPr>
      </w:pPr>
      <w:r>
        <w:rPr>
          <w:rFonts w:eastAsia="仿宋"/>
          <w:bCs/>
        </w:rPr>
        <w:t>6.1投标人应认真阅读、审查招标文件中所有的事项、格式、条款和技术规范等要求，保证其完全理解招标文件内容。投标人在投标截止时间后，不得存在误解和遗漏要求更改已送交的投标文件。投标人的投标报价被认为已包括本项目招标范围内的全部内容。如果漏项被认为分摊到其他子目中了，将不予重新计价；如果计算错误在项目竣工后，也将不予以调整。如果投标人没有按照招标文件的要求提交全部资料，或没有对招标文件做出实质性响应，根据有关条款规定，其投标可以被拒绝，由此带来的风险应由投标人自行承担。</w:t>
      </w:r>
    </w:p>
    <w:p>
      <w:pPr>
        <w:pStyle w:val="5"/>
        <w:numPr>
          <w:ilvl w:val="0"/>
          <w:numId w:val="0"/>
        </w:numPr>
        <w:snapToGrid w:val="0"/>
        <w:spacing w:before="0" w:after="0" w:line="500" w:lineRule="exact"/>
        <w:ind w:left="480"/>
        <w:rPr>
          <w:rFonts w:ascii="Times New Roman" w:hAnsi="Times New Roman" w:eastAsia="仿宋"/>
          <w:b w:val="0"/>
          <w:bCs w:val="0"/>
          <w:sz w:val="24"/>
          <w:szCs w:val="24"/>
        </w:rPr>
      </w:pPr>
      <w:bookmarkStart w:id="33" w:name="_Toc23527890"/>
      <w:bookmarkStart w:id="34" w:name="_Toc99785522"/>
      <w:bookmarkStart w:id="35" w:name="_Toc30280"/>
      <w:r>
        <w:rPr>
          <w:rFonts w:ascii="Times New Roman" w:hAnsi="Times New Roman" w:eastAsia="仿宋"/>
          <w:b w:val="0"/>
          <w:bCs w:val="0"/>
          <w:sz w:val="24"/>
          <w:szCs w:val="24"/>
        </w:rPr>
        <w:t>7.廉洁自律承诺要求</w:t>
      </w:r>
      <w:bookmarkEnd w:id="33"/>
      <w:bookmarkEnd w:id="34"/>
      <w:bookmarkEnd w:id="35"/>
    </w:p>
    <w:p>
      <w:pPr>
        <w:snapToGrid w:val="0"/>
        <w:spacing w:line="500" w:lineRule="exact"/>
        <w:ind w:firstLine="480" w:firstLineChars="200"/>
        <w:jc w:val="left"/>
        <w:rPr>
          <w:rFonts w:eastAsia="仿宋"/>
          <w:bCs/>
        </w:rPr>
      </w:pPr>
      <w:r>
        <w:rPr>
          <w:rFonts w:eastAsia="仿宋"/>
          <w:bCs/>
        </w:rPr>
        <w:t>7.1在本次采购活动中，采购人和采购服务代理机构保证不接受任何报价方送的礼金礼品、有价证券、购物券、回扣、佣金；不与报价方及其工作人员私下接触、参与宴请和娱乐活动；不向报价方及其工作人员索要好处费、赞助费和宣传费；不在报价方支付旅游费用、报销各种消费凭证。</w:t>
      </w:r>
    </w:p>
    <w:p>
      <w:pPr>
        <w:snapToGrid w:val="0"/>
        <w:spacing w:line="500" w:lineRule="exact"/>
        <w:ind w:firstLine="480" w:firstLineChars="200"/>
        <w:rPr>
          <w:rFonts w:eastAsia="仿宋"/>
          <w:bCs/>
        </w:rPr>
      </w:pPr>
      <w:r>
        <w:rPr>
          <w:rFonts w:eastAsia="仿宋"/>
          <w:bCs/>
        </w:rPr>
        <w:t>所有投标人必须填写反商业贿赂承诺书（不填将视为无效投标处理）。</w:t>
      </w:r>
    </w:p>
    <w:p>
      <w:pPr>
        <w:snapToGrid w:val="0"/>
        <w:spacing w:line="500" w:lineRule="exact"/>
        <w:ind w:firstLine="560" w:firstLineChars="200"/>
        <w:rPr>
          <w:rFonts w:eastAsia="仿宋"/>
          <w:bCs/>
          <w:sz w:val="28"/>
          <w:szCs w:val="28"/>
        </w:rPr>
      </w:pPr>
    </w:p>
    <w:p>
      <w:pPr>
        <w:pStyle w:val="63"/>
        <w:snapToGrid w:val="0"/>
        <w:spacing w:before="0" w:after="0" w:line="500" w:lineRule="exact"/>
        <w:rPr>
          <w:rFonts w:ascii="Times New Roman" w:hAnsi="Times New Roman" w:eastAsia="仿宋"/>
          <w:b w:val="0"/>
          <w:sz w:val="40"/>
        </w:rPr>
        <w:sectPr>
          <w:pgSz w:w="11906" w:h="16838"/>
          <w:pgMar w:top="1134" w:right="850" w:bottom="1134" w:left="850" w:header="283" w:footer="283" w:gutter="0"/>
          <w:cols w:space="720" w:num="1"/>
          <w:docGrid w:type="lines" w:linePitch="339" w:charSpace="0"/>
        </w:sectPr>
      </w:pPr>
      <w:bookmarkStart w:id="36" w:name="_Toc23527891"/>
      <w:bookmarkStart w:id="37" w:name="_Toc26189"/>
    </w:p>
    <w:p>
      <w:pPr>
        <w:pStyle w:val="63"/>
        <w:snapToGrid w:val="0"/>
        <w:spacing w:before="0" w:after="0" w:line="500" w:lineRule="exact"/>
        <w:rPr>
          <w:rFonts w:ascii="Times New Roman" w:hAnsi="Times New Roman" w:eastAsia="仿宋"/>
          <w:b w:val="0"/>
          <w:sz w:val="40"/>
        </w:rPr>
      </w:pPr>
      <w:bookmarkStart w:id="38" w:name="_Toc99785523"/>
      <w:bookmarkStart w:id="39" w:name="_Toc12280"/>
      <w:r>
        <w:rPr>
          <w:rFonts w:ascii="Times New Roman" w:hAnsi="Times New Roman" w:eastAsia="仿宋"/>
          <w:b w:val="0"/>
          <w:sz w:val="40"/>
        </w:rPr>
        <w:t>第二部分   招标说明</w:t>
      </w:r>
      <w:bookmarkEnd w:id="36"/>
      <w:bookmarkEnd w:id="37"/>
      <w:bookmarkEnd w:id="38"/>
      <w:bookmarkEnd w:id="39"/>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40" w:name="_Toc99785524"/>
      <w:bookmarkStart w:id="41" w:name="_Toc19072"/>
      <w:bookmarkStart w:id="42" w:name="_Toc23527892"/>
      <w:r>
        <w:rPr>
          <w:rFonts w:ascii="Times New Roman" w:hAnsi="Times New Roman" w:eastAsia="仿宋"/>
          <w:b w:val="0"/>
          <w:bCs w:val="0"/>
          <w:sz w:val="36"/>
        </w:rPr>
        <w:t>第一章 对投标人的资格要求</w:t>
      </w:r>
      <w:bookmarkEnd w:id="40"/>
      <w:bookmarkEnd w:id="41"/>
      <w:bookmarkEnd w:id="42"/>
    </w:p>
    <w:p>
      <w:pPr>
        <w:snapToGrid w:val="0"/>
        <w:spacing w:line="500" w:lineRule="exact"/>
        <w:ind w:firstLine="480" w:firstLineChars="200"/>
        <w:rPr>
          <w:rFonts w:eastAsia="仿宋"/>
          <w:bCs/>
        </w:rPr>
      </w:pPr>
      <w:r>
        <w:rPr>
          <w:rFonts w:eastAsia="仿宋"/>
          <w:bCs/>
        </w:rPr>
        <w:t>1.投标资格</w:t>
      </w:r>
    </w:p>
    <w:p>
      <w:pPr>
        <w:snapToGrid w:val="0"/>
        <w:spacing w:line="500" w:lineRule="exact"/>
        <w:ind w:firstLine="484" w:firstLineChars="202"/>
        <w:jc w:val="left"/>
        <w:rPr>
          <w:rFonts w:eastAsia="仿宋"/>
          <w:bCs/>
        </w:rPr>
      </w:pPr>
      <w:r>
        <w:rPr>
          <w:rFonts w:eastAsia="仿宋"/>
          <w:bCs/>
        </w:rPr>
        <w:t>1.1、投标人必须是在中华人民共和国境内注册的，具有独立法人资格的企业，法定代表人为同一个人的两个及两个以上法人，其母公司、全资子公司及控股公司只能有一家投标；</w:t>
      </w:r>
    </w:p>
    <w:p>
      <w:pPr>
        <w:snapToGrid w:val="0"/>
        <w:spacing w:line="500" w:lineRule="exact"/>
        <w:ind w:firstLine="484" w:firstLineChars="202"/>
        <w:jc w:val="left"/>
        <w:rPr>
          <w:rFonts w:eastAsia="仿宋"/>
          <w:bCs/>
        </w:rPr>
      </w:pPr>
      <w:r>
        <w:rPr>
          <w:rFonts w:eastAsia="仿宋"/>
          <w:bCs/>
        </w:rPr>
        <w:t>1.2、投标人所投符合《中华人民共和国政府采购法》第22条规定的条件；</w:t>
      </w:r>
    </w:p>
    <w:p>
      <w:pPr>
        <w:snapToGrid w:val="0"/>
        <w:spacing w:line="500" w:lineRule="exact"/>
        <w:ind w:firstLine="484" w:firstLineChars="202"/>
        <w:jc w:val="left"/>
        <w:rPr>
          <w:rFonts w:eastAsia="仿宋"/>
          <w:bCs/>
        </w:rPr>
      </w:pPr>
      <w:r>
        <w:rPr>
          <w:rFonts w:eastAsia="仿宋"/>
          <w:bCs/>
        </w:rPr>
        <w:t>1.3、近三年内被“信用中国”网站列入失信被执行人和重大税收违法案件当事人名单的、被“中国</w:t>
      </w:r>
      <w:r>
        <w:fldChar w:fldCharType="begin"/>
      </w:r>
      <w:r>
        <w:instrText xml:space="preserve"> HYPERLINK "http://www.caigou2003.com/" </w:instrText>
      </w:r>
      <w:r>
        <w:fldChar w:fldCharType="separate"/>
      </w:r>
      <w:r>
        <w:rPr>
          <w:rFonts w:eastAsia="仿宋"/>
          <w:bCs/>
        </w:rPr>
        <w:t>政府采购网</w:t>
      </w:r>
      <w:r>
        <w:rPr>
          <w:rFonts w:eastAsia="仿宋"/>
          <w:bCs/>
        </w:rPr>
        <w:fldChar w:fldCharType="end"/>
      </w:r>
      <w:r>
        <w:rPr>
          <w:rFonts w:eastAsia="仿宋"/>
          <w:bCs/>
        </w:rPr>
        <w:t>”网站列入政府采购严重违法失信行为记录名单（处罚期限尚未届满的），不得参与本项目的招投标活动；</w:t>
      </w:r>
    </w:p>
    <w:p>
      <w:pPr>
        <w:snapToGrid w:val="0"/>
        <w:spacing w:line="500" w:lineRule="exact"/>
        <w:ind w:firstLine="484" w:firstLineChars="202"/>
        <w:jc w:val="left"/>
        <w:rPr>
          <w:rFonts w:eastAsia="仿宋"/>
          <w:bCs/>
        </w:rPr>
      </w:pPr>
      <w:r>
        <w:rPr>
          <w:rFonts w:eastAsia="仿宋"/>
          <w:bCs/>
        </w:rPr>
        <w:t>1.4、本次采购不接受联合体投标。</w:t>
      </w:r>
    </w:p>
    <w:p>
      <w:pPr>
        <w:snapToGrid w:val="0"/>
        <w:spacing w:line="500" w:lineRule="exact"/>
        <w:ind w:firstLine="484" w:firstLineChars="202"/>
        <w:jc w:val="left"/>
        <w:rPr>
          <w:rFonts w:eastAsia="仿宋"/>
          <w:bCs/>
        </w:rPr>
      </w:pPr>
      <w:r>
        <w:rPr>
          <w:rFonts w:eastAsia="仿宋"/>
          <w:bCs/>
        </w:rPr>
        <w:t>1.5、投标人应提供下列资格证明文件，否则其投标将被拒绝：</w:t>
      </w:r>
    </w:p>
    <w:p>
      <w:pPr>
        <w:snapToGrid w:val="0"/>
        <w:spacing w:line="500" w:lineRule="exact"/>
        <w:ind w:firstLine="484" w:firstLineChars="202"/>
        <w:jc w:val="left"/>
        <w:rPr>
          <w:rFonts w:eastAsia="仿宋"/>
          <w:bCs/>
        </w:rPr>
      </w:pPr>
      <w:bookmarkStart w:id="43" w:name="_Toc23527893"/>
      <w:r>
        <w:rPr>
          <w:rFonts w:eastAsia="仿宋"/>
          <w:bCs/>
        </w:rPr>
        <w:t>①企业法人营业执照（</w:t>
      </w:r>
      <w:r>
        <w:rPr>
          <w:rFonts w:hint="eastAsia" w:eastAsia="仿宋"/>
          <w:bCs/>
        </w:rPr>
        <w:t>原件</w:t>
      </w:r>
      <w:r>
        <w:rPr>
          <w:rFonts w:eastAsia="仿宋"/>
          <w:bCs/>
        </w:rPr>
        <w:t xml:space="preserve">）； </w:t>
      </w:r>
    </w:p>
    <w:p>
      <w:pPr>
        <w:snapToGrid w:val="0"/>
        <w:spacing w:line="500" w:lineRule="exact"/>
        <w:ind w:firstLine="484" w:firstLineChars="202"/>
        <w:jc w:val="left"/>
        <w:rPr>
          <w:rFonts w:eastAsia="仿宋"/>
          <w:bCs/>
        </w:rPr>
      </w:pPr>
      <w:r>
        <w:rPr>
          <w:rFonts w:eastAsia="仿宋"/>
          <w:bCs/>
        </w:rPr>
        <w:t>②法人授权委托书（原件），投标代表身份证（</w:t>
      </w:r>
      <w:r>
        <w:rPr>
          <w:rFonts w:hint="eastAsia" w:eastAsia="仿宋"/>
          <w:bCs/>
        </w:rPr>
        <w:t>原件及</w:t>
      </w:r>
      <w:r>
        <w:rPr>
          <w:rFonts w:eastAsia="仿宋"/>
          <w:bCs/>
        </w:rPr>
        <w:t xml:space="preserve">复印件加盖公章）； </w:t>
      </w:r>
    </w:p>
    <w:p>
      <w:pPr>
        <w:snapToGrid w:val="0"/>
        <w:spacing w:line="500" w:lineRule="exact"/>
        <w:ind w:firstLine="484" w:firstLineChars="202"/>
        <w:jc w:val="left"/>
        <w:rPr>
          <w:rFonts w:eastAsia="仿宋"/>
          <w:bCs/>
        </w:rPr>
      </w:pPr>
      <w:r>
        <w:rPr>
          <w:rFonts w:eastAsia="仿宋"/>
          <w:bCs/>
        </w:rPr>
        <w:t>③近三年内未被“信用中国”网站列入失信被执行人和重大税收违法案件当事人名单的、被“中国政府采购网”网站列入政府采购严重违法失信行为记录名单（处罚期限尚未届满的）的证明文件（网页截图加盖公章）；</w:t>
      </w:r>
    </w:p>
    <w:p>
      <w:pPr>
        <w:snapToGrid w:val="0"/>
        <w:spacing w:line="500" w:lineRule="exact"/>
        <w:ind w:firstLine="484" w:firstLineChars="202"/>
        <w:jc w:val="left"/>
        <w:rPr>
          <w:rFonts w:eastAsia="仿宋"/>
          <w:bCs/>
        </w:rPr>
      </w:pPr>
      <w:r>
        <w:rPr>
          <w:rFonts w:eastAsia="仿宋"/>
          <w:bCs/>
        </w:rPr>
        <w:t>④反商业贿赂承诺书（原件）。</w:t>
      </w:r>
    </w:p>
    <w:p>
      <w:pPr>
        <w:snapToGrid w:val="0"/>
        <w:spacing w:line="500" w:lineRule="exact"/>
        <w:ind w:firstLine="484" w:firstLineChars="202"/>
        <w:jc w:val="left"/>
        <w:rPr>
          <w:rFonts w:eastAsia="仿宋"/>
          <w:bCs/>
        </w:rPr>
      </w:pPr>
      <w:r>
        <w:rPr>
          <w:rFonts w:eastAsia="仿宋"/>
          <w:bCs/>
        </w:rPr>
        <w:t>⑤投标保证金凭证（复印件加盖公章）。</w:t>
      </w:r>
    </w:p>
    <w:p>
      <w:pPr>
        <w:snapToGrid w:val="0"/>
        <w:spacing w:line="500" w:lineRule="exact"/>
        <w:ind w:firstLine="484" w:firstLineChars="202"/>
        <w:jc w:val="left"/>
        <w:rPr>
          <w:rFonts w:eastAsia="仿宋"/>
          <w:bCs/>
        </w:rPr>
      </w:pPr>
      <w:r>
        <w:rPr>
          <w:rFonts w:eastAsia="仿宋"/>
          <w:bCs/>
        </w:rPr>
        <w:t>注：投标人提交的以上要求的文件或证明的复印件应是最新（有效）、清晰并加盖投标人公章。</w:t>
      </w: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44" w:name="_Toc99785525"/>
      <w:bookmarkStart w:id="45" w:name="_Toc32523"/>
      <w:r>
        <w:rPr>
          <w:rFonts w:ascii="Times New Roman" w:hAnsi="Times New Roman" w:eastAsia="仿宋"/>
          <w:b w:val="0"/>
          <w:bCs w:val="0"/>
          <w:sz w:val="36"/>
        </w:rPr>
        <w:t>第二章 投标文件的编写</w:t>
      </w:r>
      <w:bookmarkEnd w:id="43"/>
      <w:bookmarkEnd w:id="44"/>
      <w:bookmarkEnd w:id="45"/>
    </w:p>
    <w:p>
      <w:pPr>
        <w:snapToGrid w:val="0"/>
        <w:spacing w:line="500" w:lineRule="exact"/>
        <w:ind w:firstLine="480" w:firstLineChars="200"/>
        <w:rPr>
          <w:rFonts w:eastAsia="仿宋"/>
          <w:bCs/>
        </w:rPr>
      </w:pPr>
      <w:r>
        <w:rPr>
          <w:rFonts w:eastAsia="仿宋"/>
          <w:bCs/>
        </w:rPr>
        <w:t>2．要求</w:t>
      </w:r>
    </w:p>
    <w:p>
      <w:pPr>
        <w:snapToGrid w:val="0"/>
        <w:spacing w:line="500" w:lineRule="exact"/>
        <w:ind w:firstLine="480" w:firstLineChars="200"/>
        <w:rPr>
          <w:rFonts w:eastAsia="仿宋"/>
          <w:bCs/>
        </w:rPr>
      </w:pPr>
      <w:r>
        <w:rPr>
          <w:rFonts w:eastAsia="仿宋"/>
          <w:bCs/>
        </w:rPr>
        <w:t>2.1投标人应详细阅读招标文件中的条款、规范、表述、条件和格式等所有内容，按招标文件的要求份数提供投标文件，并保证所提供全部材料的真实性，以使其投标对招标文件做出实质性响应。否则，其投标将被拒绝。</w:t>
      </w:r>
    </w:p>
    <w:p>
      <w:pPr>
        <w:snapToGrid w:val="0"/>
        <w:spacing w:line="500" w:lineRule="exact"/>
        <w:ind w:firstLine="480" w:firstLineChars="200"/>
        <w:rPr>
          <w:rFonts w:eastAsia="仿宋"/>
          <w:bCs/>
        </w:rPr>
      </w:pPr>
      <w:r>
        <w:rPr>
          <w:rFonts w:eastAsia="仿宋"/>
          <w:bCs/>
        </w:rPr>
        <w:t>2.2投标人编制的投标文件应按照第五部分投标文件格式的要求和顺序编写。</w:t>
      </w:r>
    </w:p>
    <w:p>
      <w:pPr>
        <w:tabs>
          <w:tab w:val="left" w:pos="1155"/>
        </w:tabs>
        <w:snapToGrid w:val="0"/>
        <w:spacing w:line="500" w:lineRule="exact"/>
        <w:ind w:firstLine="480" w:firstLineChars="200"/>
        <w:rPr>
          <w:rFonts w:eastAsia="仿宋"/>
          <w:bCs/>
        </w:rPr>
      </w:pPr>
      <w:r>
        <w:rPr>
          <w:rFonts w:eastAsia="仿宋"/>
          <w:bCs/>
        </w:rPr>
        <w:t>3．投标文件格式</w:t>
      </w:r>
    </w:p>
    <w:p>
      <w:pPr>
        <w:snapToGrid w:val="0"/>
        <w:spacing w:line="500" w:lineRule="exact"/>
        <w:ind w:firstLine="480" w:firstLineChars="200"/>
        <w:rPr>
          <w:rFonts w:eastAsia="仿宋"/>
          <w:bCs/>
          <w:color w:val="FF0000"/>
        </w:rPr>
      </w:pPr>
      <w:r>
        <w:rPr>
          <w:rFonts w:eastAsia="仿宋"/>
          <w:bCs/>
        </w:rPr>
        <w:t>3.1投标人应按招标文件中提供的投标文件格式认真编写投标文件，并使用A4规格纸张打印</w:t>
      </w:r>
      <w:r>
        <w:rPr>
          <w:rFonts w:eastAsia="仿宋"/>
          <w:bCs/>
          <w:u w:val="single"/>
        </w:rPr>
        <w:t>（可以双面打印）</w:t>
      </w:r>
      <w:r>
        <w:rPr>
          <w:rFonts w:eastAsia="仿宋"/>
          <w:bCs/>
        </w:rPr>
        <w:t>，胶装成册（订口在长边，装订线应位于左侧）。所有投标文件必须编写目录页码（页码应连续），并胶装成册。</w:t>
      </w:r>
    </w:p>
    <w:p>
      <w:pPr>
        <w:pStyle w:val="52"/>
        <w:tabs>
          <w:tab w:val="left" w:pos="1440"/>
        </w:tabs>
        <w:snapToGrid w:val="0"/>
        <w:spacing w:line="500" w:lineRule="exact"/>
        <w:ind w:left="480" w:firstLine="480" w:firstLineChars="200"/>
        <w:rPr>
          <w:rFonts w:ascii="Times New Roman" w:eastAsia="仿宋"/>
          <w:bCs/>
          <w:color w:val="FF0000"/>
          <w:sz w:val="24"/>
        </w:rPr>
      </w:pPr>
      <w:r>
        <w:rPr>
          <w:rFonts w:ascii="Times New Roman" w:eastAsia="仿宋"/>
          <w:bCs/>
          <w:sz w:val="24"/>
        </w:rPr>
        <w:t>3.2</w:t>
      </w:r>
      <w:r>
        <w:rPr>
          <w:rFonts w:ascii="Times New Roman" w:eastAsia="仿宋"/>
          <w:bCs/>
          <w:color w:val="FF0000"/>
          <w:sz w:val="24"/>
        </w:rPr>
        <w:t xml:space="preserve"> </w:t>
      </w:r>
      <w:r>
        <w:rPr>
          <w:rFonts w:ascii="Times New Roman" w:eastAsia="仿宋"/>
          <w:bCs/>
          <w:sz w:val="24"/>
        </w:rPr>
        <w:t>投标文件封面须标注项目名称、包号、项目编号、投标人名称（须加盖单位公章）、项目联系人及联系电话（详见第五部分附件格式范本（一）投标文件封面）。（与第二部分的第三章投标文件的递交一致）。</w:t>
      </w:r>
    </w:p>
    <w:p>
      <w:pPr>
        <w:snapToGrid w:val="0"/>
        <w:spacing w:line="500" w:lineRule="exact"/>
        <w:ind w:firstLine="480" w:firstLineChars="200"/>
        <w:rPr>
          <w:rFonts w:eastAsia="仿宋"/>
          <w:bCs/>
        </w:rPr>
      </w:pPr>
      <w:r>
        <w:rPr>
          <w:rFonts w:eastAsia="仿宋"/>
          <w:bCs/>
        </w:rPr>
        <w:t>4．投标报价</w:t>
      </w:r>
    </w:p>
    <w:p>
      <w:pPr>
        <w:snapToGrid w:val="0"/>
        <w:spacing w:line="500" w:lineRule="exact"/>
        <w:ind w:firstLine="480" w:firstLineChars="200"/>
        <w:rPr>
          <w:rFonts w:eastAsia="仿宋"/>
          <w:bCs/>
        </w:rPr>
      </w:pPr>
      <w:r>
        <w:rPr>
          <w:rFonts w:eastAsia="仿宋"/>
          <w:bCs/>
        </w:rPr>
        <w:t>4.1投标人应按招标文件</w:t>
      </w:r>
      <w:r>
        <w:rPr>
          <w:rFonts w:eastAsia="仿宋"/>
          <w:bCs/>
          <w:iCs/>
          <w:u w:val="single"/>
        </w:rPr>
        <w:t>所附的投标报价表</w:t>
      </w:r>
      <w:r>
        <w:rPr>
          <w:rFonts w:eastAsia="仿宋"/>
          <w:bCs/>
        </w:rPr>
        <w:t>的格式提供产品的</w:t>
      </w:r>
      <w:r>
        <w:rPr>
          <w:rFonts w:eastAsia="仿宋"/>
          <w:bCs/>
          <w:u w:val="single"/>
        </w:rPr>
        <w:t>单价和总价</w:t>
      </w:r>
      <w:r>
        <w:rPr>
          <w:rFonts w:eastAsia="仿宋"/>
          <w:bCs/>
        </w:rPr>
        <w:t>，如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招标人不接受任何有选择性的报价。</w:t>
      </w:r>
    </w:p>
    <w:p>
      <w:pPr>
        <w:snapToGrid w:val="0"/>
        <w:spacing w:line="500" w:lineRule="exact"/>
        <w:ind w:firstLine="480" w:firstLineChars="200"/>
        <w:rPr>
          <w:rFonts w:eastAsia="仿宋"/>
          <w:bCs/>
        </w:rPr>
      </w:pPr>
      <w:r>
        <w:rPr>
          <w:rFonts w:eastAsia="仿宋"/>
          <w:bCs/>
        </w:rPr>
        <w:t>5．投标报价的货币单位</w:t>
      </w:r>
    </w:p>
    <w:p>
      <w:pPr>
        <w:snapToGrid w:val="0"/>
        <w:spacing w:line="500" w:lineRule="exact"/>
        <w:ind w:firstLine="480" w:firstLineChars="200"/>
        <w:rPr>
          <w:rFonts w:eastAsia="仿宋"/>
          <w:bCs/>
        </w:rPr>
      </w:pPr>
      <w:r>
        <w:rPr>
          <w:rFonts w:eastAsia="仿宋"/>
          <w:bCs/>
        </w:rPr>
        <w:t>5.1 投标报价单位均为人民币。</w:t>
      </w:r>
    </w:p>
    <w:p>
      <w:pPr>
        <w:snapToGrid w:val="0"/>
        <w:spacing w:line="500" w:lineRule="exact"/>
        <w:ind w:firstLine="480" w:firstLineChars="200"/>
        <w:rPr>
          <w:rFonts w:eastAsia="仿宋"/>
          <w:bCs/>
        </w:rPr>
      </w:pPr>
      <w:r>
        <w:rPr>
          <w:rFonts w:eastAsia="仿宋"/>
          <w:bCs/>
        </w:rPr>
        <w:t>5.2中标服务费</w:t>
      </w:r>
    </w:p>
    <w:p>
      <w:pPr>
        <w:snapToGrid w:val="0"/>
        <w:spacing w:line="500" w:lineRule="exact"/>
        <w:ind w:firstLine="480" w:firstLineChars="200"/>
        <w:rPr>
          <w:rFonts w:eastAsia="仿宋"/>
          <w:bCs/>
        </w:rPr>
      </w:pPr>
      <w:r>
        <w:rPr>
          <w:rFonts w:eastAsia="仿宋"/>
          <w:bCs/>
        </w:rPr>
        <w:t>5.2.1中标单位必须在合同签定后三天内向新疆西北招标有限公司一次付清中标服务费。</w:t>
      </w:r>
    </w:p>
    <w:p>
      <w:pPr>
        <w:snapToGrid w:val="0"/>
        <w:spacing w:line="500" w:lineRule="exact"/>
        <w:ind w:firstLine="480" w:firstLineChars="200"/>
        <w:rPr>
          <w:rFonts w:eastAsia="仿宋"/>
          <w:bCs/>
        </w:rPr>
      </w:pPr>
      <w:r>
        <w:rPr>
          <w:rFonts w:eastAsia="仿宋"/>
          <w:bCs/>
        </w:rPr>
        <w:t>5.2.2 中标服务费按国家取费标准（计价格（2002）1980号文）收费标准。</w:t>
      </w:r>
    </w:p>
    <w:p>
      <w:pPr>
        <w:snapToGrid w:val="0"/>
        <w:spacing w:line="500" w:lineRule="exact"/>
        <w:ind w:firstLine="480" w:firstLineChars="200"/>
        <w:rPr>
          <w:rFonts w:eastAsia="仿宋"/>
          <w:bCs/>
          <w:color w:val="000000"/>
        </w:rPr>
      </w:pPr>
      <w:r>
        <w:rPr>
          <w:rFonts w:eastAsia="仿宋"/>
          <w:bCs/>
        </w:rPr>
        <w:t>5.2.3.本招标文件根据《中华人民共和国政府采购法》规定编制，解释权属新疆西北招标有限公司。</w:t>
      </w:r>
    </w:p>
    <w:p>
      <w:pPr>
        <w:snapToGrid w:val="0"/>
        <w:spacing w:line="500" w:lineRule="exact"/>
        <w:ind w:firstLine="588" w:firstLineChars="245"/>
        <w:rPr>
          <w:rFonts w:eastAsia="仿宋"/>
          <w:bCs/>
        </w:rPr>
      </w:pPr>
      <w:r>
        <w:rPr>
          <w:rFonts w:eastAsia="仿宋"/>
          <w:bCs/>
        </w:rPr>
        <w:t>6.招标文件规定的技术投标文件</w:t>
      </w:r>
    </w:p>
    <w:p>
      <w:pPr>
        <w:snapToGrid w:val="0"/>
        <w:spacing w:line="500" w:lineRule="exact"/>
        <w:ind w:firstLine="480" w:firstLineChars="200"/>
        <w:rPr>
          <w:rFonts w:eastAsia="仿宋"/>
          <w:bCs/>
        </w:rPr>
      </w:pPr>
      <w:r>
        <w:rPr>
          <w:rFonts w:eastAsia="仿宋"/>
          <w:bCs/>
        </w:rPr>
        <w:t>没有按第五部分投标文件格式的要求提供资料或提供资料不完全的，将被视为对招标文件没有做出实质性响应，其风险由投标人自行承担。</w:t>
      </w:r>
    </w:p>
    <w:p>
      <w:pPr>
        <w:snapToGrid w:val="0"/>
        <w:spacing w:line="500" w:lineRule="exact"/>
        <w:ind w:firstLine="597" w:firstLineChars="249"/>
        <w:rPr>
          <w:rFonts w:eastAsia="仿宋"/>
          <w:bCs/>
        </w:rPr>
      </w:pPr>
      <w:r>
        <w:rPr>
          <w:rFonts w:eastAsia="仿宋"/>
          <w:bCs/>
        </w:rPr>
        <w:t>7．投标有效期</w:t>
      </w:r>
    </w:p>
    <w:p>
      <w:pPr>
        <w:snapToGrid w:val="0"/>
        <w:spacing w:line="500" w:lineRule="exact"/>
        <w:ind w:firstLine="600" w:firstLineChars="250"/>
        <w:rPr>
          <w:rFonts w:eastAsia="仿宋"/>
          <w:bCs/>
        </w:rPr>
      </w:pPr>
      <w:r>
        <w:rPr>
          <w:rFonts w:eastAsia="仿宋"/>
          <w:bCs/>
        </w:rPr>
        <w:t>7.1 从提交投标文件的截止之日起算90天。</w:t>
      </w:r>
    </w:p>
    <w:p>
      <w:pPr>
        <w:snapToGrid w:val="0"/>
        <w:spacing w:line="500" w:lineRule="exact"/>
        <w:ind w:firstLine="600" w:firstLineChars="250"/>
        <w:rPr>
          <w:rFonts w:eastAsia="仿宋"/>
          <w:bCs/>
        </w:rPr>
      </w:pPr>
      <w:r>
        <w:rPr>
          <w:rFonts w:eastAsia="仿宋"/>
          <w:bCs/>
        </w:rPr>
        <w:t>7.2特殊情况下本招标代理公司可于投标有效期满之前书面要求投标人同意延长有效期，投标人应在本招标代理公司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napToGrid w:val="0"/>
        <w:spacing w:line="500" w:lineRule="exact"/>
        <w:ind w:firstLine="588" w:firstLineChars="245"/>
        <w:rPr>
          <w:rFonts w:eastAsia="仿宋"/>
          <w:bCs/>
        </w:rPr>
      </w:pPr>
      <w:r>
        <w:rPr>
          <w:rFonts w:eastAsia="仿宋"/>
          <w:bCs/>
        </w:rPr>
        <w:t>8．投标文件的签署规定</w:t>
      </w:r>
    </w:p>
    <w:p>
      <w:pPr>
        <w:snapToGrid w:val="0"/>
        <w:spacing w:line="500" w:lineRule="exact"/>
        <w:ind w:firstLine="600" w:firstLineChars="250"/>
        <w:rPr>
          <w:rFonts w:eastAsia="仿宋"/>
          <w:bCs/>
        </w:rPr>
      </w:pPr>
      <w:r>
        <w:rPr>
          <w:rFonts w:eastAsia="仿宋"/>
          <w:bCs/>
        </w:rPr>
        <w:t>8.1投标文件的页面必须用印刷体打印。</w:t>
      </w:r>
    </w:p>
    <w:p>
      <w:pPr>
        <w:snapToGrid w:val="0"/>
        <w:spacing w:line="500" w:lineRule="exact"/>
        <w:ind w:firstLine="600" w:firstLineChars="250"/>
        <w:rPr>
          <w:rFonts w:eastAsia="仿宋"/>
          <w:bCs/>
        </w:rPr>
      </w:pPr>
      <w:r>
        <w:rPr>
          <w:rFonts w:eastAsia="仿宋"/>
          <w:bCs/>
        </w:rPr>
        <w:t>8.2投标文件应清楚工整，一般不准修改。个别非实质性修改之处应由投标人的被授权人或法定代表人签章。</w:t>
      </w:r>
    </w:p>
    <w:p>
      <w:pPr>
        <w:snapToGrid w:val="0"/>
        <w:spacing w:line="500" w:lineRule="exact"/>
        <w:ind w:firstLine="600" w:firstLineChars="250"/>
        <w:rPr>
          <w:rFonts w:eastAsia="仿宋"/>
          <w:bCs/>
        </w:rPr>
      </w:pPr>
      <w:r>
        <w:rPr>
          <w:rFonts w:eastAsia="仿宋"/>
          <w:bCs/>
        </w:rPr>
        <w:t>8.3投标文件应由法定代表人或法人授权代表在规定的签章处逐一签署并加盖单位公章。所有投标人签字、法定代表人签字、法人代表授权人签字和其它签字处必须加盖具有法律效力的投标人的印章后，投标文件方为有效(自然人除外)。</w:t>
      </w:r>
      <w:r>
        <w:rPr>
          <w:rFonts w:eastAsia="仿宋"/>
          <w:b/>
        </w:rPr>
        <w:t>提供的相关材料必须每页加盖单位公章。</w:t>
      </w:r>
    </w:p>
    <w:p>
      <w:pPr>
        <w:snapToGrid w:val="0"/>
        <w:spacing w:line="500" w:lineRule="exact"/>
        <w:ind w:firstLine="600" w:firstLineChars="250"/>
        <w:rPr>
          <w:rFonts w:eastAsia="仿宋"/>
          <w:bCs/>
        </w:rPr>
      </w:pPr>
      <w:r>
        <w:rPr>
          <w:rFonts w:eastAsia="仿宋"/>
          <w:bCs/>
        </w:rPr>
        <w:t>8.4</w:t>
      </w:r>
      <w:r>
        <w:rPr>
          <w:rFonts w:eastAsia="仿宋"/>
          <w:bCs/>
          <w:lang w:val="zh-CN"/>
        </w:rPr>
        <w:t>所</w:t>
      </w:r>
      <w:r>
        <w:rPr>
          <w:rFonts w:eastAsia="仿宋"/>
          <w:bCs/>
        </w:rPr>
        <w:t>有投标文件必须提交正本一份，副本</w:t>
      </w:r>
      <w:r>
        <w:rPr>
          <w:rFonts w:hint="eastAsia" w:eastAsia="仿宋"/>
          <w:bCs/>
        </w:rPr>
        <w:t>肆</w:t>
      </w:r>
      <w:r>
        <w:rPr>
          <w:rFonts w:eastAsia="仿宋"/>
          <w:bCs/>
        </w:rPr>
        <w:t>份，电子版一份。投标文件正本有对投标人有约束力的代表签名或盖章并清楚地标明“正本”字样。</w:t>
      </w:r>
    </w:p>
    <w:p>
      <w:pPr>
        <w:snapToGrid w:val="0"/>
        <w:spacing w:line="500" w:lineRule="exact"/>
        <w:ind w:firstLine="600" w:firstLineChars="250"/>
        <w:rPr>
          <w:rFonts w:eastAsia="仿宋"/>
          <w:bCs/>
        </w:rPr>
      </w:pPr>
      <w:r>
        <w:rPr>
          <w:rFonts w:eastAsia="仿宋"/>
          <w:bCs/>
        </w:rPr>
        <w:t>8.5投标文件的正本与副本内容要完全一致。</w:t>
      </w:r>
    </w:p>
    <w:p>
      <w:pPr>
        <w:snapToGrid w:val="0"/>
        <w:spacing w:line="500" w:lineRule="exact"/>
        <w:ind w:firstLine="600" w:firstLineChars="250"/>
        <w:rPr>
          <w:rFonts w:eastAsia="仿宋"/>
          <w:bCs/>
        </w:rPr>
      </w:pPr>
      <w:r>
        <w:rPr>
          <w:rFonts w:eastAsia="仿宋"/>
          <w:bCs/>
        </w:rPr>
        <w:t>8.6以电报、电话、传真、电子邮件等形式提交的投标文件不予接受。</w:t>
      </w:r>
    </w:p>
    <w:p>
      <w:pPr>
        <w:snapToGrid w:val="0"/>
        <w:spacing w:line="500" w:lineRule="exact"/>
        <w:ind w:firstLine="597" w:firstLineChars="249"/>
        <w:rPr>
          <w:rFonts w:eastAsia="仿宋"/>
          <w:bCs/>
        </w:rPr>
      </w:pPr>
      <w:r>
        <w:rPr>
          <w:rFonts w:eastAsia="仿宋"/>
          <w:bCs/>
        </w:rPr>
        <w:t>9．投标保证金</w:t>
      </w:r>
    </w:p>
    <w:p>
      <w:pPr>
        <w:snapToGrid w:val="0"/>
        <w:spacing w:line="500" w:lineRule="exact"/>
        <w:ind w:firstLine="600" w:firstLineChars="250"/>
        <w:rPr>
          <w:rFonts w:eastAsia="仿宋"/>
          <w:bCs/>
        </w:rPr>
      </w:pPr>
      <w:r>
        <w:rPr>
          <w:rFonts w:eastAsia="仿宋"/>
          <w:bCs/>
        </w:rPr>
        <w:t>9.1 投标保证金额：详见第一部分投标人须知附表第13项目。</w:t>
      </w:r>
    </w:p>
    <w:p>
      <w:pPr>
        <w:snapToGrid w:val="0"/>
        <w:spacing w:line="500" w:lineRule="exact"/>
        <w:ind w:firstLine="600" w:firstLineChars="250"/>
        <w:rPr>
          <w:rFonts w:eastAsia="仿宋"/>
          <w:bCs/>
        </w:rPr>
      </w:pPr>
      <w:r>
        <w:rPr>
          <w:rFonts w:eastAsia="仿宋"/>
          <w:bCs/>
        </w:rPr>
        <w:t>9.2 投标保证金为投标文件的组成部分之一。</w:t>
      </w:r>
    </w:p>
    <w:p>
      <w:pPr>
        <w:snapToGrid w:val="0"/>
        <w:spacing w:line="500" w:lineRule="exact"/>
        <w:ind w:firstLine="600" w:firstLineChars="250"/>
        <w:rPr>
          <w:rFonts w:eastAsia="仿宋"/>
          <w:bCs/>
        </w:rPr>
      </w:pPr>
      <w:r>
        <w:rPr>
          <w:rFonts w:eastAsia="仿宋"/>
          <w:bCs/>
        </w:rPr>
        <w:t>9.3 投标人应在提交投标文件之前向本招标代理公司缴纳投标人须知前附表要求的投标保证金。</w:t>
      </w:r>
    </w:p>
    <w:p>
      <w:pPr>
        <w:snapToGrid w:val="0"/>
        <w:spacing w:line="500" w:lineRule="exact"/>
        <w:ind w:firstLine="600" w:firstLineChars="250"/>
        <w:rPr>
          <w:rFonts w:eastAsia="仿宋"/>
          <w:bCs/>
        </w:rPr>
      </w:pPr>
      <w:r>
        <w:rPr>
          <w:rFonts w:eastAsia="仿宋"/>
          <w:bCs/>
        </w:rPr>
        <w:t>9.4 投标保证金用于保护本次招标活动免受投标人的行为而引起的风险。</w:t>
      </w:r>
    </w:p>
    <w:p>
      <w:pPr>
        <w:snapToGrid w:val="0"/>
        <w:spacing w:line="500" w:lineRule="exact"/>
        <w:ind w:firstLine="600" w:firstLineChars="250"/>
        <w:rPr>
          <w:rFonts w:eastAsia="仿宋"/>
          <w:bCs/>
        </w:rPr>
      </w:pPr>
      <w:r>
        <w:rPr>
          <w:rFonts w:eastAsia="仿宋"/>
          <w:bCs/>
        </w:rPr>
        <w:t>9.5 未按规定缴交投标保证金的投标，将被视为无效投标。</w:t>
      </w:r>
    </w:p>
    <w:p>
      <w:pPr>
        <w:snapToGrid w:val="0"/>
        <w:spacing w:line="500" w:lineRule="exact"/>
        <w:ind w:firstLine="600" w:firstLineChars="250"/>
        <w:rPr>
          <w:rFonts w:eastAsia="仿宋"/>
          <w:bCs/>
        </w:rPr>
      </w:pPr>
      <w:r>
        <w:rPr>
          <w:rFonts w:eastAsia="仿宋"/>
          <w:bCs/>
        </w:rPr>
        <w:t>9.6未中标的投标人的投标保证金，将按招标文件规定在中标通知书发出后5个工作日内，携带相关资料到新疆西北招标有限公司予以办理原额无息退还手续。</w:t>
      </w:r>
    </w:p>
    <w:p>
      <w:pPr>
        <w:snapToGrid w:val="0"/>
        <w:spacing w:line="500" w:lineRule="exact"/>
        <w:ind w:firstLine="600" w:firstLineChars="250"/>
        <w:rPr>
          <w:rFonts w:eastAsia="仿宋"/>
          <w:bCs/>
        </w:rPr>
      </w:pPr>
      <w:r>
        <w:rPr>
          <w:rFonts w:eastAsia="仿宋"/>
          <w:bCs/>
        </w:rPr>
        <w:t xml:space="preserve">9.7在中标人支付所有招标服务费并签订合同后，中标人的投标保证金在5个工作日内予以全额、无息退还。 </w:t>
      </w:r>
    </w:p>
    <w:p>
      <w:pPr>
        <w:snapToGrid w:val="0"/>
        <w:spacing w:line="500" w:lineRule="exact"/>
        <w:ind w:firstLine="600" w:firstLineChars="250"/>
        <w:rPr>
          <w:rFonts w:eastAsia="仿宋"/>
          <w:bCs/>
        </w:rPr>
      </w:pPr>
      <w:r>
        <w:rPr>
          <w:rFonts w:eastAsia="仿宋"/>
          <w:bCs/>
        </w:rPr>
        <w:t>9.8投标保证金的有效期为投标有效期满后的90个日历日。</w:t>
      </w:r>
    </w:p>
    <w:p>
      <w:pPr>
        <w:snapToGrid w:val="0"/>
        <w:spacing w:line="500" w:lineRule="exact"/>
        <w:ind w:firstLine="600" w:firstLineChars="250"/>
        <w:rPr>
          <w:rFonts w:eastAsia="仿宋"/>
          <w:bCs/>
        </w:rPr>
      </w:pPr>
      <w:r>
        <w:rPr>
          <w:rFonts w:eastAsia="仿宋"/>
          <w:bCs/>
        </w:rPr>
        <w:t>9.9发生以下情况之一的，投标保证金将不予退还：</w:t>
      </w:r>
    </w:p>
    <w:p>
      <w:pPr>
        <w:snapToGrid w:val="0"/>
        <w:spacing w:line="500" w:lineRule="exact"/>
        <w:ind w:firstLine="600" w:firstLineChars="250"/>
        <w:rPr>
          <w:rFonts w:eastAsia="仿宋"/>
          <w:bCs/>
        </w:rPr>
      </w:pPr>
      <w:r>
        <w:rPr>
          <w:rFonts w:eastAsia="仿宋"/>
          <w:bCs/>
        </w:rPr>
        <w:t>⑴ 投标人在投标截止期后，投标有效期内撤回投标；</w:t>
      </w:r>
    </w:p>
    <w:p>
      <w:pPr>
        <w:snapToGrid w:val="0"/>
        <w:spacing w:line="500" w:lineRule="exact"/>
        <w:ind w:firstLine="600" w:firstLineChars="250"/>
        <w:rPr>
          <w:rFonts w:eastAsia="仿宋"/>
          <w:bCs/>
        </w:rPr>
      </w:pPr>
      <w:r>
        <w:rPr>
          <w:rFonts w:eastAsia="仿宋"/>
          <w:bCs/>
        </w:rPr>
        <w:t>⑵ 中标人未按招标文件要求规定缴纳招标服务费；</w:t>
      </w:r>
    </w:p>
    <w:p>
      <w:pPr>
        <w:snapToGrid w:val="0"/>
        <w:spacing w:line="500" w:lineRule="exact"/>
        <w:ind w:firstLine="600" w:firstLineChars="250"/>
        <w:rPr>
          <w:rFonts w:eastAsia="仿宋"/>
          <w:bCs/>
        </w:rPr>
      </w:pPr>
      <w:r>
        <w:rPr>
          <w:rFonts w:eastAsia="仿宋"/>
          <w:bCs/>
        </w:rPr>
        <w:t>⑶ 以他人名义投标或者以其他方式弄虚作假，骗取中标；</w:t>
      </w:r>
    </w:p>
    <w:p>
      <w:pPr>
        <w:snapToGrid w:val="0"/>
        <w:spacing w:line="500" w:lineRule="exact"/>
        <w:ind w:firstLine="600" w:firstLineChars="250"/>
        <w:rPr>
          <w:rFonts w:eastAsia="仿宋"/>
          <w:bCs/>
        </w:rPr>
      </w:pPr>
      <w:r>
        <w:rPr>
          <w:rFonts w:eastAsia="仿宋"/>
          <w:bCs/>
        </w:rPr>
        <w:t>⑷ 本招标文件中规定的其他没收投标保证金的情形。</w:t>
      </w:r>
    </w:p>
    <w:p>
      <w:pPr>
        <w:snapToGrid w:val="0"/>
        <w:spacing w:line="500" w:lineRule="exact"/>
        <w:ind w:firstLine="600" w:firstLineChars="250"/>
        <w:rPr>
          <w:rFonts w:eastAsia="仿宋"/>
          <w:bCs/>
        </w:rPr>
      </w:pPr>
      <w:r>
        <w:rPr>
          <w:rFonts w:eastAsia="仿宋"/>
          <w:bCs/>
        </w:rPr>
        <w:t>上述不予退还投标保证金的情况给招标单位造成损失的，还要承担赔偿责任。</w:t>
      </w:r>
    </w:p>
    <w:p>
      <w:pPr>
        <w:snapToGrid w:val="0"/>
        <w:spacing w:line="500" w:lineRule="exact"/>
        <w:ind w:firstLine="597" w:firstLineChars="249"/>
        <w:rPr>
          <w:rFonts w:eastAsia="仿宋"/>
          <w:bCs/>
        </w:rPr>
      </w:pPr>
      <w:r>
        <w:rPr>
          <w:rFonts w:eastAsia="仿宋"/>
          <w:bCs/>
        </w:rPr>
        <w:t>10.投标文件语言</w:t>
      </w:r>
    </w:p>
    <w:p>
      <w:pPr>
        <w:snapToGrid w:val="0"/>
        <w:spacing w:line="500" w:lineRule="exact"/>
        <w:rPr>
          <w:rFonts w:eastAsia="仿宋"/>
          <w:bCs/>
        </w:rPr>
      </w:pPr>
      <w:r>
        <w:rPr>
          <w:rFonts w:eastAsia="仿宋"/>
          <w:bCs/>
        </w:rPr>
        <w:t xml:space="preserve">     10.1投标文件应用中文书写。各种计量单位及符号应采用国际上统一使用的公制计量单位和符号。</w:t>
      </w: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46" w:name="_Toc1076"/>
      <w:bookmarkStart w:id="47" w:name="_Toc99785526"/>
      <w:bookmarkStart w:id="48" w:name="_Toc23527894"/>
      <w:r>
        <w:rPr>
          <w:rFonts w:ascii="Times New Roman" w:hAnsi="Times New Roman" w:eastAsia="仿宋"/>
          <w:b w:val="0"/>
          <w:bCs w:val="0"/>
          <w:sz w:val="36"/>
        </w:rPr>
        <w:t>第三章 投标文件的递交</w:t>
      </w:r>
      <w:bookmarkEnd w:id="46"/>
      <w:bookmarkEnd w:id="47"/>
      <w:bookmarkEnd w:id="48"/>
    </w:p>
    <w:p>
      <w:pPr>
        <w:snapToGrid w:val="0"/>
        <w:spacing w:line="500" w:lineRule="exact"/>
        <w:ind w:firstLine="480" w:firstLineChars="200"/>
        <w:rPr>
          <w:rFonts w:eastAsia="仿宋"/>
          <w:bCs/>
        </w:rPr>
      </w:pPr>
      <w:r>
        <w:rPr>
          <w:rFonts w:eastAsia="仿宋"/>
          <w:bCs/>
        </w:rPr>
        <w:t>11．投标文件的密封与标记</w:t>
      </w:r>
    </w:p>
    <w:p>
      <w:pPr>
        <w:tabs>
          <w:tab w:val="left" w:pos="1080"/>
          <w:tab w:val="left" w:pos="1290"/>
        </w:tabs>
        <w:snapToGrid w:val="0"/>
        <w:spacing w:line="500" w:lineRule="exact"/>
        <w:ind w:firstLine="480" w:firstLineChars="200"/>
        <w:rPr>
          <w:rFonts w:eastAsia="仿宋"/>
          <w:bCs/>
        </w:rPr>
      </w:pPr>
      <w:r>
        <w:rPr>
          <w:rFonts w:eastAsia="仿宋"/>
          <w:bCs/>
        </w:rPr>
        <w:t>11.1投标人应将开标一览表、投标文件的正本，投标文件副本和电子版文件分别密封装在单独的信封里，并在信封上按以下格式注明有关内容:</w:t>
      </w:r>
    </w:p>
    <w:tbl>
      <w:tblPr>
        <w:tblStyle w:val="67"/>
        <w:tblpPr w:leftFromText="180" w:rightFromText="180" w:vertAnchor="text" w:tblpY="1"/>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816"/>
        <w:gridCol w:w="100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37" w:type="dxa"/>
          </w:tcPr>
          <w:p>
            <w:pPr>
              <w:tabs>
                <w:tab w:val="left" w:pos="1080"/>
                <w:tab w:val="left" w:pos="1290"/>
              </w:tabs>
              <w:spacing w:line="500" w:lineRule="exact"/>
              <w:rPr>
                <w:rFonts w:eastAsia="仿宋"/>
                <w:bCs/>
              </w:rPr>
            </w:pPr>
            <w:r>
              <w:rPr>
                <w:rFonts w:eastAsia="仿宋"/>
                <w:bCs/>
              </w:rPr>
              <w:t>项目名称（包号）：</w:t>
            </w:r>
          </w:p>
        </w:tc>
        <w:tc>
          <w:tcPr>
            <w:tcW w:w="5963" w:type="dxa"/>
            <w:gridSpan w:val="3"/>
          </w:tcPr>
          <w:p>
            <w:pPr>
              <w:tabs>
                <w:tab w:val="left" w:pos="1080"/>
                <w:tab w:val="left" w:pos="1290"/>
              </w:tabs>
              <w:spacing w:line="500" w:lineRule="exact"/>
              <w:ind w:firstLine="600"/>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37" w:type="dxa"/>
          </w:tcPr>
          <w:p>
            <w:pPr>
              <w:tabs>
                <w:tab w:val="left" w:pos="1080"/>
                <w:tab w:val="left" w:pos="1290"/>
              </w:tabs>
              <w:spacing w:line="500" w:lineRule="exact"/>
              <w:rPr>
                <w:rFonts w:eastAsia="仿宋"/>
                <w:bCs/>
              </w:rPr>
            </w:pPr>
            <w:r>
              <w:rPr>
                <w:rFonts w:eastAsia="仿宋"/>
                <w:bCs/>
              </w:rPr>
              <w:t>项目编号:</w:t>
            </w:r>
          </w:p>
        </w:tc>
        <w:tc>
          <w:tcPr>
            <w:tcW w:w="5963" w:type="dxa"/>
            <w:gridSpan w:val="3"/>
          </w:tcPr>
          <w:p>
            <w:pPr>
              <w:tabs>
                <w:tab w:val="left" w:pos="1080"/>
                <w:tab w:val="left" w:pos="1290"/>
              </w:tabs>
              <w:spacing w:line="500" w:lineRule="exact"/>
              <w:ind w:firstLine="600"/>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137" w:type="dxa"/>
          </w:tcPr>
          <w:p>
            <w:pPr>
              <w:tabs>
                <w:tab w:val="left" w:pos="1080"/>
                <w:tab w:val="left" w:pos="1290"/>
              </w:tabs>
              <w:spacing w:line="500" w:lineRule="exact"/>
              <w:rPr>
                <w:rFonts w:eastAsia="仿宋"/>
                <w:bCs/>
              </w:rPr>
            </w:pPr>
            <w:r>
              <w:rPr>
                <w:rFonts w:eastAsia="仿宋"/>
                <w:bCs/>
              </w:rPr>
              <w:t>文件名称</w:t>
            </w:r>
          </w:p>
        </w:tc>
        <w:tc>
          <w:tcPr>
            <w:tcW w:w="5963" w:type="dxa"/>
            <w:gridSpan w:val="3"/>
          </w:tcPr>
          <w:p>
            <w:pPr>
              <w:tabs>
                <w:tab w:val="left" w:pos="1080"/>
                <w:tab w:val="left" w:pos="1290"/>
              </w:tabs>
              <w:spacing w:line="500" w:lineRule="exact"/>
              <w:rPr>
                <w:rFonts w:eastAsia="仿宋"/>
                <w:bCs/>
              </w:rPr>
            </w:pPr>
            <w:r>
              <w:rPr>
                <w:rFonts w:eastAsia="仿宋"/>
                <w:bCs/>
              </w:rPr>
              <w:t>填写“商务、技术文件”或“电子版文件”或“投标一览表”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137" w:type="dxa"/>
          </w:tcPr>
          <w:p>
            <w:pPr>
              <w:tabs>
                <w:tab w:val="left" w:pos="1080"/>
                <w:tab w:val="left" w:pos="1290"/>
              </w:tabs>
              <w:spacing w:line="500" w:lineRule="exact"/>
              <w:rPr>
                <w:rFonts w:eastAsia="仿宋"/>
                <w:bCs/>
              </w:rPr>
            </w:pPr>
            <w:r>
              <w:rPr>
                <w:rFonts w:eastAsia="仿宋"/>
                <w:bCs/>
              </w:rPr>
              <w:t>投标人的名称（全称）（签章）</w:t>
            </w:r>
          </w:p>
        </w:tc>
        <w:tc>
          <w:tcPr>
            <w:tcW w:w="5963" w:type="dxa"/>
            <w:gridSpan w:val="3"/>
          </w:tcPr>
          <w:p>
            <w:pPr>
              <w:tabs>
                <w:tab w:val="left" w:pos="1080"/>
                <w:tab w:val="left" w:pos="1290"/>
              </w:tabs>
              <w:spacing w:line="500" w:lineRule="exact"/>
              <w:ind w:firstLine="600"/>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137" w:type="dxa"/>
          </w:tcPr>
          <w:p>
            <w:pPr>
              <w:tabs>
                <w:tab w:val="left" w:pos="1080"/>
                <w:tab w:val="left" w:pos="1290"/>
              </w:tabs>
              <w:spacing w:line="500" w:lineRule="exact"/>
              <w:rPr>
                <w:rFonts w:eastAsia="仿宋"/>
                <w:bCs/>
              </w:rPr>
            </w:pPr>
            <w:r>
              <w:rPr>
                <w:rFonts w:eastAsia="仿宋"/>
                <w:bCs/>
              </w:rPr>
              <w:t>单位地址：</w:t>
            </w:r>
          </w:p>
        </w:tc>
        <w:tc>
          <w:tcPr>
            <w:tcW w:w="5963" w:type="dxa"/>
            <w:gridSpan w:val="3"/>
          </w:tcPr>
          <w:p>
            <w:pPr>
              <w:tabs>
                <w:tab w:val="left" w:pos="1080"/>
                <w:tab w:val="left" w:pos="1290"/>
              </w:tabs>
              <w:spacing w:line="500" w:lineRule="exact"/>
              <w:ind w:firstLine="600"/>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137" w:type="dxa"/>
          </w:tcPr>
          <w:p>
            <w:pPr>
              <w:tabs>
                <w:tab w:val="left" w:pos="1080"/>
                <w:tab w:val="left" w:pos="1290"/>
              </w:tabs>
              <w:spacing w:line="500" w:lineRule="exact"/>
              <w:rPr>
                <w:rFonts w:eastAsia="仿宋"/>
                <w:bCs/>
              </w:rPr>
            </w:pPr>
            <w:r>
              <w:rPr>
                <w:rFonts w:eastAsia="仿宋"/>
                <w:bCs/>
              </w:rPr>
              <w:t>本项目负责人姓名：</w:t>
            </w:r>
          </w:p>
        </w:tc>
        <w:tc>
          <w:tcPr>
            <w:tcW w:w="2816" w:type="dxa"/>
          </w:tcPr>
          <w:p>
            <w:pPr>
              <w:tabs>
                <w:tab w:val="left" w:pos="1080"/>
                <w:tab w:val="left" w:pos="1290"/>
              </w:tabs>
              <w:spacing w:line="500" w:lineRule="exact"/>
              <w:ind w:firstLine="600"/>
              <w:rPr>
                <w:rFonts w:eastAsia="仿宋"/>
                <w:bCs/>
              </w:rPr>
            </w:pPr>
          </w:p>
        </w:tc>
        <w:tc>
          <w:tcPr>
            <w:tcW w:w="1002" w:type="dxa"/>
          </w:tcPr>
          <w:p>
            <w:pPr>
              <w:tabs>
                <w:tab w:val="left" w:pos="1080"/>
                <w:tab w:val="left" w:pos="1290"/>
              </w:tabs>
              <w:spacing w:line="500" w:lineRule="exact"/>
              <w:jc w:val="center"/>
              <w:rPr>
                <w:rFonts w:eastAsia="仿宋"/>
                <w:bCs/>
              </w:rPr>
            </w:pPr>
            <w:r>
              <w:rPr>
                <w:rFonts w:eastAsia="仿宋"/>
                <w:bCs/>
              </w:rPr>
              <w:t>职务</w:t>
            </w:r>
          </w:p>
        </w:tc>
        <w:tc>
          <w:tcPr>
            <w:tcW w:w="2145" w:type="dxa"/>
          </w:tcPr>
          <w:p>
            <w:pPr>
              <w:tabs>
                <w:tab w:val="left" w:pos="1080"/>
                <w:tab w:val="left" w:pos="1290"/>
              </w:tabs>
              <w:spacing w:line="500" w:lineRule="exact"/>
              <w:ind w:firstLine="600"/>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4137" w:type="dxa"/>
          </w:tcPr>
          <w:p>
            <w:pPr>
              <w:tabs>
                <w:tab w:val="left" w:pos="1080"/>
                <w:tab w:val="left" w:pos="1290"/>
              </w:tabs>
              <w:spacing w:line="500" w:lineRule="exact"/>
              <w:rPr>
                <w:rFonts w:eastAsia="仿宋"/>
                <w:bCs/>
              </w:rPr>
            </w:pPr>
            <w:r>
              <w:rPr>
                <w:rFonts w:eastAsia="仿宋"/>
                <w:bCs/>
              </w:rPr>
              <w:t>联系方式：</w:t>
            </w:r>
          </w:p>
        </w:tc>
        <w:tc>
          <w:tcPr>
            <w:tcW w:w="5963" w:type="dxa"/>
            <w:gridSpan w:val="3"/>
          </w:tcPr>
          <w:p>
            <w:pPr>
              <w:tabs>
                <w:tab w:val="left" w:pos="1080"/>
                <w:tab w:val="left" w:pos="1290"/>
              </w:tabs>
              <w:spacing w:line="500" w:lineRule="exact"/>
              <w:ind w:firstLine="600"/>
              <w:rPr>
                <w:rFonts w:eastAsia="仿宋"/>
                <w:bCs/>
              </w:rPr>
            </w:pPr>
          </w:p>
        </w:tc>
      </w:tr>
    </w:tbl>
    <w:p>
      <w:pPr>
        <w:snapToGrid w:val="0"/>
        <w:spacing w:line="500" w:lineRule="exact"/>
        <w:ind w:firstLine="484" w:firstLineChars="202"/>
        <w:jc w:val="left"/>
        <w:rPr>
          <w:rFonts w:eastAsia="仿宋"/>
          <w:bCs/>
          <w:color w:val="000000"/>
        </w:rPr>
      </w:pPr>
    </w:p>
    <w:p>
      <w:pPr>
        <w:snapToGrid w:val="0"/>
        <w:spacing w:line="500" w:lineRule="exact"/>
        <w:ind w:firstLine="484" w:firstLineChars="202"/>
        <w:jc w:val="left"/>
        <w:rPr>
          <w:rFonts w:eastAsia="仿宋"/>
          <w:bCs/>
          <w:color w:val="000000"/>
        </w:rPr>
      </w:pPr>
      <w:r>
        <w:rPr>
          <w:rFonts w:eastAsia="仿宋"/>
          <w:bCs/>
          <w:color w:val="000000"/>
        </w:rPr>
        <w:t>11.2为方便开标和唱标，投标人须将：</w:t>
      </w:r>
    </w:p>
    <w:p>
      <w:pPr>
        <w:spacing w:line="500" w:lineRule="exact"/>
        <w:ind w:firstLine="480" w:firstLineChars="200"/>
        <w:jc w:val="left"/>
        <w:rPr>
          <w:rFonts w:eastAsia="仿宋"/>
          <w:bCs/>
        </w:rPr>
      </w:pPr>
      <w:r>
        <w:rPr>
          <w:rFonts w:eastAsia="仿宋"/>
          <w:bCs/>
        </w:rPr>
        <w:t>①企业法人营业执照（</w:t>
      </w:r>
      <w:r>
        <w:rPr>
          <w:rFonts w:hint="eastAsia" w:eastAsia="仿宋"/>
          <w:bCs/>
        </w:rPr>
        <w:t>原件</w:t>
      </w:r>
      <w:r>
        <w:rPr>
          <w:rFonts w:eastAsia="仿宋"/>
          <w:bCs/>
        </w:rPr>
        <w:t xml:space="preserve">）； </w:t>
      </w:r>
    </w:p>
    <w:p>
      <w:pPr>
        <w:spacing w:line="500" w:lineRule="exact"/>
        <w:ind w:firstLine="480" w:firstLineChars="200"/>
        <w:jc w:val="left"/>
        <w:rPr>
          <w:rFonts w:eastAsia="仿宋"/>
          <w:bCs/>
        </w:rPr>
      </w:pPr>
      <w:r>
        <w:rPr>
          <w:rFonts w:eastAsia="仿宋"/>
          <w:bCs/>
        </w:rPr>
        <w:t>②法人授权委托书（原件），投标代表身份证（</w:t>
      </w:r>
      <w:r>
        <w:rPr>
          <w:rFonts w:hint="eastAsia" w:eastAsia="仿宋"/>
          <w:bCs/>
        </w:rPr>
        <w:t>原件及</w:t>
      </w:r>
      <w:r>
        <w:rPr>
          <w:rFonts w:eastAsia="仿宋"/>
          <w:bCs/>
        </w:rPr>
        <w:t xml:space="preserve">复印件加盖公章）； </w:t>
      </w:r>
    </w:p>
    <w:p>
      <w:pPr>
        <w:spacing w:line="500" w:lineRule="exact"/>
        <w:ind w:firstLine="480" w:firstLineChars="200"/>
        <w:jc w:val="left"/>
        <w:rPr>
          <w:rFonts w:eastAsia="仿宋"/>
          <w:bCs/>
        </w:rPr>
      </w:pPr>
      <w:r>
        <w:rPr>
          <w:rFonts w:eastAsia="仿宋"/>
          <w:bCs/>
        </w:rPr>
        <w:t>③近三年内未被“信用中国”网站列入失信被执行人和重大税收违法案件当事人名单的、被“中国政府采购网”网站列入政府采购严重违法失信行为记录名单（处罚期限尚未届满的）的证明文件（网页截图加盖公章）；</w:t>
      </w:r>
    </w:p>
    <w:p>
      <w:pPr>
        <w:spacing w:line="500" w:lineRule="exact"/>
        <w:ind w:firstLine="480" w:firstLineChars="200"/>
        <w:jc w:val="left"/>
        <w:rPr>
          <w:rFonts w:eastAsia="仿宋"/>
          <w:bCs/>
        </w:rPr>
      </w:pPr>
      <w:r>
        <w:rPr>
          <w:rFonts w:eastAsia="仿宋"/>
          <w:bCs/>
        </w:rPr>
        <w:t>④反商业贿赂承诺书（原件）。</w:t>
      </w:r>
    </w:p>
    <w:p>
      <w:pPr>
        <w:spacing w:line="500" w:lineRule="exact"/>
        <w:ind w:firstLine="480" w:firstLineChars="200"/>
        <w:jc w:val="left"/>
        <w:rPr>
          <w:rFonts w:eastAsia="仿宋"/>
          <w:bCs/>
        </w:rPr>
      </w:pPr>
      <w:r>
        <w:rPr>
          <w:rFonts w:eastAsia="仿宋"/>
          <w:bCs/>
        </w:rPr>
        <w:t>⑤投标保证金凭证（复印件加盖公章）。</w:t>
      </w:r>
    </w:p>
    <w:p>
      <w:pPr>
        <w:numPr>
          <w:ilvl w:val="0"/>
          <w:numId w:val="2"/>
        </w:numPr>
        <w:spacing w:line="500" w:lineRule="exact"/>
        <w:jc w:val="left"/>
        <w:rPr>
          <w:rFonts w:eastAsia="仿宋"/>
          <w:b/>
        </w:rPr>
      </w:pPr>
      <w:r>
        <w:rPr>
          <w:rFonts w:eastAsia="仿宋"/>
          <w:b/>
        </w:rPr>
        <w:t>⑤项应</w:t>
      </w:r>
      <w:r>
        <w:rPr>
          <w:rFonts w:hint="eastAsia" w:eastAsia="仿宋"/>
          <w:b/>
        </w:rPr>
        <w:t>随身携带供监督人审查</w:t>
      </w:r>
    </w:p>
    <w:p>
      <w:pPr>
        <w:spacing w:line="500" w:lineRule="exact"/>
        <w:jc w:val="left"/>
        <w:rPr>
          <w:rFonts w:eastAsia="仿宋"/>
          <w:bCs/>
          <w:color w:val="000000"/>
        </w:rPr>
      </w:pPr>
      <w:r>
        <w:rPr>
          <w:rFonts w:hint="eastAsia" w:eastAsia="仿宋"/>
          <w:bCs/>
        </w:rPr>
        <w:t>即</w:t>
      </w:r>
      <w:r>
        <w:rPr>
          <w:rFonts w:eastAsia="仿宋"/>
          <w:bCs/>
        </w:rPr>
        <w:t>投标时须递交</w:t>
      </w:r>
      <w:r>
        <w:rPr>
          <w:rFonts w:hint="eastAsia" w:eastAsia="仿宋"/>
          <w:bCs/>
        </w:rPr>
        <w:t>四</w:t>
      </w:r>
      <w:r>
        <w:rPr>
          <w:rFonts w:eastAsia="仿宋"/>
          <w:bCs/>
        </w:rPr>
        <w:t>个密封袋。一是开标一览表，二是电子版U盘，三是投标文件（正本），四是投标文件（副本）。未密封或单独提交的资料不予接收。</w:t>
      </w:r>
    </w:p>
    <w:p>
      <w:pPr>
        <w:snapToGrid w:val="0"/>
        <w:spacing w:line="500" w:lineRule="exact"/>
        <w:ind w:firstLine="480" w:firstLineChars="200"/>
        <w:rPr>
          <w:rFonts w:eastAsia="仿宋"/>
          <w:bCs/>
        </w:rPr>
      </w:pPr>
      <w:r>
        <w:rPr>
          <w:rFonts w:eastAsia="仿宋"/>
          <w:bCs/>
        </w:rPr>
        <w:t>11.3任何不完整或不满足招标文件要求的投标文件将被拒绝。</w:t>
      </w:r>
    </w:p>
    <w:p>
      <w:pPr>
        <w:tabs>
          <w:tab w:val="left" w:pos="1080"/>
          <w:tab w:val="left" w:pos="1290"/>
        </w:tabs>
        <w:snapToGrid w:val="0"/>
        <w:spacing w:line="500" w:lineRule="exact"/>
        <w:ind w:firstLine="480" w:firstLineChars="200"/>
        <w:rPr>
          <w:rFonts w:eastAsia="仿宋"/>
          <w:bCs/>
        </w:rPr>
      </w:pPr>
      <w:r>
        <w:rPr>
          <w:rFonts w:eastAsia="仿宋"/>
          <w:bCs/>
        </w:rPr>
        <w:t>11.4由于不可抗拒原因或无法控制的事件而导致的丢失或损坏投标包装体内的投标文件时，招标人将不负任何责任。如果投标文件不完整，或有附加条件的，有保留的，有涂改的，有变更的，将不予接受。</w:t>
      </w:r>
    </w:p>
    <w:p>
      <w:pPr>
        <w:snapToGrid w:val="0"/>
        <w:spacing w:line="500" w:lineRule="exact"/>
        <w:ind w:firstLine="480" w:firstLineChars="200"/>
        <w:rPr>
          <w:rFonts w:eastAsia="仿宋"/>
          <w:bCs/>
        </w:rPr>
      </w:pPr>
      <w:r>
        <w:rPr>
          <w:rFonts w:eastAsia="仿宋"/>
          <w:bCs/>
        </w:rPr>
        <w:t>12.投标截止时间</w:t>
      </w:r>
    </w:p>
    <w:p>
      <w:pPr>
        <w:snapToGrid w:val="0"/>
        <w:spacing w:line="500" w:lineRule="exact"/>
        <w:ind w:left="240" w:leftChars="100" w:firstLine="304" w:firstLineChars="127"/>
        <w:rPr>
          <w:rFonts w:eastAsia="仿宋"/>
          <w:bCs/>
        </w:rPr>
      </w:pPr>
      <w:r>
        <w:rPr>
          <w:rFonts w:eastAsia="仿宋"/>
          <w:bCs/>
        </w:rPr>
        <w:t>12.1投标文件的递交不得迟于规定的投标截止时间。投标文件请以密封形式递交至：乌新疆西北招标有限公司（乌鲁木齐市沙依巴克区伊宁路318号江西大厦9楼）。在此之后送达的投标文件，为无效投标，投标文件将一律被拒绝。</w:t>
      </w:r>
    </w:p>
    <w:p>
      <w:pPr>
        <w:snapToGrid w:val="0"/>
        <w:spacing w:line="500" w:lineRule="exact"/>
        <w:ind w:firstLine="480" w:firstLineChars="200"/>
        <w:rPr>
          <w:rFonts w:eastAsia="仿宋"/>
          <w:bCs/>
        </w:rPr>
      </w:pPr>
      <w:r>
        <w:rPr>
          <w:rFonts w:eastAsia="仿宋"/>
          <w:bCs/>
        </w:rPr>
        <w:t>12.2出现因招标文件的修改而推迟投标截止时间的情况时，投标人则须按招标人的书面修改通知重新规定的投标截止时间之前递交。</w:t>
      </w: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49" w:name="_Toc99785527"/>
      <w:bookmarkStart w:id="50" w:name="_Toc23527895"/>
      <w:bookmarkStart w:id="51" w:name="_Toc16076"/>
      <w:r>
        <w:rPr>
          <w:rFonts w:ascii="Times New Roman" w:hAnsi="Times New Roman" w:eastAsia="仿宋"/>
          <w:b w:val="0"/>
          <w:bCs w:val="0"/>
          <w:sz w:val="36"/>
        </w:rPr>
        <w:t>第四章 评标委员会</w:t>
      </w:r>
      <w:bookmarkEnd w:id="49"/>
      <w:bookmarkEnd w:id="50"/>
      <w:bookmarkEnd w:id="51"/>
    </w:p>
    <w:p>
      <w:pPr>
        <w:snapToGrid w:val="0"/>
        <w:spacing w:line="500" w:lineRule="exact"/>
        <w:ind w:firstLine="480" w:firstLineChars="200"/>
        <w:rPr>
          <w:rFonts w:eastAsia="仿宋"/>
          <w:bCs/>
        </w:rPr>
      </w:pPr>
      <w:r>
        <w:rPr>
          <w:rFonts w:eastAsia="仿宋"/>
          <w:bCs/>
        </w:rPr>
        <w:t>13.评标小组</w:t>
      </w:r>
    </w:p>
    <w:p>
      <w:pPr>
        <w:autoSpaceDE w:val="0"/>
        <w:autoSpaceDN w:val="0"/>
        <w:adjustRightInd w:val="0"/>
        <w:snapToGrid w:val="0"/>
        <w:spacing w:line="500" w:lineRule="exact"/>
        <w:ind w:firstLine="530" w:firstLineChars="221"/>
        <w:rPr>
          <w:rFonts w:eastAsia="仿宋"/>
          <w:bCs/>
        </w:rPr>
      </w:pPr>
      <w:r>
        <w:rPr>
          <w:rFonts w:eastAsia="仿宋"/>
          <w:bCs/>
        </w:rPr>
        <w:t>13.1招标人将根据《中华人民共和国政府采购法》、《中华人民共和国政府采购法实施条例》的规定，依法组建本次招标的评标小组，负责本次招标的招标评定活动。</w:t>
      </w:r>
    </w:p>
    <w:p>
      <w:pPr>
        <w:snapToGrid w:val="0"/>
        <w:spacing w:line="500" w:lineRule="exact"/>
        <w:ind w:firstLine="600" w:firstLineChars="250"/>
        <w:rPr>
          <w:rFonts w:eastAsia="仿宋"/>
          <w:bCs/>
        </w:rPr>
      </w:pPr>
      <w:r>
        <w:rPr>
          <w:rFonts w:eastAsia="仿宋"/>
          <w:bCs/>
        </w:rPr>
        <w:t>13.2评标小组人选于开标前确定。评标小组成员名单在成交结果确定前保密。</w:t>
      </w:r>
    </w:p>
    <w:p>
      <w:pPr>
        <w:snapToGrid w:val="0"/>
        <w:spacing w:line="500" w:lineRule="exact"/>
        <w:ind w:firstLine="600" w:firstLineChars="250"/>
        <w:rPr>
          <w:rFonts w:eastAsia="仿宋"/>
          <w:bCs/>
        </w:rPr>
      </w:pPr>
      <w:r>
        <w:rPr>
          <w:rFonts w:eastAsia="仿宋"/>
          <w:bCs/>
        </w:rPr>
        <w:t>13.3评标小组有关技术、经济等方面的专家组成，成员为五人以上的单数，其中技术、经济等方面的成员人数不少于成员总数的三分之二。</w:t>
      </w:r>
    </w:p>
    <w:p>
      <w:pPr>
        <w:tabs>
          <w:tab w:val="left" w:pos="1080"/>
          <w:tab w:val="left" w:pos="1290"/>
        </w:tabs>
        <w:snapToGrid w:val="0"/>
        <w:spacing w:line="500" w:lineRule="exact"/>
        <w:ind w:firstLine="633" w:firstLineChars="264"/>
        <w:rPr>
          <w:rFonts w:eastAsia="仿宋"/>
          <w:bCs/>
        </w:rPr>
      </w:pPr>
      <w:r>
        <w:rPr>
          <w:rFonts w:eastAsia="仿宋"/>
          <w:bCs/>
        </w:rPr>
        <w:t>13.4按前款规定，评标小组的成员</w:t>
      </w:r>
      <w:r>
        <w:rPr>
          <w:rFonts w:hint="eastAsia" w:eastAsia="仿宋"/>
          <w:bCs/>
        </w:rPr>
        <w:t>5</w:t>
      </w:r>
      <w:r>
        <w:rPr>
          <w:rFonts w:eastAsia="仿宋"/>
          <w:bCs/>
        </w:rPr>
        <w:t>人（其中招标人</w:t>
      </w:r>
      <w:r>
        <w:rPr>
          <w:rFonts w:hint="eastAsia" w:eastAsia="仿宋"/>
          <w:bCs/>
        </w:rPr>
        <w:t>1</w:t>
      </w:r>
      <w:r>
        <w:rPr>
          <w:rFonts w:eastAsia="仿宋"/>
          <w:bCs/>
        </w:rPr>
        <w:t>人）。任何单位和个人不得干预、影响评标的过程和结果。</w:t>
      </w:r>
    </w:p>
    <w:p>
      <w:pPr>
        <w:snapToGrid w:val="0"/>
        <w:spacing w:line="500" w:lineRule="exact"/>
        <w:ind w:firstLine="600" w:firstLineChars="250"/>
        <w:rPr>
          <w:rFonts w:eastAsia="仿宋"/>
          <w:bCs/>
        </w:rPr>
      </w:pPr>
      <w:r>
        <w:rPr>
          <w:rFonts w:eastAsia="仿宋"/>
          <w:bCs/>
        </w:rPr>
        <w:t>13.5评标小组成员遵循法定的回避规定。</w:t>
      </w:r>
    </w:p>
    <w:p>
      <w:pPr>
        <w:snapToGrid w:val="0"/>
        <w:spacing w:line="500" w:lineRule="exact"/>
        <w:ind w:firstLine="600" w:firstLineChars="250"/>
        <w:rPr>
          <w:rFonts w:eastAsia="仿宋"/>
          <w:bCs/>
        </w:rPr>
      </w:pPr>
      <w:r>
        <w:rPr>
          <w:rFonts w:eastAsia="仿宋"/>
          <w:bCs/>
        </w:rPr>
        <w:t>13.6评标小组在采购活动过程中应当履行下列职责：</w:t>
      </w:r>
    </w:p>
    <w:p>
      <w:pPr>
        <w:snapToGrid w:val="0"/>
        <w:spacing w:line="500" w:lineRule="exact"/>
        <w:ind w:firstLine="480" w:firstLineChars="200"/>
        <w:rPr>
          <w:rFonts w:eastAsia="仿宋"/>
          <w:bCs/>
        </w:rPr>
      </w:pPr>
      <w:r>
        <w:rPr>
          <w:rFonts w:eastAsia="仿宋"/>
          <w:bCs/>
        </w:rPr>
        <w:t>（一）审查投标人的投标文件并做出评价；</w:t>
      </w:r>
    </w:p>
    <w:p>
      <w:pPr>
        <w:snapToGrid w:val="0"/>
        <w:spacing w:line="500" w:lineRule="exact"/>
        <w:ind w:firstLine="480" w:firstLineChars="200"/>
        <w:rPr>
          <w:rFonts w:eastAsia="仿宋"/>
          <w:bCs/>
        </w:rPr>
      </w:pPr>
      <w:r>
        <w:rPr>
          <w:rFonts w:eastAsia="仿宋"/>
          <w:bCs/>
        </w:rPr>
        <w:t>（二）要求投标人解释或者澄清其投标文件；</w:t>
      </w:r>
    </w:p>
    <w:p>
      <w:pPr>
        <w:snapToGrid w:val="0"/>
        <w:spacing w:line="500" w:lineRule="exact"/>
        <w:ind w:firstLine="480" w:firstLineChars="200"/>
        <w:rPr>
          <w:rFonts w:eastAsia="仿宋"/>
          <w:bCs/>
        </w:rPr>
      </w:pPr>
      <w:r>
        <w:rPr>
          <w:rFonts w:eastAsia="仿宋"/>
          <w:bCs/>
        </w:rPr>
        <w:t>（三）编写评审报告；</w:t>
      </w:r>
    </w:p>
    <w:p>
      <w:pPr>
        <w:snapToGrid w:val="0"/>
        <w:spacing w:line="500" w:lineRule="exact"/>
        <w:ind w:firstLine="480" w:firstLineChars="200"/>
        <w:rPr>
          <w:rFonts w:eastAsia="仿宋"/>
          <w:bCs/>
        </w:rPr>
      </w:pPr>
      <w:r>
        <w:rPr>
          <w:rFonts w:eastAsia="仿宋"/>
          <w:bCs/>
        </w:rPr>
        <w:t>（四）告知采购人、招标人在评审过程中发现的投标人的违法违规行为。</w:t>
      </w:r>
    </w:p>
    <w:p>
      <w:pPr>
        <w:snapToGrid w:val="0"/>
        <w:spacing w:line="500" w:lineRule="exact"/>
        <w:ind w:firstLine="600" w:firstLineChars="250"/>
        <w:rPr>
          <w:rFonts w:eastAsia="仿宋"/>
          <w:bCs/>
        </w:rPr>
      </w:pPr>
      <w:r>
        <w:rPr>
          <w:rFonts w:eastAsia="仿宋"/>
          <w:bCs/>
        </w:rPr>
        <w:t>13.7评标小组成员应当履行下列义务：</w:t>
      </w:r>
    </w:p>
    <w:p>
      <w:pPr>
        <w:snapToGrid w:val="0"/>
        <w:spacing w:line="500" w:lineRule="exact"/>
        <w:ind w:firstLine="480" w:firstLineChars="200"/>
        <w:rPr>
          <w:rFonts w:eastAsia="仿宋"/>
          <w:bCs/>
        </w:rPr>
      </w:pPr>
      <w:r>
        <w:rPr>
          <w:rFonts w:eastAsia="仿宋"/>
          <w:bCs/>
        </w:rPr>
        <w:t>（一）遵纪守法，客观、公正、廉洁地履行职责；</w:t>
      </w:r>
    </w:p>
    <w:p>
      <w:pPr>
        <w:snapToGrid w:val="0"/>
        <w:spacing w:line="500" w:lineRule="exact"/>
        <w:ind w:firstLine="480" w:firstLineChars="200"/>
        <w:rPr>
          <w:rFonts w:eastAsia="仿宋"/>
          <w:bCs/>
        </w:rPr>
      </w:pPr>
      <w:r>
        <w:rPr>
          <w:rFonts w:eastAsia="仿宋"/>
          <w:bCs/>
        </w:rPr>
        <w:t>（二）根据招标文件的规定独立进行评审，对个人的评审意见承担法律责任；</w:t>
      </w:r>
    </w:p>
    <w:p>
      <w:pPr>
        <w:snapToGrid w:val="0"/>
        <w:spacing w:line="500" w:lineRule="exact"/>
        <w:ind w:firstLine="480" w:firstLineChars="200"/>
        <w:rPr>
          <w:rFonts w:eastAsia="仿宋"/>
          <w:bCs/>
        </w:rPr>
      </w:pPr>
      <w:r>
        <w:rPr>
          <w:rFonts w:eastAsia="仿宋"/>
          <w:bCs/>
        </w:rPr>
        <w:t>（三）参与评审报告的起草；</w:t>
      </w:r>
    </w:p>
    <w:p>
      <w:pPr>
        <w:snapToGrid w:val="0"/>
        <w:spacing w:line="500" w:lineRule="exact"/>
        <w:ind w:firstLine="480" w:firstLineChars="200"/>
        <w:rPr>
          <w:rFonts w:eastAsia="仿宋"/>
          <w:bCs/>
        </w:rPr>
      </w:pPr>
      <w:r>
        <w:rPr>
          <w:rFonts w:eastAsia="仿宋"/>
          <w:bCs/>
        </w:rPr>
        <w:t>（四）配合采购人、采购服务代理机构答复投标人提出的质疑；</w:t>
      </w:r>
    </w:p>
    <w:p>
      <w:pPr>
        <w:snapToGrid w:val="0"/>
        <w:spacing w:line="500" w:lineRule="exact"/>
        <w:ind w:firstLine="480" w:firstLineChars="200"/>
        <w:rPr>
          <w:rFonts w:eastAsia="仿宋"/>
          <w:bCs/>
        </w:rPr>
      </w:pPr>
      <w:r>
        <w:rPr>
          <w:rFonts w:eastAsia="仿宋"/>
          <w:bCs/>
        </w:rPr>
        <w:t>（五）配合纪检监察、监督部门的投诉处理和监督检查工作。</w:t>
      </w:r>
    </w:p>
    <w:p>
      <w:pPr>
        <w:snapToGrid w:val="0"/>
        <w:spacing w:line="500" w:lineRule="exact"/>
        <w:ind w:firstLine="480" w:firstLineChars="200"/>
        <w:rPr>
          <w:rFonts w:eastAsia="仿宋"/>
          <w:bCs/>
          <w:color w:val="000000"/>
          <w:spacing w:val="-2"/>
        </w:rPr>
      </w:pPr>
      <w:r>
        <w:rPr>
          <w:rFonts w:eastAsia="仿宋"/>
          <w:bCs/>
        </w:rPr>
        <w:t>13.8</w:t>
      </w:r>
      <w:r>
        <w:rPr>
          <w:rFonts w:eastAsia="仿宋"/>
          <w:bCs/>
          <w:color w:val="000000"/>
          <w:spacing w:val="-2"/>
        </w:rPr>
        <w:t>有下列情形之一的，不得担任</w:t>
      </w:r>
      <w:r>
        <w:rPr>
          <w:rFonts w:eastAsia="仿宋"/>
          <w:bCs/>
        </w:rPr>
        <w:t>评标小组</w:t>
      </w:r>
      <w:r>
        <w:rPr>
          <w:rFonts w:eastAsia="仿宋"/>
          <w:bCs/>
          <w:color w:val="000000"/>
          <w:spacing w:val="-2"/>
        </w:rPr>
        <w:t>成员：</w:t>
      </w:r>
    </w:p>
    <w:p>
      <w:pPr>
        <w:snapToGrid w:val="0"/>
        <w:spacing w:line="500" w:lineRule="exact"/>
        <w:ind w:firstLine="472" w:firstLineChars="200"/>
        <w:rPr>
          <w:rFonts w:eastAsia="仿宋"/>
          <w:bCs/>
          <w:color w:val="000000"/>
          <w:spacing w:val="-2"/>
        </w:rPr>
      </w:pPr>
      <w:r>
        <w:rPr>
          <w:rFonts w:eastAsia="仿宋"/>
          <w:bCs/>
          <w:color w:val="000000"/>
          <w:spacing w:val="-2"/>
        </w:rPr>
        <w:t>（一）与投标人或者投标人主要负责人有近亲关系的；</w:t>
      </w:r>
    </w:p>
    <w:p>
      <w:pPr>
        <w:snapToGrid w:val="0"/>
        <w:spacing w:line="500" w:lineRule="exact"/>
        <w:ind w:firstLine="472" w:firstLineChars="200"/>
        <w:rPr>
          <w:rFonts w:eastAsia="仿宋"/>
          <w:bCs/>
          <w:color w:val="000000"/>
          <w:spacing w:val="-2"/>
        </w:rPr>
      </w:pPr>
      <w:r>
        <w:rPr>
          <w:rFonts w:eastAsia="仿宋"/>
          <w:bCs/>
          <w:color w:val="000000"/>
          <w:spacing w:val="-2"/>
        </w:rPr>
        <w:t>（二）与项目主管部门或者行政监督部门的人员有近亲关系的；</w:t>
      </w:r>
    </w:p>
    <w:p>
      <w:pPr>
        <w:snapToGrid w:val="0"/>
        <w:spacing w:line="500" w:lineRule="exact"/>
        <w:ind w:firstLine="472" w:firstLineChars="200"/>
        <w:rPr>
          <w:rFonts w:eastAsia="仿宋"/>
          <w:bCs/>
          <w:color w:val="000000"/>
          <w:spacing w:val="-2"/>
        </w:rPr>
      </w:pPr>
      <w:r>
        <w:rPr>
          <w:rFonts w:eastAsia="仿宋"/>
          <w:bCs/>
          <w:color w:val="000000"/>
          <w:spacing w:val="-2"/>
        </w:rPr>
        <w:t>（三）与投标人有经济利益关系，可能影响对投标公正评审的；</w:t>
      </w:r>
    </w:p>
    <w:p>
      <w:pPr>
        <w:snapToGrid w:val="0"/>
        <w:spacing w:line="500" w:lineRule="exact"/>
        <w:ind w:firstLine="472" w:firstLineChars="200"/>
        <w:rPr>
          <w:rFonts w:eastAsia="仿宋"/>
          <w:bCs/>
          <w:color w:val="000000"/>
          <w:spacing w:val="-2"/>
        </w:rPr>
      </w:pPr>
      <w:r>
        <w:rPr>
          <w:rFonts w:eastAsia="仿宋"/>
          <w:bCs/>
          <w:color w:val="000000"/>
          <w:spacing w:val="-2"/>
        </w:rPr>
        <w:t>（四）曾因在招标、评标以及其他与招标投标有关活动中从事违法行为而受过行政处罚或刑事处罚的。</w:t>
      </w:r>
    </w:p>
    <w:p>
      <w:pPr>
        <w:snapToGrid w:val="0"/>
        <w:spacing w:line="500" w:lineRule="exact"/>
        <w:ind w:firstLine="480" w:firstLineChars="200"/>
        <w:rPr>
          <w:rFonts w:eastAsia="仿宋"/>
          <w:bCs/>
          <w:color w:val="000000"/>
          <w:spacing w:val="-2"/>
        </w:rPr>
      </w:pPr>
      <w:r>
        <w:rPr>
          <w:rFonts w:eastAsia="仿宋"/>
          <w:bCs/>
          <w:color w:val="000000"/>
        </w:rPr>
        <w:t>13.9</w:t>
      </w:r>
      <w:r>
        <w:rPr>
          <w:rFonts w:eastAsia="仿宋"/>
          <w:bCs/>
        </w:rPr>
        <w:t>评标小组</w:t>
      </w:r>
      <w:r>
        <w:rPr>
          <w:rFonts w:eastAsia="仿宋"/>
          <w:bCs/>
          <w:color w:val="000000"/>
          <w:spacing w:val="-2"/>
        </w:rPr>
        <w:t>成员应当熟悉并认真研究竞招标文件，至少应了解和熟悉以下内容：</w:t>
      </w:r>
    </w:p>
    <w:p>
      <w:pPr>
        <w:snapToGrid w:val="0"/>
        <w:spacing w:line="500" w:lineRule="exact"/>
        <w:ind w:firstLine="472" w:firstLineChars="200"/>
        <w:rPr>
          <w:rFonts w:eastAsia="仿宋"/>
          <w:bCs/>
          <w:color w:val="000000"/>
          <w:spacing w:val="-2"/>
        </w:rPr>
      </w:pPr>
      <w:r>
        <w:rPr>
          <w:rFonts w:eastAsia="仿宋"/>
          <w:bCs/>
          <w:color w:val="000000"/>
          <w:spacing w:val="-2"/>
        </w:rPr>
        <w:t>（一）招标目的;</w:t>
      </w:r>
    </w:p>
    <w:p>
      <w:pPr>
        <w:snapToGrid w:val="0"/>
        <w:spacing w:line="500" w:lineRule="exact"/>
        <w:ind w:firstLine="472" w:firstLineChars="200"/>
        <w:rPr>
          <w:rFonts w:eastAsia="仿宋"/>
          <w:bCs/>
          <w:color w:val="000000"/>
          <w:spacing w:val="-2"/>
        </w:rPr>
      </w:pPr>
      <w:r>
        <w:rPr>
          <w:rFonts w:eastAsia="仿宋"/>
          <w:bCs/>
          <w:color w:val="000000"/>
          <w:spacing w:val="-2"/>
        </w:rPr>
        <w:t>（二）招标项目的范围、性质;</w:t>
      </w:r>
    </w:p>
    <w:p>
      <w:pPr>
        <w:snapToGrid w:val="0"/>
        <w:spacing w:line="500" w:lineRule="exact"/>
        <w:ind w:firstLine="472" w:firstLineChars="200"/>
        <w:rPr>
          <w:rFonts w:eastAsia="仿宋"/>
          <w:bCs/>
          <w:color w:val="000000"/>
          <w:spacing w:val="-2"/>
        </w:rPr>
      </w:pPr>
      <w:r>
        <w:rPr>
          <w:rFonts w:eastAsia="仿宋"/>
          <w:bCs/>
          <w:color w:val="000000"/>
          <w:spacing w:val="-2"/>
        </w:rPr>
        <w:t>（三）招标文件中规定的主要技术要求、标准和商务条款;</w:t>
      </w:r>
    </w:p>
    <w:p>
      <w:pPr>
        <w:snapToGrid w:val="0"/>
        <w:spacing w:line="500" w:lineRule="exact"/>
        <w:ind w:firstLine="472" w:firstLineChars="200"/>
        <w:rPr>
          <w:rFonts w:eastAsia="仿宋"/>
          <w:bCs/>
          <w:color w:val="000000"/>
          <w:spacing w:val="-2"/>
        </w:rPr>
      </w:pPr>
      <w:r>
        <w:rPr>
          <w:rFonts w:eastAsia="仿宋"/>
          <w:bCs/>
          <w:color w:val="000000"/>
          <w:spacing w:val="-2"/>
        </w:rPr>
        <w:t>（四）招标文件规定的评标标准、评标方法和在评标过程中应考虑的相关因素;</w:t>
      </w:r>
    </w:p>
    <w:p>
      <w:pPr>
        <w:snapToGrid w:val="0"/>
        <w:spacing w:line="500" w:lineRule="exact"/>
        <w:ind w:firstLine="472" w:firstLineChars="200"/>
        <w:rPr>
          <w:rFonts w:eastAsia="仿宋"/>
          <w:bCs/>
          <w:color w:val="000000"/>
          <w:spacing w:val="-2"/>
        </w:rPr>
      </w:pPr>
      <w:r>
        <w:rPr>
          <w:rFonts w:eastAsia="仿宋"/>
          <w:bCs/>
          <w:color w:val="000000"/>
          <w:spacing w:val="-2"/>
        </w:rPr>
        <w:t>（五）招标人应当向</w:t>
      </w:r>
      <w:r>
        <w:rPr>
          <w:rFonts w:eastAsia="仿宋"/>
          <w:bCs/>
        </w:rPr>
        <w:t>评标</w:t>
      </w:r>
      <w:r>
        <w:rPr>
          <w:rFonts w:eastAsia="仿宋"/>
          <w:bCs/>
          <w:color w:val="000000"/>
          <w:spacing w:val="-2"/>
        </w:rPr>
        <w:t>小组提供评标所需的重要信息和数据;</w:t>
      </w:r>
    </w:p>
    <w:p>
      <w:pPr>
        <w:snapToGrid w:val="0"/>
        <w:spacing w:line="500" w:lineRule="exact"/>
        <w:ind w:firstLine="472" w:firstLineChars="200"/>
        <w:rPr>
          <w:rFonts w:eastAsia="仿宋"/>
          <w:bCs/>
          <w:color w:val="000000"/>
          <w:spacing w:val="-2"/>
        </w:rPr>
      </w:pPr>
      <w:r>
        <w:rPr>
          <w:rFonts w:eastAsia="仿宋"/>
          <w:bCs/>
          <w:color w:val="000000"/>
          <w:spacing w:val="-2"/>
        </w:rPr>
        <w:t>（六）</w:t>
      </w:r>
      <w:r>
        <w:rPr>
          <w:rFonts w:eastAsia="仿宋"/>
          <w:bCs/>
        </w:rPr>
        <w:t>评标</w:t>
      </w:r>
      <w:r>
        <w:rPr>
          <w:rFonts w:eastAsia="仿宋"/>
          <w:bCs/>
          <w:color w:val="000000"/>
          <w:spacing w:val="-2"/>
        </w:rPr>
        <w:t>小组应当根据招标文件规定的评标标准和方法，对投标文件进行系统地评审和比较。招标文件中没有规定的标准和方法不得作为评标的依据。</w:t>
      </w:r>
    </w:p>
    <w:p>
      <w:pPr>
        <w:snapToGrid w:val="0"/>
        <w:spacing w:line="500" w:lineRule="exact"/>
        <w:ind w:firstLine="472" w:firstLineChars="200"/>
        <w:rPr>
          <w:rFonts w:eastAsia="仿宋"/>
          <w:bCs/>
          <w:color w:val="000000"/>
          <w:spacing w:val="-2"/>
        </w:rPr>
      </w:pPr>
      <w:r>
        <w:rPr>
          <w:rFonts w:eastAsia="仿宋"/>
          <w:bCs/>
          <w:color w:val="000000"/>
          <w:spacing w:val="-2"/>
        </w:rPr>
        <w:t>（七）</w:t>
      </w:r>
      <w:r>
        <w:rPr>
          <w:rFonts w:eastAsia="仿宋"/>
          <w:bCs/>
        </w:rPr>
        <w:t>评标</w:t>
      </w:r>
      <w:r>
        <w:rPr>
          <w:rFonts w:eastAsia="仿宋"/>
          <w:bCs/>
          <w:color w:val="000000"/>
          <w:spacing w:val="-2"/>
        </w:rPr>
        <w:t>小组成员有前款规定情形之一的，应当主动提出回避。</w:t>
      </w:r>
    </w:p>
    <w:p>
      <w:pPr>
        <w:snapToGrid w:val="0"/>
        <w:spacing w:line="500" w:lineRule="exact"/>
        <w:ind w:firstLine="472" w:firstLineChars="200"/>
        <w:rPr>
          <w:rFonts w:eastAsia="仿宋"/>
          <w:bCs/>
          <w:color w:val="000000"/>
          <w:spacing w:val="-2"/>
        </w:rPr>
      </w:pPr>
      <w:r>
        <w:rPr>
          <w:rFonts w:eastAsia="仿宋"/>
          <w:bCs/>
          <w:color w:val="000000"/>
          <w:spacing w:val="-2"/>
        </w:rPr>
        <w:t>13.10</w:t>
      </w:r>
      <w:r>
        <w:rPr>
          <w:rFonts w:eastAsia="仿宋"/>
          <w:bCs/>
        </w:rPr>
        <w:t>评标</w:t>
      </w:r>
      <w:r>
        <w:rPr>
          <w:rFonts w:eastAsia="仿宋"/>
          <w:bCs/>
          <w:color w:val="000000"/>
          <w:spacing w:val="-2"/>
        </w:rPr>
        <w:t>小组成员应当按照客观、公正、审慎的原则，根据招标文件规定的评审程序、评审方法和评审标准进行独立评审，并对所提出的评审意见承担个人责任。未实质性响应招标文件的投标文件均按无效响应处理。</w:t>
      </w:r>
    </w:p>
    <w:p>
      <w:pPr>
        <w:snapToGrid w:val="0"/>
        <w:spacing w:line="500" w:lineRule="exact"/>
        <w:ind w:firstLine="472" w:firstLineChars="200"/>
        <w:rPr>
          <w:rFonts w:eastAsia="仿宋"/>
          <w:bCs/>
          <w:color w:val="000000"/>
          <w:spacing w:val="-2"/>
        </w:rPr>
      </w:pPr>
      <w:r>
        <w:rPr>
          <w:rFonts w:eastAsia="仿宋"/>
          <w:bCs/>
          <w:color w:val="000000"/>
          <w:spacing w:val="-2"/>
        </w:rPr>
        <w:t>13.11</w:t>
      </w:r>
      <w:r>
        <w:rPr>
          <w:rFonts w:eastAsia="仿宋"/>
          <w:bCs/>
        </w:rPr>
        <w:t>评标</w:t>
      </w:r>
      <w:r>
        <w:rPr>
          <w:rFonts w:eastAsia="仿宋"/>
          <w:bCs/>
          <w:color w:val="000000"/>
          <w:spacing w:val="-2"/>
        </w:rPr>
        <w:t>小组成员和与本次评标活动有关的工作人员，不得透露对投标文件的评审和比较、中标候选人的推荐情况以及与评标有关的其他情况。</w:t>
      </w:r>
    </w:p>
    <w:p>
      <w:pPr>
        <w:snapToGrid w:val="0"/>
        <w:spacing w:line="500" w:lineRule="exact"/>
        <w:ind w:firstLine="472" w:firstLineChars="200"/>
        <w:rPr>
          <w:rFonts w:eastAsia="仿宋"/>
          <w:bCs/>
          <w:color w:val="000000"/>
          <w:spacing w:val="-2"/>
        </w:rPr>
      </w:pPr>
      <w:r>
        <w:rPr>
          <w:rFonts w:eastAsia="仿宋"/>
          <w:bCs/>
          <w:color w:val="000000"/>
          <w:spacing w:val="-2"/>
        </w:rPr>
        <w:t>13.12与评标活动有关的工作人员，是指</w:t>
      </w:r>
      <w:r>
        <w:rPr>
          <w:rFonts w:eastAsia="仿宋"/>
          <w:bCs/>
        </w:rPr>
        <w:t>评标</w:t>
      </w:r>
      <w:r>
        <w:rPr>
          <w:rFonts w:eastAsia="仿宋"/>
          <w:bCs/>
          <w:color w:val="000000"/>
          <w:spacing w:val="-2"/>
        </w:rPr>
        <w:t>小组成员以外的、因参与评标监督工作或者事务性工作而知悉有关评标情况的所有人员。</w:t>
      </w:r>
    </w:p>
    <w:p>
      <w:pPr>
        <w:pStyle w:val="65"/>
        <w:spacing w:line="500" w:lineRule="exact"/>
        <w:ind w:firstLine="210"/>
        <w:rPr>
          <w:rFonts w:eastAsia="仿宋"/>
          <w:bCs/>
        </w:rPr>
      </w:pP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52" w:name="_Toc23527896"/>
      <w:bookmarkStart w:id="53" w:name="_Toc99785528"/>
      <w:bookmarkStart w:id="54" w:name="_Toc22908"/>
      <w:r>
        <w:rPr>
          <w:rFonts w:ascii="Times New Roman" w:hAnsi="Times New Roman" w:eastAsia="仿宋"/>
          <w:b w:val="0"/>
          <w:bCs w:val="0"/>
          <w:sz w:val="36"/>
        </w:rPr>
        <w:t>第五章 开 标</w:t>
      </w:r>
      <w:bookmarkEnd w:id="52"/>
      <w:bookmarkEnd w:id="53"/>
      <w:bookmarkEnd w:id="54"/>
    </w:p>
    <w:p>
      <w:pPr>
        <w:snapToGrid w:val="0"/>
        <w:spacing w:line="500" w:lineRule="exact"/>
        <w:ind w:firstLine="480" w:firstLineChars="200"/>
        <w:rPr>
          <w:rFonts w:eastAsia="仿宋"/>
          <w:bCs/>
        </w:rPr>
      </w:pPr>
      <w:r>
        <w:rPr>
          <w:rFonts w:eastAsia="仿宋"/>
          <w:bCs/>
        </w:rPr>
        <w:t>14．开标</w:t>
      </w:r>
    </w:p>
    <w:p>
      <w:pPr>
        <w:snapToGrid w:val="0"/>
        <w:spacing w:line="500" w:lineRule="exact"/>
        <w:ind w:firstLine="480" w:firstLineChars="200"/>
        <w:rPr>
          <w:rFonts w:eastAsia="仿宋"/>
          <w:bCs/>
        </w:rPr>
      </w:pPr>
      <w:r>
        <w:rPr>
          <w:rFonts w:eastAsia="仿宋"/>
          <w:bCs/>
        </w:rPr>
        <w:t>14.1本次招标按招标文件中规定的时间和地点进行公开开标，投标人的法定代表人或其授权人需参加开标会。</w:t>
      </w:r>
    </w:p>
    <w:p>
      <w:pPr>
        <w:snapToGrid w:val="0"/>
        <w:spacing w:line="500" w:lineRule="exact"/>
        <w:ind w:firstLine="480" w:firstLineChars="200"/>
        <w:rPr>
          <w:rFonts w:eastAsia="仿宋"/>
          <w:bCs/>
        </w:rPr>
      </w:pPr>
      <w:r>
        <w:rPr>
          <w:rFonts w:eastAsia="仿宋"/>
          <w:bCs/>
        </w:rPr>
        <w:t>14.2开标时将检查所有投标文件的密封情况，并在确认无误后拆封投标文件进行唱标。唱标以投标人提交的 “开标一览表”的内容为准，并对唱标内容作以记录。</w:t>
      </w:r>
    </w:p>
    <w:p>
      <w:pPr>
        <w:snapToGrid w:val="0"/>
        <w:spacing w:line="500" w:lineRule="exact"/>
        <w:ind w:firstLine="480" w:firstLineChars="200"/>
        <w:rPr>
          <w:rFonts w:eastAsia="仿宋"/>
          <w:bCs/>
        </w:rPr>
      </w:pPr>
      <w:r>
        <w:rPr>
          <w:rFonts w:eastAsia="仿宋"/>
          <w:bCs/>
        </w:rPr>
        <w:t>14.3开标和唱标的顺序，按照递交投标文件的正顺序依次进行。</w:t>
      </w: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55" w:name="_Toc23527897"/>
      <w:bookmarkStart w:id="56" w:name="_Toc99785529"/>
      <w:bookmarkStart w:id="57" w:name="_Toc28659"/>
      <w:r>
        <w:rPr>
          <w:rFonts w:ascii="Times New Roman" w:hAnsi="Times New Roman" w:eastAsia="仿宋"/>
          <w:b w:val="0"/>
          <w:bCs w:val="0"/>
          <w:sz w:val="36"/>
        </w:rPr>
        <w:t>第六章 资格审查</w:t>
      </w:r>
      <w:bookmarkEnd w:id="55"/>
      <w:bookmarkEnd w:id="56"/>
      <w:bookmarkEnd w:id="57"/>
    </w:p>
    <w:p>
      <w:pPr>
        <w:snapToGrid w:val="0"/>
        <w:spacing w:line="500" w:lineRule="exact"/>
        <w:ind w:firstLine="480" w:firstLineChars="200"/>
        <w:rPr>
          <w:rFonts w:eastAsia="仿宋"/>
          <w:bCs/>
          <w:color w:val="000000"/>
          <w:spacing w:val="-2"/>
        </w:rPr>
      </w:pPr>
      <w:r>
        <w:rPr>
          <w:rFonts w:hint="eastAsia" w:eastAsia="仿宋"/>
          <w:bCs/>
        </w:rPr>
        <w:t>监督人员</w:t>
      </w:r>
      <w:r>
        <w:rPr>
          <w:rFonts w:eastAsia="仿宋"/>
          <w:bCs/>
        </w:rPr>
        <w:t>应当根据第一章投标人的资格要求，对投标人资格条件进行审查，不符合资格条件的投标人</w:t>
      </w:r>
      <w:r>
        <w:rPr>
          <w:rFonts w:eastAsia="仿宋"/>
          <w:bCs/>
          <w:color w:val="000000"/>
          <w:spacing w:val="-2"/>
        </w:rPr>
        <w:t>，其投标将被否决。符合资格条件的进行评审环节。</w:t>
      </w:r>
    </w:p>
    <w:p>
      <w:pPr>
        <w:snapToGrid w:val="0"/>
        <w:spacing w:line="500" w:lineRule="exact"/>
        <w:ind w:firstLine="472" w:firstLineChars="200"/>
        <w:jc w:val="center"/>
        <w:rPr>
          <w:rFonts w:eastAsia="仿宋"/>
          <w:bCs/>
          <w:color w:val="000000"/>
          <w:spacing w:val="-2"/>
        </w:rPr>
      </w:pPr>
      <w:r>
        <w:rPr>
          <w:rFonts w:eastAsia="仿宋"/>
          <w:bCs/>
          <w:color w:val="000000"/>
          <w:spacing w:val="-2"/>
        </w:rPr>
        <w:t>资格审查表</w:t>
      </w:r>
    </w:p>
    <w:tbl>
      <w:tblPr>
        <w:tblStyle w:val="67"/>
        <w:tblpPr w:leftFromText="180" w:rightFromText="180" w:vertAnchor="text" w:horzAnchor="page" w:tblpXSpec="center" w:tblpY="283"/>
        <w:tblOverlap w:val="never"/>
        <w:tblW w:w="9766" w:type="dxa"/>
        <w:tblInd w:w="0" w:type="dxa"/>
        <w:tblLayout w:type="fixed"/>
        <w:tblCellMar>
          <w:top w:w="0" w:type="dxa"/>
          <w:left w:w="108" w:type="dxa"/>
          <w:bottom w:w="0" w:type="dxa"/>
          <w:right w:w="108" w:type="dxa"/>
        </w:tblCellMar>
      </w:tblPr>
      <w:tblGrid>
        <w:gridCol w:w="725"/>
        <w:gridCol w:w="1542"/>
        <w:gridCol w:w="900"/>
        <w:gridCol w:w="1065"/>
        <w:gridCol w:w="2130"/>
        <w:gridCol w:w="930"/>
        <w:gridCol w:w="975"/>
        <w:gridCol w:w="559"/>
        <w:gridCol w:w="940"/>
      </w:tblGrid>
      <w:tr>
        <w:tblPrEx>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bookmarkStart w:id="58" w:name="_Toc23527898"/>
            <w:r>
              <w:rPr>
                <w:rFonts w:eastAsia="仿宋"/>
                <w:bCs/>
                <w:color w:val="000000"/>
                <w:kern w:val="0"/>
                <w:sz w:val="18"/>
                <w:szCs w:val="18"/>
              </w:rPr>
              <w:t>序号</w:t>
            </w:r>
          </w:p>
        </w:tc>
        <w:tc>
          <w:tcPr>
            <w:tcW w:w="15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投标单位名称</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企业法人营业执照（原件）</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法人授权委托书（原件），投标代表身份证（原件及复印件加盖公章）</w:t>
            </w:r>
          </w:p>
        </w:tc>
        <w:tc>
          <w:tcPr>
            <w:tcW w:w="21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近三年内未被“信用中国”网站列入失信被执行人和重大税收违法案件当事人名单的、被“中国政府采购网”网站列入政府采购严重违法失信行为记录名单（处罚期限尚未届满的）的证明文件（网页截图加盖公章）</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sz w:val="18"/>
                <w:szCs w:val="18"/>
              </w:rPr>
              <w:t>反商业贿赂承诺书（原件）</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
                <w:bCs/>
                <w:color w:val="000000"/>
                <w:sz w:val="18"/>
                <w:szCs w:val="18"/>
              </w:rPr>
            </w:pPr>
            <w:r>
              <w:rPr>
                <w:rFonts w:eastAsia="仿宋"/>
                <w:bCs/>
                <w:color w:val="000000"/>
                <w:sz w:val="18"/>
                <w:szCs w:val="18"/>
              </w:rPr>
              <w:t>投标保证金凭证</w:t>
            </w:r>
          </w:p>
        </w:tc>
        <w:tc>
          <w:tcPr>
            <w:tcW w:w="559" w:type="dxa"/>
            <w:tcBorders>
              <w:top w:val="single" w:color="auto" w:sz="4" w:space="0"/>
              <w:left w:val="nil"/>
              <w:bottom w:val="single" w:color="auto" w:sz="4" w:space="0"/>
              <w:right w:val="single" w:color="auto" w:sz="4" w:space="0"/>
            </w:tcBorders>
            <w:vAlign w:val="center"/>
          </w:tcPr>
          <w:p>
            <w:pPr>
              <w:spacing w:line="240" w:lineRule="exact"/>
              <w:ind w:left="-122" w:leftChars="-51"/>
              <w:jc w:val="center"/>
              <w:rPr>
                <w:rFonts w:eastAsia="仿宋"/>
                <w:bCs/>
                <w:color w:val="000000"/>
                <w:sz w:val="18"/>
                <w:szCs w:val="18"/>
              </w:rPr>
            </w:pPr>
            <w:r>
              <w:rPr>
                <w:rFonts w:eastAsia="仿宋"/>
                <w:bCs/>
                <w:sz w:val="18"/>
                <w:szCs w:val="18"/>
              </w:rPr>
              <w:t>审查结果</w:t>
            </w:r>
          </w:p>
        </w:tc>
        <w:tc>
          <w:tcPr>
            <w:tcW w:w="940" w:type="dxa"/>
            <w:tcBorders>
              <w:top w:val="single" w:color="auto" w:sz="4" w:space="0"/>
              <w:left w:val="nil"/>
              <w:bottom w:val="single" w:color="auto" w:sz="4" w:space="0"/>
              <w:right w:val="single" w:color="auto" w:sz="4" w:space="0"/>
            </w:tcBorders>
            <w:vAlign w:val="center"/>
          </w:tcPr>
          <w:p>
            <w:pPr>
              <w:spacing w:line="240" w:lineRule="exact"/>
              <w:ind w:left="-122" w:leftChars="-51"/>
              <w:jc w:val="center"/>
              <w:rPr>
                <w:rFonts w:eastAsia="仿宋"/>
                <w:bCs/>
                <w:color w:val="000000"/>
                <w:sz w:val="18"/>
                <w:szCs w:val="18"/>
              </w:rPr>
            </w:pPr>
            <w:r>
              <w:rPr>
                <w:rFonts w:eastAsia="仿宋"/>
                <w:bCs/>
                <w:sz w:val="18"/>
                <w:szCs w:val="18"/>
              </w:rPr>
              <w:t>投标单位确认签字</w:t>
            </w:r>
          </w:p>
        </w:tc>
      </w:tr>
      <w:tr>
        <w:tblPrEx>
          <w:tblCellMar>
            <w:top w:w="0" w:type="dxa"/>
            <w:left w:w="108" w:type="dxa"/>
            <w:bottom w:w="0" w:type="dxa"/>
            <w:right w:w="108" w:type="dxa"/>
          </w:tblCellMar>
        </w:tblPrEx>
        <w:trPr>
          <w:trHeight w:val="990" w:hRule="atLeast"/>
        </w:trPr>
        <w:tc>
          <w:tcPr>
            <w:tcW w:w="72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1</w:t>
            </w:r>
          </w:p>
        </w:tc>
        <w:tc>
          <w:tcPr>
            <w:tcW w:w="1542" w:type="dxa"/>
            <w:tcBorders>
              <w:top w:val="nil"/>
              <w:left w:val="nil"/>
              <w:bottom w:val="single" w:color="auto" w:sz="4" w:space="0"/>
              <w:right w:val="single" w:color="auto" w:sz="4" w:space="0"/>
            </w:tcBorders>
            <w:vAlign w:val="center"/>
          </w:tcPr>
          <w:p>
            <w:pPr>
              <w:spacing w:line="240" w:lineRule="exact"/>
              <w:jc w:val="left"/>
              <w:rPr>
                <w:rFonts w:eastAsia="仿宋"/>
                <w:bCs/>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　</w:t>
            </w:r>
          </w:p>
        </w:tc>
        <w:tc>
          <w:tcPr>
            <w:tcW w:w="106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21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7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r>
      <w:tr>
        <w:tblPrEx>
          <w:tblCellMar>
            <w:top w:w="0" w:type="dxa"/>
            <w:left w:w="108" w:type="dxa"/>
            <w:bottom w:w="0" w:type="dxa"/>
            <w:right w:w="108" w:type="dxa"/>
          </w:tblCellMar>
        </w:tblPrEx>
        <w:trPr>
          <w:trHeight w:val="885" w:hRule="atLeast"/>
        </w:trPr>
        <w:tc>
          <w:tcPr>
            <w:tcW w:w="72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2</w:t>
            </w:r>
          </w:p>
        </w:tc>
        <w:tc>
          <w:tcPr>
            <w:tcW w:w="1542" w:type="dxa"/>
            <w:tcBorders>
              <w:top w:val="nil"/>
              <w:left w:val="nil"/>
              <w:bottom w:val="single" w:color="auto" w:sz="4" w:space="0"/>
              <w:right w:val="single" w:color="auto" w:sz="4" w:space="0"/>
            </w:tcBorders>
            <w:vAlign w:val="center"/>
          </w:tcPr>
          <w:p>
            <w:pPr>
              <w:widowControl/>
              <w:spacing w:line="240" w:lineRule="exact"/>
              <w:jc w:val="left"/>
              <w:rPr>
                <w:rFonts w:eastAsia="仿宋"/>
                <w:bCs/>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　</w:t>
            </w:r>
          </w:p>
        </w:tc>
        <w:tc>
          <w:tcPr>
            <w:tcW w:w="106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21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7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r>
      <w:tr>
        <w:tblPrEx>
          <w:tblCellMar>
            <w:top w:w="0" w:type="dxa"/>
            <w:left w:w="108" w:type="dxa"/>
            <w:bottom w:w="0" w:type="dxa"/>
            <w:right w:w="108" w:type="dxa"/>
          </w:tblCellMar>
        </w:tblPrEx>
        <w:trPr>
          <w:trHeight w:val="945" w:hRule="atLeast"/>
        </w:trPr>
        <w:tc>
          <w:tcPr>
            <w:tcW w:w="72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3</w:t>
            </w:r>
          </w:p>
        </w:tc>
        <w:tc>
          <w:tcPr>
            <w:tcW w:w="1542" w:type="dxa"/>
            <w:tcBorders>
              <w:top w:val="nil"/>
              <w:left w:val="nil"/>
              <w:bottom w:val="single" w:color="auto" w:sz="4" w:space="0"/>
              <w:right w:val="single" w:color="auto" w:sz="4" w:space="0"/>
            </w:tcBorders>
            <w:vAlign w:val="center"/>
          </w:tcPr>
          <w:p>
            <w:pPr>
              <w:widowControl/>
              <w:spacing w:line="240" w:lineRule="exact"/>
              <w:jc w:val="left"/>
              <w:rPr>
                <w:rFonts w:eastAsia="仿宋"/>
                <w:bCs/>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r>
              <w:rPr>
                <w:rFonts w:eastAsia="仿宋"/>
                <w:bCs/>
                <w:color w:val="000000"/>
                <w:kern w:val="0"/>
                <w:sz w:val="18"/>
                <w:szCs w:val="18"/>
              </w:rPr>
              <w:t>　</w:t>
            </w:r>
          </w:p>
        </w:tc>
        <w:tc>
          <w:tcPr>
            <w:tcW w:w="106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21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3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75"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eastAsia="仿宋"/>
                <w:bCs/>
                <w:color w:val="000000"/>
                <w:kern w:val="0"/>
                <w:sz w:val="18"/>
                <w:szCs w:val="18"/>
              </w:rPr>
            </w:pPr>
          </w:p>
        </w:tc>
      </w:tr>
      <w:tr>
        <w:tblPrEx>
          <w:tblCellMar>
            <w:top w:w="0" w:type="dxa"/>
            <w:left w:w="108" w:type="dxa"/>
            <w:bottom w:w="0" w:type="dxa"/>
            <w:right w:w="108" w:type="dxa"/>
          </w:tblCellMar>
        </w:tblPrEx>
        <w:trPr>
          <w:trHeight w:val="960" w:hRule="atLeast"/>
        </w:trPr>
        <w:tc>
          <w:tcPr>
            <w:tcW w:w="9766" w:type="dxa"/>
            <w:gridSpan w:val="9"/>
            <w:tcBorders>
              <w:top w:val="nil"/>
              <w:left w:val="single" w:color="auto" w:sz="4" w:space="0"/>
              <w:bottom w:val="single" w:color="auto" w:sz="4" w:space="0"/>
              <w:right w:val="single" w:color="auto" w:sz="4" w:space="0"/>
            </w:tcBorders>
            <w:vAlign w:val="center"/>
          </w:tcPr>
          <w:p>
            <w:pPr>
              <w:widowControl/>
              <w:spacing w:line="240" w:lineRule="exact"/>
              <w:jc w:val="left"/>
              <w:rPr>
                <w:rFonts w:eastAsia="仿宋"/>
                <w:bCs/>
                <w:color w:val="000000"/>
                <w:kern w:val="0"/>
                <w:sz w:val="18"/>
                <w:szCs w:val="18"/>
              </w:rPr>
            </w:pPr>
            <w:r>
              <w:rPr>
                <w:rFonts w:eastAsia="仿宋"/>
                <w:bCs/>
                <w:color w:val="000000"/>
                <w:kern w:val="0"/>
                <w:sz w:val="18"/>
                <w:szCs w:val="18"/>
              </w:rPr>
              <w:t>备注：若“是”请在该投标人格内打“√”，若“否”则打“×”，其他情况请另附文说明。</w:t>
            </w:r>
          </w:p>
        </w:tc>
      </w:tr>
      <w:tr>
        <w:tblPrEx>
          <w:tblCellMar>
            <w:top w:w="0" w:type="dxa"/>
            <w:left w:w="108" w:type="dxa"/>
            <w:bottom w:w="0" w:type="dxa"/>
            <w:right w:w="108" w:type="dxa"/>
          </w:tblCellMar>
        </w:tblPrEx>
        <w:trPr>
          <w:trHeight w:val="2035" w:hRule="atLeast"/>
        </w:trPr>
        <w:tc>
          <w:tcPr>
            <w:tcW w:w="976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
                <w:bCs/>
                <w:color w:val="000000"/>
                <w:kern w:val="0"/>
                <w:sz w:val="18"/>
                <w:szCs w:val="18"/>
              </w:rPr>
            </w:pPr>
            <w:r>
              <w:rPr>
                <w:rFonts w:eastAsia="仿宋"/>
                <w:bCs/>
                <w:color w:val="000000"/>
                <w:kern w:val="0"/>
                <w:sz w:val="18"/>
                <w:szCs w:val="18"/>
              </w:rPr>
              <w:t>监督人员签名：</w:t>
            </w:r>
          </w:p>
        </w:tc>
      </w:tr>
    </w:tbl>
    <w:p>
      <w:pPr>
        <w:pStyle w:val="5"/>
        <w:snapToGrid w:val="0"/>
        <w:spacing w:before="0" w:after="0" w:line="500" w:lineRule="exact"/>
        <w:jc w:val="center"/>
        <w:rPr>
          <w:rFonts w:ascii="Times New Roman" w:hAnsi="Times New Roman" w:eastAsia="仿宋"/>
          <w:b w:val="0"/>
          <w:bCs w:val="0"/>
          <w:sz w:val="36"/>
        </w:rPr>
        <w:sectPr>
          <w:pgSz w:w="11906" w:h="16838"/>
          <w:pgMar w:top="1134" w:right="850" w:bottom="1134" w:left="850" w:header="283" w:footer="283" w:gutter="0"/>
          <w:cols w:space="720" w:num="1"/>
          <w:docGrid w:type="lines" w:linePitch="339" w:charSpace="0"/>
        </w:sectPr>
      </w:pP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59" w:name="_Toc99785530"/>
      <w:bookmarkStart w:id="60" w:name="_Toc18199"/>
      <w:r>
        <w:rPr>
          <w:rFonts w:ascii="Times New Roman" w:hAnsi="Times New Roman" w:eastAsia="仿宋"/>
          <w:b w:val="0"/>
          <w:bCs w:val="0"/>
          <w:sz w:val="36"/>
        </w:rPr>
        <w:t>第七章 评 审</w:t>
      </w:r>
      <w:bookmarkEnd w:id="58"/>
      <w:bookmarkEnd w:id="59"/>
      <w:bookmarkEnd w:id="60"/>
    </w:p>
    <w:p>
      <w:pPr>
        <w:snapToGrid w:val="0"/>
        <w:spacing w:line="500" w:lineRule="exact"/>
        <w:ind w:firstLine="480" w:firstLineChars="200"/>
        <w:rPr>
          <w:rFonts w:eastAsia="仿宋"/>
          <w:bCs/>
        </w:rPr>
      </w:pPr>
      <w:r>
        <w:rPr>
          <w:rFonts w:eastAsia="仿宋"/>
          <w:bCs/>
        </w:rPr>
        <w:t>15．评审依据</w:t>
      </w:r>
    </w:p>
    <w:p>
      <w:pPr>
        <w:snapToGrid w:val="0"/>
        <w:spacing w:line="500" w:lineRule="exact"/>
        <w:ind w:firstLine="480" w:firstLineChars="200"/>
        <w:rPr>
          <w:rFonts w:eastAsia="仿宋"/>
          <w:bCs/>
        </w:rPr>
      </w:pPr>
      <w:r>
        <w:rPr>
          <w:rFonts w:eastAsia="仿宋"/>
          <w:bCs/>
        </w:rPr>
        <w:t>15.1评审的依据为招标文件（包括招标人的招标文件和投标人的投标文件）。</w:t>
      </w:r>
    </w:p>
    <w:p>
      <w:pPr>
        <w:snapToGrid w:val="0"/>
        <w:spacing w:line="500" w:lineRule="exact"/>
        <w:ind w:firstLine="480" w:firstLineChars="200"/>
        <w:rPr>
          <w:rFonts w:eastAsia="仿宋"/>
          <w:bCs/>
          <w:color w:val="000000"/>
        </w:rPr>
      </w:pPr>
      <w:r>
        <w:rPr>
          <w:rFonts w:eastAsia="仿宋"/>
          <w:bCs/>
          <w:color w:val="000000"/>
        </w:rPr>
        <w:t>16.投标文件的澄清</w:t>
      </w:r>
    </w:p>
    <w:p>
      <w:pPr>
        <w:snapToGrid w:val="0"/>
        <w:spacing w:line="500" w:lineRule="exact"/>
        <w:ind w:firstLine="472" w:firstLineChars="200"/>
        <w:rPr>
          <w:rFonts w:eastAsia="仿宋"/>
          <w:bCs/>
          <w:color w:val="000000"/>
          <w:spacing w:val="-2"/>
        </w:rPr>
      </w:pPr>
      <w:r>
        <w:rPr>
          <w:rFonts w:eastAsia="仿宋"/>
          <w:bCs/>
          <w:color w:val="000000"/>
          <w:spacing w:val="-2"/>
        </w:rPr>
        <w:t>16.1为有助于对投标文件进行审查、评估和比较，招标人组建的评标小组将对认为需要（不是每一个）的投标人进行询标，请投标人澄清其投标内容，投标人有责任按照招标人通知的时间、地点指派专人进行答疑和澄清。询标时投标人代表应作书面记录，并对重要内容做出书面答复。</w:t>
      </w:r>
    </w:p>
    <w:p>
      <w:pPr>
        <w:snapToGrid w:val="0"/>
        <w:spacing w:line="500" w:lineRule="exact"/>
        <w:ind w:firstLine="472" w:firstLineChars="200"/>
        <w:rPr>
          <w:rFonts w:eastAsia="仿宋"/>
          <w:bCs/>
          <w:color w:val="000000"/>
          <w:spacing w:val="-2"/>
        </w:rPr>
      </w:pPr>
      <w:r>
        <w:rPr>
          <w:rFonts w:eastAsia="仿宋"/>
          <w:bCs/>
          <w:color w:val="000000"/>
          <w:spacing w:val="-2"/>
        </w:rPr>
        <w:t>16.2重要澄清的答复应是书面的，但不得对投标的价格、技术指标和参数等内容进行实质性修改。澄清文件须由投标人法定代表人或法人授权代表签字或加盖投标人公章并作为投标文件的组成部分。</w:t>
      </w:r>
    </w:p>
    <w:p>
      <w:pPr>
        <w:snapToGrid w:val="0"/>
        <w:spacing w:line="500" w:lineRule="exact"/>
        <w:ind w:firstLine="480" w:firstLineChars="200"/>
        <w:rPr>
          <w:rFonts w:eastAsia="仿宋"/>
          <w:bCs/>
          <w:color w:val="000000"/>
        </w:rPr>
      </w:pPr>
      <w:r>
        <w:rPr>
          <w:rFonts w:eastAsia="仿宋"/>
          <w:bCs/>
          <w:color w:val="000000"/>
        </w:rPr>
        <w:t>17.对投标文件的评估和比较</w:t>
      </w:r>
    </w:p>
    <w:p>
      <w:pPr>
        <w:snapToGrid w:val="0"/>
        <w:spacing w:line="500" w:lineRule="exact"/>
        <w:ind w:firstLine="472" w:firstLineChars="200"/>
        <w:rPr>
          <w:rFonts w:eastAsia="仿宋"/>
          <w:bCs/>
          <w:color w:val="000000"/>
          <w:spacing w:val="-2"/>
        </w:rPr>
      </w:pPr>
      <w:r>
        <w:rPr>
          <w:rFonts w:eastAsia="仿宋"/>
          <w:bCs/>
          <w:color w:val="000000"/>
          <w:spacing w:val="-2"/>
        </w:rPr>
        <w:t>17.1对实质性响应的投标文件进行评估和比较。</w:t>
      </w:r>
    </w:p>
    <w:p>
      <w:pPr>
        <w:snapToGrid w:val="0"/>
        <w:spacing w:line="500" w:lineRule="exact"/>
        <w:ind w:firstLine="480" w:firstLineChars="200"/>
        <w:rPr>
          <w:rFonts w:eastAsia="仿宋"/>
          <w:bCs/>
          <w:color w:val="000000"/>
        </w:rPr>
      </w:pPr>
      <w:r>
        <w:rPr>
          <w:rFonts w:eastAsia="仿宋"/>
          <w:bCs/>
          <w:color w:val="000000"/>
        </w:rPr>
        <w:t>18.评审过程的保密</w:t>
      </w:r>
    </w:p>
    <w:p>
      <w:pPr>
        <w:snapToGrid w:val="0"/>
        <w:spacing w:line="500" w:lineRule="exact"/>
        <w:ind w:firstLine="472" w:firstLineChars="200"/>
        <w:rPr>
          <w:rFonts w:eastAsia="仿宋"/>
          <w:bCs/>
          <w:color w:val="000000"/>
          <w:spacing w:val="-2"/>
        </w:rPr>
      </w:pPr>
      <w:r>
        <w:rPr>
          <w:rFonts w:eastAsia="仿宋"/>
          <w:bCs/>
          <w:color w:val="000000"/>
          <w:spacing w:val="-2"/>
        </w:rPr>
        <w:t>18.1开标后，凡是属于审查、澄清、评价和比较的有关资料以及</w:t>
      </w:r>
      <w:r>
        <w:rPr>
          <w:rFonts w:eastAsia="仿宋"/>
          <w:bCs/>
          <w:spacing w:val="-2"/>
        </w:rPr>
        <w:t>授标建议等评标小组成员或参与评标的有关工作人员均不得向投标人或</w:t>
      </w:r>
      <w:r>
        <w:rPr>
          <w:rFonts w:eastAsia="仿宋"/>
          <w:bCs/>
          <w:color w:val="000000"/>
          <w:spacing w:val="-2"/>
        </w:rPr>
        <w:t>其他无关的人员透露，违者给予警告、取消担任评标小组成员的资格，不得再参加任何投标项目的评标。</w:t>
      </w:r>
    </w:p>
    <w:p>
      <w:pPr>
        <w:snapToGrid w:val="0"/>
        <w:spacing w:line="500" w:lineRule="exact"/>
        <w:ind w:firstLine="472" w:firstLineChars="200"/>
        <w:rPr>
          <w:rFonts w:eastAsia="仿宋"/>
          <w:bCs/>
          <w:color w:val="000000"/>
          <w:spacing w:val="-2"/>
        </w:rPr>
      </w:pPr>
      <w:r>
        <w:rPr>
          <w:rFonts w:eastAsia="仿宋"/>
          <w:bCs/>
          <w:color w:val="000000"/>
          <w:spacing w:val="-2"/>
        </w:rPr>
        <w:t>18.2投标人在评审过程中，所进行的</w:t>
      </w:r>
      <w:r>
        <w:rPr>
          <w:rFonts w:eastAsia="仿宋"/>
          <w:bCs/>
          <w:spacing w:val="-2"/>
        </w:rPr>
        <w:t>意图</w:t>
      </w:r>
      <w:r>
        <w:rPr>
          <w:rFonts w:eastAsia="仿宋"/>
          <w:bCs/>
          <w:color w:val="000000"/>
          <w:spacing w:val="-2"/>
        </w:rPr>
        <w:t>影响评标结果的不符合《政府采购法》及本次招标有关规定的活动，将被取消成交资格。</w:t>
      </w:r>
    </w:p>
    <w:p>
      <w:pPr>
        <w:snapToGrid w:val="0"/>
        <w:spacing w:line="500" w:lineRule="exact"/>
        <w:ind w:firstLine="480" w:firstLineChars="200"/>
        <w:rPr>
          <w:rFonts w:eastAsia="仿宋"/>
          <w:bCs/>
          <w:color w:val="000000"/>
        </w:rPr>
      </w:pPr>
      <w:r>
        <w:rPr>
          <w:rFonts w:eastAsia="仿宋"/>
          <w:bCs/>
          <w:color w:val="000000"/>
        </w:rPr>
        <w:t>19.初步评审</w:t>
      </w:r>
    </w:p>
    <w:p>
      <w:pPr>
        <w:snapToGrid w:val="0"/>
        <w:spacing w:line="500" w:lineRule="exact"/>
        <w:ind w:firstLine="472" w:firstLineChars="200"/>
        <w:rPr>
          <w:rFonts w:eastAsia="仿宋"/>
          <w:bCs/>
          <w:color w:val="000000"/>
          <w:spacing w:val="-2"/>
        </w:rPr>
      </w:pPr>
      <w:r>
        <w:rPr>
          <w:rFonts w:eastAsia="仿宋"/>
          <w:bCs/>
          <w:color w:val="000000"/>
          <w:spacing w:val="-2"/>
        </w:rPr>
        <w:t>19.1评标小组对投标文件的有效性、完整性和响应程度进行审查时，可以书面方式要求投标人对投标文件中含义不明确、对同类问题表述不一致或者有明显文字和计算错误的内容作必要的澄清、说明或补正。投标人的澄清、说明或补正应以书面方式进行,</w:t>
      </w:r>
      <w:r>
        <w:rPr>
          <w:rFonts w:eastAsia="仿宋"/>
          <w:bCs/>
        </w:rPr>
        <w:t xml:space="preserve"> </w:t>
      </w:r>
      <w:r>
        <w:rPr>
          <w:rFonts w:eastAsia="仿宋"/>
          <w:bCs/>
          <w:color w:val="000000"/>
          <w:spacing w:val="-2"/>
        </w:rPr>
        <w:t>并由法定代表人或其授权的代表签字。投标人的澄清、说明或者补正不得超出投标文件的范围或者改变投标文件的实质性内容。</w:t>
      </w:r>
    </w:p>
    <w:p>
      <w:pPr>
        <w:snapToGrid w:val="0"/>
        <w:spacing w:line="500" w:lineRule="exact"/>
        <w:ind w:firstLine="480" w:firstLineChars="200"/>
        <w:rPr>
          <w:rFonts w:eastAsia="仿宋"/>
          <w:bCs/>
        </w:rPr>
      </w:pPr>
      <w:r>
        <w:rPr>
          <w:rFonts w:eastAsia="仿宋"/>
          <w:bCs/>
        </w:rPr>
        <w:t>（一）投标文件中开标一览表（报价表）内容与投标文件中相应内容不一致的，以开标一览表（报价表）为准；</w:t>
      </w:r>
    </w:p>
    <w:p>
      <w:pPr>
        <w:snapToGrid w:val="0"/>
        <w:spacing w:line="500" w:lineRule="exact"/>
        <w:ind w:firstLine="480" w:firstLineChars="200"/>
        <w:rPr>
          <w:rFonts w:eastAsia="仿宋"/>
          <w:bCs/>
        </w:rPr>
      </w:pPr>
      <w:r>
        <w:rPr>
          <w:rFonts w:eastAsia="仿宋"/>
          <w:bCs/>
        </w:rPr>
        <w:t>（二）单价金额小数点或者百分比有明显错位的，以开标一览表的总价为准；</w:t>
      </w:r>
    </w:p>
    <w:p>
      <w:pPr>
        <w:snapToGrid w:val="0"/>
        <w:spacing w:line="500" w:lineRule="exact"/>
        <w:ind w:firstLine="480" w:firstLineChars="200"/>
        <w:rPr>
          <w:rFonts w:eastAsia="仿宋"/>
          <w:bCs/>
        </w:rPr>
      </w:pPr>
      <w:r>
        <w:rPr>
          <w:rFonts w:eastAsia="仿宋"/>
          <w:bCs/>
        </w:rPr>
        <w:t>同时出现两种以上不一致的，按照前款规定的顺序修正。修正后的报价经投标人确认后产生约束力，投标人不确认的，其投标无效。</w:t>
      </w:r>
    </w:p>
    <w:p>
      <w:pPr>
        <w:snapToGrid w:val="0"/>
        <w:spacing w:line="500" w:lineRule="exact"/>
        <w:ind w:firstLine="472" w:firstLineChars="200"/>
        <w:rPr>
          <w:rFonts w:eastAsia="仿宋"/>
          <w:bCs/>
          <w:color w:val="000000"/>
          <w:spacing w:val="-2"/>
        </w:rPr>
      </w:pPr>
      <w:r>
        <w:rPr>
          <w:rFonts w:eastAsia="仿宋"/>
          <w:bCs/>
          <w:color w:val="000000"/>
          <w:spacing w:val="-2"/>
        </w:rPr>
        <w:t>19.2在评审过程中，评标小组发现投标人的报价明显低于其他投标报价，使得其投标报价可能低于其个别成本的，应当要求该投标人做出书面说明并提供相关证明材料。投标人不能合理说明或者不能提供相关证明材料的，评标小组认定该投标人以低于成本报价竞标，其投标将被否决。</w:t>
      </w:r>
    </w:p>
    <w:p>
      <w:pPr>
        <w:snapToGrid w:val="0"/>
        <w:spacing w:line="500" w:lineRule="exact"/>
        <w:ind w:firstLine="472" w:firstLineChars="200"/>
        <w:rPr>
          <w:rFonts w:eastAsia="仿宋"/>
          <w:bCs/>
          <w:color w:val="000000"/>
          <w:shd w:val="clear" w:color="auto" w:fill="FFEDC4"/>
        </w:rPr>
      </w:pPr>
      <w:r>
        <w:rPr>
          <w:rFonts w:eastAsia="仿宋"/>
          <w:bCs/>
          <w:color w:val="000000"/>
          <w:spacing w:val="-2"/>
        </w:rPr>
        <w:t>19.3评标小组对各投标人的投标报价进行评审，对超出控价的投标人废标，对低于成本价的报价予以淘汰。采购人不接受不符合国家有关部门相关规定的投标报价或优惠方案。</w:t>
      </w:r>
    </w:p>
    <w:p>
      <w:pPr>
        <w:snapToGrid w:val="0"/>
        <w:spacing w:line="500" w:lineRule="exact"/>
        <w:ind w:firstLine="472" w:firstLineChars="200"/>
        <w:rPr>
          <w:rFonts w:eastAsia="仿宋"/>
          <w:bCs/>
          <w:color w:val="000000"/>
          <w:spacing w:val="-2"/>
        </w:rPr>
      </w:pPr>
      <w:r>
        <w:rPr>
          <w:rFonts w:eastAsia="仿宋"/>
          <w:bCs/>
          <w:color w:val="000000"/>
          <w:spacing w:val="-2"/>
        </w:rPr>
        <w:t>19.4在评审过程中，评标小组发现投标人以他人名义投标、串通投标、以行贿手段谋取中标或者以其他弄虚作假方式投标的，该投标人的投标将被否决。</w:t>
      </w:r>
    </w:p>
    <w:p>
      <w:pPr>
        <w:snapToGrid w:val="0"/>
        <w:spacing w:line="500" w:lineRule="exact"/>
        <w:ind w:firstLine="472" w:firstLineChars="200"/>
        <w:rPr>
          <w:rFonts w:eastAsia="仿宋"/>
          <w:bCs/>
          <w:color w:val="000000"/>
          <w:spacing w:val="-2"/>
        </w:rPr>
      </w:pPr>
      <w:r>
        <w:rPr>
          <w:rFonts w:eastAsia="仿宋"/>
          <w:bCs/>
          <w:color w:val="000000"/>
          <w:spacing w:val="-2"/>
        </w:rPr>
        <w:t>有下列情形之一的，视为投标人串通投标，其投标无效：</w:t>
      </w:r>
    </w:p>
    <w:p>
      <w:pPr>
        <w:snapToGrid w:val="0"/>
        <w:spacing w:line="500" w:lineRule="exact"/>
        <w:ind w:firstLine="472" w:firstLineChars="200"/>
        <w:rPr>
          <w:rFonts w:eastAsia="仿宋"/>
          <w:bCs/>
          <w:color w:val="000000"/>
          <w:spacing w:val="-2"/>
        </w:rPr>
      </w:pPr>
      <w:r>
        <w:rPr>
          <w:rFonts w:eastAsia="仿宋"/>
          <w:bCs/>
          <w:color w:val="000000"/>
          <w:spacing w:val="-2"/>
        </w:rPr>
        <w:t>（一）不同投标人的投标文件由同一单位或者个人编制；</w:t>
      </w:r>
    </w:p>
    <w:p>
      <w:pPr>
        <w:snapToGrid w:val="0"/>
        <w:spacing w:line="500" w:lineRule="exact"/>
        <w:ind w:firstLine="472" w:firstLineChars="200"/>
        <w:rPr>
          <w:rFonts w:eastAsia="仿宋"/>
          <w:bCs/>
          <w:color w:val="000000"/>
          <w:spacing w:val="-2"/>
        </w:rPr>
      </w:pPr>
      <w:r>
        <w:rPr>
          <w:rFonts w:eastAsia="仿宋"/>
          <w:bCs/>
          <w:color w:val="000000"/>
          <w:spacing w:val="-2"/>
        </w:rPr>
        <w:t>（二）不同投标人委托同一单位或者个人办理投标事宜；</w:t>
      </w:r>
    </w:p>
    <w:p>
      <w:pPr>
        <w:snapToGrid w:val="0"/>
        <w:spacing w:line="500" w:lineRule="exact"/>
        <w:ind w:firstLine="472" w:firstLineChars="200"/>
        <w:rPr>
          <w:rFonts w:eastAsia="仿宋"/>
          <w:bCs/>
          <w:color w:val="000000"/>
          <w:spacing w:val="-2"/>
        </w:rPr>
      </w:pPr>
      <w:r>
        <w:rPr>
          <w:rFonts w:eastAsia="仿宋"/>
          <w:bCs/>
          <w:color w:val="000000"/>
          <w:spacing w:val="-2"/>
        </w:rPr>
        <w:t>（三）不同投标人的投标文件载明的项目管理成员或者联系人员为同一人；</w:t>
      </w:r>
    </w:p>
    <w:p>
      <w:pPr>
        <w:snapToGrid w:val="0"/>
        <w:spacing w:line="500" w:lineRule="exact"/>
        <w:ind w:firstLine="472" w:firstLineChars="200"/>
        <w:rPr>
          <w:rFonts w:eastAsia="仿宋"/>
          <w:bCs/>
          <w:color w:val="000000"/>
          <w:spacing w:val="-2"/>
        </w:rPr>
      </w:pPr>
      <w:r>
        <w:rPr>
          <w:rFonts w:eastAsia="仿宋"/>
          <w:bCs/>
          <w:color w:val="000000"/>
          <w:spacing w:val="-2"/>
        </w:rPr>
        <w:t>（四）不同投标人的投标文件异常一致或者投标报价呈规律性差异；</w:t>
      </w:r>
    </w:p>
    <w:p>
      <w:pPr>
        <w:snapToGrid w:val="0"/>
        <w:spacing w:line="500" w:lineRule="exact"/>
        <w:ind w:firstLine="472" w:firstLineChars="200"/>
        <w:rPr>
          <w:rFonts w:eastAsia="仿宋"/>
          <w:bCs/>
          <w:color w:val="000000"/>
          <w:spacing w:val="-2"/>
        </w:rPr>
      </w:pPr>
      <w:r>
        <w:rPr>
          <w:rFonts w:eastAsia="仿宋"/>
          <w:bCs/>
          <w:color w:val="000000"/>
          <w:spacing w:val="-2"/>
        </w:rPr>
        <w:t>（五）不同投标人的投标文件相互混装；</w:t>
      </w:r>
    </w:p>
    <w:p>
      <w:pPr>
        <w:snapToGrid w:val="0"/>
        <w:spacing w:line="500" w:lineRule="exact"/>
        <w:ind w:firstLine="472" w:firstLineChars="200"/>
        <w:rPr>
          <w:rFonts w:eastAsia="仿宋"/>
          <w:bCs/>
          <w:color w:val="000000"/>
          <w:spacing w:val="-2"/>
        </w:rPr>
      </w:pPr>
      <w:r>
        <w:rPr>
          <w:rFonts w:eastAsia="仿宋"/>
          <w:bCs/>
          <w:color w:val="000000"/>
          <w:spacing w:val="-2"/>
        </w:rPr>
        <w:t>（六）不同投标人的投标保证金从同一单位或者个人的账户转出。</w:t>
      </w:r>
    </w:p>
    <w:p>
      <w:pPr>
        <w:snapToGrid w:val="0"/>
        <w:spacing w:line="500" w:lineRule="exact"/>
        <w:ind w:firstLine="472" w:firstLineChars="200"/>
        <w:rPr>
          <w:rFonts w:eastAsia="仿宋"/>
          <w:bCs/>
          <w:color w:val="000000"/>
          <w:spacing w:val="-2"/>
        </w:rPr>
      </w:pPr>
      <w:r>
        <w:rPr>
          <w:rFonts w:eastAsia="仿宋"/>
          <w:bCs/>
          <w:color w:val="000000"/>
          <w:spacing w:val="-2"/>
        </w:rPr>
        <w:t>19.5投标人的资格条件不符合第一章投标人的资格要求的或国家有关规定的，或者拒不按照要求对投标文件进行澄清、说明或补正的，评标小组可以否决其投标。</w:t>
      </w:r>
    </w:p>
    <w:p>
      <w:pPr>
        <w:snapToGrid w:val="0"/>
        <w:spacing w:line="500" w:lineRule="exact"/>
        <w:ind w:firstLine="472" w:firstLineChars="200"/>
        <w:rPr>
          <w:rFonts w:eastAsia="仿宋"/>
          <w:bCs/>
          <w:color w:val="000000"/>
          <w:spacing w:val="-2"/>
        </w:rPr>
      </w:pPr>
      <w:r>
        <w:rPr>
          <w:rFonts w:eastAsia="仿宋"/>
          <w:bCs/>
          <w:color w:val="000000"/>
          <w:spacing w:val="-2"/>
        </w:rPr>
        <w:t>19.6评标小组应当审查每一投标文件是否对招标文件提出的所有实质性要求和条件做出响应。未能在实质上响应的投标，其投标将被否决。</w:t>
      </w:r>
    </w:p>
    <w:p>
      <w:pPr>
        <w:snapToGrid w:val="0"/>
        <w:spacing w:line="500" w:lineRule="exact"/>
        <w:ind w:firstLine="472" w:firstLineChars="200"/>
        <w:rPr>
          <w:rFonts w:eastAsia="仿宋"/>
          <w:bCs/>
          <w:color w:val="000000"/>
          <w:spacing w:val="-2"/>
        </w:rPr>
      </w:pPr>
      <w:r>
        <w:rPr>
          <w:rFonts w:eastAsia="仿宋"/>
          <w:bCs/>
          <w:color w:val="000000"/>
          <w:spacing w:val="-2"/>
        </w:rPr>
        <w:t>19.7投标人不得误导、干扰采购人的评审活动，否则将有可能否决其投标。</w:t>
      </w:r>
    </w:p>
    <w:p>
      <w:pPr>
        <w:snapToGrid w:val="0"/>
        <w:spacing w:line="500" w:lineRule="exact"/>
        <w:ind w:firstLine="472" w:firstLineChars="200"/>
        <w:rPr>
          <w:rFonts w:eastAsia="仿宋"/>
          <w:bCs/>
          <w:color w:val="000000"/>
          <w:spacing w:val="-2"/>
        </w:rPr>
      </w:pPr>
      <w:r>
        <w:rPr>
          <w:rFonts w:eastAsia="仿宋"/>
          <w:bCs/>
          <w:color w:val="000000"/>
          <w:spacing w:val="-2"/>
        </w:rPr>
        <w:t>19.8评标小组应当根据招标文件，审查并逐项列出投标文件的全部投标偏差。投标偏差分为重大偏差和细微偏差。</w:t>
      </w:r>
    </w:p>
    <w:p>
      <w:pPr>
        <w:snapToGrid w:val="0"/>
        <w:spacing w:line="500" w:lineRule="exact"/>
        <w:ind w:firstLine="472" w:firstLineChars="200"/>
        <w:rPr>
          <w:rFonts w:eastAsia="仿宋"/>
          <w:bCs/>
          <w:color w:val="000000"/>
          <w:spacing w:val="-2"/>
        </w:rPr>
      </w:pPr>
      <w:r>
        <w:rPr>
          <w:rFonts w:eastAsia="仿宋"/>
          <w:bCs/>
          <w:color w:val="000000"/>
          <w:spacing w:val="-2"/>
        </w:rPr>
        <w:t>19.9下列情况属于重大偏差：</w:t>
      </w:r>
    </w:p>
    <w:p>
      <w:pPr>
        <w:snapToGrid w:val="0"/>
        <w:spacing w:line="500" w:lineRule="exact"/>
        <w:ind w:firstLine="472" w:firstLineChars="200"/>
        <w:rPr>
          <w:rFonts w:eastAsia="仿宋"/>
          <w:bCs/>
          <w:color w:val="000000"/>
          <w:spacing w:val="-2"/>
        </w:rPr>
      </w:pPr>
      <w:r>
        <w:rPr>
          <w:rFonts w:eastAsia="仿宋"/>
          <w:bCs/>
          <w:color w:val="000000"/>
          <w:spacing w:val="-2"/>
        </w:rPr>
        <w:t>（一）未按照招标文件中规定的资格要求提供相关资格证明文件的；</w:t>
      </w:r>
    </w:p>
    <w:p>
      <w:pPr>
        <w:snapToGrid w:val="0"/>
        <w:spacing w:line="500" w:lineRule="exact"/>
        <w:ind w:firstLine="472" w:firstLineChars="200"/>
        <w:rPr>
          <w:rFonts w:eastAsia="仿宋"/>
          <w:bCs/>
          <w:color w:val="000000"/>
          <w:spacing w:val="-2"/>
        </w:rPr>
      </w:pPr>
      <w:r>
        <w:rPr>
          <w:rFonts w:eastAsia="仿宋"/>
          <w:bCs/>
          <w:color w:val="000000"/>
          <w:spacing w:val="-2"/>
        </w:rPr>
        <w:t>（二）投标文件没有按照招标文件规定格式要求签字并加盖公章的；</w:t>
      </w:r>
    </w:p>
    <w:p>
      <w:pPr>
        <w:snapToGrid w:val="0"/>
        <w:spacing w:line="500" w:lineRule="exact"/>
        <w:ind w:firstLine="472" w:firstLineChars="200"/>
        <w:rPr>
          <w:rFonts w:eastAsia="仿宋"/>
          <w:bCs/>
          <w:color w:val="000000"/>
          <w:spacing w:val="-2"/>
        </w:rPr>
      </w:pPr>
      <w:r>
        <w:rPr>
          <w:rFonts w:eastAsia="仿宋"/>
          <w:bCs/>
          <w:color w:val="000000"/>
          <w:spacing w:val="-2"/>
        </w:rPr>
        <w:t>（三）投标文件附有招标人不能接受的条件的；</w:t>
      </w:r>
    </w:p>
    <w:p>
      <w:pPr>
        <w:snapToGrid w:val="0"/>
        <w:spacing w:line="500" w:lineRule="exact"/>
        <w:ind w:firstLine="472" w:firstLineChars="200"/>
        <w:rPr>
          <w:rFonts w:eastAsia="仿宋"/>
          <w:bCs/>
          <w:color w:val="000000"/>
          <w:spacing w:val="-2"/>
        </w:rPr>
      </w:pPr>
      <w:r>
        <w:rPr>
          <w:rFonts w:eastAsia="仿宋"/>
          <w:bCs/>
          <w:color w:val="000000"/>
          <w:spacing w:val="-2"/>
        </w:rPr>
        <w:t>（四）投标文件正、副本份数不符合招标文件规定的；</w:t>
      </w:r>
    </w:p>
    <w:p>
      <w:pPr>
        <w:snapToGrid w:val="0"/>
        <w:spacing w:line="500" w:lineRule="exact"/>
        <w:ind w:firstLine="472" w:firstLineChars="200"/>
        <w:rPr>
          <w:rFonts w:eastAsia="仿宋"/>
          <w:bCs/>
          <w:color w:val="000000"/>
          <w:spacing w:val="-2"/>
        </w:rPr>
      </w:pPr>
      <w:r>
        <w:rPr>
          <w:rFonts w:eastAsia="仿宋"/>
          <w:bCs/>
          <w:color w:val="000000"/>
          <w:spacing w:val="-2"/>
        </w:rPr>
        <w:t>（五）投标文件未实质性响应招标文件要求的。</w:t>
      </w:r>
    </w:p>
    <w:p>
      <w:pPr>
        <w:snapToGrid w:val="0"/>
        <w:spacing w:line="500" w:lineRule="exact"/>
        <w:ind w:firstLine="472" w:firstLineChars="200"/>
        <w:rPr>
          <w:rFonts w:eastAsia="仿宋"/>
          <w:bCs/>
          <w:color w:val="000000"/>
          <w:spacing w:val="-2"/>
        </w:rPr>
      </w:pPr>
      <w:r>
        <w:rPr>
          <w:rFonts w:eastAsia="仿宋"/>
          <w:bCs/>
          <w:color w:val="000000"/>
          <w:spacing w:val="-2"/>
        </w:rPr>
        <w:t>投标文件有违反上述情形之一的，视为未能对招标文件做出实质性响应的投标，作废标处理，不再进入以后的评标程序。</w:t>
      </w:r>
    </w:p>
    <w:p>
      <w:pPr>
        <w:snapToGrid w:val="0"/>
        <w:spacing w:line="500" w:lineRule="exact"/>
        <w:ind w:firstLine="472" w:firstLineChars="200"/>
        <w:rPr>
          <w:rFonts w:eastAsia="仿宋"/>
          <w:bCs/>
          <w:color w:val="000000"/>
          <w:spacing w:val="-2"/>
        </w:rPr>
      </w:pPr>
      <w:r>
        <w:rPr>
          <w:rFonts w:eastAsia="仿宋"/>
          <w:bCs/>
          <w:color w:val="000000"/>
          <w:spacing w:val="-2"/>
        </w:rPr>
        <w:t>19.10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napToGrid w:val="0"/>
        <w:spacing w:line="500" w:lineRule="exact"/>
        <w:ind w:firstLine="472" w:firstLineChars="200"/>
        <w:rPr>
          <w:rFonts w:eastAsia="仿宋"/>
          <w:bCs/>
          <w:color w:val="000000"/>
          <w:spacing w:val="-2"/>
        </w:rPr>
      </w:pPr>
      <w:r>
        <w:rPr>
          <w:rFonts w:eastAsia="仿宋"/>
          <w:bCs/>
          <w:color w:val="000000"/>
          <w:spacing w:val="-2"/>
        </w:rPr>
        <w:t>评标小组应当要求存在细小偏差的投标人在评标结束前以书面形式予以补正。拒绝补正的，在详细评审时可以对细微偏差作不利于该投标人的量化。</w:t>
      </w:r>
    </w:p>
    <w:p>
      <w:pPr>
        <w:snapToGrid w:val="0"/>
        <w:spacing w:line="500" w:lineRule="exact"/>
        <w:ind w:firstLine="472" w:firstLineChars="200"/>
        <w:rPr>
          <w:rFonts w:eastAsia="仿宋"/>
          <w:bCs/>
          <w:color w:val="000000"/>
          <w:spacing w:val="-2"/>
        </w:rPr>
      </w:pPr>
      <w:r>
        <w:rPr>
          <w:rFonts w:eastAsia="仿宋"/>
          <w:bCs/>
          <w:color w:val="000000"/>
          <w:spacing w:val="-2"/>
        </w:rPr>
        <w:t>19.11评标小组根据上述规定否决不合格的投标文件。</w:t>
      </w:r>
    </w:p>
    <w:p>
      <w:pPr>
        <w:snapToGrid w:val="0"/>
        <w:spacing w:line="500" w:lineRule="exact"/>
        <w:ind w:firstLine="480" w:firstLineChars="200"/>
        <w:rPr>
          <w:rFonts w:eastAsia="仿宋"/>
          <w:bCs/>
          <w:color w:val="000000"/>
        </w:rPr>
      </w:pPr>
      <w:r>
        <w:rPr>
          <w:rFonts w:eastAsia="仿宋"/>
          <w:bCs/>
          <w:color w:val="000000"/>
        </w:rPr>
        <w:t>20．详细评审</w:t>
      </w:r>
    </w:p>
    <w:p>
      <w:pPr>
        <w:snapToGrid w:val="0"/>
        <w:spacing w:line="500" w:lineRule="exact"/>
        <w:ind w:firstLine="472" w:firstLineChars="200"/>
        <w:rPr>
          <w:rFonts w:eastAsia="仿宋"/>
          <w:bCs/>
          <w:color w:val="000000"/>
          <w:spacing w:val="-2"/>
        </w:rPr>
      </w:pPr>
      <w:r>
        <w:rPr>
          <w:rFonts w:eastAsia="仿宋"/>
          <w:bCs/>
          <w:color w:val="000000"/>
          <w:spacing w:val="-2"/>
        </w:rPr>
        <w:t>20.1评审方法：综合评分法</w:t>
      </w:r>
    </w:p>
    <w:p>
      <w:pPr>
        <w:snapToGrid w:val="0"/>
        <w:spacing w:line="500" w:lineRule="exact"/>
        <w:ind w:firstLine="472" w:firstLineChars="200"/>
        <w:rPr>
          <w:rFonts w:eastAsia="仿宋"/>
          <w:bCs/>
          <w:color w:val="000000"/>
          <w:spacing w:val="-2"/>
        </w:rPr>
      </w:pPr>
      <w:r>
        <w:rPr>
          <w:rFonts w:eastAsia="仿宋"/>
          <w:bCs/>
          <w:color w:val="000000"/>
          <w:spacing w:val="-2"/>
        </w:rPr>
        <w:t>20.2根据综合评分法完成评审工作后，评标小组应当拟定一份书面评审报告提交采购人。评审报告应当载明投标人的投标项目、所做的任何修正、对商业偏差的调整、对技术偏差的调整、对各评审因素的评估以及对每一投标的最终评审结果。</w:t>
      </w:r>
    </w:p>
    <w:p>
      <w:pPr>
        <w:snapToGrid w:val="0"/>
        <w:spacing w:line="500" w:lineRule="exact"/>
        <w:ind w:firstLine="472" w:firstLineChars="200"/>
        <w:rPr>
          <w:rFonts w:eastAsia="仿宋"/>
          <w:bCs/>
          <w:color w:val="000000"/>
          <w:spacing w:val="-2"/>
        </w:rPr>
      </w:pPr>
      <w:r>
        <w:rPr>
          <w:rFonts w:eastAsia="仿宋"/>
          <w:bCs/>
          <w:color w:val="000000"/>
          <w:spacing w:val="-2"/>
        </w:rPr>
        <w:t>20.3评审因素及标准(详见评分细则)</w:t>
      </w:r>
    </w:p>
    <w:p>
      <w:pPr>
        <w:snapToGrid w:val="0"/>
        <w:spacing w:line="500" w:lineRule="exact"/>
        <w:ind w:firstLine="480" w:firstLineChars="200"/>
        <w:rPr>
          <w:rFonts w:eastAsia="仿宋"/>
          <w:bCs/>
        </w:rPr>
      </w:pPr>
      <w:r>
        <w:rPr>
          <w:rFonts w:eastAsia="仿宋"/>
          <w:bCs/>
        </w:rPr>
        <w:t>21．评估与比较</w:t>
      </w:r>
    </w:p>
    <w:p>
      <w:pPr>
        <w:snapToGrid w:val="0"/>
        <w:spacing w:line="500" w:lineRule="exact"/>
        <w:ind w:firstLine="480" w:firstLineChars="200"/>
        <w:rPr>
          <w:rFonts w:eastAsia="仿宋"/>
          <w:bCs/>
        </w:rPr>
      </w:pPr>
      <w:r>
        <w:rPr>
          <w:rFonts w:eastAsia="仿宋"/>
          <w:bCs/>
        </w:rPr>
        <w:t>21.1 若投标人的报价明显低于其他报价，使得其投标报价可能低于其个别成本的，有可能影响商品质量或不能诚信履约的，投标人应按评标小组要求做出书面说明并提供相关证明材料，不能合理说明或不能提供相关证明材料的，可作无效投标处理。</w:t>
      </w:r>
    </w:p>
    <w:p>
      <w:pPr>
        <w:snapToGrid w:val="0"/>
        <w:spacing w:line="500" w:lineRule="exact"/>
        <w:ind w:firstLine="480" w:firstLineChars="200"/>
        <w:rPr>
          <w:rFonts w:eastAsia="仿宋"/>
          <w:bCs/>
        </w:rPr>
      </w:pPr>
      <w:r>
        <w:rPr>
          <w:rFonts w:eastAsia="仿宋"/>
          <w:bCs/>
        </w:rPr>
        <w:t>21.2评标小组将按比较与评价最优在先原则, 排列评价顺序,确定中标候选人推荐给招标人。</w:t>
      </w:r>
    </w:p>
    <w:p>
      <w:pPr>
        <w:snapToGrid w:val="0"/>
        <w:spacing w:line="500" w:lineRule="exact"/>
        <w:ind w:firstLine="480" w:firstLineChars="200"/>
        <w:rPr>
          <w:rFonts w:eastAsia="仿宋"/>
          <w:bCs/>
        </w:rPr>
      </w:pPr>
      <w:r>
        <w:rPr>
          <w:rFonts w:eastAsia="仿宋"/>
          <w:bCs/>
        </w:rPr>
        <w:t>21.3 在评标期间，若出现符合本须知规定的所有投标条件的投标人不足三家情形的，本次招标程序终止，除采购任务取消情形外，招标采购单位将依法重新组织招标或者采取其他方式采购。</w:t>
      </w:r>
    </w:p>
    <w:p>
      <w:pPr>
        <w:snapToGrid w:val="0"/>
        <w:spacing w:line="500" w:lineRule="exact"/>
        <w:ind w:firstLine="480" w:firstLineChars="200"/>
        <w:rPr>
          <w:rFonts w:eastAsia="仿宋"/>
          <w:bCs/>
        </w:rPr>
      </w:pPr>
      <w:r>
        <w:rPr>
          <w:rFonts w:eastAsia="仿宋"/>
          <w:bCs/>
        </w:rPr>
        <w:t>21.4评标方法和标准：本项目采用综合评分法确定中标单位。</w:t>
      </w:r>
    </w:p>
    <w:p>
      <w:pPr>
        <w:snapToGrid w:val="0"/>
        <w:spacing w:line="500" w:lineRule="exact"/>
        <w:ind w:firstLine="482" w:firstLineChars="200"/>
        <w:rPr>
          <w:rFonts w:eastAsia="仿宋"/>
          <w:b/>
          <w:bCs/>
        </w:rPr>
      </w:pPr>
      <w:r>
        <w:rPr>
          <w:rFonts w:eastAsia="仿宋"/>
          <w:b/>
          <w:bCs/>
        </w:rPr>
        <w:t>在综合评价分值中，技术、商务评分满分为</w:t>
      </w:r>
      <w:r>
        <w:rPr>
          <w:rFonts w:hint="eastAsia" w:eastAsia="仿宋"/>
          <w:b/>
          <w:bCs/>
          <w:lang w:val="en-US" w:eastAsia="zh-CN"/>
        </w:rPr>
        <w:t>70</w:t>
      </w:r>
      <w:r>
        <w:rPr>
          <w:rFonts w:eastAsia="仿宋"/>
          <w:b/>
          <w:bCs/>
        </w:rPr>
        <w:t>分，</w:t>
      </w:r>
      <w:r>
        <w:rPr>
          <w:rFonts w:hint="eastAsia" w:eastAsia="仿宋"/>
          <w:b/>
          <w:bCs/>
        </w:rPr>
        <w:t>价格分值满分为</w:t>
      </w:r>
      <w:r>
        <w:rPr>
          <w:rFonts w:hint="eastAsia" w:eastAsia="仿宋"/>
          <w:b/>
          <w:bCs/>
          <w:lang w:val="en-US" w:eastAsia="zh-CN"/>
        </w:rPr>
        <w:t>30</w:t>
      </w:r>
      <w:r>
        <w:rPr>
          <w:rFonts w:hint="eastAsia" w:eastAsia="仿宋"/>
          <w:b/>
          <w:bCs/>
        </w:rPr>
        <w:t>分。</w:t>
      </w:r>
      <w:r>
        <w:rPr>
          <w:rFonts w:eastAsia="仿宋"/>
          <w:b/>
          <w:bCs/>
        </w:rPr>
        <w:t xml:space="preserve">价格分计算公式为：投标报价得分＝（评标基准价/投标报价）×价格权值×100。报价得分为负数的按零分计。 </w:t>
      </w:r>
    </w:p>
    <w:p>
      <w:pPr>
        <w:snapToGrid w:val="0"/>
        <w:spacing w:line="500" w:lineRule="exact"/>
        <w:ind w:firstLine="480" w:firstLineChars="200"/>
        <w:rPr>
          <w:rFonts w:eastAsia="仿宋"/>
          <w:bCs/>
        </w:rPr>
      </w:pPr>
      <w:r>
        <w:rPr>
          <w:rFonts w:eastAsia="仿宋"/>
          <w:bCs/>
        </w:rPr>
        <w:t>评标基准价：为所有投标有效报价的合理最低报价。</w:t>
      </w:r>
    </w:p>
    <w:p>
      <w:pPr>
        <w:snapToGrid w:val="0"/>
        <w:spacing w:line="500" w:lineRule="exact"/>
        <w:ind w:firstLine="480" w:firstLineChars="200"/>
        <w:rPr>
          <w:rFonts w:eastAsia="仿宋"/>
          <w:bCs/>
        </w:rPr>
      </w:pPr>
      <w:r>
        <w:rPr>
          <w:rFonts w:eastAsia="仿宋"/>
          <w:bCs/>
        </w:rPr>
        <w:t>合计满分为100分。</w:t>
      </w:r>
    </w:p>
    <w:p>
      <w:pPr>
        <w:snapToGrid w:val="0"/>
        <w:spacing w:line="500" w:lineRule="exact"/>
        <w:ind w:firstLine="480" w:firstLineChars="200"/>
        <w:rPr>
          <w:rFonts w:eastAsia="仿宋"/>
          <w:bCs/>
        </w:rPr>
      </w:pPr>
      <w:r>
        <w:rPr>
          <w:rFonts w:eastAsia="仿宋"/>
          <w:bCs/>
        </w:rPr>
        <w:t>备注：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pStyle w:val="3"/>
        <w:numPr>
          <w:ilvl w:val="0"/>
          <w:numId w:val="0"/>
        </w:numPr>
        <w:ind w:left="480" w:leftChars="200" w:firstLine="480" w:firstLineChars="200"/>
        <w:rPr>
          <w:rFonts w:hint="eastAsia" w:eastAsia="仿宋" w:asciiTheme="minorEastAsia" w:hAnsiTheme="minorEastAsia" w:cstheme="minorEastAsia"/>
          <w:b w:val="0"/>
          <w:bCs/>
          <w:kern w:val="2"/>
          <w:sz w:val="24"/>
          <w:szCs w:val="24"/>
          <w:lang w:val="en-US" w:eastAsia="zh-CN" w:bidi="ar-SA"/>
        </w:rPr>
      </w:pPr>
      <w:bookmarkStart w:id="61" w:name="_Toc13895"/>
      <w:r>
        <w:rPr>
          <w:rFonts w:hint="eastAsia" w:eastAsia="仿宋" w:asciiTheme="minorEastAsia" w:hAnsiTheme="minorEastAsia" w:cstheme="minorEastAsia"/>
          <w:b w:val="0"/>
          <w:bCs/>
          <w:kern w:val="2"/>
          <w:sz w:val="24"/>
          <w:szCs w:val="24"/>
          <w:lang w:val="en-US" w:eastAsia="zh-CN" w:bidi="ar-SA"/>
        </w:rPr>
        <w:t>根据《政府采购促进中小企业发展管理办法》（财库[2020]46号）、《</w:t>
      </w:r>
      <w:r>
        <w:rPr>
          <w:rFonts w:eastAsia="仿宋" w:asciiTheme="minorEastAsia" w:hAnsiTheme="minorEastAsia" w:cstheme="minorEastAsia"/>
          <w:b w:val="0"/>
          <w:bCs/>
          <w:kern w:val="2"/>
          <w:sz w:val="24"/>
          <w:szCs w:val="24"/>
          <w:lang w:val="en-US" w:eastAsia="zh-CN" w:bidi="ar-SA"/>
        </w:rPr>
        <w:t>财政部 司法部关于政府采购支持监狱企业发展有关问题的通知</w:t>
      </w:r>
      <w:r>
        <w:rPr>
          <w:rFonts w:hint="eastAsia" w:eastAsia="仿宋" w:asciiTheme="minorEastAsia" w:hAnsiTheme="minorEastAsia" w:cstheme="minorEastAsia"/>
          <w:b w:val="0"/>
          <w:bCs/>
          <w:kern w:val="2"/>
          <w:sz w:val="24"/>
          <w:szCs w:val="24"/>
          <w:lang w:val="en-US" w:eastAsia="zh-CN" w:bidi="ar-SA"/>
        </w:rPr>
        <w:t>》（财库〔2014〕68号）和《三部门联合发布关于促进残疾人就业政府采购政策的通知》（</w:t>
      </w:r>
      <w:bookmarkStart w:id="62" w:name="sendNo"/>
      <w:r>
        <w:rPr>
          <w:rFonts w:hint="eastAsia" w:eastAsia="仿宋" w:asciiTheme="minorEastAsia" w:hAnsiTheme="minorEastAsia" w:cstheme="minorEastAsia"/>
          <w:b w:val="0"/>
          <w:bCs/>
          <w:kern w:val="2"/>
          <w:sz w:val="24"/>
          <w:szCs w:val="24"/>
          <w:lang w:val="en-US" w:eastAsia="zh-CN" w:bidi="ar-SA"/>
        </w:rPr>
        <w:t>财库〔</w:t>
      </w:r>
      <w:bookmarkEnd w:id="62"/>
      <w:r>
        <w:rPr>
          <w:rFonts w:hint="eastAsia" w:eastAsia="仿宋" w:asciiTheme="minorEastAsia" w:hAnsiTheme="minorEastAsia" w:cstheme="minorEastAsia"/>
          <w:b w:val="0"/>
          <w:bCs/>
          <w:kern w:val="2"/>
          <w:sz w:val="24"/>
          <w:szCs w:val="24"/>
          <w:lang w:val="en-US" w:eastAsia="zh-CN" w:bidi="ar-SA"/>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专门面向中小企业采购的项目或者采购包，不再执行价格评审优惠的扶持政策。</w:t>
      </w:r>
      <w:bookmarkEnd w:id="61"/>
      <w:r>
        <w:rPr>
          <w:rFonts w:hint="eastAsia" w:eastAsia="仿宋" w:asciiTheme="minorEastAsia" w:hAnsiTheme="minorEastAsia" w:cstheme="minorEastAsia"/>
          <w:b w:val="0"/>
          <w:bCs/>
          <w:kern w:val="2"/>
          <w:sz w:val="24"/>
          <w:szCs w:val="24"/>
          <w:lang w:val="en-US" w:eastAsia="zh-CN" w:bidi="ar-SA"/>
        </w:rPr>
        <w:t xml:space="preserve">    </w:t>
      </w:r>
    </w:p>
    <w:p>
      <w:pPr>
        <w:pStyle w:val="3"/>
        <w:numPr>
          <w:ilvl w:val="0"/>
          <w:numId w:val="0"/>
        </w:numPr>
        <w:ind w:firstLine="480" w:firstLineChars="200"/>
        <w:rPr>
          <w:rFonts w:eastAsia="仿宋" w:asciiTheme="minorEastAsia" w:hAnsiTheme="minorEastAsia" w:cstheme="minorEastAsia"/>
          <w:b w:val="0"/>
          <w:bCs/>
          <w:kern w:val="2"/>
          <w:sz w:val="24"/>
          <w:szCs w:val="24"/>
          <w:lang w:val="en-US" w:eastAsia="zh-CN" w:bidi="ar-SA"/>
        </w:rPr>
      </w:pPr>
      <w:bookmarkStart w:id="63" w:name="_Toc23757"/>
      <w:r>
        <w:rPr>
          <w:rFonts w:eastAsia="仿宋" w:asciiTheme="minorEastAsia" w:hAnsiTheme="minorEastAsia" w:cstheme="minorEastAsia"/>
          <w:b w:val="0"/>
          <w:bCs/>
          <w:kern w:val="2"/>
          <w:sz w:val="24"/>
          <w:szCs w:val="24"/>
          <w:lang w:val="en-US" w:eastAsia="zh-CN" w:bidi="ar-SA"/>
        </w:rPr>
        <w:t>21.5、评审标准</w:t>
      </w:r>
      <w:bookmarkEnd w:id="63"/>
    </w:p>
    <w:p>
      <w:pPr>
        <w:pStyle w:val="3"/>
        <w:numPr>
          <w:ilvl w:val="0"/>
          <w:numId w:val="0"/>
        </w:numPr>
        <w:ind w:leftChars="0" w:firstLine="480" w:firstLineChars="200"/>
        <w:rPr>
          <w:rFonts w:hint="eastAsia" w:eastAsia="仿宋" w:asciiTheme="minorEastAsia" w:hAnsiTheme="minorEastAsia" w:cstheme="minorEastAsia"/>
          <w:b w:val="0"/>
          <w:bCs/>
          <w:kern w:val="2"/>
          <w:sz w:val="24"/>
          <w:szCs w:val="24"/>
          <w:lang w:val="en-US" w:eastAsia="zh-CN" w:bidi="ar-SA"/>
        </w:rPr>
      </w:pPr>
      <w:bookmarkStart w:id="64" w:name="_Toc27180"/>
      <w:r>
        <w:rPr>
          <w:rFonts w:hint="eastAsia" w:eastAsia="仿宋" w:asciiTheme="minorEastAsia" w:hAnsiTheme="minorEastAsia" w:cstheme="minorEastAsia"/>
          <w:b w:val="0"/>
          <w:bCs/>
          <w:kern w:val="2"/>
          <w:sz w:val="24"/>
          <w:szCs w:val="24"/>
          <w:lang w:val="en-US" w:eastAsia="zh-CN" w:bidi="ar-SA"/>
        </w:rPr>
        <w:t>评标小组应当对投标文件进行评审，并根据招标文件规定的程序、评定成交的标准等事项与实质性响应招标文件要求的制造商进行招标。未实质性响应招标文件的投标文件按无效处理，评标小组应当告知有关供应商。</w:t>
      </w:r>
      <w:bookmarkEnd w:id="64"/>
    </w:p>
    <w:p>
      <w:pPr>
        <w:snapToGrid w:val="0"/>
        <w:spacing w:line="500" w:lineRule="exact"/>
        <w:ind w:firstLine="480" w:firstLineChars="200"/>
        <w:rPr>
          <w:rFonts w:eastAsia="仿宋"/>
          <w:bCs/>
          <w:color w:val="000000"/>
        </w:rPr>
      </w:pPr>
      <w:r>
        <w:rPr>
          <w:rFonts w:eastAsia="仿宋"/>
          <w:bCs/>
          <w:color w:val="000000"/>
        </w:rPr>
        <w:t>22．定标原则</w:t>
      </w:r>
    </w:p>
    <w:p>
      <w:pPr>
        <w:snapToGrid w:val="0"/>
        <w:spacing w:line="500" w:lineRule="exact"/>
        <w:ind w:firstLine="472" w:firstLineChars="200"/>
        <w:rPr>
          <w:rFonts w:eastAsia="仿宋"/>
          <w:bCs/>
          <w:color w:val="000000"/>
          <w:spacing w:val="-2"/>
        </w:rPr>
      </w:pPr>
      <w:r>
        <w:rPr>
          <w:rFonts w:eastAsia="仿宋"/>
          <w:bCs/>
          <w:color w:val="000000"/>
          <w:spacing w:val="-2"/>
        </w:rPr>
        <w:t>22.1供应商通过初审后，按综合得分从高到低排序，推荐中选人。如综合评分相等则推荐报价低的作为中选人；如综合评分、评审总价均相等，则按商务及技术得分进行比较，得分高者排名高于得分低者，以此类推。</w:t>
      </w:r>
    </w:p>
    <w:p>
      <w:pPr>
        <w:snapToGrid w:val="0"/>
        <w:spacing w:line="500" w:lineRule="exact"/>
        <w:ind w:firstLine="472" w:firstLineChars="200"/>
        <w:rPr>
          <w:rFonts w:eastAsia="仿宋"/>
          <w:bCs/>
          <w:color w:val="000000"/>
        </w:rPr>
      </w:pPr>
      <w:r>
        <w:rPr>
          <w:rFonts w:eastAsia="仿宋"/>
          <w:bCs/>
          <w:color w:val="000000"/>
          <w:spacing w:val="-2"/>
        </w:rPr>
        <w:t>22.2</w:t>
      </w:r>
      <w:r>
        <w:rPr>
          <w:rFonts w:eastAsia="仿宋"/>
          <w:bCs/>
          <w:color w:val="000000"/>
        </w:rPr>
        <w:t>本次评标采用综合评分法，评标小组通过评标报告及综合得分情况各包由高到低排序确定出前三名作为成交候选人推荐给采购人。</w:t>
      </w:r>
    </w:p>
    <w:p>
      <w:pPr>
        <w:snapToGrid w:val="0"/>
        <w:spacing w:line="500" w:lineRule="exact"/>
        <w:ind w:firstLine="480" w:firstLineChars="200"/>
        <w:rPr>
          <w:rFonts w:eastAsia="仿宋"/>
          <w:bCs/>
          <w:color w:val="000000"/>
        </w:rPr>
      </w:pPr>
      <w:r>
        <w:rPr>
          <w:rFonts w:eastAsia="仿宋"/>
          <w:bCs/>
          <w:color w:val="000000"/>
        </w:rPr>
        <w:t>22.3招标人确定中标人时的原则：排名在前的候选成交供应商放弃成交、因不可抗力不能履行合同或者被查实存在影响采购结果的违法行为等情形，不符合成交条件的，采购人可按照评审委员会提出的候选成交供应商名单排序依次确定其它供应商为拟成交供应商，或重新组织采购。</w:t>
      </w:r>
    </w:p>
    <w:p>
      <w:pPr>
        <w:snapToGrid w:val="0"/>
        <w:spacing w:line="500" w:lineRule="exact"/>
        <w:ind w:firstLine="480" w:firstLineChars="200"/>
        <w:rPr>
          <w:rFonts w:eastAsia="仿宋"/>
          <w:bCs/>
          <w:color w:val="000000"/>
          <w:sz w:val="28"/>
          <w:szCs w:val="28"/>
        </w:rPr>
      </w:pPr>
      <w:r>
        <w:rPr>
          <w:rFonts w:eastAsia="仿宋"/>
          <w:bCs/>
          <w:color w:val="000000"/>
        </w:rPr>
        <w:t>22.4招标人根据招标小组的评审报告，确定中标人。</w:t>
      </w:r>
    </w:p>
    <w:p>
      <w:pPr>
        <w:snapToGrid w:val="0"/>
        <w:spacing w:line="500" w:lineRule="exact"/>
        <w:ind w:firstLine="720" w:firstLineChars="200"/>
        <w:rPr>
          <w:rFonts w:eastAsia="仿宋"/>
          <w:bCs/>
          <w:sz w:val="36"/>
          <w:szCs w:val="36"/>
        </w:rPr>
      </w:pP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65" w:name="_Toc99785531"/>
      <w:bookmarkStart w:id="66" w:name="_Toc23527899"/>
      <w:bookmarkStart w:id="67" w:name="_Toc26544"/>
      <w:r>
        <w:rPr>
          <w:rFonts w:ascii="Times New Roman" w:hAnsi="Times New Roman" w:eastAsia="仿宋"/>
          <w:b w:val="0"/>
          <w:bCs w:val="0"/>
          <w:sz w:val="36"/>
        </w:rPr>
        <w:t>第八章 合同的签订与执行</w:t>
      </w:r>
      <w:bookmarkEnd w:id="65"/>
      <w:bookmarkEnd w:id="66"/>
      <w:bookmarkEnd w:id="67"/>
    </w:p>
    <w:p>
      <w:pPr>
        <w:snapToGrid w:val="0"/>
        <w:spacing w:line="500" w:lineRule="exact"/>
        <w:ind w:firstLine="480" w:firstLineChars="200"/>
        <w:rPr>
          <w:rFonts w:eastAsia="仿宋"/>
          <w:bCs/>
        </w:rPr>
      </w:pPr>
      <w:r>
        <w:rPr>
          <w:rFonts w:eastAsia="仿宋"/>
          <w:bCs/>
        </w:rPr>
        <w:t>23．合同授予标准</w:t>
      </w:r>
    </w:p>
    <w:p>
      <w:pPr>
        <w:snapToGrid w:val="0"/>
        <w:spacing w:line="500" w:lineRule="exact"/>
        <w:ind w:firstLine="472" w:firstLineChars="200"/>
        <w:rPr>
          <w:rFonts w:eastAsia="仿宋"/>
          <w:bCs/>
          <w:color w:val="000000"/>
          <w:kern w:val="0"/>
        </w:rPr>
      </w:pPr>
      <w:r>
        <w:rPr>
          <w:rFonts w:eastAsia="仿宋"/>
          <w:bCs/>
          <w:spacing w:val="-2"/>
        </w:rPr>
        <w:t>23.1</w:t>
      </w:r>
      <w:r>
        <w:rPr>
          <w:rFonts w:eastAsia="仿宋"/>
          <w:bCs/>
          <w:color w:val="000000"/>
          <w:spacing w:val="-2"/>
        </w:rPr>
        <w:t>合同将授予被确定为实质上响应招标文件要求且综合评分第一名的投标人。</w:t>
      </w:r>
    </w:p>
    <w:p>
      <w:pPr>
        <w:snapToGrid w:val="0"/>
        <w:spacing w:line="500" w:lineRule="exact"/>
        <w:ind w:firstLine="472" w:firstLineChars="200"/>
        <w:rPr>
          <w:rFonts w:eastAsia="仿宋"/>
          <w:bCs/>
          <w:spacing w:val="-2"/>
        </w:rPr>
      </w:pPr>
      <w:r>
        <w:rPr>
          <w:rFonts w:eastAsia="仿宋"/>
          <w:bCs/>
          <w:spacing w:val="-2"/>
        </w:rPr>
        <w:t>23.2最低投标价不一定是被授予合同的保证。</w:t>
      </w:r>
    </w:p>
    <w:p>
      <w:pPr>
        <w:snapToGrid w:val="0"/>
        <w:spacing w:line="500" w:lineRule="exact"/>
        <w:ind w:firstLine="472" w:firstLineChars="200"/>
        <w:rPr>
          <w:rFonts w:eastAsia="仿宋"/>
          <w:bCs/>
          <w:spacing w:val="-2"/>
        </w:rPr>
      </w:pPr>
      <w:r>
        <w:rPr>
          <w:rFonts w:eastAsia="仿宋"/>
          <w:bCs/>
          <w:spacing w:val="-2"/>
        </w:rPr>
        <w:t>23.3如果确定该投标人无条件圆满履行合同，采购人将对下一个可能成交的投标人资格做出类似的审查。</w:t>
      </w:r>
    </w:p>
    <w:p>
      <w:pPr>
        <w:snapToGrid w:val="0"/>
        <w:spacing w:line="500" w:lineRule="exact"/>
        <w:ind w:firstLine="480" w:firstLineChars="200"/>
        <w:rPr>
          <w:rFonts w:eastAsia="仿宋"/>
          <w:bCs/>
          <w:color w:val="000000"/>
        </w:rPr>
      </w:pPr>
      <w:r>
        <w:rPr>
          <w:rFonts w:eastAsia="仿宋"/>
          <w:bCs/>
          <w:color w:val="000000"/>
        </w:rPr>
        <w:t>24．接受和拒绝任何</w:t>
      </w:r>
      <w:r>
        <w:rPr>
          <w:rFonts w:eastAsia="仿宋"/>
          <w:bCs/>
        </w:rPr>
        <w:t>或所有</w:t>
      </w:r>
      <w:r>
        <w:rPr>
          <w:rFonts w:eastAsia="仿宋"/>
          <w:bCs/>
          <w:color w:val="000000"/>
        </w:rPr>
        <w:t>投标的权力</w:t>
      </w:r>
    </w:p>
    <w:p>
      <w:pPr>
        <w:snapToGrid w:val="0"/>
        <w:spacing w:line="500" w:lineRule="exact"/>
        <w:ind w:firstLine="472" w:firstLineChars="200"/>
        <w:rPr>
          <w:rFonts w:eastAsia="仿宋"/>
          <w:bCs/>
          <w:color w:val="000000"/>
          <w:spacing w:val="-2"/>
        </w:rPr>
      </w:pPr>
      <w:r>
        <w:rPr>
          <w:rFonts w:eastAsia="仿宋"/>
          <w:bCs/>
          <w:color w:val="000000"/>
          <w:spacing w:val="-2"/>
        </w:rPr>
        <w:t>24.1为维护国家利益，招标人在授予合同之前仍有选择或拒绝任何全部投标的权力。</w:t>
      </w:r>
    </w:p>
    <w:p>
      <w:pPr>
        <w:snapToGrid w:val="0"/>
        <w:spacing w:line="500" w:lineRule="exact"/>
        <w:ind w:firstLine="480" w:firstLineChars="200"/>
        <w:rPr>
          <w:rFonts w:eastAsia="仿宋"/>
          <w:bCs/>
          <w:color w:val="000000"/>
        </w:rPr>
      </w:pPr>
      <w:r>
        <w:rPr>
          <w:rFonts w:eastAsia="仿宋"/>
          <w:bCs/>
          <w:color w:val="000000"/>
        </w:rPr>
        <w:t>25．中标通知书</w:t>
      </w:r>
    </w:p>
    <w:p>
      <w:pPr>
        <w:snapToGrid w:val="0"/>
        <w:spacing w:line="500" w:lineRule="exact"/>
        <w:ind w:firstLine="472" w:firstLineChars="200"/>
        <w:rPr>
          <w:rFonts w:eastAsia="仿宋"/>
          <w:bCs/>
          <w:color w:val="000000"/>
          <w:spacing w:val="-2"/>
        </w:rPr>
      </w:pPr>
      <w:r>
        <w:rPr>
          <w:rFonts w:eastAsia="仿宋"/>
          <w:bCs/>
          <w:color w:val="000000"/>
          <w:spacing w:val="-2"/>
        </w:rPr>
        <w:t>25.1评审结果公示结束后，</w:t>
      </w:r>
      <w:r>
        <w:rPr>
          <w:rFonts w:eastAsia="仿宋"/>
          <w:bCs/>
        </w:rPr>
        <w:t>新疆西北招标有限公司</w:t>
      </w:r>
      <w:r>
        <w:rPr>
          <w:rFonts w:eastAsia="仿宋"/>
          <w:bCs/>
          <w:color w:val="000000"/>
          <w:spacing w:val="-2"/>
        </w:rPr>
        <w:t>将以书面形式发出《中标通知书》，但发出时间不超过投标有效期。</w:t>
      </w:r>
    </w:p>
    <w:p>
      <w:pPr>
        <w:widowControl/>
        <w:snapToGrid w:val="0"/>
        <w:spacing w:line="500" w:lineRule="exact"/>
        <w:ind w:firstLine="480" w:firstLineChars="200"/>
        <w:jc w:val="left"/>
        <w:rPr>
          <w:rFonts w:eastAsia="仿宋"/>
          <w:bCs/>
          <w:kern w:val="0"/>
        </w:rPr>
      </w:pPr>
      <w:r>
        <w:rPr>
          <w:rFonts w:eastAsia="仿宋"/>
          <w:bCs/>
          <w:kern w:val="0"/>
        </w:rPr>
        <w:t>25.2评标结果在网上公示期满后10个工作日内，中标单位不来领取中标通知书，视为中标单位放弃中标资格，</w:t>
      </w:r>
      <w:r>
        <w:rPr>
          <w:rFonts w:hint="eastAsia" w:eastAsia="仿宋"/>
          <w:bCs/>
          <w:kern w:val="0"/>
          <w:lang w:eastAsia="zh-CN"/>
        </w:rPr>
        <w:t>新疆维吾尔自治区儿童医院</w:t>
      </w:r>
      <w:r>
        <w:rPr>
          <w:rFonts w:eastAsia="仿宋"/>
          <w:bCs/>
          <w:kern w:val="0"/>
        </w:rPr>
        <w:t>可直接调整中标结果或重新组织招标。</w:t>
      </w:r>
    </w:p>
    <w:p>
      <w:pPr>
        <w:snapToGrid w:val="0"/>
        <w:spacing w:line="500" w:lineRule="exact"/>
        <w:ind w:firstLine="472" w:firstLineChars="200"/>
        <w:rPr>
          <w:rFonts w:eastAsia="仿宋"/>
          <w:bCs/>
          <w:color w:val="000000"/>
        </w:rPr>
      </w:pPr>
      <w:r>
        <w:rPr>
          <w:rFonts w:eastAsia="仿宋"/>
          <w:bCs/>
          <w:color w:val="000000"/>
          <w:spacing w:val="-2"/>
        </w:rPr>
        <w:t>25.3《</w:t>
      </w:r>
      <w:r>
        <w:rPr>
          <w:rFonts w:eastAsia="仿宋"/>
          <w:bCs/>
          <w:kern w:val="0"/>
        </w:rPr>
        <w:t>中标</w:t>
      </w:r>
      <w:r>
        <w:rPr>
          <w:rFonts w:eastAsia="仿宋"/>
          <w:bCs/>
          <w:color w:val="000000"/>
          <w:spacing w:val="-2"/>
        </w:rPr>
        <w:t>通知书》将作为签订合同的依据。</w:t>
      </w:r>
    </w:p>
    <w:p>
      <w:pPr>
        <w:snapToGrid w:val="0"/>
        <w:spacing w:line="500" w:lineRule="exact"/>
        <w:ind w:firstLine="480" w:firstLineChars="200"/>
        <w:rPr>
          <w:rFonts w:eastAsia="仿宋"/>
          <w:bCs/>
          <w:color w:val="000000"/>
        </w:rPr>
      </w:pPr>
      <w:r>
        <w:rPr>
          <w:rFonts w:eastAsia="仿宋"/>
          <w:bCs/>
          <w:color w:val="000000"/>
        </w:rPr>
        <w:t>26．签订合同</w:t>
      </w:r>
    </w:p>
    <w:p>
      <w:pPr>
        <w:tabs>
          <w:tab w:val="left" w:pos="1080"/>
          <w:tab w:val="left" w:pos="1290"/>
        </w:tabs>
        <w:snapToGrid w:val="0"/>
        <w:spacing w:line="500" w:lineRule="exact"/>
        <w:ind w:firstLine="472" w:firstLineChars="200"/>
        <w:rPr>
          <w:rFonts w:eastAsia="仿宋"/>
          <w:bCs/>
          <w:color w:val="000000"/>
          <w:spacing w:val="-2"/>
        </w:rPr>
      </w:pPr>
      <w:r>
        <w:rPr>
          <w:rFonts w:eastAsia="仿宋"/>
          <w:bCs/>
          <w:color w:val="000000"/>
          <w:spacing w:val="-2"/>
        </w:rPr>
        <w:t>26.1中标人收到新疆西北招标有限公司公司发送的《中标通知书》，中标人应在投标有效期前签订合同。</w:t>
      </w:r>
    </w:p>
    <w:p>
      <w:pPr>
        <w:tabs>
          <w:tab w:val="left" w:pos="420"/>
          <w:tab w:val="left" w:pos="1290"/>
        </w:tabs>
        <w:snapToGrid w:val="0"/>
        <w:spacing w:line="500" w:lineRule="exact"/>
        <w:ind w:firstLine="472" w:firstLineChars="200"/>
        <w:rPr>
          <w:rFonts w:eastAsia="仿宋"/>
          <w:bCs/>
        </w:rPr>
      </w:pPr>
      <w:r>
        <w:rPr>
          <w:rFonts w:eastAsia="仿宋"/>
          <w:bCs/>
          <w:color w:val="000000"/>
          <w:spacing w:val="-2"/>
        </w:rPr>
        <w:t>26.2如中标人在规定的时间内拒签合同，则按违约处理。采购人保留追诉的权利。</w:t>
      </w:r>
    </w:p>
    <w:p>
      <w:pPr>
        <w:snapToGrid w:val="0"/>
        <w:spacing w:line="500" w:lineRule="exact"/>
        <w:ind w:firstLine="472" w:firstLineChars="200"/>
        <w:rPr>
          <w:rFonts w:eastAsia="仿宋"/>
          <w:bCs/>
          <w:color w:val="000000"/>
          <w:spacing w:val="-2"/>
        </w:rPr>
      </w:pPr>
      <w:r>
        <w:rPr>
          <w:rFonts w:eastAsia="仿宋"/>
          <w:bCs/>
          <w:color w:val="000000"/>
          <w:spacing w:val="-2"/>
        </w:rPr>
        <w:t>26.4招标文件、中标人的投标文件及其澄清文件等，均为签订合同的依据。</w:t>
      </w:r>
    </w:p>
    <w:p>
      <w:pPr>
        <w:snapToGrid w:val="0"/>
        <w:spacing w:line="500" w:lineRule="exact"/>
        <w:ind w:firstLine="472" w:firstLineChars="200"/>
        <w:rPr>
          <w:rFonts w:eastAsia="仿宋"/>
          <w:bCs/>
          <w:color w:val="000000"/>
          <w:spacing w:val="-2"/>
          <w:sz w:val="28"/>
          <w:szCs w:val="28"/>
        </w:rPr>
      </w:pPr>
      <w:r>
        <w:rPr>
          <w:rFonts w:eastAsia="仿宋"/>
          <w:bCs/>
          <w:color w:val="000000"/>
          <w:spacing w:val="-2"/>
        </w:rPr>
        <w:t>26.5不允许中标人将成交项目分包或转交他人承担。</w:t>
      </w:r>
    </w:p>
    <w:p>
      <w:pPr>
        <w:snapToGrid w:val="0"/>
        <w:spacing w:line="500" w:lineRule="exact"/>
        <w:jc w:val="center"/>
        <w:rPr>
          <w:rFonts w:eastAsia="仿宋"/>
          <w:bCs/>
          <w:sz w:val="28"/>
          <w:szCs w:val="28"/>
        </w:rPr>
      </w:pP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68" w:name="_Toc99785532"/>
      <w:bookmarkStart w:id="69" w:name="_Toc17646"/>
      <w:bookmarkStart w:id="70" w:name="_Toc23527900"/>
      <w:r>
        <w:rPr>
          <w:rFonts w:ascii="Times New Roman" w:hAnsi="Times New Roman" w:eastAsia="仿宋"/>
          <w:b w:val="0"/>
          <w:bCs w:val="0"/>
          <w:sz w:val="36"/>
        </w:rPr>
        <w:t>第九章  其他说明</w:t>
      </w:r>
      <w:bookmarkEnd w:id="68"/>
      <w:bookmarkEnd w:id="69"/>
      <w:bookmarkEnd w:id="70"/>
    </w:p>
    <w:p>
      <w:pPr>
        <w:snapToGrid w:val="0"/>
        <w:spacing w:line="500" w:lineRule="exact"/>
        <w:ind w:firstLine="480" w:firstLineChars="200"/>
        <w:rPr>
          <w:rFonts w:eastAsia="仿宋"/>
          <w:bCs/>
        </w:rPr>
      </w:pPr>
      <w:r>
        <w:rPr>
          <w:rFonts w:eastAsia="仿宋"/>
          <w:bCs/>
        </w:rPr>
        <w:t>27.本招标文件的解释权归新疆西北招标有限公司。</w:t>
      </w:r>
    </w:p>
    <w:p>
      <w:pPr>
        <w:snapToGrid w:val="0"/>
        <w:spacing w:line="500" w:lineRule="exact"/>
        <w:ind w:firstLine="720" w:firstLineChars="200"/>
        <w:rPr>
          <w:rFonts w:eastAsia="仿宋"/>
          <w:bCs/>
          <w:sz w:val="36"/>
          <w:szCs w:val="36"/>
        </w:rPr>
      </w:pPr>
    </w:p>
    <w:p>
      <w:pPr>
        <w:pStyle w:val="5"/>
        <w:numPr>
          <w:ilvl w:val="0"/>
          <w:numId w:val="0"/>
        </w:numPr>
        <w:snapToGrid w:val="0"/>
        <w:spacing w:before="0" w:after="0" w:line="500" w:lineRule="exact"/>
        <w:jc w:val="center"/>
        <w:rPr>
          <w:rFonts w:ascii="Times New Roman" w:hAnsi="Times New Roman" w:eastAsia="仿宋"/>
          <w:b w:val="0"/>
          <w:bCs w:val="0"/>
          <w:sz w:val="36"/>
        </w:rPr>
      </w:pPr>
      <w:bookmarkStart w:id="71" w:name="_Toc99785533"/>
      <w:bookmarkStart w:id="72" w:name="_Toc23527901"/>
      <w:bookmarkStart w:id="73" w:name="_Toc6085"/>
      <w:r>
        <w:rPr>
          <w:rFonts w:ascii="Times New Roman" w:hAnsi="Times New Roman" w:eastAsia="仿宋"/>
          <w:b w:val="0"/>
          <w:bCs w:val="0"/>
          <w:sz w:val="36"/>
        </w:rPr>
        <w:t>第十章  评审方法</w:t>
      </w:r>
      <w:bookmarkEnd w:id="71"/>
      <w:bookmarkEnd w:id="72"/>
      <w:bookmarkEnd w:id="73"/>
    </w:p>
    <w:p>
      <w:pPr>
        <w:adjustRightInd w:val="0"/>
        <w:snapToGrid w:val="0"/>
        <w:spacing w:line="500" w:lineRule="exact"/>
        <w:ind w:firstLine="560" w:firstLineChars="200"/>
        <w:jc w:val="left"/>
        <w:rPr>
          <w:rFonts w:eastAsia="仿宋"/>
          <w:bCs/>
        </w:rPr>
      </w:pPr>
      <w:r>
        <w:rPr>
          <w:rFonts w:eastAsia="仿宋"/>
          <w:bCs/>
          <w:sz w:val="28"/>
          <w:szCs w:val="28"/>
        </w:rPr>
        <w:t xml:space="preserve"> </w:t>
      </w:r>
      <w:r>
        <w:rPr>
          <w:rFonts w:eastAsia="仿宋"/>
          <w:bCs/>
        </w:rPr>
        <w:t>28．评审方法：综合评分法。</w:t>
      </w:r>
    </w:p>
    <w:tbl>
      <w:tblPr>
        <w:tblStyle w:val="67"/>
        <w:tblpPr w:leftFromText="180" w:rightFromText="180" w:vertAnchor="text" w:horzAnchor="margin" w:tblpXSpec="center" w:tblpY="211"/>
        <w:tblW w:w="9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5291"/>
        <w:gridCol w:w="500"/>
        <w:gridCol w:w="927"/>
        <w:gridCol w:w="927"/>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9300" w:type="dxa"/>
            <w:gridSpan w:val="6"/>
          </w:tcPr>
          <w:p>
            <w:pPr>
              <w:snapToGrid w:val="0"/>
              <w:ind w:firstLine="4005" w:firstLineChars="1669"/>
              <w:rPr>
                <w:rFonts w:eastAsia="仿宋"/>
                <w:bCs/>
                <w:color w:val="000000"/>
              </w:rPr>
            </w:pPr>
            <w:r>
              <w:rPr>
                <w:rFonts w:eastAsia="仿宋"/>
                <w:bCs/>
                <w:color w:val="000000"/>
              </w:rPr>
              <w:t>符合性审查记录表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9300" w:type="dxa"/>
            <w:gridSpan w:val="6"/>
          </w:tcPr>
          <w:p>
            <w:pPr>
              <w:snapToGrid w:val="0"/>
              <w:rPr>
                <w:rFonts w:hint="eastAsia" w:eastAsia="仿宋"/>
                <w:bCs/>
                <w:color w:val="000000"/>
                <w:lang w:eastAsia="zh-CN"/>
              </w:rPr>
            </w:pPr>
            <w:r>
              <w:rPr>
                <w:rFonts w:eastAsia="仿宋"/>
                <w:bCs/>
                <w:color w:val="000000"/>
              </w:rPr>
              <w:t>项目名称：</w:t>
            </w:r>
            <w:r>
              <w:rPr>
                <w:rFonts w:hint="eastAsia" w:eastAsia="仿宋"/>
                <w:bCs/>
                <w:color w:val="000000"/>
                <w:lang w:eastAsia="zh-CN"/>
              </w:rPr>
              <w:t>新疆维吾尔自治区儿童医院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300" w:type="dxa"/>
            <w:gridSpan w:val="6"/>
          </w:tcPr>
          <w:p>
            <w:pPr>
              <w:snapToGrid w:val="0"/>
              <w:rPr>
                <w:rFonts w:hint="eastAsia" w:eastAsia="仿宋"/>
                <w:bCs/>
                <w:color w:val="000000"/>
                <w:lang w:eastAsia="zh-CN"/>
              </w:rPr>
            </w:pPr>
            <w:r>
              <w:rPr>
                <w:rFonts w:eastAsia="仿宋"/>
                <w:bCs/>
                <w:color w:val="000000"/>
              </w:rPr>
              <w:t>项目编号：</w:t>
            </w:r>
            <w:r>
              <w:rPr>
                <w:rFonts w:eastAsia="仿宋"/>
                <w:bCs/>
              </w:rPr>
              <w:t xml:space="preserve">  </w:t>
            </w:r>
            <w:r>
              <w:rPr>
                <w:rFonts w:hint="eastAsia" w:eastAsia="仿宋"/>
                <w:bCs/>
                <w:lang w:eastAsia="zh-CN"/>
              </w:rPr>
              <w:t>2022-XBZC-01153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727" w:type="dxa"/>
            <w:vMerge w:val="restart"/>
            <w:vAlign w:val="center"/>
          </w:tcPr>
          <w:p>
            <w:pPr>
              <w:snapToGrid w:val="0"/>
              <w:jc w:val="right"/>
              <w:rPr>
                <w:rFonts w:eastAsia="仿宋"/>
                <w:bCs/>
                <w:color w:val="000000"/>
              </w:rPr>
            </w:pPr>
            <w:r>
              <w:rPr>
                <w:rFonts w:eastAsia="仿宋"/>
                <w:bCs/>
                <w:color w:val="000000"/>
              </w:rPr>
              <w:t>序号</w:t>
            </w:r>
          </w:p>
        </w:tc>
        <w:tc>
          <w:tcPr>
            <w:tcW w:w="5291" w:type="dxa"/>
            <w:vMerge w:val="restart"/>
            <w:vAlign w:val="center"/>
          </w:tcPr>
          <w:p>
            <w:pPr>
              <w:snapToGrid w:val="0"/>
              <w:ind w:firstLine="1080" w:firstLineChars="450"/>
              <w:jc w:val="center"/>
              <w:rPr>
                <w:rFonts w:eastAsia="仿宋"/>
                <w:bCs/>
                <w:color w:val="000000"/>
              </w:rPr>
            </w:pPr>
            <w:r>
              <w:rPr>
                <w:rFonts w:eastAsia="仿宋"/>
                <w:bCs/>
                <w:color w:val="000000"/>
              </w:rPr>
              <w:t>评审因素</w:t>
            </w:r>
          </w:p>
        </w:tc>
        <w:tc>
          <w:tcPr>
            <w:tcW w:w="3282" w:type="dxa"/>
            <w:gridSpan w:val="4"/>
          </w:tcPr>
          <w:p>
            <w:pPr>
              <w:snapToGrid w:val="0"/>
              <w:jc w:val="left"/>
              <w:rPr>
                <w:rFonts w:eastAsia="仿宋"/>
                <w:bCs/>
                <w:color w:val="000000"/>
              </w:rPr>
            </w:pPr>
            <w:r>
              <w:rPr>
                <w:rFonts w:eastAsia="仿宋"/>
                <w:bCs/>
                <w:color w:val="000000"/>
              </w:rPr>
              <w:t>投标人名称及评审意见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727" w:type="dxa"/>
            <w:vMerge w:val="continue"/>
          </w:tcPr>
          <w:p>
            <w:pPr>
              <w:snapToGrid w:val="0"/>
              <w:ind w:firstLine="360" w:firstLineChars="150"/>
              <w:rPr>
                <w:rFonts w:eastAsia="仿宋"/>
                <w:bCs/>
                <w:color w:val="000000"/>
              </w:rPr>
            </w:pPr>
          </w:p>
        </w:tc>
        <w:tc>
          <w:tcPr>
            <w:tcW w:w="5291" w:type="dxa"/>
            <w:vMerge w:val="continue"/>
          </w:tcPr>
          <w:p>
            <w:pPr>
              <w:snapToGrid w:val="0"/>
              <w:ind w:firstLine="360" w:firstLineChars="150"/>
              <w:rPr>
                <w:rFonts w:eastAsia="仿宋"/>
                <w:bCs/>
                <w:color w:val="000000"/>
              </w:rPr>
            </w:pPr>
          </w:p>
        </w:tc>
        <w:tc>
          <w:tcPr>
            <w:tcW w:w="500" w:type="dxa"/>
          </w:tcPr>
          <w:p>
            <w:pPr>
              <w:snapToGrid w:val="0"/>
              <w:ind w:firstLine="360" w:firstLineChars="150"/>
              <w:rPr>
                <w:rFonts w:eastAsia="仿宋"/>
                <w:bCs/>
                <w:color w:val="000000"/>
              </w:rPr>
            </w:pPr>
          </w:p>
        </w:tc>
        <w:tc>
          <w:tcPr>
            <w:tcW w:w="927" w:type="dxa"/>
          </w:tcPr>
          <w:p>
            <w:pPr>
              <w:snapToGrid w:val="0"/>
              <w:ind w:firstLine="360" w:firstLineChars="150"/>
              <w:rPr>
                <w:rFonts w:eastAsia="仿宋"/>
                <w:bCs/>
                <w:color w:val="000000"/>
              </w:rPr>
            </w:pPr>
          </w:p>
        </w:tc>
        <w:tc>
          <w:tcPr>
            <w:tcW w:w="927" w:type="dxa"/>
          </w:tcPr>
          <w:p>
            <w:pPr>
              <w:snapToGrid w:val="0"/>
              <w:ind w:firstLine="360" w:firstLineChars="150"/>
              <w:rPr>
                <w:rFonts w:eastAsia="仿宋"/>
                <w:bCs/>
                <w:color w:val="000000"/>
              </w:rPr>
            </w:pPr>
          </w:p>
        </w:tc>
        <w:tc>
          <w:tcPr>
            <w:tcW w:w="928" w:type="dxa"/>
          </w:tcPr>
          <w:p>
            <w:pPr>
              <w:snapToGrid w:val="0"/>
              <w:ind w:firstLine="360" w:firstLineChars="150"/>
              <w:rPr>
                <w:rFonts w:eastAsia="仿宋"/>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727" w:type="dxa"/>
            <w:vAlign w:val="center"/>
          </w:tcPr>
          <w:p>
            <w:pPr>
              <w:snapToGrid w:val="0"/>
              <w:jc w:val="center"/>
              <w:rPr>
                <w:rFonts w:eastAsia="仿宋"/>
                <w:bCs/>
                <w:color w:val="000000"/>
                <w:szCs w:val="21"/>
              </w:rPr>
            </w:pPr>
            <w:r>
              <w:rPr>
                <w:rFonts w:eastAsia="仿宋"/>
                <w:bCs/>
                <w:color w:val="000000"/>
                <w:szCs w:val="21"/>
              </w:rPr>
              <w:t>1</w:t>
            </w:r>
          </w:p>
        </w:tc>
        <w:tc>
          <w:tcPr>
            <w:tcW w:w="5291" w:type="dxa"/>
            <w:vAlign w:val="center"/>
          </w:tcPr>
          <w:p>
            <w:pPr>
              <w:snapToGrid w:val="0"/>
              <w:rPr>
                <w:rFonts w:eastAsia="仿宋"/>
                <w:bCs/>
                <w:color w:val="000000"/>
                <w:szCs w:val="21"/>
              </w:rPr>
            </w:pPr>
            <w:r>
              <w:rPr>
                <w:rFonts w:eastAsia="仿宋"/>
                <w:bCs/>
                <w:color w:val="000000"/>
                <w:szCs w:val="21"/>
              </w:rPr>
              <w:t>投标文件按照规定进行胶装的。</w:t>
            </w:r>
          </w:p>
        </w:tc>
        <w:tc>
          <w:tcPr>
            <w:tcW w:w="500"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8" w:type="dxa"/>
          </w:tcPr>
          <w:p>
            <w:pPr>
              <w:snapToGrid w:val="0"/>
              <w:ind w:firstLine="360" w:firstLineChars="150"/>
              <w:rPr>
                <w:rFonts w:eastAsia="仿宋"/>
                <w:bCs/>
                <w:color w:val="000000"/>
                <w:szCs w:val="21"/>
              </w:rPr>
            </w:pPr>
            <w:r>
              <w:rPr>
                <w:rFonts w:eastAsia="仿宋"/>
                <w:bCs/>
                <w:color w:val="00000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727" w:type="dxa"/>
            <w:vAlign w:val="center"/>
          </w:tcPr>
          <w:p>
            <w:pPr>
              <w:snapToGrid w:val="0"/>
              <w:jc w:val="center"/>
              <w:rPr>
                <w:rFonts w:eastAsia="仿宋"/>
                <w:bCs/>
                <w:color w:val="000000"/>
                <w:szCs w:val="21"/>
              </w:rPr>
            </w:pPr>
            <w:r>
              <w:rPr>
                <w:rFonts w:eastAsia="仿宋"/>
                <w:bCs/>
                <w:color w:val="000000"/>
                <w:szCs w:val="21"/>
              </w:rPr>
              <w:t>2</w:t>
            </w:r>
          </w:p>
        </w:tc>
        <w:tc>
          <w:tcPr>
            <w:tcW w:w="5291" w:type="dxa"/>
            <w:vAlign w:val="center"/>
          </w:tcPr>
          <w:p>
            <w:pPr>
              <w:snapToGrid w:val="0"/>
              <w:rPr>
                <w:rFonts w:eastAsia="仿宋"/>
                <w:bCs/>
                <w:color w:val="000000"/>
                <w:szCs w:val="21"/>
              </w:rPr>
            </w:pPr>
            <w:r>
              <w:rPr>
                <w:rFonts w:eastAsia="仿宋"/>
                <w:bCs/>
                <w:color w:val="000000"/>
                <w:szCs w:val="21"/>
              </w:rPr>
              <w:t>投标文件“正本”按规定由投标方的法定代表人或其授权代表签字，或加盖投标方公章的；或签字人经法定代表人有效授权委托的；</w:t>
            </w:r>
          </w:p>
        </w:tc>
        <w:tc>
          <w:tcPr>
            <w:tcW w:w="500"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8" w:type="dxa"/>
          </w:tcPr>
          <w:p>
            <w:pPr>
              <w:snapToGrid w:val="0"/>
              <w:ind w:firstLine="360" w:firstLineChars="150"/>
              <w:rPr>
                <w:rFonts w:eastAsia="仿宋"/>
                <w:bCs/>
                <w:color w:val="000000"/>
                <w:szCs w:val="21"/>
              </w:rPr>
            </w:pPr>
            <w:r>
              <w:rPr>
                <w:rFonts w:eastAsia="仿宋"/>
                <w:bCs/>
                <w:color w:val="00000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727" w:type="dxa"/>
            <w:vAlign w:val="center"/>
          </w:tcPr>
          <w:p>
            <w:pPr>
              <w:snapToGrid w:val="0"/>
              <w:jc w:val="center"/>
              <w:rPr>
                <w:rFonts w:eastAsia="仿宋"/>
                <w:bCs/>
                <w:color w:val="000000"/>
                <w:szCs w:val="21"/>
              </w:rPr>
            </w:pPr>
            <w:r>
              <w:rPr>
                <w:rFonts w:eastAsia="仿宋"/>
                <w:bCs/>
                <w:color w:val="000000"/>
                <w:szCs w:val="21"/>
              </w:rPr>
              <w:t>3</w:t>
            </w:r>
          </w:p>
        </w:tc>
        <w:tc>
          <w:tcPr>
            <w:tcW w:w="5291" w:type="dxa"/>
            <w:vAlign w:val="center"/>
          </w:tcPr>
          <w:p>
            <w:pPr>
              <w:snapToGrid w:val="0"/>
              <w:rPr>
                <w:rFonts w:eastAsia="仿宋"/>
                <w:bCs/>
                <w:color w:val="000000"/>
                <w:szCs w:val="21"/>
              </w:rPr>
            </w:pPr>
            <w:r>
              <w:rPr>
                <w:rFonts w:hint="eastAsia" w:eastAsia="仿宋"/>
                <w:bCs/>
                <w:color w:val="000000"/>
                <w:szCs w:val="21"/>
                <w:lang w:val="en-US" w:eastAsia="zh-CN"/>
              </w:rPr>
              <w:t>交货期</w:t>
            </w:r>
            <w:r>
              <w:rPr>
                <w:rFonts w:eastAsia="仿宋"/>
                <w:bCs/>
                <w:color w:val="000000"/>
                <w:szCs w:val="21"/>
              </w:rPr>
              <w:t>要求、付款方式、免费维护质保期等满足招标文件要求；</w:t>
            </w:r>
          </w:p>
        </w:tc>
        <w:tc>
          <w:tcPr>
            <w:tcW w:w="500"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8" w:type="dxa"/>
          </w:tcPr>
          <w:p>
            <w:pPr>
              <w:snapToGrid w:val="0"/>
              <w:ind w:firstLine="360" w:firstLineChars="150"/>
              <w:rPr>
                <w:rFonts w:eastAsia="仿宋"/>
                <w:bCs/>
                <w:color w:val="000000"/>
                <w:szCs w:val="21"/>
              </w:rPr>
            </w:pPr>
            <w:r>
              <w:rPr>
                <w:rFonts w:eastAsia="仿宋"/>
                <w:bCs/>
                <w:color w:val="00000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27" w:type="dxa"/>
            <w:vAlign w:val="center"/>
          </w:tcPr>
          <w:p>
            <w:pPr>
              <w:snapToGrid w:val="0"/>
              <w:jc w:val="center"/>
              <w:rPr>
                <w:rFonts w:eastAsia="仿宋"/>
                <w:bCs/>
                <w:color w:val="000000"/>
                <w:szCs w:val="21"/>
              </w:rPr>
            </w:pPr>
            <w:r>
              <w:rPr>
                <w:rFonts w:eastAsia="仿宋"/>
                <w:bCs/>
                <w:color w:val="000000"/>
                <w:szCs w:val="21"/>
              </w:rPr>
              <w:t>4</w:t>
            </w:r>
          </w:p>
        </w:tc>
        <w:tc>
          <w:tcPr>
            <w:tcW w:w="5291" w:type="dxa"/>
            <w:vAlign w:val="center"/>
          </w:tcPr>
          <w:p>
            <w:pPr>
              <w:snapToGrid w:val="0"/>
              <w:rPr>
                <w:rFonts w:eastAsia="仿宋"/>
                <w:bCs/>
                <w:color w:val="000000"/>
                <w:szCs w:val="21"/>
              </w:rPr>
            </w:pPr>
            <w:r>
              <w:rPr>
                <w:rFonts w:eastAsia="仿宋"/>
                <w:bCs/>
                <w:color w:val="000000"/>
                <w:szCs w:val="21"/>
              </w:rPr>
              <w:t>投标有效期满足招标文件要求的；</w:t>
            </w:r>
          </w:p>
        </w:tc>
        <w:tc>
          <w:tcPr>
            <w:tcW w:w="500" w:type="dxa"/>
          </w:tcPr>
          <w:p>
            <w:pPr>
              <w:snapToGrid w:val="0"/>
              <w:ind w:firstLine="360" w:firstLineChars="150"/>
              <w:rPr>
                <w:rFonts w:eastAsia="仿宋"/>
                <w:bCs/>
                <w:color w:val="000000"/>
                <w:szCs w:val="21"/>
              </w:rPr>
            </w:pPr>
          </w:p>
        </w:tc>
        <w:tc>
          <w:tcPr>
            <w:tcW w:w="927" w:type="dxa"/>
          </w:tcPr>
          <w:p>
            <w:pPr>
              <w:snapToGrid w:val="0"/>
              <w:ind w:firstLine="360" w:firstLineChars="150"/>
              <w:rPr>
                <w:rFonts w:eastAsia="仿宋"/>
                <w:bCs/>
                <w:color w:val="000000"/>
                <w:szCs w:val="21"/>
              </w:rPr>
            </w:pPr>
          </w:p>
        </w:tc>
        <w:tc>
          <w:tcPr>
            <w:tcW w:w="927" w:type="dxa"/>
          </w:tcPr>
          <w:p>
            <w:pPr>
              <w:snapToGrid w:val="0"/>
              <w:ind w:firstLine="360" w:firstLineChars="150"/>
              <w:rPr>
                <w:rFonts w:eastAsia="仿宋"/>
                <w:bCs/>
                <w:color w:val="000000"/>
                <w:szCs w:val="21"/>
              </w:rPr>
            </w:pPr>
          </w:p>
        </w:tc>
        <w:tc>
          <w:tcPr>
            <w:tcW w:w="928" w:type="dxa"/>
          </w:tcPr>
          <w:p>
            <w:pPr>
              <w:snapToGrid w:val="0"/>
              <w:ind w:firstLine="360" w:firstLineChars="150"/>
              <w:rPr>
                <w:rFonts w:eastAsia="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6018" w:type="dxa"/>
            <w:gridSpan w:val="2"/>
          </w:tcPr>
          <w:p>
            <w:pPr>
              <w:snapToGrid w:val="0"/>
              <w:ind w:firstLine="360" w:firstLineChars="150"/>
              <w:rPr>
                <w:rFonts w:eastAsia="仿宋"/>
                <w:bCs/>
                <w:color w:val="000000"/>
                <w:szCs w:val="21"/>
              </w:rPr>
            </w:pPr>
            <w:r>
              <w:rPr>
                <w:rFonts w:eastAsia="仿宋"/>
                <w:bCs/>
                <w:color w:val="000000"/>
                <w:szCs w:val="21"/>
              </w:rPr>
              <w:t>是否通过评审</w:t>
            </w:r>
          </w:p>
        </w:tc>
        <w:tc>
          <w:tcPr>
            <w:tcW w:w="500"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7" w:type="dxa"/>
          </w:tcPr>
          <w:p>
            <w:pPr>
              <w:snapToGrid w:val="0"/>
              <w:ind w:firstLine="360" w:firstLineChars="150"/>
              <w:rPr>
                <w:rFonts w:eastAsia="仿宋"/>
                <w:bCs/>
                <w:color w:val="000000"/>
                <w:szCs w:val="21"/>
              </w:rPr>
            </w:pPr>
            <w:r>
              <w:rPr>
                <w:rFonts w:eastAsia="仿宋"/>
                <w:bCs/>
                <w:color w:val="000000"/>
                <w:szCs w:val="21"/>
              </w:rPr>
              <w:t>　</w:t>
            </w:r>
          </w:p>
        </w:tc>
        <w:tc>
          <w:tcPr>
            <w:tcW w:w="928" w:type="dxa"/>
          </w:tcPr>
          <w:p>
            <w:pPr>
              <w:snapToGrid w:val="0"/>
              <w:ind w:firstLine="360" w:firstLineChars="150"/>
              <w:rPr>
                <w:rFonts w:eastAsia="仿宋"/>
                <w:bCs/>
                <w:color w:val="000000"/>
                <w:szCs w:val="21"/>
              </w:rPr>
            </w:pPr>
            <w:r>
              <w:rPr>
                <w:rFonts w:eastAsia="仿宋"/>
                <w:bCs/>
                <w:color w:val="00000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9300" w:type="dxa"/>
            <w:gridSpan w:val="6"/>
          </w:tcPr>
          <w:p>
            <w:pPr>
              <w:snapToGrid w:val="0"/>
              <w:ind w:firstLine="360" w:firstLineChars="150"/>
              <w:rPr>
                <w:rFonts w:eastAsia="仿宋"/>
                <w:bCs/>
                <w:color w:val="000000"/>
                <w:szCs w:val="21"/>
                <w:highlight w:val="green"/>
              </w:rPr>
            </w:pPr>
            <w:r>
              <w:rPr>
                <w:rFonts w:eastAsia="仿宋"/>
                <w:bCs/>
                <w:color w:val="000000"/>
                <w:szCs w:val="21"/>
              </w:rPr>
              <w:t>注：评标委员会对投标资格类文件按评审标准对上述内容评审，满足要求的在对应的框内打“√”，不满足要求的在对应的框内打“×”。对可以进入详评的投标人，在该投标人所对应的“是否通过评审“栏中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9300" w:type="dxa"/>
            <w:gridSpan w:val="6"/>
          </w:tcPr>
          <w:p>
            <w:pPr>
              <w:snapToGrid w:val="0"/>
              <w:ind w:left="8330" w:leftChars="171" w:hanging="7920" w:hangingChars="3300"/>
              <w:rPr>
                <w:rFonts w:eastAsia="仿宋"/>
                <w:bCs/>
                <w:color w:val="000000"/>
                <w:szCs w:val="21"/>
              </w:rPr>
            </w:pPr>
            <w:r>
              <w:rPr>
                <w:rFonts w:eastAsia="仿宋"/>
                <w:bCs/>
                <w:color w:val="000000"/>
                <w:szCs w:val="21"/>
              </w:rPr>
              <w:t xml:space="preserve">评标委员会全体成员签名：                                                                                     </w:t>
            </w:r>
          </w:p>
          <w:p>
            <w:pPr>
              <w:snapToGrid w:val="0"/>
              <w:ind w:left="8330" w:leftChars="171" w:hanging="7920" w:hangingChars="3300"/>
              <w:jc w:val="right"/>
              <w:rPr>
                <w:rFonts w:eastAsia="仿宋"/>
                <w:bCs/>
                <w:color w:val="000000"/>
                <w:szCs w:val="21"/>
              </w:rPr>
            </w:pPr>
            <w:r>
              <w:rPr>
                <w:rFonts w:eastAsia="仿宋"/>
                <w:bCs/>
                <w:color w:val="000000"/>
                <w:szCs w:val="21"/>
              </w:rPr>
              <w:t xml:space="preserve">  202</w:t>
            </w:r>
            <w:r>
              <w:rPr>
                <w:rFonts w:hint="eastAsia" w:eastAsia="仿宋"/>
                <w:bCs/>
                <w:color w:val="000000"/>
                <w:szCs w:val="21"/>
              </w:rPr>
              <w:t>2</w:t>
            </w:r>
            <w:r>
              <w:rPr>
                <w:rFonts w:eastAsia="仿宋"/>
                <w:bCs/>
                <w:color w:val="000000"/>
                <w:szCs w:val="21"/>
              </w:rPr>
              <w:t>年   月    日</w:t>
            </w:r>
          </w:p>
        </w:tc>
      </w:tr>
    </w:tbl>
    <w:p>
      <w:pPr>
        <w:spacing w:line="500" w:lineRule="exact"/>
        <w:rPr>
          <w:rFonts w:eastAsia="仿宋"/>
          <w:bCs/>
          <w:sz w:val="32"/>
          <w:szCs w:val="32"/>
        </w:rPr>
        <w:sectPr>
          <w:footerReference r:id="rId7" w:type="default"/>
          <w:pgSz w:w="11906" w:h="16838"/>
          <w:pgMar w:top="1134" w:right="850" w:bottom="1134" w:left="850" w:header="283" w:footer="283" w:gutter="0"/>
          <w:cols w:space="720" w:num="1"/>
          <w:docGrid w:type="lines" w:linePitch="339" w:charSpace="0"/>
        </w:sectPr>
      </w:pPr>
    </w:p>
    <w:p>
      <w:pPr>
        <w:spacing w:line="500" w:lineRule="exact"/>
        <w:jc w:val="center"/>
        <w:rPr>
          <w:rFonts w:eastAsia="仿宋"/>
          <w:bCs/>
          <w:sz w:val="32"/>
          <w:szCs w:val="32"/>
        </w:rPr>
      </w:pPr>
      <w:r>
        <w:rPr>
          <w:rFonts w:eastAsia="仿宋"/>
          <w:bCs/>
          <w:sz w:val="32"/>
          <w:szCs w:val="32"/>
        </w:rPr>
        <w:t>重大偏差审核表</w:t>
      </w:r>
    </w:p>
    <w:tbl>
      <w:tblPr>
        <w:tblStyle w:val="67"/>
        <w:tblpPr w:leftFromText="180" w:rightFromText="180" w:vertAnchor="text" w:horzAnchor="margin" w:tblpXSpec="center" w:tblpY="28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514"/>
        <w:gridCol w:w="932"/>
        <w:gridCol w:w="932"/>
        <w:gridCol w:w="931"/>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979" w:type="dxa"/>
            <w:tcBorders>
              <w:top w:val="single" w:color="auto" w:sz="12" w:space="0"/>
              <w:left w:val="single" w:color="auto" w:sz="12" w:space="0"/>
              <w:bottom w:val="single" w:color="auto" w:sz="12" w:space="0"/>
            </w:tcBorders>
            <w:vAlign w:val="center"/>
          </w:tcPr>
          <w:p>
            <w:pPr>
              <w:spacing w:line="500" w:lineRule="exact"/>
              <w:jc w:val="center"/>
              <w:rPr>
                <w:rFonts w:eastAsia="仿宋"/>
                <w:bCs/>
              </w:rPr>
            </w:pPr>
            <w:r>
              <w:rPr>
                <w:rFonts w:eastAsia="仿宋"/>
                <w:bCs/>
              </w:rPr>
              <w:t>项目</w:t>
            </w:r>
          </w:p>
        </w:tc>
        <w:tc>
          <w:tcPr>
            <w:tcW w:w="4514" w:type="dxa"/>
            <w:tcBorders>
              <w:top w:val="single" w:color="auto" w:sz="12" w:space="0"/>
              <w:bottom w:val="single" w:color="auto" w:sz="12" w:space="0"/>
            </w:tcBorders>
            <w:vAlign w:val="center"/>
          </w:tcPr>
          <w:p>
            <w:pPr>
              <w:spacing w:line="500" w:lineRule="exact"/>
              <w:jc w:val="center"/>
              <w:rPr>
                <w:rFonts w:eastAsia="仿宋"/>
                <w:bCs/>
              </w:rPr>
            </w:pPr>
            <w:r>
              <w:rPr>
                <w:rFonts w:eastAsia="仿宋"/>
                <w:bCs/>
              </w:rPr>
              <w:t>评  审  内  容</w:t>
            </w:r>
          </w:p>
        </w:tc>
        <w:tc>
          <w:tcPr>
            <w:tcW w:w="932" w:type="dxa"/>
            <w:tcBorders>
              <w:top w:val="single" w:color="auto" w:sz="12" w:space="0"/>
              <w:bottom w:val="single" w:color="auto" w:sz="12" w:space="0"/>
            </w:tcBorders>
            <w:vAlign w:val="center"/>
          </w:tcPr>
          <w:p>
            <w:pPr>
              <w:spacing w:line="500" w:lineRule="exact"/>
              <w:jc w:val="center"/>
              <w:rPr>
                <w:rFonts w:eastAsia="仿宋"/>
                <w:bCs/>
                <w:color w:val="000000"/>
              </w:rPr>
            </w:pPr>
            <w:r>
              <w:rPr>
                <w:rFonts w:eastAsia="仿宋"/>
                <w:bCs/>
                <w:color w:val="000000"/>
              </w:rPr>
              <w:t>投标人1</w:t>
            </w:r>
          </w:p>
        </w:tc>
        <w:tc>
          <w:tcPr>
            <w:tcW w:w="932" w:type="dxa"/>
            <w:tcBorders>
              <w:top w:val="single" w:color="auto" w:sz="12" w:space="0"/>
              <w:bottom w:val="single" w:color="auto" w:sz="12" w:space="0"/>
            </w:tcBorders>
            <w:vAlign w:val="center"/>
          </w:tcPr>
          <w:p>
            <w:pPr>
              <w:spacing w:line="500" w:lineRule="exact"/>
              <w:jc w:val="center"/>
              <w:rPr>
                <w:rFonts w:eastAsia="仿宋"/>
                <w:bCs/>
                <w:color w:val="000000"/>
              </w:rPr>
            </w:pPr>
            <w:r>
              <w:rPr>
                <w:rFonts w:eastAsia="仿宋"/>
                <w:bCs/>
                <w:color w:val="000000"/>
              </w:rPr>
              <w:t>投标人2</w:t>
            </w:r>
          </w:p>
        </w:tc>
        <w:tc>
          <w:tcPr>
            <w:tcW w:w="931" w:type="dxa"/>
            <w:tcBorders>
              <w:top w:val="single" w:color="auto" w:sz="12" w:space="0"/>
              <w:bottom w:val="single" w:color="auto" w:sz="12" w:space="0"/>
            </w:tcBorders>
            <w:vAlign w:val="center"/>
          </w:tcPr>
          <w:p>
            <w:pPr>
              <w:spacing w:line="500" w:lineRule="exact"/>
              <w:jc w:val="center"/>
              <w:rPr>
                <w:rFonts w:eastAsia="仿宋"/>
                <w:bCs/>
                <w:color w:val="000000"/>
              </w:rPr>
            </w:pPr>
            <w:r>
              <w:rPr>
                <w:rFonts w:eastAsia="仿宋"/>
                <w:bCs/>
                <w:color w:val="000000"/>
              </w:rPr>
              <w:t>投标人3</w:t>
            </w:r>
          </w:p>
        </w:tc>
        <w:tc>
          <w:tcPr>
            <w:tcW w:w="932" w:type="dxa"/>
            <w:tcBorders>
              <w:top w:val="single" w:color="auto" w:sz="12" w:space="0"/>
              <w:bottom w:val="single" w:color="auto" w:sz="12" w:space="0"/>
              <w:right w:val="single" w:color="auto" w:sz="12" w:space="0"/>
            </w:tcBorders>
            <w:vAlign w:val="center"/>
          </w:tcPr>
          <w:p>
            <w:pPr>
              <w:spacing w:line="500" w:lineRule="exact"/>
              <w:jc w:val="center"/>
              <w:rPr>
                <w:rFonts w:eastAsia="仿宋"/>
                <w:bCs/>
                <w:color w:val="000000"/>
              </w:rPr>
            </w:pPr>
            <w:r>
              <w:rPr>
                <w:rFonts w:eastAsia="仿宋"/>
                <w:bCs/>
                <w:color w:val="000000"/>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979" w:type="dxa"/>
            <w:tcBorders>
              <w:top w:val="single" w:color="auto" w:sz="12" w:space="0"/>
              <w:left w:val="single" w:color="auto" w:sz="12" w:space="0"/>
            </w:tcBorders>
            <w:vAlign w:val="center"/>
          </w:tcPr>
          <w:p>
            <w:pPr>
              <w:spacing w:line="500" w:lineRule="exact"/>
              <w:jc w:val="center"/>
              <w:rPr>
                <w:rFonts w:eastAsia="仿宋"/>
                <w:bCs/>
              </w:rPr>
            </w:pPr>
            <w:r>
              <w:rPr>
                <w:rFonts w:eastAsia="仿宋"/>
                <w:bCs/>
              </w:rPr>
              <w:t>1</w:t>
            </w:r>
          </w:p>
        </w:tc>
        <w:tc>
          <w:tcPr>
            <w:tcW w:w="4514" w:type="dxa"/>
            <w:tcBorders>
              <w:top w:val="single" w:color="auto" w:sz="12" w:space="0"/>
            </w:tcBorders>
            <w:vAlign w:val="center"/>
          </w:tcPr>
          <w:p>
            <w:pPr>
              <w:spacing w:line="500" w:lineRule="exact"/>
              <w:jc w:val="left"/>
              <w:rPr>
                <w:rFonts w:eastAsia="仿宋"/>
                <w:bCs/>
              </w:rPr>
            </w:pPr>
            <w:r>
              <w:rPr>
                <w:rFonts w:eastAsia="仿宋"/>
                <w:bCs/>
              </w:rPr>
              <w:t>按照招标文件中规定的资格要求提供相关资格证明文件的；</w:t>
            </w:r>
          </w:p>
        </w:tc>
        <w:tc>
          <w:tcPr>
            <w:tcW w:w="932" w:type="dxa"/>
            <w:tcBorders>
              <w:top w:val="single" w:color="auto" w:sz="12" w:space="0"/>
            </w:tcBorders>
            <w:vAlign w:val="center"/>
          </w:tcPr>
          <w:p>
            <w:pPr>
              <w:spacing w:line="500" w:lineRule="exact"/>
              <w:rPr>
                <w:rFonts w:eastAsia="仿宋"/>
                <w:bCs/>
              </w:rPr>
            </w:pPr>
          </w:p>
        </w:tc>
        <w:tc>
          <w:tcPr>
            <w:tcW w:w="932" w:type="dxa"/>
            <w:tcBorders>
              <w:top w:val="single" w:color="auto" w:sz="12" w:space="0"/>
            </w:tcBorders>
            <w:vAlign w:val="center"/>
          </w:tcPr>
          <w:p>
            <w:pPr>
              <w:spacing w:line="500" w:lineRule="exact"/>
              <w:rPr>
                <w:rFonts w:eastAsia="仿宋"/>
                <w:bCs/>
              </w:rPr>
            </w:pPr>
          </w:p>
        </w:tc>
        <w:tc>
          <w:tcPr>
            <w:tcW w:w="931" w:type="dxa"/>
            <w:tcBorders>
              <w:top w:val="single" w:color="auto" w:sz="12" w:space="0"/>
            </w:tcBorders>
            <w:vAlign w:val="center"/>
          </w:tcPr>
          <w:p>
            <w:pPr>
              <w:spacing w:line="500" w:lineRule="exact"/>
              <w:rPr>
                <w:rFonts w:eastAsia="仿宋"/>
                <w:bCs/>
              </w:rPr>
            </w:pPr>
          </w:p>
        </w:tc>
        <w:tc>
          <w:tcPr>
            <w:tcW w:w="932" w:type="dxa"/>
            <w:tcBorders>
              <w:top w:val="single" w:color="auto" w:sz="12" w:space="0"/>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79" w:type="dxa"/>
            <w:tcBorders>
              <w:left w:val="single" w:color="auto" w:sz="12" w:space="0"/>
            </w:tcBorders>
            <w:vAlign w:val="center"/>
          </w:tcPr>
          <w:p>
            <w:pPr>
              <w:spacing w:line="500" w:lineRule="exact"/>
              <w:jc w:val="center"/>
              <w:rPr>
                <w:rFonts w:eastAsia="仿宋"/>
                <w:bCs/>
              </w:rPr>
            </w:pPr>
            <w:r>
              <w:rPr>
                <w:rFonts w:eastAsia="仿宋"/>
                <w:bCs/>
              </w:rPr>
              <w:t>2</w:t>
            </w:r>
          </w:p>
        </w:tc>
        <w:tc>
          <w:tcPr>
            <w:tcW w:w="4514" w:type="dxa"/>
            <w:vAlign w:val="center"/>
          </w:tcPr>
          <w:p>
            <w:pPr>
              <w:spacing w:line="500" w:lineRule="exact"/>
              <w:jc w:val="left"/>
              <w:rPr>
                <w:rFonts w:eastAsia="仿宋"/>
                <w:bCs/>
              </w:rPr>
            </w:pPr>
            <w:r>
              <w:rPr>
                <w:rFonts w:eastAsia="仿宋"/>
                <w:bCs/>
              </w:rPr>
              <w:t>投标文件按照招标文件规定格式要求签字并加盖公章的；</w:t>
            </w:r>
          </w:p>
        </w:tc>
        <w:tc>
          <w:tcPr>
            <w:tcW w:w="932" w:type="dxa"/>
            <w:vAlign w:val="center"/>
          </w:tcPr>
          <w:p>
            <w:pPr>
              <w:spacing w:line="500" w:lineRule="exact"/>
              <w:rPr>
                <w:rFonts w:eastAsia="仿宋"/>
                <w:bCs/>
              </w:rPr>
            </w:pPr>
          </w:p>
        </w:tc>
        <w:tc>
          <w:tcPr>
            <w:tcW w:w="932" w:type="dxa"/>
            <w:vAlign w:val="center"/>
          </w:tcPr>
          <w:p>
            <w:pPr>
              <w:spacing w:line="500" w:lineRule="exact"/>
              <w:rPr>
                <w:rFonts w:eastAsia="仿宋"/>
                <w:bCs/>
              </w:rPr>
            </w:pPr>
          </w:p>
        </w:tc>
        <w:tc>
          <w:tcPr>
            <w:tcW w:w="931" w:type="dxa"/>
            <w:vAlign w:val="center"/>
          </w:tcPr>
          <w:p>
            <w:pPr>
              <w:spacing w:line="500" w:lineRule="exact"/>
              <w:rPr>
                <w:rFonts w:eastAsia="仿宋"/>
                <w:bCs/>
              </w:rPr>
            </w:pPr>
          </w:p>
        </w:tc>
        <w:tc>
          <w:tcPr>
            <w:tcW w:w="932" w:type="dxa"/>
            <w:tcBorders>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79" w:type="dxa"/>
            <w:tcBorders>
              <w:left w:val="single" w:color="auto" w:sz="12" w:space="0"/>
            </w:tcBorders>
            <w:vAlign w:val="center"/>
          </w:tcPr>
          <w:p>
            <w:pPr>
              <w:spacing w:line="500" w:lineRule="exact"/>
              <w:jc w:val="center"/>
              <w:rPr>
                <w:rFonts w:eastAsia="仿宋"/>
                <w:bCs/>
              </w:rPr>
            </w:pPr>
            <w:r>
              <w:rPr>
                <w:rFonts w:eastAsia="仿宋"/>
                <w:bCs/>
              </w:rPr>
              <w:t>3</w:t>
            </w:r>
          </w:p>
        </w:tc>
        <w:tc>
          <w:tcPr>
            <w:tcW w:w="4514" w:type="dxa"/>
            <w:vAlign w:val="center"/>
          </w:tcPr>
          <w:p>
            <w:pPr>
              <w:spacing w:line="500" w:lineRule="exact"/>
              <w:jc w:val="left"/>
              <w:rPr>
                <w:rFonts w:eastAsia="仿宋"/>
                <w:bCs/>
              </w:rPr>
            </w:pPr>
            <w:r>
              <w:rPr>
                <w:rFonts w:eastAsia="仿宋"/>
                <w:bCs/>
              </w:rPr>
              <w:t>投标文件未附有招标人不能接受的条件的；</w:t>
            </w:r>
          </w:p>
        </w:tc>
        <w:tc>
          <w:tcPr>
            <w:tcW w:w="932" w:type="dxa"/>
            <w:vAlign w:val="center"/>
          </w:tcPr>
          <w:p>
            <w:pPr>
              <w:spacing w:line="500" w:lineRule="exact"/>
              <w:rPr>
                <w:rFonts w:eastAsia="仿宋"/>
                <w:bCs/>
              </w:rPr>
            </w:pPr>
          </w:p>
        </w:tc>
        <w:tc>
          <w:tcPr>
            <w:tcW w:w="932" w:type="dxa"/>
            <w:vAlign w:val="center"/>
          </w:tcPr>
          <w:p>
            <w:pPr>
              <w:spacing w:line="500" w:lineRule="exact"/>
              <w:rPr>
                <w:rFonts w:eastAsia="仿宋"/>
                <w:bCs/>
              </w:rPr>
            </w:pPr>
          </w:p>
        </w:tc>
        <w:tc>
          <w:tcPr>
            <w:tcW w:w="931" w:type="dxa"/>
            <w:vAlign w:val="center"/>
          </w:tcPr>
          <w:p>
            <w:pPr>
              <w:spacing w:line="500" w:lineRule="exact"/>
              <w:rPr>
                <w:rFonts w:eastAsia="仿宋"/>
                <w:bCs/>
              </w:rPr>
            </w:pPr>
          </w:p>
        </w:tc>
        <w:tc>
          <w:tcPr>
            <w:tcW w:w="932" w:type="dxa"/>
            <w:tcBorders>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79" w:type="dxa"/>
            <w:tcBorders>
              <w:left w:val="single" w:color="auto" w:sz="12" w:space="0"/>
            </w:tcBorders>
            <w:vAlign w:val="center"/>
          </w:tcPr>
          <w:p>
            <w:pPr>
              <w:spacing w:line="500" w:lineRule="exact"/>
              <w:jc w:val="center"/>
              <w:rPr>
                <w:rFonts w:eastAsia="仿宋"/>
                <w:bCs/>
              </w:rPr>
            </w:pPr>
            <w:r>
              <w:rPr>
                <w:rFonts w:eastAsia="仿宋"/>
                <w:bCs/>
              </w:rPr>
              <w:t>4</w:t>
            </w:r>
          </w:p>
        </w:tc>
        <w:tc>
          <w:tcPr>
            <w:tcW w:w="4514" w:type="dxa"/>
            <w:vAlign w:val="center"/>
          </w:tcPr>
          <w:p>
            <w:pPr>
              <w:spacing w:line="500" w:lineRule="exact"/>
              <w:jc w:val="left"/>
              <w:rPr>
                <w:rFonts w:eastAsia="仿宋"/>
                <w:bCs/>
              </w:rPr>
            </w:pPr>
            <w:r>
              <w:rPr>
                <w:rFonts w:eastAsia="仿宋"/>
                <w:bCs/>
              </w:rPr>
              <w:t>投标文件正、副本份数符合招标文件规定的；</w:t>
            </w:r>
          </w:p>
        </w:tc>
        <w:tc>
          <w:tcPr>
            <w:tcW w:w="932" w:type="dxa"/>
            <w:vAlign w:val="center"/>
          </w:tcPr>
          <w:p>
            <w:pPr>
              <w:spacing w:line="500" w:lineRule="exact"/>
              <w:rPr>
                <w:rFonts w:eastAsia="仿宋"/>
                <w:bCs/>
              </w:rPr>
            </w:pPr>
          </w:p>
        </w:tc>
        <w:tc>
          <w:tcPr>
            <w:tcW w:w="932" w:type="dxa"/>
            <w:vAlign w:val="center"/>
          </w:tcPr>
          <w:p>
            <w:pPr>
              <w:spacing w:line="500" w:lineRule="exact"/>
              <w:rPr>
                <w:rFonts w:eastAsia="仿宋"/>
                <w:bCs/>
              </w:rPr>
            </w:pPr>
          </w:p>
        </w:tc>
        <w:tc>
          <w:tcPr>
            <w:tcW w:w="931" w:type="dxa"/>
            <w:vAlign w:val="center"/>
          </w:tcPr>
          <w:p>
            <w:pPr>
              <w:spacing w:line="500" w:lineRule="exact"/>
              <w:rPr>
                <w:rFonts w:eastAsia="仿宋"/>
                <w:bCs/>
              </w:rPr>
            </w:pPr>
          </w:p>
        </w:tc>
        <w:tc>
          <w:tcPr>
            <w:tcW w:w="932" w:type="dxa"/>
            <w:tcBorders>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79" w:type="dxa"/>
            <w:tcBorders>
              <w:left w:val="single" w:color="auto" w:sz="12" w:space="0"/>
            </w:tcBorders>
            <w:vAlign w:val="center"/>
          </w:tcPr>
          <w:p>
            <w:pPr>
              <w:spacing w:line="500" w:lineRule="exact"/>
              <w:jc w:val="center"/>
              <w:rPr>
                <w:rFonts w:eastAsia="仿宋"/>
                <w:bCs/>
              </w:rPr>
            </w:pPr>
            <w:r>
              <w:rPr>
                <w:rFonts w:eastAsia="仿宋"/>
                <w:bCs/>
              </w:rPr>
              <w:t>5</w:t>
            </w:r>
          </w:p>
        </w:tc>
        <w:tc>
          <w:tcPr>
            <w:tcW w:w="4514" w:type="dxa"/>
            <w:vAlign w:val="center"/>
          </w:tcPr>
          <w:p>
            <w:pPr>
              <w:spacing w:line="500" w:lineRule="exact"/>
              <w:jc w:val="left"/>
              <w:rPr>
                <w:rFonts w:eastAsia="仿宋"/>
                <w:bCs/>
              </w:rPr>
            </w:pPr>
            <w:r>
              <w:rPr>
                <w:rFonts w:eastAsia="仿宋"/>
                <w:bCs/>
              </w:rPr>
              <w:t>符合法律、法规和投标文件中规定的其它实质性要求的。</w:t>
            </w:r>
          </w:p>
        </w:tc>
        <w:tc>
          <w:tcPr>
            <w:tcW w:w="932" w:type="dxa"/>
            <w:vAlign w:val="center"/>
          </w:tcPr>
          <w:p>
            <w:pPr>
              <w:spacing w:line="500" w:lineRule="exact"/>
              <w:rPr>
                <w:rFonts w:eastAsia="仿宋"/>
                <w:bCs/>
              </w:rPr>
            </w:pPr>
          </w:p>
        </w:tc>
        <w:tc>
          <w:tcPr>
            <w:tcW w:w="932" w:type="dxa"/>
            <w:vAlign w:val="center"/>
          </w:tcPr>
          <w:p>
            <w:pPr>
              <w:spacing w:line="500" w:lineRule="exact"/>
              <w:rPr>
                <w:rFonts w:eastAsia="仿宋"/>
                <w:bCs/>
              </w:rPr>
            </w:pPr>
          </w:p>
        </w:tc>
        <w:tc>
          <w:tcPr>
            <w:tcW w:w="931" w:type="dxa"/>
            <w:vAlign w:val="center"/>
          </w:tcPr>
          <w:p>
            <w:pPr>
              <w:spacing w:line="500" w:lineRule="exact"/>
              <w:rPr>
                <w:rFonts w:eastAsia="仿宋"/>
                <w:bCs/>
              </w:rPr>
            </w:pPr>
          </w:p>
        </w:tc>
        <w:tc>
          <w:tcPr>
            <w:tcW w:w="932" w:type="dxa"/>
            <w:tcBorders>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79" w:type="dxa"/>
            <w:tcBorders>
              <w:left w:val="single" w:color="auto" w:sz="12" w:space="0"/>
            </w:tcBorders>
            <w:vAlign w:val="center"/>
          </w:tcPr>
          <w:p>
            <w:pPr>
              <w:spacing w:line="500" w:lineRule="exact"/>
              <w:jc w:val="center"/>
              <w:rPr>
                <w:rFonts w:eastAsia="仿宋"/>
                <w:bCs/>
              </w:rPr>
            </w:pPr>
            <w:r>
              <w:rPr>
                <w:rFonts w:eastAsia="仿宋"/>
                <w:bCs/>
              </w:rPr>
              <w:t>6</w:t>
            </w:r>
          </w:p>
        </w:tc>
        <w:tc>
          <w:tcPr>
            <w:tcW w:w="4514" w:type="dxa"/>
            <w:vAlign w:val="center"/>
          </w:tcPr>
          <w:p>
            <w:pPr>
              <w:spacing w:line="500" w:lineRule="exact"/>
              <w:jc w:val="center"/>
              <w:rPr>
                <w:rFonts w:eastAsia="仿宋"/>
                <w:bCs/>
              </w:rPr>
            </w:pPr>
            <w:r>
              <w:rPr>
                <w:rFonts w:eastAsia="仿宋"/>
                <w:bCs/>
              </w:rPr>
              <w:t>是否通过评审：</w:t>
            </w:r>
          </w:p>
        </w:tc>
        <w:tc>
          <w:tcPr>
            <w:tcW w:w="932" w:type="dxa"/>
            <w:vAlign w:val="center"/>
          </w:tcPr>
          <w:p>
            <w:pPr>
              <w:spacing w:line="500" w:lineRule="exact"/>
              <w:rPr>
                <w:rFonts w:eastAsia="仿宋"/>
                <w:bCs/>
              </w:rPr>
            </w:pPr>
          </w:p>
        </w:tc>
        <w:tc>
          <w:tcPr>
            <w:tcW w:w="932" w:type="dxa"/>
            <w:vAlign w:val="center"/>
          </w:tcPr>
          <w:p>
            <w:pPr>
              <w:spacing w:line="500" w:lineRule="exact"/>
              <w:rPr>
                <w:rFonts w:eastAsia="仿宋"/>
                <w:bCs/>
              </w:rPr>
            </w:pPr>
          </w:p>
        </w:tc>
        <w:tc>
          <w:tcPr>
            <w:tcW w:w="931" w:type="dxa"/>
            <w:vAlign w:val="center"/>
          </w:tcPr>
          <w:p>
            <w:pPr>
              <w:spacing w:line="500" w:lineRule="exact"/>
              <w:rPr>
                <w:rFonts w:eastAsia="仿宋"/>
                <w:bCs/>
              </w:rPr>
            </w:pPr>
          </w:p>
        </w:tc>
        <w:tc>
          <w:tcPr>
            <w:tcW w:w="932" w:type="dxa"/>
            <w:tcBorders>
              <w:right w:val="single" w:color="auto" w:sz="12" w:space="0"/>
            </w:tcBorders>
            <w:vAlign w:val="center"/>
          </w:tcPr>
          <w:p>
            <w:pPr>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220" w:type="dxa"/>
            <w:gridSpan w:val="6"/>
            <w:tcBorders>
              <w:top w:val="single" w:color="auto" w:sz="12" w:space="0"/>
              <w:left w:val="single" w:color="auto" w:sz="12" w:space="0"/>
              <w:right w:val="single" w:color="auto" w:sz="12" w:space="0"/>
            </w:tcBorders>
            <w:vAlign w:val="center"/>
          </w:tcPr>
          <w:p>
            <w:pPr>
              <w:spacing w:line="500" w:lineRule="exact"/>
              <w:jc w:val="left"/>
              <w:rPr>
                <w:rFonts w:eastAsia="仿宋"/>
                <w:bCs/>
              </w:rPr>
            </w:pPr>
            <w:r>
              <w:rPr>
                <w:rFonts w:eastAsia="仿宋"/>
                <w:bCs/>
              </w:rPr>
              <w:t>评标委员会成员签名：</w:t>
            </w:r>
          </w:p>
          <w:p>
            <w:pPr>
              <w:spacing w:line="500" w:lineRule="exact"/>
              <w:jc w:val="center"/>
              <w:rPr>
                <w:rFonts w:eastAsia="仿宋"/>
                <w:bCs/>
              </w:rPr>
            </w:pPr>
          </w:p>
          <w:p>
            <w:pPr>
              <w:spacing w:line="500" w:lineRule="exact"/>
              <w:jc w:val="center"/>
              <w:rPr>
                <w:rFonts w:eastAsia="仿宋"/>
                <w:bCs/>
              </w:rPr>
            </w:pPr>
          </w:p>
          <w:p>
            <w:pPr>
              <w:spacing w:line="500" w:lineRule="exact"/>
              <w:jc w:val="center"/>
              <w:rPr>
                <w:rFonts w:eastAsia="仿宋"/>
                <w:bCs/>
              </w:rPr>
            </w:pPr>
            <w:r>
              <w:rPr>
                <w:rFonts w:eastAsia="仿宋"/>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220" w:type="dxa"/>
            <w:gridSpan w:val="6"/>
            <w:tcBorders>
              <w:left w:val="single" w:color="auto" w:sz="12" w:space="0"/>
              <w:bottom w:val="single" w:color="auto" w:sz="12" w:space="0"/>
              <w:right w:val="single" w:color="auto" w:sz="12" w:space="0"/>
            </w:tcBorders>
            <w:vAlign w:val="center"/>
          </w:tcPr>
          <w:p>
            <w:pPr>
              <w:spacing w:line="500" w:lineRule="exact"/>
              <w:jc w:val="left"/>
              <w:rPr>
                <w:rFonts w:eastAsia="仿宋"/>
                <w:bCs/>
              </w:rPr>
            </w:pPr>
            <w:r>
              <w:rPr>
                <w:rFonts w:eastAsia="仿宋"/>
                <w:bCs/>
              </w:rPr>
              <w:t>备注：如果投标文件中有一项未通过上述审查标准，评标委员会将认定整个投标文件不响应招标文件而予以废标，并且不允许投标人通过修改或撤销其不符合要求的差异或保留，使之成为具有响应性的投标。通过：√  不通过：×</w:t>
            </w:r>
          </w:p>
        </w:tc>
      </w:tr>
    </w:tbl>
    <w:p>
      <w:pPr>
        <w:spacing w:line="500" w:lineRule="exact"/>
        <w:ind w:firstLine="640" w:firstLineChars="200"/>
        <w:rPr>
          <w:rFonts w:eastAsia="仿宋"/>
          <w:bCs/>
          <w:sz w:val="32"/>
          <w:szCs w:val="32"/>
        </w:rPr>
        <w:sectPr>
          <w:pgSz w:w="11906" w:h="16838"/>
          <w:pgMar w:top="1134" w:right="850" w:bottom="1134" w:left="850" w:header="283" w:footer="283" w:gutter="0"/>
          <w:cols w:space="720" w:num="1"/>
          <w:docGrid w:type="lines" w:linePitch="339" w:charSpace="0"/>
        </w:sectPr>
      </w:pPr>
    </w:p>
    <w:p>
      <w:pPr>
        <w:jc w:val="center"/>
        <w:rPr>
          <w:rFonts w:hint="eastAsia" w:ascii="仿宋" w:hAnsi="仿宋" w:eastAsia="仿宋" w:cs="仿宋"/>
          <w:sz w:val="32"/>
          <w:szCs w:val="32"/>
        </w:rPr>
      </w:pPr>
      <w:bookmarkStart w:id="74" w:name="_Toc23527902"/>
      <w:r>
        <w:rPr>
          <w:rFonts w:hint="eastAsia" w:ascii="仿宋" w:hAnsi="仿宋" w:eastAsia="仿宋" w:cs="仿宋"/>
          <w:sz w:val="32"/>
          <w:szCs w:val="32"/>
        </w:rPr>
        <w:t>详细评审评分表</w:t>
      </w:r>
      <w:bookmarkEnd w:id="74"/>
    </w:p>
    <w:tbl>
      <w:tblPr>
        <w:tblStyle w:val="67"/>
        <w:tblW w:w="95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1"/>
        <w:gridCol w:w="960"/>
        <w:gridCol w:w="1416"/>
        <w:gridCol w:w="5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评分内容</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权重值%</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评分标准说明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价格部分（30分）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低价优先法计算，即满足招标文件要求且投标价格最低的投标报价为评标基准价，其价格得分为满分。其他投标人的价格得分统一按照下列公式计算：价格得分=（评标基准价/投标报价）×30%×100，如此类推，算出所有投标人的价格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商务部分（20分）</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企业资质</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投标人具有电子与智能化工程专业承包壹级资质，得2分。贰级得1分，贰级以下不得分。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具有信息安全管理体系认证（ISO 27001）、ISO 20000信息技术服务管理体系认证、环境管理体系认证（ISO14001）、职业健康安全管理体系认证（OHSAS 18001）证书，有1个得1分，最高得4分，不满足不得分。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投标人具有CS4级及以上信息系统建设和服务能力等级证书，得2分，低于得1分，不满足不得分。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信息技术服务运行维护标准符合性证书（ITSS）二级及以上，满足得2分，低于得1分，不满足不得分。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所有证书均需提供相关证明材料复印件，加盖投标人公章。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企业业绩</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投标人具有近两年信息化集成类项目相关业绩，有1个得1分，最多得8分（需提供中标通知书或合同关键页复印件，并加盖公章）。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标函质量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根据投标文件内容编排顺序、格式是否符合招标文件要求，条理是否清晰，有无缺页、漏项、材料模糊不清等情况打分，满分2分。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技术部分（50分）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设备配置及性能指标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所有核心投标产品全部满足本次招标参数要求，带“★”号条款为重要指标，满分总共15分，按要求提供相应的证明材料。投标产品每项不满足招标参数要求的扣0.5分，扣完为止。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提供本项目得实施方案是否具有合理性、适用性、可行性和经济性，第一得5分；第二得3分；第三得1分。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若投标人提供的产品不是投标人生产或拥有的，要求出具所投产品原厂商授权书及三年售后服务承诺函,提供主要厂家授权和服务承诺，数量最多得4分，第二名2分，其他按排名依次类推，最少得1分。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全面合理可行，1、符合信息系统项目管理的相关标准规范；2、有完善的质量控制体系；3、质量控制点明确有效；4、风险控制合理可行，人员保障、文档管理等措施具体有效，措施得力。全部满足得4分，每缺少一项或者描述不清晰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有实施时间进度表且安排科学合理，提供针对本项目的施工进度计划图及进度承诺，符合本项目要求、完整且实施性强的,得3分；实施性较强的,得2分；实施性较一般的,得1分。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针对该项目须有详尽的组织、验收、售后等方面的服务能力、措施及相关承诺，措施合理到位、承诺全面得2分；措施及承诺不全得1分。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项目团队</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化设计团队，应具备复合型技术能力。本项目技术负责人1名，需具有机电专业/电子工程类高级职称证书、信息系统项目管理师高级证书及二级建造师证书，全部具备得1分；设计组成人员2人，同时具有机电专业高级职称证书和二级建造师证书，全部具备，每人得1分，缺少一项不得分。（职称由专业技术人员职称办公室颁发，建造师证书（机电或通信类），提供证书复印件及在本单位近3个月本地社保缴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组主要成员应具备复合型技术能力，项目组实施成员配置不少于2人，要求至少需具有机电专业/电子工程类中级职称证书（专业技术人员职称办公室颁发）及二级建造师证书（机电或通信类），全部具备得1分，一项不全不得分。（提供证书复印件及在本单位近3个月年本地社保缴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项目组成员需配置网络中级工程师2名；专职安全员1名（安全员C证）；每提供1名得1分，最高得3分，不提供不得分。（提供证书复印件及在本单位近3个月本地社保缴纳证明）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培训保障</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针对本项目制定出：1、培训计划；2、培训方式；3、培训内容；4、培训目标；5、培训费用等；建议合理、可行性强,承诺完善到位得4分；建议一般、可行性一般,承诺一般得2分；建议可行性差,承诺差不得分。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售后及本地化服务</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5分</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投标人承诺驻场服务1人得1分，不满足不得分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驻场工程师需同时具备厂家认证网络中级、认证及信息安全保障人员证书（CISAW)。满足得2分，具备其中一个得1分，不满足不得分；（需提供投标单位3个月社保缴纳证明）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售后服务人员拥有信息技术服务经理级证书2人（自治区级及以上），每提供1人得1分。（需提供投标单位3个月社保缴纳证明）</w:t>
            </w:r>
          </w:p>
        </w:tc>
      </w:tr>
    </w:tbl>
    <w:p>
      <w:pPr>
        <w:keepNext/>
        <w:keepLines/>
        <w:pageBreakBefore/>
        <w:ind w:firstLine="420"/>
        <w:rPr>
          <w:rFonts w:eastAsia="仿宋"/>
          <w:szCs w:val="32"/>
        </w:rPr>
      </w:pPr>
      <w:r>
        <w:rPr>
          <w:rFonts w:eastAsia="仿宋"/>
          <w:szCs w:val="32"/>
        </w:rPr>
        <w:t>政府采购政策功能落实</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1、小微型企业价格扣除</w:t>
      </w:r>
    </w:p>
    <w:p>
      <w:pPr>
        <w:pStyle w:val="400"/>
        <w:snapToGrid w:val="0"/>
        <w:spacing w:beforeLines="50" w:afterLines="50" w:line="293" w:lineRule="auto"/>
        <w:ind w:firstLine="360" w:firstLineChars="150"/>
        <w:rPr>
          <w:rFonts w:ascii="Times New Roman" w:hAnsi="Times New Roman" w:eastAsia="仿宋"/>
          <w:kern w:val="2"/>
        </w:rPr>
      </w:pPr>
      <w:r>
        <w:rPr>
          <w:rFonts w:ascii="Times New Roman" w:hAnsi="Times New Roman" w:eastAsia="仿宋"/>
          <w:kern w:val="2"/>
        </w:rPr>
        <w:t>（1）本项目对小型和微型企业产品给予</w:t>
      </w:r>
      <w:r>
        <w:rPr>
          <w:rFonts w:hint="eastAsia" w:ascii="Times New Roman" w:hAnsi="Times New Roman" w:eastAsia="仿宋"/>
          <w:kern w:val="2"/>
          <w:lang w:val="en-US" w:eastAsia="zh-CN"/>
        </w:rPr>
        <w:t>10</w:t>
      </w:r>
      <w:r>
        <w:rPr>
          <w:rFonts w:ascii="Times New Roman" w:hAnsi="Times New Roman" w:eastAsia="仿宋"/>
          <w:kern w:val="2"/>
        </w:rPr>
        <w:t>%的扣除价格，用扣除后的价格参与评审。</w:t>
      </w:r>
    </w:p>
    <w:p>
      <w:pPr>
        <w:pStyle w:val="400"/>
        <w:snapToGrid w:val="0"/>
        <w:spacing w:beforeLines="50" w:afterLines="50" w:line="293" w:lineRule="auto"/>
        <w:ind w:firstLine="360" w:firstLineChars="150"/>
        <w:rPr>
          <w:rFonts w:ascii="Times New Roman" w:hAnsi="Times New Roman" w:eastAsia="仿宋"/>
          <w:kern w:val="2"/>
        </w:rPr>
      </w:pPr>
      <w:r>
        <w:rPr>
          <w:rFonts w:ascii="Times New Roman" w:hAnsi="Times New Roman" w:eastAsia="仿宋"/>
          <w:kern w:val="2"/>
        </w:rPr>
        <w:t>（2）供应商需按照采购文件的要求提供相应的《企业声明函》。</w:t>
      </w:r>
    </w:p>
    <w:p>
      <w:pPr>
        <w:pStyle w:val="400"/>
        <w:snapToGrid w:val="0"/>
        <w:spacing w:beforeLines="50" w:afterLines="50" w:line="293" w:lineRule="auto"/>
        <w:ind w:firstLine="360" w:firstLineChars="150"/>
        <w:rPr>
          <w:rFonts w:ascii="Times New Roman" w:hAnsi="Times New Roman" w:eastAsia="仿宋"/>
          <w:kern w:val="2"/>
        </w:rPr>
      </w:pPr>
      <w:r>
        <w:rPr>
          <w:rFonts w:ascii="Times New Roman" w:hAnsi="Times New Roman" w:eastAsia="仿宋"/>
          <w:kern w:val="2"/>
        </w:rPr>
        <w:t>（3）企业标准请参照</w:t>
      </w:r>
      <w:r>
        <w:rPr>
          <w:rFonts w:hint="eastAsia" w:ascii="Times New Roman" w:hAnsi="Times New Roman" w:eastAsia="仿宋"/>
          <w:kern w:val="2"/>
        </w:rPr>
        <w:t>《政府采购促进中小企业发展管理办法》 （财库 ﹝ 2020 ﹞ 46 号）</w:t>
      </w:r>
      <w:r>
        <w:rPr>
          <w:rFonts w:ascii="Times New Roman" w:hAnsi="Times New Roman" w:eastAsia="仿宋"/>
          <w:kern w:val="2"/>
        </w:rPr>
        <w:t>文件规定自行填写。</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2、残疾人福利单位价格扣除</w:t>
      </w:r>
    </w:p>
    <w:p>
      <w:pPr>
        <w:pStyle w:val="400"/>
        <w:snapToGrid w:val="0"/>
        <w:spacing w:beforeLines="50" w:afterLines="50" w:line="293" w:lineRule="auto"/>
        <w:ind w:left="137" w:leftChars="57" w:firstLine="360" w:firstLineChars="150"/>
        <w:rPr>
          <w:rFonts w:ascii="Times New Roman" w:hAnsi="Times New Roman" w:eastAsia="仿宋"/>
          <w:kern w:val="2"/>
        </w:rPr>
      </w:pPr>
      <w:r>
        <w:rPr>
          <w:rFonts w:ascii="Times New Roman" w:hAnsi="Times New Roman" w:eastAsia="仿宋"/>
          <w:kern w:val="2"/>
        </w:rPr>
        <w:t>（1）本项目对残疾人福利性单位视同小型、微型企业，给予6%的价格扣除，用扣除后的价格参与评审。</w:t>
      </w:r>
    </w:p>
    <w:p>
      <w:pPr>
        <w:pStyle w:val="400"/>
        <w:snapToGrid w:val="0"/>
        <w:spacing w:beforeLines="50" w:afterLines="50" w:line="293" w:lineRule="auto"/>
        <w:ind w:left="137" w:leftChars="57" w:firstLine="360" w:firstLineChars="150"/>
        <w:rPr>
          <w:rFonts w:ascii="Times New Roman" w:hAnsi="Times New Roman" w:eastAsia="仿宋"/>
          <w:kern w:val="2"/>
        </w:rPr>
      </w:pPr>
      <w:r>
        <w:rPr>
          <w:rFonts w:ascii="Times New Roman" w:hAnsi="Times New Roman" w:eastAsia="仿宋"/>
          <w:kern w:val="2"/>
        </w:rPr>
        <w:t>（2）残疾人福利单位需按照采购文件的要求提供《残疾人福利性单位声明函》。</w:t>
      </w:r>
    </w:p>
    <w:p>
      <w:pPr>
        <w:pStyle w:val="400"/>
        <w:snapToGrid w:val="0"/>
        <w:spacing w:beforeLines="50" w:afterLines="50" w:line="293" w:lineRule="auto"/>
        <w:ind w:left="137" w:leftChars="57" w:firstLine="360" w:firstLineChars="150"/>
        <w:rPr>
          <w:rFonts w:ascii="Times New Roman" w:hAnsi="Times New Roman" w:eastAsia="仿宋"/>
          <w:kern w:val="2"/>
        </w:rPr>
      </w:pPr>
      <w:r>
        <w:rPr>
          <w:rFonts w:ascii="Times New Roman" w:hAnsi="Times New Roman" w:eastAsia="仿宋"/>
          <w:kern w:val="2"/>
        </w:rPr>
        <w:t>（3）残疾人福利单位标准请参照《关于促进残疾人就业政府采购政策的通知》（财库〔2017〕141号）。</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3、监狱和戒毒企业价格扣除</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（1）本项目对监狱和戒毒企业（简称监狱企业）视同小型、微型企业，给予6%的价格扣除，用扣除后的价格参与评审。</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（2）监狱企业参加政府采购活动时，需提供由省级以上监狱管理局、戒毒管理局(含新疆生产建设兵团)出具的属于监狱企业的证明文件。</w:t>
      </w:r>
      <w:r>
        <w:rPr>
          <w:rFonts w:ascii="Times New Roman" w:hAnsi="Times New Roman" w:eastAsia="仿宋"/>
        </w:rPr>
        <w:t>供应商如不提供上述证明文件，价格将不做相应扣除</w:t>
      </w:r>
      <w:r>
        <w:rPr>
          <w:rFonts w:ascii="Times New Roman" w:hAnsi="Times New Roman" w:eastAsia="仿宋"/>
          <w:kern w:val="2"/>
        </w:rPr>
        <w:t>。</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（3）监狱企业标准请参照《关于政府采购支持监狱企业发展有关问题的通知》（财库[2014]68号）。</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4、残疾人福利单位、监狱企业属于小型、微型企业的，不重复享受政策。</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400"/>
        <w:snapToGrid w:val="0"/>
        <w:spacing w:beforeLines="50" w:afterLines="50" w:line="293" w:lineRule="auto"/>
        <w:ind w:firstLineChars="200"/>
        <w:rPr>
          <w:rFonts w:ascii="Times New Roman" w:hAnsi="Times New Roman" w:eastAsia="仿宋"/>
          <w:kern w:val="2"/>
        </w:rPr>
      </w:pPr>
      <w:r>
        <w:rPr>
          <w:rFonts w:ascii="Times New Roman" w:hAnsi="Times New Roman" w:eastAsia="仿宋"/>
          <w:kern w:val="2"/>
        </w:rPr>
        <w:t>6、联合体各方均为小型、微型企业（残疾人福利单位、监狱企业）的，联合体享受6%价格扣除，用扣除后的价格参与评审。</w:t>
      </w:r>
    </w:p>
    <w:p>
      <w:pPr>
        <w:pStyle w:val="400"/>
        <w:snapToGrid w:val="0"/>
        <w:spacing w:beforeLines="50" w:afterLines="50" w:line="293" w:lineRule="auto"/>
        <w:ind w:firstLineChars="200"/>
        <w:rPr>
          <w:rFonts w:ascii="Times New Roman" w:hAnsi="Times New Roman" w:eastAsia="仿宋"/>
          <w:kern w:val="2"/>
        </w:rPr>
      </w:pPr>
    </w:p>
    <w:p>
      <w:pPr>
        <w:pStyle w:val="400"/>
        <w:snapToGrid w:val="0"/>
        <w:spacing w:beforeLines="50" w:afterLines="50" w:line="293" w:lineRule="auto"/>
        <w:ind w:firstLineChars="200"/>
        <w:rPr>
          <w:rFonts w:ascii="Times New Roman" w:hAnsi="Times New Roman" w:eastAsia="仿宋"/>
          <w:kern w:val="2"/>
        </w:rPr>
      </w:pPr>
    </w:p>
    <w:p>
      <w:pPr>
        <w:pStyle w:val="400"/>
        <w:snapToGrid w:val="0"/>
        <w:spacing w:beforeLines="50" w:afterLines="50" w:line="293" w:lineRule="auto"/>
        <w:ind w:firstLineChars="200"/>
        <w:rPr>
          <w:rFonts w:ascii="Times New Roman" w:hAnsi="Times New Roman" w:eastAsia="仿宋"/>
          <w:kern w:val="2"/>
        </w:rPr>
      </w:pPr>
    </w:p>
    <w:p>
      <w:pPr>
        <w:pStyle w:val="63"/>
        <w:numPr>
          <w:ilvl w:val="0"/>
          <w:numId w:val="3"/>
        </w:numPr>
        <w:snapToGrid w:val="0"/>
        <w:spacing w:before="0" w:after="0" w:line="500" w:lineRule="exact"/>
        <w:ind w:firstLine="800" w:firstLineChars="200"/>
        <w:rPr>
          <w:rFonts w:ascii="Times New Roman" w:hAnsi="Times New Roman" w:eastAsia="仿宋"/>
          <w:b w:val="0"/>
          <w:color w:val="000000"/>
          <w:sz w:val="40"/>
        </w:rPr>
      </w:pPr>
      <w:bookmarkStart w:id="75" w:name="_Toc99785534"/>
      <w:bookmarkStart w:id="76" w:name="_Toc23527903"/>
      <w:bookmarkStart w:id="77" w:name="_Toc23483"/>
      <w:r>
        <w:rPr>
          <w:rFonts w:ascii="Times New Roman" w:hAnsi="Times New Roman" w:eastAsia="仿宋"/>
          <w:b w:val="0"/>
          <w:color w:val="000000"/>
          <w:sz w:val="40"/>
        </w:rPr>
        <w:t>采购要求及技术规格参数</w:t>
      </w:r>
      <w:bookmarkEnd w:id="75"/>
      <w:bookmarkEnd w:id="76"/>
      <w:bookmarkEnd w:id="77"/>
    </w:p>
    <w:p>
      <w:pPr>
        <w:pStyle w:val="90"/>
        <w:ind w:firstLine="0" w:firstLineChars="0"/>
        <w:rPr>
          <w:rStyle w:val="85"/>
        </w:rPr>
      </w:pPr>
    </w:p>
    <w:p>
      <w:pPr>
        <w:spacing w:line="240" w:lineRule="auto"/>
        <w:ind w:firstLine="0" w:firstLineChars="0"/>
        <w:rPr>
          <w:b/>
          <w:bCs/>
          <w:sz w:val="52"/>
          <w:szCs w:val="52"/>
        </w:rPr>
      </w:pPr>
    </w:p>
    <w:p>
      <w:pPr>
        <w:spacing w:line="240" w:lineRule="auto"/>
        <w:ind w:firstLine="0" w:firstLineChars="0"/>
        <w:jc w:val="center"/>
        <w:rPr>
          <w:b/>
          <w:bCs/>
          <w:sz w:val="52"/>
          <w:szCs w:val="52"/>
        </w:rPr>
      </w:pPr>
      <w:r>
        <w:rPr>
          <w:rFonts w:hint="eastAsia"/>
          <w:b/>
          <w:bCs/>
          <w:sz w:val="52"/>
          <w:szCs w:val="52"/>
        </w:rPr>
        <w:t>新疆维吾尔自治区儿童医院</w:t>
      </w:r>
    </w:p>
    <w:p>
      <w:pPr>
        <w:spacing w:line="240" w:lineRule="auto"/>
        <w:ind w:firstLine="0" w:firstLineChars="0"/>
        <w:jc w:val="center"/>
        <w:rPr>
          <w:b/>
          <w:bCs/>
          <w:sz w:val="52"/>
          <w:szCs w:val="52"/>
        </w:rPr>
      </w:pPr>
      <w:r>
        <w:rPr>
          <w:rFonts w:hint="eastAsia"/>
          <w:b/>
          <w:bCs/>
          <w:sz w:val="52"/>
          <w:szCs w:val="52"/>
        </w:rPr>
        <w:t>信息化能力建设项目</w:t>
      </w:r>
    </w:p>
    <w:p>
      <w:pPr>
        <w:spacing w:line="240" w:lineRule="auto"/>
        <w:ind w:firstLine="0" w:firstLineChars="0"/>
        <w:jc w:val="center"/>
        <w:rPr>
          <w:b/>
          <w:bCs/>
          <w:sz w:val="52"/>
          <w:szCs w:val="52"/>
        </w:rPr>
      </w:pPr>
    </w:p>
    <w:p>
      <w:pPr>
        <w:spacing w:line="240" w:lineRule="auto"/>
        <w:ind w:firstLine="0" w:firstLineChars="0"/>
        <w:jc w:val="center"/>
        <w:rPr>
          <w:b/>
          <w:bCs/>
          <w:sz w:val="52"/>
          <w:szCs w:val="52"/>
        </w:rPr>
      </w:pPr>
    </w:p>
    <w:p>
      <w:pPr>
        <w:spacing w:line="240" w:lineRule="auto"/>
        <w:ind w:firstLine="0" w:firstLineChars="0"/>
        <w:jc w:val="center"/>
        <w:rPr>
          <w:b/>
          <w:bCs/>
          <w:sz w:val="52"/>
          <w:szCs w:val="52"/>
        </w:rPr>
      </w:pPr>
      <w:r>
        <w:rPr>
          <w:rFonts w:hint="eastAsia"/>
          <w:b/>
          <w:bCs/>
          <w:sz w:val="52"/>
          <w:szCs w:val="52"/>
        </w:rPr>
        <w:t>招</w:t>
      </w:r>
    </w:p>
    <w:p>
      <w:pPr>
        <w:spacing w:line="240" w:lineRule="auto"/>
        <w:ind w:firstLine="0" w:firstLineChars="0"/>
        <w:jc w:val="center"/>
        <w:rPr>
          <w:b/>
          <w:bCs/>
          <w:sz w:val="52"/>
          <w:szCs w:val="52"/>
        </w:rPr>
      </w:pPr>
      <w:r>
        <w:rPr>
          <w:rFonts w:hint="eastAsia"/>
          <w:b/>
          <w:bCs/>
          <w:sz w:val="52"/>
          <w:szCs w:val="52"/>
        </w:rPr>
        <w:t>标</w:t>
      </w:r>
    </w:p>
    <w:p>
      <w:pPr>
        <w:spacing w:line="240" w:lineRule="auto"/>
        <w:ind w:firstLine="0" w:firstLineChars="0"/>
        <w:jc w:val="center"/>
        <w:rPr>
          <w:b/>
          <w:bCs/>
          <w:sz w:val="52"/>
          <w:szCs w:val="52"/>
        </w:rPr>
      </w:pPr>
      <w:r>
        <w:rPr>
          <w:rFonts w:hint="eastAsia"/>
          <w:b/>
          <w:bCs/>
          <w:sz w:val="52"/>
          <w:szCs w:val="52"/>
        </w:rPr>
        <w:t>技</w:t>
      </w:r>
    </w:p>
    <w:p>
      <w:pPr>
        <w:spacing w:line="240" w:lineRule="auto"/>
        <w:ind w:firstLine="0" w:firstLineChars="0"/>
        <w:jc w:val="center"/>
        <w:rPr>
          <w:b/>
          <w:bCs/>
          <w:sz w:val="52"/>
          <w:szCs w:val="52"/>
        </w:rPr>
      </w:pPr>
      <w:r>
        <w:rPr>
          <w:rFonts w:hint="eastAsia"/>
          <w:b/>
          <w:bCs/>
          <w:sz w:val="52"/>
          <w:szCs w:val="52"/>
        </w:rPr>
        <w:t>术</w:t>
      </w:r>
    </w:p>
    <w:p>
      <w:pPr>
        <w:spacing w:line="240" w:lineRule="auto"/>
        <w:ind w:firstLine="0" w:firstLineChars="0"/>
        <w:jc w:val="center"/>
        <w:rPr>
          <w:b/>
          <w:bCs/>
          <w:sz w:val="52"/>
          <w:szCs w:val="52"/>
        </w:rPr>
      </w:pPr>
      <w:r>
        <w:rPr>
          <w:rFonts w:hint="eastAsia"/>
          <w:b/>
          <w:bCs/>
          <w:sz w:val="52"/>
          <w:szCs w:val="52"/>
        </w:rPr>
        <w:t>要</w:t>
      </w:r>
    </w:p>
    <w:p>
      <w:pPr>
        <w:spacing w:line="240" w:lineRule="auto"/>
        <w:ind w:firstLine="0" w:firstLineChars="0"/>
        <w:jc w:val="center"/>
        <w:rPr>
          <w:b/>
          <w:bCs/>
          <w:sz w:val="52"/>
          <w:szCs w:val="52"/>
        </w:rPr>
      </w:pPr>
      <w:r>
        <w:rPr>
          <w:rFonts w:hint="eastAsia"/>
          <w:b/>
          <w:bCs/>
          <w:sz w:val="52"/>
          <w:szCs w:val="52"/>
        </w:rPr>
        <w:t>求</w:t>
      </w:r>
    </w:p>
    <w:p>
      <w:pPr>
        <w:spacing w:line="240" w:lineRule="auto"/>
        <w:ind w:firstLine="0" w:firstLineChars="0"/>
        <w:jc w:val="center"/>
        <w:rPr>
          <w:b/>
          <w:bCs/>
          <w:sz w:val="52"/>
          <w:szCs w:val="52"/>
        </w:rPr>
      </w:pPr>
    </w:p>
    <w:p>
      <w:pPr>
        <w:spacing w:line="240" w:lineRule="auto"/>
        <w:ind w:firstLine="0" w:firstLineChars="0"/>
        <w:rPr>
          <w:b/>
          <w:bCs/>
          <w:sz w:val="52"/>
          <w:szCs w:val="52"/>
        </w:rPr>
      </w:pPr>
    </w:p>
    <w:p>
      <w:pPr>
        <w:pStyle w:val="598"/>
        <w:ind w:firstLine="0" w:firstLineChars="0"/>
        <w:jc w:val="center"/>
        <w:rPr>
          <w:b/>
          <w:bCs/>
        </w:rPr>
      </w:pPr>
      <w:r>
        <w:rPr>
          <w:rFonts w:hint="eastAsia"/>
          <w:b/>
          <w:bCs/>
        </w:rPr>
        <w:t>2022年7月</w:t>
      </w:r>
    </w:p>
    <w:p>
      <w:pPr>
        <w:widowControl/>
        <w:spacing w:line="240" w:lineRule="auto"/>
        <w:ind w:firstLine="0" w:firstLineChars="0"/>
        <w:jc w:val="left"/>
        <w:rPr>
          <w:rFonts w:ascii="宋体" w:hAnsi="宋体" w:cs="Times New Roman"/>
          <w:b/>
          <w:bCs/>
          <w:szCs w:val="24"/>
        </w:rPr>
      </w:pPr>
      <w:r>
        <w:rPr>
          <w:b/>
          <w:bCs/>
        </w:rPr>
        <w:br w:type="page"/>
      </w:r>
    </w:p>
    <w:sdt>
      <w:sdtPr>
        <w:rPr>
          <w:rFonts w:eastAsia="宋体" w:asciiTheme="minorHAnsi" w:hAnsiTheme="minorHAnsi" w:cstheme="minorBidi"/>
          <w:color w:val="auto"/>
          <w:kern w:val="2"/>
          <w:sz w:val="24"/>
          <w:szCs w:val="21"/>
          <w:lang w:val="zh-CN"/>
        </w:rPr>
        <w:id w:val="781000151"/>
        <w:docPartObj>
          <w:docPartGallery w:val="Table of Contents"/>
          <w:docPartUnique/>
        </w:docPartObj>
      </w:sdtPr>
      <w:sdtEndPr>
        <w:rPr>
          <w:rFonts w:eastAsia="宋体" w:asciiTheme="minorHAnsi" w:hAnsiTheme="minorHAnsi" w:cstheme="minorBidi"/>
          <w:b/>
          <w:bCs/>
          <w:color w:val="auto"/>
          <w:kern w:val="2"/>
          <w:sz w:val="24"/>
          <w:szCs w:val="21"/>
          <w:lang w:val="zh-CN"/>
        </w:rPr>
      </w:sdtEndPr>
      <w:sdtContent>
        <w:p>
          <w:pPr>
            <w:pStyle w:val="601"/>
            <w:ind w:firstLine="480"/>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bCs/>
              <w:color w:val="000000" w:themeColor="text1"/>
              <w:sz w:val="44"/>
              <w:szCs w:val="44"/>
              <w:lang w:val="zh-CN"/>
              <w14:textFill>
                <w14:solidFill>
                  <w14:schemeClr w14:val="tx1"/>
                </w14:solidFill>
              </w14:textFill>
            </w:rPr>
            <w:t>目录</w:t>
          </w:r>
        </w:p>
        <w:p>
          <w:pPr>
            <w:pStyle w:val="44"/>
            <w:tabs>
              <w:tab w:val="right" w:leader="dot" w:pos="8456"/>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"_Toc109258291" </w:instrText>
          </w:r>
          <w:r>
            <w:fldChar w:fldCharType="separate"/>
          </w:r>
          <w:r>
            <w:rPr>
              <w:rStyle w:val="75"/>
              <w:rFonts w:hint="eastAsia" w:asciiTheme="majorHAnsi" w:hAnsiTheme="majorHAnsi"/>
            </w:rPr>
            <w:t>一、</w:t>
          </w:r>
          <w:r>
            <w:rPr>
              <w:rStyle w:val="75"/>
              <w:rFonts w:hint="eastAsia"/>
            </w:rPr>
            <w:t xml:space="preserve"> 项目概述</w:t>
          </w:r>
          <w:r>
            <w:tab/>
          </w:r>
          <w:r>
            <w:fldChar w:fldCharType="begin"/>
          </w:r>
          <w:r>
            <w:instrText xml:space="preserve"> PAGEREF _Toc109258291 \h </w:instrText>
          </w:r>
          <w:r>
            <w:fldChar w:fldCharType="separate"/>
          </w:r>
          <w:r>
            <w:t>3</w:t>
          </w:r>
          <w:r>
            <w:fldChar w:fldCharType="end"/>
          </w:r>
          <w:r>
            <w:fldChar w:fldCharType="end"/>
          </w:r>
        </w:p>
        <w:p>
          <w:pPr>
            <w:pStyle w:val="44"/>
            <w:tabs>
              <w:tab w:val="right" w:leader="dot" w:pos="8456"/>
            </w:tabs>
            <w:rPr>
              <w:rFonts w:cstheme="minorBidi"/>
              <w:kern w:val="2"/>
              <w:sz w:val="21"/>
            </w:rPr>
          </w:pPr>
          <w:r>
            <w:fldChar w:fldCharType="begin"/>
          </w:r>
          <w:r>
            <w:instrText xml:space="preserve"> HYPERLINK \l "_Toc109258292" </w:instrText>
          </w:r>
          <w:r>
            <w:fldChar w:fldCharType="separate"/>
          </w:r>
          <w:r>
            <w:rPr>
              <w:rStyle w:val="75"/>
              <w:rFonts w:hint="eastAsia" w:asciiTheme="majorHAnsi" w:hAnsiTheme="majorHAnsi"/>
            </w:rPr>
            <w:t>二、</w:t>
          </w:r>
          <w:r>
            <w:rPr>
              <w:rStyle w:val="75"/>
              <w:rFonts w:hint="eastAsia"/>
            </w:rPr>
            <w:t xml:space="preserve"> 建设内容</w:t>
          </w:r>
          <w:r>
            <w:tab/>
          </w:r>
          <w:r>
            <w:fldChar w:fldCharType="begin"/>
          </w:r>
          <w:r>
            <w:instrText xml:space="preserve"> PAGEREF _Toc109258292 \h </w:instrText>
          </w:r>
          <w:r>
            <w:fldChar w:fldCharType="separate"/>
          </w:r>
          <w:r>
            <w:t>4</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"_Toc109258293" </w:instrText>
          </w:r>
          <w:r>
            <w:fldChar w:fldCharType="separate"/>
          </w:r>
          <w:r>
            <w:rPr>
              <w:rStyle w:val="75"/>
            </w:rPr>
            <w:t>2.1</w:t>
          </w:r>
          <w:r>
            <w:rPr>
              <w:rStyle w:val="75"/>
              <w:rFonts w:hint="eastAsia"/>
            </w:rPr>
            <w:t xml:space="preserve"> 新楼报告厅</w:t>
          </w:r>
          <w:r>
            <w:tab/>
          </w:r>
          <w:r>
            <w:fldChar w:fldCharType="begin"/>
          </w:r>
          <w:r>
            <w:instrText xml:space="preserve"> PAGEREF _Toc109258293 \h </w:instrText>
          </w:r>
          <w:r>
            <w:fldChar w:fldCharType="separate"/>
          </w:r>
          <w:r>
            <w:t>4</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"_Toc109258294" </w:instrText>
          </w:r>
          <w:r>
            <w:fldChar w:fldCharType="separate"/>
          </w:r>
          <w:r>
            <w:rPr>
              <w:rStyle w:val="75"/>
            </w:rPr>
            <w:t>2.1.1</w:t>
          </w:r>
          <w:r>
            <w:rPr>
              <w:rStyle w:val="75"/>
              <w:rFonts w:hint="eastAsia"/>
            </w:rPr>
            <w:t xml:space="preserve"> 小间距</w:t>
          </w:r>
          <w:r>
            <w:rPr>
              <w:rStyle w:val="75"/>
            </w:rPr>
            <w:t>LED</w:t>
          </w:r>
          <w:r>
            <w:rPr>
              <w:rStyle w:val="75"/>
              <w:rFonts w:hint="eastAsia"/>
            </w:rPr>
            <w:t>显示系统</w:t>
          </w:r>
          <w:r>
            <w:tab/>
          </w:r>
          <w:r>
            <w:fldChar w:fldCharType="begin"/>
          </w:r>
          <w:r>
            <w:instrText xml:space="preserve"> PAGEREF _Toc109258294 \h </w:instrText>
          </w:r>
          <w:r>
            <w:fldChar w:fldCharType="separate"/>
          </w:r>
          <w:r>
            <w:t>4</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"_Toc109258295" </w:instrText>
          </w:r>
          <w:r>
            <w:fldChar w:fldCharType="separate"/>
          </w:r>
          <w:r>
            <w:rPr>
              <w:rStyle w:val="75"/>
            </w:rPr>
            <w:t>2.1.2</w:t>
          </w:r>
          <w:r>
            <w:rPr>
              <w:rStyle w:val="75"/>
              <w:rFonts w:hint="eastAsia"/>
            </w:rPr>
            <w:t xml:space="preserve"> 音频扩声系统</w:t>
          </w:r>
          <w:r>
            <w:tab/>
          </w:r>
          <w:r>
            <w:fldChar w:fldCharType="begin"/>
          </w:r>
          <w:r>
            <w:instrText xml:space="preserve"> PAGEREF _Toc109258295 \h </w:instrText>
          </w:r>
          <w:r>
            <w:fldChar w:fldCharType="separate"/>
          </w:r>
          <w:r>
            <w:t>4</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"_Toc109258296" </w:instrText>
          </w:r>
          <w:r>
            <w:fldChar w:fldCharType="separate"/>
          </w:r>
          <w:r>
            <w:rPr>
              <w:rStyle w:val="75"/>
            </w:rPr>
            <w:t>2.1.3</w:t>
          </w:r>
          <w:r>
            <w:rPr>
              <w:rStyle w:val="75"/>
              <w:rFonts w:hint="eastAsia"/>
            </w:rPr>
            <w:t xml:space="preserve"> 会议系统</w:t>
          </w:r>
          <w:r>
            <w:tab/>
          </w:r>
          <w:r>
            <w:fldChar w:fldCharType="begin"/>
          </w:r>
          <w:r>
            <w:instrText xml:space="preserve"> PAGEREF _Toc109258296 \h </w:instrText>
          </w:r>
          <w:r>
            <w:fldChar w:fldCharType="separate"/>
          </w:r>
          <w:r>
            <w:t>5</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"_Toc109258297" </w:instrText>
          </w:r>
          <w:r>
            <w:fldChar w:fldCharType="separate"/>
          </w:r>
          <w:r>
            <w:rPr>
              <w:rStyle w:val="75"/>
            </w:rPr>
            <w:t>2.1.4</w:t>
          </w:r>
          <w:r>
            <w:rPr>
              <w:rStyle w:val="75"/>
              <w:rFonts w:hint="eastAsia"/>
            </w:rPr>
            <w:t xml:space="preserve"> 集中控制系统</w:t>
          </w:r>
          <w:r>
            <w:tab/>
          </w:r>
          <w:r>
            <w:fldChar w:fldCharType="begin"/>
          </w:r>
          <w:r>
            <w:instrText xml:space="preserve"> PAGEREF _Toc109258297 \h </w:instrText>
          </w:r>
          <w:r>
            <w:fldChar w:fldCharType="separate"/>
          </w:r>
          <w:r>
            <w:t>5</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"_Toc109258298" </w:instrText>
          </w:r>
          <w:r>
            <w:fldChar w:fldCharType="separate"/>
          </w:r>
          <w:r>
            <w:rPr>
              <w:rStyle w:val="75"/>
            </w:rPr>
            <w:t>2.1.5</w:t>
          </w:r>
          <w:r>
            <w:rPr>
              <w:rStyle w:val="75"/>
              <w:rFonts w:hint="eastAsia"/>
            </w:rPr>
            <w:t xml:space="preserve"> 远程视频会议系统</w:t>
          </w:r>
          <w:r>
            <w:tab/>
          </w:r>
          <w:r>
            <w:fldChar w:fldCharType="begin"/>
          </w:r>
          <w:r>
            <w:instrText xml:space="preserve"> PAGEREF _Toc109258298 \h </w:instrText>
          </w:r>
          <w:r>
            <w:fldChar w:fldCharType="separate"/>
          </w:r>
          <w:r>
            <w:t>5</w:t>
          </w:r>
          <w:r>
            <w:fldChar w:fldCharType="end"/>
          </w:r>
          <w:r>
            <w:fldChar w:fldCharType="end"/>
          </w:r>
        </w:p>
        <w:p>
          <w:pPr>
            <w:pStyle w:val="33"/>
            <w:tabs>
              <w:tab w:val="right" w:leader="dot" w:pos="8456"/>
            </w:tabs>
            <w:rPr>
              <w:rFonts w:cstheme="minorBidi"/>
              <w:kern w:val="2"/>
              <w:sz w:val="21"/>
            </w:rPr>
          </w:pPr>
          <w:r>
            <w:fldChar w:fldCharType="begin"/>
          </w:r>
          <w:r>
            <w:instrText xml:space="preserve"> HYPERLINK \l "_Toc109258299" </w:instrText>
          </w:r>
          <w:r>
            <w:fldChar w:fldCharType="separate"/>
          </w:r>
          <w:r>
            <w:rPr>
              <w:rStyle w:val="75"/>
            </w:rPr>
            <w:t>2.1.6</w:t>
          </w:r>
          <w:r>
            <w:rPr>
              <w:rStyle w:val="75"/>
              <w:rFonts w:hint="eastAsia"/>
            </w:rPr>
            <w:t xml:space="preserve"> 舞台灯光系统</w:t>
          </w:r>
          <w:r>
            <w:tab/>
          </w:r>
          <w:r>
            <w:fldChar w:fldCharType="begin"/>
          </w:r>
          <w:r>
            <w:instrText xml:space="preserve"> PAGEREF _Toc109258299 \h </w:instrText>
          </w:r>
          <w:r>
            <w:fldChar w:fldCharType="separate"/>
          </w:r>
          <w:r>
            <w:t>5</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"_Toc109258300" </w:instrText>
          </w:r>
          <w:r>
            <w:fldChar w:fldCharType="separate"/>
          </w:r>
          <w:r>
            <w:rPr>
              <w:rStyle w:val="75"/>
            </w:rPr>
            <w:t>2.2</w:t>
          </w:r>
          <w:r>
            <w:rPr>
              <w:rStyle w:val="75"/>
              <w:rFonts w:hint="eastAsia"/>
            </w:rPr>
            <w:t xml:space="preserve"> 信息发布系统</w:t>
          </w:r>
          <w:r>
            <w:tab/>
          </w:r>
          <w:r>
            <w:fldChar w:fldCharType="begin"/>
          </w:r>
          <w:r>
            <w:instrText xml:space="preserve"> PAGEREF _Toc109258300 \h </w:instrText>
          </w:r>
          <w:r>
            <w:fldChar w:fldCharType="separate"/>
          </w:r>
          <w:r>
            <w:t>5</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"_Toc109258301" </w:instrText>
          </w:r>
          <w:r>
            <w:fldChar w:fldCharType="separate"/>
          </w:r>
          <w:r>
            <w:rPr>
              <w:rStyle w:val="75"/>
            </w:rPr>
            <w:t>2.3</w:t>
          </w:r>
          <w:r>
            <w:rPr>
              <w:rStyle w:val="75"/>
              <w:rFonts w:hint="eastAsia"/>
            </w:rPr>
            <w:t xml:space="preserve"> 病房电视</w:t>
          </w:r>
          <w:r>
            <w:tab/>
          </w:r>
          <w:r>
            <w:fldChar w:fldCharType="begin"/>
          </w:r>
          <w:r>
            <w:instrText xml:space="preserve"> PAGEREF _Toc109258301 \h </w:instrText>
          </w:r>
          <w:r>
            <w:fldChar w:fldCharType="separate"/>
          </w:r>
          <w:r>
            <w:t>6</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"_Toc109258302" </w:instrText>
          </w:r>
          <w:r>
            <w:fldChar w:fldCharType="separate"/>
          </w:r>
          <w:r>
            <w:rPr>
              <w:rStyle w:val="75"/>
            </w:rPr>
            <w:t>2.4</w:t>
          </w:r>
          <w:r>
            <w:rPr>
              <w:rStyle w:val="75"/>
              <w:rFonts w:hint="eastAsia"/>
            </w:rPr>
            <w:t xml:space="preserve"> 会议室智慧屏一体机</w:t>
          </w:r>
          <w:r>
            <w:tab/>
          </w:r>
          <w:r>
            <w:fldChar w:fldCharType="begin"/>
          </w:r>
          <w:r>
            <w:instrText xml:space="preserve"> PAGEREF _Toc109258302 \h </w:instrText>
          </w:r>
          <w:r>
            <w:fldChar w:fldCharType="separate"/>
          </w:r>
          <w:r>
            <w:t>6</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"_Toc109258303" </w:instrText>
          </w:r>
          <w:r>
            <w:fldChar w:fldCharType="separate"/>
          </w:r>
          <w:r>
            <w:rPr>
              <w:rStyle w:val="75"/>
            </w:rPr>
            <w:t>2.5</w:t>
          </w:r>
          <w:r>
            <w:rPr>
              <w:rStyle w:val="75"/>
              <w:rFonts w:hint="eastAsia"/>
            </w:rPr>
            <w:t xml:space="preserve"> 示教屏系统</w:t>
          </w:r>
          <w:r>
            <w:tab/>
          </w:r>
          <w:r>
            <w:fldChar w:fldCharType="begin"/>
          </w:r>
          <w:r>
            <w:instrText xml:space="preserve"> PAGEREF _Toc109258303 \h </w:instrText>
          </w:r>
          <w:r>
            <w:fldChar w:fldCharType="separate"/>
          </w:r>
          <w:r>
            <w:t>6</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"_Toc109258304" </w:instrText>
          </w:r>
          <w:r>
            <w:fldChar w:fldCharType="separate"/>
          </w:r>
          <w:r>
            <w:rPr>
              <w:rStyle w:val="75"/>
            </w:rPr>
            <w:t>2.6</w:t>
          </w:r>
          <w:r>
            <w:rPr>
              <w:rStyle w:val="75"/>
              <w:rFonts w:hint="eastAsia"/>
            </w:rPr>
            <w:t xml:space="preserve"> 指挥室智慧屏会议系统</w:t>
          </w:r>
          <w:r>
            <w:tab/>
          </w:r>
          <w:r>
            <w:fldChar w:fldCharType="begin"/>
          </w:r>
          <w:r>
            <w:instrText xml:space="preserve"> PAGEREF _Toc109258304 \h </w:instrText>
          </w:r>
          <w:r>
            <w:fldChar w:fldCharType="separate"/>
          </w:r>
          <w:r>
            <w:t>6</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"_Toc109258305" </w:instrText>
          </w:r>
          <w:r>
            <w:fldChar w:fldCharType="separate"/>
          </w:r>
          <w:r>
            <w:rPr>
              <w:rStyle w:val="75"/>
            </w:rPr>
            <w:t>2.7</w:t>
          </w:r>
          <w:r>
            <w:rPr>
              <w:rStyle w:val="75"/>
              <w:rFonts w:hint="eastAsia"/>
            </w:rPr>
            <w:t xml:space="preserve"> 小间距</w:t>
          </w:r>
          <w:r>
            <w:rPr>
              <w:rStyle w:val="75"/>
            </w:rPr>
            <w:t>LED</w:t>
          </w:r>
          <w:r>
            <w:rPr>
              <w:rStyle w:val="75"/>
              <w:rFonts w:hint="eastAsia"/>
            </w:rPr>
            <w:t>显示系统</w:t>
          </w:r>
          <w:r>
            <w:tab/>
          </w:r>
          <w:r>
            <w:fldChar w:fldCharType="begin"/>
          </w:r>
          <w:r>
            <w:instrText xml:space="preserve"> PAGEREF _Toc109258305 \h </w:instrText>
          </w:r>
          <w:r>
            <w:fldChar w:fldCharType="separate"/>
          </w:r>
          <w:r>
            <w:t>6</w:t>
          </w:r>
          <w:r>
            <w:fldChar w:fldCharType="end"/>
          </w:r>
          <w:r>
            <w:fldChar w:fldCharType="end"/>
          </w:r>
        </w:p>
        <w:p>
          <w:pPr>
            <w:pStyle w:val="56"/>
            <w:tabs>
              <w:tab w:val="right" w:leader="dot" w:pos="8456"/>
            </w:tabs>
            <w:rPr>
              <w:rFonts w:cstheme="minorBidi"/>
              <w:kern w:val="2"/>
              <w:sz w:val="21"/>
            </w:rPr>
          </w:pPr>
          <w:r>
            <w:fldChar w:fldCharType="begin"/>
          </w:r>
          <w:r>
            <w:instrText xml:space="preserve"> HYPERLINK \l "_Toc109258306" </w:instrText>
          </w:r>
          <w:r>
            <w:fldChar w:fldCharType="separate"/>
          </w:r>
          <w:r>
            <w:rPr>
              <w:rStyle w:val="75"/>
            </w:rPr>
            <w:t>2.8</w:t>
          </w:r>
          <w:r>
            <w:rPr>
              <w:rStyle w:val="75"/>
              <w:rFonts w:hint="eastAsia"/>
            </w:rPr>
            <w:t xml:space="preserve"> 培训教室</w:t>
          </w:r>
          <w:r>
            <w:tab/>
          </w:r>
          <w:r>
            <w:fldChar w:fldCharType="begin"/>
          </w:r>
          <w:r>
            <w:instrText xml:space="preserve"> PAGEREF _Toc109258306 \h </w:instrText>
          </w:r>
          <w:r>
            <w:fldChar w:fldCharType="separate"/>
          </w:r>
          <w:r>
            <w:t>7</w:t>
          </w:r>
          <w:r>
            <w:fldChar w:fldCharType="end"/>
          </w:r>
          <w:r>
            <w:fldChar w:fldCharType="end"/>
          </w:r>
        </w:p>
        <w:p>
          <w:pPr>
            <w:pStyle w:val="44"/>
            <w:tabs>
              <w:tab w:val="right" w:leader="dot" w:pos="8456"/>
            </w:tabs>
            <w:rPr>
              <w:rFonts w:cstheme="minorBidi"/>
              <w:kern w:val="2"/>
              <w:sz w:val="21"/>
            </w:rPr>
          </w:pPr>
          <w:r>
            <w:fldChar w:fldCharType="begin"/>
          </w:r>
          <w:r>
            <w:instrText xml:space="preserve"> HYPERLINK \l "_Toc109258307" </w:instrText>
          </w:r>
          <w:r>
            <w:fldChar w:fldCharType="separate"/>
          </w:r>
          <w:r>
            <w:rPr>
              <w:rStyle w:val="75"/>
              <w:rFonts w:hint="eastAsia" w:asciiTheme="majorHAnsi" w:hAnsiTheme="majorHAnsi"/>
            </w:rPr>
            <w:t>三、</w:t>
          </w:r>
          <w:r>
            <w:rPr>
              <w:rStyle w:val="75"/>
              <w:rFonts w:hint="eastAsia"/>
            </w:rPr>
            <w:t xml:space="preserve"> 招标施工及售后服务要求</w:t>
          </w:r>
          <w:r>
            <w:tab/>
          </w:r>
          <w:r>
            <w:fldChar w:fldCharType="begin"/>
          </w:r>
          <w:r>
            <w:instrText xml:space="preserve"> PAGEREF _Toc109258307 \h </w:instrText>
          </w:r>
          <w:r>
            <w:fldChar w:fldCharType="separate"/>
          </w:r>
          <w:r>
            <w:t>8</w:t>
          </w:r>
          <w:r>
            <w:fldChar w:fldCharType="end"/>
          </w:r>
          <w:r>
            <w:fldChar w:fldCharType="end"/>
          </w:r>
        </w:p>
        <w:p>
          <w:pPr>
            <w:pStyle w:val="44"/>
            <w:tabs>
              <w:tab w:val="right" w:leader="dot" w:pos="8456"/>
            </w:tabs>
            <w:rPr>
              <w:rFonts w:cstheme="minorBidi"/>
              <w:kern w:val="2"/>
              <w:sz w:val="21"/>
            </w:rPr>
          </w:pPr>
          <w:r>
            <w:fldChar w:fldCharType="begin"/>
          </w:r>
          <w:r>
            <w:instrText xml:space="preserve"> HYPERLINK \l "_Toc109258308" </w:instrText>
          </w:r>
          <w:r>
            <w:fldChar w:fldCharType="separate"/>
          </w:r>
          <w:r>
            <w:rPr>
              <w:rStyle w:val="75"/>
              <w:rFonts w:hint="eastAsia" w:asciiTheme="majorHAnsi" w:hAnsiTheme="majorHAnsi"/>
            </w:rPr>
            <w:t>四、</w:t>
          </w:r>
          <w:r>
            <w:rPr>
              <w:rStyle w:val="75"/>
              <w:rFonts w:hint="eastAsia"/>
            </w:rPr>
            <w:t xml:space="preserve"> 采购产品一览表</w:t>
          </w:r>
          <w:r>
            <w:tab/>
          </w:r>
          <w:r>
            <w:fldChar w:fldCharType="begin"/>
          </w:r>
          <w:r>
            <w:instrText xml:space="preserve"> PAGEREF _Toc109258308 \h </w:instrText>
          </w:r>
          <w:r>
            <w:fldChar w:fldCharType="separate"/>
          </w:r>
          <w:r>
            <w:t>9</w:t>
          </w:r>
          <w:r>
            <w:fldChar w:fldCharType="end"/>
          </w:r>
          <w:r>
            <w:fldChar w:fldCharType="end"/>
          </w:r>
        </w:p>
        <w:p>
          <w:pPr>
            <w:pStyle w:val="44"/>
            <w:tabs>
              <w:tab w:val="right" w:leader="dot" w:pos="8456"/>
            </w:tabs>
            <w:rPr>
              <w:rFonts w:cstheme="minorBidi"/>
              <w:kern w:val="2"/>
              <w:sz w:val="21"/>
            </w:rPr>
          </w:pPr>
          <w:r>
            <w:fldChar w:fldCharType="begin"/>
          </w:r>
          <w:r>
            <w:instrText xml:space="preserve"> HYPERLINK \l "_Toc109258309" </w:instrText>
          </w:r>
          <w:r>
            <w:fldChar w:fldCharType="separate"/>
          </w:r>
          <w:r>
            <w:rPr>
              <w:rStyle w:val="75"/>
              <w:rFonts w:hint="eastAsia" w:asciiTheme="majorHAnsi" w:hAnsiTheme="majorHAnsi"/>
            </w:rPr>
            <w:t>五、</w:t>
          </w:r>
          <w:r>
            <w:rPr>
              <w:rStyle w:val="75"/>
              <w:rFonts w:hint="eastAsia"/>
            </w:rPr>
            <w:t xml:space="preserve"> 产品清单及指标要求</w:t>
          </w:r>
          <w:r>
            <w:tab/>
          </w:r>
          <w:r>
            <w:fldChar w:fldCharType="begin"/>
          </w:r>
          <w:r>
            <w:instrText xml:space="preserve"> PAGEREF _Toc109258309 \h </w:instrText>
          </w:r>
          <w:r>
            <w:fldChar w:fldCharType="separate"/>
          </w:r>
          <w:r>
            <w:t>14</w:t>
          </w:r>
          <w:r>
            <w:fldChar w:fldCharType="end"/>
          </w:r>
          <w:r>
            <w:fldChar w:fldCharType="end"/>
          </w:r>
        </w:p>
        <w:p>
          <w:pPr>
            <w:ind w:firstLine="480"/>
          </w:pPr>
          <w:r>
            <w:rPr>
              <w:bCs/>
              <w:lang w:val="zh-CN"/>
            </w:rPr>
            <w:fldChar w:fldCharType="end"/>
          </w:r>
        </w:p>
      </w:sdtContent>
    </w:sdt>
    <w:p>
      <w:pPr>
        <w:widowControl/>
        <w:spacing w:line="240" w:lineRule="auto"/>
        <w:ind w:firstLine="0" w:firstLineChars="0"/>
        <w:jc w:val="left"/>
        <w:rPr>
          <w:rFonts w:ascii="宋体" w:hAnsi="宋体"/>
          <w:b/>
          <w:bCs/>
          <w:kern w:val="44"/>
          <w:sz w:val="44"/>
          <w:szCs w:val="44"/>
        </w:rPr>
      </w:pPr>
      <w:r>
        <w:br w:type="page"/>
      </w:r>
    </w:p>
    <w:p>
      <w:pPr>
        <w:pStyle w:val="3"/>
      </w:pPr>
      <w:bookmarkStart w:id="78" w:name="_Toc109258291"/>
      <w:bookmarkStart w:id="79" w:name="_Toc9685"/>
      <w:r>
        <w:rPr>
          <w:rFonts w:hint="eastAsia"/>
        </w:rPr>
        <w:t>项目概述</w:t>
      </w:r>
      <w:bookmarkEnd w:id="78"/>
      <w:bookmarkEnd w:id="79"/>
    </w:p>
    <w:p>
      <w:pPr>
        <w:spacing w:before="48"/>
        <w:ind w:firstLine="480"/>
        <w:rPr>
          <w:rFonts w:ascii="宋体" w:hAnsi="宋体"/>
          <w:iCs/>
        </w:rPr>
      </w:pPr>
      <w:r>
        <w:rPr>
          <w:rFonts w:hint="eastAsia"/>
        </w:rPr>
        <w:t>随着</w:t>
      </w:r>
      <w:r>
        <w:t>网络信息技术</w:t>
      </w:r>
      <w:r>
        <w:rPr>
          <w:rFonts w:hint="eastAsia"/>
        </w:rPr>
        <w:t>的</w:t>
      </w:r>
      <w:r>
        <w:t>发展及行业应用，信息技术已经</w:t>
      </w:r>
      <w:r>
        <w:rPr>
          <w:rFonts w:hint="eastAsia"/>
        </w:rPr>
        <w:t>成为</w:t>
      </w:r>
      <w:r>
        <w:t>改变行业发展能力及经济发展结构的重要助推器</w:t>
      </w:r>
      <w:r>
        <w:rPr>
          <w:rFonts w:hint="eastAsia"/>
        </w:rPr>
        <w:t>。医院作为</w:t>
      </w:r>
      <w:r>
        <w:t>人们生活过程中的重要保障性机构，所要面对普遍的大众群体，因此，对于工作效率和工作质量具有严格的要求。为了</w:t>
      </w:r>
      <w:r>
        <w:rPr>
          <w:rFonts w:hint="eastAsia"/>
        </w:rPr>
        <w:t>保证</w:t>
      </w:r>
      <w:r>
        <w:t>业务质量，很多医院都进行了数字化、信息化建设，通过有效的信息化手段，</w:t>
      </w:r>
      <w:r>
        <w:rPr>
          <w:rFonts w:hint="eastAsia"/>
        </w:rPr>
        <w:t>改进和</w:t>
      </w:r>
      <w:r>
        <w:t>调整业务结构，从而更好</w:t>
      </w:r>
      <w:r>
        <w:rPr>
          <w:rFonts w:hint="eastAsia"/>
        </w:rPr>
        <w:t>的</w:t>
      </w:r>
      <w:r>
        <w:t>为病人和群众服务。</w:t>
      </w:r>
      <w:r>
        <w:rPr>
          <w:rFonts w:hint="eastAsia" w:ascii="宋体" w:hAnsi="宋体"/>
          <w:iCs/>
        </w:rPr>
        <w:t>近年来，基于高清视频会议的远程医疗信息系统，以真实自然的高临场感会诊效果和动态清晰的医疗数据呈现，快速有效提升远程医疗质量和效果，推动远程医疗进入快速应用的新时代。</w:t>
      </w:r>
    </w:p>
    <w:p>
      <w:pPr>
        <w:pStyle w:val="598"/>
        <w:ind w:firstLine="480"/>
      </w:pPr>
      <w:r>
        <w:rPr>
          <w:rFonts w:hint="eastAsia"/>
        </w:rPr>
        <w:t>目前，新疆维吾尔自治区儿童医院新建大楼信息化建设</w:t>
      </w:r>
      <w:r>
        <w:t>遵循“</w:t>
      </w:r>
      <w:r>
        <w:rPr>
          <w:rFonts w:hint="eastAsia"/>
        </w:rPr>
        <w:t>整体</w:t>
      </w:r>
      <w:r>
        <w:t>规划，</w:t>
      </w:r>
      <w:r>
        <w:rPr>
          <w:rFonts w:hint="eastAsia"/>
        </w:rPr>
        <w:t>急用</w:t>
      </w:r>
      <w:r>
        <w:t>先行，分步实施”</w:t>
      </w:r>
      <w:r>
        <w:rPr>
          <w:rFonts w:hint="eastAsia"/>
        </w:rPr>
        <w:t>的</w:t>
      </w:r>
      <w:r>
        <w:t>原则</w:t>
      </w:r>
      <w:r>
        <w:rPr>
          <w:rFonts w:hint="eastAsia"/>
        </w:rPr>
        <w:t>，按照</w:t>
      </w:r>
      <w:r>
        <w:t>信息化系统建设的步伐配套进行有序建设。</w:t>
      </w:r>
      <w:r>
        <w:rPr>
          <w:rFonts w:hint="eastAsia"/>
        </w:rPr>
        <w:t>现在以多层次、全方位、实时交互信息成为医疗信息化行业的迫切需求。因此新疆维吾尔自治区儿童医院拟建设一套完善的医院信息化系统，具体内容如下：</w:t>
      </w:r>
    </w:p>
    <w:p>
      <w:pPr>
        <w:pStyle w:val="598"/>
        <w:ind w:firstLine="482"/>
        <w:rPr>
          <w:b/>
        </w:rPr>
      </w:pPr>
      <w:r>
        <w:rPr>
          <w:rFonts w:hint="eastAsia"/>
          <w:b/>
        </w:rPr>
        <w:t>多媒体报告厅</w:t>
      </w:r>
    </w:p>
    <w:p>
      <w:pPr>
        <w:pStyle w:val="598"/>
        <w:ind w:firstLine="480"/>
      </w:pPr>
      <w:r>
        <w:rPr>
          <w:rFonts w:hint="eastAsia"/>
        </w:rPr>
        <w:t>其中根据新疆维吾尔自治区儿童医院新建大楼</w:t>
      </w:r>
      <w:r>
        <w:t>多媒体报告厅</w:t>
      </w:r>
      <w:r>
        <w:rPr>
          <w:rFonts w:hint="eastAsia"/>
        </w:rPr>
        <w:t>使用</w:t>
      </w:r>
      <w:r>
        <w:t>需求，</w:t>
      </w:r>
      <w:r>
        <w:rPr>
          <w:rFonts w:hint="eastAsia"/>
        </w:rPr>
        <w:t>确保新疆维吾尔自治区儿童医院新建大楼多媒体</w:t>
      </w:r>
      <w:r>
        <w:t>报告厅</w:t>
      </w:r>
      <w:r>
        <w:rPr>
          <w:rFonts w:hint="eastAsia"/>
        </w:rPr>
        <w:t>建设</w:t>
      </w:r>
      <w:r>
        <w:t>完成</w:t>
      </w:r>
      <w:r>
        <w:rPr>
          <w:rFonts w:hint="eastAsia"/>
        </w:rPr>
        <w:t>后</w:t>
      </w:r>
      <w:r>
        <w:t>具备</w:t>
      </w:r>
      <w:r>
        <w:rPr>
          <w:rFonts w:hint="eastAsia"/>
        </w:rPr>
        <w:t>召开视频会议、医师</w:t>
      </w:r>
      <w:r>
        <w:t>交流</w:t>
      </w:r>
      <w:r>
        <w:rPr>
          <w:rFonts w:hint="eastAsia"/>
        </w:rPr>
        <w:t>、学术报告、专家</w:t>
      </w:r>
      <w:r>
        <w:t>交流研讨、远程视频会议和录播</w:t>
      </w:r>
      <w:r>
        <w:rPr>
          <w:rFonts w:hint="eastAsia"/>
        </w:rPr>
        <w:t>等多种</w:t>
      </w:r>
      <w:r>
        <w:t>形式的使用，并具备</w:t>
      </w:r>
      <w:r>
        <w:rPr>
          <w:rFonts w:hint="eastAsia"/>
        </w:rPr>
        <w:t>LED显示</w:t>
      </w:r>
      <w:r>
        <w:t>系统</w:t>
      </w:r>
      <w:r>
        <w:rPr>
          <w:rFonts w:hint="eastAsia"/>
        </w:rPr>
        <w:t>、音频</w:t>
      </w:r>
      <w:r>
        <w:t>扩声、</w:t>
      </w:r>
      <w:r>
        <w:rPr>
          <w:rFonts w:hint="eastAsia"/>
        </w:rPr>
        <w:t>集中</w:t>
      </w:r>
      <w:r>
        <w:t>控制系统</w:t>
      </w:r>
      <w:r>
        <w:rPr>
          <w:rFonts w:hint="eastAsia"/>
        </w:rPr>
        <w:t>、</w:t>
      </w:r>
      <w:r>
        <w:t>舞台灯光等功能。</w:t>
      </w:r>
    </w:p>
    <w:p>
      <w:pPr>
        <w:pStyle w:val="598"/>
        <w:ind w:firstLine="482"/>
        <w:rPr>
          <w:b/>
        </w:rPr>
      </w:pPr>
      <w:r>
        <w:rPr>
          <w:rFonts w:hint="eastAsia"/>
          <w:b/>
        </w:rPr>
        <w:t>信息</w:t>
      </w:r>
      <w:r>
        <w:rPr>
          <w:b/>
        </w:rPr>
        <w:t>发布系统</w:t>
      </w:r>
    </w:p>
    <w:p>
      <w:pPr>
        <w:ind w:firstLine="480"/>
        <w:rPr>
          <w:rFonts w:ascii="宋体" w:hAnsi="宋体" w:cs="微软雅黑"/>
          <w:sz w:val="21"/>
        </w:rPr>
      </w:pPr>
      <w:r>
        <w:rPr>
          <w:rFonts w:hint="eastAsia" w:ascii="宋体" w:hAnsi="宋体" w:cs="微软雅黑"/>
        </w:rPr>
        <w:t>通过信息化、数字化、网络化的多媒体信息发布系统，完全可以替代医院以往的打印海报、张贴宣传单等落后宣传手段，所有需要发布的信息都可以在第一时间编辑、制作、传输并发布到指定屏幕上显示，大大降低了人力发布的工作量，缩短了发布流程，提升发布的效率。</w:t>
      </w:r>
    </w:p>
    <w:p>
      <w:pPr>
        <w:pStyle w:val="598"/>
        <w:ind w:firstLine="482"/>
        <w:rPr>
          <w:b/>
        </w:rPr>
      </w:pPr>
      <w:r>
        <w:rPr>
          <w:rFonts w:hint="eastAsia"/>
          <w:b/>
        </w:rPr>
        <w:t>病房</w:t>
      </w:r>
      <w:r>
        <w:rPr>
          <w:b/>
        </w:rPr>
        <w:t>电视</w:t>
      </w:r>
    </w:p>
    <w:p>
      <w:pPr>
        <w:pStyle w:val="598"/>
        <w:ind w:firstLine="480"/>
        <w:rPr>
          <w:rFonts w:cs="微软雅黑"/>
          <w:szCs w:val="21"/>
        </w:rPr>
      </w:pPr>
      <w:r>
        <w:rPr>
          <w:rFonts w:hint="eastAsia" w:cs="微软雅黑"/>
          <w:szCs w:val="21"/>
        </w:rPr>
        <w:t>通过在病房部署电视，为患者提供观看电视节目的服务。</w:t>
      </w:r>
    </w:p>
    <w:p>
      <w:pPr>
        <w:pStyle w:val="2"/>
        <w:ind w:firstLine="482"/>
        <w:rPr>
          <w:b/>
        </w:rPr>
      </w:pPr>
      <w:r>
        <w:rPr>
          <w:rFonts w:hint="eastAsia"/>
          <w:b/>
        </w:rPr>
        <w:t>会议室智慧屏</w:t>
      </w:r>
      <w:r>
        <w:rPr>
          <w:b/>
        </w:rPr>
        <w:t>一体机</w:t>
      </w:r>
    </w:p>
    <w:p>
      <w:pPr>
        <w:pStyle w:val="2"/>
      </w:pPr>
      <w:r>
        <w:rPr>
          <w:rFonts w:hint="eastAsia"/>
        </w:rPr>
        <w:t>具备高清</w:t>
      </w:r>
      <w:r>
        <w:t>或超清液晶</w:t>
      </w:r>
      <w:r>
        <w:rPr>
          <w:rFonts w:hint="eastAsia"/>
        </w:rPr>
        <w:t>屏</w:t>
      </w:r>
      <w:r>
        <w:t>显示、书写、批注、</w:t>
      </w:r>
      <w:r>
        <w:rPr>
          <w:rFonts w:hint="eastAsia"/>
        </w:rPr>
        <w:t>绘图</w:t>
      </w:r>
      <w:r>
        <w:t>、屏幕捕获、多媒体播放、</w:t>
      </w:r>
      <w:r>
        <w:rPr>
          <w:rFonts w:hint="eastAsia"/>
        </w:rPr>
        <w:t>多屏</w:t>
      </w:r>
      <w:r>
        <w:t>互动</w:t>
      </w:r>
      <w:r>
        <w:rPr>
          <w:rFonts w:hint="eastAsia"/>
        </w:rPr>
        <w:t>、</w:t>
      </w:r>
      <w:r>
        <w:t>文件管理、智能浏览等功能，</w:t>
      </w:r>
      <w:r>
        <w:rPr>
          <w:rFonts w:hint="eastAsia"/>
        </w:rPr>
        <w:t>满足</w:t>
      </w:r>
      <w:r>
        <w:t>在开会人员开会需求</w:t>
      </w:r>
      <w:r>
        <w:rPr>
          <w:rFonts w:hint="eastAsia"/>
        </w:rPr>
        <w:t>。</w:t>
      </w:r>
    </w:p>
    <w:p>
      <w:pPr>
        <w:pStyle w:val="2"/>
        <w:ind w:firstLine="482"/>
        <w:rPr>
          <w:b/>
        </w:rPr>
      </w:pPr>
      <w:r>
        <w:rPr>
          <w:rFonts w:hint="eastAsia"/>
          <w:b/>
        </w:rPr>
        <w:t>应急</w:t>
      </w:r>
      <w:r>
        <w:rPr>
          <w:b/>
        </w:rPr>
        <w:t>指挥室</w:t>
      </w:r>
    </w:p>
    <w:p>
      <w:pPr>
        <w:ind w:firstLine="480"/>
        <w:rPr>
          <w:rFonts w:ascii="宋体" w:hAnsi="宋体" w:cs="微软雅黑"/>
        </w:rPr>
      </w:pPr>
      <w:r>
        <w:rPr>
          <w:rFonts w:hint="eastAsia" w:ascii="宋体" w:hAnsi="宋体" w:cs="微软雅黑"/>
        </w:rPr>
        <w:t>为了满足医院</w:t>
      </w:r>
      <w:r>
        <w:rPr>
          <w:rFonts w:ascii="宋体" w:hAnsi="宋体" w:cs="微软雅黑"/>
        </w:rPr>
        <w:t>远程医疗</w:t>
      </w:r>
      <w:r>
        <w:rPr>
          <w:rFonts w:hint="eastAsia" w:ascii="宋体" w:hAnsi="宋体" w:cs="微软雅黑"/>
        </w:rPr>
        <w:t>信息</w:t>
      </w:r>
      <w:r>
        <w:rPr>
          <w:rFonts w:ascii="宋体" w:hAnsi="宋体" w:cs="微软雅黑"/>
        </w:rPr>
        <w:t>系统建设，需</w:t>
      </w:r>
      <w:r>
        <w:rPr>
          <w:rFonts w:hint="eastAsia" w:ascii="宋体" w:hAnsi="宋体" w:cs="微软雅黑"/>
        </w:rPr>
        <w:t>配置全景</w:t>
      </w:r>
      <w:r>
        <w:rPr>
          <w:rFonts w:ascii="宋体" w:hAnsi="宋体" w:cs="微软雅黑"/>
        </w:rPr>
        <w:t>三</w:t>
      </w:r>
      <w:r>
        <w:rPr>
          <w:rFonts w:hint="eastAsia" w:ascii="宋体" w:hAnsi="宋体" w:cs="微软雅黑"/>
        </w:rPr>
        <w:t>屏会议</w:t>
      </w:r>
      <w:r>
        <w:rPr>
          <w:rFonts w:ascii="宋体" w:hAnsi="宋体" w:cs="微软雅黑"/>
        </w:rPr>
        <w:t>系统，支持不少于</w:t>
      </w:r>
      <w:r>
        <w:rPr>
          <w:rFonts w:hint="eastAsia" w:ascii="宋体" w:hAnsi="宋体" w:cs="微软雅黑"/>
        </w:rPr>
        <w:t>6人座位真人大小图像的远程呈现、全方位的声像同位、统一的可视化触摸控制等特色功能。要求与上级全景三屏会议系统无缝对接，要求实现三屏双向都显示图像。</w:t>
      </w:r>
    </w:p>
    <w:p>
      <w:pPr>
        <w:pStyle w:val="2"/>
        <w:ind w:firstLine="482"/>
        <w:rPr>
          <w:b/>
        </w:rPr>
      </w:pPr>
      <w:r>
        <w:rPr>
          <w:rFonts w:hint="eastAsia"/>
          <w:b/>
        </w:rPr>
        <w:t>LED显示</w:t>
      </w:r>
      <w:r>
        <w:rPr>
          <w:b/>
        </w:rPr>
        <w:t>系统</w:t>
      </w:r>
    </w:p>
    <w:p>
      <w:pPr>
        <w:pStyle w:val="2"/>
      </w:pPr>
      <w:r>
        <w:rPr>
          <w:rFonts w:hint="eastAsia"/>
        </w:rPr>
        <w:t>在</w:t>
      </w:r>
      <w:r>
        <w:t>新建大楼一楼大厅</w:t>
      </w:r>
      <w:r>
        <w:rPr>
          <w:rFonts w:hint="eastAsia"/>
        </w:rPr>
        <w:t>部署P2.0的LED大屏</w:t>
      </w:r>
      <w:r>
        <w:t>，</w:t>
      </w:r>
      <w:r>
        <w:rPr>
          <w:rFonts w:hint="eastAsia"/>
        </w:rPr>
        <w:t>满足</w:t>
      </w:r>
      <w:r>
        <w:t>医院的日常信息发布和医院宣传广告等功能。</w:t>
      </w:r>
    </w:p>
    <w:p>
      <w:pPr>
        <w:pStyle w:val="2"/>
        <w:ind w:firstLine="482"/>
        <w:rPr>
          <w:b/>
        </w:rPr>
      </w:pPr>
      <w:r>
        <w:rPr>
          <w:rFonts w:hint="eastAsia"/>
          <w:b/>
        </w:rPr>
        <w:t>培训</w:t>
      </w:r>
      <w:r>
        <w:rPr>
          <w:b/>
        </w:rPr>
        <w:t>教室</w:t>
      </w:r>
    </w:p>
    <w:p>
      <w:pPr>
        <w:pStyle w:val="598"/>
        <w:ind w:firstLine="480"/>
      </w:pPr>
      <w:r>
        <w:rPr>
          <w:rFonts w:hint="eastAsia"/>
        </w:rPr>
        <w:t>部署一套医院培训教室设备：桌面为公共使用，单独作为培训教室集中使用，为便于培训教学需求，使用还原模式，有教学互动需求，需要使用相关教学管理软件，同时可作为考点用于承接各类医疗考试。</w:t>
      </w:r>
    </w:p>
    <w:p>
      <w:pPr>
        <w:pStyle w:val="598"/>
        <w:ind w:firstLine="480"/>
      </w:pPr>
      <w:r>
        <w:rPr>
          <w:rFonts w:hint="eastAsia"/>
        </w:rPr>
        <w:t>通过部署</w:t>
      </w:r>
      <w:r>
        <w:t>以上</w:t>
      </w:r>
      <w:r>
        <w:rPr>
          <w:rFonts w:hint="eastAsia"/>
        </w:rPr>
        <w:t>医疗信息化</w:t>
      </w:r>
      <w:r>
        <w:t>系统</w:t>
      </w:r>
      <w:r>
        <w:rPr>
          <w:rFonts w:hint="eastAsia"/>
        </w:rPr>
        <w:t>，</w:t>
      </w:r>
      <w:r>
        <w:t>逐步跟上信息化建设的步伐，并不断更新，最终完善</w:t>
      </w:r>
      <w:r>
        <w:rPr>
          <w:rFonts w:hint="eastAsia"/>
        </w:rPr>
        <w:t>新疆维吾尔自治区儿童医院信息化</w:t>
      </w:r>
      <w:r>
        <w:t>整体建设目标。</w:t>
      </w:r>
    </w:p>
    <w:p>
      <w:pPr>
        <w:pStyle w:val="3"/>
      </w:pPr>
      <w:bookmarkStart w:id="80" w:name="_Toc25413"/>
      <w:bookmarkStart w:id="81" w:name="_Toc109258292"/>
      <w:r>
        <w:rPr>
          <w:rFonts w:hint="eastAsia"/>
        </w:rPr>
        <w:t>建设内容</w:t>
      </w:r>
      <w:bookmarkEnd w:id="80"/>
      <w:bookmarkEnd w:id="81"/>
    </w:p>
    <w:p>
      <w:pPr>
        <w:pStyle w:val="5"/>
      </w:pPr>
      <w:bookmarkStart w:id="82" w:name="_Toc109258293"/>
      <w:bookmarkStart w:id="83" w:name="_Toc32429"/>
      <w:r>
        <w:rPr>
          <w:rFonts w:hint="eastAsia"/>
        </w:rPr>
        <w:t>新楼报告厅</w:t>
      </w:r>
      <w:bookmarkEnd w:id="82"/>
      <w:bookmarkEnd w:id="83"/>
    </w:p>
    <w:p>
      <w:pPr>
        <w:pStyle w:val="598"/>
        <w:ind w:firstLine="480"/>
      </w:pPr>
      <w:r>
        <w:rPr>
          <w:rFonts w:hint="eastAsia"/>
        </w:rPr>
        <w:t>新楼报告厅结合了会议讨论、视频信号调度、视频会议、大屏幕图像处理等多媒体手段，并通过中央控制系统来进行统一管理。新楼报告厅建设内容包含大屏幕显示系统、音频扩声系统、中央控制系统、舞台灯光控制系统和高清视频会议系统。</w:t>
      </w:r>
    </w:p>
    <w:p>
      <w:pPr>
        <w:pStyle w:val="6"/>
      </w:pPr>
      <w:bookmarkStart w:id="84" w:name="_Toc109258294"/>
      <w:bookmarkStart w:id="85" w:name="_Toc31868"/>
      <w:r>
        <w:rPr>
          <w:rFonts w:hint="eastAsia"/>
        </w:rPr>
        <w:t>小间距L</w:t>
      </w:r>
      <w:r>
        <w:t>ED</w:t>
      </w:r>
      <w:r>
        <w:rPr>
          <w:rFonts w:hint="eastAsia"/>
        </w:rPr>
        <w:t>显示系统</w:t>
      </w:r>
      <w:bookmarkEnd w:id="84"/>
      <w:bookmarkEnd w:id="85"/>
    </w:p>
    <w:p>
      <w:pPr>
        <w:pStyle w:val="598"/>
        <w:ind w:firstLine="480"/>
      </w:pPr>
      <w:r>
        <w:rPr>
          <w:rFonts w:hint="eastAsia"/>
        </w:rPr>
        <w:t>新楼报告厅设计室内P</w:t>
      </w:r>
      <w:r>
        <w:t>1.2</w:t>
      </w:r>
      <w:r>
        <w:rPr>
          <w:rFonts w:hint="eastAsia"/>
        </w:rPr>
        <w:t>5</w:t>
      </w:r>
      <w:r>
        <w:t>LED</w:t>
      </w:r>
      <w:r>
        <w:rPr>
          <w:rFonts w:hint="eastAsia"/>
        </w:rPr>
        <w:t>大屏，尺寸结合装修安装，配置四台液晶电视，作为辅助显示。</w:t>
      </w:r>
    </w:p>
    <w:p>
      <w:pPr>
        <w:pStyle w:val="6"/>
      </w:pPr>
      <w:bookmarkStart w:id="86" w:name="_Toc29039"/>
      <w:bookmarkStart w:id="87" w:name="_Toc109258295"/>
      <w:r>
        <w:rPr>
          <w:rFonts w:hint="eastAsia"/>
        </w:rPr>
        <w:t>音频扩声系统</w:t>
      </w:r>
      <w:bookmarkEnd w:id="86"/>
      <w:bookmarkEnd w:id="87"/>
    </w:p>
    <w:p>
      <w:pPr>
        <w:pStyle w:val="598"/>
        <w:ind w:firstLine="480"/>
      </w:pPr>
      <w:r>
        <w:rPr>
          <w:rFonts w:hint="eastAsia"/>
        </w:rPr>
        <w:t>参考国家厅堂扩声设计标准一级进行设计，语言扩声系统一级标准要≥103dB，声场不均匀度要做到1kHz和4kHz时测量≤8dB；传声增益在125~4kHz的平均值要≥-8dB。</w:t>
      </w:r>
    </w:p>
    <w:p>
      <w:pPr>
        <w:pStyle w:val="4"/>
        <w:ind w:firstLine="482"/>
        <w:rPr>
          <w:b/>
          <w:bCs/>
        </w:rPr>
      </w:pPr>
      <w:r>
        <w:rPr>
          <w:rFonts w:hint="eastAsia"/>
          <w:b/>
          <w:bCs/>
        </w:rPr>
        <w:t>音响、功放设计：</w:t>
      </w:r>
    </w:p>
    <w:p>
      <w:pPr>
        <w:pStyle w:val="598"/>
        <w:ind w:firstLine="480"/>
      </w:pPr>
      <w:r>
        <w:rPr>
          <w:rFonts w:hint="eastAsia"/>
        </w:rPr>
        <w:t>在新楼报告厅扩声系统设置主扩音响、辅助音响、返听音响、低音音响等，满足会议、演绎使用要求。</w:t>
      </w:r>
    </w:p>
    <w:p>
      <w:pPr>
        <w:pStyle w:val="4"/>
        <w:ind w:firstLine="482"/>
        <w:rPr>
          <w:b/>
          <w:bCs/>
        </w:rPr>
      </w:pPr>
      <w:r>
        <w:rPr>
          <w:rFonts w:hint="eastAsia"/>
          <w:b/>
          <w:bCs/>
        </w:rPr>
        <w:t>音源、处理器设计：</w:t>
      </w:r>
    </w:p>
    <w:p>
      <w:pPr>
        <w:pStyle w:val="598"/>
        <w:ind w:firstLine="480"/>
      </w:pPr>
      <w:r>
        <w:rPr>
          <w:rFonts w:hint="eastAsia"/>
        </w:rPr>
        <w:t>配置手持无线话筒、头戴/胸戴无线话筒，用于会议主持、演出等需要。</w:t>
      </w:r>
    </w:p>
    <w:p>
      <w:pPr>
        <w:pStyle w:val="598"/>
        <w:ind w:firstLine="480"/>
      </w:pPr>
      <w:r>
        <w:rPr>
          <w:rFonts w:hint="eastAsia"/>
        </w:rPr>
        <w:t>配置舞台话筒，用于内部文艺演出、大合唱时使用。</w:t>
      </w:r>
    </w:p>
    <w:p>
      <w:pPr>
        <w:pStyle w:val="598"/>
        <w:ind w:firstLine="480"/>
      </w:pPr>
      <w:r>
        <w:rPr>
          <w:rFonts w:hint="eastAsia"/>
        </w:rPr>
        <w:t>采用多路数字调音台，带编组输出；于实现混音、增益调节、均衡、效果调节等功能。</w:t>
      </w:r>
    </w:p>
    <w:p>
      <w:pPr>
        <w:pStyle w:val="598"/>
        <w:ind w:firstLine="480"/>
      </w:pPr>
      <w:r>
        <w:rPr>
          <w:rFonts w:hint="eastAsia"/>
        </w:rPr>
        <w:t>音频处理器，主要用于音频矩阵切换、反馈抑制、前级放大、均衡调节、声音滤波、处理音色效果等功能。</w:t>
      </w:r>
    </w:p>
    <w:p>
      <w:pPr>
        <w:pStyle w:val="598"/>
        <w:ind w:firstLine="482"/>
        <w:rPr>
          <w:b/>
          <w:bCs/>
        </w:rPr>
      </w:pPr>
      <w:r>
        <w:rPr>
          <w:rFonts w:hint="eastAsia"/>
          <w:b/>
          <w:bCs/>
        </w:rPr>
        <w:t>声场检测</w:t>
      </w:r>
    </w:p>
    <w:p>
      <w:pPr>
        <w:pStyle w:val="598"/>
        <w:ind w:firstLine="480"/>
      </w:pPr>
      <w:r>
        <w:rPr>
          <w:rFonts w:hint="eastAsia"/>
        </w:rPr>
        <w:t>设备安装完成后，需要做声场检测并出具报告。</w:t>
      </w:r>
    </w:p>
    <w:p>
      <w:pPr>
        <w:pStyle w:val="6"/>
      </w:pPr>
      <w:bookmarkStart w:id="88" w:name="_Toc109258296"/>
      <w:bookmarkStart w:id="89" w:name="_Toc27681"/>
      <w:r>
        <w:rPr>
          <w:rFonts w:hint="eastAsia"/>
        </w:rPr>
        <w:t>会议系统</w:t>
      </w:r>
      <w:bookmarkEnd w:id="88"/>
      <w:bookmarkEnd w:id="89"/>
    </w:p>
    <w:p>
      <w:pPr>
        <w:pStyle w:val="598"/>
        <w:ind w:firstLine="480"/>
      </w:pPr>
      <w:r>
        <w:rPr>
          <w:rFonts w:hint="eastAsia"/>
        </w:rPr>
        <w:t>会议系统为满足视频会议、学术讨论、手术示教培训等场景，配置专业会议系统1套，采用会议话筒单对单模式，在一定程度上抑制了啸叫，同时可以对会议现场的话筒进行一定的智能管理。根据新楼报告厅布局和需求，新楼报告厅配置如下：</w:t>
      </w:r>
    </w:p>
    <w:p>
      <w:pPr>
        <w:pStyle w:val="598"/>
        <w:ind w:firstLine="480"/>
      </w:pPr>
      <w:r>
        <w:rPr>
          <w:rFonts w:hint="eastAsia"/>
        </w:rPr>
        <w:t>配置鹅颈话筒、话筒混音智能器、智能话筒处理器。</w:t>
      </w:r>
    </w:p>
    <w:p>
      <w:pPr>
        <w:pStyle w:val="6"/>
      </w:pPr>
      <w:bookmarkStart w:id="90" w:name="_Toc109258297"/>
      <w:bookmarkStart w:id="91" w:name="_Toc16727"/>
      <w:r>
        <w:rPr>
          <w:rFonts w:hint="eastAsia"/>
        </w:rPr>
        <w:t>集中控制系统</w:t>
      </w:r>
      <w:bookmarkEnd w:id="90"/>
      <w:bookmarkEnd w:id="91"/>
    </w:p>
    <w:p>
      <w:pPr>
        <w:pStyle w:val="598"/>
        <w:ind w:firstLine="480"/>
      </w:pPr>
      <w:r>
        <w:rPr>
          <w:rFonts w:hint="eastAsia"/>
        </w:rPr>
        <w:t>中央集中控制系统为新楼报告厅智能多媒体设备控制的灵魂，集中了灯光、投影及视音频控制手段于一体，控制界面简单、直接，令使用者能方便地掌握整个空间环境各设备的状态及功能控制。</w:t>
      </w:r>
    </w:p>
    <w:p>
      <w:pPr>
        <w:pStyle w:val="6"/>
      </w:pPr>
      <w:bookmarkStart w:id="92" w:name="_Toc15360"/>
      <w:bookmarkStart w:id="93" w:name="_Toc109258298"/>
      <w:r>
        <w:rPr>
          <w:rFonts w:hint="eastAsia"/>
        </w:rPr>
        <w:t>远程视频会议系统</w:t>
      </w:r>
      <w:bookmarkEnd w:id="92"/>
      <w:bookmarkEnd w:id="93"/>
    </w:p>
    <w:p>
      <w:pPr>
        <w:pStyle w:val="598"/>
        <w:ind w:firstLine="480"/>
        <w:rPr>
          <w:rFonts w:ascii="Calibri" w:hAnsi="Calibri"/>
        </w:rPr>
      </w:pPr>
      <w:r>
        <w:rPr>
          <w:rFonts w:hint="eastAsia"/>
        </w:rPr>
        <w:t>在新楼报告厅设置一套远程视频会议系统，通过硬终端和软终端，实现与其它会议室、手术室的音视频互联互通，达到提高效率、降低成本的目的。</w:t>
      </w:r>
    </w:p>
    <w:p>
      <w:pPr>
        <w:pStyle w:val="598"/>
        <w:tabs>
          <w:tab w:val="right" w:pos="8466"/>
        </w:tabs>
        <w:ind w:firstLine="480"/>
      </w:pPr>
      <w:r>
        <w:rPr>
          <w:rFonts w:hint="eastAsia"/>
        </w:rPr>
        <w:t>部署支持多组开会的协同通讯平台、高清视频会议终端、高清会议摄像机。</w:t>
      </w:r>
      <w:r>
        <w:tab/>
      </w:r>
    </w:p>
    <w:p>
      <w:pPr>
        <w:pStyle w:val="6"/>
      </w:pPr>
      <w:bookmarkStart w:id="94" w:name="_Toc16023"/>
      <w:bookmarkStart w:id="95" w:name="_Toc109258299"/>
      <w:r>
        <w:rPr>
          <w:rFonts w:hint="eastAsia"/>
        </w:rPr>
        <w:t>舞台灯光系统</w:t>
      </w:r>
      <w:bookmarkEnd w:id="94"/>
      <w:bookmarkEnd w:id="95"/>
    </w:p>
    <w:p>
      <w:pPr>
        <w:pStyle w:val="598"/>
        <w:ind w:firstLine="480"/>
      </w:pPr>
      <w:r>
        <w:rPr>
          <w:rFonts w:hint="eastAsia"/>
        </w:rPr>
        <w:t>新楼报告厅灯光系统设计、配置和布局以满足会议为主，兼顾各种文艺演出的要求，整个舞台的光源做到科学、合理。舞台灯光布置分台口内区和台口外区，配备基本灯位，并能灵活调节，适应演出等功能用途的需要。</w:t>
      </w:r>
    </w:p>
    <w:p>
      <w:pPr>
        <w:pStyle w:val="5"/>
      </w:pPr>
      <w:bookmarkStart w:id="96" w:name="_Toc31432"/>
      <w:bookmarkStart w:id="97" w:name="_Toc109258300"/>
      <w:r>
        <w:rPr>
          <w:rFonts w:hint="eastAsia"/>
        </w:rPr>
        <w:t>信息发布系统</w:t>
      </w:r>
      <w:bookmarkEnd w:id="96"/>
      <w:bookmarkEnd w:id="97"/>
    </w:p>
    <w:p>
      <w:pPr>
        <w:pStyle w:val="598"/>
        <w:ind w:firstLine="480"/>
      </w:pPr>
      <w:r>
        <w:rPr>
          <w:rFonts w:hint="eastAsia"/>
        </w:rPr>
        <w:t>多媒体信息发布系统是一个用于数字化媒体内容发布与播放的专业系统，该系统可以替代张贴海报、播放文件等旧的宣传方式，将需要宣传和发布的内容以数字化的方式编辑制作，然后通过网络化的方式传输到指定的终端设备上进行播放，并以信息化方式进行集中管理，以达到信息内容的指定发布、实时更新和集中管理目的。</w:t>
      </w:r>
    </w:p>
    <w:p>
      <w:pPr>
        <w:pStyle w:val="5"/>
      </w:pPr>
      <w:bookmarkStart w:id="98" w:name="_Toc26434"/>
      <w:bookmarkStart w:id="99" w:name="_Toc109258301"/>
      <w:r>
        <w:rPr>
          <w:rFonts w:hint="eastAsia"/>
        </w:rPr>
        <w:t>病房电视</w:t>
      </w:r>
      <w:bookmarkEnd w:id="98"/>
      <w:bookmarkEnd w:id="99"/>
    </w:p>
    <w:p>
      <w:pPr>
        <w:pStyle w:val="598"/>
        <w:ind w:firstLine="480"/>
      </w:pPr>
      <w:r>
        <w:rPr>
          <w:rFonts w:hint="eastAsia"/>
        </w:rPr>
        <w:t>病房配置</w:t>
      </w:r>
      <w:r>
        <w:t>55英寸</w:t>
      </w:r>
      <w:r>
        <w:rPr>
          <w:rFonts w:hint="eastAsia"/>
        </w:rPr>
        <w:t>的电视系统，</w:t>
      </w:r>
      <w:r>
        <w:t>让住院的患者随时可以观看自己喜欢的节目</w:t>
      </w:r>
      <w:r>
        <w:rPr>
          <w:rFonts w:hint="eastAsia"/>
        </w:rPr>
        <w:t>，提高医院服务</w:t>
      </w:r>
      <w:r>
        <w:t>。</w:t>
      </w:r>
    </w:p>
    <w:p>
      <w:pPr>
        <w:pStyle w:val="5"/>
      </w:pPr>
      <w:bookmarkStart w:id="100" w:name="_Toc14303"/>
      <w:bookmarkStart w:id="101" w:name="_Toc109258302"/>
      <w:r>
        <w:rPr>
          <w:rFonts w:hint="eastAsia"/>
        </w:rPr>
        <w:t>会议室智慧屏一体机</w:t>
      </w:r>
      <w:bookmarkEnd w:id="100"/>
      <w:bookmarkEnd w:id="101"/>
    </w:p>
    <w:p>
      <w:pPr>
        <w:pStyle w:val="598"/>
        <w:ind w:firstLine="480"/>
      </w:pPr>
      <w:r>
        <w:rPr>
          <w:rFonts w:hint="eastAsia"/>
        </w:rPr>
        <w:t>在会议室部署智慧大屏集高清显示、电子白板、电脑、电视、音响等功能于一体，作为现代化多媒体会议设备，不仅为医院医护人员提供了更好的视觉体验，高速的触摸书写体验，同时配套了应用软件，让医院医护人员在开会期间，开会更加方便和高效。</w:t>
      </w:r>
    </w:p>
    <w:p>
      <w:pPr>
        <w:pStyle w:val="5"/>
      </w:pPr>
      <w:bookmarkStart w:id="102" w:name="_Toc109258303"/>
      <w:bookmarkStart w:id="103" w:name="_Toc22618"/>
      <w:r>
        <w:rPr>
          <w:rFonts w:hint="eastAsia"/>
        </w:rPr>
        <w:t>示教屏系统</w:t>
      </w:r>
      <w:bookmarkEnd w:id="102"/>
      <w:bookmarkEnd w:id="103"/>
    </w:p>
    <w:p>
      <w:pPr>
        <w:pStyle w:val="598"/>
        <w:ind w:firstLine="480"/>
      </w:pPr>
      <w:r>
        <w:rPr>
          <w:rFonts w:hint="eastAsia"/>
        </w:rPr>
        <w:t>在医生办公室部署一套示教智慧屏，支持智能书写功能，支持会议协作，与会多方可以同时对一个材料进行共同标注，并可以对他人标注进行修改。在召开多方会议之后，任意一个会场可以在传送本地会场图像的同时，将本端的笔记本桌面传送到远端，在远端会场就看到笔记本的桌面，实现全景式视频会议，对日常办公会以来说，可以将电子报表和数据文件清晰的显示在远端各个会场。</w:t>
      </w:r>
    </w:p>
    <w:p>
      <w:pPr>
        <w:pStyle w:val="5"/>
      </w:pPr>
      <w:bookmarkStart w:id="104" w:name="_Toc109258304"/>
      <w:bookmarkStart w:id="105" w:name="_Toc678"/>
      <w:r>
        <w:rPr>
          <w:rFonts w:hint="eastAsia"/>
        </w:rPr>
        <w:t>指挥室智慧屏会议系统</w:t>
      </w:r>
      <w:bookmarkEnd w:id="104"/>
      <w:bookmarkEnd w:id="105"/>
    </w:p>
    <w:p>
      <w:pPr>
        <w:pStyle w:val="598"/>
        <w:ind w:firstLine="480"/>
      </w:pPr>
      <w:r>
        <w:rPr>
          <w:rFonts w:hint="eastAsia"/>
        </w:rPr>
        <w:t>配置全景智慧屏会议系统一套，包括一体化机架、共光心摄像机、核心编解码器、超窄缝全高清显示屏、交换机、无线路由器、高保真音响,多功能会议桌包,使用全景视频图像采集、1080P60帧的真人大小的极致高清视频等业界顶尖技术，支持多人座位真人大小图像的远程呈现、全方位的声像同位、统一的可视化触摸控制等特色功能。要求与北京儿童医院全景三屏会议系统无缝对接。</w:t>
      </w:r>
    </w:p>
    <w:p>
      <w:pPr>
        <w:pStyle w:val="5"/>
      </w:pPr>
      <w:bookmarkStart w:id="106" w:name="_Toc22649"/>
      <w:bookmarkStart w:id="107" w:name="_Toc109258305"/>
      <w:r>
        <w:rPr>
          <w:rFonts w:hint="eastAsia"/>
        </w:rPr>
        <w:t>小间距L</w:t>
      </w:r>
      <w:r>
        <w:t>ED</w:t>
      </w:r>
      <w:r>
        <w:rPr>
          <w:rFonts w:hint="eastAsia"/>
        </w:rPr>
        <w:t>显示系统</w:t>
      </w:r>
      <w:bookmarkEnd w:id="106"/>
      <w:bookmarkEnd w:id="107"/>
    </w:p>
    <w:p>
      <w:pPr>
        <w:pStyle w:val="598"/>
        <w:ind w:firstLine="480"/>
      </w:pPr>
      <w:r>
        <w:rPr>
          <w:rFonts w:hint="eastAsia"/>
        </w:rPr>
        <w:t>在新建大楼一楼设计室内P2.0小间距</w:t>
      </w:r>
      <w:r>
        <w:t>LED</w:t>
      </w:r>
      <w:r>
        <w:rPr>
          <w:rFonts w:hint="eastAsia"/>
        </w:rPr>
        <w:t>大屏，尺寸结合装修安装，主要用于医院宣传和信息发布使用等功能。</w:t>
      </w:r>
    </w:p>
    <w:p>
      <w:pPr>
        <w:pStyle w:val="5"/>
      </w:pPr>
      <w:bookmarkStart w:id="108" w:name="_Toc12551"/>
      <w:bookmarkStart w:id="109" w:name="_Toc109258306"/>
      <w:r>
        <w:rPr>
          <w:rFonts w:hint="eastAsia"/>
        </w:rPr>
        <w:t>培训教室</w:t>
      </w:r>
      <w:bookmarkEnd w:id="108"/>
      <w:bookmarkEnd w:id="109"/>
    </w:p>
    <w:p>
      <w:pPr>
        <w:pStyle w:val="598"/>
        <w:ind w:firstLine="480"/>
      </w:pPr>
      <w:r>
        <w:rPr>
          <w:rFonts w:hint="eastAsia"/>
        </w:rPr>
        <w:t>部署一套医院培训教室设备：桌面为公共使用，单独作为培训教室集中使用，为便于培训教学需求，使用还原模式，有教学互动需求，需要使用相关教学管理软件，同时可作为考点用于承接各类医疗考试。</w:t>
      </w:r>
    </w:p>
    <w:p>
      <w:pPr>
        <w:pStyle w:val="598"/>
        <w:ind w:firstLine="480"/>
      </w:pPr>
      <w:r>
        <w:br w:type="page"/>
      </w:r>
    </w:p>
    <w:p>
      <w:pPr>
        <w:pStyle w:val="3"/>
      </w:pPr>
      <w:bookmarkStart w:id="110" w:name="_Toc20665"/>
      <w:bookmarkStart w:id="111" w:name="_Toc109258307"/>
      <w:r>
        <w:rPr>
          <w:rFonts w:hint="eastAsia"/>
        </w:rPr>
        <w:t>招标施工及售后服务要求</w:t>
      </w:r>
      <w:bookmarkEnd w:id="110"/>
      <w:bookmarkEnd w:id="111"/>
    </w:p>
    <w:p>
      <w:pPr>
        <w:pStyle w:val="598"/>
        <w:numPr>
          <w:ilvl w:val="0"/>
          <w:numId w:val="4"/>
        </w:numPr>
        <w:ind w:firstLineChars="0"/>
      </w:pPr>
      <w:r>
        <w:rPr>
          <w:rFonts w:hint="eastAsia"/>
        </w:rPr>
        <w:t>此项目为交钥匙工程，报价包含项目内产生的所有费用。</w:t>
      </w:r>
    </w:p>
    <w:p>
      <w:pPr>
        <w:pStyle w:val="598"/>
        <w:numPr>
          <w:ilvl w:val="0"/>
          <w:numId w:val="4"/>
        </w:numPr>
        <w:ind w:firstLineChars="0"/>
      </w:pPr>
      <w:r>
        <w:rPr>
          <w:rFonts w:hint="eastAsia"/>
        </w:rPr>
        <w:t>工程工期60日。</w:t>
      </w:r>
    </w:p>
    <w:p>
      <w:pPr>
        <w:pStyle w:val="598"/>
        <w:ind w:firstLine="480"/>
      </w:pPr>
      <w:r>
        <w:rPr>
          <w:rFonts w:hint="eastAsia"/>
        </w:rPr>
        <w:t>3、项目需要施工单位驻派</w:t>
      </w:r>
      <w:r>
        <w:t>2名及以上资深工程师（在本单位工作两年以上），且验收前中未经信息中心同意不能调离</w:t>
      </w:r>
      <w:r>
        <w:rPr>
          <w:rFonts w:hint="eastAsia"/>
        </w:rPr>
        <w:t>。</w:t>
      </w:r>
    </w:p>
    <w:p>
      <w:pPr>
        <w:pStyle w:val="598"/>
        <w:numPr>
          <w:ilvl w:val="0"/>
          <w:numId w:val="4"/>
        </w:numPr>
        <w:ind w:firstLineChars="0"/>
      </w:pPr>
      <w:r>
        <w:t>技术支持</w:t>
      </w:r>
    </w:p>
    <w:p>
      <w:pPr>
        <w:pStyle w:val="598"/>
        <w:ind w:firstLine="480"/>
      </w:pPr>
      <w:r>
        <w:rPr>
          <w:rFonts w:hint="eastAsia"/>
        </w:rPr>
        <w:t>提供多路</w:t>
      </w:r>
      <w:r>
        <w:t>7*24小时电话支持，提供热线电话技术支持，提供电子邮件回复、传真回复等远程技术服务，根据用户要求，工程师一小时到现场服务，并提供一年内不少于24次数、时间的现场服务。在出现系统重大事项后按新疆儿童医院信息中心要求提供现场职守服务。</w:t>
      </w:r>
    </w:p>
    <w:p>
      <w:pPr>
        <w:pStyle w:val="598"/>
        <w:numPr>
          <w:ilvl w:val="0"/>
          <w:numId w:val="4"/>
        </w:numPr>
        <w:ind w:firstLineChars="0"/>
      </w:pPr>
      <w:r>
        <w:t>现场服务</w:t>
      </w:r>
    </w:p>
    <w:p>
      <w:pPr>
        <w:pStyle w:val="598"/>
        <w:ind w:firstLine="480"/>
      </w:pPr>
      <w:r>
        <w:rPr>
          <w:rFonts w:hint="eastAsia"/>
        </w:rPr>
        <w:t>现场服务采取到场服务制。投标方应提供同时至少</w:t>
      </w:r>
      <w:r>
        <w:t>2名现场人员，现场人员负责日常巡检，设备监控，故障处理，性能优化，文档编写等。投标方需提供全年不少于24次工作日（不含国家法定节假日）的现场服务，现场时间为早10点至晚7点半，其他时间需提供24小时可联系电话，保证故障发生2小时内能安排人员到场处理。</w:t>
      </w:r>
    </w:p>
    <w:p>
      <w:pPr>
        <w:pStyle w:val="598"/>
        <w:numPr>
          <w:ilvl w:val="0"/>
          <w:numId w:val="4"/>
        </w:numPr>
        <w:ind w:firstLineChars="0"/>
      </w:pPr>
      <w:r>
        <w:t>特殊时段技术支持：</w:t>
      </w:r>
    </w:p>
    <w:p>
      <w:pPr>
        <w:pStyle w:val="598"/>
        <w:ind w:firstLine="480"/>
      </w:pPr>
      <w:r>
        <w:rPr>
          <w:rFonts w:hint="eastAsia"/>
        </w:rPr>
        <w:t>对于新疆儿童医院信息中心业务特殊时间点，如各类</w:t>
      </w:r>
      <w:r>
        <w:t xml:space="preserve"> 会议或者培训的关键时间点、系统测试、系统上线切换、特殊时间段的应急事件处理或的测试演练、重大节假日（春节、十一），服务商应不限次数和时间的现场服务，时间为中标后第3年内。</w:t>
      </w:r>
    </w:p>
    <w:p>
      <w:pPr>
        <w:pStyle w:val="598"/>
        <w:numPr>
          <w:ilvl w:val="0"/>
          <w:numId w:val="4"/>
        </w:numPr>
        <w:ind w:firstLineChars="0"/>
      </w:pPr>
      <w:r>
        <w:t>日常巡检</w:t>
      </w:r>
    </w:p>
    <w:p>
      <w:pPr>
        <w:pStyle w:val="598"/>
        <w:ind w:firstLine="480"/>
      </w:pPr>
      <w:r>
        <w:t>投标方需自备用于系统运维管理工具，负责安装、部署和培训，保证对本次建设系统不造成不良影响。每个季度至少1次现场巡检服务、每季度出具系统运行报告、每季度针对上一季度发生的常见问题提出解决办法，半年、全年提供运维总结报告。</w:t>
      </w:r>
    </w:p>
    <w:p>
      <w:pPr>
        <w:widowControl/>
        <w:spacing w:line="240" w:lineRule="auto"/>
        <w:ind w:firstLine="0" w:firstLineChars="0"/>
        <w:jc w:val="left"/>
        <w:rPr>
          <w:rFonts w:ascii="宋体" w:hAnsi="宋体"/>
          <w:b/>
          <w:bCs/>
          <w:kern w:val="44"/>
          <w:sz w:val="44"/>
          <w:szCs w:val="44"/>
        </w:rPr>
      </w:pPr>
      <w:r>
        <w:br w:type="page"/>
      </w:r>
    </w:p>
    <w:p>
      <w:pPr>
        <w:pStyle w:val="3"/>
      </w:pPr>
      <w:bookmarkStart w:id="112" w:name="_Toc109258308"/>
      <w:bookmarkStart w:id="113" w:name="_Toc3906"/>
      <w:r>
        <w:rPr>
          <w:rFonts w:hint="eastAsia"/>
        </w:rPr>
        <w:t>采购产品</w:t>
      </w:r>
      <w:r>
        <w:t>一览表</w:t>
      </w:r>
      <w:bookmarkEnd w:id="112"/>
      <w:bookmarkEnd w:id="113"/>
    </w:p>
    <w:tbl>
      <w:tblPr>
        <w:tblStyle w:val="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3452"/>
        <w:gridCol w:w="1665"/>
        <w:gridCol w:w="1224"/>
        <w:gridCol w:w="1924"/>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6"/>
            <w:shd w:val="clear" w:color="auto" w:fill="auto"/>
            <w:vAlign w:val="center"/>
          </w:tcPr>
          <w:p>
            <w:pPr>
              <w:widowControl/>
              <w:spacing w:line="240" w:lineRule="auto"/>
              <w:ind w:firstLine="0" w:firstLineChars="0"/>
              <w:jc w:val="center"/>
              <w:rPr>
                <w:rFonts w:ascii="宋体" w:hAnsi="宋体" w:cs="宋体"/>
                <w:b/>
                <w:bCs/>
                <w:color w:val="000000"/>
                <w:kern w:val="0"/>
                <w:sz w:val="40"/>
                <w:szCs w:val="40"/>
              </w:rPr>
            </w:pPr>
            <w:r>
              <w:rPr>
                <w:rFonts w:hint="eastAsia" w:ascii="宋体" w:hAnsi="宋体" w:cs="宋体"/>
                <w:b/>
                <w:bCs/>
                <w:color w:val="000000"/>
                <w:kern w:val="0"/>
                <w:sz w:val="40"/>
                <w:szCs w:val="40"/>
              </w:rPr>
              <w:t>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1656"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设备名称</w:t>
            </w:r>
          </w:p>
        </w:tc>
        <w:tc>
          <w:tcPr>
            <w:tcW w:w="799"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数量/单位</w:t>
            </w:r>
          </w:p>
        </w:tc>
        <w:tc>
          <w:tcPr>
            <w:tcW w:w="587"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质保期</w:t>
            </w:r>
          </w:p>
        </w:tc>
        <w:tc>
          <w:tcPr>
            <w:tcW w:w="923"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交货日期</w:t>
            </w:r>
          </w:p>
        </w:tc>
        <w:tc>
          <w:tcPr>
            <w:tcW w:w="726"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一、新楼报告厅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1、小间距P1.</w:t>
            </w:r>
            <w:r>
              <w:rPr>
                <w:rFonts w:ascii="宋体" w:hAnsi="宋体" w:cs="宋体"/>
                <w:b/>
                <w:bCs/>
                <w:color w:val="000000"/>
                <w:kern w:val="0"/>
                <w:szCs w:val="24"/>
              </w:rPr>
              <w:t>2</w:t>
            </w:r>
            <w:r>
              <w:rPr>
                <w:rFonts w:hint="eastAsia" w:ascii="宋体" w:hAnsi="宋体" w:cs="宋体"/>
                <w:b/>
                <w:bCs/>
                <w:color w:val="000000"/>
                <w:kern w:val="0"/>
                <w:szCs w:val="24"/>
              </w:rPr>
              <w:t>5全彩LED大屏幕显示系统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1.1小间距P1.</w:t>
            </w:r>
            <w:r>
              <w:rPr>
                <w:rFonts w:ascii="宋体" w:hAnsi="宋体" w:cs="宋体"/>
                <w:b/>
                <w:bCs/>
                <w:color w:val="000000"/>
                <w:kern w:val="0"/>
                <w:szCs w:val="24"/>
              </w:rPr>
              <w:t>25</w:t>
            </w:r>
            <w:r>
              <w:rPr>
                <w:rFonts w:hint="eastAsia" w:ascii="宋体" w:hAnsi="宋体" w:cs="宋体"/>
                <w:b/>
                <w:bCs/>
                <w:color w:val="000000"/>
                <w:kern w:val="0"/>
                <w:szCs w:val="24"/>
              </w:rPr>
              <w:t>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室内P1.</w:t>
            </w:r>
            <w:r>
              <w:rPr>
                <w:rFonts w:ascii="宋体" w:hAnsi="宋体" w:cs="宋体"/>
                <w:color w:val="000000"/>
                <w:kern w:val="0"/>
                <w:sz w:val="20"/>
                <w:szCs w:val="20"/>
              </w:rPr>
              <w:t>25</w:t>
            </w:r>
            <w:r>
              <w:rPr>
                <w:rFonts w:hint="eastAsia" w:ascii="宋体" w:hAnsi="宋体" w:cs="宋体"/>
                <w:color w:val="000000"/>
                <w:kern w:val="0"/>
                <w:sz w:val="20"/>
                <w:szCs w:val="20"/>
              </w:rPr>
              <w:t>全彩LED屏</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视频处理器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矩阵</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显示屏专用接收卡</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54张</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配电箱</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配套设备</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结构及包边</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安装及调试</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1.2辅助显示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报告厅电视机电动遥控吊架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报告厅电视机推车支架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2、扩声系统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主扩专业数字功放</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主扩线阵音箱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低音专业数字功放</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低音线阵音箱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线阵田子架带脚轮</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辅助专业数字功放</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音箱墙架</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返听专业数字功放</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返听音箱</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超低频专业数字功放</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超低频低音音箱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手持式无线话筒</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头戴式无线话筒</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天线分配器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话筒天线</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落地话筒支架</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小振膜话筒（乐器使用）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4支</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65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多功能播放器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数字调音台</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音频处理器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监听有源音箱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抑制器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电源时序器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机柜</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ascii="宋体" w:hAnsi="宋体" w:cs="宋体"/>
                <w:color w:val="000000"/>
                <w:kern w:val="0"/>
                <w:sz w:val="20"/>
                <w:szCs w:val="20"/>
              </w:rPr>
              <w:t>26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操作台</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2张</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7</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辅助材料</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3、会议系统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鹅颈话筒</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话筒混音智能器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智能话筒处理器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话筒线</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12卷</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地插盒</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4、集中控制系统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网络中控主机</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中控软件</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平板电脑</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串口分配器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5、远程视频会议和录播系统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5.1新楼报告厅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协同通讯平台</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多接口视频模块</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软终端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32套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交换机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存储服务器</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64" w:type="pct"/>
            <w:gridSpan w:val="3"/>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5.2新楼小会议室</w:t>
            </w:r>
          </w:p>
        </w:tc>
        <w:tc>
          <w:tcPr>
            <w:tcW w:w="587" w:type="pct"/>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p>
        </w:tc>
        <w:tc>
          <w:tcPr>
            <w:tcW w:w="923" w:type="pct"/>
            <w:shd w:val="clear" w:color="auto" w:fill="auto"/>
            <w:noWrap/>
            <w:vAlign w:val="center"/>
          </w:tcPr>
          <w:p>
            <w:pPr>
              <w:widowControl/>
              <w:spacing w:line="240" w:lineRule="auto"/>
              <w:ind w:firstLine="0" w:firstLineChars="0"/>
              <w:jc w:val="left"/>
              <w:rPr>
                <w:rFonts w:ascii="Times New Roman" w:hAnsi="Times New Roman" w:eastAsia="Times New Roman" w:cs="Times New Roman"/>
                <w:kern w:val="0"/>
                <w:sz w:val="20"/>
                <w:szCs w:val="20"/>
              </w:rPr>
            </w:pPr>
          </w:p>
        </w:tc>
        <w:tc>
          <w:tcPr>
            <w:tcW w:w="726" w:type="pct"/>
            <w:shd w:val="clear" w:color="auto" w:fill="auto"/>
            <w:noWrap/>
            <w:vAlign w:val="center"/>
          </w:tcPr>
          <w:p>
            <w:pPr>
              <w:widowControl/>
              <w:spacing w:line="240" w:lineRule="auto"/>
              <w:ind w:firstLine="0" w:firstLineChars="0"/>
              <w:jc w:val="left"/>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5.3手术室、胃镜室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天线分配器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话筒天线</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显示器</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5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移动机柜</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6、舞台灯光系统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一顶光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嵌入式LED面板会议灯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一逆光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180WLED摇头图案灯</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二顶光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嵌入式LED面板会议灯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二逆光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180WLED摇头光束灯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左右侧光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180WLED摇头光束灯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面光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嵌入式LED冷暖面光灯（双色温）</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外围设备及控制系统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专业控制台</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信号放大器</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智能数字电柜</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线材</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二、信息发布系统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多媒体信息发布软件</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43寸商显一体机</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55寸商显一体机</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高清网络播放器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服务器</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三、病房电视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电视机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136台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电视机挂架、线缆</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136个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四、6层2个小会议室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电子白板多功能一体机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五、多功能示教屏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智慧屏</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安装调试</w:t>
            </w:r>
          </w:p>
        </w:tc>
        <w:tc>
          <w:tcPr>
            <w:tcW w:w="79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六、应急指挥室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MCU扩容许可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3个</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三屏智真</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智真核心编解码器</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安装调试费</w:t>
            </w:r>
          </w:p>
        </w:tc>
        <w:tc>
          <w:tcPr>
            <w:tcW w:w="79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七、大屏显示系统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室内P2.0全彩LED屏</w:t>
            </w:r>
          </w:p>
        </w:tc>
        <w:tc>
          <w:tcPr>
            <w:tcW w:w="79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视频处理器</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显示屏专用接收卡</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58张</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5</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配电箱</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配套设备</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7</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结构及包边</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8</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安装及调试</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19.35m²</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五年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6"/>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八、云桌面培训教室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教学云服务器</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授权软件</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云一体机</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终端授权</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有线键鼠套装</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教学管理系统</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56"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三层交换机</w:t>
            </w:r>
          </w:p>
        </w:tc>
        <w:tc>
          <w:tcPr>
            <w:tcW w:w="79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FFFFFF"/>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56"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配套桌椅</w:t>
            </w:r>
          </w:p>
        </w:tc>
        <w:tc>
          <w:tcPr>
            <w:tcW w:w="79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20套</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布线及设备安装</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1项</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定制护眼灯</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656"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机柜</w:t>
            </w:r>
          </w:p>
        </w:tc>
        <w:tc>
          <w:tcPr>
            <w:tcW w:w="79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1台</w:t>
            </w:r>
          </w:p>
        </w:tc>
        <w:tc>
          <w:tcPr>
            <w:tcW w:w="587"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三年</w:t>
            </w:r>
          </w:p>
        </w:tc>
        <w:tc>
          <w:tcPr>
            <w:tcW w:w="923"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60日</w:t>
            </w:r>
          </w:p>
        </w:tc>
        <w:tc>
          <w:tcPr>
            <w:tcW w:w="726" w:type="pct"/>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bl>
    <w:p>
      <w:pPr>
        <w:widowControl/>
        <w:spacing w:line="240" w:lineRule="auto"/>
        <w:ind w:firstLine="0" w:firstLineChars="0"/>
        <w:jc w:val="left"/>
      </w:pPr>
    </w:p>
    <w:p>
      <w:pPr>
        <w:widowControl/>
        <w:spacing w:line="240" w:lineRule="auto"/>
        <w:ind w:firstLine="0" w:firstLineChars="0"/>
        <w:jc w:val="left"/>
        <w:rPr>
          <w:rFonts w:ascii="宋体" w:hAnsi="宋体"/>
          <w:b/>
          <w:bCs/>
          <w:kern w:val="44"/>
          <w:sz w:val="44"/>
          <w:szCs w:val="44"/>
        </w:rPr>
      </w:pPr>
      <w:r>
        <w:br w:type="page"/>
      </w:r>
    </w:p>
    <w:p>
      <w:pPr>
        <w:pStyle w:val="3"/>
      </w:pPr>
      <w:bookmarkStart w:id="114" w:name="_Toc28089"/>
      <w:bookmarkStart w:id="115" w:name="_Toc109258309"/>
      <w:r>
        <w:rPr>
          <w:rFonts w:hint="eastAsia"/>
        </w:rPr>
        <w:t>产品清单及指标要求</w:t>
      </w:r>
      <w:bookmarkEnd w:id="114"/>
      <w:bookmarkEnd w:id="115"/>
    </w:p>
    <w:tbl>
      <w:tblPr>
        <w:tblStyle w:val="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047"/>
        <w:gridCol w:w="6114"/>
        <w:gridCol w:w="874"/>
        <w:gridCol w:w="874"/>
        <w:gridCol w:w="682"/>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7"/>
            <w:shd w:val="clear" w:color="auto" w:fill="auto"/>
            <w:vAlign w:val="center"/>
          </w:tcPr>
          <w:p>
            <w:pPr>
              <w:widowControl/>
              <w:spacing w:line="240" w:lineRule="auto"/>
              <w:ind w:firstLine="0" w:firstLineChars="0"/>
              <w:jc w:val="center"/>
              <w:rPr>
                <w:rFonts w:ascii="宋体" w:hAnsi="宋体" w:cs="宋体"/>
                <w:b/>
                <w:bCs/>
                <w:color w:val="000000"/>
                <w:kern w:val="0"/>
                <w:sz w:val="40"/>
                <w:szCs w:val="40"/>
              </w:rPr>
            </w:pPr>
            <w:r>
              <w:rPr>
                <w:rFonts w:hint="eastAsia" w:ascii="宋体" w:hAnsi="宋体" w:cs="宋体"/>
                <w:b/>
                <w:bCs/>
                <w:color w:val="000000"/>
                <w:kern w:val="0"/>
                <w:sz w:val="40"/>
                <w:szCs w:val="40"/>
              </w:rPr>
              <w:t>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502"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设备名称</w:t>
            </w:r>
          </w:p>
        </w:tc>
        <w:tc>
          <w:tcPr>
            <w:tcW w:w="2933"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招标参数</w:t>
            </w:r>
          </w:p>
        </w:tc>
        <w:tc>
          <w:tcPr>
            <w:tcW w:w="419"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数量</w:t>
            </w:r>
          </w:p>
        </w:tc>
        <w:tc>
          <w:tcPr>
            <w:tcW w:w="419" w:type="pct"/>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单位</w:t>
            </w:r>
          </w:p>
        </w:tc>
        <w:tc>
          <w:tcPr>
            <w:tcW w:w="477" w:type="pct"/>
            <w:gridSpan w:val="2"/>
            <w:shd w:val="clear" w:color="auto" w:fill="auto"/>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一、新楼报告厅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1、小间距P1.</w:t>
            </w:r>
            <w:r>
              <w:rPr>
                <w:rFonts w:ascii="宋体" w:hAnsi="宋体" w:cs="宋体"/>
                <w:b/>
                <w:bCs/>
                <w:color w:val="000000"/>
                <w:kern w:val="0"/>
                <w:szCs w:val="24"/>
              </w:rPr>
              <w:t>25</w:t>
            </w:r>
            <w:r>
              <w:rPr>
                <w:rFonts w:hint="eastAsia" w:ascii="宋体" w:hAnsi="宋体" w:cs="宋体"/>
                <w:b/>
                <w:bCs/>
                <w:color w:val="000000"/>
                <w:kern w:val="0"/>
                <w:szCs w:val="24"/>
              </w:rPr>
              <w:t>全彩LED大屏幕显示系统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1.1小间距P1.</w:t>
            </w:r>
            <w:r>
              <w:rPr>
                <w:rFonts w:ascii="宋体" w:hAnsi="宋体" w:cs="宋体"/>
                <w:b/>
                <w:bCs/>
                <w:color w:val="000000"/>
                <w:kern w:val="0"/>
                <w:szCs w:val="24"/>
              </w:rPr>
              <w:t>25</w:t>
            </w:r>
            <w:r>
              <w:rPr>
                <w:rFonts w:hint="eastAsia" w:ascii="宋体" w:hAnsi="宋体" w:cs="宋体"/>
                <w:b/>
                <w:bCs/>
                <w:color w:val="000000"/>
                <w:kern w:val="0"/>
                <w:szCs w:val="24"/>
              </w:rPr>
              <w:t>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室内P1.</w:t>
            </w:r>
            <w:r>
              <w:rPr>
                <w:rFonts w:ascii="宋体" w:hAnsi="宋体" w:cs="宋体"/>
                <w:color w:val="000000"/>
                <w:kern w:val="0"/>
                <w:sz w:val="20"/>
                <w:szCs w:val="20"/>
              </w:rPr>
              <w:t>2</w:t>
            </w:r>
            <w:r>
              <w:rPr>
                <w:rFonts w:hint="eastAsia" w:ascii="宋体" w:hAnsi="宋体" w:cs="宋体"/>
                <w:color w:val="000000"/>
                <w:kern w:val="0"/>
                <w:sz w:val="20"/>
                <w:szCs w:val="20"/>
              </w:rPr>
              <w:t>5全彩LED屏</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1.★像素点间距</w:t>
            </w:r>
            <w:r>
              <w:rPr>
                <w:rFonts w:ascii="宋体" w:hAnsi="宋体" w:cs="宋体"/>
                <w:color w:val="000000"/>
                <w:kern w:val="0"/>
                <w:sz w:val="20"/>
                <w:szCs w:val="20"/>
              </w:rPr>
              <w:t>:≤1.25mm</w:t>
            </w:r>
            <w:r>
              <w:rPr>
                <w:rFonts w:hint="eastAsia" w:ascii="宋体" w:hAnsi="宋体" w:cs="宋体"/>
                <w:color w:val="000000"/>
                <w:kern w:val="0"/>
                <w:sz w:val="20"/>
                <w:szCs w:val="20"/>
              </w:rPr>
              <w:t>；提供CNAS检测报告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2.★像素密度≥</w:t>
            </w:r>
            <w:r>
              <w:rPr>
                <w:rFonts w:ascii="宋体" w:hAnsi="宋体" w:cs="宋体"/>
                <w:color w:val="000000"/>
                <w:kern w:val="0"/>
                <w:sz w:val="20"/>
                <w:szCs w:val="20"/>
              </w:rPr>
              <w:t>640000点/㎡</w:t>
            </w:r>
            <w:r>
              <w:rPr>
                <w:rFonts w:hint="eastAsia" w:ascii="宋体" w:hAnsi="宋体" w:cs="宋体"/>
                <w:color w:val="000000"/>
                <w:kern w:val="0"/>
                <w:sz w:val="20"/>
                <w:szCs w:val="20"/>
              </w:rPr>
              <w:t>；提供CNAS检测报告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3.模组尺寸：320mm×160mm；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4.模组分辨率≥</w:t>
            </w:r>
            <w:r>
              <w:rPr>
                <w:rFonts w:ascii="宋体" w:hAnsi="宋体" w:cs="宋体"/>
                <w:color w:val="000000"/>
                <w:kern w:val="0"/>
                <w:sz w:val="20"/>
                <w:szCs w:val="20"/>
              </w:rPr>
              <w:t>256*128</w:t>
            </w:r>
            <w:r>
              <w:rPr>
                <w:rFonts w:hint="eastAsia" w:ascii="宋体" w:hAnsi="宋体" w:cs="宋体"/>
                <w:color w:val="000000"/>
                <w:kern w:val="0"/>
                <w:sz w:val="20"/>
                <w:szCs w:val="20"/>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5.箱体平整度≤0.05；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6.支持单点亮度矫正，单点颜色矫正；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7.白平衡亮度(nit)≥800;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8.色温(k)介于2000～15000；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9.水平/垂直视角≥160°；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10.亮度均匀性≥98.3%，色度均匀性介于±0.003Cx,Cy内；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11.对比度≥8000:1；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12.最佳视距(m)为1.5m-3m之间；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13.刷新率≥3840HZ;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14.换帧频率为60HZ;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15.灰度等级为灰度(bit)14～16；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16.模组驱动方式为恒流驱动；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17.使用寿命≥200000时；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18.显示亮度≥600cd/㎡，0-100%任意可调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19.具备防蓝光护眼模式；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20.平均无故障使用时间不低于200000小时；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21.像素点失控率≤1/100000，无连续失控点；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22.★支持LED单点失控点检测，失控点数据回传功能；支持电源电压检测，当电源电压高于限制电压时启动报警装置；支持屏体多点测温，支持温度监控；支持故障报警，支持一键自检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23.投标产品需提供中国节能产品认证证书（CQC）、CCC认证证书；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 原厂</w:t>
            </w:r>
            <w:r>
              <w:rPr>
                <w:rFonts w:ascii="宋体" w:hAnsi="宋体" w:cs="宋体"/>
                <w:color w:val="000000"/>
                <w:kern w:val="0"/>
                <w:sz w:val="20"/>
                <w:szCs w:val="20"/>
              </w:rPr>
              <w:t>质保</w:t>
            </w:r>
            <w:r>
              <w:rPr>
                <w:rFonts w:hint="eastAsia" w:ascii="宋体" w:hAnsi="宋体" w:cs="宋体"/>
                <w:color w:val="000000"/>
                <w:kern w:val="0"/>
                <w:sz w:val="20"/>
                <w:szCs w:val="20"/>
              </w:rPr>
              <w:t>五</w:t>
            </w:r>
            <w:r>
              <w:rPr>
                <w:rFonts w:ascii="宋体" w:hAnsi="宋体" w:cs="宋体"/>
                <w:color w:val="000000"/>
                <w:kern w:val="0"/>
                <w:sz w:val="20"/>
                <w:szCs w:val="20"/>
              </w:rPr>
              <w:t>年</w:t>
            </w:r>
            <w:r>
              <w:rPr>
                <w:rFonts w:hint="eastAsia"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视频处理器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1、支持DVI、HDMI、DP、SDI、VGA、IP等多种输入接口，包括4路SDI输入、4路DVI输入输出、4路HDMI输入输出；</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2、支持HDMI2.0、DP1.4、12G-SDI接口，最大4096×2160@60Hz输入；</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3、支持HDCP协议的高带宽数字内容保护技术；</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4、支持千兆网口输出、万兆光纤输出、DVI视频输出、HDMI视频输出；</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5、持预监回显板卡，可输出信号源的预览画面和设备输出的回显画面；</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6、支持多窗口多图层显示、窗口漫游、自由拼接；</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7、支持跨板卡跨接口输出，窗口跨板卡或接口不减图层；</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8、支持输出网口任意交换，控制区域任意设置；</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9、自定义预置模式，可以存储多个自定义场景，方便场景切换；</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10、支持画面调整（色调、对比度、饱和度、亮度补偿）和精确的颜色调节；</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11、支持每路输入信号独立裁剪、缩放和EDID管理；</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12、支持USB、RS232、局域网多种方式连接控制；</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13、支持前面板查看设备信息和控制；</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14、支持设备自检及在线硬件监测；</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15、支持双电源备份、输出信号冗余备份；</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16、支持温度报警、断线提醒等。</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矩阵</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设备配置：8U机箱，输入：8路HDMI，8路DVI；输出：8路HDMI，8路DVI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处理器技术参数：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1.机箱规格：主体采用8U横插卡式机箱，输入9槽位、输出8槽位，支持36路PC类信号输入，32路PC类信号输出，支持冗余扩展模式；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2.支持5英寸触控/按键面板可选模式；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3.采用专业设计，针对LED分辨率不规则特点，自定义分辨率与小点距LED屏完美匹配；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4.采用帧同步处理技术，确保每路输出信号的同步性；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5.支持WLEDCOLOR色彩优化技术；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6.支持单屏任意多窗口显示处理；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7.支持板位图读取，板卡板位自动识别；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8.所有接入的信号任意制定分屏、全屏、组合屏显示方式；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9.支持图像跨屏、叠加、缩放、画中画等多种显示处理；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10.单屏可开16窗，单元窗口层次可随意调整，也可拖动到其他屏幕操作，互不局限影响；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11.支持多达8个分组屏幕管理模式，多套不同分辨率拼接屏集中管控；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12.支持信号无限复制功能；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13.支持4K输入输出；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14.支持音频接入及切换控制；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15.集成软件坐席穿透信号源及坐席信号切换调度；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16.支持软硬件预监回显可视化；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17.具有流畅清晰的软预监回显功能，回显图像刷新速度＞30Hz，回显图像清晰流畅；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18.支持多用户权限划分，具有区域用户共同访问权限；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19.基于Win/IOS等移动端可视化触控平台应用；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20.支持C/S、B/S管理控制结构；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21.基于Server多端控制软件管理平台；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22.支持网络、RS232串口、面板按键、移动终端等多种管理方式；</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1、显示器：23.8寸IPS高清窄边框屏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2、CPU：i</w:t>
            </w:r>
            <w:r>
              <w:rPr>
                <w:rFonts w:ascii="宋体" w:hAnsi="宋体" w:cs="宋体"/>
                <w:color w:val="000000"/>
                <w:kern w:val="0"/>
                <w:sz w:val="20"/>
                <w:szCs w:val="20"/>
              </w:rPr>
              <w:t>7</w:t>
            </w:r>
            <w:r>
              <w:rPr>
                <w:rFonts w:hint="eastAsia" w:ascii="宋体" w:hAnsi="宋体" w:cs="宋体"/>
                <w:color w:val="000000"/>
                <w:kern w:val="0"/>
                <w:sz w:val="20"/>
                <w:szCs w:val="20"/>
              </w:rPr>
              <w:t>系列处理器、内存：</w:t>
            </w:r>
            <w:r>
              <w:rPr>
                <w:rFonts w:ascii="宋体" w:hAnsi="宋体" w:cs="宋体"/>
                <w:color w:val="000000"/>
                <w:kern w:val="0"/>
                <w:sz w:val="20"/>
                <w:szCs w:val="20"/>
              </w:rPr>
              <w:t>32</w:t>
            </w:r>
            <w:r>
              <w:rPr>
                <w:rFonts w:hint="eastAsia" w:ascii="宋体" w:hAnsi="宋体" w:cs="宋体"/>
                <w:color w:val="000000"/>
                <w:kern w:val="0"/>
                <w:sz w:val="20"/>
                <w:szCs w:val="20"/>
              </w:rPr>
              <w:t>G</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4、固态：</w:t>
            </w:r>
            <w:r>
              <w:rPr>
                <w:rFonts w:ascii="宋体" w:hAnsi="宋体" w:cs="宋体"/>
                <w:color w:val="000000"/>
                <w:kern w:val="0"/>
                <w:sz w:val="20"/>
                <w:szCs w:val="20"/>
              </w:rPr>
              <w:t>512G</w:t>
            </w:r>
            <w:r>
              <w:rPr>
                <w:rFonts w:hint="eastAsia" w:ascii="宋体" w:hAnsi="宋体" w:cs="宋体"/>
                <w:color w:val="000000"/>
                <w:kern w:val="0"/>
                <w:sz w:val="20"/>
                <w:szCs w:val="20"/>
              </w:rPr>
              <w:t>固态</w:t>
            </w:r>
            <w:r>
              <w:rPr>
                <w:rFonts w:ascii="宋体" w:hAnsi="宋体" w:cs="宋体"/>
                <w:color w:val="000000"/>
                <w:kern w:val="0"/>
                <w:sz w:val="20"/>
                <w:szCs w:val="20"/>
              </w:rPr>
              <w:t>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3、显卡：独显3060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4、机身颜色：黑</w:t>
            </w:r>
          </w:p>
          <w:p>
            <w:pPr>
              <w:widowControl/>
              <w:spacing w:line="240" w:lineRule="auto"/>
              <w:ind w:firstLine="0" w:firstLineChars="0"/>
              <w:jc w:val="left"/>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显示屏专用接收卡</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1.集成HUB75，无需再配转接板，更方便，成本更低</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2.减少接插连接件，减少故障点，故障率更低</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3.支持常规芯片实现高刷新、高灰度、高亮度</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4.全新灰度引擎，低灰度表现更佳</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5.细节处理更完美，可消除单元板设计引起的某行偏暗、低灰偏红、鬼影等问题</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6.支持高精度的色度、亮度一体化逐点校正</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7.支持市场主流的常规芯片、PWM芯片、士兰芯片</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8.支持静态到128扫之间的任意扫描类型</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9.支持任意抽点，支持数据组偏移，可轻松实现各种异型屏、球形屏、创意显示屏</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10.支持任意抽行抽列</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11.支持箱体标定标序</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12.单卡支持16组RGB信号输出</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13.支持超大带载面积</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14.支持DC3.8V~5.5V超宽工作电压</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15.运输及存储温度为-40℃至125℃</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16.工作温度范围为-25℃至75℃</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4</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配电箱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1、额定功率：20KW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2、配电柜输入电压为交流380V±15%，工频50Hz.具有过压、浪涌、短路、过流、过载、漏电等保护功能。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3、内置避雷器，具有避雷防雷功能。</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配套设备</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配套线缆、配件、网线、模组，</w:t>
            </w:r>
            <w:r>
              <w:rPr>
                <w:rFonts w:ascii="宋体" w:hAnsi="宋体" w:cs="宋体"/>
                <w:color w:val="000000"/>
                <w:kern w:val="0"/>
                <w:sz w:val="20"/>
                <w:szCs w:val="20"/>
              </w:rPr>
              <w:t>原厂质保五年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结构及包边</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钢结构支架根据现场实际测绘，</w:t>
            </w:r>
            <w:r>
              <w:rPr>
                <w:rFonts w:ascii="宋体" w:hAnsi="宋体" w:cs="宋体"/>
                <w:color w:val="000000"/>
                <w:kern w:val="0"/>
                <w:sz w:val="20"/>
                <w:szCs w:val="20"/>
              </w:rPr>
              <w:t>原厂质保五年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安装及调试</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安装及调试，</w:t>
            </w:r>
            <w:r>
              <w:rPr>
                <w:rFonts w:ascii="宋体" w:hAnsi="宋体" w:cs="宋体"/>
                <w:color w:val="000000"/>
                <w:kern w:val="0"/>
                <w:sz w:val="20"/>
                <w:szCs w:val="20"/>
              </w:rPr>
              <w:t>原厂质保五年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1.2辅助显示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1、屏体类型：全面屏、直下式背光、LED背光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2、显示尺寸65英寸，显示比例16:9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3、65英寸分辨率≥3840*2160，对比度3500-5000:1(TYP)，亮度≥240cd/㎡，刷屏率≥60Hz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4、可视角度≥178°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5、喇叭具备杜比音效，输出功率≥10W*2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6、具备全功能接口端子：2路USB2.0、2路HDMI2.1接口、RF接口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7、ROM：≥16GB;RAM≥2GB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8、待机功率：≤0.3W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7、操作系统：安卓9.0操作系统。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8、支持蓝牙功能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9、支持远场语音功能</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报告厅电视机电动遥控吊架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定制，原厂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报告厅电视机推车支架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定制，原厂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2、扩声系统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主扩专业数字功放</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1★.8Ω立体声功率：不劣于4通道1500W;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2.4Ω立体声功率：不劣于4通道2550W;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3.2Ω立体声功率：不劣于4通道3570W;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4.16Ω桥接功率：不劣于2通道3000W;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5.8Ω桥接功率：不劣于2通道5100W;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6.4Ω桥接功率：不劣于2通道7140W；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5.★频响：优于等于20Hz-25kHz(±1dB)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6.总谐失真：&lt;0.1%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7.信噪比：≥108.5dB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8.★功率增益选择：32dB,35dB,38dB,41dB,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9.功放保护：具有短路、开路、过热、过载、直流等保护装置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提供产品彩页资料及官网链接地址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注：（需提供满足此参数市级以上检测机构出具的报告证明，并盖设备生产厂商公章）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功放与扩声音箱为同一品牌，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主扩线阵音箱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1.频率响应：低频小于等于80Hz；高频大于等于18kHz；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2.灵敏度：HF：≥109dB/LF：≥98dB；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3.标称阻抗：HF：≥16Ω/MF：≥16Ω；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4.★额定功率：HF：≥75W/LF：≥300W；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5.单元组成：低音单元：两个8寸低音；高音单元：不小于3寸(75mm高音)；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7.★覆盖角度：水平≥120º，垂直≤10º；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8.最大声压级：≥134.2dB；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9.拥有扬声器EASE数据文件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提供产品彩页资料及官网链接地址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注：（需提供满足此参数市级以上检测机构出具的报告证明，并盖设备生产厂商公章）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功放与扩声音箱为同一品牌，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低音专业数字功放</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1.★8Ω立体声功率（8Ω）：不劣于2通道1150W;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2.4Ω立体声功率（4Ω）:不劣于2通道1650W;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3.桥接功率（8Ω）:不劣于1通道3300W;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4.频率范围:优于等于20Hz-20kHz+1/-1dB;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5.总谐波失真:≤0.03%;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6.★信噪比:≥100dB;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7.★阻尼系数:≥220:1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8.转换速率:≥35V/us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9.电压放大倍数（0.775V）：≥120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10.功放保护：具有直流保护、过载保护、短路保护、过热保护、压限保护、软启动保护等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提供产品彩页资料及官网链接地址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注：（需提供满足此参数市级以上检测机构出具的报告证明，并盖设备生产厂商公章）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功放与扩声音箱为同一品牌，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低音线阵音箱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1.频率响应：低频小于等于35Hz；高频大于等于300Hz；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2.灵敏度：≥98dB；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3.标称阻抗：≥8Ω；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4.额定功率：≥600W；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5.低音单元：不小于18寸；</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6.最大声压级：≥131.6dB；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7.拥有扬声器EASE数据文件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线阵田子架带脚轮</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重量：不少于21.5kg；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吊架尺寸(H×W×D)：不小于80×540×700mm；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说明：最大承重为250kg(安全系数7：1) ，</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辅助专业数字功放</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1.立体声功率（8Ω）:不劣于2通道350W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2.立体声功率（4Ω）:不劣于2通道480W;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3.桥接功率（8Ω）:不劣于1通道960W×;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4.频率范围:优于等于20Hz-20kHz+1/-1dB;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5.总谐波失真:≤0.03%;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6.信噪比:≥100dB;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7.阻尼系数:≥150:1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8.电压放大倍数（0.775V）：≥63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注:功放与扩声音箱为同一品牌，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辅助音箱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1.频率响应：低频小于等于60Hz；高频大于等于20KHz；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2.灵敏度：≥96dB；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3.标称阻抗：≥8Ω；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4.额定功率：≥250W；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5.单元组成：低音单元：10寸铝盆架铁磁单元；高音单元：1.75寸(1寸喉口)压缩驱动器(44mm音圈)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6.覆盖角度：水平≥90°，垂直≤60º(可旋转号角)；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7.最大声压级：≥126dB；</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音箱墙架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通用配件(不带音箱固定板) ，</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返听专业数字功放</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1.8Ω立体声功率（8Ω）：不劣于2通道550W;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2.4Ω立体声功率（4Ω）:不劣于2通道780W;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3.桥接功率（8Ω）:不劣于1通道1560W;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4.频率范围:优于等于20Hz-20kHz+1/-1dB;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5.总谐波失真:≤0.03%;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6.信噪比:≥100dB;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7.阻尼系数:≥180:1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8.转换速率:≥25V/us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9.电压放大倍数（0.775V）：≥81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10.功放保护：具有直流保护、过载保护、短路保护、过热保护、压限保护、软启动保护等</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返听音箱</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1.频率响应：低频小于等于60Hz；高频大于等于20KHz；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2.灵敏度：≥97dB；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3.标称阻抗：≥8Ω；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4.额定功率：≥350W；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5.单元组成：低音单元12寸铝盆架铁磁单元；高音单元1.75寸(1寸喉口)压缩驱动器(44mm音圈)；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6.覆盖角度：水平≥90°，垂直≤60º；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7.最大声压级：≥129dB；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8.拥有扬声器EASE数据文件</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超低频专业数字功放</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1.8Ω立体声功率：不劣于2通道2000W;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2.4Ω立体声功率：不劣于2通道3400W;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3.2Ω立体声功率：不劣于2通道4760W;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4.16Ω桥接功率：不劣于1通道4000W;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5.8Ω桥接功率：不劣于1通道6800W;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6.4Ω桥接功率：不劣于1通道9520W;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5.频响：优于等于20Hz-20kHz(±1dB)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6.总谐失真：&lt;0.1%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7.信噪比：≥107.5dB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8.功率增益选择：32dB,35dB,38dB,41dB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9.功放保护：具有短路、开路、过热、过载、直流等保护装置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注:功放与扩声音箱为同一品牌，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超低频低音音箱</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1.频率响应：低频小于等于32Hz；高频大于等于350Hz;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2.灵敏度:≥100dB;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3.标称阻抗:≥8Ω;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4.额定功率:≥900W;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5.低音单元:18寸（4〞音圈）;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6.最大声压级：≥135.2dB;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7.拥有扬声器EASE数据文件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注:扩声音箱为同一品牌，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r>
              <w:rPr>
                <w:rFonts w:ascii="宋体" w:hAnsi="宋体" w:cs="宋体"/>
                <w:color w:val="000000"/>
                <w:kern w:val="0"/>
                <w:sz w:val="20"/>
                <w:szCs w:val="20"/>
              </w:rPr>
              <w:t>。</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手持式无线话筒</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1.U段双手持双接收无线话筒（心型指向）；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2.射频载波范围(UHF)：优于等于603~935MHZ；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3.工作距离：理想条件下90M；搜频设置：内置传输频率搜索功能；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4.制式：FM调频；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5.预设通道：≥32；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6.频响范围：优于等于45HZ~18KHZ(±3dB)；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7.频带宽度：≥120MHZ；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8.系统失真/THD总谐波失真&lt;0.7@1KHZ%；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9.信噪比：&gt;105dB（A）；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10.电源要求：100-240V；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11.工作温度范围：0-50℃；AC50/60HZ,10W</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头戴式无线话筒</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1.U段双头戴双接收无线话筒（心型指向）；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2.射频载波范围(UHF)：优于等于603~935MHZ；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3.工作距离：理想条件下90M；搜频设置：内置传输频率搜索功能；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4.制式：FM调频；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5.预设通道：≥32；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6.频响范围：优于等于45HZ~18KHZ(±3dB)；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7.频带宽度：≥120MHZ；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8.系统失真/THD总谐波失真&lt;0.7@1KHZ%；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9.信噪比：&gt;105dB（A）；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10.电源要求：100-240V；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11.工作温度范围：0-50℃；AC50/60HZ,10W</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天线分配器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1.带有4个独立输出直流电源,供电4套无线接收机可以多台分配器级联使用；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2.采用低噪声及低互调失真设计，排除混频干扰；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3.2个BNC座定向天线输入口；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4.频率范围：优于等于470~960MHz；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5.系统抗阻：50欧姆；</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话筒天线</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1.频率范围：优于等于470~1000MHz；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2.天线增益：≥7.5dBi；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3.内部放大器增益：-4dB~11dB可调节；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4.3dB波速宽：垂直面≥90°，水平面≥120°；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5.系统抗阻：50欧姆；</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落地话筒支架</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优质话筒支架，</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小振膜话筒（乐器使用）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类型：电容话筒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指向性：心形指向性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频率响应：50Hz-20kHz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灵敏度：-29dBV±2dB(0dBV=0.775V/Pa)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信噪比：78dB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最大承受音压：130dB(0dB),140dB(-10dB)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额定阻抗：170Ω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电流消耗：3mA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幻象供电：+48V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模式开关：直通/80Hz低切/-10dB三档</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502"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多功能播放器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1、蓝牙无线播放功能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2、USB播放功能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3、多种音频格式读取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4、支持最大32GUSB读取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5、SD卡播放功能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6、FM高灵敏度收音机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7、XLR平衡输出接口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8、1-5/5+快速选曲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9、直选文件夹按键功能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10、歌名切换显示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11、支持播放时快进快退功能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12、直接面板按键功能齐全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13、单曲与连续播放功能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14、重复单曲与全部功能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15、随机播放功能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16、附带多功能遥控器控制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17、全方位的时间显示功能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18、AC90V-260V宽电源设计</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数字调音台</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具体参数如下：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40输入，25-bus，同时适用於现场音控与录音室；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32个MIDAS设计、参数完全可调整的麦克风前级；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25个标準100mm、全自动推子（包含DAW软体控制）；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16个XLR输出、6组linein/out、2组耳机监听与内建对讲（Talkback）隐藏式麦克风；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内建32in/out的Firewire/USB2.0录音界面，以及MackieControl与HUI软体控制模式；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支援iPad/iPhoneApp无线遥控；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7吋高解晰度TFT萤幕，无论白天或夜晚都可清楚操作；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在LCR主输出、6组matrixbus与16个mixbus都具备完整的6段等化器与动态处理器；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8组DCA群组、6组静音（Mute）群组；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虚拟FX机架，8真正立体声FX插槽包括如Lexicon480L和PCM70、EMT250、QUANTECQRS等高端模拟效果；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40位浮点DSP提供"无限"的动态范围，没有内部过载和整体接近零延迟（0.8毫秒）；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强大的场景管理方便处理复杂的制作；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48通道数字蛇，2AES50网络传输接口，具有超低抖动和延迟，具备网络组网能力；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USBA类接口提供文件存储和立体声录音（wav格式），外加系统更新；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专用且易于使用的通道部分允许设立专属自己的快捷方式，操作更为简单快捷。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主要性能：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32声道调音台，内置16母线和8辅助转送，母线选择设置极其灵活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3组立体声输入，1USB音源输入（LR），1MIX主输出（LR）,1MON输出，16MIXBUS，6MATRIX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静态和动态全自动功能，以太网网络接口和USB接口，25路100毫米电动记忆推杆，29块通道液晶显示屏，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高功率浮点DSP技术，高解析度24比特，模/数和数/模转换器，确保无限制的内部动态范围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12个超低噪声麦克风输入端，配有模拟插入端和可开关的幻像电源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所有32声道都配有4频段，全参数型均衡器，低切滤波器，噪声门，压缩器，倒相位器。另外，在前16声道上还配有延迟功能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4个内置效果处理器，配有一流的效果，如残响，合唱，镶边，相位，延迟，高音移动，颤阴，低保真，低频振荡器滤波器，铃声调制和其他效果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17个超精准低噪声100毫米电动推杆，可随意设置的电平表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数字调音台配有发光环的声道编码器，能控制每声道的所有9个可选择的参数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4个可随意设置的模拟输出端，配有立体声平衡式6.3毫米插口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内置输入/输出跳线板，能简单地调整复杂的信号流设置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大的图形液晶显示屏幕，阅读简单，亮度对比可调节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与SMPTE，MTC或者内置时钟同步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2个接口扩展插槽可用来连接附加数码界面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MIDI和RS232插口能用来与电脑和其他各种设备连接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众多的MIDI功能（MMC,程序改变，控制改变，MIDI系统扩展）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电脑卡插口可用来储存/装入各种图书馆和各种设置</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音频处理器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输入：≥四路模拟平衡输入，≥二路AES/EBU数字输入，输出：≥八路模拟平衡输出；（提供输出端口图佐证，并盖设备生产厂商公章）（需提供满足此参数市级以上电子电器研究所出具的检测报告证明，并盖设备生产厂商公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2.最大输入电平：≥+23dBu；最大输出电平：≥+12dBu；</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3.频率响应：优于等于20Hz~26kHz；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4.动态范围：≥118dB动态范围/≥114dB动态范围(输出)；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5.总谐波失真:≤0.003%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6.采样率：≥96kHz；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7.A/D、D/A转换：≥64dit；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8.均衡：每路输入和输出均有≥10段PEQ；</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9.滤波：Bell,HighShelf,LowShelf,Notch,Allpass,BandPass,HighPass,LowPass；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10.延时：每路输入延迟≥2000ms,每路输出延迟≥2000ms；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11.分频：Butterworth,Bessel,Linkwitz-Riley,12.18.24dB/octave；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12.控制接口：USB和以太网（RJ45），通过连接PC,MAC进行设置和实时监控；支持Windows／Mac／Ipad／Iphone；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13.场景：≥100组预设数据；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注:处理器与音箱为同一品牌，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监听有源音箱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1.频率响应：低频小于等于40Hz；高频大于等于20KHz；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2.额定功率(定阻)：70W/4Ω；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3.单元组成：低音单元单只不少于6.5寸；高频单元单只不少于1寸振膜高音；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4.输入插座：XLR(卡侬）和RCA；</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抑制器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1.不少于2进2出专业自动反馈抑制器：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2.不少于双通道自动搜寻反馈（啸叫）频率；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3.每通道拥有不少于24个编程可控的滤波器储存位置；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4.工作模式可选音乐(轻度滤波)和话筒(加强滤波)；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5.使用中固定滤波模式和自动实时滤波模式同时工作；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6.每个输入通道带信电平指示灯和24个滤波工作指示灯；带前面板按健锁定开关，防止误操作；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7.不少于2个XLR和2个TRS平衡式输入接口；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8.不少于2个XLR和2个TRS平衡式输出接口；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9.取样频率：≥48KHz；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10.动态范围：≥106dB（A计权）；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11.信噪比：≥106dB（A计权）；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12.总谐波失真：≥0.01%,1kHz；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注:反馈抑制器与音箱为同一品牌，</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电源时序器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1.不少于9路（8路受控+1路不受控），可兼容不少于10A和16A的国标、欧标、美标、英标插头；总容量：不少于180V~250V/45A；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2.输入电源：优于等于AC220V50Hz；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3.电压指示表：0-300V；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4.控制接口：不少于1个RS232串口、1个线控接口；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5.时序延时时间：优于等于1S;</w:t>
            </w:r>
            <w:r>
              <w:rPr>
                <w:rFonts w:ascii="宋体" w:hAnsi="宋体" w:cs="宋体"/>
                <w:color w:val="000000"/>
                <w:kern w:val="0"/>
                <w:sz w:val="20"/>
                <w:szCs w:val="20"/>
              </w:rPr>
              <w:t xml:space="preserve"> </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机柜</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42U，600*600*2000mm，</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ascii="宋体" w:hAnsi="宋体" w:cs="宋体"/>
                <w:color w:val="000000"/>
                <w:kern w:val="0"/>
                <w:sz w:val="20"/>
                <w:szCs w:val="20"/>
              </w:rPr>
              <w:t>26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操作台</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国产，1.2米，包含2把操作椅，</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ascii="宋体" w:hAnsi="宋体" w:cs="宋体"/>
                <w:color w:val="000000"/>
                <w:kern w:val="0"/>
                <w:sz w:val="20"/>
                <w:szCs w:val="20"/>
              </w:rPr>
              <w:t>27</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辅助材料</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音频线、视频线、网线、电源线、地插、JDG管等，</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3、会议系统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鹅颈话筒</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2"/>
                <w:szCs w:val="22"/>
              </w:rPr>
            </w:pPr>
            <w:r>
              <w:rPr>
                <w:rFonts w:ascii="宋体" w:hAnsi="宋体" w:cs="宋体"/>
                <w:color w:val="000000"/>
                <w:kern w:val="0"/>
                <w:sz w:val="20"/>
                <w:szCs w:val="20"/>
              </w:rPr>
              <w:t>技术参数：</w:t>
            </w:r>
            <w:r>
              <w:rPr>
                <w:rFonts w:hint="eastAsia" w:ascii="宋体" w:hAnsi="宋体" w:cs="宋体"/>
                <w:color w:val="000000"/>
                <w:kern w:val="0"/>
                <w:sz w:val="20"/>
                <w:szCs w:val="20"/>
              </w:rPr>
              <w:br w:type="textWrapping"/>
            </w:r>
            <w:r>
              <w:rPr>
                <w:rFonts w:ascii="宋体" w:hAnsi="宋体" w:cs="宋体"/>
                <w:color w:val="000000"/>
                <w:kern w:val="0"/>
                <w:sz w:val="20"/>
                <w:szCs w:val="20"/>
              </w:rPr>
              <w:t>单体:背极式驻极体</w:t>
            </w:r>
            <w:r>
              <w:rPr>
                <w:rFonts w:hint="eastAsia" w:ascii="宋体" w:hAnsi="宋体" w:cs="宋体"/>
                <w:color w:val="000000"/>
                <w:kern w:val="0"/>
                <w:sz w:val="20"/>
                <w:szCs w:val="20"/>
              </w:rPr>
              <w:br w:type="textWrapping"/>
            </w:r>
            <w:r>
              <w:rPr>
                <w:rFonts w:ascii="宋体" w:hAnsi="宋体" w:cs="宋体"/>
                <w:color w:val="000000"/>
                <w:kern w:val="0"/>
                <w:sz w:val="20"/>
                <w:szCs w:val="20"/>
              </w:rPr>
              <w:t>指向性:超心型指向</w:t>
            </w:r>
            <w:r>
              <w:rPr>
                <w:rFonts w:hint="eastAsia" w:ascii="宋体" w:hAnsi="宋体" w:cs="宋体"/>
                <w:color w:val="000000"/>
                <w:kern w:val="0"/>
                <w:sz w:val="20"/>
                <w:szCs w:val="20"/>
              </w:rPr>
              <w:br w:type="textWrapping"/>
            </w:r>
            <w:r>
              <w:rPr>
                <w:rFonts w:ascii="宋体" w:hAnsi="宋体" w:cs="宋体"/>
                <w:color w:val="000000"/>
                <w:kern w:val="0"/>
                <w:sz w:val="20"/>
                <w:szCs w:val="20"/>
              </w:rPr>
              <w:t>频率响应:40Hz-20000Hz</w:t>
            </w:r>
            <w:r>
              <w:rPr>
                <w:rFonts w:hint="eastAsia" w:ascii="宋体" w:hAnsi="宋体" w:cs="宋体"/>
                <w:color w:val="000000"/>
                <w:kern w:val="0"/>
                <w:sz w:val="20"/>
                <w:szCs w:val="20"/>
              </w:rPr>
              <w:br w:type="textWrapping"/>
            </w:r>
            <w:r>
              <w:rPr>
                <w:rFonts w:ascii="宋体" w:hAnsi="宋体" w:cs="宋体"/>
                <w:color w:val="000000"/>
                <w:kern w:val="0"/>
                <w:sz w:val="20"/>
                <w:szCs w:val="20"/>
              </w:rPr>
              <w:t>灵敏度:-27.9dB±3dB（1dB=1V/Paat1kHz）</w:t>
            </w:r>
            <w:r>
              <w:rPr>
                <w:rFonts w:hint="eastAsia" w:ascii="宋体" w:hAnsi="宋体" w:cs="宋体"/>
                <w:color w:val="000000"/>
                <w:kern w:val="0"/>
                <w:sz w:val="20"/>
                <w:szCs w:val="20"/>
              </w:rPr>
              <w:br w:type="textWrapping"/>
            </w:r>
            <w:r>
              <w:rPr>
                <w:rFonts w:ascii="宋体" w:hAnsi="宋体" w:cs="宋体"/>
                <w:color w:val="000000"/>
                <w:kern w:val="0"/>
                <w:sz w:val="20"/>
                <w:szCs w:val="20"/>
              </w:rPr>
              <w:t>输出抗阻:27.9</w:t>
            </w:r>
            <w:r>
              <w:rPr>
                <w:rFonts w:ascii="Calibri" w:hAnsi="Calibri" w:cs="Calibri"/>
                <w:color w:val="000000"/>
                <w:kern w:val="0"/>
                <w:sz w:val="22"/>
                <w:szCs w:val="22"/>
              </w:rPr>
              <w:t>Ω</w:t>
            </w:r>
            <w:r>
              <w:rPr>
                <w:rFonts w:ascii="宋体" w:hAnsi="宋体" w:cs="宋体"/>
                <w:color w:val="000000"/>
                <w:kern w:val="0"/>
                <w:sz w:val="22"/>
                <w:szCs w:val="22"/>
              </w:rPr>
              <w:t>±20%（at1kHz）</w:t>
            </w:r>
            <w:r>
              <w:rPr>
                <w:rFonts w:hint="eastAsia" w:ascii="宋体" w:hAnsi="宋体" w:cs="宋体"/>
                <w:color w:val="000000"/>
                <w:kern w:val="0"/>
                <w:sz w:val="22"/>
                <w:szCs w:val="22"/>
              </w:rPr>
              <w:br w:type="textWrapping"/>
            </w:r>
            <w:r>
              <w:rPr>
                <w:rFonts w:ascii="宋体" w:hAnsi="宋体" w:cs="宋体"/>
                <w:color w:val="000000"/>
                <w:kern w:val="0"/>
                <w:sz w:val="22"/>
                <w:szCs w:val="22"/>
              </w:rPr>
              <w:t>最大声压级:138dB（T.H.D≤1%at1kHz）</w:t>
            </w:r>
            <w:r>
              <w:rPr>
                <w:rFonts w:hint="eastAsia" w:ascii="宋体" w:hAnsi="宋体" w:cs="宋体"/>
                <w:color w:val="000000"/>
                <w:kern w:val="0"/>
                <w:sz w:val="22"/>
                <w:szCs w:val="22"/>
              </w:rPr>
              <w:br w:type="textWrapping"/>
            </w:r>
            <w:r>
              <w:rPr>
                <w:rFonts w:ascii="宋体" w:hAnsi="宋体" w:cs="宋体"/>
                <w:color w:val="000000"/>
                <w:kern w:val="0"/>
                <w:sz w:val="22"/>
                <w:szCs w:val="22"/>
              </w:rPr>
              <w:t>信噪比:≥78dB（1KHzat1Pa）</w:t>
            </w:r>
            <w:r>
              <w:rPr>
                <w:rFonts w:hint="eastAsia" w:ascii="宋体" w:hAnsi="宋体" w:cs="宋体"/>
                <w:color w:val="000000"/>
                <w:kern w:val="0"/>
                <w:sz w:val="22"/>
                <w:szCs w:val="22"/>
              </w:rPr>
              <w:br w:type="textWrapping"/>
            </w:r>
            <w:r>
              <w:rPr>
                <w:rFonts w:ascii="宋体" w:hAnsi="宋体" w:cs="宋体"/>
                <w:color w:val="000000"/>
                <w:kern w:val="0"/>
                <w:sz w:val="22"/>
                <w:szCs w:val="22"/>
              </w:rPr>
              <w:t>拾音角度:120°</w:t>
            </w:r>
            <w:r>
              <w:rPr>
                <w:rFonts w:hint="eastAsia" w:ascii="宋体" w:hAnsi="宋体" w:cs="宋体"/>
                <w:color w:val="000000"/>
                <w:kern w:val="0"/>
                <w:sz w:val="22"/>
                <w:szCs w:val="22"/>
              </w:rPr>
              <w:br w:type="textWrapping"/>
            </w:r>
            <w:r>
              <w:rPr>
                <w:rFonts w:ascii="宋体" w:hAnsi="宋体" w:cs="宋体"/>
                <w:color w:val="000000"/>
                <w:kern w:val="0"/>
                <w:sz w:val="22"/>
                <w:szCs w:val="22"/>
              </w:rPr>
              <w:t>供电电源:48V</w:t>
            </w:r>
            <w:r>
              <w:rPr>
                <w:rFonts w:hint="eastAsia" w:ascii="宋体" w:hAnsi="宋体" w:cs="宋体"/>
                <w:color w:val="000000"/>
                <w:kern w:val="0"/>
                <w:sz w:val="22"/>
                <w:szCs w:val="22"/>
              </w:rPr>
              <w:br w:type="textWrapping"/>
            </w:r>
            <w:r>
              <w:rPr>
                <w:rFonts w:ascii="宋体" w:hAnsi="宋体" w:cs="宋体"/>
                <w:color w:val="000000"/>
                <w:kern w:val="0"/>
                <w:sz w:val="22"/>
                <w:szCs w:val="22"/>
              </w:rPr>
              <w:t>输出接口:XLRM三针公卡侬</w:t>
            </w:r>
            <w:r>
              <w:rPr>
                <w:rFonts w:hint="eastAsia" w:ascii="等线" w:hAnsi="等线" w:eastAsia="等线" w:cs="宋体"/>
                <w:color w:val="000000"/>
                <w:kern w:val="0"/>
                <w:sz w:val="22"/>
                <w:szCs w:val="22"/>
              </w:rPr>
              <w:br w:type="textWrapping"/>
            </w:r>
            <w:r>
              <w:rPr>
                <w:rFonts w:ascii="宋体" w:hAnsi="宋体" w:cs="宋体"/>
                <w:color w:val="000000"/>
                <w:kern w:val="0"/>
                <w:sz w:val="22"/>
                <w:szCs w:val="22"/>
              </w:rPr>
              <w:t>超心型指向鹅颈话筒，带3m音频线和NEUTRIK卡侬公插头；</w:t>
            </w:r>
            <w:r>
              <w:rPr>
                <w:rFonts w:hint="eastAsia" w:ascii="宋体" w:hAnsi="宋体" w:cs="宋体"/>
                <w:color w:val="000000"/>
                <w:kern w:val="0"/>
                <w:sz w:val="22"/>
                <w:szCs w:val="22"/>
              </w:rPr>
              <w:br w:type="textWrapping"/>
            </w:r>
            <w:r>
              <w:rPr>
                <w:rFonts w:ascii="宋体" w:hAnsi="宋体" w:cs="宋体"/>
                <w:color w:val="000000"/>
                <w:kern w:val="0"/>
                <w:sz w:val="22"/>
                <w:szCs w:val="22"/>
              </w:rPr>
              <w:t>话筒杆设计了两节105度垂直上下旋转调节结构，满足演讲者不同发言高度需求；</w:t>
            </w:r>
            <w:r>
              <w:rPr>
                <w:rFonts w:hint="eastAsia" w:ascii="宋体" w:hAnsi="宋体" w:cs="宋体"/>
                <w:color w:val="000000"/>
                <w:kern w:val="0"/>
                <w:sz w:val="22"/>
                <w:szCs w:val="22"/>
              </w:rPr>
              <w:br w:type="textWrapping"/>
            </w:r>
            <w:r>
              <w:rPr>
                <w:rFonts w:ascii="宋体" w:hAnsi="宋体" w:cs="宋体"/>
                <w:color w:val="000000"/>
                <w:kern w:val="0"/>
                <w:sz w:val="22"/>
                <w:szCs w:val="22"/>
              </w:rPr>
              <w:t>底座表面设计了绿色指示灯带灯开关，时刻提醒发言人员工作状态；</w:t>
            </w:r>
            <w:r>
              <w:rPr>
                <w:rFonts w:hint="eastAsia" w:ascii="宋体" w:hAnsi="宋体" w:cs="宋体"/>
                <w:color w:val="000000"/>
                <w:kern w:val="0"/>
                <w:sz w:val="22"/>
                <w:szCs w:val="22"/>
              </w:rPr>
              <w:br w:type="textWrapping"/>
            </w:r>
            <w:r>
              <w:rPr>
                <w:rFonts w:ascii="宋体" w:hAnsi="宋体" w:cs="宋体"/>
                <w:color w:val="000000"/>
                <w:kern w:val="0"/>
                <w:sz w:val="22"/>
                <w:szCs w:val="22"/>
              </w:rPr>
              <w:t>每支话筒配置一款小防风罩和一款大防风罩，以适应不同场景使用需求；</w:t>
            </w:r>
            <w:r>
              <w:rPr>
                <w:rFonts w:hint="eastAsia" w:ascii="宋体" w:hAnsi="宋体" w:cs="宋体"/>
                <w:color w:val="000000"/>
                <w:kern w:val="0"/>
                <w:sz w:val="22"/>
                <w:szCs w:val="22"/>
              </w:rPr>
              <w:br w:type="textWrapping"/>
            </w:r>
            <w:r>
              <w:rPr>
                <w:rFonts w:ascii="宋体" w:hAnsi="宋体" w:cs="宋体"/>
                <w:color w:val="000000"/>
                <w:kern w:val="0"/>
                <w:sz w:val="22"/>
                <w:szCs w:val="22"/>
              </w:rPr>
              <w:t>采用48V幻象电源供电方式，最佳拾音距离：10cm～80cm；</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话筒混音智能器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2"/>
                <w:szCs w:val="22"/>
              </w:rPr>
            </w:pPr>
            <w:r>
              <w:rPr>
                <w:rFonts w:ascii="宋体" w:hAnsi="宋体" w:cs="宋体"/>
                <w:color w:val="000000"/>
                <w:kern w:val="0"/>
                <w:sz w:val="22"/>
                <w:szCs w:val="22"/>
              </w:rPr>
              <w:t>1、8路会议话筒自动混音器，带液晶显示屏，按键操作设置优先通道；</w:t>
            </w:r>
            <w:r>
              <w:rPr>
                <w:rFonts w:hint="eastAsia" w:ascii="宋体" w:hAnsi="宋体" w:cs="宋体"/>
                <w:color w:val="000000"/>
                <w:kern w:val="0"/>
                <w:sz w:val="22"/>
                <w:szCs w:val="22"/>
              </w:rPr>
              <w:br w:type="textWrapping"/>
            </w:r>
            <w:r>
              <w:rPr>
                <w:rFonts w:ascii="宋体" w:hAnsi="宋体" w:cs="宋体"/>
                <w:color w:val="000000"/>
                <w:kern w:val="0"/>
                <w:sz w:val="22"/>
                <w:szCs w:val="22"/>
              </w:rPr>
              <w:t>2、八个平衡式输入端，可连接话筒或线路电平信号；</w:t>
            </w:r>
            <w:r>
              <w:rPr>
                <w:rFonts w:hint="eastAsia" w:ascii="宋体" w:hAnsi="宋体" w:cs="宋体"/>
                <w:color w:val="000000"/>
                <w:kern w:val="0"/>
                <w:sz w:val="22"/>
                <w:szCs w:val="22"/>
              </w:rPr>
              <w:br w:type="textWrapping"/>
            </w:r>
            <w:r>
              <w:rPr>
                <w:rFonts w:ascii="宋体" w:hAnsi="宋体" w:cs="宋体"/>
                <w:color w:val="000000"/>
                <w:kern w:val="0"/>
                <w:sz w:val="22"/>
                <w:szCs w:val="22"/>
              </w:rPr>
              <w:t>3、8个通道带有独立的增益控制、8个独立音频前级输出、1路音频主输出；</w:t>
            </w:r>
            <w:r>
              <w:rPr>
                <w:rFonts w:hint="eastAsia" w:ascii="宋体" w:hAnsi="宋体" w:cs="宋体"/>
                <w:color w:val="000000"/>
                <w:kern w:val="0"/>
                <w:sz w:val="22"/>
                <w:szCs w:val="22"/>
              </w:rPr>
              <w:br w:type="textWrapping"/>
            </w:r>
            <w:r>
              <w:rPr>
                <w:rFonts w:ascii="宋体" w:hAnsi="宋体" w:cs="宋体"/>
                <w:color w:val="000000"/>
                <w:kern w:val="0"/>
                <w:sz w:val="22"/>
                <w:szCs w:val="22"/>
              </w:rPr>
              <w:t>4、1路耳机监听输入和音量调节，1个总输入增益调节，1组扩展接口、1个RS232C控制接口、1个外部控制输出接口；</w:t>
            </w:r>
            <w:r>
              <w:rPr>
                <w:rFonts w:hint="eastAsia" w:ascii="宋体" w:hAnsi="宋体" w:cs="宋体"/>
                <w:color w:val="000000"/>
                <w:kern w:val="0"/>
                <w:sz w:val="22"/>
                <w:szCs w:val="22"/>
              </w:rPr>
              <w:br w:type="textWrapping"/>
            </w:r>
            <w:r>
              <w:rPr>
                <w:rFonts w:ascii="宋体" w:hAnsi="宋体" w:cs="宋体"/>
                <w:color w:val="000000"/>
                <w:kern w:val="0"/>
                <w:sz w:val="22"/>
                <w:szCs w:val="22"/>
              </w:rPr>
              <w:t>5、每个通道带幻象电源+48V；</w:t>
            </w:r>
            <w:r>
              <w:rPr>
                <w:rFonts w:hint="eastAsia" w:ascii="宋体" w:hAnsi="宋体" w:cs="宋体"/>
                <w:color w:val="000000"/>
                <w:kern w:val="0"/>
                <w:sz w:val="22"/>
                <w:szCs w:val="22"/>
              </w:rPr>
              <w:br w:type="textWrapping"/>
            </w:r>
            <w:r>
              <w:rPr>
                <w:rFonts w:ascii="宋体" w:hAnsi="宋体" w:cs="宋体"/>
                <w:color w:val="000000"/>
                <w:kern w:val="0"/>
                <w:sz w:val="22"/>
                <w:szCs w:val="22"/>
              </w:rPr>
              <w:t>6、可级连15台混音器，可接120支带幻象电源的电容话筒；输入阻抗：Mic4300</w:t>
            </w:r>
            <w:r>
              <w:rPr>
                <w:rFonts w:ascii="Calibri" w:hAnsi="Calibri" w:cs="Calibri"/>
                <w:color w:val="000000"/>
                <w:kern w:val="0"/>
                <w:sz w:val="22"/>
                <w:szCs w:val="22"/>
              </w:rPr>
              <w:t>Ω</w:t>
            </w:r>
            <w:r>
              <w:rPr>
                <w:rFonts w:ascii="宋体" w:hAnsi="宋体" w:cs="宋体"/>
                <w:color w:val="000000"/>
                <w:kern w:val="0"/>
                <w:sz w:val="22"/>
                <w:szCs w:val="22"/>
              </w:rPr>
              <w:t>，AUX50k</w:t>
            </w:r>
            <w:r>
              <w:rPr>
                <w:rFonts w:ascii="Calibri" w:hAnsi="Calibri" w:cs="Calibri"/>
                <w:color w:val="000000"/>
                <w:kern w:val="0"/>
                <w:sz w:val="22"/>
                <w:szCs w:val="22"/>
              </w:rPr>
              <w:t>Ω</w:t>
            </w:r>
            <w:r>
              <w:rPr>
                <w:rFonts w:ascii="宋体" w:hAnsi="宋体" w:cs="宋体"/>
                <w:color w:val="000000"/>
                <w:kern w:val="0"/>
                <w:sz w:val="22"/>
                <w:szCs w:val="22"/>
              </w:rPr>
              <w:t>；</w:t>
            </w:r>
            <w:r>
              <w:rPr>
                <w:rFonts w:hint="eastAsia" w:ascii="宋体" w:hAnsi="宋体" w:cs="宋体"/>
                <w:color w:val="000000"/>
                <w:kern w:val="0"/>
                <w:sz w:val="22"/>
                <w:szCs w:val="22"/>
              </w:rPr>
              <w:br w:type="textWrapping"/>
            </w:r>
            <w:r>
              <w:rPr>
                <w:rFonts w:ascii="宋体" w:hAnsi="宋体" w:cs="宋体"/>
                <w:color w:val="000000"/>
                <w:kern w:val="0"/>
                <w:sz w:val="22"/>
                <w:szCs w:val="22"/>
              </w:rPr>
              <w:t>7、输出阻抗(平衡)：Mic15k</w:t>
            </w:r>
            <w:r>
              <w:rPr>
                <w:rFonts w:ascii="Calibri" w:hAnsi="Calibri" w:cs="Calibri"/>
                <w:color w:val="000000"/>
                <w:kern w:val="0"/>
                <w:sz w:val="22"/>
                <w:szCs w:val="22"/>
              </w:rPr>
              <w:t>Ω</w:t>
            </w:r>
            <w:r>
              <w:rPr>
                <w:rFonts w:ascii="宋体" w:hAnsi="宋体" w:cs="宋体"/>
                <w:color w:val="000000"/>
                <w:kern w:val="0"/>
                <w:sz w:val="22"/>
                <w:szCs w:val="22"/>
              </w:rPr>
              <w:t>，Line220</w:t>
            </w:r>
            <w:r>
              <w:rPr>
                <w:rFonts w:ascii="Calibri" w:hAnsi="Calibri" w:cs="Calibri"/>
                <w:color w:val="000000"/>
                <w:kern w:val="0"/>
                <w:sz w:val="22"/>
                <w:szCs w:val="22"/>
              </w:rPr>
              <w:t>Ω</w:t>
            </w:r>
            <w:r>
              <w:rPr>
                <w:rFonts w:ascii="宋体" w:hAnsi="宋体" w:cs="宋体"/>
                <w:color w:val="000000"/>
                <w:kern w:val="0"/>
                <w:sz w:val="22"/>
                <w:szCs w:val="22"/>
              </w:rPr>
              <w:t>；输出电平：Mic-18dBV，Line21.5dBV；</w:t>
            </w:r>
            <w:r>
              <w:rPr>
                <w:rFonts w:hint="eastAsia" w:ascii="宋体" w:hAnsi="宋体" w:cs="宋体"/>
                <w:color w:val="000000"/>
                <w:kern w:val="0"/>
                <w:sz w:val="22"/>
                <w:szCs w:val="22"/>
              </w:rPr>
              <w:br w:type="textWrapping"/>
            </w:r>
            <w:r>
              <w:rPr>
                <w:rFonts w:ascii="宋体" w:hAnsi="宋体" w:cs="宋体"/>
                <w:color w:val="000000"/>
                <w:kern w:val="0"/>
                <w:sz w:val="22"/>
                <w:szCs w:val="22"/>
              </w:rPr>
              <w:t>8、前级输出阻抗：3.3k</w:t>
            </w:r>
            <w:r>
              <w:rPr>
                <w:rFonts w:ascii="Calibri" w:hAnsi="Calibri" w:cs="Calibri"/>
                <w:color w:val="000000"/>
                <w:kern w:val="0"/>
                <w:sz w:val="22"/>
                <w:szCs w:val="22"/>
              </w:rPr>
              <w:t>Ω</w:t>
            </w:r>
            <w:r>
              <w:rPr>
                <w:rFonts w:ascii="宋体" w:hAnsi="宋体" w:cs="宋体"/>
                <w:color w:val="000000"/>
                <w:kern w:val="0"/>
                <w:sz w:val="22"/>
                <w:szCs w:val="22"/>
              </w:rPr>
              <w:t>；输出电平：-4.4dBV；</w:t>
            </w:r>
            <w:r>
              <w:rPr>
                <w:rFonts w:hint="eastAsia" w:ascii="宋体" w:hAnsi="宋体" w:cs="宋体"/>
                <w:color w:val="000000"/>
                <w:kern w:val="0"/>
                <w:sz w:val="22"/>
                <w:szCs w:val="22"/>
              </w:rPr>
              <w:br w:type="textWrapping"/>
            </w:r>
            <w:r>
              <w:rPr>
                <w:rFonts w:ascii="宋体" w:hAnsi="宋体" w:cs="宋体"/>
                <w:color w:val="000000"/>
                <w:kern w:val="0"/>
                <w:sz w:val="22"/>
                <w:szCs w:val="22"/>
              </w:rPr>
              <w:t>9、频率响应：20Hz-20kHz；最大增益：62dB；</w:t>
            </w:r>
            <w:r>
              <w:rPr>
                <w:rFonts w:hint="eastAsia" w:ascii="宋体" w:hAnsi="宋体" w:cs="宋体"/>
                <w:color w:val="000000"/>
                <w:kern w:val="0"/>
                <w:sz w:val="22"/>
                <w:szCs w:val="22"/>
              </w:rPr>
              <w:br w:type="textWrapping"/>
            </w:r>
            <w:r>
              <w:rPr>
                <w:rFonts w:ascii="宋体" w:hAnsi="宋体" w:cs="宋体"/>
                <w:color w:val="000000"/>
                <w:kern w:val="0"/>
                <w:sz w:val="22"/>
                <w:szCs w:val="22"/>
              </w:rPr>
              <w:t>10、幻象供电：+48V；控制输出电压：+5V；</w:t>
            </w:r>
            <w:r>
              <w:rPr>
                <w:rFonts w:hint="eastAsia" w:ascii="宋体" w:hAnsi="宋体" w:cs="宋体"/>
                <w:color w:val="000000"/>
                <w:kern w:val="0"/>
                <w:sz w:val="22"/>
                <w:szCs w:val="22"/>
              </w:rPr>
              <w:br w:type="textWrapping"/>
            </w:r>
            <w:r>
              <w:rPr>
                <w:rFonts w:ascii="宋体" w:hAnsi="宋体" w:cs="宋体"/>
                <w:color w:val="000000"/>
                <w:kern w:val="0"/>
                <w:sz w:val="22"/>
                <w:szCs w:val="22"/>
              </w:rPr>
              <w:t>11、电源电压：AC220V；消耗功率：25W；</w:t>
            </w:r>
          </w:p>
          <w:p>
            <w:pPr>
              <w:widowControl/>
              <w:spacing w:line="240" w:lineRule="auto"/>
              <w:ind w:firstLine="0" w:firstLineChars="0"/>
              <w:jc w:val="left"/>
              <w:rPr>
                <w:rFonts w:ascii="宋体" w:hAnsi="宋体" w:cs="宋体"/>
                <w:color w:val="000000"/>
                <w:kern w:val="0"/>
                <w:sz w:val="22"/>
                <w:szCs w:val="22"/>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智能话筒处理器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2"/>
                <w:szCs w:val="22"/>
              </w:rPr>
            </w:pPr>
            <w:r>
              <w:rPr>
                <w:rFonts w:ascii="宋体" w:hAnsi="宋体" w:cs="宋体"/>
                <w:color w:val="000000"/>
                <w:kern w:val="0"/>
                <w:sz w:val="22"/>
                <w:szCs w:val="22"/>
              </w:rPr>
              <w:t>智能话筒处理器；</w:t>
            </w:r>
            <w:r>
              <w:rPr>
                <w:rFonts w:hint="eastAsia" w:ascii="宋体" w:hAnsi="宋体" w:cs="宋体"/>
                <w:color w:val="000000"/>
                <w:kern w:val="0"/>
                <w:sz w:val="22"/>
                <w:szCs w:val="22"/>
              </w:rPr>
              <w:br w:type="textWrapping"/>
            </w:r>
            <w:r>
              <w:rPr>
                <w:rFonts w:ascii="宋体" w:hAnsi="宋体" w:cs="宋体"/>
                <w:color w:val="000000"/>
                <w:kern w:val="0"/>
                <w:sz w:val="22"/>
                <w:szCs w:val="22"/>
              </w:rPr>
              <w:t>1、2路卡侬输入，2路大三芯输入；</w:t>
            </w:r>
            <w:r>
              <w:rPr>
                <w:rFonts w:hint="eastAsia" w:ascii="宋体" w:hAnsi="宋体" w:cs="宋体"/>
                <w:color w:val="000000"/>
                <w:kern w:val="0"/>
                <w:sz w:val="22"/>
                <w:szCs w:val="22"/>
              </w:rPr>
              <w:br w:type="textWrapping"/>
            </w:r>
            <w:r>
              <w:rPr>
                <w:rFonts w:ascii="宋体" w:hAnsi="宋体" w:cs="宋体"/>
                <w:color w:val="000000"/>
                <w:kern w:val="0"/>
                <w:sz w:val="22"/>
                <w:szCs w:val="22"/>
              </w:rPr>
              <w:t>2、2路卡侬输出，2路大三芯输出；</w:t>
            </w:r>
            <w:r>
              <w:rPr>
                <w:rFonts w:hint="eastAsia" w:ascii="宋体" w:hAnsi="宋体" w:cs="宋体"/>
                <w:color w:val="000000"/>
                <w:kern w:val="0"/>
                <w:sz w:val="22"/>
                <w:szCs w:val="22"/>
              </w:rPr>
              <w:br w:type="textWrapping"/>
            </w:r>
            <w:r>
              <w:rPr>
                <w:rFonts w:ascii="宋体" w:hAnsi="宋体" w:cs="宋体"/>
                <w:color w:val="000000"/>
                <w:kern w:val="0"/>
                <w:sz w:val="22"/>
                <w:szCs w:val="22"/>
              </w:rPr>
              <w:t>3、可以选择线路输入或麦克风输入（麦克风输入带48V幻像电源功能）；</w:t>
            </w:r>
            <w:r>
              <w:rPr>
                <w:rFonts w:hint="eastAsia" w:ascii="宋体" w:hAnsi="宋体" w:cs="宋体"/>
                <w:color w:val="000000"/>
                <w:kern w:val="0"/>
                <w:sz w:val="22"/>
                <w:szCs w:val="22"/>
              </w:rPr>
              <w:br w:type="textWrapping"/>
            </w:r>
            <w:r>
              <w:rPr>
                <w:rFonts w:ascii="宋体" w:hAnsi="宋体" w:cs="宋体"/>
                <w:color w:val="000000"/>
                <w:kern w:val="0"/>
                <w:sz w:val="22"/>
                <w:szCs w:val="22"/>
              </w:rPr>
              <w:t>4、</w:t>
            </w:r>
            <w:r>
              <w:rPr>
                <w:rFonts w:ascii="宋体" w:hAnsi="宋体" w:cs="宋体"/>
                <w:color w:val="000000" w:themeColor="text1"/>
                <w:kern w:val="0"/>
                <w:sz w:val="22"/>
                <w:szCs w:val="22"/>
                <w14:textFill>
                  <w14:solidFill>
                    <w14:schemeClr w14:val="tx1"/>
                  </w14:solidFill>
                </w14:textFill>
              </w:rPr>
              <w:t>每个输入通道带AI人工智能语音降噪（ANS)功能，能有效滤除话筒拾取到的空调、摩擦、翻书等环境噪音；</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5、每个输入通道带(AGC)自动增益控制功能，增加话筒有效拾音距离，改善发言者与麦克风距离变化而造成的声音忽大忽小问题；</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6、每个输入通道带(AFS)自动反馈抑制器、分频器、10段参量均衡器；</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7、最大输入电平：线路输入+15dBu@1kHz，麦克风输入10dBu@1kHz；</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8、最大输出电平：线路输出+15dBu@1kHz；</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9、频率响应：65Hz～20kHz（+/-1dB）；</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10、输入/输出动态范围：110dB；</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11、总谐波失真:≤0.02%；</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12、采样率：48kHz；</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13、信噪比：≥93dB；</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14、控制接口：支持USB连接PC（Windows系统）进行设置和实时监控；</w:t>
            </w:r>
            <w:r>
              <w:rPr>
                <w:rFonts w:hint="eastAsia" w:ascii="宋体" w:hAnsi="宋体" w:cs="宋体"/>
                <w:color w:val="000000" w:themeColor="text1"/>
                <w:kern w:val="0"/>
                <w:sz w:val="22"/>
                <w:szCs w:val="22"/>
                <w14:textFill>
                  <w14:solidFill>
                    <w14:schemeClr w14:val="tx1"/>
                  </w14:solidFill>
                </w14:textFill>
              </w:rPr>
              <w:br w:type="textWrapping"/>
            </w:r>
            <w:r>
              <w:rPr>
                <w:rFonts w:ascii="宋体" w:hAnsi="宋体" w:cs="宋体"/>
                <w:color w:val="000000" w:themeColor="text1"/>
                <w:kern w:val="0"/>
                <w:sz w:val="22"/>
                <w:szCs w:val="22"/>
                <w14:textFill>
                  <w14:solidFill>
                    <w14:schemeClr w14:val="tx1"/>
                  </w14:solidFill>
                </w14:textFill>
              </w:rPr>
              <w:t>15、场景：设备内部可保存23组预设；</w:t>
            </w:r>
            <w:r>
              <w:rPr>
                <w:rFonts w:hint="eastAsia" w:ascii="宋体" w:hAnsi="宋体" w:cs="宋体"/>
                <w:color w:val="000000"/>
                <w:kern w:val="0"/>
                <w:sz w:val="22"/>
                <w:szCs w:val="22"/>
              </w:rPr>
              <w:br w:type="textWrapping"/>
            </w:r>
            <w:r>
              <w:rPr>
                <w:rFonts w:ascii="宋体" w:hAnsi="宋体" w:cs="宋体"/>
                <w:color w:val="000000"/>
                <w:kern w:val="0"/>
                <w:sz w:val="22"/>
                <w:szCs w:val="22"/>
              </w:rPr>
              <w:t>16、电源：~220V±20%，50Hz/60Hz；</w:t>
            </w:r>
            <w:r>
              <w:rPr>
                <w:rFonts w:hint="eastAsia" w:ascii="宋体" w:hAnsi="宋体" w:cs="宋体"/>
                <w:color w:val="000000"/>
                <w:kern w:val="0"/>
                <w:sz w:val="22"/>
                <w:szCs w:val="22"/>
              </w:rPr>
              <w:br w:type="textWrapping"/>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话筒线</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168编纯铜，</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卷</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地插盒</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支持不少于12路话筒专用地插盒，</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4、集中控制系统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网络中控主机</w:t>
            </w:r>
          </w:p>
        </w:tc>
        <w:tc>
          <w:tcPr>
            <w:tcW w:w="2933" w:type="pct"/>
            <w:shd w:val="clear" w:color="auto" w:fill="FFFFFF"/>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主要参数：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1、网络协议口：1个LAN10/100M网口;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2、POE供电口：2个10/100POELAN网口;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3、RS232/RS485控制口：8个RS232/485端口;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4、Relay控制口：8个Relay(弱继电器)端口;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5、红外控制口：8个IR(红外)端口,可以存储99个红外按钮信息;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6、I/O控制口：4个I/O端口;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7、CPU处理器：1GHz高速处理器（CPU）;</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8、运行内存：512M内存;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9、储存大小：512MFlash存储空间;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10、编程软件：电脑编程控制软件;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11、含无线路由器;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12、APP控制：支持Windows和Android系统的APP控制软件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13、输入电源(AC):90-230VAC50/60Hz;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14、输入电源(DC):12VDC，3A;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15、POE供电：48VDC,每端口最大48W;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功能特性：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控制RS232/RS485协议设备，IR红外设备、RELAY弱继电器设备及I/O控制设备，具备网络IP/TCP、UDP控制协议，支持远程控制网络设备,前面板支持红外学习功能，可以存储99个红外按钮信息,有便捷易操作的编程软件，具有Windows和Android系统的APP控制软件，可通过本网络增加网络综合串口扩展器进行扩展RS232、红外IR、I/O及RELAY的接口数量，方便控制设备远距离集中管理。</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中控软件</w:t>
            </w:r>
          </w:p>
        </w:tc>
        <w:tc>
          <w:tcPr>
            <w:tcW w:w="2933" w:type="pct"/>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厂家自有，</w:t>
            </w:r>
            <w:r>
              <w:rPr>
                <w:rFonts w:ascii="宋体" w:hAnsi="宋体" w:cs="宋体"/>
                <w:color w:val="000000"/>
                <w:kern w:val="0"/>
                <w:sz w:val="20"/>
                <w:szCs w:val="20"/>
              </w:rPr>
              <w:t>原厂质保</w:t>
            </w:r>
            <w:r>
              <w:rPr>
                <w:rFonts w:hint="eastAsia" w:ascii="宋体" w:hAnsi="宋体" w:cs="宋体"/>
                <w:color w:val="000000"/>
                <w:kern w:val="0"/>
                <w:sz w:val="20"/>
                <w:szCs w:val="20"/>
              </w:rPr>
              <w:t>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1、显示器：23.8寸IPS高清窄边框屏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2、CPU：i</w:t>
            </w:r>
            <w:r>
              <w:rPr>
                <w:rFonts w:ascii="宋体" w:hAnsi="宋体" w:cs="宋体"/>
                <w:color w:val="000000"/>
                <w:kern w:val="0"/>
                <w:sz w:val="20"/>
                <w:szCs w:val="20"/>
              </w:rPr>
              <w:t>7</w:t>
            </w:r>
            <w:r>
              <w:rPr>
                <w:rFonts w:hint="eastAsia" w:ascii="宋体" w:hAnsi="宋体" w:cs="宋体"/>
                <w:color w:val="000000"/>
                <w:kern w:val="0"/>
                <w:sz w:val="20"/>
                <w:szCs w:val="20"/>
              </w:rPr>
              <w:t>处理器、内存：</w:t>
            </w:r>
            <w:r>
              <w:rPr>
                <w:rFonts w:ascii="宋体" w:hAnsi="宋体" w:cs="宋体"/>
                <w:color w:val="000000"/>
                <w:kern w:val="0"/>
                <w:sz w:val="20"/>
                <w:szCs w:val="20"/>
              </w:rPr>
              <w:t>32</w:t>
            </w:r>
            <w:r>
              <w:rPr>
                <w:rFonts w:hint="eastAsia" w:ascii="宋体" w:hAnsi="宋体" w:cs="宋体"/>
                <w:color w:val="000000"/>
                <w:kern w:val="0"/>
                <w:sz w:val="20"/>
                <w:szCs w:val="20"/>
              </w:rPr>
              <w:t>G</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4、固态：</w:t>
            </w:r>
            <w:r>
              <w:rPr>
                <w:rFonts w:ascii="宋体" w:hAnsi="宋体" w:cs="宋体"/>
                <w:color w:val="000000"/>
                <w:kern w:val="0"/>
                <w:sz w:val="20"/>
                <w:szCs w:val="20"/>
              </w:rPr>
              <w:t>512G</w:t>
            </w:r>
            <w:r>
              <w:rPr>
                <w:rFonts w:hint="eastAsia" w:ascii="宋体" w:hAnsi="宋体" w:cs="宋体"/>
                <w:color w:val="000000"/>
                <w:kern w:val="0"/>
                <w:sz w:val="20"/>
                <w:szCs w:val="20"/>
              </w:rPr>
              <w:t>固态</w:t>
            </w:r>
            <w:r>
              <w:rPr>
                <w:rFonts w:ascii="宋体" w:hAnsi="宋体" w:cs="宋体"/>
                <w:color w:val="000000"/>
                <w:kern w:val="0"/>
                <w:sz w:val="20"/>
                <w:szCs w:val="20"/>
              </w:rPr>
              <w:t>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3、显卡：独显3060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4、机身颜色：黑</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平板电脑</w:t>
            </w:r>
          </w:p>
        </w:tc>
        <w:tc>
          <w:tcPr>
            <w:tcW w:w="2933" w:type="pct"/>
            <w:shd w:val="clear" w:color="auto" w:fill="FFFFFF"/>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屏幕尺寸≥1</w:t>
            </w:r>
            <w:r>
              <w:rPr>
                <w:rFonts w:ascii="宋体" w:hAnsi="宋体" w:cs="宋体"/>
                <w:color w:val="000000"/>
                <w:kern w:val="0"/>
                <w:sz w:val="20"/>
                <w:szCs w:val="20"/>
              </w:rPr>
              <w:t>1</w:t>
            </w:r>
            <w:r>
              <w:rPr>
                <w:rFonts w:hint="eastAsia" w:ascii="宋体" w:hAnsi="宋体" w:cs="宋体"/>
                <w:color w:val="000000"/>
                <w:kern w:val="0"/>
                <w:sz w:val="20"/>
                <w:szCs w:val="20"/>
              </w:rPr>
              <w:t>英寸；分辨率≥2</w:t>
            </w:r>
            <w:r>
              <w:rPr>
                <w:rFonts w:ascii="宋体" w:hAnsi="宋体" w:cs="宋体"/>
                <w:color w:val="000000"/>
                <w:kern w:val="0"/>
                <w:sz w:val="20"/>
                <w:szCs w:val="20"/>
              </w:rPr>
              <w:t>388</w:t>
            </w:r>
            <w:r>
              <w:rPr>
                <w:rFonts w:hint="eastAsia" w:ascii="宋体" w:hAnsi="宋体" w:cs="宋体"/>
                <w:color w:val="000000"/>
                <w:kern w:val="0"/>
                <w:sz w:val="20"/>
                <w:szCs w:val="20"/>
              </w:rPr>
              <w:t>*</w:t>
            </w:r>
            <w:r>
              <w:rPr>
                <w:rFonts w:ascii="宋体" w:hAnsi="宋体" w:cs="宋体"/>
                <w:color w:val="000000"/>
                <w:kern w:val="0"/>
                <w:sz w:val="20"/>
                <w:szCs w:val="20"/>
              </w:rPr>
              <w:t>1668</w:t>
            </w:r>
            <w:r>
              <w:rPr>
                <w:rFonts w:hint="eastAsia" w:ascii="宋体" w:hAnsi="宋体" w:cs="宋体"/>
                <w:color w:val="000000"/>
                <w:kern w:val="0"/>
                <w:sz w:val="20"/>
                <w:szCs w:val="20"/>
              </w:rPr>
              <w:t>；内存容量≥</w:t>
            </w:r>
            <w:r>
              <w:rPr>
                <w:rFonts w:ascii="宋体" w:hAnsi="宋体" w:cs="宋体"/>
                <w:color w:val="000000"/>
                <w:kern w:val="0"/>
                <w:sz w:val="20"/>
                <w:szCs w:val="20"/>
              </w:rPr>
              <w:t>512</w:t>
            </w:r>
            <w:r>
              <w:rPr>
                <w:rFonts w:hint="eastAsia" w:ascii="宋体" w:hAnsi="宋体" w:cs="宋体"/>
                <w:color w:val="000000"/>
                <w:kern w:val="0"/>
                <w:sz w:val="20"/>
                <w:szCs w:val="20"/>
              </w:rPr>
              <w:t>G；CPU核心</w:t>
            </w:r>
            <w:r>
              <w:rPr>
                <w:rFonts w:ascii="宋体" w:hAnsi="宋体" w:cs="宋体"/>
                <w:color w:val="000000"/>
                <w:kern w:val="0"/>
                <w:sz w:val="20"/>
                <w:szCs w:val="20"/>
              </w:rPr>
              <w:t>数：</w:t>
            </w:r>
            <w:r>
              <w:rPr>
                <w:rFonts w:hint="eastAsia" w:ascii="宋体" w:hAnsi="宋体" w:cs="宋体"/>
                <w:color w:val="000000"/>
                <w:kern w:val="0"/>
                <w:sz w:val="20"/>
                <w:szCs w:val="20"/>
              </w:rPr>
              <w:t>8核；连接方式：全网通版。</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控制器</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1、网络协议口：1个LAN网络接口；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2、控制接口：1个RS232接口，1个RS485接口；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3、控制软件：Windows电脑控制软件；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4、载入容量:单路功率20A；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5、输出数量:8路独立电源开关控制；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6、ID选择：可设置网络ID身份代码；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7、电源:交流220V输入；</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串口分配器</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1、网络协议口：1个LAN10/100M网口；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2、RS232/RS485控制口：8个RS232端口；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3、Relay控制口：8个Relay(弱继电器)端口；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4、红外控制口：4个IR(红外)端口，可以存储99个红外按钮信息；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5、I/O控制口：4个I/O端口；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6、控制软件：Windows电脑编程控制软件；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7、扩展性：最大级联255台；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8、输入电源(DC)：12VDC，3A；</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5、远程视频会议和录播系统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5.1新楼报告厅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协同通讯平台</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★本次招标要求最大会议容量支持</w:t>
            </w:r>
            <w:r>
              <w:rPr>
                <w:rFonts w:hint="eastAsia" w:ascii="宋体" w:hAnsi="宋体" w:cs="宋体"/>
                <w:b/>
                <w:bCs/>
                <w:color w:val="000000"/>
                <w:kern w:val="0"/>
                <w:sz w:val="20"/>
                <w:szCs w:val="20"/>
              </w:rPr>
              <w:t>40</w:t>
            </w:r>
            <w:r>
              <w:rPr>
                <w:rFonts w:hint="eastAsia" w:ascii="宋体" w:hAnsi="宋体" w:cs="宋体"/>
                <w:color w:val="000000"/>
                <w:kern w:val="0"/>
                <w:sz w:val="20"/>
                <w:szCs w:val="20"/>
              </w:rPr>
              <w:t>路1080p视频端口资源；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包含会议管理、MCU、注册和呼叫控制管理、防火墙穿越、会议录制（设备本身带会议录制功能、带存储硬盘）/点播、直播推流、互动白板交互及移动软件接入等多功能服务模块，具备一机实现全面视频通讯应用覆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非OEM或贴牌产品，与视频会议终端、高清摄像机、全向数字麦克风、多接口模块保持同一品牌；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采用主流Docker和Kubernetes（K8s）容器应用技术，实现多功能组件模块化设计，提供更灵活、简易和便捷的虚拟化云部署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多方会议MCU（1套）：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采用嵌入式操作系统，非Windows系统，不受电脑病毒感染；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符合ITU的H.323以及IETF的SIP标准；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会议速率64Kbps—8Mbps之间动态可调；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支持1080P60fps、1080P30fps、720P60fps、720P30fps，并向下兼容4CIF、CIF、360P、180P等图像格式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视频编解码算法，应符合ITUH.263、H.264BaseLine、H.264HighProfile、H.265标准；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音频编解码算法，应符合ITU-TG.711A/µ、G.722、G.728、G.729A、G.722.1、G.722.1C、G.719等高清宽带音频编解码协议；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支持H.239和BFCP双流，双流支持1080p；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支持自动64分屏，系统将入会后的软件、硬件终端画面自动分配在分屏窗口中，无需人工干预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★支持根据参会终端会场数量的增加，系统自动实现分屏数量和布局模式的变化，无需人工手动指定操作，最大可支持自动呈现64分屏；也可手动指定参会终端会场在特定分屏窗口呈现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支持中文会场名称，支持滚动字幕，会场名称和字幕的位置及颜色均可调节；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具有超强的网络适应性，可以保证在60%网络丢包环境下视频依然清晰流畅，即使网络丢包高达80%，依然可以保证音频通畅。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会议录制：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支持会议录制功能，在召开会议的时候可以在会议管理界面下，支持开启录制、暂停录制、停止录制；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★支持同时开5组会议，支持会议同步录制，视频会议录制结束5秒内，直接生产MP4视频录制文件；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录制的音视频文件为标准MP4格式，支持录制文件的下载并通过播放器播放；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高清会议的录制存储时间不低于1000小时；高清会议的录制存储容量不少于1T；会议录制完成后30秒转码完成。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防火墙穿越：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支持防火墙穿越技术，支持静态NAT配置，支持通过互联网和内网进行注册；支持手机、平板、PC等移动设备通过运营商现有4G或WIFI接入到单位内部视频会议里，实现内外网打通；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注册及呼叫控制：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支持IETFSIP协议，支持HTTPS配置管理，支持TLS注册；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根据SIP注册短号，自动生成虚拟会议室号码，并且可以对永久会议室和预约会议室通过号码前缀进行区分；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提供在线呼叫，呼叫历史等信息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管理控制，会议资源管理：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支持显示协同通讯平台的整体资源占用，包括音视频数量，注册及并发呼叫数量，预约会议和正在召开会议的数量等；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支持会议数据表统计，可对会议概况，会议模式，会议规模，终端类型，呼叫方式，资源使用情况进行图形化统计，并支持数据导出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支持会议预约，并且可以根据实际需求选择超清、高清、标清不同视频质量的会议；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支持在60%网络丢包的环境下，音频清晰连贯，视频图像清晰流畅，无花屏、无马赛克；支持在80%网络丢包的环境下，音频清晰连贯、无卡顿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会议管理员对会议全局控制功能，实现一键会议模式(主会场&amp;讨论)切换、全部静音/解除静音、设置字幕通知、会议延时、锁定会议、录制控制、广播轮询、自定义会议点名、设置点名/轮询列表、添加/呼叫终端、自动重邀、结束会议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会控中指定终端/用户一键控制操作，实现设定主会场、一键查看会场、一键广播会场、一键点名、一键静音/取消静音、一键闭音、一键开启/屏蔽视频、一键旁听、预览会场信息、设置双流发送权限、一键挂断、一键删除会场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支持召开广播培训型会议，广播型会场可以实时接收交互型会场的声音和图像，当广播型会场发言时可以自动申请成为交互型会场；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支持用户管理，可以为PC、Pad、手机等移动客户端提供用户的鉴权认证，支持用户的批量导入及导出，无需单独手工录入；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支持用户的分组管理，可以编辑各个组之间的可见关系，以保证用户和组的安全性及私密性；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支持终端管理，可以为终端统一提供预配置服务，只需要输入终端序列号信息，即可自动推送预配置信息至终端；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支持数据备份及数据恢复功能；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持统一日志管理，可以将协同通讯平台所有模块的日志在统一界面显示及下载，无需单独登录单个模块；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多方会议MCU、会议录制、注册及呼叫控制，防火墙穿越、管理控制，会议资源管理同一品牌；与高清视频会议终端、高清摄像机、全向数字麦克同一品牌；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要求：三年原厂质保、投标时提供原厂授权书，投标时提供原厂质保函原件（盖鲜章）。</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符合ITU的H.323以及IETF的SIP标准；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非OEM或贴牌产品，与视频会议协同通讯平台、高清摄像机、多接口模块保持同一品牌；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采用分体式结构设计，摄像机与主机可分离安装；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终端采用为嵌入式操作系统，非PC结构不受电脑病毒感染；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视频终端至少具备2路高清视频输入接口，接口支持HDMI和VGA并且摄像机到终端主机接口线缆是3个：信号、控制、电源必须分开；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视频终端至少具备2路高清视频输出接口，接口支持HDMI；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至少3路音频输入，可接入包括全向数字麦克风、线性电平及双流音频输入；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至少2路音频输出，支持线性电平输出可连接调音台等音频设备；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需提供和终端统一品牌高清摄像机，指标要求：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支持1920x1080p50帧/秒的高清视频输出。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至少12倍光学变焦倍数；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具备RS232或VISCA控制接口，可以接入上述高清终端，通过终端进行摄像机控制，或接入中控系统进行集中控制；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摄像机支持倒装，可根据需求进行设置，倒装时图像可以自动进行翻转；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摄像机至少支持10个预置位，在TVUI上可以对每个预置位进行图像预览；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需提供和终端统一品牌全向拾音麦克风，指标要求：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360度全向数字式麦克风，拾音半径不小于6米；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麦克风需具备触摸式静音按键及指示灯；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具备抗GSM手机干扰功能；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视频编解码算法，应符合ITUH.263、H.264BaseLine、H.264HighProfile标准；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图像格式应支持CIF、4CIF、360p、720p、1080p等格式；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支持1280x720p25帧/秒、1920×1080p25帧/秒以及1920×1080p50帧/秒的高清效果。可在2Mbps带宽实现1920×1080p50帧/秒高清会议；可在1Mbps带宽实现1280x720p50帧/秒高清会议；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支持在60%网络丢包的环境下，音频清晰连贯，视频图像清晰流畅；支持在80%网络丢包的环境下，音频清晰连贯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终端应支持单屏模拟双显、模拟三显和双屏双显等功能，可以根据TVUI提示通过遥控器进行多种分屏布局的调整；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支持ITU-TH.239和IETFBFCP标准；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在传输主路视频图像的同时可以再传输第二路视频，主路图像达到1080p50帧/秒效果的同时辅路图像可达1080p25帧/秒效果；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支持HDMI和VGA双流输入接口，可以满足多种电脑类型。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遥控器支持实体双流按键，可以“一键”发送或停止双流。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支持通过TVUI设置呼叫带宽、自动应答等功能，方便用户使用；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支持自动预配置，开机之后可以自动寻找预配置服务器，配置统一由服务器端下发，终端无需进行任何配置；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支持在线升级，终端可以自动通过预配置自动获取升级服务器地址或手动指定升级服务器地址，并且在TVUI上有升级提醒，通过遥控器点击提醒即可自动升级；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支持本地升级，通过web界面对终端进行软件版本的升级；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支持在TVUI上通过遥控器反馈终端的故障问题，包括呼叫问题、音视频问题、配置问题、升级问题等内容；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中文WEB界面、中文管理界面；支持网络通信状态诊断，对设备鉴权服务、注册服务、呼叫状态、通信带宽、音视频及双流网络质量进行分析判断；支持呼叫中，与会人员发言时，如果麦克风本地静音，终端在屏幕上显示麦克风静音提示，提示发言者取消麦克风静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支持通过遥控器对设备进行重启、休眠等操作；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支持通过Web界面进行呼叫，并且可以设置呼叫协议及呼叫带宽，在Web界面可以对呼叫历史进行查询；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支持远端摄像机控制功能；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支持通过Web界面控制摄像头的转动和变焦，并且可以在Web界面对摄像头图像进行预览；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终端必须具备很高的安全特性，具备内置AES加密功能，每次呼叫都自动生成不同的加密钥匙。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要求：三年原厂质保，包括主机、摄像头、麦克风和遥控器等。投标时必须提供原厂授权书及质保函原件（盖鲜章）。</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视频会议高清摄像机，支持1080p60fps输出，1/2.8英寸CMOS传感器。12×光学变焦，视角：6.3°（窄角）~72.5°（广角），等效焦距：f=3.9~46.1mm，光圈：F1.8~2.4，三年质保；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非OEM或贴牌产品，与视频会议协同通讯平台、视频会议终端、全向数字麦克风、多接口模块保持同一品牌；</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多接口视频模块</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多视频接口模块，支持3×视频输入（含RS232，可连接高清摄像机或其它视频源），2×视频输出（1路含RS232，1路镜像输出），三年原厂质保；含电源模块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非OEM或贴牌产品，与视频会议协同通讯平台、视频会议终端、摄像机、全向数字麦克风保持同一品牌；</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倒装（或壁装）支架，三年原厂质保</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软终端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与视频会议终端为同一品牌，三年原厂质保</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交换机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(24个10/100/1000BASE-T以太网端口,4个千兆SFP,交流供电)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交换容量≥336Gbps/3.36Tbps，包转发率≥51/126Mpps</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存储服务器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1、国内知名品牌，2U机架式服务器；</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2、</w:t>
            </w:r>
            <w:r>
              <w:rPr>
                <w:rStyle w:val="261"/>
                <w:rFonts w:hint="default"/>
                <w:lang w:bidi="ar"/>
              </w:rPr>
              <w:t>处理器配置数量≥2颗Intel Xeon Gold 5218；单颗主频: ≥2.3GHz，≥16核，L3缓存≥22MB；</w:t>
            </w:r>
            <w:r>
              <w:rPr>
                <w:rFonts w:ascii="宋体" w:hAnsi="宋体" w:cs="宋体"/>
                <w:color w:val="000000"/>
                <w:kern w:val="0"/>
                <w:sz w:val="20"/>
                <w:szCs w:val="20"/>
              </w:rPr>
              <w:t>；</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含</w:t>
            </w:r>
            <w:r>
              <w:rPr>
                <w:rFonts w:ascii="宋体" w:hAnsi="宋体" w:cs="宋体"/>
                <w:color w:val="000000"/>
                <w:kern w:val="0"/>
                <w:sz w:val="20"/>
                <w:szCs w:val="20"/>
              </w:rPr>
              <w:t>操作系统：windows server 2012；数据库：SQL server 2008 企业版</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4、配置至少8条DDR4 Registered DIMM 32GB 2666/2933MHz，最大支持24个内存插槽；</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5、配置至少2*GE电口+2*10GE光口；</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6、配置至少1块Raid卡；</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7、配置至少3*2.4TB SAS 10K 硬盘，最大支持配置8块2.5inch托架的SATA/SAS硬盘；</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8、集成BMC管理模块，支持IPMI、SOL、KVM Over IP、虚拟媒体等管理特性，对外提供1个10/100Mbps RJ45管理网口；</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9、冗余电源，冗余风扇；</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质保五年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849" w:type="pct"/>
            <w:gridSpan w:val="6"/>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5.2新楼小会议室</w:t>
            </w:r>
          </w:p>
        </w:tc>
        <w:tc>
          <w:tcPr>
            <w:tcW w:w="151" w:type="pct"/>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符合ITU的H.323以及IETF的SIP标准；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非OEM或贴牌产品，与视频会议协同通讯平台、高清摄像机、多接口模块保持同一品牌；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采用分体式结构设计，摄像机与主机可分离安装；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终端采用为嵌入式操作系统，非PC结构不受电脑病毒感染；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视频终端至少具备2路高清视频输入接口，接口支持HDMI和VGA并且摄像机到终端主机接口线缆是3个：信号、控制、电源必须分开；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视频终端至少具备2路高清视频输出接口，接口支持HDMI；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至少3路音频输入，可接入包括全向数字麦克风、线性电平及双流音频输入；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至少2路音频输出，支持线性电平输出可连接调音台等音频设备；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需提供和终端统一品牌高清摄像机，指标要求：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支持1920x1080p50帧/秒的高清视频输出。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至少12倍光学变焦倍数；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具备RS232或VISCA控制接口，可以接入上述高清终端，通过终端进行摄像机控制，或接入中控系统进行集中控制；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摄像机支持倒装，可根据需求进行设置，倒装时图像可以自动进行翻转；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摄像机至少支持10个预置位，在TVUI上可以对每个预置位进行图像预览；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需提供和终端统一品牌全向拾音麦克风，指标要求：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360度全向数字式麦克风，拾音半径不小于6米；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麦克风需具备触摸式静音按键及指示灯；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具备抗GSM手机干扰功能；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视频编解码算法，应符合ITUH.263、H.264BaseLine、H.264HighProfile标准；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图像格式应支持CIF、4CIF、360p、720p、1080p等格式；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支持1280x720p25帧/秒、1920×1080p25帧/秒以及1920×1080p50帧/秒的高清效果。可在2Mbps带宽实现1920×1080p50帧/秒高清会议；可在1Mbps带宽实现1280x720p50帧/秒高清会议；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支持在60%网络丢包的环境下，音频清晰连贯，视频图像清晰流畅；支持在80%网络丢包的环境下，音频清晰连贯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终端应支持单屏模拟双显、模拟三显和双屏双显等功能，可以根据TVUI提示通过遥控器进行多种分屏布局的调整；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支持ITU-TH.239和IETFBFCP标准；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在传输主路视频图像的同时可以再传输第二路视频，主路图像达到1080p50帧/秒效果的同时辅路图像可达1080p25帧/秒效果；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支持HDMI和VGA双流输入接口，可以满足多种电脑类型。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遥控器支持实体双流按键，可以“一键”发送或停止双流。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支持通过TVUI设置呼叫带宽、自动应答等功能，方便用户使用；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支持自动预配置，开机之后可以自动寻找预配置服务器，配置统一由服务器端下发，终端无需进行任何配置；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支持在线升级，终端可以自动通过预配置自动获取升级服务器地址或手动指定升级服务器地址，并且在TVUI上有升级提醒，通过遥控器点击提醒即可自动升级；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支持本地升级，通过web界面对终端进行软件版本的升级；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支持在TVUI上通过遥控器反馈终端的故障问题，包括呼叫问题、音视频问题、配置问题、升级问题等内容；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支持中文WEB界面、中文管理界面；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网络通信状态诊断，对设备鉴权服务、注册服务、呼叫状态、通信带宽、音视频及双流网络质量进行分析判断；支持呼叫中，与会人员发言时，如果麦克风本地静音，终端在屏幕上显示麦克风静音提示，提示发言者取消麦克风静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支持通过遥控器对设备进行重启、休眠等操作；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支持通过Web界面进行呼叫，并且可以设置呼叫协议及呼叫带宽，在Web界面可以对呼叫历史进行查询；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支持远端摄像机控制功能；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支持通过Web界面控制摄像头的转动和变焦，并且可以在Web界面对摄像头图像进行预览；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终端必须具备很高的安全特性，具备内置AES加密功能，每次呼叫都自动生成不同的加密钥匙。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要求：三年原厂质保，包括主机、摄像头、麦克风和遥控器等。投标时必须提供原厂授权书及质保函原件（盖鲜章）。</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倒装（或壁装）支架，原厂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5.3手术室、胃镜室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符合ITU的H.323以及IETF的SIP标准；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非OEM或贴牌产品，与视频会议协同通讯平台、高清摄像机、多接口模块保持同一品牌；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采用分体式结构设计，摄像机与主机可分离安装；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终端采用为嵌入式操作系统，非PC结构不受电脑病毒感染；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视频终端至少具备2路高清视频输入接口，接口支持HDMI和VGA并且摄像机到终端主机接口线缆是3个：信号、控制、电源必须分开；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视频终端至少具备2路高清视频输出接口，接口支持HDMI；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至少3路音频输入，可接入包括全向数字麦克风、线性电平及双流音频输入；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至少2路音频输出，支持线性电平输出可连接调音台等音频设备；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需提供和终端统一品牌高清摄像机，指标要求：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支持1920x1080p50帧/秒的高清视频输出。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至少12倍光学变焦倍数；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具备RS232或VISCA控制接口，可以接入上述高清终端，通过终端进行摄像机控制，或接入中控系统进行集中控制；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摄像机支持倒装，可根据需求进行设置，倒装时图像可以自动进行翻转；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摄像机至少支持10个预置位，在TVUI上可以对每个预置位进行图像预览；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需提供和终端统一品牌全向拾音麦克风，指标要求：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360度全向数字式麦克风，拾音半径不小于6米；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麦克风需具备触摸式静音按键及指示灯；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具备抗GSM手机干扰功能；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视频编解码算法，应符合ITUH.263、H.264BaseLine、H.264HighProfile标准；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图像格式应支持CIF、4CIF、360p、720p、1080p等格式；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支持1280x720p25帧/秒、1920×1080p25帧/秒以及1920×1080p50帧/秒的高清效果。可在2Mbps带宽实现1920×1080p50帧/秒高清会议；可在1Mbps带宽实现1280x720p50帧/秒高清会议；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支持在60%网络丢包的环境下，音频清晰连贯，视频图像清晰流畅；支持在80%网络丢包的环境下，音频清晰连贯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终端应支持单屏模拟双显、模拟三显和双屏双显等功能，可以根据TVUI提示通过遥控器进行多种分屏布局的调整；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支持ITU-TH.239和IETFBFCP标准；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在传输主路视频图像的同时可以再传输第二路视频，主路图像达到1080p50帧/秒效果的同时辅路图像可达1080p25帧/秒效果；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支持HDMI和VGA双流输入接口，可以满足多种电脑类型。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遥控器支持实体双流按键，可以“一键”发送或停止双流。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支持通过TVUI设置呼叫带宽、自动应答等功能，方便用户使用；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支持自动预配置，开机之后可以自动寻找预配置服务器，配置统一由服务器端下发，终端无需进行任何配置；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支持在线升级，终端可以自动通过预配置自动获取升级服务器地址或手动指定升级服务器地址，并且在TVUI上有升级提醒，通过遥控器点击提醒即可自动升级；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支持本地升级，通过web界面对终端进行软件版本的升级；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支持在TVUI上通过遥控器反馈终端的故障问题，包括呼叫问题、音视频问题、配置问题、升级问题等内容；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中文WEB界面、中文管理界面；支持网络通信状态诊断，对设备鉴权服务、注册服务、呼叫状态、通信带宽、音视频及双流网络质量进行分析判断；支持呼叫中，与会人员发言时，如果麦克风本地静音，终端在屏幕上显示麦克风静音提示，提示发言者取消麦克风静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支持通过遥控器对设备进行重启、休眠等操作；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支持通过Web界面进行呼叫，并且可以设置呼叫协议及呼叫带宽，在Web界面可以对呼叫历史进行查询；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支持远端摄像机控制功能；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支持通过Web界面控制摄像头的转动和变焦，并且可以在Web界面对摄像头图像进行预览；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终端必须具备很高的安全特性，具备内置AES加密功能，每次呼叫都自动生成不同的加密钥匙。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要求：三年原厂质保，包括主机、摄像头、麦克风和遥控器等。投标时必须提供原厂授权书及质保函原件（盖鲜章）。</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高清摄像机支架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倒装（或壁装）支架，原厂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有源音箱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系统类型：单4.5寸全频扬声器；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频率响应：150Hz-16kHz(±3dB)/140Hz-17kHz(-10dB)；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灵敏度：93dB；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标称阻抗：8Ω；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额定功率：60W；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全频单元：1×4.5"；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标称覆盖角(H×V)：60°×60°；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最大声压级(连续/峰值)：109dB/115dB；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连接件：1×SPEAKON四芯音箱插座1+1-；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吊挂硬件：M8吊点×4，M8支架孔；</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无线话筒</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1.U段胸麦双接收无线话筒（心型指向）；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2.射频载波范围(UHF)：优于等于603~935MHZ；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3.工作距离：理想条件下90M；搜频设置：内置传输频率搜索功能；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4.制式：FM调频；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5.预设通道：≥32；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6.频响范围：优于等于45HZ~18KHZ(±3dB)；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7.频带宽度：≥120MHZ；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8.系统失真/THD总谐波失真&lt;0.7@1KHZ%；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9.信噪比：&gt;105dB（A）；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10.电源要求：100-240V；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11.工作温度范围：0-50℃；AC50/60HZ,10W</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天线分配器</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1.带有4个独立输出直流电源,供电4套无线接收机可以多台分配器级联使用；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2.采用低噪声及低互调失真设计，排除混频干扰；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3.2个BNC座定向天线输入口；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4.频率范围：优于等于470~960MHz；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5.系统抗阻：50欧姆；原厂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话筒天线</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1.频率范围：优于等于470~1000MHz；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2.天线增益：≥7.5dBi；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3.内部放大器增益：-4dB~11dB可调节；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4.3dB波速宽：垂直面≥90°，水平面≥120°；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5.系统抗阻：50欧姆；原厂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24寸窄边，原厂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502"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移动机柜</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可移动机柜，放置功放、音箱、视频终端、显示器等，22U机柜，原厂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6、舞台灯光系统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一顶光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光源：61颗3W（R21，G14，B14，W12）LED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出光角度：25°/45°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控制模式：声控，自走，主从，DMX512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DMX通道：5/8个通道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安装方式：嵌入式天花嵌扣，提手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天花嵌扣开孔尺寸：260mm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天花嵌扣可调角度：0~80°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工作环境温度：最高不超过40°C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IP防护等级：IP20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表面材质：阻燃ABS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开孔尺寸：标准260mm直径圆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具须配合天花嵌扣嵌入式安装于天花板，投光角度可调（垂直0-80°），且嵌入式灯具须提供可调角度的嵌入式专利；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外观材料：防火ABS塑料，整机白色，塑料外壳必须是采用符合UL94V-1防火等级级别的工程阻燃形材质。原厂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嵌入式LED面板会议灯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额定电压：AC100~240V，50/60Hz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功耗：200W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光源：802颗0.5W高显高亮LED贴片灯珠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显色指数：CRI≥93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光束角度：120°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色温：标配【双色温3200K+5600K】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控制通道:双色温4CH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中心照度：≥600Lux【3米4000K】，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显示:四位数码管+点阵式按键操作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调光:DMX512调光，独立电子线性调光；高达65535位级别的曲线调光模式，让调光过程中，无闪烁、抖动，跳变，调光换色更柔和，摄像更清晰真实</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频闪：0-30Hz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协议：DMX512、RDM协议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光学:原装进口PS扩散柔光板,保证&gt;90%的透光率的同时光柔和饱满。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优点:无风机完全静音设计,该LED平板灯作为新型节能灯代表,具有超薄、节能、寿命长、亮度高、无辐射、无频闪,整体处于完全密封的状态,面板和机身合为一体。整机采用铝型材的机箱,散热效果好,使用寿命也会因此更长。该灯采用高亮度贴片灯珠大面积矩阵排列，亮度高，静音能满足室内外影视拍摄对灯光布光要求。是传统三基色很好的替代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材料工艺:铝型材+钣金。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冷却系统:铝型材自然散热，无风机设计。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开孔尺寸:510×320mm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显色指数：CRI≥95，R9I≥95，中心照度：≥513Lux【3米4000K】；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调光须带调光旋钮+点阵式按键；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散热系统：无风机设计。原厂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一逆光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光源：61颗3W（R21，G14，B14，W12）LED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出光角度：25°/45°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控制模式：声控，自走，主从，DMX512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DMX通道：5/8个通道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180WLED摇头图案灯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光源：1颗150W白光LED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光束角度：13°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图案白光色温：8500K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颜色盘：7种颜色+白光带半色，流水效果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图案盘：8种图案+白光带图案抖动效果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玻璃图案：6玻璃图案+白光带旋转效果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调焦：调焦范围3-30m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棱镜：一个三棱镜，可旋转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X/Y轴旋转：X轴540°/Y轴150°，旋转速度可调节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DMX通道：13个通道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DMX接口：2×Rj45（输入和输出），2×XLR（输入和输出）与LED帕灯同一品牌；灯具须配合天花嵌扣嵌入式安装于天花板，投光角度可调，且嵌入式灯具须提供可调角度的嵌入式专利。原厂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二顶光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光源：61颗3W（R21，G14，B14，W12）LED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出光角度：25°/45°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控制模式：声控，自走，主从，DMX512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DMX通道：5/8个通道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嵌入式LED面板会议灯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额定电压：AC100~240V，50/60Hz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功耗：200W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光源：802颗0.5W高显高亮LED贴片灯珠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显色指数：CRI≥93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光束角度：120°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色温：标配【双色温3200K+5600K】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控制通道:双色温4CH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中心照度：≥600Lux【3米4000K】，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显示:四位数码管+点阵式按键操作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调光:DMX512调光，独立电子线性调光；高达65535位级别的曲线调光模式，让调光过程中，无闪烁、抖动，跳变，调光换色更柔和，摄像更清晰真实</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二逆光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光源：61颗3W（R21，G14，B14，W12）LED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出光角度：25°/45°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控制模式：声控，自走，主从，DMX512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DMX通道：5/8个通道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180WLED摇头光束灯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光源：1颗150W高亮度LED白光灯珠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光束角度：3°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图案白光色温：7000K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颜色盘：13种颜色+白光带半色，流水效果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图案盘：12种图案+白光带图案抖动效果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调焦：调焦范围3-30m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棱镜：一个蜂窝棱镜，可正反旋转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雾化：一个雾化镜片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X/Y轴旋转：X轴540°/Y轴150°，旋转速度可调节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控制模式：自走，主从，DMX512、RDM功能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DMX通道：13个通道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左右侧光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嵌入式LED全彩PAR灯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光源：61颗3W（R21，G14，B14，W12）LED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出光角度：25°/45°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控制模式：声控，自走，主从，DMX512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DMX通道：5/8个通道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180WLED摇头光束灯</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功耗：180W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光源：1颗150W高亮度LED白光灯珠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光源寿命：60000小时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光束角度：3°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图案白光色温：7000K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颜色盘：13种颜色+白光带半色，流水效果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图案盘：12种图案+白光带图案抖动效果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调焦：调焦范围3-30m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棱镜：一个蜂窝棱镜，可正反旋转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雾化：一个雾化镜片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X/Y轴旋转：X轴540°/Y轴150°，旋转速度可调节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控制模式：自走，主从，DMX512、RDM功能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DMX通道：13个通道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DMX接口：2×Rj45（输入和输出），2×XLR（输入和输出）原厂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宋体" w:hAnsi="宋体" w:cs="宋体"/>
                <w:b/>
                <w:bCs/>
                <w:color w:val="000000"/>
                <w:kern w:val="0"/>
                <w:sz w:val="20"/>
                <w:szCs w:val="20"/>
              </w:rPr>
            </w:pPr>
            <w:r>
              <w:rPr>
                <w:rFonts w:hint="eastAsia" w:ascii="宋体" w:hAnsi="宋体" w:cs="宋体"/>
                <w:b/>
                <w:bCs/>
                <w:color w:val="000000"/>
                <w:kern w:val="0"/>
                <w:sz w:val="20"/>
                <w:szCs w:val="20"/>
              </w:rPr>
              <w:t>面光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嵌入式LED冷暖面光灯（双色温）</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电源：输入AC100-240V，50-60Hz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功耗：100W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光源：1颗100W（暖白3200K+冷白6500K）COBLED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光源寿命：50000小时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控制面板：四位数码管+4个按键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控制模式：自走，主从，DMX512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DMX通道：5个通道DMX接口：2×Rj45（输入和输出），2×XLR（输入和输出）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调光：0-100%线性调光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频闪：频闪速度最快20次每秒灯具须配合天花嵌扣嵌入式安装于天花板，垂直投光角度：0-80°。原厂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000" w:type="pct"/>
            <w:gridSpan w:val="7"/>
            <w:shd w:val="clear" w:color="auto" w:fill="auto"/>
            <w:noWrap/>
            <w:vAlign w:val="center"/>
          </w:tcPr>
          <w:p>
            <w:pPr>
              <w:widowControl/>
              <w:spacing w:line="240" w:lineRule="auto"/>
              <w:ind w:firstLine="0" w:firstLineChars="0"/>
              <w:jc w:val="left"/>
              <w:rPr>
                <w:rFonts w:ascii="Times New Roman" w:hAnsi="Times New Roman" w:eastAsia="Times New Roman" w:cs="Times New Roman"/>
                <w:kern w:val="0"/>
                <w:sz w:val="20"/>
                <w:szCs w:val="20"/>
              </w:rPr>
            </w:pPr>
            <w:r>
              <w:rPr>
                <w:rFonts w:hint="eastAsia" w:ascii="宋体" w:hAnsi="宋体" w:cs="宋体"/>
                <w:b/>
                <w:bCs/>
                <w:color w:val="000000"/>
                <w:kern w:val="0"/>
                <w:sz w:val="20"/>
                <w:szCs w:val="20"/>
              </w:rPr>
              <w:t>外围设备及控制系统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专业控制台</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DMX512/1990标准，最大1024个DMX控制通道，四路光电隔离信号输出。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最大控制96台电脑灯或96路调光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使用珍珠灯库（R20格式灯库），且控台上可自行编写灯库。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带背光的LCD显示屏，首创的中英文显示可切换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内置图形轨迹发生器，有135个内置图形，方便用户对电脑灯进行图形轨迹控制，如画圆、螺旋、彩虹、追逐等多种效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图形参数（如：振幅、速度、间隔、波浪、方向）均可独立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设置，更方便快捷的做出想要的造型和场景。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每个场景可保存图形数量5个；同时可运行图形数量10个。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可储存60个素材，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支独享素材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可储存60个重演场景，用于储存多步场景和单步场景。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每个多步场景最多可储存600个单步。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可同时输出和运行10个重演场景。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带10根集控推杆。按键点控和推杆集控兼容。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支持重新配节地址码、垂直水平交换、通道输出反向等功能。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关机或者突发断电等情况数据可记忆保持。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U盘可备份控台数据，并支持重新导入到控台使用。原厂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信号放大器</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额定电压:AC110V～240V，50/60Hz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路数：1路输入，8路输出</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智能数字电柜</w:t>
            </w:r>
          </w:p>
        </w:tc>
        <w:tc>
          <w:tcPr>
            <w:tcW w:w="2933" w:type="pct"/>
            <w:shd w:val="clear" w:color="auto" w:fill="auto"/>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供电：三相AC380V±10％，频率50Hz±5％。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15路40A胶木插输出；（3芯带接地）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模式选择：A开机执行、B延时执行、C立即执行三种模式；原厂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线材</w:t>
            </w:r>
          </w:p>
        </w:tc>
        <w:tc>
          <w:tcPr>
            <w:tcW w:w="2933" w:type="pct"/>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3*4m²阻燃电缆，原厂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二、信息发布系统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多媒体信息发布软件</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1、可播放各种格式的图片、文档、FLASH、网页及音视频。支持同时叠加多个元素同时播放。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2、立体声、双道，支持MP3,AC3,PCM,WMA等格式。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3、图像明亮清晰，不受显示屏尺寸大小限制可满屏播放，视频播放连续，无动画和马赛克，画面流畅。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4、每个液晶屏幕上可以播放不同的节目，每个液晶屏幕上可以自由分割出多画面同时播放，支持各种高清播放格式文件。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5、可以指定空闲时间发布，宽带占用率低，不会影响正常的网络办公。在网络断开或服务器瘫痪的条件下，不影响显示端的正常播放。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6、可通过制定、编辑节目播放列表，网络管理播放顺序。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7、播放列表设定多个媒体内容的播放时间次序。可定时播放、指定时间播放、随时插播，可以对发布时间（开始，持续，结束）、发布顺序等进行编制和定义管理。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显示屏幕划分成多个区域，每个区域可根据需求播放不同的多媒体节目，可设置不同大小。可以利用系统中提供的固定模版，也可以通过系统的模版制作模块，自己任意拖拉制作新的分割画面模版。可预定所有区域的播放日期和时间，也可对每个区域设定一个独立的播放时间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9、系统提供多种不同的屏幕划分显示模版供选择，同时还可以自己编辑新的布局模版，这些布局可以作为模板，在节目编排时使用。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10、可以随时随地的向各显示播放端发布“滚动字幕（跑马灯信息）”，而且“滚动字幕”的字体类型、大小、颜色、滚动速度与位置都允许调整。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11、具有紧急信息和临时信息的插入播放功能，紧急信息或临时播放完毕能够自动切换到原播放节目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★12、具备音效调节、可以在主控端自主控制多媒体音效（为确保软件的音效调节功能为最佳状态且自主可控，需提供音效调节软件著作权登记证书和软件测试产品测试报告复印件并盖投标人公章）。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13、对所有显示终端设备进行有效的管理，包括IP管理、时间校对管理、显示终端分组管理等；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14、对系统的用户及用户组、发布点及发布组、多级管理等功能进行权限的设置，以方便系统的管理及维护。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15、播出单审核功能：系统具备播出单审核与预览功能，操作员编辑后的播出单，需要通过对应的审核员进行审核，审核后的播出单才能进行发布，审核部通过的进行打回，通过站内消息通知操作员。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媒体发布终端具备一定的存储能力，可支持本地离线的发布，保证遇紧急情况时，所有显示屏都可正常播出本地节目。在正常网络播放过程中，由于意外状况导致网络中断，媒体发布终端会自动切换至本地的默认应急节目程序，待网络恢复正常后，系统会自动切换到网络程序断点续播。对于离线播放终端：终端在工作时间一直处于播放状态，它采取边下载边播放的模式。只有新任务下载成功，才会执行新的播放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17、实时查看各终端的网络联机状态监控其运行情况，提供播放日志，管理人员可以直接浏览、查询和导出。日志文件的数据包括播放文件的时间信息及次数、文件下载时间、开关机时间等等；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支持远程设置终端的定时播放/音量/重启功能，当终端出现异常情况，系统可远程重启终端播放器，使之恢复正常。支持远程升级，可通过网络进行智能软件升级，无需到现场进行操作；可对所有终端实施分组管理模式，同一组的终端可以进行统一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★需提供医疗多媒体信息服务平台应用软件著作权证书和软件产品登记测试报告复印件并盖投标人公章。原厂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43寸商显一体机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1、材质：全钢背板，钢化玻璃防护；安装：横竖壁挂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2、型号尺寸:43寸，屏显比例:16:9，分辨率:1920*1080，背光类型:LED，亮度:350cd/m²，屏色数:16.7M，对比度：1000：1，可视角度:全视角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3、CPURK3128(可选3228/3288)，四核ARM-A7，1.3GHz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4、GPUMali-400MP2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5、内存DDR1GB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6、内置存储器EMMC8G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7、操作系统Android4.4.4和Android7.1.2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8、解码分辨率最高支持1080P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9、支持视频格式RM/RMVB，MKV，TS，FLV，AVI，VOB，MOV，WMV，MP4等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10、支持图片格式BMP、JPEG、PNG、GIF等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11、支持循环、定时、插播等多种播放模式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12、支持以太网、WiFi（BT可选）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13、支持RTC实时时钟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14、支持定时开关机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15、系统升级支持网络升级、USB/TF卡升级、电脑升级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16、接口：RJ45*1，HDMI*1,USB≥2，MIC*1串口3个/2个TTL电平串口，1个调试串口，I2C1个，I2C接口（3.3V），IO口4个，IO接口（3.3V）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17、存储卡TF存储卡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18、遥控控制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19、以太网10M/100M自适应以太网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20、喇叭支持喇叭接口，最高支持两个8Ω5W喇叭输出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21、声效：内置立体音效系统，让声音具有方位感和分布感，可以清晰听到播报信息；原厂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55寸商显一体机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1、材质：全钢背板，钢化玻璃防护；安装：横竖壁挂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2、型号尺寸:55寸，屏显比例:16:9，分辨率:1920*1080，背光类型:LED，亮度:350cd/m²，屏色数:16.7M，对比度：1000：1，可视角度:全视角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3、CPURK3128(可选3228/3288)，四核ARM-A7，1.3GHz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4、GPUMali-400MP2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5、内存DDR1GB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6、内置存储器EMMC8G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7、操作系统Android4.4.4和Android7.1.2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8、解码分辨率最高支持1080P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9、支持视频格式RM/RMVB，MKV，TS，FLV，AVI，VOB，MOV，WMV，MP4等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10、支持图片格式BMP、JPEG、PNG、GIF等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11、支持循环、定时、插播等多种播放模式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12、支持以太网、WiFi（BT可选）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13、支持RTC实时时钟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14、支持定时开关机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15、系统升级支持网络升级、USB/TF卡升级、电脑升级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16、接口：RJ45*1，HDMI*1,USB≥2，MIC*1串口3个/2个TTL电平串口，1个调试串口，I2C1个，I2C接口（3.3V），IO口4个，IO接口（3.3V）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17、存储卡TF存储卡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18、遥控控制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19、以太网10M/100M自适应以太网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20、喇叭支持喇叭接口，最高支持两个8Ω5W喇叭输出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21、声效：内置立体音效系统，让声音具有方位感和分布感，可以清晰听到播报信息；原厂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高清网络播放器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1.CPURK3128，四核ARM-A7，1.3GHz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2.GPUMali-400MP2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3.内存DDR1GB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4.内置存储器EMMC8G（16G/32G可选)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5.操作系统Android4.4.4和Android7.1.2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6.解码分辨率最高支持1080P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7.视频格式支持RM/RMVB，MKV，TS，FLV，AVI，VOB，MOV，WMV，MP4等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8.图片格式支持BMP、JPEG、PNG、GIF等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9.播放模式支持循环、定时、插播等多种播放模式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10.网络支持支持以太网、WiFi（BT可选）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11.RTC实时时钟支持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12.定时开关机支持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13.系统升级支持网络升级、USB/TF卡升级、电脑升级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14.电源12V/DC输入口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15.HDMIHDMI1.4最高支持1080P@60HZ输出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16.LVDS双路8位LVDS最高支持1920X1080输出，不支持HDMI输出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17.MIPIMIPI-DSI-40PIN-FPC最高支持1200*1920输出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18.USB≥2（HOSTUSB，OTGUSB）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19.支持扩展TF存储卡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20.串口3个/2个TTL电平串口，1个调试串口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21.I2C1个，I2C接口（3.3V）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22.IO口4个，IO接口（3.3V）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23.以太网10M/100M自适应以太网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24.无线网络支持WIFI-2.4G(可扩展BT-4.0)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25.音频支持左右声道，MIC接口</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服务器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1、国内知名品牌，2U机架式服务器；</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2、</w:t>
            </w:r>
            <w:r>
              <w:rPr>
                <w:rStyle w:val="261"/>
                <w:rFonts w:hint="default"/>
                <w:lang w:bidi="ar"/>
              </w:rPr>
              <w:t>处理器配置数量≥2颗Intel Xeon Gold 5218；单颗主频: ≥2.3GHz，≥16核，L3缓存≥22MB</w:t>
            </w:r>
            <w:r>
              <w:rPr>
                <w:rFonts w:hint="eastAsia" w:ascii="宋体" w:hAnsi="宋体" w:cs="宋体"/>
                <w:color w:val="000000"/>
                <w:kern w:val="0"/>
                <w:sz w:val="20"/>
                <w:szCs w:val="20"/>
              </w:rPr>
              <w:t>；</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3、含操作系统：windows server 2012专业版、数据库：SQL server 2008 企业版；</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 xml:space="preserve">4、配置至少8条DDR4 Registered DIMM 32GB </w:t>
            </w:r>
            <w:r>
              <w:rPr>
                <w:rFonts w:ascii="宋体" w:hAnsi="宋体" w:cs="宋体"/>
                <w:color w:val="000000"/>
                <w:kern w:val="0"/>
                <w:sz w:val="20"/>
                <w:szCs w:val="20"/>
              </w:rPr>
              <w:t>2666/</w:t>
            </w:r>
            <w:r>
              <w:rPr>
                <w:rFonts w:hint="eastAsia" w:ascii="宋体" w:hAnsi="宋体" w:cs="宋体"/>
                <w:color w:val="000000"/>
                <w:kern w:val="0"/>
                <w:sz w:val="20"/>
                <w:szCs w:val="20"/>
              </w:rPr>
              <w:t>2933MHz，最大支持24个内存插槽；</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5、配置至少2*GE电口+2*10GE光口；</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6、配置至少1块Raid卡；</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7、配置至少2*900G SAS 10K 硬盘，最大支持配置8块2.5inch托架的SATA/SAS硬盘；</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8、集成BMC管理模块，支持IPMI、SOL、KVM Over IP、虚拟媒体等管理特性，对外提供1个10/100Mbps RJ45管理网口；</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9、冗余电源，冗余风扇；</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五年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三、病房电视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电视机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1、屏体类型：全面屏、直下式背光、LED背光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2、显示尺寸55英寸，显示比例16:9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3、55英寸分辨率≥3840*2160，对比度3500-5000:1(TYP)，亮度≥240cd/㎡，刷屏率≥60Hz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4、可视角度≥178°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5、喇叭具备杜比音效，输出功率≥10W*2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6、具备全功能接口端子：2路USB2.0、2路HDMI2.1接口、RF接口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7、ROM：≥16GB;RAM≥2GB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8、待机功率：≤0.3W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7、操作系统：安卓9.0操作系统。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8、支持蓝牙功能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9、支持远场语音功能</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10、可播放模拟信号源</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136</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电视机挂架、线缆</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适用于60寸以下的挂架和电视信号线缆</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136</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四、6层2个小会议室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电子白板多功能一体机</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包含OPS模块电脑、壁挂式视频展台、白板软件、投屏软件。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电子白板多功能一体机：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1.显示尺寸：86英寸；显示比例16:9，可视角度≥178°，具备防眩光效果；贴合技术：0贴合。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2.★触控技术：支持Windows系统中最大20点触控，Android系统中最大16点触控，并提供CNAS、CMA认证机构提供的检测报告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3.屏幕分辨率：3840×2160，支持4K极清显示。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4.屏幕对比度1200：1，亮度≥350cd/m²，颜色深度10bit，显示灰度等级1024,。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5.为保证屏幕可达到和大部分物质摩擦不会产生划痕，要求所投交互式智能平板产品表面硬度达到9H及以上等级。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6.为保障所投设备质量优异，可靠性高，要求所投设备平均故障间隔时间（MTBF）不低于190000小时。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7.提供产品CCC证书复印件，提供中国节能产品认证证书。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8.自带扬声器数量≥2个，每个扬声器功率额定功率15W,。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9.主屏机身与插拔式电脑的接口为行业标准的80pinOPS-C接口，不接受企业私有接口。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10.整机前面板具有手写笔磁吸区域，具备双通道USB接口≥3组，type-C接口≥1组，需同时支持Windows与Android。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11.整机后置接口HDMIin≥2组，RS232≥1组，USB≥1组，TouchUSB≥1组，Audioin≥1组，Audioout≥1组。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12.要求整机内置非独立外扩展的摄像头，可拍摄不低于800万像素的照片。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13.要求整机内置非独立外扩展的麦克风，可用于一键录屏对音频进行采集。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14.大屏支持2.4G/5G双频wifi，支持802.11ac，并且支持释放热点。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15.在Windows系统4K分辨率下，通过书写加速技术，使用教学软件书写延迟时间≤50ms。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16.为方便不同身高教师使用，屏幕显示画面可通过手势交互实现任意大小缩放，且缩放画面支持拖动至任意位置，在缩放画面内可进行触控操作。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17.内置Android系统，要求系统版本Android8.0或以上。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18.内置Android系统，具备3G运行内存，16G系统存储空间.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OPS电脑：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1.采用OPS-C模块化电脑方案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2.接口严格遵循Intel相关规范,针脚数为标准80Pin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3.要求至少搭载Inteli5八代CPU或以上；8GDDR4运行内存或以上；512GSSD固态硬盘或以上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4.至少提供7个USB接口，其中至少4个为USB3.0接口，2个为USB2.0接口，1个Type-C接口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5.视频输出接口：HDMI≥1个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6.支持2.4G/5G双频wifi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7.所投设备具备隐藏式Reset按钮，可实现重启复位功能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8.为防止公共资源的丢失，要求所投设备具备防盗锁功能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9.为保证兼容性，和后期维护便捷性，要求OPS与大屏必须为同一品牌。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10.支持4k清晰度高清视频流畅解码播放，支持显示信号输出到4K显示器上；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11.USB外设全兼容，如USB存储、Ukey、高拍仪、扫描仪等，均可识别兼容；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12.为保障所投设备质量优异，可靠性高，要求所投设备平均故障间隔时间（MTBF）≥200000小时。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13.要求系统支持IDV桌面虚拟化，支持对终端系统的远程管理。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14.要求具备远程恢复系统功能。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15.要求所投设备具备远程关闭终端功能。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16.要求支持完全离线模式，即在服务器连接中断时，正在操作的办公业务不受影响，依然可使用当前操作系统继续开展业务，打开的程序也不会中断，保障业务连续性。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17.要求支持终端显卡透传，能够将终端物理显卡透传至虚拟机中，支持部分对物理显卡有要求场景，如基础3D软件(CAD2016、3dmax)的运行。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18.要求终端系统损坏无法使用时，能够通过web管理端进行系统初始化操作，在数分钟内使终端正常运转。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为方便正版软件的部署和使用，要求支持个性化配置保存功能，在还原桌面的情况下，首次完成软件的逐台注册激活后，可以将激活信息保存至个人数据盘中。之后即使更新镜像模版也不会破坏激活信息，无需重新激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20.所投设备具备隐藏式Reset按钮，可实现重启功能。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21.要求配置桌面虚拟化功能，对接医院现有云桌面管理系统。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壁挂式视频展台：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1.要求壁挂式视频展台，配备机箱锁，防盗防破坏。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2.要求摄像头采用折叠结构设计，托板采用三折叠开合设计，收起后不占用空间。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3.要求整机无锐角设计，防止使用者在使用过程中划伤。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4.要求视频展台配备USB接口，使用一根连接线实现供电和高清数据传输，支持不低于5米传输距离。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5.要求采用1000万像素自动对焦摄像头，可拍摄A4画幅，最高分辨率：3648*2736。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6.要求视频展台采用触摸按键，可以实现一键启动展台软件.放大/缩小画面.画面旋转.展台画面截图.开启关闭补光灯。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7.要求视频展台配备不少于2个USB扩展接口。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8.要求整机自带LED补光灯，在光线不足时可用于补光，保证拍摄画面的亮度。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9.要求软件支持对画面进行放大.缩小.旋转.标注.拍照操作。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10.要求软件支持拍照进行多图对比预览，并且可以对任一图片进行全屏展示。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11.要求软件支持延时拍照功能，预留时间调整拍摄内容，同时有画面锁定功能，将当前画面锁定方便标注。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12.要求软件支持对画面进行实时标注，对标注的笔迹可以选择颜色和笔迹粗细。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13.要求软件自带“橡皮”和“撤销”功能，方便对标注错误的修改。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白板软件：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提供书写白板功能，支持不低于10指书写，书写延迟不高于50ms，板书可更换背景颜色，背景变色时笔迹颜色跟随变化，避免融入背景难以辨识；授课板书自动以文件形式保存，课后可自动分享给参会人员。提供测试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2.白板支持手势漫游、手势橡皮擦，橡皮擦可随擦除速度变化大小，提高擦除效率。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3.支持讲师通过扫描二维码，将手机上的PPT经过云端服务器快速同步到大屏并实现同时打开，并可通过手机遥控PPT翻页，过程中，手机断网、来电等均不影响大屏上正在播放的PPT。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4.可实现参会人员考勤：支持人员扫码签到，讲师及管理人员可实时查看数据。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5.考勤二维码可定时变化、触发式变化，防止参会人员考勤作弊。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6.讲师可通过手动点击头像的方式给参会人员签到，保证未带手机上课参会人员能正常签到。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7.支持补签功能，可以随时调出签到二维码让迟到的参会人员通过二维码扫描签到。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8.考勤中可设置允许新人员加入，也可关闭该功能，防止非本会议人员加入。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9.支持多种分组模式：至少包括随机分组、讲师指定分组、人员自由分组多等方式。提高分组效率，讲师可控制分组，可以随时对分组进行微调，让分组更加可控、科学。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10.参会人员可通过微信直接参与互动，无需下载APP，减轻学员使用负担。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11.授课端自带界面下移功能，避免出现讲师无法触及高处功能按键的情况。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12.支持课上在授课端直接查看完整会议内容章节结构，支持按结构有条理地展示会前和会后的全部线上活动，打通线上线下，无需打开web页面。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13.提问和讨论时，在人员发言过程中，讲师可最小化提问页面，进行PPT翻页或板书，不影响人员发言。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14.支持讲师在一个软件侧边栏随时调用会议培训互动工具、白板批注工具、同步培训模块、课程录制模块、多屏调度模块、投屏模块，无需进行软件切换，聚合式应用，降低讲师的使用难度。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投屏软件：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1.要求移动设备在软件支持下，可实现无线投屏，兼容安卓、iOS、Windows系统，支持移动设备分辨率达1080P；延迟低于250ms，帧率可达25fps；IOS系统设备支持自带的airplay功能进行投屏，无需安装投屏软件类APP。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2.要求IOS、Windows投屏时支持声音。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3.要求支持投屏跨三层网络，三层网络环境下设备无需连接局域网即可投屏，苹果设备需要安装投屏助手实现跨三层投屏。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4.要求支持开启或关闭投屏鉴权，防止误投抢投。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5.要求支持Windows投屏触控回传。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6.要求投屏设备的投屏画面可以自适应大屏呈现显示，投屏镜像可以实现旋转。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7.要求设备可实现无线投屏功能：通过无线AP实现传输，支持802.11b/g/n/ac协议。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8.要求支持截取屏幕画面，保存成果；截屏文件支持带走。</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以上原厂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五、多功能示教屏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智慧屏</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1.设备与现网核心设备兼容，需要被现网会议管理平台设备管理。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2.采用一体化设计，具备内置摄像头、麦克风、扬声器、触摸屏，整体美观、大方，可以提供统一的维保和服务。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3.采用全包裹设计，铝合金机身，标配不少于1个触摸屏，采用零贴合工艺，显示屏尺寸不低于</w:t>
            </w:r>
            <w:r>
              <w:rPr>
                <w:rFonts w:ascii="宋体" w:hAnsi="宋体" w:cs="宋体"/>
                <w:color w:val="000000"/>
                <w:kern w:val="0"/>
                <w:sz w:val="20"/>
                <w:szCs w:val="20"/>
              </w:rPr>
              <w:t>80</w:t>
            </w:r>
            <w:r>
              <w:rPr>
                <w:rFonts w:hint="eastAsia" w:ascii="宋体" w:hAnsi="宋体" w:cs="宋体"/>
                <w:color w:val="000000"/>
                <w:kern w:val="0"/>
                <w:sz w:val="20"/>
                <w:szCs w:val="20"/>
              </w:rPr>
              <w:t>英寸DLED液晶屏。显示屏最大显示分辨率达到4K60Hz,显示比例16:9。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4.要求采用嵌入式国产操作系统,兼容安卓应用。应具备会议音视频硬编解码能力，并采用国产化自主芯片。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5.屏占比≥86%，可视角度≥178°。支持物理防蓝光，内存不小于12G，存储不小于64G。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电子白板触摸精度±1mm，白板书写时延≤25ms。支持拖拉改变两个窗口的大小，支持一侧白板，一侧打开网页或文档，白板和网页分割线可以手动调节。支持内置本地白板功能，实现手写、绘制、擦除、标注、保存、白板缩放、白板锁定等功能，背景颜色可选择更换。须提供第三方权威机构的检验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双人同时书写，支持白板页面放大和缩小。支持触控笔在电子白板上书写时，具有笔锋效果，获得逼真的书写体验，支持根据语音及人脸进行视频图像跟踪，3米区域，放大倍数最大2倍。须提供第三方权威机构的检验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在电子白板上书写时，支持智能书写功能，支持会议协作，与会多方可以同时对一个材料进行共同标注，并可以对他人标注进行修改。白板支持微信等第三方应用扫码带走。支持通过内置邮箱功能，实现将白板内容保存后发送到指定邮箱。支持反向控制功能，支持同时连接20个无线投屏客户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9.支持欢迎屏功能，可以根据需要更换欢迎屏背景，支持信息窗功能，支持画面内容的自定义编辑替换，可以实现多幅画面循环播放。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10.支持自适应全景拍摄功能，系统可根据与会人数及位置自动调整，全景画面应能涵盖所有与会人员，并保证人物居中显示。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11.至少支持1个10M/100M/1000M自适应网络接口，呼叫带宽范围支持64kbps-4Mbps。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12.支持1080P30FPS，720P60FPS，720P30FPS，4CIF30FPS，CIF30FPS等主流视频分辨率。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13.内置摄像机支持4K（3840*2160）30FPS图像格式。内置摄像机水平视场角≥80°，垂直视场角≥50°内置摄像机支持保存和切换≥30个预置位。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14.支持内置麦克风阵列，麦克风数量≥6个，内置麦克风进行前向180°拾音，拾音范围≥10米。内置麦克风支持0.5度音源精准定位、20KHz全频带拾音。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15.支持视频接口：HDMI视频输入*1，HDMI视频输出，支持音频接口：3.5mm音频输入*1、3.5mm音频输出*1、HDAI音频输入*1，支持USBType-A*3(USB3.0*1，USB3.0*2)、USBType-C*1、RJ45*2(COM串口*1，1000M网口*1)，通过转接视为不满足。原厂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安装调试</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原厂软件调试，原厂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六、应急指挥室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MCU扩容许可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多点控制管理单元扩容3路并发许可，主要接入三屏会议系统。要求，要求与北京儿童医院全景三屏会议系统无缝对接，充分保证三屏会议系统与普通高清终端的兼容、与现有视频会议系统完全兼容。原厂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三屏智真</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1.支持H323以及SIP协议，保证产品的开放性和兼容性，需要被现网会议管理系统设备管理，充分保证三屏会议系统与普通高清终端的兼容、与现有视频会议系统完全兼容。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2.采用一体化结构设计，显示屏、摄像机、音箱、麦克风、核心编解码器、控制设备、机架、会议桌一体化连接，无线缆外露，保证整个系统的美观大方。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3.含三台不小于65英寸的液晶显示屏，支持1080P60帧全高清显示，提供3-6人的真人大小显示，屏幕之间的缝隙不高于28mm，多幅图像之间的缝隙应不大于3.7mm。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4.★核心编解码器应采用国产自主编解码芯片，嵌入式操作系统。须提供第三方权威检测机构出具的测试报告证明。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5.★核心编解码器应支持H.265、H.264HP、H.264BP、H.264SVC、H.263等图像编码协议，须提供第三方权威检测机构出具的测试报告证明。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6.支持不少于3台桌面翻转屏用于辅流显示，显示屏尺寸不小于22英寸，支持1080P60帧全高清显示。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7.专用摄像机应为一体化设计，三个镜头组成一个整体，以实现图像的无缝拼接，并且不产生重影。不能是三台单独的摄像机拼凑而成。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8.★支持在H.323协议下，H.235信令加密；支持在SIP下，TLS、SRTP加密；支持AES媒体流加密算法，保证会议安全，加密协议能够和传统会议电视系统互通。须提供第三方权威检测机构出具的测试报告证明。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9.支持SM2、SM3、SM4国密加密算法。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10.支持1080P60帧、1080P30帧、720P60帧、720P30帧、4CIF、CIF视频图像格式传输，确保在各种带宽下提供最佳的视频图像格式。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11.支持AAC_LD、G.711，OPUS，G.722等音频编码协议，需支持双声道立体声功能，应能提供高保真立体声，保证声音的真实还原，并可以从声音辨别发言者方位。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12.提供不少于三个扬声器，以保证最佳的三声道立体声效果，支持不少于六个麦克风接入，每个座席有一个对应的麦克风；麦克风应为嵌入式、隐藏式设计，以免影响整体美观及分散与会人的注意力。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13.通过点击触摸屏上的图标按钮轻松实现双流图像在65寸显示屏上显示，方便辅流图像的观看。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14.用户能够通过触摸屏一键打开或关闭远程呈现系统的各组件，包括显示屏、核心编解码器、专用摄像机、桌面翻转屏等。全景拍摄系统感光元件不小于2/3英寸CMOS，视角应不小于90度。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15.三台高清显示屏之间应呈一定的夹角，以保证所有与会者都能够有最佳的观看视角。三台显示屏在同一平面的布局方式不能被接受。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16.支持通过无线触摸屏进行控制，触摸屏尺寸不小于9.6英寸。能够通过触摸屏进行点对点和多点会议的召集。支持对系统设备进行控制，如：开启关闭麦克风、音箱等。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17.提供设备总装结构件、远程呈现专用会议桌等组件，支持靠墙摆放，采用前维护，无需预留设备维护空间，具备较高的可维护性，同时节省办公室资源。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18.要求与北京儿童医院全景三屏会议系统无缝对接，要求实现三屏双向都显示图像，如果恶意承诺需要承担相应法律责任。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19.提供设备厂家授权及本地售后服务承诺函并加盖厂家公章，提供原厂三年质保。新疆本地具备服务团队及新疆本地提供备件库。</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智真核心编解码器</w:t>
            </w:r>
          </w:p>
        </w:tc>
        <w:tc>
          <w:tcPr>
            <w:tcW w:w="2933" w:type="pct"/>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1.与三屏同品牌，采用分体式结构，嵌入式操作系统，非PC架构、非工控机架构。</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2.支持H.265、H.264 HP、H.264 BP、H.264 SVC、H.263等图像编码协议，支持64Kbps-8Mbps呼叫带宽，支持G.711、G.722、G.722.1C、G.729A、AAC-LD、Opus等音频协议，支持双声道立体声功能。</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3.支持4K30fps、1080P50/60fps、1080P25/30fps、720P50/60 fps、720P25/30fps等分辨率。本次项目配置1080P30fps对称编解码能力。</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4.无须输入终端IP地址，支持通过投影码方式实现投屏共享，投影码位数可设置。</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5.支持≥3路高清视频输入接口、≥2路高清视频输出接口。支持≥5路音频输入接口、≥6路音频输出接口，至少具备卡侬头、RCA等音频接口。支持不少于2个10M/100M/1000M自适应网口。标配触控终端，触控屏尺寸≥9英寸，分辨率≥1280×800。</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6.支持智能语音控制，通过语音指令实现唤醒终端、加入/结束会议、调节音量、发送/停止双流共享、延长会议等功能。</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7.采用国产自主编解码芯片，提供第三方权威机构检测报告证明</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8.支持无线双流功能，可通过Wi-Fi或有线网络将桌面内容作为双流发送给远端会场，视频清晰度不少于1080P，支持音频共享，支持IPv4和IPv6双协议栈，提供第三方权威机构检测报告证明。</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9.支持在终端前面板显示启动、升级、休眠、异常信息（温度异常、外设连接异常）、IP地址、H.323号码、SIP号码等信息，提供第三方权威机构检测报告证明。</w:t>
            </w:r>
          </w:p>
          <w:p>
            <w:pPr>
              <w:widowControl/>
              <w:spacing w:line="240" w:lineRule="auto"/>
              <w:ind w:firstLine="0" w:firstLineChars="0"/>
              <w:jc w:val="left"/>
              <w:rPr>
                <w:rFonts w:ascii="宋体" w:hAnsi="宋体" w:cs="宋体"/>
                <w:color w:val="000000"/>
                <w:kern w:val="0"/>
                <w:sz w:val="20"/>
                <w:szCs w:val="20"/>
              </w:rPr>
            </w:pPr>
            <w:r>
              <w:rPr>
                <w:rFonts w:ascii="宋体" w:hAnsi="宋体" w:cs="宋体"/>
                <w:color w:val="000000"/>
                <w:kern w:val="0"/>
                <w:sz w:val="20"/>
                <w:szCs w:val="20"/>
              </w:rPr>
              <w:t>10、提供所投设备的电信入网证、CCC证书。</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安装调试费</w:t>
            </w:r>
          </w:p>
        </w:tc>
        <w:tc>
          <w:tcPr>
            <w:tcW w:w="2933" w:type="pct"/>
            <w:shd w:val="clear" w:color="auto" w:fill="FFFFFF"/>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三屏智真安装调试，要求必须原厂安装调试</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477" w:type="pct"/>
            <w:gridSpan w:val="2"/>
            <w:shd w:val="clear" w:color="auto" w:fill="FFFFFF"/>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七、大屏显示系统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2.0点距LED大屏</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1.产品规格：PH2.0；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2.像素点间距:≤2mm；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3.像素密度≥250000点/㎡；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4.模组尺寸：320mm×160mm；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5.模组分辨率≥160*80；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6.箱体平整度≤0.05；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7.支持单点亮度矫正，单点颜色矫正；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8.白平衡亮度(nit)≥800;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9.色温(k)介于2000～15000；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10.水平/垂直视角≥160°；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11.亮度均匀性≥98.3%，色度均匀性介于±0.003Cx,Cy内；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12.对比度≥8000:1；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13.最佳视距(m)为1.5m-3m之间；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14.刷新率≥3840HZ;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15.换帧频率为60HZ;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16.灰度等级为灰度(bit)14～16；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17.模组驱动方式为恒流驱动；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18.使用寿命≥200000小时；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19.投标产品需提供中国节能产品认证证书（CQC）；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20.投标产品需提供CCC认证证书；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21.产品符合IEC62471:2006标准的光生物安全及蓝光危害评估检测的无危害类要求（豁免级），具备防蓝光护眼模式；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22.平均无故障使用时间不低于200000小时；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23.像素坏点率≤1/100000，无连续失控点。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 原厂</w:t>
            </w:r>
            <w:r>
              <w:rPr>
                <w:rFonts w:ascii="宋体" w:hAnsi="宋体" w:cs="宋体"/>
                <w:color w:val="000000"/>
                <w:kern w:val="0"/>
                <w:sz w:val="20"/>
                <w:szCs w:val="20"/>
              </w:rPr>
              <w:t>质保</w:t>
            </w:r>
            <w:r>
              <w:rPr>
                <w:rFonts w:hint="eastAsia" w:ascii="宋体" w:hAnsi="宋体" w:cs="宋体"/>
                <w:color w:val="000000"/>
                <w:kern w:val="0"/>
                <w:sz w:val="20"/>
                <w:szCs w:val="20"/>
              </w:rPr>
              <w:t>五</w:t>
            </w:r>
            <w:r>
              <w:rPr>
                <w:rFonts w:ascii="宋体" w:hAnsi="宋体" w:cs="宋体"/>
                <w:color w:val="000000"/>
                <w:kern w:val="0"/>
                <w:sz w:val="20"/>
                <w:szCs w:val="20"/>
              </w:rPr>
              <w:t>年</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w:t>
            </w:r>
          </w:p>
        </w:tc>
        <w:tc>
          <w:tcPr>
            <w:tcW w:w="419"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视频处理器</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1.支持丰富的数字信号接口，包括1路SDI，1路HDMI，2路DVI；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2.最大输入分辨率1920*1200@60Hz，支持分辨率任意设置；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3.最大带载520万像素，最宽可达8192点，或最高可达4096点；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4.支持视频源任意切换，任意缩放；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5.支持三画面显示，位置、大小可自由调节；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6.支持HDCP1.4；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7.双USB2.0高速通讯接口，用于电脑调试和主控间任意级联；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8.支持亮度和色温调节；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9.支持低亮高灰；</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显示屏专用接收卡</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1.集成8路HUB75接口，无需再配转接板，更方便，成本更低；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2.单卡带载面积：常规：128×512像素，PWM：384×512像素，士兰：324×512像素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3.减少接插连接件，减少故障点，故障率更低；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4.支持常规芯片实现高刷新、高灰度、高亮度；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5.支持市场主流常规芯片、PWM芯片、士兰芯片；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6.全新灰度引擎，低灰度表现更佳；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7.可消除单元板设计引起的某行偏暗、低灰偏红、鬼影等细节问题；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8.支持高精度的色度、亮度一体化逐点校正；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9.支持静态到128扫之间的任意扫描类型；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10.支持灵活抽点、抽行抽列，支持数据组偏移，可轻松实现各种异型屏、创意显示屏；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11.单卡支持16组RGB信号并行输出；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12.支持箱体标定标序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13.支持超大带载面积；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14.支持DC3.8V~5.5V超宽工作电压；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15.运输及存储温度为-40℃至125℃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16.工作温度范围为-25℃至75℃</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控制终端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1、显示器：23.8寸IPS高清窄边框屏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2、CPU：i</w:t>
            </w:r>
            <w:r>
              <w:rPr>
                <w:rFonts w:ascii="宋体" w:hAnsi="宋体" w:cs="宋体"/>
                <w:color w:val="000000"/>
                <w:kern w:val="0"/>
                <w:sz w:val="20"/>
                <w:szCs w:val="20"/>
              </w:rPr>
              <w:t>7</w:t>
            </w:r>
            <w:r>
              <w:rPr>
                <w:rFonts w:hint="eastAsia" w:ascii="宋体" w:hAnsi="宋体" w:cs="宋体"/>
                <w:color w:val="000000"/>
                <w:kern w:val="0"/>
                <w:sz w:val="20"/>
                <w:szCs w:val="20"/>
              </w:rPr>
              <w:t>处理器、内存：</w:t>
            </w:r>
            <w:r>
              <w:rPr>
                <w:rFonts w:ascii="宋体" w:hAnsi="宋体" w:cs="宋体"/>
                <w:color w:val="000000"/>
                <w:kern w:val="0"/>
                <w:sz w:val="20"/>
                <w:szCs w:val="20"/>
              </w:rPr>
              <w:t>32</w:t>
            </w:r>
            <w:r>
              <w:rPr>
                <w:rFonts w:hint="eastAsia" w:ascii="宋体" w:hAnsi="宋体" w:cs="宋体"/>
                <w:color w:val="000000"/>
                <w:kern w:val="0"/>
                <w:sz w:val="20"/>
                <w:szCs w:val="20"/>
              </w:rPr>
              <w:t>G</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4、固态：</w:t>
            </w:r>
            <w:r>
              <w:rPr>
                <w:rFonts w:ascii="宋体" w:hAnsi="宋体" w:cs="宋体"/>
                <w:color w:val="000000"/>
                <w:kern w:val="0"/>
                <w:sz w:val="20"/>
                <w:szCs w:val="20"/>
              </w:rPr>
              <w:t>512G</w:t>
            </w:r>
            <w:r>
              <w:rPr>
                <w:rFonts w:hint="eastAsia" w:ascii="宋体" w:hAnsi="宋体" w:cs="宋体"/>
                <w:color w:val="000000"/>
                <w:kern w:val="0"/>
                <w:sz w:val="20"/>
                <w:szCs w:val="20"/>
              </w:rPr>
              <w:t>固态</w:t>
            </w:r>
            <w:r>
              <w:rPr>
                <w:rFonts w:ascii="宋体" w:hAnsi="宋体" w:cs="宋体"/>
                <w:color w:val="000000"/>
                <w:kern w:val="0"/>
                <w:sz w:val="20"/>
                <w:szCs w:val="20"/>
              </w:rPr>
              <w:t>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3、显卡：独显3060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4、机身颜色：黑</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vAlign w:val="center"/>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5</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配电箱</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1、额定功率：20KW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2、配电柜输入电压为交流380V±15%，工频50Hz。具有过压、浪涌、短路、过流、过载、漏电等保护功能。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3、内置避雷器，具有避雷防雷功能。原厂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配套设备</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配套线缆、配件、网线、模组，原厂</w:t>
            </w:r>
            <w:r>
              <w:rPr>
                <w:rFonts w:ascii="宋体" w:hAnsi="宋体" w:cs="宋体"/>
                <w:color w:val="000000"/>
                <w:kern w:val="0"/>
                <w:sz w:val="20"/>
                <w:szCs w:val="20"/>
              </w:rPr>
              <w:t>质保</w:t>
            </w:r>
            <w:r>
              <w:rPr>
                <w:rFonts w:hint="eastAsia" w:ascii="宋体" w:hAnsi="宋体" w:cs="宋体"/>
                <w:color w:val="000000"/>
                <w:kern w:val="0"/>
                <w:sz w:val="20"/>
                <w:szCs w:val="20"/>
              </w:rPr>
              <w:t>五</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7</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结构及包边</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钢结构支架国标镀锌方管原墙面加固，黑色铝合金5公分边框、安装方式、磁吸安装。原厂</w:t>
            </w:r>
            <w:r>
              <w:rPr>
                <w:rFonts w:ascii="宋体" w:hAnsi="宋体" w:cs="宋体"/>
                <w:color w:val="000000"/>
                <w:kern w:val="0"/>
                <w:sz w:val="20"/>
                <w:szCs w:val="20"/>
              </w:rPr>
              <w:t>质保</w:t>
            </w:r>
            <w:r>
              <w:rPr>
                <w:rFonts w:hint="eastAsia" w:ascii="宋体" w:hAnsi="宋体" w:cs="宋体"/>
                <w:color w:val="000000"/>
                <w:kern w:val="0"/>
                <w:sz w:val="20"/>
                <w:szCs w:val="20"/>
              </w:rPr>
              <w:t>五</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8</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安装及调试</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安装及调试，原厂</w:t>
            </w:r>
            <w:r>
              <w:rPr>
                <w:rFonts w:ascii="宋体" w:hAnsi="宋体" w:cs="宋体"/>
                <w:color w:val="000000"/>
                <w:kern w:val="0"/>
                <w:sz w:val="20"/>
                <w:szCs w:val="20"/>
              </w:rPr>
              <w:t>质保</w:t>
            </w:r>
            <w:r>
              <w:rPr>
                <w:rFonts w:hint="eastAsia" w:ascii="宋体" w:hAnsi="宋体" w:cs="宋体"/>
                <w:color w:val="000000"/>
                <w:kern w:val="0"/>
                <w:sz w:val="20"/>
                <w:szCs w:val="20"/>
              </w:rPr>
              <w:t>五</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19.35</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m²</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7"/>
            <w:shd w:val="clear" w:color="auto" w:fill="auto"/>
            <w:vAlign w:val="center"/>
          </w:tcPr>
          <w:p>
            <w:pPr>
              <w:widowControl/>
              <w:spacing w:line="240" w:lineRule="auto"/>
              <w:ind w:firstLine="0" w:firstLineChars="0"/>
              <w:jc w:val="left"/>
              <w:rPr>
                <w:rFonts w:ascii="宋体" w:hAnsi="宋体" w:cs="宋体"/>
                <w:b/>
                <w:bCs/>
                <w:color w:val="000000"/>
                <w:kern w:val="0"/>
                <w:szCs w:val="24"/>
              </w:rPr>
            </w:pPr>
            <w:r>
              <w:rPr>
                <w:rFonts w:hint="eastAsia" w:ascii="宋体" w:hAnsi="宋体" w:cs="宋体"/>
                <w:b/>
                <w:bCs/>
                <w:color w:val="000000"/>
                <w:kern w:val="0"/>
                <w:szCs w:val="24"/>
              </w:rPr>
              <w:t>八、云桌面培训教室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教学云服务器</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1.要求采用1U机架式服务器、非刀片架构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2,CPU：采用国产自主品牌CPU，≥8个物理核心，主频≥3.0GHz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3,内存：实配内存≥32GB，整机最大支持内存256GB，整机最大支持内存带宽≥41.65GB/s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4,SSD：整机最少配置1块480G固态硬盘+1块240GM.2SSD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5,硬盘：集成SATA硬盘控制器，整机配置硬盘≥2块3.5寸4TB7200转SATAIII硬盘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6,网口：不少于4个千兆网口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7,电源：至少提供1块≥350W电源。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8,所投产品需要具备CCC认证和节能认证并提供证书的复印件</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授权软件</w:t>
            </w:r>
          </w:p>
        </w:tc>
        <w:tc>
          <w:tcPr>
            <w:tcW w:w="2933" w:type="pct"/>
            <w:shd w:val="clear" w:color="auto" w:fill="FFFFFF"/>
            <w:vAlign w:val="center"/>
          </w:tcPr>
          <w:p>
            <w:pPr>
              <w:widowControl/>
              <w:spacing w:line="240" w:lineRule="auto"/>
              <w:ind w:firstLine="0" w:firstLineChars="0"/>
              <w:jc w:val="left"/>
              <w:rPr>
                <w:rFonts w:ascii="宋体" w:hAnsi="宋体" w:cs="宋体" w:eastAsiaTheme="minorEastAsia"/>
                <w:color w:val="000000"/>
                <w:kern w:val="0"/>
                <w:sz w:val="20"/>
                <w:szCs w:val="20"/>
              </w:rPr>
            </w:pPr>
            <w:r>
              <w:rPr>
                <w:rFonts w:ascii="宋体" w:hAnsi="宋体" w:cs="宋体"/>
                <w:color w:val="000000"/>
                <w:kern w:val="0"/>
                <w:sz w:val="20"/>
                <w:szCs w:val="20"/>
              </w:rPr>
              <w:t>1.管理平台采用B/S架构，中文图形化操作界面，同一管理界面中可实现对计算、存储、网络等功能的配置和操作。</w:t>
            </w:r>
            <w:r>
              <w:rPr>
                <w:rFonts w:hint="eastAsia" w:ascii="宋体" w:hAnsi="宋体" w:cs="宋体"/>
                <w:color w:val="000000"/>
                <w:kern w:val="0"/>
                <w:sz w:val="20"/>
                <w:szCs w:val="20"/>
              </w:rPr>
              <w:br w:type="textWrapping"/>
            </w:r>
            <w:r>
              <w:rPr>
                <w:rFonts w:ascii="宋体" w:hAnsi="宋体" w:cs="宋体"/>
                <w:color w:val="000000"/>
                <w:kern w:val="0"/>
                <w:sz w:val="20"/>
                <w:szCs w:val="20"/>
              </w:rPr>
              <w:t>2.要求采用超融合架构，在同一管理平台内至少包含计算资源、存储资源、网络资源等功能管理模块。所有功能模块需要通过一个厂家的一套软件实现超融合部署，不可以使用多套软件或产品叠加实现。</w:t>
            </w:r>
            <w:r>
              <w:rPr>
                <w:rFonts w:hint="eastAsia" w:ascii="宋体" w:hAnsi="宋体" w:cs="宋体"/>
                <w:color w:val="000000"/>
                <w:kern w:val="0"/>
                <w:sz w:val="20"/>
                <w:szCs w:val="20"/>
              </w:rPr>
              <w:br w:type="textWrapping"/>
            </w:r>
            <w:r>
              <w:rPr>
                <w:rFonts w:ascii="宋体" w:hAnsi="宋体" w:cs="宋体"/>
                <w:color w:val="000000"/>
                <w:kern w:val="0"/>
                <w:sz w:val="20"/>
                <w:szCs w:val="20"/>
              </w:rPr>
              <w:t>3.支持在集群中添加、移除服务器主机节点，提供强大的横向扩展能力。</w:t>
            </w:r>
            <w:r>
              <w:rPr>
                <w:rFonts w:hint="eastAsia" w:ascii="宋体" w:hAnsi="宋体" w:cs="宋体"/>
                <w:color w:val="000000"/>
                <w:kern w:val="0"/>
                <w:sz w:val="20"/>
                <w:szCs w:val="20"/>
              </w:rPr>
              <w:br w:type="textWrapping"/>
            </w:r>
            <w:r>
              <w:rPr>
                <w:rFonts w:ascii="宋体" w:hAnsi="宋体" w:cs="宋体"/>
                <w:color w:val="000000"/>
                <w:kern w:val="0"/>
                <w:sz w:val="20"/>
                <w:szCs w:val="20"/>
              </w:rPr>
              <w:t>4.支持将服务器主机节点添加为计算集群，为上层业务平台提供统一的计算、存储、网络资源调度，形成基础计算平台支撑。</w:t>
            </w:r>
            <w:r>
              <w:rPr>
                <w:rFonts w:hint="eastAsia" w:ascii="宋体" w:hAnsi="宋体" w:cs="宋体"/>
                <w:color w:val="000000"/>
                <w:kern w:val="0"/>
                <w:sz w:val="20"/>
                <w:szCs w:val="20"/>
              </w:rPr>
              <w:br w:type="textWrapping"/>
            </w:r>
            <w:r>
              <w:rPr>
                <w:rFonts w:ascii="宋体" w:hAnsi="宋体" w:cs="宋体"/>
                <w:color w:val="000000"/>
                <w:kern w:val="0"/>
                <w:sz w:val="20"/>
                <w:szCs w:val="20"/>
              </w:rPr>
              <w:t>5.采用分布式存储架构，可以将服务器集群中多个节点的本地磁盘融合为统一存储资源空间，具备在线Scale-out扩展能力，任一节点故障，都不会影响数据的正常访问，存储系统仍然保证数据100%的完整，并且不会停机中断服务。</w:t>
            </w:r>
            <w:r>
              <w:rPr>
                <w:rFonts w:hint="eastAsia" w:ascii="宋体" w:hAnsi="宋体" w:cs="宋体"/>
                <w:color w:val="000000"/>
                <w:kern w:val="0"/>
                <w:sz w:val="20"/>
                <w:szCs w:val="20"/>
              </w:rPr>
              <w:br w:type="textWrapping"/>
            </w:r>
            <w:r>
              <w:rPr>
                <w:rFonts w:ascii="宋体" w:hAnsi="宋体" w:cs="宋体"/>
                <w:color w:val="000000"/>
                <w:kern w:val="0"/>
                <w:sz w:val="20"/>
                <w:szCs w:val="20"/>
              </w:rPr>
              <w:t>6.支持数据切片技术，单个文件跨多个存储节点分布存储，支持多节点并发存储读取与写入，提升应用业务响应能力。</w:t>
            </w:r>
            <w:r>
              <w:rPr>
                <w:rFonts w:hint="eastAsia" w:ascii="宋体" w:hAnsi="宋体" w:cs="宋体"/>
                <w:color w:val="000000"/>
                <w:kern w:val="0"/>
                <w:sz w:val="20"/>
                <w:szCs w:val="20"/>
              </w:rPr>
              <w:br w:type="textWrapping"/>
            </w:r>
            <w:r>
              <w:rPr>
                <w:rFonts w:ascii="宋体" w:hAnsi="宋体" w:cs="宋体"/>
                <w:color w:val="000000"/>
                <w:kern w:val="0"/>
                <w:sz w:val="20"/>
                <w:szCs w:val="20"/>
              </w:rPr>
              <w:t>7.可以按需创建多个存储池，并且可以按需指定每个存储池所需使用的冗余策略。同时还可以根据具体需求选择每个存储池对应的容量盘，容量盘可以选择服务器集群中任意几个节点中的一块或多块未被使用的磁盘。</w:t>
            </w:r>
            <w:r>
              <w:rPr>
                <w:rFonts w:hint="eastAsia" w:ascii="宋体" w:hAnsi="宋体" w:cs="宋体"/>
                <w:color w:val="000000"/>
                <w:kern w:val="0"/>
                <w:sz w:val="20"/>
                <w:szCs w:val="20"/>
              </w:rPr>
              <w:br w:type="textWrapping"/>
            </w:r>
            <w:r>
              <w:rPr>
                <w:rFonts w:ascii="宋体" w:hAnsi="宋体" w:cs="宋体"/>
                <w:color w:val="000000"/>
                <w:kern w:val="0"/>
                <w:sz w:val="20"/>
                <w:szCs w:val="20"/>
              </w:rPr>
              <w:t>8.存储池可以设置的冗余策略至少包括：单副本、2副本、3副本、纠删码等冗余策略，纠删码可以按照2数据1校验的方案部署并实际使用，磁盘空间的利用率超过66%。</w:t>
            </w:r>
            <w:r>
              <w:rPr>
                <w:rFonts w:hint="eastAsia" w:ascii="宋体" w:hAnsi="宋体" w:cs="宋体"/>
                <w:color w:val="000000"/>
                <w:kern w:val="0"/>
                <w:sz w:val="20"/>
                <w:szCs w:val="20"/>
              </w:rPr>
              <w:br w:type="textWrapping"/>
            </w:r>
            <w:r>
              <w:rPr>
                <w:rFonts w:ascii="宋体" w:hAnsi="宋体" w:cs="宋体"/>
                <w:color w:val="000000"/>
                <w:kern w:val="0"/>
                <w:sz w:val="20"/>
                <w:szCs w:val="20"/>
              </w:rPr>
              <w:t>9.支持多级缓存技术，可以智能化地预先将热点数据从机械盘缓存到SSD和内存中，从而让这些热点数据的IO更加高效。</w:t>
            </w:r>
            <w:r>
              <w:rPr>
                <w:rFonts w:hint="eastAsia" w:ascii="宋体" w:hAnsi="宋体" w:cs="宋体"/>
                <w:color w:val="000000"/>
                <w:kern w:val="0"/>
                <w:sz w:val="20"/>
                <w:szCs w:val="20"/>
              </w:rPr>
              <w:br w:type="textWrapping"/>
            </w:r>
            <w:r>
              <w:rPr>
                <w:rFonts w:ascii="宋体" w:hAnsi="宋体" w:cs="宋体"/>
                <w:color w:val="000000"/>
                <w:kern w:val="0"/>
                <w:sz w:val="20"/>
                <w:szCs w:val="20"/>
              </w:rPr>
              <w:t>10.支持数据均衡负载策略，当存储池扩容或者节点/容量盘出现故障时可以触发数据重分布，数据均衡的过程不会导致业务中断、也无需人工干预。</w:t>
            </w:r>
            <w:r>
              <w:rPr>
                <w:rFonts w:hint="eastAsia" w:ascii="宋体" w:hAnsi="宋体" w:cs="宋体"/>
                <w:color w:val="000000"/>
                <w:kern w:val="0"/>
                <w:sz w:val="20"/>
                <w:szCs w:val="20"/>
              </w:rPr>
              <w:br w:type="textWrapping"/>
            </w:r>
            <w:r>
              <w:rPr>
                <w:rFonts w:ascii="宋体" w:hAnsi="宋体" w:cs="宋体"/>
                <w:color w:val="000000"/>
                <w:kern w:val="0"/>
                <w:sz w:val="20"/>
                <w:szCs w:val="20"/>
              </w:rPr>
              <w:t>11.为保证云桌面的使用体验，要求三节点集群模式下4KB块大小全随机100%读IOPS大于170万。</w:t>
            </w:r>
            <w:r>
              <w:rPr>
                <w:rFonts w:hint="eastAsia" w:ascii="宋体" w:hAnsi="宋体" w:cs="宋体"/>
                <w:color w:val="000000"/>
                <w:kern w:val="0"/>
                <w:sz w:val="20"/>
                <w:szCs w:val="20"/>
              </w:rPr>
              <w:br w:type="textWrapping"/>
            </w:r>
            <w:r>
              <w:rPr>
                <w:rFonts w:ascii="宋体" w:hAnsi="宋体" w:cs="宋体"/>
                <w:color w:val="000000"/>
                <w:kern w:val="0"/>
                <w:sz w:val="20"/>
                <w:szCs w:val="20"/>
              </w:rPr>
              <w:t>12.为保证硬盘故障后，数据可以快速重构，要求所投产品在分布式存储的方案下，1T数据重构时间不超过15分钟。</w:t>
            </w:r>
            <w:r>
              <w:rPr>
                <w:rFonts w:hint="eastAsia" w:ascii="宋体" w:hAnsi="宋体" w:cs="宋体"/>
                <w:color w:val="000000"/>
                <w:kern w:val="0"/>
                <w:sz w:val="20"/>
                <w:szCs w:val="20"/>
              </w:rPr>
              <w:br w:type="textWrapping"/>
            </w:r>
            <w:r>
              <w:rPr>
                <w:rFonts w:ascii="宋体" w:hAnsi="宋体" w:cs="宋体"/>
                <w:color w:val="000000"/>
                <w:kern w:val="0"/>
                <w:sz w:val="20"/>
                <w:szCs w:val="20"/>
              </w:rPr>
              <w:t>13.为避免用户数据外泄，要求分布式存储采用块虚拟化技术，将用户的文件切分成多个小数据块，以裸数据的形式分别保存在不同服务器的不同硬盘上。避免硬盘故障维修时，原故障硬盘被第三方公司/人带走，导致数据外泄。需要提供演示视频和产品功能截图。</w:t>
            </w:r>
            <w:r>
              <w:rPr>
                <w:rFonts w:hint="eastAsia" w:ascii="宋体" w:hAnsi="宋体" w:cs="宋体"/>
                <w:color w:val="000000"/>
                <w:kern w:val="0"/>
                <w:sz w:val="20"/>
                <w:szCs w:val="20"/>
              </w:rPr>
              <w:br w:type="textWrapping"/>
            </w:r>
            <w:r>
              <w:rPr>
                <w:rFonts w:ascii="宋体" w:hAnsi="宋体" w:cs="宋体"/>
                <w:color w:val="000000"/>
                <w:kern w:val="0"/>
                <w:sz w:val="20"/>
                <w:szCs w:val="20"/>
              </w:rPr>
              <w:t>14.支持创建虚拟交换机，可创建≥64个虚拟机交换机，每个虚拟交换机默认创建256个端口，可根据需要自动创建/删除端口；最多可创建≥16384</w:t>
            </w:r>
            <w:r>
              <w:rPr>
                <w:rFonts w:ascii="Arial" w:hAnsi="Arial" w:cs="Arial"/>
                <w:color w:val="000000"/>
                <w:kern w:val="0"/>
                <w:sz w:val="20"/>
                <w:szCs w:val="20"/>
              </w:rPr>
              <w:t>‬</w:t>
            </w:r>
            <w:r>
              <w:rPr>
                <w:rFonts w:ascii="宋体" w:hAnsi="宋体" w:cs="宋体"/>
                <w:color w:val="000000"/>
                <w:kern w:val="0"/>
                <w:sz w:val="20"/>
                <w:szCs w:val="20"/>
              </w:rPr>
              <w:t>个端口。</w:t>
            </w:r>
            <w:r>
              <w:rPr>
                <w:rFonts w:hint="eastAsia" w:ascii="宋体" w:hAnsi="宋体" w:cs="宋体"/>
                <w:color w:val="000000"/>
                <w:kern w:val="0"/>
                <w:sz w:val="20"/>
                <w:szCs w:val="20"/>
              </w:rPr>
              <w:br w:type="textWrapping"/>
            </w:r>
            <w:r>
              <w:rPr>
                <w:rFonts w:ascii="宋体" w:hAnsi="宋体" w:cs="宋体"/>
                <w:color w:val="000000"/>
                <w:kern w:val="0"/>
                <w:sz w:val="20"/>
                <w:szCs w:val="20"/>
              </w:rPr>
              <w:t>15.支持查询、下载系统管理员的操作日志，日志包括：管理员账号、IP地址，操作时间、操作内容。</w:t>
            </w:r>
            <w:r>
              <w:rPr>
                <w:rFonts w:hint="eastAsia" w:ascii="宋体" w:hAnsi="宋体" w:cs="宋体"/>
                <w:color w:val="000000"/>
                <w:kern w:val="0"/>
                <w:sz w:val="20"/>
                <w:szCs w:val="20"/>
              </w:rPr>
              <w:br w:type="textWrapping"/>
            </w:r>
            <w:r>
              <w:rPr>
                <w:rFonts w:ascii="宋体" w:hAnsi="宋体" w:cs="宋体"/>
                <w:color w:val="000000"/>
                <w:kern w:val="0"/>
                <w:sz w:val="20"/>
                <w:szCs w:val="20"/>
              </w:rPr>
              <w:t>16.要求提供对应型号的软件著作权证书复印件。</w:t>
            </w:r>
            <w:r>
              <w:rPr>
                <w:rFonts w:hint="eastAsia" w:ascii="MS Mincho" w:hAnsi="MS Mincho" w:eastAsia="MS Mincho" w:cs="MS Mincho"/>
              </w:rPr>
              <w:t>‬‬‬‬</w:t>
            </w: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云一体机</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1.为保证培训教学软件及相关考试系统的兼容效果和稳定运行，所有终端均需采用x86架构，且为国内自主品牌。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2.要求配置≥Intel第十代i3四核八线程处理器（处理器主频≥3.6GHz）；内存≥8GB，显卡≥IntelUHD630；本地存储≥256GBSSD。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3.配置≥23.8寸显示器，分辨率≥1920×1080。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4.USB接口≥6个（包含≥4个USB3.0接口），≥1个千兆网口，≥1个HDMI接口，≥1对音频输入输出接口，且支持4段式耳机音频输入及输出。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5.为用户提供更优质的屏幕使用体验，提供三面无边框屏幕，屏占比≥90%。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6.配置铝合金一体化压铸底座。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7.配置≥1个内存扩展槽。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8.配置≥1个硬盘扩展槽。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9.为保障所投设备质量优异，可靠性高，要求所投设备平均故障间隔时间（MTBF）不低于120000小时。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10.具备关屏功能键，一键可实现关闭屏幕显示，再次按下屏幕显示打开。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11.要求能对接医院现有云桌面管理系统。</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终端授权</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1.采用BS软件架构，中文图形化管理页面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2.为了方便管理和使用，要求管理平台至少要包括镜像管理、培训教室管理、用户管理等关键功能模块。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3.为了方便后期的扩展性，要求一台终端具备可以同时部署IDV、TCI桌面的能力，并且可以实际使用，可以在镜像选择页面同时提供2种镜像，根据用户选择的镜像进入系统的同时自动判断使用哪种类型的桌面启动。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4.为了满足基本培训教学的使用需求，要求镜像模版可以使用多种类型的操作系统，至少包括：win7、win10、winserver2008、winserver2012、Redhat、Ubuntu等操作系统版本。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要求提供培训教学镜像隐藏功能，在云桌面控制器后台可实现针对指定培训镜像对学员可见，部分镜像（如考试镜像）对学员不可见，当需要使用的时候，只需一键设置学员即可看到镜像，保证重要镜像的安全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6.支持用户进行的创建、修改、查询、删除的操作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7.要求支持分级分权管理，可以按需自定义不同角色用户对应的管理权限：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①可以针对角色指定其可以操作的功能菜单，至少包括镜像管理、培训教室管理、用户管理、系统设置等权限设置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②可以针对角色指定其可以操作的具体功能按钮，至少包括镜像模版的删除、创建、复制、快照管理等权限设置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③可以针对用户指定其具体可以管理的哪几个镜像模版、哪几间教室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8.支持自定义web登录页面和web管理页面的logo，用户可以根据自己的需求使用新的logo</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9.终端支持完全离线模式，即在云终端控制器连接中断时，依然可使用当前正在使用的镜像环境，保障业务连续性。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为方便正版软件的部署和使用，要求所投产品支持个性化配置保存功能，在还原桌面的情况下，首次完成软件的逐台注册激活后，可以将激活信息保存至个人数据盘中。之后即使更新镜像模版也不会破坏激活信息，无需重新激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11.要求支持镜像模版自动快照，每次镜像发布时可以自动为镜像模版打快照，支持的最大快照数量不少于8个。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12.要求提供对应型号的软件著作权复印件。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13.每个授权支持1台云一体机并发使用</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有线键鼠套装</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键盘：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1、连接方式：有线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2、键盘接口：USB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3、键盘按键数：104键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4、防水功能：防泼溅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5、人体工学：支持，键盘水滴字键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6、线长：1m以上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鼠标：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1、工作方式：光电（针光）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2、鼠标分辨率：1000DPI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3、鼠标接口：USB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4、人体工学：鼠标对称设计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5、按键数：3键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6、滚轮方向：双向滚轮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7、线长：1m以上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配原厂鼠标垫一个</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教学管理系统</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1.要求提供多种培训教学模式以应对不同的培训教学需求，讲师可以通过教学管理系统对学员一键切换不同的教学镜像，切换模式时，云终端硬件无需重新启动。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通过教学管理系统，能够一键开启所有云终端后，终端自动启动并进入对应的课程镜像桌面。针对此功能需提供国家级权威测试机构（如：国家电子计算机质量监督检验中心、国家电子标签产品质量监督检验中心、国家电子计算机外部设备质量监督检验中心等）出具的检验报告复印件并加盖厂商公章或投标专用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3.为简化教学，教学管理系统需要提供远程终端编号功能，并与云桌面编号一一对应，方便上课前的学员点名等。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4.支持讲师对单一、部分、全体学员进行黑屏操作，黑屏状态下，学员的机器被锁定。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为保证正常培训教学使用，讲师机和学员终端完成正常开机，在讲师机可以实现屏幕广播；为方便在讲师屏幕广播时，学员可以根据讲师的演示同步进行学习操作，需提供窗口化广播模式，即在使窗口化广播时，学员可以调整讲师广播屏幕大小，以便自由操作学员云终端的系统进行自由跟学，在屏幕广播的同时，讲师可以选择是否广播声音给学员，针对此功能需提供提供国家级权威测试机构（如：国家电子计算机质量监督检验中心、国家电子标签产品质量监督检验中心、国家电子计算机外部设备质量监督检验中心等）出具的检验报告复印件并加盖厂商公章，加盖厂商公章或投标专用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6.★为方便培训教学控制，支持通过教学管理系统实现一键禁止任意学员上网，禁网同时需要支持屏幕广播、屏幕查看等正常教学应用，针对此功能需提供功能截图并加盖厂商公章或这投标专用章。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教学管理软件默认提供作业布置、批改、管理和成绩统计功能组件，提供学员作业的归档和下载；支持讲师在作业空间为多个或单个班级的学员布置作业，布置内容可支持各种文件格式。讲师可以对作业上交截止时间进行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8.支持讲师在线打开学员作业，格式至少包括txt、图片。在线查看学员作业后，可以在个人空间中打分。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9.讲师将学员作业标记为公开作业，学员可以通过学员端软件查看本年级所有讲师标记的公开作业。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分组教学：支持讲师对学员进行分组，分组时讲师可以在软件界面根据学员姓名手动分组也可以随机分组，组名可以由组长和讲师重命名。可记录小组总得分与小组内成员对小组的贡献值，同一组内的学员可以相互传送文件，针对此功能需提供功能截图并加盖厂商公章或这投标专用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11.账号灵活管理，讲师、学员可以自助注册账号，也可以由管理员导入到班级内。学员、讲师需要在登陆个人空间时通过账号密码登录，同时学员账号支持密码登陆和无密码登陆方式。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12.个人空间内置网盘功能，学员可通过作业空间账号直接登录，学员没有做完的作业或文件，可以上传到在作业空间中独立的存储空间中，方便下次上课使用，网盘支持上传和下载。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13.★互动游戏：为促进培训课堂互动效果，提升培训课堂活跃度，需提供实用培训课堂互动小游戏，为保证后续使用效果需提供功能截图并加盖厂商公章或招投标专用章。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随堂测试：为方便讲师快速出题，支持讲师通过教师端导入word、pdf、txt等题库文件，也可以通过截屏方式快速出题。讲师可以通过全员答题、抢答、随机答题多种方式发起测试，发起测试时为防止作弊讲师可选择全屏答题或窗口答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15.为避免U-Key丢失和兼容性以及安全性问题，授权方式必须为文件授权方式，而非U-Key授权的方式。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16.教学管理软件系统必须为自主研发，非OEM产品，要求提供中华人民共和国国家版权局颁发的软件著作权登记证证书复印件。</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502" w:type="pct"/>
            <w:shd w:val="clear" w:color="auto" w:fill="FFFFFF"/>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三层交换机</w:t>
            </w:r>
          </w:p>
        </w:tc>
        <w:tc>
          <w:tcPr>
            <w:tcW w:w="2933" w:type="pct"/>
            <w:shd w:val="clear" w:color="auto" w:fill="FFFFFF"/>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1.交换容量≥432Gbps，包转发率≥144Mpps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2.固化10/100/1000M以太网端口≥48，固化1G/10GSFP+万兆光接口≥4个；支持48*Gbe+4*10Gbe100%线速转发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3.要求所投设备MAC地址≥16K</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4.要求端口浪涌抗扰度≥10KV（即具备10KV的防雷能力）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5.支持IPv4和IPv6的静态路由、RIP/RIPng、OSPFv2/OSPFv3等三层路由协议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6.支持SAVI功能，可防止地址解析欺骗。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7.要求所投设备支持1对1、1对多、多对1和基于流的本地、远程镜像；且支持RSPAN和ERSPAN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8.支持专门针对CPU保护机制的功能，可将送CPU的报文，如ARP报文的速率进行限制，使CPU的使用率降低到10%左右，保障了CPU安全。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9.支持基础网络保护机制，能够限制用户向网络中发送数据包的速率，对有攻击行为的用户进行隔离，保证设备和整网的安全稳定运行。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10.要求支持sFlow网络监测技术。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11.要求支持模块化操作系统，支持针对单一模块打热补丁，故障模块升级中不影响其他进程的正常运行和业务转发。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12.所投交换机需支持OpenFlow1.3协议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13.配置万兆多模光模2块2个，光模块与交换机同一品牌</w:t>
            </w:r>
          </w:p>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FFFFFF"/>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FFFFFF"/>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502"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配套桌椅</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显示器翻转后立于桌面，键盘鼠标同时升起于桌面齐平，桌架冷轧钢板，桌面防火木颗粒板，双人桌椅</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布线及设备安装</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设备安装、辅材组件、综合布线系统及相关辅助设备，现场地勘，原厂质保三年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定制护眼灯</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单体照射面积10-15㎡，色温：冷光（5000K以上），额定功率：36W，蓝光危害等级RG0，光通量3060LM，原厂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502"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机柜</w:t>
            </w:r>
          </w:p>
        </w:tc>
        <w:tc>
          <w:tcPr>
            <w:tcW w:w="2933" w:type="pct"/>
            <w:shd w:val="clear" w:color="auto" w:fill="auto"/>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24U机柜，原厂</w:t>
            </w:r>
            <w:r>
              <w:rPr>
                <w:rFonts w:ascii="宋体" w:hAnsi="宋体" w:cs="宋体"/>
                <w:color w:val="000000"/>
                <w:kern w:val="0"/>
                <w:sz w:val="20"/>
                <w:szCs w:val="20"/>
              </w:rPr>
              <w:t>质保</w:t>
            </w:r>
            <w:r>
              <w:rPr>
                <w:rFonts w:hint="eastAsia" w:ascii="宋体" w:hAnsi="宋体" w:cs="宋体"/>
                <w:color w:val="000000"/>
                <w:kern w:val="0"/>
                <w:sz w:val="20"/>
                <w:szCs w:val="20"/>
              </w:rPr>
              <w:t>三</w:t>
            </w:r>
            <w:r>
              <w:rPr>
                <w:rFonts w:ascii="宋体" w:hAnsi="宋体" w:cs="宋体"/>
                <w:color w:val="000000"/>
                <w:kern w:val="0"/>
                <w:sz w:val="20"/>
                <w:szCs w:val="20"/>
              </w:rPr>
              <w:t>年</w:t>
            </w:r>
          </w:p>
        </w:tc>
        <w:tc>
          <w:tcPr>
            <w:tcW w:w="419" w:type="pct"/>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9" w:type="pct"/>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477" w:type="pct"/>
            <w:gridSpan w:val="2"/>
            <w:shd w:val="clear" w:color="auto" w:fill="auto"/>
            <w:noWrap/>
            <w:vAlign w:val="bottom"/>
          </w:tcPr>
          <w:p>
            <w:pPr>
              <w:widowControl/>
              <w:spacing w:line="240" w:lineRule="auto"/>
              <w:ind w:firstLine="0" w:firstLineChars="0"/>
              <w:jc w:val="center"/>
              <w:rPr>
                <w:rFonts w:ascii="宋体" w:hAnsi="宋体" w:cs="宋体"/>
                <w:color w:val="000000"/>
                <w:kern w:val="0"/>
                <w:sz w:val="20"/>
                <w:szCs w:val="20"/>
              </w:rPr>
            </w:pPr>
          </w:p>
        </w:tc>
      </w:tr>
    </w:tbl>
    <w:p>
      <w:pPr>
        <w:pStyle w:val="4"/>
        <w:ind w:firstLine="0" w:firstLineChars="0"/>
      </w:pPr>
      <w:r>
        <w:rPr>
          <w:rFonts w:hint="eastAsia"/>
        </w:rPr>
        <w:t>注明：普通参数需满足招标参数，标</w:t>
      </w:r>
      <w:r>
        <w:rPr>
          <w:rFonts w:hint="eastAsia" w:ascii="宋体" w:hAnsi="宋体" w:cs="宋体"/>
          <w:color w:val="000000"/>
          <w:kern w:val="0"/>
          <w:sz w:val="20"/>
          <w:szCs w:val="20"/>
        </w:rPr>
        <w:t>★</w:t>
      </w:r>
      <w:r>
        <w:rPr>
          <w:rFonts w:hint="eastAsia"/>
        </w:rPr>
        <w:t>参数需要提供对应的证明材料（检测报告、产品彩页、官网截图）</w:t>
      </w:r>
    </w:p>
    <w:p>
      <w:pPr>
        <w:pStyle w:val="4"/>
        <w:ind w:firstLine="0" w:firstLineChars="0"/>
      </w:pPr>
    </w:p>
    <w:p>
      <w:pPr>
        <w:pStyle w:val="93"/>
      </w:pPr>
    </w:p>
    <w:p>
      <w:pPr>
        <w:jc w:val="center"/>
        <w:rPr>
          <w:b/>
          <w:bCs/>
          <w:sz w:val="40"/>
          <w:szCs w:val="40"/>
        </w:rPr>
      </w:pPr>
    </w:p>
    <w:p>
      <w:pPr>
        <w:pStyle w:val="102"/>
        <w:ind w:firstLine="480"/>
      </w:pPr>
    </w:p>
    <w:bookmarkEnd w:id="5"/>
    <w:p>
      <w:pPr>
        <w:ind w:firstLine="480" w:firstLineChars="200"/>
        <w:jc w:val="left"/>
        <w:rPr>
          <w:rFonts w:ascii="宋体" w:hAnsi="宋体" w:eastAsia="宋体" w:cs="宋体"/>
          <w:szCs w:val="20"/>
        </w:rPr>
      </w:pPr>
    </w:p>
    <w:p>
      <w:pPr>
        <w:pStyle w:val="65"/>
        <w:pageBreakBefore/>
        <w:spacing w:line="500" w:lineRule="exact"/>
        <w:ind w:firstLine="400"/>
        <w:jc w:val="center"/>
        <w:outlineLvl w:val="0"/>
        <w:rPr>
          <w:rFonts w:eastAsia="仿宋"/>
          <w:bCs/>
          <w:sz w:val="40"/>
        </w:rPr>
      </w:pPr>
      <w:bookmarkStart w:id="116" w:name="_Toc13457"/>
      <w:bookmarkStart w:id="117" w:name="_Toc27475"/>
      <w:bookmarkStart w:id="118" w:name="_Toc99785570"/>
      <w:r>
        <w:rPr>
          <w:rFonts w:eastAsia="仿宋"/>
          <w:bCs/>
          <w:sz w:val="40"/>
        </w:rPr>
        <w:t>第四部分 合同条款</w:t>
      </w:r>
      <w:bookmarkEnd w:id="116"/>
      <w:bookmarkEnd w:id="117"/>
      <w:bookmarkEnd w:id="118"/>
    </w:p>
    <w:p>
      <w:pPr>
        <w:spacing w:line="480" w:lineRule="exact"/>
        <w:ind w:right="1200"/>
        <w:rPr>
          <w:rFonts w:eastAsia="仿宋"/>
          <w:sz w:val="30"/>
        </w:rPr>
      </w:pPr>
      <w:r>
        <w:rPr>
          <w:rFonts w:eastAsia="仿宋"/>
          <w:bCs/>
          <w:color w:val="000000"/>
          <w:sz w:val="28"/>
          <w:szCs w:val="28"/>
        </w:rPr>
        <w:t>（仅供参考，具体以后期签署合同为准）</w:t>
      </w:r>
    </w:p>
    <w:p>
      <w:pPr>
        <w:spacing w:line="480" w:lineRule="exact"/>
        <w:ind w:right="1200"/>
        <w:rPr>
          <w:rFonts w:eastAsia="仿宋"/>
          <w:sz w:val="30"/>
        </w:rPr>
      </w:pPr>
      <w:r>
        <w:rPr>
          <w:rFonts w:eastAsia="仿宋"/>
          <w:sz w:val="30"/>
        </w:rPr>
        <w:t xml:space="preserve">合同编号： </w:t>
      </w:r>
    </w:p>
    <w:tbl>
      <w:tblPr>
        <w:tblStyle w:val="67"/>
        <w:tblW w:w="3785" w:type="dxa"/>
        <w:tblInd w:w="15" w:type="dxa"/>
        <w:tblLayout w:type="fixed"/>
        <w:tblCellMar>
          <w:top w:w="0" w:type="dxa"/>
          <w:left w:w="0" w:type="dxa"/>
          <w:bottom w:w="0" w:type="dxa"/>
          <w:right w:w="0" w:type="dxa"/>
        </w:tblCellMar>
      </w:tblPr>
      <w:tblGrid>
        <w:gridCol w:w="344"/>
        <w:gridCol w:w="344"/>
        <w:gridCol w:w="344"/>
        <w:gridCol w:w="344"/>
        <w:gridCol w:w="344"/>
        <w:gridCol w:w="344"/>
        <w:gridCol w:w="344"/>
        <w:gridCol w:w="344"/>
        <w:gridCol w:w="344"/>
        <w:gridCol w:w="390"/>
        <w:gridCol w:w="299"/>
      </w:tblGrid>
      <w:tr>
        <w:tblPrEx>
          <w:tblCellMar>
            <w:top w:w="0" w:type="dxa"/>
            <w:left w:w="0" w:type="dxa"/>
            <w:bottom w:w="0" w:type="dxa"/>
            <w:right w:w="0" w:type="dxa"/>
          </w:tblCellMar>
        </w:tblPrEx>
        <w:trPr>
          <w:trHeight w:val="437" w:hRule="exact"/>
        </w:trPr>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44"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390" w:type="dxa"/>
            <w:tcBorders>
              <w:top w:val="single" w:color="auto" w:sz="12" w:space="0"/>
              <w:left w:val="single" w:color="auto" w:sz="6" w:space="0"/>
              <w:bottom w:val="single" w:color="auto" w:sz="12" w:space="0"/>
              <w:right w:val="single" w:color="auto" w:sz="6" w:space="0"/>
            </w:tcBorders>
          </w:tcPr>
          <w:p>
            <w:pPr>
              <w:spacing w:line="480" w:lineRule="exact"/>
              <w:jc w:val="center"/>
              <w:rPr>
                <w:rFonts w:eastAsia="仿宋"/>
              </w:rPr>
            </w:pPr>
          </w:p>
        </w:tc>
        <w:tc>
          <w:tcPr>
            <w:tcW w:w="299" w:type="dxa"/>
            <w:tcBorders>
              <w:top w:val="single" w:color="auto" w:sz="12" w:space="0"/>
              <w:left w:val="single" w:color="auto" w:sz="6" w:space="0"/>
              <w:bottom w:val="single" w:color="auto" w:sz="12" w:space="0"/>
              <w:right w:val="single" w:color="auto" w:sz="12" w:space="0"/>
            </w:tcBorders>
          </w:tcPr>
          <w:p>
            <w:pPr>
              <w:spacing w:line="480" w:lineRule="exact"/>
              <w:jc w:val="center"/>
              <w:rPr>
                <w:rFonts w:eastAsia="仿宋"/>
              </w:rPr>
            </w:pPr>
          </w:p>
        </w:tc>
      </w:tr>
    </w:tbl>
    <w:p>
      <w:pPr>
        <w:spacing w:line="480" w:lineRule="exact"/>
        <w:ind w:right="1200"/>
        <w:rPr>
          <w:rFonts w:eastAsia="仿宋"/>
          <w:sz w:val="30"/>
        </w:rPr>
      </w:pPr>
      <w:r>
        <w:rPr>
          <w:rFonts w:eastAsia="仿宋"/>
          <w:sz w:val="30"/>
        </w:rPr>
        <w:t xml:space="preserve">                        </w:t>
      </w:r>
    </w:p>
    <w:p>
      <w:pPr>
        <w:spacing w:line="480" w:lineRule="exact"/>
        <w:jc w:val="center"/>
        <w:rPr>
          <w:rFonts w:eastAsia="仿宋"/>
          <w:sz w:val="44"/>
        </w:rPr>
      </w:pPr>
    </w:p>
    <w:p>
      <w:pPr>
        <w:spacing w:line="480" w:lineRule="exact"/>
        <w:jc w:val="center"/>
        <w:rPr>
          <w:rFonts w:eastAsia="仿宋"/>
          <w:sz w:val="44"/>
        </w:rPr>
      </w:pPr>
    </w:p>
    <w:p>
      <w:pPr>
        <w:spacing w:beforeLines="150" w:afterLines="100" w:line="480" w:lineRule="exact"/>
        <w:jc w:val="center"/>
        <w:rPr>
          <w:rFonts w:eastAsia="仿宋"/>
          <w:sz w:val="48"/>
        </w:rPr>
      </w:pPr>
      <w:r>
        <w:rPr>
          <w:rFonts w:eastAsia="仿宋"/>
          <w:sz w:val="48"/>
        </w:rPr>
        <w:t>采购项目</w:t>
      </w:r>
    </w:p>
    <w:p>
      <w:pPr>
        <w:spacing w:beforeLines="150" w:afterLines="100" w:line="480" w:lineRule="exact"/>
        <w:jc w:val="center"/>
        <w:rPr>
          <w:rFonts w:eastAsia="仿宋"/>
          <w:sz w:val="48"/>
        </w:rPr>
      </w:pPr>
      <w:r>
        <w:rPr>
          <w:rFonts w:eastAsia="仿宋"/>
          <w:sz w:val="48"/>
        </w:rPr>
        <w:t>销售合同</w:t>
      </w: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jc w:val="center"/>
        <w:rPr>
          <w:rFonts w:eastAsia="仿宋"/>
          <w:sz w:val="44"/>
        </w:rPr>
      </w:pPr>
    </w:p>
    <w:p>
      <w:pPr>
        <w:spacing w:line="480" w:lineRule="exact"/>
        <w:rPr>
          <w:rFonts w:eastAsia="仿宋"/>
          <w:bCs/>
          <w:sz w:val="30"/>
          <w:szCs w:val="30"/>
        </w:rPr>
      </w:pPr>
      <w:r>
        <w:rPr>
          <w:rFonts w:eastAsia="仿宋"/>
          <w:bCs/>
          <w:sz w:val="30"/>
          <w:szCs w:val="30"/>
        </w:rPr>
        <w:t xml:space="preserve">甲方（买方）： </w:t>
      </w:r>
    </w:p>
    <w:p>
      <w:pPr>
        <w:spacing w:line="480" w:lineRule="exact"/>
        <w:ind w:left="1440" w:leftChars="600"/>
        <w:rPr>
          <w:rFonts w:eastAsia="仿宋"/>
          <w:bCs/>
          <w:sz w:val="30"/>
          <w:szCs w:val="30"/>
        </w:rPr>
      </w:pPr>
    </w:p>
    <w:p>
      <w:pPr>
        <w:spacing w:line="480" w:lineRule="exact"/>
        <w:rPr>
          <w:rFonts w:eastAsia="仿宋"/>
          <w:bCs/>
          <w:sz w:val="30"/>
          <w:szCs w:val="30"/>
        </w:rPr>
      </w:pPr>
      <w:r>
        <w:rPr>
          <w:rFonts w:eastAsia="仿宋"/>
          <w:bCs/>
          <w:sz w:val="30"/>
          <w:szCs w:val="30"/>
        </w:rPr>
        <w:t xml:space="preserve">乙方（卖方）： </w:t>
      </w:r>
    </w:p>
    <w:p>
      <w:pPr>
        <w:spacing w:line="480" w:lineRule="exact"/>
        <w:rPr>
          <w:rFonts w:eastAsia="仿宋"/>
          <w:sz w:val="30"/>
        </w:rPr>
      </w:pPr>
    </w:p>
    <w:p>
      <w:pPr>
        <w:spacing w:line="480" w:lineRule="exact"/>
        <w:jc w:val="left"/>
        <w:rPr>
          <w:rFonts w:eastAsia="仿宋"/>
          <w:b/>
          <w:bCs/>
          <w:spacing w:val="20"/>
          <w:sz w:val="28"/>
          <w:szCs w:val="28"/>
        </w:rPr>
      </w:pPr>
      <w:r>
        <w:rPr>
          <w:rFonts w:eastAsia="仿宋"/>
        </w:rPr>
        <w:br w:type="page"/>
      </w:r>
      <w:r>
        <w:rPr>
          <w:rFonts w:eastAsia="仿宋"/>
          <w:b/>
          <w:bCs/>
          <w:sz w:val="28"/>
          <w:szCs w:val="28"/>
        </w:rPr>
        <w:t xml:space="preserve">甲方（买方）：  </w:t>
      </w:r>
    </w:p>
    <w:p>
      <w:pPr>
        <w:spacing w:line="480" w:lineRule="exact"/>
        <w:jc w:val="left"/>
        <w:rPr>
          <w:rFonts w:eastAsia="仿宋"/>
          <w:b/>
          <w:bCs/>
          <w:spacing w:val="20"/>
          <w:sz w:val="28"/>
          <w:szCs w:val="28"/>
        </w:rPr>
      </w:pPr>
      <w:r>
        <w:rPr>
          <w:rFonts w:eastAsia="仿宋"/>
          <w:b/>
          <w:bCs/>
          <w:sz w:val="28"/>
          <w:szCs w:val="28"/>
        </w:rPr>
        <w:t xml:space="preserve">乙方（卖方）： </w:t>
      </w:r>
    </w:p>
    <w:p>
      <w:pPr>
        <w:spacing w:line="480" w:lineRule="exact"/>
        <w:ind w:left="720" w:leftChars="300"/>
        <w:rPr>
          <w:rFonts w:eastAsia="仿宋"/>
          <w:spacing w:val="20"/>
        </w:rPr>
      </w:pPr>
    </w:p>
    <w:p>
      <w:pPr>
        <w:spacing w:line="480" w:lineRule="exact"/>
        <w:ind w:firstLine="480" w:firstLineChars="200"/>
        <w:rPr>
          <w:rFonts w:eastAsia="仿宋"/>
        </w:rPr>
      </w:pPr>
      <w:r>
        <w:rPr>
          <w:rFonts w:eastAsia="仿宋"/>
        </w:rPr>
        <w:t>根据《中华人民共和国合同法》及有关法律、法规的规定，甲乙双方经过友好协商，在平等、自愿的基础上，达成如下协议，由双方共同恪守。</w:t>
      </w:r>
    </w:p>
    <w:tbl>
      <w:tblPr>
        <w:tblStyle w:val="67"/>
        <w:tblpPr w:leftFromText="180" w:rightFromText="180" w:vertAnchor="text" w:horzAnchor="page" w:tblpX="1168" w:tblpY="1231"/>
        <w:tblW w:w="10456"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34"/>
        <w:gridCol w:w="2268"/>
        <w:gridCol w:w="1134"/>
        <w:gridCol w:w="1275"/>
        <w:gridCol w:w="1985"/>
        <w:gridCol w:w="1843"/>
        <w:gridCol w:w="14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vAlign w:val="center"/>
          </w:tcPr>
          <w:p>
            <w:pPr>
              <w:jc w:val="center"/>
              <w:rPr>
                <w:rFonts w:eastAsia="仿宋"/>
              </w:rPr>
            </w:pPr>
            <w:r>
              <w:rPr>
                <w:rFonts w:eastAsia="仿宋"/>
              </w:rPr>
              <w:t>序号</w:t>
            </w:r>
          </w:p>
        </w:tc>
        <w:tc>
          <w:tcPr>
            <w:tcW w:w="2268" w:type="dxa"/>
            <w:vAlign w:val="center"/>
          </w:tcPr>
          <w:p>
            <w:pPr>
              <w:jc w:val="center"/>
              <w:rPr>
                <w:rFonts w:eastAsia="仿宋"/>
              </w:rPr>
            </w:pPr>
            <w:r>
              <w:rPr>
                <w:rFonts w:eastAsia="仿宋"/>
              </w:rPr>
              <w:t>名称</w:t>
            </w:r>
          </w:p>
        </w:tc>
        <w:tc>
          <w:tcPr>
            <w:tcW w:w="1134" w:type="dxa"/>
            <w:vAlign w:val="center"/>
          </w:tcPr>
          <w:p>
            <w:pPr>
              <w:jc w:val="center"/>
              <w:rPr>
                <w:rFonts w:eastAsia="仿宋"/>
              </w:rPr>
            </w:pPr>
            <w:r>
              <w:rPr>
                <w:rFonts w:eastAsia="仿宋"/>
              </w:rPr>
              <w:t>产地</w:t>
            </w:r>
          </w:p>
        </w:tc>
        <w:tc>
          <w:tcPr>
            <w:tcW w:w="1275" w:type="dxa"/>
            <w:vAlign w:val="center"/>
          </w:tcPr>
          <w:p>
            <w:pPr>
              <w:jc w:val="center"/>
              <w:rPr>
                <w:rFonts w:eastAsia="仿宋"/>
              </w:rPr>
            </w:pPr>
            <w:r>
              <w:rPr>
                <w:rFonts w:eastAsia="仿宋"/>
              </w:rPr>
              <w:t>数量</w:t>
            </w:r>
          </w:p>
        </w:tc>
        <w:tc>
          <w:tcPr>
            <w:tcW w:w="1985" w:type="dxa"/>
            <w:vAlign w:val="center"/>
          </w:tcPr>
          <w:p>
            <w:pPr>
              <w:jc w:val="center"/>
              <w:rPr>
                <w:rFonts w:eastAsia="仿宋"/>
              </w:rPr>
            </w:pPr>
            <w:r>
              <w:rPr>
                <w:rFonts w:eastAsia="仿宋"/>
              </w:rPr>
              <w:t>单价</w:t>
            </w:r>
          </w:p>
          <w:p>
            <w:pPr>
              <w:jc w:val="center"/>
              <w:rPr>
                <w:rFonts w:eastAsia="仿宋"/>
              </w:rPr>
            </w:pPr>
            <w:r>
              <w:rPr>
                <w:rFonts w:eastAsia="仿宋"/>
              </w:rPr>
              <w:t>（元）</w:t>
            </w:r>
          </w:p>
        </w:tc>
        <w:tc>
          <w:tcPr>
            <w:tcW w:w="1843" w:type="dxa"/>
            <w:vAlign w:val="center"/>
          </w:tcPr>
          <w:p>
            <w:pPr>
              <w:jc w:val="center"/>
              <w:rPr>
                <w:rFonts w:eastAsia="仿宋"/>
              </w:rPr>
            </w:pPr>
            <w:r>
              <w:rPr>
                <w:rFonts w:eastAsia="仿宋"/>
              </w:rPr>
              <w:t>金额</w:t>
            </w:r>
          </w:p>
          <w:p>
            <w:pPr>
              <w:jc w:val="center"/>
              <w:rPr>
                <w:rFonts w:eastAsia="仿宋"/>
              </w:rPr>
            </w:pPr>
            <w:r>
              <w:rPr>
                <w:rFonts w:eastAsia="仿宋"/>
              </w:rPr>
              <w:t>（元）</w:t>
            </w:r>
          </w:p>
        </w:tc>
        <w:tc>
          <w:tcPr>
            <w:tcW w:w="1417" w:type="dxa"/>
          </w:tcPr>
          <w:p>
            <w:pPr>
              <w:jc w:val="center"/>
              <w:rPr>
                <w:rFonts w:eastAsia="仿宋"/>
              </w:rPr>
            </w:pPr>
            <w:r>
              <w:rPr>
                <w:rFonts w:eastAsia="仿宋"/>
              </w:rPr>
              <w:t>保修期</w:t>
            </w:r>
          </w:p>
          <w:p>
            <w:pPr>
              <w:jc w:val="center"/>
              <w:rPr>
                <w:rFonts w:eastAsia="仿宋"/>
              </w:rPr>
            </w:pPr>
            <w:r>
              <w:rPr>
                <w:rFonts w:eastAsia="仿宋"/>
              </w:rPr>
              <w:t>（质保期）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1</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restart"/>
          </w:tcPr>
          <w:p>
            <w:pPr>
              <w:rPr>
                <w:rFonts w:eastAsia="仿宋"/>
              </w:rPr>
            </w:pPr>
            <w:r>
              <w:rPr>
                <w:rFonts w:eastAsia="仿宋"/>
              </w:rPr>
              <w:t>年</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2</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3</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4</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5</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6</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7</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534" w:type="dxa"/>
          </w:tcPr>
          <w:p>
            <w:pPr>
              <w:rPr>
                <w:rFonts w:eastAsia="仿宋"/>
              </w:rPr>
            </w:pPr>
            <w:r>
              <w:rPr>
                <w:rFonts w:eastAsia="仿宋"/>
              </w:rPr>
              <w:t>8</w:t>
            </w:r>
          </w:p>
        </w:tc>
        <w:tc>
          <w:tcPr>
            <w:tcW w:w="2268" w:type="dxa"/>
          </w:tcPr>
          <w:p>
            <w:pPr>
              <w:rPr>
                <w:rFonts w:eastAsia="仿宋"/>
              </w:rPr>
            </w:pPr>
          </w:p>
        </w:tc>
        <w:tc>
          <w:tcPr>
            <w:tcW w:w="1134" w:type="dxa"/>
          </w:tcPr>
          <w:p>
            <w:pPr>
              <w:rPr>
                <w:rFonts w:eastAsia="仿宋"/>
              </w:rPr>
            </w:pPr>
          </w:p>
        </w:tc>
        <w:tc>
          <w:tcPr>
            <w:tcW w:w="1275" w:type="dxa"/>
          </w:tcPr>
          <w:p>
            <w:pPr>
              <w:rPr>
                <w:rFonts w:eastAsia="仿宋"/>
              </w:rPr>
            </w:pPr>
          </w:p>
        </w:tc>
        <w:tc>
          <w:tcPr>
            <w:tcW w:w="1985" w:type="dxa"/>
          </w:tcPr>
          <w:p>
            <w:pPr>
              <w:rPr>
                <w:rFonts w:eastAsia="仿宋"/>
              </w:rPr>
            </w:pPr>
          </w:p>
        </w:tc>
        <w:tc>
          <w:tcPr>
            <w:tcW w:w="1843" w:type="dxa"/>
          </w:tcPr>
          <w:p>
            <w:pPr>
              <w:rPr>
                <w:rFonts w:eastAsia="仿宋"/>
              </w:rPr>
            </w:pPr>
          </w:p>
        </w:tc>
        <w:tc>
          <w:tcPr>
            <w:tcW w:w="1417" w:type="dxa"/>
            <w:vMerge w:val="continue"/>
          </w:tcPr>
          <w:p>
            <w:pPr>
              <w:rPr>
                <w:rFonts w:eastAsia="仿宋"/>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2802" w:type="dxa"/>
            <w:gridSpan w:val="2"/>
            <w:vAlign w:val="center"/>
          </w:tcPr>
          <w:p>
            <w:pPr>
              <w:jc w:val="center"/>
              <w:rPr>
                <w:rFonts w:eastAsia="仿宋"/>
              </w:rPr>
            </w:pPr>
            <w:r>
              <w:rPr>
                <w:rFonts w:eastAsia="仿宋"/>
              </w:rPr>
              <w:t>交货时间</w:t>
            </w:r>
          </w:p>
        </w:tc>
        <w:tc>
          <w:tcPr>
            <w:tcW w:w="7654" w:type="dxa"/>
            <w:gridSpan w:val="5"/>
            <w:vAlign w:val="center"/>
          </w:tcPr>
          <w:p>
            <w:pPr>
              <w:jc w:val="left"/>
              <w:rPr>
                <w:rFonts w:eastAsia="仿宋"/>
              </w:rPr>
            </w:pPr>
            <w:r>
              <w:rPr>
                <w:rFonts w:eastAsia="仿宋"/>
                <w:u w:val="single"/>
              </w:rPr>
              <w:t>2020  年  月  日前</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10456" w:type="dxa"/>
            <w:gridSpan w:val="7"/>
            <w:vAlign w:val="center"/>
          </w:tcPr>
          <w:p>
            <w:pPr>
              <w:rPr>
                <w:rFonts w:eastAsia="仿宋"/>
              </w:rPr>
            </w:pPr>
            <w:r>
              <w:rPr>
                <w:rFonts w:eastAsia="仿宋"/>
              </w:rPr>
              <w:t>合计金额：   （大写）元整（￥：   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10456" w:type="dxa"/>
            <w:gridSpan w:val="7"/>
            <w:vAlign w:val="center"/>
          </w:tcPr>
          <w:p>
            <w:pPr>
              <w:rPr>
                <w:rFonts w:eastAsia="仿宋"/>
              </w:rPr>
            </w:pPr>
            <w:r>
              <w:rPr>
                <w:rFonts w:eastAsia="仿宋"/>
              </w:rPr>
              <w:t>备注：</w:t>
            </w:r>
          </w:p>
        </w:tc>
      </w:tr>
    </w:tbl>
    <w:p>
      <w:pPr>
        <w:tabs>
          <w:tab w:val="left" w:pos="760"/>
        </w:tabs>
        <w:spacing w:line="480" w:lineRule="exact"/>
        <w:ind w:left="-22" w:leftChars="-9" w:firstLine="562" w:firstLineChars="200"/>
        <w:rPr>
          <w:rFonts w:eastAsia="仿宋"/>
          <w:b/>
          <w:bCs/>
          <w:sz w:val="28"/>
          <w:szCs w:val="28"/>
        </w:rPr>
      </w:pPr>
      <w:r>
        <w:rPr>
          <w:rFonts w:eastAsia="仿宋"/>
          <w:b/>
          <w:bCs/>
          <w:sz w:val="28"/>
          <w:szCs w:val="28"/>
        </w:rPr>
        <w:t>一、销售设备的名称、数量、价格</w:t>
      </w:r>
    </w:p>
    <w:p>
      <w:pPr>
        <w:spacing w:line="480" w:lineRule="exact"/>
        <w:ind w:firstLine="240" w:firstLineChars="100"/>
        <w:rPr>
          <w:rFonts w:eastAsia="仿宋"/>
        </w:rPr>
      </w:pPr>
      <w:r>
        <w:rPr>
          <w:rFonts w:eastAsia="仿宋"/>
        </w:rPr>
        <w:t>1、甲方向乙方购买设备</w:t>
      </w:r>
      <w:r>
        <w:rPr>
          <w:rFonts w:eastAsia="仿宋"/>
          <w:bCs/>
        </w:rPr>
        <w:t>，</w:t>
      </w:r>
      <w:r>
        <w:rPr>
          <w:rFonts w:eastAsia="仿宋"/>
        </w:rPr>
        <w:t>设备名称、规格型号、数量及价格等详见下表：</w:t>
      </w:r>
    </w:p>
    <w:p>
      <w:pPr>
        <w:numPr>
          <w:ilvl w:val="0"/>
          <w:numId w:val="5"/>
        </w:numPr>
        <w:tabs>
          <w:tab w:val="left" w:pos="720"/>
        </w:tabs>
        <w:spacing w:line="560" w:lineRule="exact"/>
        <w:ind w:left="600" w:leftChars="100" w:hanging="360" w:hangingChars="150"/>
        <w:jc w:val="left"/>
        <w:rPr>
          <w:rFonts w:eastAsia="仿宋"/>
        </w:rPr>
      </w:pPr>
      <w:r>
        <w:rPr>
          <w:rFonts w:eastAsia="仿宋"/>
        </w:rPr>
        <w:t>本价格含设备包装、运输、安装、调试及操作人员培训费和质保期服务费用。</w:t>
      </w:r>
    </w:p>
    <w:p>
      <w:pPr>
        <w:tabs>
          <w:tab w:val="left" w:pos="780"/>
        </w:tabs>
        <w:spacing w:line="560" w:lineRule="exact"/>
        <w:ind w:firstLine="240" w:firstLineChars="100"/>
        <w:rPr>
          <w:rFonts w:eastAsia="仿宋"/>
          <w:bCs/>
        </w:rPr>
      </w:pPr>
      <w:r>
        <w:rPr>
          <w:rFonts w:eastAsia="仿宋"/>
          <w:bCs/>
        </w:rPr>
        <w:t>3、设备功能、技术指标和安装条件见附件一。</w:t>
      </w:r>
    </w:p>
    <w:p>
      <w:pPr>
        <w:tabs>
          <w:tab w:val="left" w:pos="780"/>
        </w:tabs>
        <w:spacing w:line="560" w:lineRule="exact"/>
        <w:ind w:firstLine="240" w:firstLineChars="100"/>
        <w:rPr>
          <w:rFonts w:eastAsia="仿宋"/>
          <w:bCs/>
        </w:rPr>
      </w:pPr>
    </w:p>
    <w:p>
      <w:pPr>
        <w:tabs>
          <w:tab w:val="left" w:pos="780"/>
        </w:tabs>
        <w:spacing w:line="560" w:lineRule="exact"/>
        <w:ind w:left="-2" w:leftChars="-1" w:firstLine="562" w:firstLineChars="200"/>
        <w:rPr>
          <w:rFonts w:eastAsia="仿宋"/>
          <w:b/>
          <w:bCs/>
          <w:sz w:val="28"/>
          <w:szCs w:val="28"/>
        </w:rPr>
      </w:pPr>
      <w:r>
        <w:rPr>
          <w:rFonts w:eastAsia="仿宋"/>
          <w:b/>
          <w:bCs/>
          <w:sz w:val="28"/>
          <w:szCs w:val="28"/>
        </w:rPr>
        <w:t>二、权利义务</w:t>
      </w:r>
    </w:p>
    <w:p>
      <w:pPr>
        <w:spacing w:line="560" w:lineRule="exact"/>
        <w:ind w:firstLine="361" w:firstLineChars="150"/>
        <w:rPr>
          <w:rFonts w:eastAsia="仿宋"/>
          <w:b/>
          <w:bCs/>
        </w:rPr>
      </w:pPr>
      <w:r>
        <w:rPr>
          <w:rFonts w:eastAsia="仿宋"/>
          <w:b/>
          <w:bCs/>
        </w:rPr>
        <w:t>（1）甲方的权利义务</w:t>
      </w:r>
    </w:p>
    <w:p>
      <w:pPr>
        <w:spacing w:line="560" w:lineRule="exact"/>
        <w:ind w:firstLine="360" w:firstLineChars="150"/>
        <w:rPr>
          <w:rFonts w:eastAsia="仿宋"/>
        </w:rPr>
      </w:pPr>
      <w:r>
        <w:rPr>
          <w:rFonts w:eastAsia="仿宋"/>
        </w:rPr>
        <w:t>1、负责按合同约定的期限和金额支付货款。</w:t>
      </w:r>
    </w:p>
    <w:p>
      <w:pPr>
        <w:spacing w:line="560" w:lineRule="exact"/>
        <w:ind w:firstLine="360" w:firstLineChars="150"/>
        <w:rPr>
          <w:rFonts w:eastAsia="仿宋"/>
        </w:rPr>
      </w:pPr>
      <w:r>
        <w:rPr>
          <w:rFonts w:eastAsia="仿宋"/>
        </w:rPr>
        <w:t>2、甲方准备安装条件，并及时通知乙方。</w:t>
      </w:r>
    </w:p>
    <w:p>
      <w:pPr>
        <w:spacing w:line="560" w:lineRule="exact"/>
        <w:ind w:firstLine="360" w:firstLineChars="150"/>
        <w:rPr>
          <w:rFonts w:eastAsia="仿宋"/>
        </w:rPr>
      </w:pPr>
      <w:r>
        <w:rPr>
          <w:rFonts w:eastAsia="仿宋"/>
        </w:rPr>
        <w:t>3、设备运至交货地点后，负责接收并妥善保管。</w:t>
      </w:r>
    </w:p>
    <w:p>
      <w:pPr>
        <w:spacing w:line="560" w:lineRule="exact"/>
        <w:ind w:firstLine="360" w:firstLineChars="150"/>
        <w:rPr>
          <w:rFonts w:eastAsia="仿宋"/>
        </w:rPr>
      </w:pPr>
      <w:r>
        <w:rPr>
          <w:rFonts w:eastAsia="仿宋"/>
        </w:rPr>
        <w:t>4、甲方选派合格且胜任的人员参加乙方培训，以便熟练操作设备。</w:t>
      </w:r>
    </w:p>
    <w:p>
      <w:pPr>
        <w:tabs>
          <w:tab w:val="left" w:pos="780"/>
        </w:tabs>
        <w:spacing w:line="560" w:lineRule="exact"/>
        <w:ind w:left="-2" w:leftChars="-1" w:firstLine="360" w:firstLineChars="150"/>
        <w:rPr>
          <w:rFonts w:eastAsia="仿宋"/>
          <w:b/>
          <w:bCs/>
        </w:rPr>
      </w:pPr>
      <w:r>
        <w:rPr>
          <w:rFonts w:eastAsia="仿宋"/>
        </w:rPr>
        <w:t>5、为乙方的工作提供其它必要的配合条件。</w:t>
      </w:r>
    </w:p>
    <w:p>
      <w:pPr>
        <w:spacing w:line="560" w:lineRule="exact"/>
        <w:ind w:firstLine="361" w:firstLineChars="150"/>
        <w:rPr>
          <w:rFonts w:eastAsia="仿宋"/>
          <w:b/>
        </w:rPr>
      </w:pPr>
      <w:bookmarkStart w:id="119" w:name="_Toc24351356"/>
      <w:r>
        <w:rPr>
          <w:rFonts w:eastAsia="仿宋"/>
          <w:b/>
        </w:rPr>
        <w:t>（2）乙方的权利义务</w:t>
      </w:r>
    </w:p>
    <w:p>
      <w:pPr>
        <w:spacing w:line="560" w:lineRule="exact"/>
        <w:ind w:firstLine="360" w:firstLineChars="150"/>
        <w:rPr>
          <w:rFonts w:eastAsia="仿宋"/>
        </w:rPr>
      </w:pPr>
      <w:r>
        <w:rPr>
          <w:rFonts w:eastAsia="仿宋"/>
        </w:rPr>
        <w:t>1、保证提供的设备质量符合本合同规定的要求，</w:t>
      </w:r>
      <w:r>
        <w:rPr>
          <w:rFonts w:eastAsia="仿宋"/>
          <w:bCs/>
        </w:rPr>
        <w:t>满足附件二规定的功能要求</w:t>
      </w:r>
      <w:r>
        <w:rPr>
          <w:rFonts w:eastAsia="仿宋"/>
        </w:rPr>
        <w:t>。</w:t>
      </w:r>
    </w:p>
    <w:p>
      <w:pPr>
        <w:spacing w:line="560" w:lineRule="exact"/>
        <w:ind w:firstLine="360" w:firstLineChars="150"/>
        <w:rPr>
          <w:rFonts w:eastAsia="仿宋"/>
        </w:rPr>
      </w:pPr>
      <w:r>
        <w:rPr>
          <w:rFonts w:eastAsia="仿宋"/>
        </w:rPr>
        <w:t>2、将设备运输至交货地点并负责安装、调试。</w:t>
      </w:r>
    </w:p>
    <w:p>
      <w:pPr>
        <w:spacing w:line="560" w:lineRule="exact"/>
        <w:ind w:firstLine="360" w:firstLineChars="150"/>
        <w:rPr>
          <w:rFonts w:eastAsia="仿宋"/>
        </w:rPr>
      </w:pPr>
      <w:r>
        <w:rPr>
          <w:rFonts w:eastAsia="仿宋"/>
        </w:rPr>
        <w:t>3、自设备经甲方验收合格之日起，提供</w:t>
      </w:r>
      <w:r>
        <w:rPr>
          <w:rFonts w:eastAsia="仿宋"/>
          <w:b/>
          <w:bCs/>
          <w:u w:val="single"/>
        </w:rPr>
        <w:t xml:space="preserve">     </w:t>
      </w:r>
      <w:r>
        <w:rPr>
          <w:rFonts w:eastAsia="仿宋"/>
        </w:rPr>
        <w:t>年免费质量保修服务。</w:t>
      </w:r>
    </w:p>
    <w:p>
      <w:pPr>
        <w:spacing w:line="560" w:lineRule="exact"/>
        <w:ind w:firstLine="360" w:firstLineChars="150"/>
        <w:rPr>
          <w:rFonts w:eastAsia="仿宋"/>
        </w:rPr>
      </w:pPr>
      <w:r>
        <w:rPr>
          <w:rFonts w:eastAsia="仿宋"/>
        </w:rPr>
        <w:t>4、为保证甲方正确有效使用设备，选派专业人员对甲方选派人员进行培训。</w:t>
      </w:r>
    </w:p>
    <w:p>
      <w:pPr>
        <w:spacing w:line="560" w:lineRule="exact"/>
        <w:ind w:firstLine="360" w:firstLineChars="150"/>
        <w:rPr>
          <w:rFonts w:eastAsia="仿宋"/>
        </w:rPr>
      </w:pPr>
      <w:r>
        <w:rPr>
          <w:rFonts w:eastAsia="仿宋"/>
        </w:rPr>
        <w:t>5、提供配套技术资料，包括系统操作手册、维修手册、使用说明书。</w:t>
      </w:r>
    </w:p>
    <w:p>
      <w:pPr>
        <w:spacing w:line="560" w:lineRule="exact"/>
        <w:ind w:firstLine="360" w:firstLineChars="150"/>
        <w:rPr>
          <w:rFonts w:eastAsia="仿宋"/>
        </w:rPr>
      </w:pPr>
      <w:r>
        <w:rPr>
          <w:rFonts w:eastAsia="仿宋"/>
        </w:rPr>
        <w:t>6、提供免费技术咨询服务。</w:t>
      </w:r>
    </w:p>
    <w:p>
      <w:pPr>
        <w:spacing w:line="560" w:lineRule="exact"/>
        <w:ind w:left="-2" w:leftChars="-1" w:firstLine="562" w:firstLineChars="200"/>
        <w:rPr>
          <w:rFonts w:eastAsia="仿宋"/>
          <w:b/>
          <w:bCs/>
          <w:sz w:val="28"/>
          <w:szCs w:val="28"/>
        </w:rPr>
      </w:pPr>
      <w:r>
        <w:rPr>
          <w:rFonts w:eastAsia="仿宋"/>
          <w:b/>
          <w:bCs/>
          <w:sz w:val="28"/>
          <w:szCs w:val="28"/>
        </w:rPr>
        <w:t>三、付款方式</w:t>
      </w:r>
    </w:p>
    <w:p>
      <w:pPr>
        <w:widowControl/>
        <w:spacing w:line="560" w:lineRule="exact"/>
        <w:ind w:firstLine="360" w:firstLineChars="150"/>
        <w:rPr>
          <w:rFonts w:eastAsia="仿宋"/>
        </w:rPr>
      </w:pPr>
      <w:r>
        <w:rPr>
          <w:rFonts w:eastAsia="仿宋"/>
        </w:rPr>
        <w:t>合同第一条中确定的合同总价由甲方按如下方式向乙方支付：</w:t>
      </w:r>
    </w:p>
    <w:p>
      <w:pPr>
        <w:widowControl/>
        <w:spacing w:line="560" w:lineRule="exact"/>
        <w:ind w:firstLine="360" w:firstLineChars="150"/>
        <w:rPr>
          <w:rFonts w:eastAsia="仿宋"/>
        </w:rPr>
      </w:pPr>
      <w:r>
        <w:rPr>
          <w:rFonts w:eastAsia="仿宋"/>
        </w:rPr>
        <w:t>（1）按月计算，每年支付。</w:t>
      </w:r>
    </w:p>
    <w:p>
      <w:pPr>
        <w:widowControl/>
        <w:spacing w:line="560" w:lineRule="exact"/>
        <w:ind w:firstLine="360" w:firstLineChars="150"/>
        <w:rPr>
          <w:rFonts w:eastAsia="仿宋"/>
        </w:rPr>
      </w:pPr>
      <w:r>
        <w:rPr>
          <w:rFonts w:eastAsia="仿宋"/>
        </w:rPr>
        <w:t>（2）具体以合同签订为准。</w:t>
      </w:r>
    </w:p>
    <w:p>
      <w:pPr>
        <w:widowControl/>
        <w:spacing w:line="560" w:lineRule="exact"/>
        <w:ind w:firstLine="600" w:firstLineChars="250"/>
        <w:rPr>
          <w:rFonts w:eastAsia="仿宋"/>
        </w:rPr>
      </w:pPr>
      <w:r>
        <w:rPr>
          <w:rFonts w:eastAsia="仿宋"/>
        </w:rPr>
        <w:t>4、乙方的帐户信息</w:t>
      </w:r>
    </w:p>
    <w:p>
      <w:pPr>
        <w:widowControl/>
        <w:spacing w:line="560" w:lineRule="exact"/>
        <w:ind w:firstLine="480"/>
        <w:rPr>
          <w:rFonts w:eastAsia="仿宋"/>
        </w:rPr>
      </w:pPr>
      <w:r>
        <w:rPr>
          <w:rFonts w:eastAsia="仿宋"/>
        </w:rPr>
        <w:t xml:space="preserve">开户名： </w:t>
      </w:r>
    </w:p>
    <w:p>
      <w:pPr>
        <w:widowControl/>
        <w:spacing w:line="560" w:lineRule="exact"/>
        <w:ind w:firstLine="480"/>
        <w:rPr>
          <w:rFonts w:eastAsia="仿宋"/>
        </w:rPr>
      </w:pPr>
      <w:r>
        <w:rPr>
          <w:rFonts w:eastAsia="仿宋"/>
        </w:rPr>
        <w:t xml:space="preserve">银行名称： </w:t>
      </w:r>
    </w:p>
    <w:p>
      <w:pPr>
        <w:widowControl/>
        <w:spacing w:line="560" w:lineRule="exact"/>
        <w:ind w:firstLine="480"/>
        <w:rPr>
          <w:rFonts w:eastAsia="仿宋"/>
        </w:rPr>
      </w:pPr>
      <w:r>
        <w:rPr>
          <w:rFonts w:eastAsia="仿宋"/>
        </w:rPr>
        <w:t xml:space="preserve">银行账号： </w:t>
      </w:r>
    </w:p>
    <w:p>
      <w:pPr>
        <w:widowControl/>
        <w:spacing w:line="560" w:lineRule="exact"/>
        <w:ind w:firstLine="480"/>
        <w:rPr>
          <w:rFonts w:eastAsia="仿宋"/>
        </w:rPr>
      </w:pPr>
      <w:r>
        <w:rPr>
          <w:rFonts w:eastAsia="仿宋"/>
          <w:bCs/>
        </w:rPr>
        <w:t>此帐号为乙方指定的唯一收款帐号，甲方只能将合同价款支付至该帐号。</w:t>
      </w:r>
    </w:p>
    <w:p>
      <w:pPr>
        <w:spacing w:line="560" w:lineRule="exact"/>
        <w:rPr>
          <w:rFonts w:eastAsia="仿宋"/>
        </w:rPr>
      </w:pPr>
      <w:r>
        <w:rPr>
          <w:rFonts w:eastAsia="仿宋"/>
        </w:rPr>
        <w:t xml:space="preserve">     5、乙方在收到甲方的全部货款后，向甲方提供等额的正式发票。</w:t>
      </w:r>
    </w:p>
    <w:p>
      <w:pPr>
        <w:spacing w:line="560" w:lineRule="exact"/>
        <w:ind w:left="-2" w:leftChars="-1" w:firstLine="562" w:firstLineChars="200"/>
        <w:rPr>
          <w:rFonts w:eastAsia="仿宋"/>
          <w:b/>
          <w:bCs/>
          <w:sz w:val="28"/>
          <w:szCs w:val="28"/>
        </w:rPr>
      </w:pPr>
      <w:r>
        <w:rPr>
          <w:rFonts w:eastAsia="仿宋"/>
          <w:b/>
          <w:bCs/>
          <w:sz w:val="28"/>
          <w:szCs w:val="28"/>
        </w:rPr>
        <w:t>四、交货的时间和地点</w:t>
      </w:r>
    </w:p>
    <w:p>
      <w:pPr>
        <w:widowControl/>
        <w:spacing w:line="560" w:lineRule="exact"/>
        <w:ind w:firstLine="600" w:firstLineChars="250"/>
        <w:rPr>
          <w:rFonts w:eastAsia="仿宋"/>
        </w:rPr>
      </w:pPr>
      <w:r>
        <w:rPr>
          <w:rFonts w:eastAsia="仿宋"/>
        </w:rPr>
        <w:t>1、在签订合同后，乙方于</w:t>
      </w:r>
      <w:r>
        <w:rPr>
          <w:rFonts w:eastAsia="仿宋"/>
          <w:u w:val="single"/>
        </w:rPr>
        <w:t>2020  年  月  日</w:t>
      </w:r>
      <w:r>
        <w:rPr>
          <w:rFonts w:eastAsia="仿宋"/>
        </w:rPr>
        <w:t>前将设备运至交货地点。</w:t>
      </w:r>
    </w:p>
    <w:p>
      <w:pPr>
        <w:widowControl/>
        <w:spacing w:line="560" w:lineRule="exact"/>
        <w:ind w:firstLine="600" w:firstLineChars="250"/>
        <w:rPr>
          <w:rFonts w:eastAsia="仿宋"/>
        </w:rPr>
      </w:pPr>
      <w:r>
        <w:rPr>
          <w:rFonts w:eastAsia="仿宋"/>
        </w:rPr>
        <w:t>2、交货地点：</w:t>
      </w:r>
      <w:r>
        <w:rPr>
          <w:rFonts w:eastAsia="仿宋"/>
          <w:u w:val="single"/>
        </w:rPr>
        <w:t>甲方指定的交货地点</w:t>
      </w:r>
      <w:r>
        <w:rPr>
          <w:rFonts w:eastAsia="仿宋"/>
        </w:rPr>
        <w:t>。</w:t>
      </w:r>
    </w:p>
    <w:p>
      <w:pPr>
        <w:widowControl/>
        <w:spacing w:line="560" w:lineRule="exact"/>
        <w:ind w:firstLine="600" w:firstLineChars="250"/>
        <w:jc w:val="left"/>
        <w:rPr>
          <w:rFonts w:eastAsia="仿宋"/>
        </w:rPr>
      </w:pPr>
      <w:r>
        <w:rPr>
          <w:rFonts w:eastAsia="仿宋"/>
        </w:rPr>
        <w:t>3、设备的包装和运输由乙方自定。</w:t>
      </w:r>
    </w:p>
    <w:p>
      <w:pPr>
        <w:spacing w:line="560" w:lineRule="exact"/>
        <w:ind w:firstLine="562" w:firstLineChars="200"/>
        <w:rPr>
          <w:rFonts w:eastAsia="仿宋"/>
          <w:b/>
          <w:bCs/>
          <w:sz w:val="28"/>
          <w:szCs w:val="28"/>
        </w:rPr>
      </w:pPr>
      <w:r>
        <w:rPr>
          <w:rFonts w:eastAsia="仿宋"/>
          <w:b/>
          <w:sz w:val="28"/>
          <w:szCs w:val="28"/>
        </w:rPr>
        <w:t>五、安装调试和验收</w:t>
      </w:r>
    </w:p>
    <w:p>
      <w:pPr>
        <w:tabs>
          <w:tab w:val="left" w:pos="780"/>
        </w:tabs>
        <w:spacing w:line="560" w:lineRule="exact"/>
        <w:ind w:firstLine="600" w:firstLineChars="250"/>
        <w:rPr>
          <w:rFonts w:eastAsia="仿宋"/>
        </w:rPr>
      </w:pPr>
      <w:r>
        <w:rPr>
          <w:rFonts w:eastAsia="仿宋"/>
        </w:rPr>
        <w:t>1、设备运到交货地点且现场具备安装条件后，乙方进行安装调试，安装调试完毕后</w:t>
      </w:r>
      <w:r>
        <w:rPr>
          <w:rFonts w:eastAsia="仿宋"/>
          <w:u w:val="single"/>
        </w:rPr>
        <w:t xml:space="preserve">  </w:t>
      </w:r>
      <w:r>
        <w:rPr>
          <w:rFonts w:hint="eastAsia" w:eastAsia="仿宋"/>
          <w:u w:val="single"/>
        </w:rPr>
        <w:t xml:space="preserve">  </w:t>
      </w:r>
      <w:r>
        <w:rPr>
          <w:rFonts w:eastAsia="仿宋"/>
          <w:u w:val="single"/>
        </w:rPr>
        <w:t xml:space="preserve"> </w:t>
      </w:r>
      <w:r>
        <w:rPr>
          <w:rFonts w:eastAsia="仿宋"/>
        </w:rPr>
        <w:t>日内，由甲方按合同附件规定的指标和功能进行验收，验收后甲方签署《现场验收报告》，乙方向甲方正式交付设备。</w:t>
      </w:r>
    </w:p>
    <w:p>
      <w:pPr>
        <w:spacing w:line="560" w:lineRule="exact"/>
        <w:ind w:firstLine="720" w:firstLineChars="300"/>
        <w:rPr>
          <w:rFonts w:eastAsia="仿宋"/>
        </w:rPr>
      </w:pPr>
      <w:r>
        <w:rPr>
          <w:rFonts w:eastAsia="仿宋"/>
        </w:rPr>
        <w:t>2、如因甲方原因造成设备无法按照合同约定时间安装调试或验收的，则设备到货后</w:t>
      </w:r>
      <w:r>
        <w:rPr>
          <w:rFonts w:eastAsia="仿宋"/>
          <w:u w:val="single"/>
        </w:rPr>
        <w:t xml:space="preserve">     </w:t>
      </w:r>
      <w:r>
        <w:rPr>
          <w:rFonts w:eastAsia="仿宋"/>
        </w:rPr>
        <w:t>天视为验收合格。</w:t>
      </w:r>
    </w:p>
    <w:p>
      <w:pPr>
        <w:pStyle w:val="65"/>
        <w:tabs>
          <w:tab w:val="left" w:pos="630"/>
        </w:tabs>
        <w:ind w:firstLine="210"/>
      </w:pPr>
    </w:p>
    <w:p>
      <w:pPr>
        <w:spacing w:line="560" w:lineRule="exact"/>
        <w:ind w:firstLine="562" w:firstLineChars="200"/>
        <w:rPr>
          <w:rFonts w:eastAsia="仿宋"/>
          <w:b/>
          <w:sz w:val="28"/>
          <w:szCs w:val="28"/>
        </w:rPr>
      </w:pPr>
      <w:r>
        <w:rPr>
          <w:rFonts w:eastAsia="仿宋"/>
          <w:b/>
          <w:sz w:val="28"/>
          <w:szCs w:val="28"/>
        </w:rPr>
        <w:t>六、保修及服务</w:t>
      </w:r>
    </w:p>
    <w:p>
      <w:pPr>
        <w:spacing w:line="560" w:lineRule="exact"/>
        <w:ind w:firstLine="720" w:firstLineChars="300"/>
        <w:rPr>
          <w:rFonts w:eastAsia="仿宋"/>
        </w:rPr>
      </w:pPr>
      <w:r>
        <w:rPr>
          <w:rFonts w:eastAsia="仿宋"/>
        </w:rPr>
        <w:t>1、设备的质保期为</w:t>
      </w:r>
      <w:r>
        <w:rPr>
          <w:rFonts w:eastAsia="仿宋"/>
          <w:u w:val="single"/>
        </w:rPr>
        <w:t xml:space="preserve">   </w:t>
      </w:r>
      <w:r>
        <w:rPr>
          <w:rFonts w:eastAsia="仿宋"/>
        </w:rPr>
        <w:t>年，从甲方签署《现场验收报告》之日起计算，如因甲方原因造成设备无法按照合同约定时间安装调试或验收，设备质保期从视为验收合格之日起计算。</w:t>
      </w:r>
    </w:p>
    <w:p>
      <w:pPr>
        <w:spacing w:line="560" w:lineRule="exact"/>
        <w:ind w:firstLine="720" w:firstLineChars="300"/>
        <w:rPr>
          <w:rFonts w:eastAsia="仿宋"/>
        </w:rPr>
      </w:pPr>
      <w:r>
        <w:rPr>
          <w:rFonts w:eastAsia="仿宋"/>
        </w:rPr>
        <w:t>2、质保期内，凡属设备在正常使用条件（环境、温度、湿度、电源等）和在正常操作的情况下发生的故障，乙方负责免费进行维修，并免费提供维修所需备品备件。凡因甲方人为原因造成设备损坏，所发生的全部维修费用（人工、交通、备品备件等费用）由甲方承担。</w:t>
      </w:r>
    </w:p>
    <w:p>
      <w:pPr>
        <w:spacing w:line="560" w:lineRule="exact"/>
        <w:ind w:firstLine="720" w:firstLineChars="300"/>
        <w:rPr>
          <w:rFonts w:eastAsia="仿宋"/>
        </w:rPr>
      </w:pPr>
      <w:r>
        <w:rPr>
          <w:rFonts w:eastAsia="仿宋"/>
        </w:rPr>
        <w:t>3、乙方提供设备维修及技术指导。</w:t>
      </w:r>
    </w:p>
    <w:p>
      <w:pPr>
        <w:spacing w:line="560" w:lineRule="exact"/>
        <w:ind w:firstLine="720" w:firstLineChars="300"/>
        <w:rPr>
          <w:rFonts w:eastAsia="仿宋"/>
        </w:rPr>
      </w:pPr>
      <w:r>
        <w:rPr>
          <w:rFonts w:eastAsia="仿宋"/>
        </w:rPr>
        <w:t>售后服务联系方式（公司固定电话及各地服务站联系方式）：</w:t>
      </w:r>
    </w:p>
    <w:p>
      <w:pPr>
        <w:spacing w:line="560" w:lineRule="exact"/>
        <w:ind w:firstLine="720" w:firstLineChars="300"/>
        <w:rPr>
          <w:rFonts w:eastAsia="仿宋"/>
        </w:rPr>
      </w:pPr>
      <w:r>
        <w:rPr>
          <w:rFonts w:eastAsia="仿宋"/>
        </w:rPr>
        <w:t>（乙方名称）,联系人：   ,电话：    , 传真：   ,手机：   .</w:t>
      </w:r>
    </w:p>
    <w:p>
      <w:pPr>
        <w:spacing w:line="560" w:lineRule="exact"/>
        <w:ind w:firstLine="720" w:firstLineChars="300"/>
        <w:rPr>
          <w:rFonts w:eastAsia="仿宋"/>
        </w:rPr>
      </w:pPr>
      <w:r>
        <w:rPr>
          <w:rFonts w:eastAsia="仿宋"/>
        </w:rPr>
        <w:t>4、乙方免费为甲方提供设备软件升级服务。</w:t>
      </w:r>
    </w:p>
    <w:p>
      <w:pPr>
        <w:spacing w:line="560" w:lineRule="exact"/>
        <w:ind w:firstLine="720" w:firstLineChars="300"/>
        <w:rPr>
          <w:rFonts w:eastAsia="仿宋"/>
        </w:rPr>
      </w:pPr>
      <w:r>
        <w:rPr>
          <w:rFonts w:eastAsia="仿宋"/>
        </w:rPr>
        <w:t>5、质保期外，乙方有偿为甲方提供设备售后服务及技术支持。</w:t>
      </w:r>
    </w:p>
    <w:p>
      <w:pPr>
        <w:spacing w:line="560" w:lineRule="exact"/>
        <w:ind w:firstLine="720" w:firstLineChars="300"/>
        <w:rPr>
          <w:rFonts w:eastAsia="仿宋"/>
        </w:rPr>
      </w:pPr>
      <w:r>
        <w:rPr>
          <w:rFonts w:eastAsia="仿宋"/>
        </w:rPr>
        <w:t>6、培训：按用户需求随时进行培训。</w:t>
      </w:r>
    </w:p>
    <w:p>
      <w:pPr>
        <w:spacing w:line="560" w:lineRule="exact"/>
        <w:ind w:firstLine="562" w:firstLineChars="200"/>
        <w:rPr>
          <w:rFonts w:eastAsia="仿宋"/>
          <w:b/>
          <w:sz w:val="28"/>
          <w:szCs w:val="28"/>
        </w:rPr>
      </w:pPr>
      <w:r>
        <w:rPr>
          <w:rFonts w:eastAsia="仿宋"/>
          <w:b/>
          <w:sz w:val="28"/>
          <w:szCs w:val="28"/>
        </w:rPr>
        <w:t>七、知识产权及保密</w:t>
      </w:r>
    </w:p>
    <w:p>
      <w:pPr>
        <w:spacing w:line="560" w:lineRule="exact"/>
        <w:ind w:firstLine="600" w:firstLineChars="250"/>
        <w:rPr>
          <w:rFonts w:eastAsia="仿宋"/>
        </w:rPr>
      </w:pPr>
      <w:r>
        <w:rPr>
          <w:rFonts w:eastAsia="仿宋"/>
        </w:rPr>
        <w:t>1、乙方的设备和技术资料中包含多项专利技术和专有技术等知识产权，在未取得乙方事先书面同意的情况下，甲方不得向任何第三方泄露。</w:t>
      </w:r>
    </w:p>
    <w:p>
      <w:pPr>
        <w:spacing w:line="560" w:lineRule="exact"/>
        <w:ind w:firstLine="600" w:firstLineChars="250"/>
        <w:rPr>
          <w:rFonts w:eastAsia="仿宋"/>
        </w:rPr>
      </w:pPr>
      <w:r>
        <w:rPr>
          <w:rFonts w:eastAsia="仿宋"/>
        </w:rPr>
        <w:t>2、甲方不得向第三方泄露本合同内容，不得泄露乙方向甲方提供的任何信息和资料，以及其它文件中涉及到的乙方技术和商业秘密。</w:t>
      </w:r>
    </w:p>
    <w:p>
      <w:pPr>
        <w:spacing w:line="560" w:lineRule="exact"/>
        <w:ind w:firstLine="600" w:firstLineChars="250"/>
        <w:rPr>
          <w:rFonts w:eastAsia="仿宋"/>
        </w:rPr>
      </w:pPr>
      <w:r>
        <w:rPr>
          <w:rFonts w:eastAsia="仿宋"/>
        </w:rPr>
        <w:t>3、上述条款在本协议变更、期满或终止后仍然有效。</w:t>
      </w:r>
    </w:p>
    <w:p>
      <w:pPr>
        <w:spacing w:line="560" w:lineRule="exact"/>
        <w:ind w:firstLine="562" w:firstLineChars="200"/>
        <w:rPr>
          <w:rFonts w:eastAsia="仿宋"/>
          <w:b/>
          <w:sz w:val="28"/>
          <w:szCs w:val="28"/>
        </w:rPr>
      </w:pPr>
      <w:r>
        <w:rPr>
          <w:rFonts w:eastAsia="仿宋"/>
          <w:b/>
          <w:sz w:val="28"/>
          <w:szCs w:val="28"/>
        </w:rPr>
        <w:t>八、违约责任</w:t>
      </w:r>
    </w:p>
    <w:p>
      <w:pPr>
        <w:spacing w:line="560" w:lineRule="exact"/>
        <w:ind w:firstLine="480" w:firstLineChars="200"/>
        <w:rPr>
          <w:rFonts w:eastAsia="仿宋"/>
        </w:rPr>
      </w:pPr>
      <w:r>
        <w:rPr>
          <w:rFonts w:eastAsia="仿宋"/>
        </w:rPr>
        <w:t>1、甲方的违约情形如下：</w:t>
      </w:r>
    </w:p>
    <w:p>
      <w:pPr>
        <w:spacing w:line="560" w:lineRule="exact"/>
        <w:ind w:firstLine="480" w:firstLineChars="200"/>
        <w:rPr>
          <w:rFonts w:eastAsia="仿宋"/>
        </w:rPr>
      </w:pPr>
      <w:r>
        <w:rPr>
          <w:rFonts w:eastAsia="仿宋"/>
        </w:rPr>
        <w:t>（1）甲方未按本合同规定支付乙方价款；</w:t>
      </w:r>
    </w:p>
    <w:p>
      <w:pPr>
        <w:spacing w:line="560" w:lineRule="exact"/>
        <w:ind w:firstLine="480" w:firstLineChars="200"/>
        <w:rPr>
          <w:rFonts w:eastAsia="仿宋"/>
        </w:rPr>
      </w:pPr>
      <w:r>
        <w:rPr>
          <w:rFonts w:eastAsia="仿宋"/>
        </w:rPr>
        <w:t>（2）甲方违反本合同规定的其他情形；</w:t>
      </w:r>
    </w:p>
    <w:p>
      <w:pPr>
        <w:spacing w:line="560" w:lineRule="exact"/>
        <w:ind w:firstLine="480" w:firstLineChars="200"/>
        <w:rPr>
          <w:rFonts w:eastAsia="仿宋"/>
        </w:rPr>
      </w:pPr>
      <w:r>
        <w:rPr>
          <w:rFonts w:eastAsia="仿宋"/>
        </w:rPr>
        <w:t xml:space="preserve">2、乙方的违约情形如下： </w:t>
      </w:r>
    </w:p>
    <w:p>
      <w:pPr>
        <w:spacing w:line="560" w:lineRule="exact"/>
        <w:ind w:firstLine="480" w:firstLineChars="200"/>
        <w:rPr>
          <w:rFonts w:eastAsia="仿宋"/>
        </w:rPr>
      </w:pPr>
      <w:r>
        <w:rPr>
          <w:rFonts w:eastAsia="仿宋"/>
        </w:rPr>
        <w:t>（1）乙方未按本合同规定时间向甲方交付设备或交付的设备不符合本合同规定；</w:t>
      </w:r>
    </w:p>
    <w:p>
      <w:pPr>
        <w:spacing w:line="560" w:lineRule="exact"/>
        <w:ind w:firstLine="480" w:firstLineChars="200"/>
        <w:rPr>
          <w:rFonts w:eastAsia="仿宋"/>
        </w:rPr>
      </w:pPr>
      <w:r>
        <w:rPr>
          <w:rFonts w:eastAsia="仿宋"/>
        </w:rPr>
        <w:t>（2）乙方未按合同规定履行各项售后服务承诺的；</w:t>
      </w:r>
    </w:p>
    <w:p>
      <w:pPr>
        <w:spacing w:line="560" w:lineRule="exact"/>
        <w:ind w:firstLine="480" w:firstLineChars="200"/>
        <w:rPr>
          <w:rFonts w:eastAsia="仿宋"/>
        </w:rPr>
      </w:pPr>
      <w:r>
        <w:rPr>
          <w:rFonts w:eastAsia="仿宋"/>
        </w:rPr>
        <w:t>（3）乙方违反本合同规定的其他情形；</w:t>
      </w:r>
    </w:p>
    <w:p>
      <w:pPr>
        <w:spacing w:line="560" w:lineRule="exact"/>
        <w:ind w:firstLine="480" w:firstLineChars="200"/>
        <w:rPr>
          <w:rFonts w:eastAsia="仿宋"/>
        </w:rPr>
      </w:pPr>
      <w:r>
        <w:rPr>
          <w:rFonts w:eastAsia="仿宋"/>
        </w:rPr>
        <w:t>3、 任何一方违反本合同规定，在收到非违约方的书面通知后30日内未纠正违约行为的，非违约方有权单方书面通知违约方终止本合同。</w:t>
      </w:r>
    </w:p>
    <w:p>
      <w:pPr>
        <w:spacing w:line="560" w:lineRule="exact"/>
        <w:ind w:firstLine="480" w:firstLineChars="200"/>
        <w:rPr>
          <w:rFonts w:eastAsia="仿宋"/>
        </w:rPr>
      </w:pPr>
      <w:r>
        <w:rPr>
          <w:rFonts w:eastAsia="仿宋"/>
        </w:rPr>
        <w:t>4、若乙方破产，或者进入任何破产清算、债权者保护的行政程序或司法程序，甲方可立即以书面通知的形式终止本合同。</w:t>
      </w:r>
    </w:p>
    <w:p>
      <w:pPr>
        <w:spacing w:line="560" w:lineRule="exact"/>
        <w:ind w:firstLine="480" w:firstLineChars="200"/>
        <w:rPr>
          <w:rFonts w:eastAsia="仿宋"/>
        </w:rPr>
      </w:pPr>
      <w:r>
        <w:rPr>
          <w:rFonts w:eastAsia="仿宋"/>
        </w:rPr>
        <w:t>5、依据上述规定终止本合同后，不影响双方对协议终止前的债权债务进行结算。</w:t>
      </w:r>
    </w:p>
    <w:p>
      <w:pPr>
        <w:spacing w:line="560" w:lineRule="exact"/>
        <w:ind w:firstLine="480" w:firstLineChars="200"/>
        <w:rPr>
          <w:rFonts w:eastAsia="仿宋"/>
        </w:rPr>
      </w:pPr>
      <w:r>
        <w:rPr>
          <w:rFonts w:eastAsia="仿宋"/>
        </w:rPr>
        <w:t>6、违约方因其违约行为应给非违约方造成的所有损失、损害和费用给予足额赔偿，上述损失、损害和费用包括但不限于非违约方由此产生的所有实际损失、仲裁费、调查费、鉴定费和律师费等。同时违约方还需向守约方支付合同总价20%的违约金。</w:t>
      </w:r>
    </w:p>
    <w:p>
      <w:pPr>
        <w:tabs>
          <w:tab w:val="left" w:pos="780"/>
        </w:tabs>
        <w:spacing w:line="560" w:lineRule="exact"/>
        <w:ind w:firstLine="562" w:firstLineChars="200"/>
        <w:rPr>
          <w:rFonts w:eastAsia="仿宋"/>
          <w:bCs/>
          <w:sz w:val="28"/>
          <w:szCs w:val="28"/>
        </w:rPr>
      </w:pPr>
      <w:r>
        <w:rPr>
          <w:rFonts w:eastAsia="仿宋"/>
          <w:b/>
          <w:sz w:val="28"/>
          <w:szCs w:val="28"/>
        </w:rPr>
        <w:t>九、不可抗力</w:t>
      </w:r>
    </w:p>
    <w:p>
      <w:pPr>
        <w:spacing w:line="560" w:lineRule="exact"/>
        <w:ind w:firstLine="480" w:firstLineChars="200"/>
        <w:rPr>
          <w:rFonts w:eastAsia="仿宋"/>
        </w:rPr>
      </w:pPr>
      <w:r>
        <w:rPr>
          <w:rFonts w:eastAsia="仿宋"/>
        </w:rPr>
        <w:t>一方由于不可抗力的原因不能履行合同时，应及时向对方通报不能履行或不能完全履行的理由，在取得相关证明以后，经双方协商可以延期履行、部分履行或者不履行合同，并根据情况可部分或全部免予承担违约责任。</w:t>
      </w:r>
    </w:p>
    <w:p>
      <w:pPr>
        <w:spacing w:line="560" w:lineRule="exact"/>
        <w:ind w:firstLine="562" w:firstLineChars="200"/>
        <w:rPr>
          <w:rFonts w:eastAsia="仿宋"/>
          <w:b/>
          <w:sz w:val="28"/>
          <w:szCs w:val="28"/>
        </w:rPr>
      </w:pPr>
      <w:r>
        <w:rPr>
          <w:rFonts w:eastAsia="仿宋"/>
          <w:b/>
          <w:sz w:val="28"/>
          <w:szCs w:val="28"/>
        </w:rPr>
        <w:t>十、争议解决</w:t>
      </w:r>
    </w:p>
    <w:p>
      <w:pPr>
        <w:tabs>
          <w:tab w:val="left" w:pos="540"/>
        </w:tabs>
        <w:spacing w:line="560" w:lineRule="exact"/>
        <w:ind w:firstLine="480" w:firstLineChars="200"/>
        <w:rPr>
          <w:rFonts w:eastAsia="仿宋"/>
        </w:rPr>
      </w:pPr>
      <w:r>
        <w:rPr>
          <w:rFonts w:eastAsia="仿宋"/>
        </w:rPr>
        <w:t>凡因履行本合同而发生的争议，双方应友好协商解决。协商不成的，应向甲方所在地人民法院起诉。</w:t>
      </w:r>
    </w:p>
    <w:p>
      <w:pPr>
        <w:spacing w:line="560" w:lineRule="exact"/>
        <w:ind w:firstLine="562" w:firstLineChars="200"/>
        <w:rPr>
          <w:rFonts w:eastAsia="仿宋"/>
          <w:b/>
          <w:sz w:val="28"/>
          <w:szCs w:val="28"/>
        </w:rPr>
      </w:pPr>
      <w:r>
        <w:rPr>
          <w:rFonts w:eastAsia="仿宋"/>
          <w:b/>
          <w:sz w:val="28"/>
          <w:szCs w:val="28"/>
        </w:rPr>
        <w:t>十一、生效及其他</w:t>
      </w:r>
    </w:p>
    <w:p>
      <w:pPr>
        <w:spacing w:line="560" w:lineRule="exact"/>
        <w:ind w:firstLine="480" w:firstLineChars="200"/>
        <w:rPr>
          <w:rFonts w:eastAsia="仿宋"/>
        </w:rPr>
      </w:pPr>
      <w:r>
        <w:rPr>
          <w:rFonts w:eastAsia="仿宋"/>
        </w:rPr>
        <w:t>1、合同附件应作为本合同的组成部分，与本合同具有同等法律效力。若附件与合同正文有任何不一致的地方，以合同正文为准。</w:t>
      </w:r>
    </w:p>
    <w:p>
      <w:pPr>
        <w:spacing w:line="560" w:lineRule="exact"/>
        <w:ind w:firstLine="480" w:firstLineChars="200"/>
        <w:rPr>
          <w:rFonts w:eastAsia="仿宋"/>
        </w:rPr>
      </w:pPr>
      <w:r>
        <w:rPr>
          <w:rFonts w:eastAsia="仿宋"/>
        </w:rPr>
        <w:t>2、本合同一式</w:t>
      </w:r>
      <w:r>
        <w:rPr>
          <w:rFonts w:eastAsia="仿宋"/>
          <w:u w:val="single"/>
        </w:rPr>
        <w:t xml:space="preserve">  五</w:t>
      </w:r>
      <w:r>
        <w:rPr>
          <w:rFonts w:eastAsia="仿宋"/>
          <w:b/>
          <w:u w:val="single"/>
        </w:rPr>
        <w:t xml:space="preserve"> </w:t>
      </w:r>
      <w:r>
        <w:rPr>
          <w:rFonts w:eastAsia="仿宋"/>
        </w:rPr>
        <w:t>份，甲方执叁份，乙方执两份，具有同等法律效力。</w:t>
      </w:r>
    </w:p>
    <w:p>
      <w:pPr>
        <w:spacing w:line="560" w:lineRule="exact"/>
        <w:ind w:firstLine="480" w:firstLineChars="200"/>
        <w:rPr>
          <w:rFonts w:eastAsia="仿宋"/>
        </w:rPr>
      </w:pPr>
      <w:r>
        <w:rPr>
          <w:rFonts w:eastAsia="仿宋"/>
        </w:rPr>
        <w:t>3、合同附件应作为本合同的组成部分，与合同具有同等法律效力。</w:t>
      </w:r>
    </w:p>
    <w:p>
      <w:pPr>
        <w:spacing w:line="560" w:lineRule="exact"/>
        <w:ind w:firstLine="480" w:firstLineChars="200"/>
        <w:rPr>
          <w:rFonts w:eastAsia="仿宋"/>
        </w:rPr>
      </w:pPr>
      <w:r>
        <w:rPr>
          <w:rFonts w:eastAsia="仿宋"/>
        </w:rPr>
        <w:t>4、乙方投标文件及承诺书作为项目招标档案，具有同等法律效力。</w:t>
      </w:r>
    </w:p>
    <w:p>
      <w:pPr>
        <w:spacing w:line="480" w:lineRule="exact"/>
        <w:rPr>
          <w:rFonts w:eastAsia="仿宋"/>
          <w:bCs/>
        </w:rPr>
      </w:pPr>
      <w:r>
        <w:rPr>
          <w:rFonts w:eastAsia="仿宋"/>
          <w:b/>
        </w:rPr>
        <w:t xml:space="preserve">    附件：</w:t>
      </w:r>
      <w:r>
        <w:rPr>
          <w:rFonts w:eastAsia="仿宋"/>
          <w:bCs/>
        </w:rPr>
        <w:t>1、设备功能、技术指标和安装条件</w:t>
      </w:r>
    </w:p>
    <w:p>
      <w:pPr>
        <w:spacing w:line="480" w:lineRule="exact"/>
        <w:rPr>
          <w:rFonts w:eastAsia="仿宋"/>
          <w:bCs/>
        </w:rPr>
      </w:pPr>
      <w:r>
        <w:rPr>
          <w:rFonts w:eastAsia="仿宋"/>
          <w:bCs/>
        </w:rPr>
        <w:t xml:space="preserve">          2、产品售后保障</w:t>
      </w:r>
    </w:p>
    <w:p>
      <w:pPr>
        <w:spacing w:line="480" w:lineRule="exact"/>
        <w:rPr>
          <w:rFonts w:eastAsia="仿宋"/>
        </w:rPr>
      </w:pPr>
      <w:r>
        <w:rPr>
          <w:rFonts w:eastAsia="仿宋"/>
          <w:bCs/>
        </w:rPr>
        <w:t xml:space="preserve">          3、产品验收报告</w:t>
      </w:r>
    </w:p>
    <w:p>
      <w:pPr>
        <w:pStyle w:val="34"/>
        <w:adjustRightInd w:val="0"/>
        <w:snapToGrid w:val="0"/>
        <w:spacing w:line="480" w:lineRule="exact"/>
        <w:ind w:firstLine="964" w:firstLineChars="400"/>
        <w:rPr>
          <w:rFonts w:ascii="Times New Roman" w:eastAsia="仿宋"/>
          <w:b/>
          <w:bCs/>
          <w:sz w:val="24"/>
          <w:szCs w:val="24"/>
        </w:rPr>
        <w:sectPr>
          <w:headerReference r:id="rId8" w:type="default"/>
          <w:footerReference r:id="rId9" w:type="default"/>
          <w:pgSz w:w="11906" w:h="16838"/>
          <w:pgMar w:top="1134" w:right="850" w:bottom="1134" w:left="850" w:header="283" w:footer="283" w:gutter="0"/>
          <w:cols w:space="720" w:num="1"/>
          <w:docGrid w:type="lines" w:linePitch="339" w:charSpace="0"/>
        </w:sectPr>
      </w:pPr>
    </w:p>
    <w:p>
      <w:pPr>
        <w:pStyle w:val="34"/>
        <w:adjustRightInd w:val="0"/>
        <w:snapToGrid w:val="0"/>
        <w:spacing w:line="480" w:lineRule="exact"/>
        <w:ind w:firstLine="964" w:firstLineChars="400"/>
        <w:rPr>
          <w:rFonts w:ascii="Times New Roman" w:eastAsia="仿宋"/>
          <w:b/>
          <w:bCs/>
          <w:sz w:val="24"/>
          <w:szCs w:val="24"/>
        </w:rPr>
      </w:pPr>
      <w:r>
        <w:rPr>
          <w:rFonts w:ascii="Times New Roman" w:eastAsia="仿宋"/>
          <w:b/>
          <w:bCs/>
          <w:sz w:val="24"/>
          <w:szCs w:val="24"/>
        </w:rPr>
        <w:t>甲   方</w:t>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乙    方</w:t>
      </w:r>
      <w:r>
        <w:rPr>
          <w:rFonts w:ascii="Times New Roman" w:eastAsia="仿宋"/>
          <w:b/>
          <w:bCs/>
          <w:sz w:val="24"/>
          <w:szCs w:val="24"/>
        </w:rPr>
        <w:tab/>
      </w:r>
      <w:r>
        <w:rPr>
          <w:rFonts w:ascii="Times New Roman" w:eastAsia="仿宋"/>
          <w:b/>
          <w:bCs/>
          <w:sz w:val="24"/>
          <w:szCs w:val="24"/>
        </w:rPr>
        <w:tab/>
      </w:r>
      <w:r>
        <w:rPr>
          <w:rFonts w:ascii="Times New Roman" w:eastAsia="仿宋"/>
          <w:b/>
          <w:bCs/>
          <w:sz w:val="24"/>
          <w:szCs w:val="24"/>
        </w:rPr>
        <w:tab/>
      </w:r>
    </w:p>
    <w:tbl>
      <w:tblPr>
        <w:tblStyle w:val="67"/>
        <w:tblW w:w="9480" w:type="dxa"/>
        <w:tblInd w:w="-12" w:type="dxa"/>
        <w:tblLayout w:type="fixed"/>
        <w:tblCellMar>
          <w:top w:w="0" w:type="dxa"/>
          <w:left w:w="108" w:type="dxa"/>
          <w:bottom w:w="0" w:type="dxa"/>
          <w:right w:w="108" w:type="dxa"/>
        </w:tblCellMar>
      </w:tblPr>
      <w:tblGrid>
        <w:gridCol w:w="4620"/>
        <w:gridCol w:w="4860"/>
      </w:tblGrid>
      <w:tr>
        <w:tblPrEx>
          <w:tblCellMar>
            <w:top w:w="0" w:type="dxa"/>
            <w:left w:w="108" w:type="dxa"/>
            <w:bottom w:w="0" w:type="dxa"/>
            <w:right w:w="108" w:type="dxa"/>
          </w:tblCellMar>
        </w:tblPrEx>
        <w:tc>
          <w:tcPr>
            <w:tcW w:w="4620" w:type="dxa"/>
          </w:tcPr>
          <w:p>
            <w:pPr>
              <w:rPr>
                <w:rFonts w:eastAsia="仿宋"/>
                <w:szCs w:val="21"/>
              </w:rPr>
            </w:pPr>
            <w:r>
              <w:rPr>
                <w:rFonts w:eastAsia="仿宋"/>
                <w:szCs w:val="21"/>
              </w:rPr>
              <w:t>全称：</w:t>
            </w:r>
          </w:p>
        </w:tc>
        <w:tc>
          <w:tcPr>
            <w:tcW w:w="4860" w:type="dxa"/>
          </w:tcPr>
          <w:p>
            <w:pPr>
              <w:rPr>
                <w:rFonts w:eastAsia="仿宋"/>
                <w:szCs w:val="21"/>
              </w:rPr>
            </w:pPr>
            <w:r>
              <w:rPr>
                <w:rFonts w:eastAsia="仿宋"/>
                <w:szCs w:val="21"/>
              </w:rPr>
              <w:t xml:space="preserve">全称： </w:t>
            </w:r>
          </w:p>
        </w:tc>
      </w:tr>
      <w:tr>
        <w:tblPrEx>
          <w:tblCellMar>
            <w:top w:w="0" w:type="dxa"/>
            <w:left w:w="108" w:type="dxa"/>
            <w:bottom w:w="0" w:type="dxa"/>
            <w:right w:w="108" w:type="dxa"/>
          </w:tblCellMar>
        </w:tblPrEx>
        <w:tc>
          <w:tcPr>
            <w:tcW w:w="4620" w:type="dxa"/>
          </w:tcPr>
          <w:p>
            <w:pPr>
              <w:rPr>
                <w:rFonts w:eastAsia="仿宋"/>
                <w:szCs w:val="21"/>
              </w:rPr>
            </w:pPr>
            <w:r>
              <w:rPr>
                <w:rFonts w:eastAsia="仿宋"/>
                <w:szCs w:val="21"/>
              </w:rPr>
              <w:t>（盖章）</w:t>
            </w:r>
          </w:p>
        </w:tc>
        <w:tc>
          <w:tcPr>
            <w:tcW w:w="4860" w:type="dxa"/>
          </w:tcPr>
          <w:p>
            <w:pPr>
              <w:rPr>
                <w:rFonts w:eastAsia="仿宋"/>
                <w:szCs w:val="21"/>
              </w:rPr>
            </w:pPr>
            <w:r>
              <w:rPr>
                <w:rFonts w:eastAsia="仿宋"/>
                <w:szCs w:val="21"/>
              </w:rPr>
              <w:t>（盖章）</w:t>
            </w:r>
          </w:p>
        </w:tc>
      </w:tr>
      <w:tr>
        <w:tblPrEx>
          <w:tblCellMar>
            <w:top w:w="0" w:type="dxa"/>
            <w:left w:w="108" w:type="dxa"/>
            <w:bottom w:w="0" w:type="dxa"/>
            <w:right w:w="108" w:type="dxa"/>
          </w:tblCellMar>
        </w:tblPrEx>
        <w:tc>
          <w:tcPr>
            <w:tcW w:w="4620" w:type="dxa"/>
          </w:tcPr>
          <w:p>
            <w:pPr>
              <w:rPr>
                <w:rFonts w:eastAsia="仿宋"/>
                <w:szCs w:val="21"/>
              </w:rPr>
            </w:pPr>
            <w:r>
              <w:rPr>
                <w:rFonts w:eastAsia="仿宋"/>
                <w:szCs w:val="21"/>
              </w:rPr>
              <w:t>邮  编：</w:t>
            </w:r>
          </w:p>
        </w:tc>
        <w:tc>
          <w:tcPr>
            <w:tcW w:w="4860" w:type="dxa"/>
          </w:tcPr>
          <w:p>
            <w:pPr>
              <w:rPr>
                <w:rFonts w:eastAsia="仿宋"/>
                <w:szCs w:val="21"/>
              </w:rPr>
            </w:pPr>
            <w:r>
              <w:rPr>
                <w:rFonts w:eastAsia="仿宋"/>
                <w:szCs w:val="21"/>
              </w:rPr>
              <w:t xml:space="preserve">邮  编： </w:t>
            </w:r>
          </w:p>
        </w:tc>
      </w:tr>
      <w:tr>
        <w:tblPrEx>
          <w:tblCellMar>
            <w:top w:w="0" w:type="dxa"/>
            <w:left w:w="108" w:type="dxa"/>
            <w:bottom w:w="0" w:type="dxa"/>
            <w:right w:w="108" w:type="dxa"/>
          </w:tblCellMar>
        </w:tblPrEx>
        <w:tc>
          <w:tcPr>
            <w:tcW w:w="4620" w:type="dxa"/>
          </w:tcPr>
          <w:p>
            <w:pPr>
              <w:rPr>
                <w:rFonts w:eastAsia="仿宋"/>
                <w:szCs w:val="21"/>
              </w:rPr>
            </w:pPr>
            <w:r>
              <w:rPr>
                <w:rFonts w:eastAsia="仿宋"/>
                <w:szCs w:val="21"/>
              </w:rPr>
              <w:t xml:space="preserve">地  址： </w:t>
            </w:r>
          </w:p>
        </w:tc>
        <w:tc>
          <w:tcPr>
            <w:tcW w:w="4860" w:type="dxa"/>
          </w:tcPr>
          <w:p>
            <w:pPr>
              <w:ind w:left="960" w:hanging="960" w:hangingChars="400"/>
              <w:rPr>
                <w:rFonts w:eastAsia="仿宋"/>
                <w:szCs w:val="21"/>
              </w:rPr>
            </w:pPr>
            <w:r>
              <w:rPr>
                <w:rFonts w:eastAsia="仿宋"/>
                <w:szCs w:val="21"/>
              </w:rPr>
              <w:t xml:space="preserve">地  址： </w:t>
            </w:r>
          </w:p>
        </w:tc>
      </w:tr>
      <w:tr>
        <w:tblPrEx>
          <w:tblCellMar>
            <w:top w:w="0" w:type="dxa"/>
            <w:left w:w="108" w:type="dxa"/>
            <w:bottom w:w="0" w:type="dxa"/>
            <w:right w:w="108" w:type="dxa"/>
          </w:tblCellMar>
        </w:tblPrEx>
        <w:trPr>
          <w:trHeight w:val="500" w:hRule="atLeast"/>
        </w:trPr>
        <w:tc>
          <w:tcPr>
            <w:tcW w:w="4620" w:type="dxa"/>
          </w:tcPr>
          <w:p>
            <w:pPr>
              <w:rPr>
                <w:rFonts w:eastAsia="仿宋"/>
                <w:szCs w:val="21"/>
              </w:rPr>
            </w:pPr>
            <w:r>
              <w:rPr>
                <w:rFonts w:eastAsia="仿宋"/>
                <w:szCs w:val="21"/>
              </w:rPr>
              <w:t>电  话：</w:t>
            </w:r>
          </w:p>
        </w:tc>
        <w:tc>
          <w:tcPr>
            <w:tcW w:w="4860" w:type="dxa"/>
          </w:tcPr>
          <w:p>
            <w:pPr>
              <w:rPr>
                <w:rFonts w:eastAsia="仿宋"/>
                <w:szCs w:val="21"/>
              </w:rPr>
            </w:pPr>
            <w:r>
              <w:rPr>
                <w:rFonts w:eastAsia="仿宋"/>
                <w:szCs w:val="21"/>
              </w:rPr>
              <w:t xml:space="preserve">电  话： </w:t>
            </w:r>
          </w:p>
        </w:tc>
      </w:tr>
      <w:tr>
        <w:tblPrEx>
          <w:tblCellMar>
            <w:top w:w="0" w:type="dxa"/>
            <w:left w:w="108" w:type="dxa"/>
            <w:bottom w:w="0" w:type="dxa"/>
            <w:right w:w="108" w:type="dxa"/>
          </w:tblCellMar>
        </w:tblPrEx>
        <w:tc>
          <w:tcPr>
            <w:tcW w:w="4620" w:type="dxa"/>
          </w:tcPr>
          <w:p>
            <w:pPr>
              <w:rPr>
                <w:rFonts w:eastAsia="仿宋"/>
                <w:szCs w:val="21"/>
              </w:rPr>
            </w:pPr>
            <w:r>
              <w:rPr>
                <w:rFonts w:eastAsia="仿宋"/>
                <w:szCs w:val="21"/>
              </w:rPr>
              <w:t>传  真：</w:t>
            </w:r>
          </w:p>
        </w:tc>
        <w:tc>
          <w:tcPr>
            <w:tcW w:w="4860" w:type="dxa"/>
          </w:tcPr>
          <w:p>
            <w:pPr>
              <w:rPr>
                <w:rFonts w:eastAsia="仿宋"/>
                <w:szCs w:val="21"/>
              </w:rPr>
            </w:pPr>
            <w:r>
              <w:rPr>
                <w:rFonts w:eastAsia="仿宋"/>
                <w:szCs w:val="21"/>
              </w:rPr>
              <w:t xml:space="preserve">传  真： </w:t>
            </w:r>
          </w:p>
        </w:tc>
      </w:tr>
      <w:tr>
        <w:tblPrEx>
          <w:tblCellMar>
            <w:top w:w="0" w:type="dxa"/>
            <w:left w:w="108" w:type="dxa"/>
            <w:bottom w:w="0" w:type="dxa"/>
            <w:right w:w="108" w:type="dxa"/>
          </w:tblCellMar>
        </w:tblPrEx>
        <w:trPr>
          <w:trHeight w:val="468" w:hRule="atLeast"/>
        </w:trPr>
        <w:tc>
          <w:tcPr>
            <w:tcW w:w="4620" w:type="dxa"/>
          </w:tcPr>
          <w:p>
            <w:pPr>
              <w:rPr>
                <w:rFonts w:eastAsia="仿宋"/>
                <w:szCs w:val="21"/>
              </w:rPr>
            </w:pPr>
            <w:r>
              <w:rPr>
                <w:rFonts w:eastAsia="仿宋"/>
                <w:szCs w:val="21"/>
              </w:rPr>
              <w:t xml:space="preserve">经办人： </w:t>
            </w:r>
          </w:p>
        </w:tc>
        <w:tc>
          <w:tcPr>
            <w:tcW w:w="4860" w:type="dxa"/>
          </w:tcPr>
          <w:p>
            <w:pPr>
              <w:rPr>
                <w:rFonts w:eastAsia="仿宋"/>
                <w:szCs w:val="21"/>
              </w:rPr>
            </w:pPr>
            <w:r>
              <w:rPr>
                <w:rFonts w:eastAsia="仿宋"/>
                <w:szCs w:val="21"/>
              </w:rPr>
              <w:t xml:space="preserve">经办人： </w:t>
            </w:r>
          </w:p>
        </w:tc>
      </w:tr>
      <w:tr>
        <w:tblPrEx>
          <w:tblCellMar>
            <w:top w:w="0" w:type="dxa"/>
            <w:left w:w="108" w:type="dxa"/>
            <w:bottom w:w="0" w:type="dxa"/>
            <w:right w:w="108" w:type="dxa"/>
          </w:tblCellMar>
        </w:tblPrEx>
        <w:tc>
          <w:tcPr>
            <w:tcW w:w="4620" w:type="dxa"/>
          </w:tcPr>
          <w:p>
            <w:pPr>
              <w:rPr>
                <w:rFonts w:eastAsia="仿宋"/>
                <w:szCs w:val="21"/>
              </w:rPr>
            </w:pPr>
            <w:r>
              <w:rPr>
                <w:rFonts w:eastAsia="仿宋"/>
                <w:szCs w:val="21"/>
              </w:rPr>
              <w:t>法定代表人或授权代表：</w:t>
            </w:r>
          </w:p>
          <w:p>
            <w:pPr>
              <w:rPr>
                <w:rFonts w:eastAsia="仿宋"/>
                <w:szCs w:val="21"/>
              </w:rPr>
            </w:pPr>
            <w:r>
              <w:rPr>
                <w:rFonts w:eastAsia="仿宋"/>
                <w:szCs w:val="21"/>
              </w:rPr>
              <w:t xml:space="preserve">签字：___________________                              </w:t>
            </w:r>
          </w:p>
        </w:tc>
        <w:tc>
          <w:tcPr>
            <w:tcW w:w="4860" w:type="dxa"/>
          </w:tcPr>
          <w:p>
            <w:pPr>
              <w:rPr>
                <w:rFonts w:eastAsia="仿宋"/>
                <w:szCs w:val="21"/>
              </w:rPr>
            </w:pPr>
            <w:r>
              <w:rPr>
                <w:rFonts w:eastAsia="仿宋"/>
                <w:szCs w:val="21"/>
              </w:rPr>
              <w:t xml:space="preserve">法定代表人： </w:t>
            </w:r>
          </w:p>
          <w:p>
            <w:pPr>
              <w:rPr>
                <w:rFonts w:eastAsia="仿宋"/>
                <w:szCs w:val="21"/>
              </w:rPr>
            </w:pPr>
            <w:r>
              <w:rPr>
                <w:rFonts w:eastAsia="仿宋"/>
                <w:szCs w:val="21"/>
              </w:rPr>
              <w:t>签字：______________________</w:t>
            </w:r>
          </w:p>
        </w:tc>
      </w:tr>
      <w:tr>
        <w:tblPrEx>
          <w:tblCellMar>
            <w:top w:w="0" w:type="dxa"/>
            <w:left w:w="108" w:type="dxa"/>
            <w:bottom w:w="0" w:type="dxa"/>
            <w:right w:w="108" w:type="dxa"/>
          </w:tblCellMar>
        </w:tblPrEx>
        <w:tc>
          <w:tcPr>
            <w:tcW w:w="4620" w:type="dxa"/>
          </w:tcPr>
          <w:p>
            <w:pPr>
              <w:rPr>
                <w:rFonts w:eastAsia="仿宋"/>
                <w:szCs w:val="21"/>
              </w:rPr>
            </w:pPr>
          </w:p>
          <w:p>
            <w:pPr>
              <w:rPr>
                <w:rFonts w:eastAsia="仿宋"/>
                <w:szCs w:val="21"/>
              </w:rPr>
            </w:pPr>
            <w:r>
              <w:rPr>
                <w:rFonts w:eastAsia="仿宋"/>
                <w:szCs w:val="21"/>
              </w:rPr>
              <w:t>日  期： 2020  年 月</w:t>
            </w:r>
          </w:p>
        </w:tc>
        <w:tc>
          <w:tcPr>
            <w:tcW w:w="4860" w:type="dxa"/>
          </w:tcPr>
          <w:p>
            <w:pPr>
              <w:rPr>
                <w:rFonts w:eastAsia="仿宋"/>
                <w:szCs w:val="21"/>
              </w:rPr>
            </w:pPr>
          </w:p>
          <w:p>
            <w:pPr>
              <w:rPr>
                <w:rFonts w:eastAsia="仿宋"/>
                <w:szCs w:val="21"/>
              </w:rPr>
            </w:pPr>
            <w:r>
              <w:rPr>
                <w:rFonts w:eastAsia="仿宋"/>
                <w:szCs w:val="21"/>
              </w:rPr>
              <w:t>日  期：  2020  年  月</w:t>
            </w:r>
          </w:p>
        </w:tc>
      </w:tr>
      <w:bookmarkEnd w:id="119"/>
    </w:tbl>
    <w:p>
      <w:pPr>
        <w:pStyle w:val="63"/>
        <w:snapToGrid w:val="0"/>
        <w:spacing w:before="0" w:after="0" w:line="500" w:lineRule="exact"/>
        <w:rPr>
          <w:rFonts w:ascii="Times New Roman" w:hAnsi="Times New Roman" w:eastAsia="仿宋"/>
          <w:b w:val="0"/>
          <w:sz w:val="40"/>
        </w:rPr>
      </w:pPr>
      <w:r>
        <w:rPr>
          <w:rFonts w:ascii="Times New Roman" w:hAnsi="Times New Roman" w:eastAsia="仿宋"/>
          <w:szCs w:val="21"/>
        </w:rPr>
        <w:br w:type="page"/>
      </w:r>
      <w:bookmarkStart w:id="120" w:name="_Toc23527956"/>
      <w:bookmarkStart w:id="121" w:name="_Toc15839"/>
      <w:bookmarkStart w:id="122" w:name="_Toc99785571"/>
      <w:bookmarkStart w:id="123" w:name="_Toc12788"/>
      <w:r>
        <w:rPr>
          <w:rFonts w:ascii="Times New Roman" w:hAnsi="Times New Roman" w:eastAsia="仿宋"/>
          <w:b w:val="0"/>
          <w:sz w:val="40"/>
        </w:rPr>
        <w:t>第五部分  投标文件格式</w:t>
      </w:r>
      <w:bookmarkEnd w:id="120"/>
      <w:bookmarkEnd w:id="121"/>
      <w:bookmarkEnd w:id="122"/>
      <w:bookmarkEnd w:id="123"/>
    </w:p>
    <w:p>
      <w:pPr>
        <w:snapToGrid w:val="0"/>
        <w:spacing w:line="500" w:lineRule="exact"/>
        <w:jc w:val="center"/>
        <w:rPr>
          <w:rFonts w:eastAsia="仿宋"/>
          <w:bCs/>
          <w:sz w:val="32"/>
          <w:szCs w:val="32"/>
        </w:rPr>
      </w:pPr>
      <w:r>
        <w:rPr>
          <w:rFonts w:eastAsia="仿宋"/>
          <w:bCs/>
          <w:sz w:val="32"/>
          <w:szCs w:val="32"/>
        </w:rPr>
        <w:t>所有投标材料均按页加盖公章</w:t>
      </w:r>
    </w:p>
    <w:p>
      <w:pPr>
        <w:snapToGrid w:val="0"/>
        <w:spacing w:line="500" w:lineRule="exact"/>
        <w:rPr>
          <w:rFonts w:eastAsia="仿宋"/>
          <w:bCs/>
          <w:u w:val="single"/>
        </w:rPr>
      </w:pPr>
    </w:p>
    <w:p>
      <w:pPr>
        <w:snapToGrid w:val="0"/>
        <w:spacing w:line="500" w:lineRule="exact"/>
        <w:rPr>
          <w:rFonts w:eastAsia="仿宋"/>
          <w:bCs/>
          <w:u w:val="single"/>
        </w:rPr>
      </w:pPr>
      <w:r>
        <w:rPr>
          <w:rFonts w:eastAsia="仿宋"/>
          <w:bCs/>
          <w:u w:val="single"/>
        </w:rPr>
        <w:t>投标文件封面示例</w:t>
      </w:r>
    </w:p>
    <w:p>
      <w:pPr>
        <w:keepNext/>
        <w:keepLines/>
        <w:spacing w:before="120" w:after="120" w:line="500" w:lineRule="exact"/>
        <w:ind w:firstLine="640" w:firstLineChars="200"/>
        <w:jc w:val="left"/>
        <w:outlineLvl w:val="1"/>
        <w:rPr>
          <w:rFonts w:eastAsia="仿宋"/>
          <w:bCs/>
          <w:sz w:val="32"/>
          <w:szCs w:val="20"/>
        </w:rPr>
      </w:pPr>
      <w:bookmarkStart w:id="124" w:name="_Toc3891636"/>
      <w:bookmarkStart w:id="125" w:name="_Toc1719140"/>
      <w:bookmarkStart w:id="126" w:name="_Toc99785572"/>
      <w:bookmarkStart w:id="127" w:name="_Toc1721036"/>
      <w:bookmarkStart w:id="128" w:name="_Toc16496"/>
      <w:bookmarkStart w:id="129" w:name="_Toc23527957"/>
      <w:bookmarkStart w:id="130" w:name="_Toc26818"/>
      <w:r>
        <w:rPr>
          <w:rFonts w:eastAsia="仿宋"/>
          <w:bCs/>
          <w:sz w:val="32"/>
          <w:szCs w:val="20"/>
        </w:rPr>
        <w:t>封面</w:t>
      </w:r>
      <w:bookmarkEnd w:id="124"/>
      <w:bookmarkEnd w:id="125"/>
      <w:bookmarkEnd w:id="126"/>
      <w:bookmarkEnd w:id="127"/>
      <w:bookmarkEnd w:id="128"/>
      <w:bookmarkEnd w:id="129"/>
      <w:bookmarkEnd w:id="130"/>
    </w:p>
    <w:p>
      <w:pPr>
        <w:spacing w:line="500" w:lineRule="exact"/>
        <w:ind w:firstLine="800" w:firstLineChars="200"/>
        <w:jc w:val="right"/>
        <w:rPr>
          <w:rFonts w:eastAsia="仿宋"/>
          <w:bCs/>
          <w:sz w:val="40"/>
          <w:szCs w:val="28"/>
          <w:bdr w:val="single" w:color="auto" w:sz="4" w:space="0"/>
        </w:rPr>
      </w:pPr>
      <w:r>
        <w:rPr>
          <w:rFonts w:eastAsia="仿宋"/>
          <w:bCs/>
          <w:sz w:val="40"/>
          <w:szCs w:val="28"/>
          <w:bdr w:val="single" w:color="auto" w:sz="4" w:space="0"/>
        </w:rPr>
        <w:t>正/副本</w:t>
      </w:r>
    </w:p>
    <w:p>
      <w:pPr>
        <w:spacing w:line="500" w:lineRule="exact"/>
        <w:ind w:firstLine="560" w:firstLineChars="200"/>
        <w:jc w:val="right"/>
        <w:rPr>
          <w:rFonts w:eastAsia="仿宋"/>
          <w:bCs/>
          <w:sz w:val="28"/>
          <w:szCs w:val="28"/>
        </w:rPr>
      </w:pPr>
    </w:p>
    <w:p>
      <w:pPr>
        <w:spacing w:line="500" w:lineRule="exact"/>
        <w:jc w:val="center"/>
        <w:rPr>
          <w:rFonts w:eastAsia="仿宋"/>
          <w:bCs/>
          <w:sz w:val="40"/>
          <w:szCs w:val="28"/>
        </w:rPr>
      </w:pPr>
      <w:r>
        <w:rPr>
          <w:rFonts w:eastAsia="仿宋"/>
          <w:bCs/>
          <w:sz w:val="40"/>
          <w:szCs w:val="28"/>
        </w:rPr>
        <w:t>××项目</w:t>
      </w:r>
    </w:p>
    <w:p>
      <w:pPr>
        <w:spacing w:line="500" w:lineRule="exact"/>
        <w:jc w:val="center"/>
        <w:rPr>
          <w:rFonts w:eastAsia="仿宋"/>
          <w:bCs/>
          <w:sz w:val="40"/>
          <w:szCs w:val="28"/>
        </w:rPr>
      </w:pPr>
    </w:p>
    <w:p>
      <w:pPr>
        <w:spacing w:line="500" w:lineRule="exact"/>
        <w:jc w:val="center"/>
        <w:rPr>
          <w:rFonts w:eastAsia="仿宋"/>
          <w:bCs/>
          <w:sz w:val="40"/>
          <w:szCs w:val="28"/>
        </w:rPr>
      </w:pPr>
      <w:r>
        <w:rPr>
          <w:rFonts w:eastAsia="仿宋"/>
          <w:bCs/>
          <w:sz w:val="40"/>
          <w:szCs w:val="28"/>
        </w:rPr>
        <w:t>投标文件</w:t>
      </w:r>
    </w:p>
    <w:p>
      <w:pPr>
        <w:spacing w:line="500" w:lineRule="exact"/>
        <w:rPr>
          <w:rFonts w:eastAsia="仿宋"/>
          <w:bCs/>
          <w:sz w:val="28"/>
          <w:szCs w:val="28"/>
        </w:rPr>
      </w:pPr>
    </w:p>
    <w:p>
      <w:pPr>
        <w:spacing w:line="500" w:lineRule="exact"/>
        <w:rPr>
          <w:rFonts w:eastAsia="仿宋"/>
          <w:bCs/>
          <w:sz w:val="28"/>
          <w:szCs w:val="28"/>
        </w:rPr>
      </w:pPr>
    </w:p>
    <w:p>
      <w:pPr>
        <w:spacing w:line="500" w:lineRule="exact"/>
        <w:ind w:firstLine="560" w:firstLineChars="200"/>
        <w:rPr>
          <w:rFonts w:eastAsia="仿宋"/>
          <w:bCs/>
          <w:sz w:val="28"/>
          <w:szCs w:val="28"/>
        </w:rPr>
      </w:pPr>
      <w:r>
        <w:rPr>
          <w:rFonts w:eastAsia="仿宋"/>
          <w:bCs/>
          <w:sz w:val="28"/>
          <w:szCs w:val="28"/>
        </w:rPr>
        <w:t>项目名称：</w:t>
      </w:r>
    </w:p>
    <w:p>
      <w:pPr>
        <w:spacing w:line="500" w:lineRule="exact"/>
        <w:ind w:firstLine="560" w:firstLineChars="200"/>
        <w:rPr>
          <w:rFonts w:eastAsia="仿宋"/>
          <w:bCs/>
          <w:sz w:val="28"/>
          <w:szCs w:val="28"/>
        </w:rPr>
      </w:pPr>
      <w:r>
        <w:rPr>
          <w:rFonts w:eastAsia="仿宋"/>
          <w:bCs/>
          <w:sz w:val="28"/>
          <w:szCs w:val="28"/>
        </w:rPr>
        <w:t>招 标 人：</w:t>
      </w:r>
    </w:p>
    <w:p>
      <w:pPr>
        <w:spacing w:line="500" w:lineRule="exact"/>
        <w:ind w:firstLine="560" w:firstLineChars="200"/>
        <w:rPr>
          <w:rFonts w:eastAsia="仿宋"/>
          <w:bCs/>
          <w:sz w:val="28"/>
          <w:szCs w:val="28"/>
        </w:rPr>
      </w:pPr>
      <w:r>
        <w:rPr>
          <w:rFonts w:eastAsia="仿宋"/>
          <w:bCs/>
          <w:sz w:val="28"/>
          <w:szCs w:val="28"/>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100965</wp:posOffset>
                </wp:positionV>
                <wp:extent cx="50006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635"/>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36.75pt;margin-top:7.95pt;height:0.05pt;width:393.75pt;z-index:251659264;mso-width-relative:page;mso-height-relative:page;" filled="f" stroked="t" coordsize="21600,21600"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3x3vHWAAAACAEAAA8AAAAAAAAAAQAgAAAAIgAAAGRycy9kb3ducmV2Lnht&#10;bFBLAQIUABQAAAAIAIdO4kDUqoXw+wEAAPYDAAAOAAAAAAAAAAEAIAAAACUBAABkcnMvZTJvRG9j&#10;LnhtbFBLBQYAAAAABgAGAFkBAACSBQAAAAA=&#10;">
                <v:fill on="f" focussize="0,0"/>
                <v:stroke weight="1pt" color="#000000" joinstyle="round" dashstyle="1 1"/>
                <v:imagedata o:title=""/>
                <o:lock v:ext="edit" aspectratio="f"/>
              </v:line>
            </w:pict>
          </mc:Fallback>
        </mc:AlternateContent>
      </w:r>
    </w:p>
    <w:p>
      <w:pPr>
        <w:spacing w:line="500" w:lineRule="exact"/>
        <w:ind w:firstLine="560" w:firstLineChars="200"/>
        <w:rPr>
          <w:rFonts w:eastAsia="仿宋"/>
          <w:bCs/>
          <w:sz w:val="28"/>
          <w:szCs w:val="28"/>
        </w:rPr>
      </w:pPr>
      <w:r>
        <w:rPr>
          <w:rFonts w:eastAsia="仿宋"/>
          <w:bCs/>
          <w:sz w:val="28"/>
          <w:szCs w:val="28"/>
        </w:rPr>
        <w:t xml:space="preserve">投  标  人： </w:t>
      </w:r>
    </w:p>
    <w:p>
      <w:pPr>
        <w:spacing w:line="500" w:lineRule="exact"/>
        <w:ind w:firstLine="560" w:firstLineChars="200"/>
        <w:rPr>
          <w:rFonts w:eastAsia="仿宋"/>
          <w:bCs/>
          <w:sz w:val="28"/>
          <w:szCs w:val="28"/>
        </w:rPr>
      </w:pPr>
      <w:r>
        <w:rPr>
          <w:rFonts w:eastAsia="仿宋"/>
          <w:bCs/>
          <w:sz w:val="28"/>
          <w:szCs w:val="28"/>
        </w:rPr>
        <w:t>法定代表人（签章）：</w:t>
      </w:r>
    </w:p>
    <w:p>
      <w:pPr>
        <w:spacing w:line="500" w:lineRule="exact"/>
        <w:ind w:firstLine="560" w:firstLineChars="200"/>
        <w:rPr>
          <w:rFonts w:eastAsia="仿宋"/>
          <w:bCs/>
          <w:sz w:val="28"/>
          <w:szCs w:val="28"/>
        </w:rPr>
      </w:pPr>
      <w:r>
        <w:rPr>
          <w:rFonts w:eastAsia="仿宋"/>
          <w:bCs/>
          <w:sz w:val="28"/>
          <w:szCs w:val="28"/>
        </w:rPr>
        <w:t xml:space="preserve">联  系  人： </w:t>
      </w:r>
    </w:p>
    <w:p>
      <w:pPr>
        <w:spacing w:line="500" w:lineRule="exact"/>
        <w:ind w:firstLine="560" w:firstLineChars="200"/>
        <w:rPr>
          <w:rFonts w:eastAsia="仿宋"/>
          <w:bCs/>
          <w:sz w:val="28"/>
          <w:szCs w:val="28"/>
        </w:rPr>
      </w:pPr>
      <w:r>
        <w:rPr>
          <w:rFonts w:eastAsia="仿宋"/>
          <w:bCs/>
          <w:sz w:val="28"/>
          <w:szCs w:val="28"/>
        </w:rPr>
        <w:t>电      话：</w:t>
      </w:r>
    </w:p>
    <w:p>
      <w:pPr>
        <w:spacing w:line="500" w:lineRule="exact"/>
        <w:ind w:firstLine="560" w:firstLineChars="200"/>
        <w:rPr>
          <w:rFonts w:eastAsia="仿宋"/>
          <w:bCs/>
          <w:sz w:val="28"/>
          <w:szCs w:val="28"/>
        </w:rPr>
      </w:pPr>
      <w:r>
        <w:rPr>
          <w:rFonts w:eastAsia="仿宋"/>
          <w:bCs/>
          <w:sz w:val="28"/>
          <w:szCs w:val="28"/>
        </w:rPr>
        <w:t xml:space="preserve">地      址： </w:t>
      </w:r>
    </w:p>
    <w:p>
      <w:pPr>
        <w:snapToGrid w:val="0"/>
        <w:spacing w:line="500" w:lineRule="exact"/>
        <w:jc w:val="center"/>
        <w:rPr>
          <w:rFonts w:eastAsia="仿宋"/>
          <w:bCs/>
          <w:sz w:val="28"/>
          <w:szCs w:val="28"/>
        </w:rPr>
        <w:sectPr>
          <w:pgSz w:w="11906" w:h="16838"/>
          <w:pgMar w:top="1134" w:right="850" w:bottom="1134" w:left="850" w:header="283" w:footer="283" w:gutter="0"/>
          <w:cols w:space="720" w:num="1"/>
          <w:docGrid w:type="lines" w:linePitch="339" w:charSpace="0"/>
        </w:sectPr>
      </w:pPr>
    </w:p>
    <w:p>
      <w:pPr>
        <w:snapToGrid w:val="0"/>
        <w:spacing w:line="500" w:lineRule="exact"/>
        <w:jc w:val="center"/>
        <w:rPr>
          <w:rFonts w:eastAsia="仿宋"/>
          <w:bCs/>
        </w:rPr>
      </w:pPr>
      <w:r>
        <w:rPr>
          <w:rFonts w:eastAsia="仿宋"/>
          <w:bCs/>
        </w:rPr>
        <w:t>评分标准表对应投标文件页码</w:t>
      </w:r>
    </w:p>
    <w:p>
      <w:pPr>
        <w:rPr>
          <w:rFonts w:ascii="仿宋" w:hAnsi="仿宋" w:eastAsia="仿宋" w:cs="仿宋"/>
        </w:rPr>
      </w:pPr>
      <w:bookmarkStart w:id="131" w:name="_Toc23527958"/>
      <w:r>
        <w:rPr>
          <w:rFonts w:hint="eastAsia" w:ascii="仿宋" w:hAnsi="仿宋" w:eastAsia="仿宋" w:cs="仿宋"/>
        </w:rPr>
        <w:t>评分办法，本次招标采用综合评分法，共100分，其中商务、技术部分90分，价格部分10分,（评分计算保留小数2位）：</w:t>
      </w:r>
    </w:p>
    <w:tbl>
      <w:tblPr>
        <w:tblStyle w:val="67"/>
        <w:tblW w:w="15380"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2465"/>
        <w:gridCol w:w="70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147" w:type="dxa"/>
            <w:vAlign w:val="center"/>
          </w:tcPr>
          <w:p>
            <w:pPr>
              <w:spacing w:line="240" w:lineRule="exact"/>
              <w:jc w:val="center"/>
              <w:rPr>
                <w:rFonts w:eastAsia="仿宋"/>
                <w:b/>
                <w:bCs/>
                <w:kern w:val="0"/>
                <w:szCs w:val="21"/>
              </w:rPr>
            </w:pPr>
          </w:p>
        </w:tc>
        <w:tc>
          <w:tcPr>
            <w:tcW w:w="12465" w:type="dxa"/>
            <w:vAlign w:val="center"/>
          </w:tcPr>
          <w:p>
            <w:pPr>
              <w:spacing w:line="240" w:lineRule="exact"/>
              <w:jc w:val="center"/>
              <w:rPr>
                <w:rFonts w:eastAsia="仿宋"/>
                <w:b/>
                <w:bCs/>
                <w:szCs w:val="21"/>
              </w:rPr>
            </w:pPr>
          </w:p>
        </w:tc>
        <w:tc>
          <w:tcPr>
            <w:tcW w:w="705" w:type="dxa"/>
            <w:vAlign w:val="center"/>
          </w:tcPr>
          <w:p>
            <w:pPr>
              <w:spacing w:line="240" w:lineRule="exact"/>
              <w:jc w:val="center"/>
              <w:rPr>
                <w:rFonts w:eastAsia="仿宋"/>
                <w:b/>
                <w:bCs/>
                <w:kern w:val="0"/>
                <w:szCs w:val="21"/>
                <w:highlight w:val="yellow"/>
              </w:rPr>
            </w:pPr>
            <w:r>
              <w:rPr>
                <w:rFonts w:eastAsia="仿宋"/>
                <w:b/>
                <w:bCs/>
                <w:szCs w:val="21"/>
              </w:rPr>
              <w:t>得分</w:t>
            </w:r>
          </w:p>
        </w:tc>
        <w:tc>
          <w:tcPr>
            <w:tcW w:w="1063" w:type="dxa"/>
            <w:vAlign w:val="center"/>
          </w:tcPr>
          <w:p>
            <w:pPr>
              <w:spacing w:line="240" w:lineRule="exact"/>
              <w:jc w:val="center"/>
              <w:rPr>
                <w:rFonts w:eastAsia="仿宋"/>
                <w:b/>
                <w:bCs/>
                <w:szCs w:val="21"/>
              </w:rPr>
            </w:pPr>
            <w:r>
              <w:rPr>
                <w:rFonts w:hint="eastAsia" w:eastAsia="仿宋"/>
                <w:b/>
                <w:bCs/>
                <w:szCs w:val="21"/>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47" w:type="dxa"/>
            <w:vAlign w:val="center"/>
          </w:tcPr>
          <w:p>
            <w:pPr>
              <w:spacing w:line="240" w:lineRule="exact"/>
              <w:rPr>
                <w:rFonts w:eastAsia="仿宋"/>
                <w:kern w:val="0"/>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147" w:type="dxa"/>
            <w:vAlign w:val="center"/>
          </w:tcPr>
          <w:p>
            <w:pPr>
              <w:spacing w:line="240" w:lineRule="exact"/>
              <w:rPr>
                <w:rFonts w:eastAsia="仿宋"/>
                <w:kern w:val="0"/>
                <w:szCs w:val="21"/>
              </w:rPr>
            </w:pPr>
          </w:p>
        </w:tc>
        <w:tc>
          <w:tcPr>
            <w:tcW w:w="12465" w:type="dxa"/>
            <w:vAlign w:val="center"/>
          </w:tcPr>
          <w:p>
            <w:pPr>
              <w:spacing w:line="240" w:lineRule="exact"/>
              <w:rPr>
                <w:rFonts w:eastAsia="仿宋"/>
                <w:kern w:val="1"/>
                <w:szCs w:val="21"/>
              </w:rPr>
            </w:pPr>
          </w:p>
        </w:tc>
        <w:tc>
          <w:tcPr>
            <w:tcW w:w="705" w:type="dxa"/>
            <w:vAlign w:val="center"/>
          </w:tcPr>
          <w:p>
            <w:pPr>
              <w:spacing w:line="240" w:lineRule="exact"/>
              <w:jc w:val="center"/>
              <w:rPr>
                <w:rFonts w:eastAsia="仿宋"/>
                <w:kern w:val="1"/>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147" w:type="dxa"/>
            <w:vMerge w:val="restart"/>
            <w:vAlign w:val="center"/>
          </w:tcPr>
          <w:p>
            <w:pPr>
              <w:spacing w:line="240" w:lineRule="exact"/>
              <w:rPr>
                <w:rFonts w:eastAsia="仿宋"/>
                <w:kern w:val="0"/>
                <w:szCs w:val="21"/>
              </w:rPr>
            </w:pPr>
          </w:p>
        </w:tc>
        <w:tc>
          <w:tcPr>
            <w:tcW w:w="12465" w:type="dxa"/>
          </w:tcPr>
          <w:p>
            <w:pPr>
              <w:spacing w:line="240" w:lineRule="exact"/>
              <w:rPr>
                <w:rFonts w:eastAsia="仿宋"/>
                <w:kern w:val="0"/>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147" w:type="dxa"/>
            <w:vMerge w:val="continue"/>
            <w:vAlign w:val="center"/>
          </w:tcPr>
          <w:p>
            <w:pPr>
              <w:spacing w:line="240" w:lineRule="exact"/>
              <w:rPr>
                <w:rFonts w:eastAsia="仿宋"/>
                <w:szCs w:val="21"/>
              </w:rPr>
            </w:pPr>
          </w:p>
        </w:tc>
        <w:tc>
          <w:tcPr>
            <w:tcW w:w="12465" w:type="dxa"/>
          </w:tcPr>
          <w:p>
            <w:pPr>
              <w:spacing w:line="240" w:lineRule="exact"/>
              <w:rPr>
                <w:rFonts w:eastAsia="仿宋"/>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7" w:type="dxa"/>
            <w:vAlign w:val="center"/>
          </w:tcPr>
          <w:p>
            <w:pPr>
              <w:spacing w:line="240" w:lineRule="exact"/>
              <w:rPr>
                <w:rFonts w:eastAsia="仿宋"/>
                <w:kern w:val="0"/>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kern w:val="1"/>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47" w:type="dxa"/>
            <w:vMerge w:val="restart"/>
            <w:vAlign w:val="center"/>
          </w:tcPr>
          <w:p>
            <w:pPr>
              <w:spacing w:line="240" w:lineRule="exact"/>
              <w:rPr>
                <w:rFonts w:eastAsia="仿宋"/>
                <w:kern w:val="0"/>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kern w:val="1"/>
                <w:szCs w:val="21"/>
              </w:rPr>
            </w:pPr>
          </w:p>
        </w:tc>
        <w:tc>
          <w:tcPr>
            <w:tcW w:w="1063" w:type="dxa"/>
            <w:vAlign w:val="center"/>
          </w:tcPr>
          <w:p>
            <w:pPr>
              <w:spacing w:line="240" w:lineRule="exact"/>
              <w:jc w:val="center"/>
              <w:rPr>
                <w:rFonts w:eastAsia="仿宋"/>
                <w:kern w:val="1"/>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7" w:type="dxa"/>
            <w:vMerge w:val="continue"/>
            <w:vAlign w:val="center"/>
          </w:tcPr>
          <w:p>
            <w:pPr>
              <w:spacing w:line="240" w:lineRule="exact"/>
              <w:rPr>
                <w:rFonts w:eastAsia="仿宋"/>
                <w:bCs/>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kern w:val="1"/>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7" w:type="dxa"/>
            <w:vAlign w:val="center"/>
          </w:tcPr>
          <w:p>
            <w:pPr>
              <w:spacing w:line="240" w:lineRule="exact"/>
              <w:rPr>
                <w:rFonts w:eastAsia="仿宋"/>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szCs w:val="21"/>
              </w:rPr>
            </w:pPr>
          </w:p>
        </w:tc>
        <w:tc>
          <w:tcPr>
            <w:tcW w:w="1063" w:type="dxa"/>
            <w:vAlign w:val="center"/>
          </w:tcPr>
          <w:p>
            <w:pPr>
              <w:spacing w:line="240" w:lineRule="exact"/>
              <w:jc w:val="center"/>
              <w:rPr>
                <w:rFonts w:eastAsia="仿宋"/>
                <w:color w:val="00000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47" w:type="dxa"/>
            <w:vMerge w:val="restart"/>
            <w:vAlign w:val="center"/>
          </w:tcPr>
          <w:p>
            <w:pPr>
              <w:spacing w:line="240" w:lineRule="exact"/>
              <w:rPr>
                <w:rFonts w:eastAsia="仿宋"/>
                <w:kern w:val="0"/>
                <w:szCs w:val="21"/>
              </w:rPr>
            </w:pPr>
          </w:p>
        </w:tc>
        <w:tc>
          <w:tcPr>
            <w:tcW w:w="12465" w:type="dxa"/>
            <w:vAlign w:val="center"/>
          </w:tcPr>
          <w:p>
            <w:pPr>
              <w:spacing w:line="240" w:lineRule="exact"/>
              <w:rPr>
                <w:rFonts w:eastAsia="仿宋"/>
                <w:kern w:val="0"/>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7" w:type="dxa"/>
            <w:vMerge w:val="continue"/>
            <w:vAlign w:val="center"/>
          </w:tcPr>
          <w:p>
            <w:pPr>
              <w:spacing w:line="240" w:lineRule="exact"/>
              <w:rPr>
                <w:rFonts w:eastAsia="仿宋"/>
                <w:kern w:val="1"/>
                <w:szCs w:val="21"/>
              </w:rPr>
            </w:pPr>
          </w:p>
        </w:tc>
        <w:tc>
          <w:tcPr>
            <w:tcW w:w="12465" w:type="dxa"/>
            <w:vAlign w:val="center"/>
          </w:tcPr>
          <w:p>
            <w:pPr>
              <w:spacing w:line="240" w:lineRule="exact"/>
              <w:rPr>
                <w:rFonts w:eastAsia="仿宋"/>
                <w:kern w:val="1"/>
                <w:szCs w:val="21"/>
              </w:rPr>
            </w:pPr>
          </w:p>
        </w:tc>
        <w:tc>
          <w:tcPr>
            <w:tcW w:w="705" w:type="dxa"/>
            <w:vAlign w:val="center"/>
          </w:tcPr>
          <w:p>
            <w:pPr>
              <w:spacing w:line="240" w:lineRule="exact"/>
              <w:jc w:val="center"/>
              <w:rPr>
                <w:rFonts w:eastAsia="仿宋"/>
                <w:kern w:val="1"/>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47" w:type="dxa"/>
            <w:vAlign w:val="center"/>
          </w:tcPr>
          <w:p>
            <w:pPr>
              <w:spacing w:line="240" w:lineRule="exact"/>
              <w:jc w:val="center"/>
              <w:rPr>
                <w:rFonts w:eastAsia="仿宋"/>
                <w:kern w:val="0"/>
                <w:szCs w:val="21"/>
              </w:rPr>
            </w:pPr>
          </w:p>
        </w:tc>
        <w:tc>
          <w:tcPr>
            <w:tcW w:w="12465" w:type="dxa"/>
            <w:vAlign w:val="center"/>
          </w:tcPr>
          <w:p>
            <w:pPr>
              <w:spacing w:line="240" w:lineRule="exact"/>
              <w:rPr>
                <w:rFonts w:eastAsia="仿宋"/>
                <w:kern w:val="0"/>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47" w:type="dxa"/>
            <w:vAlign w:val="center"/>
          </w:tcPr>
          <w:p>
            <w:pPr>
              <w:spacing w:line="240" w:lineRule="exact"/>
              <w:jc w:val="center"/>
              <w:rPr>
                <w:rFonts w:eastAsia="仿宋"/>
                <w:kern w:val="0"/>
                <w:szCs w:val="21"/>
              </w:rPr>
            </w:pPr>
          </w:p>
        </w:tc>
        <w:tc>
          <w:tcPr>
            <w:tcW w:w="12465" w:type="dxa"/>
            <w:vAlign w:val="center"/>
          </w:tcPr>
          <w:p>
            <w:pPr>
              <w:spacing w:line="240" w:lineRule="exact"/>
              <w:rPr>
                <w:rFonts w:eastAsia="仿宋"/>
                <w:szCs w:val="21"/>
              </w:rPr>
            </w:pPr>
          </w:p>
        </w:tc>
        <w:tc>
          <w:tcPr>
            <w:tcW w:w="705" w:type="dxa"/>
            <w:vAlign w:val="center"/>
          </w:tcPr>
          <w:p>
            <w:pPr>
              <w:spacing w:line="240" w:lineRule="exact"/>
              <w:jc w:val="center"/>
              <w:rPr>
                <w:rFonts w:eastAsia="仿宋"/>
                <w:kern w:val="0"/>
                <w:szCs w:val="21"/>
              </w:rPr>
            </w:pPr>
          </w:p>
        </w:tc>
        <w:tc>
          <w:tcPr>
            <w:tcW w:w="1063" w:type="dxa"/>
            <w:vAlign w:val="center"/>
          </w:tcPr>
          <w:p>
            <w:pPr>
              <w:spacing w:line="240" w:lineRule="exact"/>
              <w:jc w:val="center"/>
              <w:rPr>
                <w:rFonts w:eastAsia="仿宋"/>
                <w:kern w:val="0"/>
                <w:szCs w:val="21"/>
              </w:rPr>
            </w:pPr>
            <w:r>
              <w:rPr>
                <w:rFonts w:hint="eastAsia" w:eastAsia="仿宋"/>
                <w:kern w:val="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47" w:type="dxa"/>
            <w:vAlign w:val="center"/>
          </w:tcPr>
          <w:p>
            <w:pPr>
              <w:spacing w:line="240" w:lineRule="exact"/>
              <w:rPr>
                <w:rFonts w:eastAsia="仿宋"/>
                <w:kern w:val="0"/>
                <w:szCs w:val="21"/>
              </w:rPr>
            </w:pPr>
          </w:p>
        </w:tc>
        <w:tc>
          <w:tcPr>
            <w:tcW w:w="12465" w:type="dxa"/>
            <w:vAlign w:val="center"/>
          </w:tcPr>
          <w:p>
            <w:pPr>
              <w:spacing w:line="240" w:lineRule="exact"/>
              <w:jc w:val="center"/>
              <w:rPr>
                <w:rFonts w:eastAsia="仿宋"/>
                <w:kern w:val="0"/>
                <w:szCs w:val="21"/>
              </w:rPr>
            </w:pPr>
            <w:r>
              <w:rPr>
                <w:rFonts w:eastAsia="仿宋"/>
                <w:kern w:val="0"/>
                <w:szCs w:val="21"/>
              </w:rPr>
              <w:t>合计：</w:t>
            </w:r>
          </w:p>
        </w:tc>
        <w:tc>
          <w:tcPr>
            <w:tcW w:w="705" w:type="dxa"/>
            <w:vAlign w:val="center"/>
          </w:tcPr>
          <w:p>
            <w:pPr>
              <w:spacing w:line="240" w:lineRule="exact"/>
              <w:jc w:val="center"/>
              <w:rPr>
                <w:rFonts w:eastAsia="仿宋"/>
                <w:kern w:val="0"/>
                <w:szCs w:val="21"/>
              </w:rPr>
            </w:pPr>
            <w:r>
              <w:rPr>
                <w:rFonts w:eastAsia="仿宋"/>
                <w:kern w:val="0"/>
                <w:szCs w:val="21"/>
              </w:rPr>
              <w:fldChar w:fldCharType="begin"/>
            </w:r>
            <w:r>
              <w:rPr>
                <w:rFonts w:eastAsia="仿宋"/>
                <w:kern w:val="0"/>
                <w:szCs w:val="21"/>
              </w:rPr>
              <w:instrText xml:space="preserve"> =SUM(ABOVE) </w:instrText>
            </w:r>
            <w:r>
              <w:rPr>
                <w:rFonts w:eastAsia="仿宋"/>
                <w:kern w:val="0"/>
                <w:szCs w:val="21"/>
              </w:rPr>
              <w:fldChar w:fldCharType="separate"/>
            </w:r>
            <w:r>
              <w:rPr>
                <w:rFonts w:eastAsia="仿宋"/>
                <w:kern w:val="0"/>
                <w:szCs w:val="21"/>
              </w:rPr>
              <w:t>100</w:t>
            </w:r>
            <w:r>
              <w:rPr>
                <w:rFonts w:eastAsia="仿宋"/>
                <w:kern w:val="0"/>
                <w:szCs w:val="21"/>
              </w:rPr>
              <w:fldChar w:fldCharType="end"/>
            </w:r>
          </w:p>
        </w:tc>
        <w:tc>
          <w:tcPr>
            <w:tcW w:w="1063" w:type="dxa"/>
            <w:vAlign w:val="center"/>
          </w:tcPr>
          <w:p>
            <w:pPr>
              <w:spacing w:line="240" w:lineRule="exact"/>
              <w:jc w:val="center"/>
              <w:rPr>
                <w:rFonts w:eastAsia="仿宋"/>
                <w:kern w:val="0"/>
                <w:szCs w:val="21"/>
              </w:rPr>
            </w:pPr>
          </w:p>
        </w:tc>
      </w:tr>
    </w:tbl>
    <w:p>
      <w:pPr>
        <w:sectPr>
          <w:pgSz w:w="16838" w:h="11906" w:orient="landscape"/>
          <w:pgMar w:top="850" w:right="1134" w:bottom="850" w:left="1134" w:header="283" w:footer="283" w:gutter="0"/>
          <w:cols w:space="720" w:num="1"/>
          <w:docGrid w:type="lines" w:linePitch="339" w:charSpace="0"/>
        </w:sectPr>
      </w:pPr>
    </w:p>
    <w:p>
      <w:pPr>
        <w:pStyle w:val="3"/>
        <w:numPr>
          <w:ilvl w:val="0"/>
          <w:numId w:val="0"/>
        </w:numPr>
        <w:snapToGrid w:val="0"/>
        <w:spacing w:before="0" w:after="0" w:line="500" w:lineRule="exact"/>
        <w:jc w:val="center"/>
        <w:rPr>
          <w:rFonts w:eastAsia="仿宋"/>
          <w:b w:val="0"/>
          <w:bCs w:val="0"/>
          <w:sz w:val="36"/>
        </w:rPr>
      </w:pPr>
      <w:bookmarkStart w:id="132" w:name="_Toc26021"/>
      <w:bookmarkStart w:id="133" w:name="_Toc99785573"/>
      <w:bookmarkStart w:id="134" w:name="_Toc19410"/>
      <w:r>
        <w:rPr>
          <w:rFonts w:eastAsia="仿宋"/>
          <w:b w:val="0"/>
          <w:bCs w:val="0"/>
          <w:sz w:val="36"/>
        </w:rPr>
        <w:t>一、开标一览表</w:t>
      </w:r>
      <w:bookmarkEnd w:id="131"/>
      <w:bookmarkEnd w:id="132"/>
      <w:bookmarkEnd w:id="133"/>
      <w:bookmarkEnd w:id="134"/>
    </w:p>
    <w:p>
      <w:pPr>
        <w:pStyle w:val="26"/>
        <w:snapToGrid w:val="0"/>
        <w:spacing w:line="500" w:lineRule="exact"/>
        <w:ind w:firstLine="0"/>
        <w:jc w:val="center"/>
        <w:outlineLvl w:val="1"/>
        <w:rPr>
          <w:rFonts w:ascii="Times New Roman" w:eastAsia="仿宋"/>
          <w:bCs/>
          <w:color w:val="000000"/>
          <w:sz w:val="24"/>
        </w:rPr>
      </w:pPr>
      <w:bookmarkStart w:id="135" w:name="_Toc16519"/>
      <w:bookmarkStart w:id="136" w:name="_Toc99785574"/>
      <w:bookmarkStart w:id="137" w:name="_Toc11104"/>
      <w:bookmarkStart w:id="138" w:name="_Toc23527959"/>
      <w:r>
        <w:rPr>
          <w:rFonts w:ascii="Times New Roman" w:eastAsia="仿宋"/>
          <w:bCs/>
          <w:color w:val="000000"/>
          <w:sz w:val="24"/>
        </w:rPr>
        <w:t>（一）项目投标报价表</w:t>
      </w:r>
      <w:bookmarkEnd w:id="135"/>
      <w:bookmarkEnd w:id="136"/>
      <w:bookmarkEnd w:id="137"/>
      <w:bookmarkEnd w:id="138"/>
      <w:r>
        <w:rPr>
          <w:rFonts w:ascii="Times New Roman" w:eastAsia="仿宋"/>
          <w:bCs/>
          <w:color w:val="000000"/>
          <w:sz w:val="24"/>
        </w:rPr>
        <w:t xml:space="preserve"> </w:t>
      </w:r>
    </w:p>
    <w:p>
      <w:pPr>
        <w:pStyle w:val="26"/>
        <w:snapToGrid w:val="0"/>
        <w:spacing w:line="500" w:lineRule="exact"/>
        <w:ind w:firstLine="0"/>
        <w:jc w:val="center"/>
        <w:rPr>
          <w:rFonts w:ascii="Times New Roman" w:eastAsia="仿宋"/>
          <w:bCs/>
          <w:color w:val="000000"/>
          <w:sz w:val="24"/>
        </w:rPr>
      </w:pPr>
    </w:p>
    <w:p>
      <w:pPr>
        <w:pStyle w:val="26"/>
        <w:snapToGrid w:val="0"/>
        <w:spacing w:line="500" w:lineRule="exact"/>
        <w:ind w:firstLine="0"/>
        <w:jc w:val="left"/>
        <w:rPr>
          <w:rFonts w:ascii="Times New Roman" w:eastAsia="仿宋"/>
          <w:bCs/>
          <w:color w:val="000000"/>
          <w:sz w:val="24"/>
          <w:u w:val="single"/>
        </w:rPr>
      </w:pPr>
      <w:r>
        <w:rPr>
          <w:rFonts w:ascii="Times New Roman" w:eastAsia="仿宋"/>
          <w:bCs/>
          <w:color w:val="000000"/>
          <w:sz w:val="24"/>
        </w:rPr>
        <w:t>投标人（加盖公章）：</w:t>
      </w:r>
      <w:r>
        <w:rPr>
          <w:rFonts w:ascii="Times New Roman" w:eastAsia="仿宋"/>
          <w:bCs/>
          <w:color w:val="000000"/>
          <w:sz w:val="24"/>
          <w:u w:val="single"/>
        </w:rPr>
        <w:t xml:space="preserve">                          </w:t>
      </w: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招标编号：</w:t>
      </w:r>
      <w:r>
        <w:rPr>
          <w:rFonts w:ascii="Times New Roman" w:eastAsia="仿宋"/>
          <w:bCs/>
          <w:color w:val="000000"/>
          <w:sz w:val="24"/>
          <w:u w:val="single"/>
        </w:rPr>
        <w:t xml:space="preserve">                              </w:t>
      </w: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 xml:space="preserve">                                                          </w:t>
      </w:r>
    </w:p>
    <w:tbl>
      <w:tblPr>
        <w:tblStyle w:val="67"/>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r>
              <w:rPr>
                <w:rFonts w:eastAsia="仿宋"/>
                <w:bCs/>
              </w:rPr>
              <w:t>项目名称</w:t>
            </w:r>
          </w:p>
          <w:p>
            <w:pPr>
              <w:adjustRightInd w:val="0"/>
              <w:snapToGrid w:val="0"/>
              <w:spacing w:line="500" w:lineRule="exact"/>
              <w:rPr>
                <w:rFonts w:eastAsia="仿宋"/>
                <w:bCs/>
              </w:rPr>
            </w:pPr>
            <w:r>
              <w:rPr>
                <w:rFonts w:eastAsia="仿宋"/>
                <w:bCs/>
              </w:rPr>
              <w:t>（包号）</w:t>
            </w:r>
          </w:p>
        </w:tc>
        <w:tc>
          <w:tcPr>
            <w:tcW w:w="7011" w:type="dxa"/>
            <w:tcBorders>
              <w:top w:val="single" w:color="auto" w:sz="4" w:space="0"/>
              <w:left w:val="single" w:color="auto" w:sz="4" w:space="0"/>
              <w:bottom w:val="single" w:color="auto" w:sz="4" w:space="0"/>
              <w:right w:val="single" w:color="auto" w:sz="4" w:space="0"/>
            </w:tcBorders>
          </w:tcPr>
          <w:p>
            <w:pPr>
              <w:spacing w:line="500" w:lineRule="exact"/>
              <w:rPr>
                <w:rFonts w:eastAsia="仿宋"/>
                <w:bCs/>
              </w:rPr>
            </w:pPr>
            <w:r>
              <w:rPr>
                <w:rFonts w:eastAsia="仿宋"/>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r>
              <w:rPr>
                <w:rFonts w:eastAsia="仿宋"/>
                <w:bCs/>
              </w:rPr>
              <w:t>质保期</w:t>
            </w:r>
          </w:p>
        </w:tc>
        <w:tc>
          <w:tcPr>
            <w:tcW w:w="7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r>
              <w:rPr>
                <w:rFonts w:eastAsia="仿宋"/>
                <w:bCs/>
              </w:rPr>
              <w:t>投标总报价</w:t>
            </w:r>
          </w:p>
        </w:tc>
        <w:tc>
          <w:tcPr>
            <w:tcW w:w="7011"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eastAsia="仿宋"/>
                <w:bCs/>
              </w:rPr>
            </w:pPr>
            <w:r>
              <w:rPr>
                <w:rFonts w:eastAsia="仿宋"/>
                <w:bCs/>
              </w:rPr>
              <w:t>人民币小写(元):</w:t>
            </w:r>
          </w:p>
          <w:p>
            <w:pPr>
              <w:adjustRightInd w:val="0"/>
              <w:snapToGrid w:val="0"/>
              <w:spacing w:line="500" w:lineRule="exact"/>
              <w:rPr>
                <w:rFonts w:eastAsia="仿宋"/>
                <w:bCs/>
              </w:rPr>
            </w:pPr>
            <w:r>
              <w:rPr>
                <w:rFonts w:eastAsia="仿宋"/>
                <w:bCs/>
              </w:rPr>
              <w:t>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r>
              <w:rPr>
                <w:rFonts w:eastAsia="仿宋"/>
                <w:bCs/>
              </w:rPr>
              <w:t>交付期</w:t>
            </w:r>
          </w:p>
        </w:tc>
        <w:tc>
          <w:tcPr>
            <w:tcW w:w="7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rPr>
            </w:pPr>
          </w:p>
        </w:tc>
      </w:tr>
    </w:tbl>
    <w:p>
      <w:pPr>
        <w:pStyle w:val="26"/>
        <w:snapToGrid w:val="0"/>
        <w:spacing w:line="500" w:lineRule="exact"/>
        <w:ind w:firstLine="480"/>
        <w:jc w:val="left"/>
        <w:rPr>
          <w:rFonts w:ascii="Times New Roman" w:eastAsia="仿宋"/>
          <w:bCs/>
          <w:color w:val="000000"/>
          <w:sz w:val="24"/>
        </w:rPr>
      </w:pPr>
      <w:r>
        <w:rPr>
          <w:rFonts w:ascii="Times New Roman" w:eastAsia="仿宋"/>
          <w:bCs/>
          <w:color w:val="000000"/>
          <w:sz w:val="24"/>
        </w:rPr>
        <w:t>投标总报价在开标大会上当众宣读，务必填写清楚，准确无误。</w:t>
      </w:r>
    </w:p>
    <w:p>
      <w:pPr>
        <w:pStyle w:val="26"/>
        <w:snapToGrid w:val="0"/>
        <w:spacing w:line="500" w:lineRule="exact"/>
        <w:ind w:firstLine="0"/>
        <w:jc w:val="left"/>
        <w:rPr>
          <w:rFonts w:ascii="Times New Roman" w:eastAsia="仿宋"/>
          <w:bCs/>
          <w:color w:val="000000"/>
          <w:sz w:val="24"/>
        </w:rPr>
      </w:pP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投标代表签字：</w:t>
      </w:r>
    </w:p>
    <w:p>
      <w:pPr>
        <w:pStyle w:val="26"/>
        <w:snapToGrid w:val="0"/>
        <w:spacing w:line="500" w:lineRule="exact"/>
        <w:ind w:firstLine="0"/>
        <w:jc w:val="left"/>
        <w:rPr>
          <w:rFonts w:ascii="Times New Roman" w:eastAsia="仿宋"/>
          <w:bCs/>
          <w:color w:val="000000"/>
          <w:sz w:val="24"/>
        </w:rPr>
      </w:pP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 xml:space="preserve">投标单位公章：        </w:t>
      </w:r>
    </w:p>
    <w:p>
      <w:pPr>
        <w:pStyle w:val="26"/>
        <w:snapToGrid w:val="0"/>
        <w:spacing w:line="500" w:lineRule="exact"/>
        <w:ind w:firstLine="0"/>
        <w:jc w:val="left"/>
        <w:rPr>
          <w:rFonts w:ascii="Times New Roman" w:eastAsia="仿宋"/>
          <w:bCs/>
          <w:color w:val="000000"/>
          <w:sz w:val="24"/>
        </w:rPr>
      </w:pP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日期：</w:t>
      </w:r>
      <w:r>
        <w:rPr>
          <w:rFonts w:ascii="Times New Roman" w:eastAsia="仿宋"/>
          <w:bCs/>
          <w:color w:val="000000"/>
          <w:sz w:val="24"/>
          <w:u w:val="single"/>
        </w:rPr>
        <w:t xml:space="preserve">         </w:t>
      </w:r>
      <w:r>
        <w:rPr>
          <w:rFonts w:ascii="Times New Roman" w:eastAsia="仿宋"/>
          <w:bCs/>
          <w:color w:val="000000"/>
          <w:sz w:val="24"/>
        </w:rPr>
        <w:t>年</w:t>
      </w:r>
      <w:r>
        <w:rPr>
          <w:rFonts w:ascii="Times New Roman" w:eastAsia="仿宋"/>
          <w:bCs/>
          <w:color w:val="000000"/>
          <w:sz w:val="24"/>
          <w:u w:val="single"/>
        </w:rPr>
        <w:t xml:space="preserve">    </w:t>
      </w:r>
      <w:r>
        <w:rPr>
          <w:rFonts w:ascii="Times New Roman" w:eastAsia="仿宋"/>
          <w:bCs/>
          <w:color w:val="000000"/>
          <w:sz w:val="24"/>
        </w:rPr>
        <w:t>月</w:t>
      </w:r>
      <w:r>
        <w:rPr>
          <w:rFonts w:ascii="Times New Roman" w:eastAsia="仿宋"/>
          <w:bCs/>
          <w:color w:val="000000"/>
          <w:sz w:val="24"/>
          <w:u w:val="single"/>
        </w:rPr>
        <w:t xml:space="preserve">    </w:t>
      </w:r>
      <w:r>
        <w:rPr>
          <w:rFonts w:ascii="Times New Roman" w:eastAsia="仿宋"/>
          <w:bCs/>
          <w:color w:val="000000"/>
          <w:sz w:val="24"/>
        </w:rPr>
        <w:t>日</w:t>
      </w:r>
    </w:p>
    <w:p>
      <w:pPr>
        <w:pStyle w:val="26"/>
        <w:snapToGrid w:val="0"/>
        <w:spacing w:line="500" w:lineRule="exact"/>
        <w:ind w:firstLine="0"/>
        <w:jc w:val="left"/>
        <w:rPr>
          <w:rFonts w:ascii="Times New Roman" w:eastAsia="仿宋"/>
          <w:bCs/>
          <w:color w:val="000000"/>
          <w:sz w:val="24"/>
        </w:rPr>
      </w:pPr>
    </w:p>
    <w:p>
      <w:pPr>
        <w:snapToGrid w:val="0"/>
        <w:spacing w:line="500" w:lineRule="exact"/>
        <w:rPr>
          <w:rFonts w:eastAsia="仿宋"/>
          <w:bCs/>
          <w:color w:val="000000"/>
        </w:rPr>
      </w:pPr>
      <w:r>
        <w:rPr>
          <w:rFonts w:eastAsia="仿宋"/>
          <w:bCs/>
          <w:color w:val="000000"/>
        </w:rPr>
        <w:t>注：请将开标一览表单独封装在信封内。</w:t>
      </w:r>
    </w:p>
    <w:p>
      <w:pPr>
        <w:pStyle w:val="65"/>
        <w:spacing w:line="500" w:lineRule="exact"/>
        <w:ind w:firstLine="210"/>
        <w:jc w:val="center"/>
        <w:rPr>
          <w:rFonts w:eastAsia="仿宋"/>
          <w:bCs/>
          <w:color w:val="000000"/>
          <w:sz w:val="24"/>
        </w:rPr>
      </w:pPr>
      <w:r>
        <w:rPr>
          <w:rFonts w:eastAsia="仿宋"/>
          <w:bCs/>
        </w:rPr>
        <w:br w:type="page"/>
      </w:r>
      <w:r>
        <w:rPr>
          <w:rFonts w:eastAsia="仿宋"/>
          <w:bCs/>
          <w:color w:val="000000"/>
          <w:sz w:val="24"/>
        </w:rPr>
        <w:t>分项报价明细表</w:t>
      </w:r>
    </w:p>
    <w:p>
      <w:pPr>
        <w:pStyle w:val="26"/>
        <w:snapToGrid w:val="0"/>
        <w:spacing w:line="500" w:lineRule="exact"/>
        <w:ind w:firstLine="0"/>
        <w:jc w:val="left"/>
        <w:rPr>
          <w:rFonts w:ascii="Times New Roman" w:eastAsia="仿宋"/>
          <w:bCs/>
          <w:color w:val="000000"/>
          <w:sz w:val="24"/>
          <w:u w:val="single"/>
        </w:rPr>
      </w:pPr>
      <w:r>
        <w:rPr>
          <w:rFonts w:ascii="Times New Roman" w:eastAsia="仿宋"/>
          <w:bCs/>
          <w:color w:val="000000"/>
          <w:sz w:val="24"/>
        </w:rPr>
        <w:t>投标人（加盖公章）：</w:t>
      </w:r>
      <w:r>
        <w:rPr>
          <w:rFonts w:ascii="Times New Roman" w:eastAsia="仿宋"/>
          <w:bCs/>
          <w:color w:val="000000"/>
          <w:sz w:val="24"/>
          <w:u w:val="single"/>
        </w:rPr>
        <w:t xml:space="preserve">                          </w:t>
      </w: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招标编号：</w:t>
      </w:r>
      <w:r>
        <w:rPr>
          <w:rFonts w:ascii="Times New Roman" w:eastAsia="仿宋"/>
          <w:bCs/>
          <w:color w:val="000000"/>
          <w:sz w:val="24"/>
          <w:u w:val="single"/>
        </w:rPr>
        <w:t xml:space="preserve">                              </w:t>
      </w:r>
    </w:p>
    <w:p>
      <w:pPr>
        <w:pStyle w:val="26"/>
        <w:snapToGrid w:val="0"/>
        <w:spacing w:line="500" w:lineRule="exact"/>
        <w:ind w:firstLine="0"/>
        <w:jc w:val="left"/>
        <w:rPr>
          <w:rFonts w:ascii="Times New Roman" w:eastAsia="仿宋"/>
          <w:bCs/>
          <w:color w:val="000000"/>
          <w:sz w:val="24"/>
        </w:rPr>
      </w:pPr>
      <w:r>
        <w:rPr>
          <w:rFonts w:ascii="Times New Roman" w:eastAsia="仿宋"/>
          <w:bCs/>
          <w:color w:val="000000"/>
          <w:sz w:val="24"/>
        </w:rPr>
        <w:t xml:space="preserve">                                                          </w:t>
      </w:r>
    </w:p>
    <w:tbl>
      <w:tblPr>
        <w:tblStyle w:val="6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627"/>
        <w:gridCol w:w="1863"/>
        <w:gridCol w:w="1863"/>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r>
              <w:rPr>
                <w:rFonts w:eastAsia="仿宋"/>
                <w:bCs/>
              </w:rPr>
              <w:t>序号</w:t>
            </w:r>
          </w:p>
        </w:tc>
        <w:tc>
          <w:tcPr>
            <w:tcW w:w="16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仿宋"/>
                <w:bCs/>
              </w:rPr>
            </w:pPr>
            <w:r>
              <w:rPr>
                <w:rFonts w:eastAsia="仿宋"/>
                <w:bCs/>
              </w:rPr>
              <w:t>招标明细</w:t>
            </w:r>
          </w:p>
        </w:tc>
        <w:tc>
          <w:tcPr>
            <w:tcW w:w="18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仿宋"/>
                <w:bCs/>
              </w:rPr>
            </w:pPr>
            <w:r>
              <w:rPr>
                <w:rFonts w:eastAsia="仿宋"/>
                <w:bCs/>
              </w:rPr>
              <w:t>数量</w:t>
            </w:r>
          </w:p>
        </w:tc>
        <w:tc>
          <w:tcPr>
            <w:tcW w:w="18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仿宋"/>
                <w:bCs/>
              </w:rPr>
            </w:pPr>
            <w:r>
              <w:rPr>
                <w:rFonts w:eastAsia="仿宋"/>
                <w:bCs/>
              </w:rPr>
              <w:t>金额</w:t>
            </w:r>
          </w:p>
        </w:tc>
        <w:tc>
          <w:tcPr>
            <w:tcW w:w="21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仿宋"/>
                <w:bCs/>
              </w:rPr>
            </w:pPr>
            <w:r>
              <w:rPr>
                <w:rFonts w:eastAsia="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2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2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r>
              <w:rPr>
                <w:rFonts w:eastAsia="仿宋"/>
                <w:bCs/>
              </w:rPr>
              <w:t>投标报价</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2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r>
              <w:rPr>
                <w:rFonts w:hint="eastAsia" w:eastAsia="仿宋"/>
                <w:bCs/>
                <w:lang w:eastAsia="zh-CN"/>
              </w:rPr>
              <w:t>服务</w:t>
            </w:r>
            <w:r>
              <w:rPr>
                <w:rFonts w:eastAsia="仿宋"/>
                <w:bCs/>
              </w:rPr>
              <w:t>期</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c>
          <w:tcPr>
            <w:tcW w:w="2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eastAsia="仿宋"/>
                <w:bCs/>
              </w:rPr>
            </w:pPr>
          </w:p>
        </w:tc>
      </w:tr>
    </w:tbl>
    <w:p>
      <w:pPr>
        <w:pStyle w:val="65"/>
        <w:spacing w:line="500" w:lineRule="exact"/>
        <w:ind w:firstLine="240"/>
        <w:jc w:val="center"/>
        <w:rPr>
          <w:rFonts w:eastAsia="仿宋"/>
          <w:bCs/>
          <w:color w:val="000000"/>
          <w:sz w:val="24"/>
        </w:rPr>
      </w:pPr>
    </w:p>
    <w:p>
      <w:pPr>
        <w:pStyle w:val="65"/>
        <w:spacing w:line="500" w:lineRule="exact"/>
        <w:ind w:firstLine="240"/>
        <w:jc w:val="center"/>
        <w:rPr>
          <w:rFonts w:eastAsia="仿宋"/>
          <w:bCs/>
          <w:color w:val="000000"/>
          <w:sz w:val="24"/>
        </w:rPr>
      </w:pPr>
    </w:p>
    <w:p>
      <w:pPr>
        <w:pStyle w:val="65"/>
        <w:spacing w:line="500" w:lineRule="exact"/>
        <w:ind w:firstLine="240"/>
        <w:jc w:val="left"/>
        <w:rPr>
          <w:rFonts w:eastAsia="仿宋"/>
          <w:bCs/>
          <w:color w:val="000000"/>
          <w:sz w:val="24"/>
        </w:rPr>
      </w:pPr>
      <w:r>
        <w:rPr>
          <w:rFonts w:eastAsia="仿宋"/>
          <w:bCs/>
          <w:color w:val="000000"/>
          <w:sz w:val="24"/>
        </w:rPr>
        <w:t>备注：分项报价表投标单位可根据需求扩展延生</w:t>
      </w:r>
    </w:p>
    <w:p>
      <w:pPr>
        <w:pStyle w:val="65"/>
        <w:spacing w:line="500" w:lineRule="exact"/>
        <w:ind w:firstLine="210"/>
        <w:jc w:val="center"/>
        <w:rPr>
          <w:rFonts w:eastAsia="仿宋"/>
          <w:bCs/>
        </w:rPr>
        <w:sectPr>
          <w:pgSz w:w="11906" w:h="16838"/>
          <w:pgMar w:top="1134" w:right="850" w:bottom="1134" w:left="850" w:header="283" w:footer="283" w:gutter="0"/>
          <w:cols w:space="720" w:num="1"/>
          <w:docGrid w:type="lines" w:linePitch="339" w:charSpace="0"/>
        </w:sectPr>
      </w:pPr>
    </w:p>
    <w:p>
      <w:pPr>
        <w:snapToGrid w:val="0"/>
        <w:spacing w:line="500" w:lineRule="exact"/>
        <w:jc w:val="center"/>
        <w:outlineLvl w:val="1"/>
        <w:rPr>
          <w:rFonts w:eastAsia="仿宋"/>
          <w:bCs/>
        </w:rPr>
      </w:pPr>
      <w:bookmarkStart w:id="139" w:name="_Toc21769"/>
      <w:bookmarkStart w:id="140" w:name="_Toc7346"/>
      <w:bookmarkStart w:id="141" w:name="_Toc23527960"/>
      <w:bookmarkStart w:id="142" w:name="_Toc99785575"/>
      <w:r>
        <w:rPr>
          <w:rFonts w:eastAsia="仿宋"/>
          <w:bCs/>
        </w:rPr>
        <w:t>（二）投 标 函</w:t>
      </w:r>
      <w:bookmarkEnd w:id="139"/>
      <w:bookmarkEnd w:id="140"/>
      <w:bookmarkEnd w:id="141"/>
      <w:bookmarkEnd w:id="142"/>
    </w:p>
    <w:p>
      <w:pPr>
        <w:snapToGrid w:val="0"/>
        <w:spacing w:line="500" w:lineRule="exact"/>
        <w:rPr>
          <w:rFonts w:eastAsia="仿宋"/>
          <w:bCs/>
        </w:rPr>
      </w:pPr>
      <w:r>
        <w:rPr>
          <w:rFonts w:eastAsia="仿宋"/>
          <w:bCs/>
        </w:rPr>
        <w:t>致：招标人</w:t>
      </w:r>
    </w:p>
    <w:p>
      <w:pPr>
        <w:snapToGrid w:val="0"/>
        <w:spacing w:line="500" w:lineRule="exact"/>
        <w:ind w:firstLine="480" w:firstLineChars="200"/>
        <w:rPr>
          <w:rFonts w:eastAsia="仿宋"/>
          <w:bCs/>
        </w:rPr>
      </w:pPr>
      <w:r>
        <w:rPr>
          <w:rFonts w:eastAsia="仿宋"/>
          <w:bCs/>
        </w:rPr>
        <w:t>根据贵方</w:t>
      </w:r>
      <w:r>
        <w:rPr>
          <w:rFonts w:eastAsia="仿宋"/>
          <w:bCs/>
          <w:u w:val="single"/>
        </w:rPr>
        <w:t>“                                       ”招标文件（项目编号            ），</w:t>
      </w:r>
      <w:r>
        <w:rPr>
          <w:rFonts w:eastAsia="仿宋"/>
          <w:bCs/>
          <w:color w:val="000000"/>
          <w:u w:val="single"/>
        </w:rPr>
        <w:t>（手写签字：投标人代表姓名、职务）</w:t>
      </w:r>
      <w:r>
        <w:rPr>
          <w:rFonts w:eastAsia="仿宋"/>
          <w:bCs/>
          <w:color w:val="000000"/>
        </w:rPr>
        <w:t>经正式授权并代表投标人</w:t>
      </w:r>
      <w:r>
        <w:rPr>
          <w:rFonts w:eastAsia="仿宋"/>
          <w:bCs/>
          <w:color w:val="000000"/>
          <w:u w:val="single"/>
        </w:rPr>
        <w:t>（投标人名称、地址           ）</w:t>
      </w:r>
      <w:r>
        <w:rPr>
          <w:rFonts w:eastAsia="仿宋"/>
          <w:bCs/>
        </w:rPr>
        <w:t>提交下述文件正本一式</w:t>
      </w:r>
      <w:r>
        <w:rPr>
          <w:rFonts w:eastAsia="仿宋"/>
          <w:bCs/>
          <w:u w:val="single"/>
        </w:rPr>
        <w:t xml:space="preserve"> 壹 </w:t>
      </w:r>
      <w:r>
        <w:rPr>
          <w:rFonts w:eastAsia="仿宋"/>
          <w:bCs/>
        </w:rPr>
        <w:t>份，副本</w:t>
      </w:r>
      <w:r>
        <w:rPr>
          <w:rFonts w:hint="eastAsia" w:eastAsia="仿宋"/>
          <w:bCs/>
          <w:u w:val="single"/>
        </w:rPr>
        <w:t>肆</w:t>
      </w:r>
      <w:r>
        <w:rPr>
          <w:rFonts w:eastAsia="仿宋"/>
          <w:bCs/>
        </w:rPr>
        <w:t>份，电子版1份PDF（U盘放入开标一览表中）。</w:t>
      </w:r>
    </w:p>
    <w:p>
      <w:pPr>
        <w:snapToGrid w:val="0"/>
        <w:spacing w:line="500" w:lineRule="exact"/>
        <w:ind w:firstLine="480" w:firstLineChars="200"/>
        <w:rPr>
          <w:rFonts w:eastAsia="仿宋"/>
          <w:bCs/>
        </w:rPr>
      </w:pPr>
      <w:r>
        <w:rPr>
          <w:rFonts w:eastAsia="仿宋"/>
          <w:bCs/>
        </w:rPr>
        <w:t>1、开标一览表</w:t>
      </w:r>
    </w:p>
    <w:p>
      <w:pPr>
        <w:snapToGrid w:val="0"/>
        <w:spacing w:line="500" w:lineRule="exact"/>
        <w:ind w:firstLine="480" w:firstLineChars="200"/>
        <w:rPr>
          <w:rFonts w:eastAsia="仿宋"/>
          <w:bCs/>
        </w:rPr>
      </w:pPr>
      <w:r>
        <w:rPr>
          <w:rFonts w:eastAsia="仿宋"/>
          <w:bCs/>
        </w:rPr>
        <w:t>2、投标报价表</w:t>
      </w:r>
    </w:p>
    <w:p>
      <w:pPr>
        <w:snapToGrid w:val="0"/>
        <w:spacing w:line="500" w:lineRule="exact"/>
        <w:ind w:firstLine="480" w:firstLineChars="200"/>
        <w:rPr>
          <w:rFonts w:eastAsia="仿宋"/>
          <w:bCs/>
        </w:rPr>
      </w:pPr>
      <w:r>
        <w:rPr>
          <w:rFonts w:eastAsia="仿宋"/>
          <w:bCs/>
        </w:rPr>
        <w:t>3、资格证明文件</w:t>
      </w:r>
    </w:p>
    <w:p>
      <w:pPr>
        <w:snapToGrid w:val="0"/>
        <w:spacing w:line="500" w:lineRule="exact"/>
        <w:ind w:firstLine="480" w:firstLineChars="200"/>
        <w:rPr>
          <w:rFonts w:eastAsia="仿宋"/>
          <w:bCs/>
        </w:rPr>
      </w:pPr>
      <w:r>
        <w:rPr>
          <w:rFonts w:eastAsia="仿宋"/>
          <w:bCs/>
        </w:rPr>
        <w:t>4、招标要求投标人提交的全部文件。</w:t>
      </w:r>
    </w:p>
    <w:p>
      <w:pPr>
        <w:snapToGrid w:val="0"/>
        <w:spacing w:line="500" w:lineRule="exact"/>
        <w:ind w:firstLine="480" w:firstLineChars="200"/>
        <w:rPr>
          <w:rFonts w:eastAsia="仿宋"/>
          <w:bCs/>
        </w:rPr>
      </w:pPr>
      <w:r>
        <w:rPr>
          <w:rFonts w:eastAsia="仿宋"/>
          <w:bCs/>
        </w:rPr>
        <w:t>据此函，签字人宣布并同意如下：</w:t>
      </w:r>
    </w:p>
    <w:p>
      <w:pPr>
        <w:snapToGrid w:val="0"/>
        <w:spacing w:line="500" w:lineRule="exact"/>
        <w:ind w:firstLine="480" w:firstLineChars="200"/>
        <w:rPr>
          <w:rFonts w:eastAsia="仿宋"/>
          <w:bCs/>
        </w:rPr>
      </w:pPr>
      <w:r>
        <w:rPr>
          <w:rFonts w:eastAsia="仿宋"/>
          <w:bCs/>
        </w:rPr>
        <w:t>（1）按招标文件规定提供交付服务价见开标一览表。</w:t>
      </w:r>
    </w:p>
    <w:p>
      <w:pPr>
        <w:snapToGrid w:val="0"/>
        <w:spacing w:line="500" w:lineRule="exact"/>
        <w:ind w:firstLine="480" w:firstLineChars="200"/>
        <w:rPr>
          <w:rFonts w:eastAsia="仿宋"/>
          <w:bCs/>
        </w:rPr>
      </w:pPr>
      <w:r>
        <w:rPr>
          <w:rFonts w:eastAsia="仿宋"/>
          <w:bCs/>
        </w:rPr>
        <w:t>（2）我们根据招标文件的规定，严格履行合同的责任和义务。</w:t>
      </w:r>
    </w:p>
    <w:p>
      <w:pPr>
        <w:snapToGrid w:val="0"/>
        <w:spacing w:line="500" w:lineRule="exact"/>
        <w:ind w:firstLine="480" w:firstLineChars="200"/>
        <w:jc w:val="left"/>
        <w:rPr>
          <w:rFonts w:eastAsia="仿宋"/>
          <w:bCs/>
        </w:rPr>
      </w:pPr>
      <w:r>
        <w:rPr>
          <w:rFonts w:eastAsia="仿宋"/>
          <w:bCs/>
        </w:rPr>
        <w:t>（3）我们已详细审核全部招标文件，我们知道必须放弃提出含糊不清或误解的问题的权利。</w:t>
      </w:r>
    </w:p>
    <w:p>
      <w:pPr>
        <w:snapToGrid w:val="0"/>
        <w:spacing w:line="500" w:lineRule="exact"/>
        <w:ind w:firstLine="480" w:firstLineChars="200"/>
        <w:rPr>
          <w:rFonts w:eastAsia="仿宋"/>
          <w:bCs/>
        </w:rPr>
      </w:pPr>
      <w:r>
        <w:rPr>
          <w:rFonts w:eastAsia="仿宋"/>
          <w:bCs/>
        </w:rPr>
        <w:t>（4）我们同意从开标日期起遵循本投标文件，并在投标人须知中规定的投标有效期之前均具有约束力，并有可能成交。</w:t>
      </w:r>
    </w:p>
    <w:p>
      <w:pPr>
        <w:tabs>
          <w:tab w:val="left" w:pos="840"/>
        </w:tabs>
        <w:snapToGrid w:val="0"/>
        <w:spacing w:line="500" w:lineRule="exact"/>
        <w:ind w:firstLine="480" w:firstLineChars="200"/>
        <w:rPr>
          <w:rFonts w:eastAsia="仿宋"/>
          <w:bCs/>
        </w:rPr>
      </w:pPr>
      <w:r>
        <w:rPr>
          <w:rFonts w:eastAsia="仿宋"/>
          <w:bCs/>
        </w:rPr>
        <w:t>（5）如果在开标后规定的投标有效期内撤回投标，我们的投标保证金可被贵方没收。</w:t>
      </w:r>
    </w:p>
    <w:p>
      <w:pPr>
        <w:tabs>
          <w:tab w:val="left" w:pos="840"/>
        </w:tabs>
        <w:snapToGrid w:val="0"/>
        <w:spacing w:line="500" w:lineRule="exact"/>
        <w:ind w:firstLine="480" w:firstLineChars="200"/>
        <w:rPr>
          <w:rFonts w:eastAsia="仿宋"/>
          <w:bCs/>
        </w:rPr>
      </w:pPr>
      <w:r>
        <w:rPr>
          <w:rFonts w:eastAsia="仿宋"/>
          <w:bCs/>
        </w:rPr>
        <w:t>（6）同意向贵方提供贵方可能另外要求的与其投标有关的任何证据或资料。</w:t>
      </w:r>
    </w:p>
    <w:p>
      <w:pPr>
        <w:snapToGrid w:val="0"/>
        <w:spacing w:line="500" w:lineRule="exact"/>
        <w:ind w:firstLine="480" w:firstLineChars="200"/>
        <w:rPr>
          <w:rFonts w:eastAsia="仿宋"/>
          <w:bCs/>
        </w:rPr>
      </w:pPr>
      <w:r>
        <w:rPr>
          <w:rFonts w:eastAsia="仿宋"/>
          <w:bCs/>
        </w:rPr>
        <w:t>（7）我们完全理解贵方不一定要接受最低报价的投标或收到的任何投标。</w:t>
      </w:r>
    </w:p>
    <w:p>
      <w:pPr>
        <w:snapToGrid w:val="0"/>
        <w:spacing w:line="500" w:lineRule="exact"/>
        <w:ind w:firstLine="480" w:firstLineChars="200"/>
        <w:rPr>
          <w:rFonts w:eastAsia="仿宋"/>
          <w:bCs/>
        </w:rPr>
      </w:pPr>
      <w:r>
        <w:rPr>
          <w:rFonts w:eastAsia="仿宋"/>
          <w:bCs/>
        </w:rPr>
        <w:t>与本投标有关的正式通讯地址为：</w:t>
      </w:r>
    </w:p>
    <w:p>
      <w:pPr>
        <w:snapToGrid w:val="0"/>
        <w:spacing w:line="500" w:lineRule="exact"/>
        <w:ind w:firstLine="480" w:firstLineChars="200"/>
        <w:rPr>
          <w:rFonts w:eastAsia="仿宋"/>
          <w:bCs/>
          <w:u w:val="single"/>
        </w:rPr>
      </w:pPr>
      <w:r>
        <w:rPr>
          <w:rFonts w:eastAsia="仿宋"/>
          <w:bCs/>
        </w:rPr>
        <w:t>地   址：</w:t>
      </w:r>
      <w:r>
        <w:rPr>
          <w:rFonts w:eastAsia="仿宋"/>
          <w:bCs/>
          <w:u w:val="single"/>
        </w:rPr>
        <w:t xml:space="preserve">                             </w:t>
      </w:r>
      <w:r>
        <w:rPr>
          <w:rFonts w:eastAsia="仿宋"/>
          <w:bCs/>
        </w:rPr>
        <w:t>邮   编：</w:t>
      </w:r>
      <w:r>
        <w:rPr>
          <w:rFonts w:eastAsia="仿宋"/>
          <w:bCs/>
          <w:u w:val="single"/>
        </w:rPr>
        <w:t xml:space="preserve">           </w:t>
      </w:r>
    </w:p>
    <w:p>
      <w:pPr>
        <w:snapToGrid w:val="0"/>
        <w:spacing w:line="500" w:lineRule="exact"/>
        <w:ind w:firstLine="480" w:firstLineChars="200"/>
        <w:rPr>
          <w:rFonts w:eastAsia="仿宋"/>
          <w:bCs/>
          <w:u w:val="single"/>
        </w:rPr>
      </w:pPr>
      <w:r>
        <w:rPr>
          <w:rFonts w:eastAsia="仿宋"/>
          <w:bCs/>
        </w:rPr>
        <w:t>电    话：</w:t>
      </w:r>
      <w:r>
        <w:rPr>
          <w:rFonts w:eastAsia="仿宋"/>
          <w:bCs/>
          <w:u w:val="single"/>
        </w:rPr>
        <w:t xml:space="preserve">                            </w:t>
      </w:r>
      <w:r>
        <w:rPr>
          <w:rFonts w:eastAsia="仿宋"/>
          <w:bCs/>
        </w:rPr>
        <w:t>传   真：</w:t>
      </w:r>
      <w:r>
        <w:rPr>
          <w:rFonts w:eastAsia="仿宋"/>
          <w:bCs/>
          <w:u w:val="single"/>
        </w:rPr>
        <w:t xml:space="preserve">           </w:t>
      </w:r>
    </w:p>
    <w:p>
      <w:pPr>
        <w:snapToGrid w:val="0"/>
        <w:spacing w:line="500" w:lineRule="exact"/>
        <w:ind w:firstLine="480" w:firstLineChars="200"/>
        <w:rPr>
          <w:rFonts w:eastAsia="仿宋"/>
          <w:bCs/>
          <w:u w:val="single"/>
        </w:rPr>
      </w:pPr>
      <w:r>
        <w:rPr>
          <w:rFonts w:eastAsia="仿宋"/>
          <w:bCs/>
        </w:rPr>
        <w:t>投标人代表姓名（签字）：</w:t>
      </w:r>
      <w:r>
        <w:rPr>
          <w:rFonts w:eastAsia="仿宋"/>
          <w:bCs/>
          <w:u w:val="single"/>
        </w:rPr>
        <w:t xml:space="preserve">               </w:t>
      </w:r>
      <w:r>
        <w:rPr>
          <w:rFonts w:eastAsia="仿宋"/>
          <w:bCs/>
        </w:rPr>
        <w:t>投标人名称：</w:t>
      </w:r>
      <w:r>
        <w:rPr>
          <w:rFonts w:eastAsia="仿宋"/>
          <w:bCs/>
          <w:u w:val="single"/>
        </w:rPr>
        <w:t xml:space="preserve">                                </w:t>
      </w:r>
    </w:p>
    <w:p>
      <w:pPr>
        <w:snapToGrid w:val="0"/>
        <w:spacing w:line="500" w:lineRule="exact"/>
        <w:ind w:firstLine="480" w:firstLineChars="200"/>
        <w:rPr>
          <w:rFonts w:eastAsia="仿宋"/>
          <w:bCs/>
          <w:u w:val="single"/>
        </w:rPr>
      </w:pPr>
      <w:r>
        <w:rPr>
          <w:rFonts w:eastAsia="仿宋"/>
          <w:bCs/>
        </w:rPr>
        <w:t xml:space="preserve">投标人开户行: </w:t>
      </w:r>
      <w:r>
        <w:rPr>
          <w:rFonts w:eastAsia="仿宋"/>
          <w:bCs/>
          <w:u w:val="single"/>
        </w:rPr>
        <w:t xml:space="preserve">                          </w:t>
      </w:r>
      <w:r>
        <w:rPr>
          <w:rFonts w:eastAsia="仿宋"/>
          <w:bCs/>
        </w:rPr>
        <w:t xml:space="preserve">账    号: </w:t>
      </w:r>
      <w:r>
        <w:rPr>
          <w:rFonts w:eastAsia="仿宋"/>
          <w:bCs/>
          <w:u w:val="single"/>
        </w:rPr>
        <w:t xml:space="preserve">                                  </w:t>
      </w:r>
    </w:p>
    <w:p>
      <w:pPr>
        <w:snapToGrid w:val="0"/>
        <w:spacing w:line="500" w:lineRule="exact"/>
        <w:ind w:firstLine="480" w:firstLineChars="200"/>
        <w:rPr>
          <w:rFonts w:eastAsia="仿宋"/>
          <w:bCs/>
        </w:rPr>
      </w:pPr>
      <w:r>
        <w:rPr>
          <w:rFonts w:eastAsia="仿宋"/>
          <w:bCs/>
        </w:rPr>
        <w:t>公    章：</w:t>
      </w:r>
      <w:r>
        <w:rPr>
          <w:rFonts w:eastAsia="仿宋"/>
          <w:bCs/>
          <w:u w:val="single"/>
        </w:rPr>
        <w:t xml:space="preserve">                              </w:t>
      </w:r>
      <w:r>
        <w:rPr>
          <w:rFonts w:eastAsia="仿宋"/>
          <w:bCs/>
        </w:rPr>
        <w:t>日    期：</w:t>
      </w:r>
      <w:r>
        <w:rPr>
          <w:rFonts w:eastAsia="仿宋"/>
          <w:bCs/>
          <w:u w:val="single"/>
        </w:rPr>
        <w:t xml:space="preserve">                                  </w:t>
      </w:r>
    </w:p>
    <w:p>
      <w:pPr>
        <w:snapToGrid w:val="0"/>
        <w:spacing w:line="500" w:lineRule="exact"/>
        <w:jc w:val="center"/>
        <w:rPr>
          <w:rFonts w:eastAsia="仿宋"/>
          <w:bCs/>
        </w:rPr>
      </w:pPr>
    </w:p>
    <w:p>
      <w:pPr>
        <w:pStyle w:val="3"/>
        <w:snapToGrid w:val="0"/>
        <w:spacing w:before="0" w:after="0" w:line="500" w:lineRule="exact"/>
        <w:jc w:val="center"/>
        <w:rPr>
          <w:rFonts w:eastAsia="仿宋"/>
          <w:b w:val="0"/>
          <w:bCs w:val="0"/>
          <w:sz w:val="36"/>
        </w:rPr>
        <w:sectPr>
          <w:footerReference r:id="rId10" w:type="first"/>
          <w:pgSz w:w="11906" w:h="16838"/>
          <w:pgMar w:top="1134" w:right="850" w:bottom="1134" w:left="850" w:header="283" w:footer="283" w:gutter="0"/>
          <w:cols w:space="720" w:num="1"/>
          <w:docGrid w:type="lines" w:linePitch="339" w:charSpace="0"/>
        </w:sectPr>
      </w:pPr>
      <w:bookmarkStart w:id="143" w:name="_Toc23527961"/>
    </w:p>
    <w:p>
      <w:pPr>
        <w:pStyle w:val="3"/>
        <w:numPr>
          <w:ilvl w:val="0"/>
          <w:numId w:val="0"/>
        </w:numPr>
        <w:snapToGrid w:val="0"/>
        <w:spacing w:before="0" w:after="0" w:line="500" w:lineRule="exact"/>
        <w:jc w:val="center"/>
        <w:rPr>
          <w:rFonts w:eastAsia="仿宋"/>
          <w:b w:val="0"/>
          <w:bCs w:val="0"/>
          <w:sz w:val="36"/>
        </w:rPr>
      </w:pPr>
      <w:bookmarkStart w:id="144" w:name="_Toc3663"/>
      <w:bookmarkStart w:id="145" w:name="_Toc99785576"/>
      <w:bookmarkStart w:id="146" w:name="_Toc23913"/>
      <w:r>
        <w:rPr>
          <w:rFonts w:eastAsia="仿宋"/>
          <w:b w:val="0"/>
          <w:bCs w:val="0"/>
          <w:sz w:val="36"/>
        </w:rPr>
        <w:t>二、资格审查文件</w:t>
      </w:r>
      <w:bookmarkEnd w:id="143"/>
      <w:bookmarkEnd w:id="144"/>
      <w:bookmarkEnd w:id="145"/>
      <w:bookmarkEnd w:id="146"/>
    </w:p>
    <w:p>
      <w:pPr>
        <w:snapToGrid w:val="0"/>
        <w:spacing w:line="500" w:lineRule="exact"/>
        <w:ind w:firstLine="480" w:firstLineChars="200"/>
        <w:jc w:val="left"/>
        <w:rPr>
          <w:rFonts w:eastAsia="仿宋"/>
          <w:bCs/>
        </w:rPr>
      </w:pPr>
      <w:r>
        <w:rPr>
          <w:rFonts w:eastAsia="仿宋"/>
          <w:bCs/>
        </w:rPr>
        <w:t>投标人应按下列顺序排序资格审查文件：（均提供加盖公章复印件）</w:t>
      </w:r>
    </w:p>
    <w:p>
      <w:pPr>
        <w:snapToGrid w:val="0"/>
        <w:spacing w:line="500" w:lineRule="exact"/>
        <w:ind w:firstLine="480" w:firstLineChars="200"/>
        <w:jc w:val="left"/>
        <w:rPr>
          <w:rFonts w:eastAsia="仿宋"/>
          <w:bCs/>
        </w:rPr>
      </w:pPr>
      <w:r>
        <w:rPr>
          <w:rFonts w:eastAsia="仿宋"/>
          <w:bCs/>
        </w:rPr>
        <w:t xml:space="preserve">①企业法人营业执照（复印件加盖公章）； </w:t>
      </w:r>
    </w:p>
    <w:p>
      <w:pPr>
        <w:snapToGrid w:val="0"/>
        <w:spacing w:line="500" w:lineRule="exact"/>
        <w:ind w:firstLine="480" w:firstLineChars="200"/>
        <w:jc w:val="left"/>
        <w:rPr>
          <w:rFonts w:eastAsia="仿宋"/>
          <w:bCs/>
        </w:rPr>
      </w:pPr>
      <w:r>
        <w:rPr>
          <w:rFonts w:eastAsia="仿宋"/>
          <w:bCs/>
        </w:rPr>
        <w:t xml:space="preserve">②法人授权委托书（原件），投标代表身份证（复印件加盖公章）； </w:t>
      </w:r>
    </w:p>
    <w:p>
      <w:pPr>
        <w:snapToGrid w:val="0"/>
        <w:spacing w:line="500" w:lineRule="exact"/>
        <w:ind w:firstLine="480" w:firstLineChars="200"/>
        <w:jc w:val="left"/>
        <w:rPr>
          <w:rFonts w:eastAsia="仿宋"/>
          <w:bCs/>
        </w:rPr>
      </w:pPr>
      <w:r>
        <w:rPr>
          <w:rFonts w:eastAsia="仿宋"/>
          <w:bCs/>
        </w:rPr>
        <w:t>③近三年内未被“信用中国”网站列入失信被执行人和重大税收违法案件当事人名单的、被“中国政府采购网”网站列入政府采购严重违法失信行为记录名单（处罚期限尚未届满的）的证明文件（网页截图加盖公章）；</w:t>
      </w:r>
    </w:p>
    <w:p>
      <w:pPr>
        <w:snapToGrid w:val="0"/>
        <w:spacing w:line="500" w:lineRule="exact"/>
        <w:ind w:firstLine="480" w:firstLineChars="200"/>
        <w:jc w:val="left"/>
        <w:rPr>
          <w:rFonts w:eastAsia="仿宋"/>
          <w:bCs/>
        </w:rPr>
      </w:pPr>
      <w:r>
        <w:rPr>
          <w:rFonts w:eastAsia="仿宋"/>
          <w:bCs/>
        </w:rPr>
        <w:t>④反商业贿赂承诺书（原件）。</w:t>
      </w:r>
    </w:p>
    <w:p>
      <w:pPr>
        <w:snapToGrid w:val="0"/>
        <w:spacing w:line="500" w:lineRule="exact"/>
        <w:ind w:firstLine="480" w:firstLineChars="200"/>
        <w:jc w:val="left"/>
        <w:rPr>
          <w:rFonts w:eastAsia="仿宋"/>
          <w:bCs/>
        </w:rPr>
      </w:pPr>
      <w:r>
        <w:rPr>
          <w:rFonts w:eastAsia="仿宋"/>
          <w:bCs/>
        </w:rPr>
        <w:t>⑤投标保证金凭证（复印件加盖公章）。</w:t>
      </w:r>
    </w:p>
    <w:p>
      <w:pPr>
        <w:snapToGrid w:val="0"/>
        <w:spacing w:line="500" w:lineRule="exact"/>
        <w:ind w:firstLine="480" w:firstLineChars="200"/>
        <w:jc w:val="left"/>
        <w:rPr>
          <w:rFonts w:eastAsia="仿宋"/>
          <w:bCs/>
        </w:rPr>
      </w:pPr>
    </w:p>
    <w:p>
      <w:pPr>
        <w:snapToGrid w:val="0"/>
        <w:spacing w:line="500" w:lineRule="exact"/>
        <w:ind w:firstLine="480" w:firstLineChars="200"/>
        <w:jc w:val="left"/>
        <w:rPr>
          <w:rFonts w:eastAsia="仿宋"/>
          <w:bCs/>
        </w:rPr>
      </w:pPr>
    </w:p>
    <w:p>
      <w:pPr>
        <w:snapToGrid w:val="0"/>
        <w:spacing w:line="500" w:lineRule="exact"/>
        <w:ind w:firstLine="480" w:firstLineChars="200"/>
        <w:jc w:val="left"/>
        <w:rPr>
          <w:rFonts w:eastAsia="仿宋"/>
          <w:bCs/>
        </w:rPr>
      </w:pPr>
    </w:p>
    <w:p>
      <w:pPr>
        <w:snapToGrid w:val="0"/>
        <w:spacing w:line="500" w:lineRule="exact"/>
        <w:ind w:firstLine="480" w:firstLineChars="200"/>
        <w:jc w:val="left"/>
        <w:rPr>
          <w:rFonts w:eastAsia="仿宋"/>
          <w:bCs/>
        </w:rPr>
      </w:pPr>
    </w:p>
    <w:p>
      <w:pPr>
        <w:keepNext/>
        <w:keepLines/>
        <w:snapToGrid w:val="0"/>
        <w:spacing w:line="500" w:lineRule="exact"/>
        <w:jc w:val="center"/>
        <w:outlineLvl w:val="1"/>
        <w:rPr>
          <w:rFonts w:eastAsia="仿宋"/>
          <w:bCs/>
        </w:rPr>
        <w:sectPr>
          <w:pgSz w:w="11906" w:h="16838"/>
          <w:pgMar w:top="1134" w:right="850" w:bottom="1134" w:left="850" w:header="283" w:footer="283" w:gutter="0"/>
          <w:cols w:space="720" w:num="1"/>
          <w:docGrid w:type="lines" w:linePitch="339" w:charSpace="0"/>
        </w:sectPr>
      </w:pPr>
    </w:p>
    <w:p>
      <w:pPr>
        <w:keepNext/>
        <w:keepLines/>
        <w:snapToGrid w:val="0"/>
        <w:spacing w:line="500" w:lineRule="exact"/>
        <w:jc w:val="center"/>
        <w:outlineLvl w:val="1"/>
        <w:rPr>
          <w:rFonts w:eastAsia="仿宋"/>
          <w:bCs/>
        </w:rPr>
      </w:pPr>
      <w:bookmarkStart w:id="147" w:name="_Toc23527962"/>
      <w:bookmarkStart w:id="148" w:name="_Toc99785577"/>
      <w:bookmarkStart w:id="149" w:name="_Toc2193"/>
      <w:bookmarkStart w:id="150" w:name="_Toc18076"/>
      <w:r>
        <w:rPr>
          <w:rFonts w:eastAsia="仿宋"/>
          <w:bCs/>
        </w:rPr>
        <w:t>（一）提供合法有效的营业执照</w:t>
      </w:r>
      <w:bookmarkEnd w:id="147"/>
      <w:bookmarkEnd w:id="148"/>
      <w:bookmarkEnd w:id="149"/>
      <w:bookmarkEnd w:id="150"/>
    </w:p>
    <w:p>
      <w:pPr>
        <w:snapToGrid w:val="0"/>
        <w:spacing w:line="500" w:lineRule="exact"/>
        <w:ind w:firstLine="480" w:firstLineChars="200"/>
        <w:rPr>
          <w:rFonts w:eastAsia="仿宋"/>
          <w:bCs/>
        </w:rPr>
      </w:pPr>
      <w:r>
        <w:rPr>
          <w:rFonts w:eastAsia="仿宋"/>
          <w:bCs/>
        </w:rPr>
        <w:t>提供合法有效的营业执照、组织机构代码证、税务登记证（若三证合一只须提供营业执照副本）；</w:t>
      </w:r>
    </w:p>
    <w:p>
      <w:pPr>
        <w:keepNext/>
        <w:keepLines/>
        <w:snapToGrid w:val="0"/>
        <w:spacing w:line="500" w:lineRule="exact"/>
        <w:jc w:val="center"/>
        <w:outlineLvl w:val="1"/>
        <w:rPr>
          <w:rFonts w:eastAsia="仿宋"/>
          <w:bCs/>
        </w:rPr>
      </w:pPr>
      <w:bookmarkStart w:id="151" w:name="_Toc99785578"/>
      <w:bookmarkStart w:id="152" w:name="_Toc14436"/>
      <w:bookmarkStart w:id="153" w:name="_Toc23527963"/>
      <w:bookmarkStart w:id="154" w:name="_Toc375"/>
      <w:r>
        <w:rPr>
          <w:rFonts w:eastAsia="仿宋"/>
          <w:bCs/>
        </w:rPr>
        <w:t>（二）法定代表人授权委托书及投标代表身份证</w:t>
      </w:r>
      <w:bookmarkEnd w:id="151"/>
      <w:bookmarkEnd w:id="152"/>
      <w:bookmarkEnd w:id="153"/>
      <w:bookmarkEnd w:id="154"/>
    </w:p>
    <w:p>
      <w:pPr>
        <w:snapToGrid w:val="0"/>
        <w:spacing w:line="500" w:lineRule="exact"/>
        <w:ind w:firstLine="480" w:firstLineChars="200"/>
        <w:jc w:val="left"/>
        <w:rPr>
          <w:rFonts w:eastAsia="仿宋"/>
          <w:bCs/>
        </w:rPr>
      </w:pPr>
    </w:p>
    <w:p>
      <w:pPr>
        <w:snapToGrid w:val="0"/>
        <w:spacing w:line="500" w:lineRule="exact"/>
        <w:ind w:firstLine="480" w:firstLineChars="200"/>
        <w:jc w:val="left"/>
        <w:rPr>
          <w:rFonts w:eastAsia="仿宋"/>
          <w:bCs/>
        </w:rPr>
      </w:pPr>
      <w:r>
        <w:rPr>
          <w:rFonts w:eastAsia="仿宋"/>
          <w:bCs/>
        </w:rPr>
        <w:t>本授权委托书声明：我</w:t>
      </w:r>
      <w:r>
        <w:rPr>
          <w:rFonts w:eastAsia="仿宋"/>
          <w:bCs/>
          <w:u w:val="single"/>
        </w:rPr>
        <w:t xml:space="preserve">         </w:t>
      </w:r>
      <w:r>
        <w:rPr>
          <w:rFonts w:eastAsia="仿宋"/>
          <w:bCs/>
        </w:rPr>
        <w:t>（姓名、电话）系</w:t>
      </w:r>
      <w:r>
        <w:rPr>
          <w:rFonts w:eastAsia="仿宋"/>
          <w:bCs/>
          <w:u w:val="single"/>
        </w:rPr>
        <w:t xml:space="preserve">               （</w:t>
      </w:r>
      <w:r>
        <w:rPr>
          <w:rFonts w:eastAsia="仿宋"/>
          <w:bCs/>
        </w:rPr>
        <w:t>投标人名称）的法人代表人，现授权委托</w:t>
      </w:r>
      <w:r>
        <w:rPr>
          <w:rFonts w:eastAsia="仿宋"/>
          <w:bCs/>
          <w:u w:val="single"/>
        </w:rPr>
        <w:t xml:space="preserve">                     </w:t>
      </w:r>
      <w:r>
        <w:rPr>
          <w:rFonts w:eastAsia="仿宋"/>
          <w:bCs/>
        </w:rPr>
        <w:t>（投标人名称）的</w:t>
      </w:r>
      <w:r>
        <w:rPr>
          <w:rFonts w:eastAsia="仿宋"/>
          <w:bCs/>
          <w:u w:val="single"/>
        </w:rPr>
        <w:t xml:space="preserve">            </w:t>
      </w:r>
      <w:r>
        <w:rPr>
          <w:rFonts w:eastAsia="仿宋"/>
          <w:bCs/>
        </w:rPr>
        <w:t>（姓名、职务、电话、邮箱）为我公司代理人，以本公司的名义参加</w:t>
      </w:r>
      <w:r>
        <w:rPr>
          <w:rFonts w:eastAsia="仿宋"/>
          <w:bCs/>
          <w:u w:val="single"/>
        </w:rPr>
        <w:t xml:space="preserve">          </w:t>
      </w:r>
      <w:r>
        <w:rPr>
          <w:rFonts w:eastAsia="仿宋"/>
          <w:bCs/>
        </w:rPr>
        <w:t>（招标人）的</w:t>
      </w:r>
      <w:r>
        <w:rPr>
          <w:rFonts w:eastAsia="仿宋"/>
          <w:bCs/>
          <w:u w:val="single"/>
        </w:rPr>
        <w:t xml:space="preserve">                 </w:t>
      </w:r>
      <w:r>
        <w:rPr>
          <w:rFonts w:eastAsia="仿宋"/>
          <w:bCs/>
        </w:rPr>
        <w:t>项目的投标活动。代理人在参加整个项目招标响应活动、合同招标过程中所签署的一切文件和处理与之有关的一切事物，我均予以承认。</w:t>
      </w:r>
    </w:p>
    <w:p>
      <w:pPr>
        <w:snapToGrid w:val="0"/>
        <w:spacing w:line="500" w:lineRule="exact"/>
        <w:ind w:firstLine="480" w:firstLineChars="200"/>
        <w:jc w:val="left"/>
        <w:rPr>
          <w:rFonts w:eastAsia="仿宋"/>
          <w:bCs/>
          <w:u w:val="single"/>
        </w:rPr>
      </w:pPr>
      <w:r>
        <w:rPr>
          <w:rFonts w:eastAsia="仿宋"/>
          <w:bCs/>
        </w:rPr>
        <w:t>代理人：</w:t>
      </w:r>
      <w:r>
        <w:rPr>
          <w:rFonts w:eastAsia="仿宋"/>
          <w:bCs/>
          <w:u w:val="single"/>
        </w:rPr>
        <w:t xml:space="preserve">              </w:t>
      </w:r>
      <w:r>
        <w:rPr>
          <w:rFonts w:eastAsia="仿宋"/>
          <w:bCs/>
        </w:rPr>
        <w:t>性别：</w:t>
      </w:r>
      <w:r>
        <w:rPr>
          <w:rFonts w:eastAsia="仿宋"/>
          <w:bCs/>
          <w:u w:val="single"/>
        </w:rPr>
        <w:t xml:space="preserve">         </w:t>
      </w:r>
      <w:r>
        <w:rPr>
          <w:rFonts w:eastAsia="仿宋"/>
          <w:bCs/>
        </w:rPr>
        <w:t>年龄：</w:t>
      </w:r>
      <w:r>
        <w:rPr>
          <w:rFonts w:eastAsia="仿宋"/>
          <w:bCs/>
          <w:u w:val="single"/>
        </w:rPr>
        <w:t xml:space="preserve">       </w:t>
      </w:r>
    </w:p>
    <w:p>
      <w:pPr>
        <w:snapToGrid w:val="0"/>
        <w:spacing w:line="500" w:lineRule="exact"/>
        <w:ind w:firstLine="480" w:firstLineChars="200"/>
        <w:jc w:val="left"/>
        <w:rPr>
          <w:rFonts w:eastAsia="仿宋"/>
          <w:bCs/>
          <w:u w:val="single"/>
        </w:rPr>
      </w:pPr>
      <w:r>
        <w:rPr>
          <w:rFonts w:eastAsia="仿宋"/>
          <w:bCs/>
        </w:rPr>
        <w:t>单  位：</w:t>
      </w:r>
      <w:r>
        <w:rPr>
          <w:rFonts w:eastAsia="仿宋"/>
          <w:bCs/>
          <w:u w:val="single"/>
        </w:rPr>
        <w:t xml:space="preserve">              </w:t>
      </w:r>
      <w:r>
        <w:rPr>
          <w:rFonts w:eastAsia="仿宋"/>
          <w:bCs/>
        </w:rPr>
        <w:t>部门：</w:t>
      </w:r>
      <w:r>
        <w:rPr>
          <w:rFonts w:eastAsia="仿宋"/>
          <w:bCs/>
          <w:u w:val="single"/>
        </w:rPr>
        <w:t xml:space="preserve">         </w:t>
      </w:r>
      <w:r>
        <w:rPr>
          <w:rFonts w:eastAsia="仿宋"/>
          <w:bCs/>
        </w:rPr>
        <w:t>职务：</w:t>
      </w:r>
      <w:r>
        <w:rPr>
          <w:rFonts w:eastAsia="仿宋"/>
          <w:bCs/>
          <w:u w:val="single"/>
        </w:rPr>
        <w:t xml:space="preserve">       </w:t>
      </w:r>
    </w:p>
    <w:p>
      <w:pPr>
        <w:snapToGrid w:val="0"/>
        <w:spacing w:line="500" w:lineRule="exact"/>
        <w:ind w:firstLine="480" w:firstLineChars="200"/>
        <w:jc w:val="left"/>
        <w:rPr>
          <w:rFonts w:eastAsia="仿宋"/>
          <w:bCs/>
          <w:u w:val="single"/>
        </w:rPr>
      </w:pPr>
      <w:r>
        <w:rPr>
          <w:rFonts w:eastAsia="仿宋"/>
          <w:bCs/>
        </w:rPr>
        <w:t>联系电话：</w:t>
      </w:r>
      <w:r>
        <w:rPr>
          <w:rFonts w:eastAsia="仿宋"/>
          <w:bCs/>
          <w:u w:val="single"/>
        </w:rPr>
        <w:t xml:space="preserve">                </w:t>
      </w:r>
      <w:r>
        <w:rPr>
          <w:rFonts w:eastAsia="仿宋"/>
          <w:bCs/>
        </w:rPr>
        <w:t>邮箱：</w:t>
      </w:r>
      <w:r>
        <w:rPr>
          <w:rFonts w:eastAsia="仿宋"/>
          <w:bCs/>
          <w:u w:val="single"/>
        </w:rPr>
        <w:t xml:space="preserve">                   </w:t>
      </w:r>
    </w:p>
    <w:p>
      <w:pPr>
        <w:snapToGrid w:val="0"/>
        <w:spacing w:line="500" w:lineRule="exact"/>
        <w:ind w:firstLine="480" w:firstLineChars="200"/>
        <w:jc w:val="left"/>
        <w:rPr>
          <w:rFonts w:eastAsia="仿宋"/>
          <w:bCs/>
        </w:rPr>
      </w:pPr>
      <w:r>
        <w:rPr>
          <w:rFonts w:eastAsia="仿宋"/>
          <w:bCs/>
        </w:rPr>
        <w:t>代理人无转委权。特此委托。</w:t>
      </w:r>
    </w:p>
    <w:p>
      <w:pPr>
        <w:snapToGrid w:val="0"/>
        <w:spacing w:line="500" w:lineRule="exact"/>
        <w:ind w:firstLine="480" w:firstLineChars="200"/>
        <w:jc w:val="left"/>
        <w:rPr>
          <w:rFonts w:eastAsia="仿宋"/>
          <w:bCs/>
        </w:rPr>
      </w:pPr>
      <w:r>
        <w:rPr>
          <w:rFonts w:eastAsia="仿宋"/>
          <w:bCs/>
        </w:rPr>
        <w:t>授权人身份证复印件：</w:t>
      </w:r>
    </w:p>
    <w:p>
      <w:pPr>
        <w:snapToGrid w:val="0"/>
        <w:spacing w:line="500" w:lineRule="exact"/>
        <w:jc w:val="left"/>
        <w:rPr>
          <w:rFonts w:eastAsia="仿宋"/>
          <w:bCs/>
        </w:rPr>
      </w:pPr>
    </w:p>
    <w:p>
      <w:pPr>
        <w:snapToGrid w:val="0"/>
        <w:spacing w:line="500" w:lineRule="exact"/>
        <w:ind w:firstLine="480" w:firstLineChars="200"/>
        <w:jc w:val="left"/>
        <w:rPr>
          <w:rFonts w:eastAsia="仿宋"/>
          <w:bCs/>
        </w:rPr>
      </w:pPr>
      <w:r>
        <w:rPr>
          <w:rFonts w:eastAsia="仿宋"/>
          <w:bCs/>
        </w:rPr>
        <w:t>被授权人身份证复印件：</w:t>
      </w:r>
    </w:p>
    <w:p>
      <w:pPr>
        <w:snapToGrid w:val="0"/>
        <w:spacing w:line="500" w:lineRule="exact"/>
        <w:ind w:firstLine="200"/>
        <w:jc w:val="right"/>
        <w:rPr>
          <w:rFonts w:eastAsia="仿宋"/>
          <w:bCs/>
        </w:rPr>
      </w:pPr>
      <w:r>
        <w:rPr>
          <w:rFonts w:eastAsia="仿宋"/>
          <w:bCs/>
        </w:rPr>
        <w:t>投标人：（盖章）</w:t>
      </w:r>
    </w:p>
    <w:p>
      <w:pPr>
        <w:snapToGrid w:val="0"/>
        <w:spacing w:line="500" w:lineRule="exact"/>
        <w:ind w:firstLine="200"/>
        <w:jc w:val="right"/>
        <w:rPr>
          <w:rFonts w:eastAsia="仿宋"/>
          <w:bCs/>
        </w:rPr>
      </w:pPr>
      <w:r>
        <w:rPr>
          <w:rFonts w:eastAsia="仿宋"/>
          <w:bCs/>
        </w:rPr>
        <w:t xml:space="preserve">                                      法定代表人：（盖章）</w:t>
      </w:r>
    </w:p>
    <w:p>
      <w:pPr>
        <w:snapToGrid w:val="0"/>
        <w:spacing w:line="500" w:lineRule="exact"/>
        <w:ind w:firstLine="200"/>
        <w:jc w:val="right"/>
        <w:rPr>
          <w:rFonts w:eastAsia="仿宋"/>
          <w:bCs/>
        </w:rPr>
      </w:pPr>
      <w:r>
        <w:rPr>
          <w:rFonts w:eastAsia="仿宋"/>
          <w:bCs/>
        </w:rPr>
        <w:t>日期：</w:t>
      </w:r>
      <w:r>
        <w:rPr>
          <w:rFonts w:eastAsia="仿宋"/>
          <w:bCs/>
          <w:u w:val="single"/>
        </w:rPr>
        <w:t xml:space="preserve">        </w:t>
      </w:r>
      <w:r>
        <w:rPr>
          <w:rFonts w:eastAsia="仿宋"/>
          <w:bCs/>
        </w:rPr>
        <w:t>年</w:t>
      </w:r>
      <w:r>
        <w:rPr>
          <w:rFonts w:eastAsia="仿宋"/>
          <w:bCs/>
          <w:u w:val="single"/>
        </w:rPr>
        <w:t xml:space="preserve">    </w:t>
      </w:r>
      <w:r>
        <w:rPr>
          <w:rFonts w:eastAsia="仿宋"/>
          <w:bCs/>
        </w:rPr>
        <w:t>月</w:t>
      </w:r>
      <w:r>
        <w:rPr>
          <w:rFonts w:eastAsia="仿宋"/>
          <w:bCs/>
          <w:u w:val="single"/>
        </w:rPr>
        <w:t xml:space="preserve">    </w:t>
      </w:r>
      <w:r>
        <w:rPr>
          <w:rFonts w:eastAsia="仿宋"/>
          <w:bCs/>
        </w:rPr>
        <w:t>日</w:t>
      </w:r>
    </w:p>
    <w:p>
      <w:pPr>
        <w:snapToGrid w:val="0"/>
        <w:spacing w:line="500" w:lineRule="exact"/>
        <w:ind w:firstLine="480" w:firstLineChars="200"/>
        <w:rPr>
          <w:rFonts w:eastAsia="仿宋"/>
          <w:bCs/>
        </w:rPr>
      </w:pPr>
      <w:r>
        <w:rPr>
          <w:rFonts w:eastAsia="仿宋"/>
          <w:bCs/>
        </w:rPr>
        <w:t>注：1、法定代表人本人作为公司代理人前来参与投标的，不提供此项证明文件。</w:t>
      </w:r>
    </w:p>
    <w:p>
      <w:pPr>
        <w:numPr>
          <w:ilvl w:val="0"/>
          <w:numId w:val="6"/>
        </w:numPr>
        <w:snapToGrid w:val="0"/>
        <w:spacing w:line="500" w:lineRule="exact"/>
        <w:rPr>
          <w:rFonts w:eastAsia="仿宋"/>
          <w:bCs/>
        </w:rPr>
      </w:pPr>
      <w:r>
        <w:rPr>
          <w:rFonts w:eastAsia="仿宋"/>
          <w:bCs/>
        </w:rPr>
        <w:t>授权书上应当附有授权人和被授权人的居民身份证复印件。</w:t>
      </w:r>
    </w:p>
    <w:p>
      <w:pPr>
        <w:snapToGrid w:val="0"/>
        <w:spacing w:line="500" w:lineRule="exact"/>
        <w:rPr>
          <w:rFonts w:eastAsia="仿宋"/>
          <w:bCs/>
        </w:rPr>
      </w:pPr>
    </w:p>
    <w:p>
      <w:pPr>
        <w:snapToGrid w:val="0"/>
        <w:spacing w:line="500" w:lineRule="exact"/>
        <w:jc w:val="center"/>
        <w:rPr>
          <w:rFonts w:eastAsia="仿宋"/>
          <w:bCs/>
        </w:rPr>
      </w:pPr>
    </w:p>
    <w:p>
      <w:pPr>
        <w:snapToGrid w:val="0"/>
        <w:spacing w:line="500" w:lineRule="exact"/>
        <w:rPr>
          <w:rFonts w:eastAsia="仿宋"/>
          <w:bCs/>
        </w:rPr>
      </w:pPr>
    </w:p>
    <w:p>
      <w:pPr>
        <w:snapToGrid w:val="0"/>
        <w:spacing w:line="500" w:lineRule="exact"/>
        <w:rPr>
          <w:rFonts w:eastAsia="仿宋"/>
          <w:bCs/>
        </w:rPr>
      </w:pPr>
    </w:p>
    <w:p>
      <w:pPr>
        <w:snapToGrid w:val="0"/>
        <w:spacing w:line="500" w:lineRule="exact"/>
        <w:rPr>
          <w:rFonts w:eastAsia="仿宋"/>
          <w:bCs/>
        </w:rPr>
      </w:pPr>
    </w:p>
    <w:p>
      <w:pPr>
        <w:keepNext/>
        <w:keepLines/>
        <w:snapToGrid w:val="0"/>
        <w:spacing w:line="500" w:lineRule="exact"/>
        <w:jc w:val="center"/>
        <w:outlineLvl w:val="1"/>
        <w:rPr>
          <w:rFonts w:eastAsia="仿宋"/>
          <w:bCs/>
        </w:rPr>
        <w:sectPr>
          <w:pgSz w:w="11906" w:h="16838"/>
          <w:pgMar w:top="1134" w:right="850" w:bottom="1134" w:left="850" w:header="283" w:footer="283" w:gutter="0"/>
          <w:cols w:space="720" w:num="1"/>
          <w:docGrid w:type="lines" w:linePitch="339" w:charSpace="0"/>
        </w:sectPr>
      </w:pPr>
      <w:bookmarkStart w:id="155" w:name="_Toc23527964"/>
    </w:p>
    <w:p>
      <w:pPr>
        <w:keepNext/>
        <w:keepLines/>
        <w:snapToGrid w:val="0"/>
        <w:spacing w:line="500" w:lineRule="exact"/>
        <w:jc w:val="center"/>
        <w:outlineLvl w:val="1"/>
        <w:rPr>
          <w:rFonts w:eastAsia="仿宋"/>
          <w:bCs/>
        </w:rPr>
      </w:pPr>
      <w:bookmarkStart w:id="156" w:name="_Toc99785579"/>
      <w:bookmarkStart w:id="157" w:name="_Toc25685"/>
      <w:bookmarkStart w:id="158" w:name="_Toc27003"/>
      <w:r>
        <w:rPr>
          <w:rFonts w:eastAsia="仿宋"/>
          <w:bCs/>
        </w:rPr>
        <w:t>（三）法定代表人身份证明书</w:t>
      </w:r>
      <w:bookmarkEnd w:id="155"/>
      <w:bookmarkEnd w:id="156"/>
      <w:bookmarkEnd w:id="157"/>
      <w:bookmarkEnd w:id="158"/>
    </w:p>
    <w:p>
      <w:pPr>
        <w:snapToGrid w:val="0"/>
        <w:spacing w:line="500" w:lineRule="exact"/>
        <w:jc w:val="center"/>
        <w:rPr>
          <w:rFonts w:eastAsia="仿宋"/>
          <w:bCs/>
        </w:rPr>
      </w:pPr>
    </w:p>
    <w:p>
      <w:pPr>
        <w:snapToGrid w:val="0"/>
        <w:spacing w:line="500" w:lineRule="exact"/>
        <w:rPr>
          <w:rFonts w:eastAsia="仿宋"/>
          <w:bCs/>
          <w:u w:val="single"/>
        </w:rPr>
      </w:pPr>
      <w:r>
        <w:rPr>
          <w:rFonts w:eastAsia="仿宋"/>
          <w:bCs/>
        </w:rPr>
        <w:t>企业名称：</w:t>
      </w:r>
      <w:r>
        <w:rPr>
          <w:rFonts w:eastAsia="仿宋"/>
          <w:bCs/>
          <w:u w:val="single"/>
        </w:rPr>
        <w:t xml:space="preserve">                                                   </w:t>
      </w:r>
    </w:p>
    <w:p>
      <w:pPr>
        <w:snapToGrid w:val="0"/>
        <w:spacing w:line="500" w:lineRule="exact"/>
        <w:rPr>
          <w:rFonts w:eastAsia="仿宋"/>
          <w:bCs/>
          <w:u w:val="single"/>
        </w:rPr>
      </w:pPr>
      <w:r>
        <w:rPr>
          <w:rFonts w:eastAsia="仿宋"/>
          <w:bCs/>
        </w:rPr>
        <w:t>企业类型：</w:t>
      </w:r>
      <w:r>
        <w:rPr>
          <w:rFonts w:eastAsia="仿宋"/>
          <w:bCs/>
          <w:u w:val="single"/>
        </w:rPr>
        <w:t xml:space="preserve">                                                   </w:t>
      </w:r>
    </w:p>
    <w:p>
      <w:pPr>
        <w:snapToGrid w:val="0"/>
        <w:spacing w:line="500" w:lineRule="exact"/>
        <w:rPr>
          <w:rFonts w:eastAsia="仿宋"/>
          <w:bCs/>
          <w:u w:val="single"/>
        </w:rPr>
      </w:pPr>
      <w:r>
        <w:rPr>
          <w:rFonts w:eastAsia="仿宋"/>
          <w:bCs/>
        </w:rPr>
        <w:t>地    址：</w:t>
      </w:r>
      <w:r>
        <w:rPr>
          <w:rFonts w:eastAsia="仿宋"/>
          <w:bCs/>
          <w:u w:val="single"/>
        </w:rPr>
        <w:t xml:space="preserve">                                                   </w:t>
      </w:r>
    </w:p>
    <w:p>
      <w:pPr>
        <w:snapToGrid w:val="0"/>
        <w:spacing w:line="500" w:lineRule="exact"/>
        <w:rPr>
          <w:rFonts w:eastAsia="仿宋"/>
          <w:bCs/>
          <w:u w:val="single"/>
        </w:rPr>
      </w:pPr>
      <w:r>
        <w:rPr>
          <w:rFonts w:eastAsia="仿宋"/>
          <w:bCs/>
        </w:rPr>
        <w:t>营业期限：</w:t>
      </w:r>
      <w:r>
        <w:rPr>
          <w:rFonts w:eastAsia="仿宋"/>
          <w:bCs/>
          <w:u w:val="single"/>
        </w:rPr>
        <w:t xml:space="preserve">                                                   </w:t>
      </w:r>
    </w:p>
    <w:p>
      <w:pPr>
        <w:snapToGrid w:val="0"/>
        <w:spacing w:line="500" w:lineRule="exact"/>
        <w:rPr>
          <w:rFonts w:eastAsia="仿宋"/>
          <w:bCs/>
          <w:u w:val="single"/>
        </w:rPr>
      </w:pPr>
      <w:r>
        <w:rPr>
          <w:rFonts w:eastAsia="仿宋"/>
          <w:bCs/>
        </w:rPr>
        <w:t>成立时间：</w:t>
      </w:r>
      <w:r>
        <w:rPr>
          <w:rFonts w:eastAsia="仿宋"/>
          <w:bCs/>
          <w:u w:val="single"/>
        </w:rPr>
        <w:t xml:space="preserve">                                                   </w:t>
      </w:r>
    </w:p>
    <w:p>
      <w:pPr>
        <w:snapToGrid w:val="0"/>
        <w:spacing w:line="500" w:lineRule="exact"/>
        <w:rPr>
          <w:rFonts w:eastAsia="仿宋"/>
          <w:bCs/>
          <w:u w:val="single"/>
        </w:rPr>
      </w:pPr>
      <w:r>
        <w:rPr>
          <w:rFonts w:eastAsia="仿宋"/>
          <w:bCs/>
        </w:rPr>
        <w:t>姓名：</w:t>
      </w:r>
      <w:r>
        <w:rPr>
          <w:rFonts w:eastAsia="仿宋"/>
          <w:bCs/>
          <w:u w:val="single"/>
        </w:rPr>
        <w:t xml:space="preserve">              </w:t>
      </w:r>
      <w:r>
        <w:rPr>
          <w:rFonts w:eastAsia="仿宋"/>
          <w:bCs/>
        </w:rPr>
        <w:t xml:space="preserve">    性别：</w:t>
      </w:r>
      <w:r>
        <w:rPr>
          <w:rFonts w:eastAsia="仿宋"/>
          <w:bCs/>
          <w:u w:val="single"/>
        </w:rPr>
        <w:t xml:space="preserve">         </w:t>
      </w:r>
      <w:r>
        <w:rPr>
          <w:rFonts w:eastAsia="仿宋"/>
          <w:bCs/>
        </w:rPr>
        <w:t xml:space="preserve">   年龄：</w:t>
      </w:r>
      <w:r>
        <w:rPr>
          <w:rFonts w:eastAsia="仿宋"/>
          <w:bCs/>
          <w:u w:val="single"/>
        </w:rPr>
        <w:t xml:space="preserve">             </w:t>
      </w:r>
    </w:p>
    <w:p>
      <w:pPr>
        <w:snapToGrid w:val="0"/>
        <w:spacing w:line="500" w:lineRule="exact"/>
        <w:rPr>
          <w:rFonts w:eastAsia="仿宋"/>
          <w:bCs/>
          <w:u w:val="single"/>
        </w:rPr>
      </w:pPr>
      <w:r>
        <w:rPr>
          <w:rFonts w:eastAsia="仿宋"/>
          <w:bCs/>
        </w:rPr>
        <w:t xml:space="preserve">职务： </w:t>
      </w:r>
      <w:r>
        <w:rPr>
          <w:rFonts w:eastAsia="仿宋"/>
          <w:bCs/>
          <w:u w:val="single"/>
        </w:rPr>
        <w:t xml:space="preserve">               </w:t>
      </w:r>
    </w:p>
    <w:p>
      <w:pPr>
        <w:snapToGrid w:val="0"/>
        <w:spacing w:line="500" w:lineRule="exact"/>
        <w:rPr>
          <w:rFonts w:eastAsia="仿宋"/>
          <w:bCs/>
        </w:rPr>
      </w:pPr>
      <w:r>
        <w:rPr>
          <w:rFonts w:eastAsia="仿宋"/>
          <w:bCs/>
        </w:rPr>
        <w:t xml:space="preserve">系 </w:t>
      </w:r>
      <w:r>
        <w:rPr>
          <w:rFonts w:eastAsia="仿宋"/>
          <w:bCs/>
          <w:u w:val="single"/>
        </w:rPr>
        <w:t xml:space="preserve">          （投标人企业名称）              </w:t>
      </w:r>
      <w:r>
        <w:rPr>
          <w:rFonts w:eastAsia="仿宋"/>
          <w:bCs/>
        </w:rPr>
        <w:t>的法定代表人。</w:t>
      </w:r>
    </w:p>
    <w:p>
      <w:pPr>
        <w:snapToGrid w:val="0"/>
        <w:spacing w:line="500" w:lineRule="exact"/>
        <w:rPr>
          <w:rFonts w:eastAsia="仿宋"/>
          <w:bCs/>
        </w:rPr>
      </w:pPr>
    </w:p>
    <w:p>
      <w:pPr>
        <w:snapToGrid w:val="0"/>
        <w:spacing w:line="500" w:lineRule="exact"/>
        <w:rPr>
          <w:rFonts w:eastAsia="仿宋"/>
          <w:bCs/>
        </w:rPr>
      </w:pPr>
      <w:r>
        <w:rPr>
          <w:rFonts w:eastAsia="仿宋"/>
          <w:bCs/>
        </w:rPr>
        <w:t>特此证明。</w:t>
      </w:r>
    </w:p>
    <w:p>
      <w:pPr>
        <w:snapToGrid w:val="0"/>
        <w:spacing w:line="500" w:lineRule="exact"/>
        <w:jc w:val="right"/>
        <w:rPr>
          <w:rFonts w:eastAsia="仿宋"/>
          <w:bCs/>
        </w:rPr>
      </w:pPr>
    </w:p>
    <w:p>
      <w:pPr>
        <w:snapToGrid w:val="0"/>
        <w:spacing w:line="500" w:lineRule="exact"/>
        <w:jc w:val="right"/>
        <w:rPr>
          <w:rFonts w:eastAsia="仿宋"/>
          <w:bCs/>
          <w:u w:val="single"/>
        </w:rPr>
      </w:pPr>
      <w:r>
        <w:rPr>
          <w:rFonts w:eastAsia="仿宋"/>
          <w:bCs/>
        </w:rPr>
        <w:t>投标人：</w:t>
      </w:r>
      <w:r>
        <w:rPr>
          <w:rFonts w:eastAsia="仿宋"/>
          <w:bCs/>
          <w:u w:val="single"/>
        </w:rPr>
        <w:t xml:space="preserve">                      （盖章）</w:t>
      </w:r>
    </w:p>
    <w:p>
      <w:pPr>
        <w:snapToGrid w:val="0"/>
        <w:spacing w:line="500" w:lineRule="exact"/>
        <w:jc w:val="right"/>
        <w:rPr>
          <w:rFonts w:eastAsia="仿宋"/>
          <w:bCs/>
        </w:rPr>
      </w:pPr>
      <w:r>
        <w:rPr>
          <w:rFonts w:eastAsia="仿宋"/>
          <w:bCs/>
        </w:rPr>
        <w:t>日  期：</w:t>
      </w:r>
      <w:r>
        <w:rPr>
          <w:rFonts w:eastAsia="仿宋"/>
          <w:bCs/>
          <w:u w:val="single"/>
        </w:rPr>
        <w:t xml:space="preserve">        </w:t>
      </w:r>
      <w:r>
        <w:rPr>
          <w:rFonts w:eastAsia="仿宋"/>
          <w:bCs/>
        </w:rPr>
        <w:t>年</w:t>
      </w:r>
      <w:r>
        <w:rPr>
          <w:rFonts w:eastAsia="仿宋"/>
          <w:bCs/>
          <w:u w:val="single"/>
        </w:rPr>
        <w:t xml:space="preserve">        </w:t>
      </w:r>
      <w:r>
        <w:rPr>
          <w:rFonts w:eastAsia="仿宋"/>
          <w:bCs/>
        </w:rPr>
        <w:t>月</w:t>
      </w:r>
      <w:r>
        <w:rPr>
          <w:rFonts w:eastAsia="仿宋"/>
          <w:bCs/>
          <w:u w:val="single"/>
        </w:rPr>
        <w:t xml:space="preserve">        </w:t>
      </w:r>
      <w:r>
        <w:rPr>
          <w:rFonts w:eastAsia="仿宋"/>
          <w:bCs/>
        </w:rPr>
        <w:t>日</w:t>
      </w:r>
    </w:p>
    <w:p>
      <w:pPr>
        <w:snapToGrid w:val="0"/>
        <w:spacing w:line="500" w:lineRule="exact"/>
        <w:ind w:right="140"/>
        <w:jc w:val="right"/>
        <w:rPr>
          <w:rFonts w:eastAsia="仿宋"/>
          <w:bCs/>
        </w:rPr>
      </w:pPr>
    </w:p>
    <w:p>
      <w:pPr>
        <w:snapToGrid w:val="0"/>
        <w:spacing w:line="500" w:lineRule="exact"/>
        <w:ind w:firstLine="480" w:firstLineChars="200"/>
        <w:rPr>
          <w:rFonts w:eastAsia="仿宋"/>
          <w:bCs/>
        </w:rPr>
      </w:pPr>
      <w:r>
        <w:rPr>
          <w:rFonts w:eastAsia="仿宋"/>
          <w:bCs/>
        </w:rPr>
        <w:t>注：1、本证明书为法定代表人本人作为公司代理人参与投标的，提供此项证明书。</w:t>
      </w: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snapToGrid w:val="0"/>
        <w:spacing w:line="500" w:lineRule="exact"/>
        <w:ind w:firstLine="480" w:firstLineChars="200"/>
        <w:rPr>
          <w:rFonts w:eastAsia="仿宋"/>
          <w:bCs/>
        </w:rPr>
      </w:pPr>
    </w:p>
    <w:p>
      <w:pPr>
        <w:keepNext/>
        <w:keepLines/>
        <w:snapToGrid w:val="0"/>
        <w:spacing w:line="500" w:lineRule="exact"/>
        <w:jc w:val="center"/>
        <w:outlineLvl w:val="1"/>
        <w:rPr>
          <w:rFonts w:eastAsia="仿宋"/>
          <w:bCs/>
        </w:rPr>
        <w:sectPr>
          <w:pgSz w:w="11906" w:h="16838"/>
          <w:pgMar w:top="1134" w:right="850" w:bottom="1134" w:left="850" w:header="283" w:footer="283" w:gutter="0"/>
          <w:cols w:space="720" w:num="1"/>
          <w:docGrid w:type="lines" w:linePitch="339" w:charSpace="0"/>
        </w:sectPr>
      </w:pPr>
      <w:bookmarkStart w:id="159" w:name="_Toc23527965"/>
    </w:p>
    <w:p>
      <w:pPr>
        <w:keepNext/>
        <w:keepLines/>
        <w:snapToGrid w:val="0"/>
        <w:spacing w:line="500" w:lineRule="exact"/>
        <w:jc w:val="center"/>
        <w:outlineLvl w:val="1"/>
        <w:rPr>
          <w:rFonts w:eastAsia="仿宋"/>
          <w:bCs/>
        </w:rPr>
      </w:pPr>
      <w:bookmarkStart w:id="160" w:name="_Toc99785580"/>
      <w:bookmarkStart w:id="161" w:name="_Toc22322"/>
      <w:bookmarkStart w:id="162" w:name="_Toc1369"/>
      <w:r>
        <w:rPr>
          <w:rFonts w:eastAsia="仿宋"/>
          <w:bCs/>
        </w:rPr>
        <w:t>（四）备案截图</w:t>
      </w:r>
      <w:bookmarkEnd w:id="159"/>
      <w:bookmarkEnd w:id="160"/>
      <w:bookmarkEnd w:id="161"/>
      <w:bookmarkEnd w:id="162"/>
    </w:p>
    <w:p>
      <w:pPr>
        <w:snapToGrid w:val="0"/>
        <w:spacing w:line="500" w:lineRule="exact"/>
        <w:ind w:firstLine="360" w:firstLineChars="150"/>
        <w:rPr>
          <w:rFonts w:eastAsia="仿宋"/>
          <w:bCs/>
        </w:rPr>
      </w:pPr>
      <w:r>
        <w:rPr>
          <w:rFonts w:eastAsia="仿宋"/>
          <w:bCs/>
        </w:rPr>
        <w:t>提供近三年未被列入失信被执行人黑名单的，提供“信用中国”（WWW.creditchina.gov.cn），和“中国政府采购网（www.ccgp.gov.cn）”网站查询页，经查询有失信记录的将被取消投标资格；（提供网页截图，加盖公章）。</w:t>
      </w:r>
    </w:p>
    <w:p>
      <w:pPr>
        <w:snapToGrid w:val="0"/>
        <w:spacing w:line="500" w:lineRule="exact"/>
        <w:rPr>
          <w:rFonts w:eastAsia="仿宋"/>
          <w:bCs/>
        </w:rPr>
      </w:pPr>
    </w:p>
    <w:p>
      <w:pPr>
        <w:keepNext/>
        <w:keepLines/>
        <w:tabs>
          <w:tab w:val="left" w:pos="210"/>
          <w:tab w:val="center" w:pos="4359"/>
        </w:tabs>
        <w:snapToGrid w:val="0"/>
        <w:spacing w:line="500" w:lineRule="exact"/>
        <w:jc w:val="center"/>
        <w:outlineLvl w:val="1"/>
        <w:rPr>
          <w:rFonts w:eastAsia="仿宋"/>
          <w:bCs/>
        </w:rPr>
      </w:pPr>
      <w:bookmarkStart w:id="163" w:name="_Toc31135"/>
      <w:bookmarkStart w:id="164" w:name="_Toc23527967"/>
      <w:bookmarkStart w:id="165" w:name="_Toc99785581"/>
      <w:bookmarkStart w:id="166" w:name="_Toc773"/>
      <w:r>
        <w:rPr>
          <w:rFonts w:eastAsia="仿宋"/>
          <w:bCs/>
        </w:rPr>
        <w:t>（五）反商业贿赂承诺书</w:t>
      </w:r>
      <w:bookmarkEnd w:id="163"/>
      <w:bookmarkEnd w:id="164"/>
      <w:bookmarkEnd w:id="165"/>
      <w:bookmarkEnd w:id="166"/>
    </w:p>
    <w:p>
      <w:pPr>
        <w:snapToGrid w:val="0"/>
        <w:spacing w:line="500" w:lineRule="exact"/>
        <w:rPr>
          <w:rFonts w:eastAsia="仿宋"/>
          <w:bCs/>
        </w:rPr>
      </w:pPr>
    </w:p>
    <w:p>
      <w:pPr>
        <w:snapToGrid w:val="0"/>
        <w:spacing w:line="500" w:lineRule="exact"/>
        <w:ind w:firstLine="480" w:firstLineChars="200"/>
        <w:jc w:val="left"/>
        <w:rPr>
          <w:rFonts w:eastAsia="仿宋"/>
          <w:bCs/>
        </w:rPr>
      </w:pPr>
      <w:r>
        <w:rPr>
          <w:rFonts w:eastAsia="仿宋"/>
          <w:bCs/>
        </w:rPr>
        <w:t>为了从源头上防治腐败，杜绝商业贿赂行为的发生，更好地配合</w:t>
      </w:r>
      <w:r>
        <w:rPr>
          <w:rFonts w:hint="eastAsia" w:eastAsia="仿宋"/>
          <w:bCs/>
          <w:lang w:eastAsia="zh-CN"/>
        </w:rPr>
        <w:t>新疆维吾尔自治区儿童医院</w:t>
      </w:r>
      <w:r>
        <w:rPr>
          <w:rFonts w:eastAsia="仿宋"/>
          <w:bCs/>
        </w:rPr>
        <w:t>集中采购的工作，我们投标人承诺如下：</w:t>
      </w:r>
    </w:p>
    <w:p>
      <w:pPr>
        <w:snapToGrid w:val="0"/>
        <w:spacing w:line="500" w:lineRule="exact"/>
        <w:ind w:firstLine="480" w:firstLineChars="200"/>
        <w:rPr>
          <w:rFonts w:eastAsia="仿宋"/>
          <w:bCs/>
        </w:rPr>
      </w:pPr>
      <w:r>
        <w:rPr>
          <w:rFonts w:eastAsia="仿宋"/>
          <w:bCs/>
        </w:rPr>
        <w:t>1、不以各种名义给</w:t>
      </w:r>
      <w:r>
        <w:rPr>
          <w:rFonts w:hint="eastAsia" w:eastAsia="仿宋"/>
          <w:bCs/>
          <w:lang w:eastAsia="zh-CN"/>
        </w:rPr>
        <w:t>新疆维吾尔自治区儿童医院</w:t>
      </w:r>
      <w:r>
        <w:rPr>
          <w:rFonts w:eastAsia="仿宋"/>
          <w:bCs/>
        </w:rPr>
        <w:t>工作人员借或送现金、有价证券及物品;</w:t>
      </w:r>
    </w:p>
    <w:p>
      <w:pPr>
        <w:snapToGrid w:val="0"/>
        <w:spacing w:line="500" w:lineRule="exact"/>
        <w:ind w:firstLine="480" w:firstLineChars="200"/>
        <w:rPr>
          <w:rFonts w:eastAsia="仿宋"/>
          <w:bCs/>
        </w:rPr>
      </w:pPr>
      <w:r>
        <w:rPr>
          <w:rFonts w:eastAsia="仿宋"/>
          <w:bCs/>
        </w:rPr>
        <w:t>2、不以个人名义邀请</w:t>
      </w:r>
      <w:r>
        <w:rPr>
          <w:rFonts w:hint="eastAsia" w:eastAsia="仿宋"/>
          <w:bCs/>
          <w:lang w:eastAsia="zh-CN"/>
        </w:rPr>
        <w:t>新疆维吾尔自治区儿童医院</w:t>
      </w:r>
      <w:r>
        <w:rPr>
          <w:rFonts w:eastAsia="仿宋"/>
          <w:bCs/>
        </w:rPr>
        <w:t>工作人员参与考察旅游活动和宴请活动；</w:t>
      </w:r>
    </w:p>
    <w:p>
      <w:pPr>
        <w:snapToGrid w:val="0"/>
        <w:spacing w:line="500" w:lineRule="exact"/>
        <w:ind w:firstLine="480" w:firstLineChars="200"/>
        <w:rPr>
          <w:rFonts w:eastAsia="仿宋"/>
          <w:bCs/>
        </w:rPr>
      </w:pPr>
      <w:r>
        <w:rPr>
          <w:rFonts w:eastAsia="仿宋"/>
          <w:bCs/>
        </w:rPr>
        <w:t>3、不发生与采购事项有关的其他违规违纪行为。</w:t>
      </w:r>
    </w:p>
    <w:p>
      <w:pPr>
        <w:snapToGrid w:val="0"/>
        <w:spacing w:line="500" w:lineRule="exact"/>
        <w:ind w:firstLine="560"/>
        <w:rPr>
          <w:rFonts w:eastAsia="仿宋"/>
          <w:bCs/>
        </w:rPr>
      </w:pPr>
      <w:r>
        <w:rPr>
          <w:rFonts w:eastAsia="仿宋"/>
          <w:bCs/>
        </w:rPr>
        <w:t>如违反其中一项，</w:t>
      </w:r>
      <w:r>
        <w:rPr>
          <w:rFonts w:hint="eastAsia" w:eastAsia="仿宋"/>
          <w:bCs/>
          <w:lang w:eastAsia="zh-CN"/>
        </w:rPr>
        <w:t>新疆维吾尔自治区儿童医院</w:t>
      </w:r>
      <w:r>
        <w:rPr>
          <w:rFonts w:eastAsia="仿宋"/>
          <w:bCs/>
        </w:rPr>
        <w:t>有权利将其列入采购黑名单并终止投标资格，今后不得参与</w:t>
      </w:r>
      <w:r>
        <w:rPr>
          <w:rFonts w:hint="eastAsia" w:eastAsia="仿宋"/>
          <w:bCs/>
          <w:lang w:eastAsia="zh-CN"/>
        </w:rPr>
        <w:t>新疆维吾尔自治区儿童医院</w:t>
      </w:r>
      <w:r>
        <w:rPr>
          <w:rFonts w:eastAsia="仿宋"/>
          <w:bCs/>
        </w:rPr>
        <w:t xml:space="preserve">采购招投标活动，触犯法律由司法部门处理。                     </w:t>
      </w:r>
    </w:p>
    <w:p>
      <w:pPr>
        <w:wordWrap w:val="0"/>
        <w:snapToGrid w:val="0"/>
        <w:spacing w:line="500" w:lineRule="exact"/>
        <w:jc w:val="right"/>
        <w:rPr>
          <w:rFonts w:eastAsia="仿宋"/>
          <w:bCs/>
        </w:rPr>
      </w:pPr>
      <w:r>
        <w:rPr>
          <w:rFonts w:eastAsia="仿宋"/>
          <w:bCs/>
        </w:rPr>
        <w:t xml:space="preserve">           承诺单位 ：       （签章）</w:t>
      </w:r>
    </w:p>
    <w:p>
      <w:pPr>
        <w:snapToGrid w:val="0"/>
        <w:spacing w:line="500" w:lineRule="exact"/>
        <w:ind w:firstLine="3120" w:firstLineChars="1300"/>
        <w:jc w:val="left"/>
        <w:rPr>
          <w:rFonts w:eastAsia="仿宋"/>
          <w:bCs/>
        </w:rPr>
      </w:pPr>
      <w:r>
        <w:rPr>
          <w:rFonts w:eastAsia="仿宋"/>
          <w:bCs/>
        </w:rPr>
        <w:t xml:space="preserve">     单位法人（或授权代理人）：       （签字）</w:t>
      </w:r>
    </w:p>
    <w:p>
      <w:pPr>
        <w:snapToGrid w:val="0"/>
        <w:spacing w:line="500" w:lineRule="exact"/>
        <w:ind w:firstLine="560"/>
        <w:jc w:val="right"/>
        <w:rPr>
          <w:rFonts w:eastAsia="仿宋"/>
          <w:bCs/>
        </w:rPr>
      </w:pPr>
    </w:p>
    <w:p>
      <w:pPr>
        <w:snapToGrid w:val="0"/>
        <w:spacing w:line="500" w:lineRule="exact"/>
        <w:ind w:firstLine="3600" w:firstLineChars="1500"/>
        <w:jc w:val="right"/>
        <w:rPr>
          <w:rFonts w:eastAsia="仿宋"/>
          <w:bCs/>
        </w:rPr>
      </w:pPr>
      <w:r>
        <w:rPr>
          <w:rFonts w:eastAsia="仿宋"/>
          <w:bCs/>
        </w:rPr>
        <w:t>年   月   日</w:t>
      </w:r>
    </w:p>
    <w:p>
      <w:pPr>
        <w:snapToGrid w:val="0"/>
        <w:spacing w:line="500" w:lineRule="exact"/>
        <w:jc w:val="center"/>
        <w:outlineLvl w:val="1"/>
        <w:rPr>
          <w:rFonts w:eastAsia="仿宋"/>
          <w:bCs/>
        </w:rPr>
      </w:pPr>
      <w:bookmarkStart w:id="167" w:name="_Toc14919"/>
      <w:bookmarkStart w:id="168" w:name="_Toc99785582"/>
      <w:bookmarkStart w:id="169" w:name="_Toc30933"/>
      <w:bookmarkStart w:id="170" w:name="_Toc23527968"/>
      <w:r>
        <w:rPr>
          <w:rFonts w:eastAsia="仿宋"/>
          <w:bCs/>
        </w:rPr>
        <w:t>（六）投标保证金汇款证明</w:t>
      </w:r>
      <w:bookmarkEnd w:id="167"/>
      <w:bookmarkEnd w:id="168"/>
      <w:bookmarkEnd w:id="169"/>
      <w:bookmarkEnd w:id="170"/>
    </w:p>
    <w:p>
      <w:pPr>
        <w:spacing w:line="500" w:lineRule="exact"/>
        <w:rPr>
          <w:rFonts w:eastAsia="仿宋"/>
          <w:bCs/>
        </w:rPr>
        <w:sectPr>
          <w:pgSz w:w="11906" w:h="16838"/>
          <w:pgMar w:top="1134" w:right="850" w:bottom="1134" w:left="850" w:header="283" w:footer="283" w:gutter="0"/>
          <w:cols w:space="720" w:num="1"/>
          <w:docGrid w:type="lines" w:linePitch="339" w:charSpace="0"/>
        </w:sectPr>
      </w:pPr>
      <w:r>
        <w:rPr>
          <w:rFonts w:eastAsia="仿宋"/>
          <w:bCs/>
        </w:rPr>
        <w:t>投标单位缴纳完投标保证金后的打款证明（详见第一部分第一章投标人须知）。</w:t>
      </w:r>
    </w:p>
    <w:p>
      <w:pPr>
        <w:pStyle w:val="3"/>
        <w:numPr>
          <w:ilvl w:val="0"/>
          <w:numId w:val="0"/>
        </w:numPr>
        <w:snapToGrid w:val="0"/>
        <w:spacing w:before="0" w:after="0" w:line="500" w:lineRule="exact"/>
        <w:jc w:val="center"/>
        <w:rPr>
          <w:rFonts w:eastAsia="仿宋"/>
          <w:b w:val="0"/>
          <w:bCs w:val="0"/>
          <w:sz w:val="24"/>
          <w:szCs w:val="24"/>
        </w:rPr>
      </w:pPr>
      <w:bookmarkStart w:id="171" w:name="_Toc23527969"/>
      <w:bookmarkStart w:id="172" w:name="_Toc25341"/>
      <w:bookmarkStart w:id="173" w:name="_Toc30098"/>
      <w:bookmarkStart w:id="174" w:name="_Toc99785583"/>
      <w:r>
        <w:rPr>
          <w:rFonts w:eastAsia="仿宋"/>
          <w:b w:val="0"/>
          <w:bCs w:val="0"/>
          <w:sz w:val="24"/>
          <w:szCs w:val="24"/>
        </w:rPr>
        <w:t>三、商务及技术文件</w:t>
      </w:r>
      <w:bookmarkEnd w:id="171"/>
      <w:bookmarkEnd w:id="172"/>
      <w:bookmarkEnd w:id="173"/>
      <w:bookmarkEnd w:id="174"/>
    </w:p>
    <w:p>
      <w:pPr>
        <w:tabs>
          <w:tab w:val="left" w:pos="900"/>
          <w:tab w:val="left" w:pos="1326"/>
        </w:tabs>
        <w:snapToGrid w:val="0"/>
        <w:spacing w:line="500" w:lineRule="exact"/>
        <w:ind w:firstLine="460" w:firstLineChars="192"/>
        <w:rPr>
          <w:rFonts w:eastAsia="仿宋"/>
          <w:bCs/>
          <w:color w:val="000000"/>
        </w:rPr>
      </w:pPr>
      <w:r>
        <w:rPr>
          <w:rFonts w:eastAsia="仿宋"/>
          <w:bCs/>
          <w:color w:val="000000"/>
        </w:rPr>
        <w:t>投标文件</w:t>
      </w:r>
      <w:r>
        <w:rPr>
          <w:rFonts w:eastAsia="仿宋"/>
          <w:color w:val="000000"/>
        </w:rPr>
        <w:t>按下列顺序排列和装订投标文件</w:t>
      </w:r>
      <w:r>
        <w:rPr>
          <w:rFonts w:eastAsia="仿宋"/>
          <w:bCs/>
          <w:color w:val="000000"/>
        </w:rPr>
        <w:t>：（未提供格式的内容自拟）</w:t>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（一）资格声明文件</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（二）企业营业执照</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（三）法定代表人授权委托书或法定代表人身份证明书</w:t>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（四）投标人简介</w:t>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（五）项目服务期承诺</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（六）技术规格偏离表</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（七）合同条款偏离表</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（八）拟投入人员承诺函</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（九）项目人员信息表</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（十）项目实施方案</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（十一）技术方案</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（十二）企业缴税及财务情况</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（十三）项目验收承诺</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（十四）售后服务与增值服务承诺</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（十五）售后服务方案</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（十六）类似业绩汇总表</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（十七）投标人提交的其它资料</w:t>
      </w:r>
      <w:r>
        <w:rPr>
          <w:rFonts w:eastAsia="仿宋"/>
          <w:b/>
          <w:bCs/>
          <w:color w:val="000000"/>
        </w:rPr>
        <w:tab/>
      </w:r>
    </w:p>
    <w:p>
      <w:pPr>
        <w:tabs>
          <w:tab w:val="left" w:pos="900"/>
          <w:tab w:val="left" w:pos="1326"/>
        </w:tabs>
        <w:snapToGrid w:val="0"/>
        <w:spacing w:line="500" w:lineRule="exact"/>
        <w:ind w:firstLine="463" w:firstLineChars="192"/>
        <w:rPr>
          <w:rFonts w:eastAsia="仿宋"/>
          <w:b/>
          <w:bCs/>
          <w:color w:val="000000"/>
        </w:rPr>
      </w:pPr>
      <w:r>
        <w:rPr>
          <w:rFonts w:eastAsia="仿宋"/>
          <w:b/>
          <w:bCs/>
          <w:color w:val="000000"/>
        </w:rPr>
        <w:t>投标人提供的以上材料必须真实有效，所有文件均须加盖单位公章，任何一项的虚假或提交的投标文件资料不全，或未对投标文件做出实质性响应，将可能导致投标文件被拒绝接受。</w:t>
      </w:r>
    </w:p>
    <w:p>
      <w:pPr>
        <w:tabs>
          <w:tab w:val="left" w:pos="900"/>
          <w:tab w:val="left" w:pos="1326"/>
        </w:tabs>
        <w:snapToGrid w:val="0"/>
        <w:spacing w:line="500" w:lineRule="exact"/>
        <w:ind w:firstLine="463" w:firstLineChars="192"/>
        <w:rPr>
          <w:rFonts w:eastAsia="仿宋"/>
          <w:b/>
          <w:bCs/>
          <w:color w:val="000000"/>
        </w:rPr>
      </w:pPr>
    </w:p>
    <w:p>
      <w:pPr>
        <w:tabs>
          <w:tab w:val="left" w:pos="900"/>
          <w:tab w:val="left" w:pos="1326"/>
        </w:tabs>
        <w:snapToGrid w:val="0"/>
        <w:spacing w:line="500" w:lineRule="exact"/>
        <w:ind w:firstLine="463" w:firstLineChars="192"/>
        <w:rPr>
          <w:rFonts w:eastAsia="仿宋"/>
          <w:b/>
          <w:bCs/>
          <w:color w:val="000000"/>
        </w:rPr>
      </w:pPr>
    </w:p>
    <w:p>
      <w:pPr>
        <w:tabs>
          <w:tab w:val="left" w:pos="900"/>
          <w:tab w:val="left" w:pos="1326"/>
        </w:tabs>
        <w:snapToGrid w:val="0"/>
        <w:spacing w:line="500" w:lineRule="exact"/>
        <w:ind w:firstLine="460" w:firstLineChars="192"/>
        <w:rPr>
          <w:rFonts w:eastAsia="仿宋"/>
          <w:bCs/>
          <w:color w:val="000000"/>
        </w:rPr>
      </w:pPr>
    </w:p>
    <w:p>
      <w:pPr>
        <w:tabs>
          <w:tab w:val="left" w:pos="900"/>
          <w:tab w:val="left" w:pos="1326"/>
        </w:tabs>
        <w:snapToGrid w:val="0"/>
        <w:spacing w:line="500" w:lineRule="exact"/>
        <w:ind w:firstLine="460" w:firstLineChars="192"/>
        <w:rPr>
          <w:rFonts w:eastAsia="仿宋"/>
          <w:bCs/>
          <w:color w:val="000000"/>
        </w:rPr>
      </w:pPr>
    </w:p>
    <w:p>
      <w:pPr>
        <w:tabs>
          <w:tab w:val="left" w:pos="900"/>
          <w:tab w:val="left" w:pos="1326"/>
        </w:tabs>
        <w:snapToGrid w:val="0"/>
        <w:spacing w:line="500" w:lineRule="exact"/>
        <w:ind w:firstLine="460" w:firstLineChars="192"/>
        <w:rPr>
          <w:rFonts w:eastAsia="仿宋"/>
          <w:bCs/>
          <w:color w:val="000000"/>
        </w:rPr>
      </w:pPr>
    </w:p>
    <w:p>
      <w:pPr>
        <w:pStyle w:val="5"/>
        <w:snapToGrid w:val="0"/>
        <w:spacing w:before="0" w:after="0" w:line="500" w:lineRule="exact"/>
        <w:jc w:val="center"/>
        <w:rPr>
          <w:rFonts w:ascii="Times New Roman" w:hAnsi="Times New Roman" w:eastAsia="仿宋"/>
          <w:sz w:val="24"/>
          <w:szCs w:val="24"/>
        </w:rPr>
        <w:sectPr>
          <w:pgSz w:w="11906" w:h="16838"/>
          <w:pgMar w:top="1134" w:right="850" w:bottom="1134" w:left="850" w:header="283" w:footer="283" w:gutter="0"/>
          <w:cols w:space="720" w:num="1"/>
          <w:docGrid w:type="lines" w:linePitch="339" w:charSpace="0"/>
        </w:sectPr>
      </w:pPr>
      <w:bookmarkStart w:id="175" w:name="_Toc18374"/>
    </w:p>
    <w:p>
      <w:pPr>
        <w:pStyle w:val="5"/>
        <w:numPr>
          <w:ilvl w:val="0"/>
          <w:numId w:val="0"/>
        </w:numPr>
        <w:snapToGrid w:val="0"/>
        <w:spacing w:before="0" w:after="0" w:line="500" w:lineRule="exact"/>
        <w:jc w:val="center"/>
        <w:rPr>
          <w:rFonts w:ascii="Times New Roman" w:hAnsi="Times New Roman" w:eastAsia="仿宋"/>
          <w:sz w:val="24"/>
          <w:szCs w:val="24"/>
        </w:rPr>
      </w:pPr>
      <w:bookmarkStart w:id="176" w:name="_Toc23398"/>
      <w:bookmarkStart w:id="177" w:name="_Toc30911"/>
      <w:bookmarkStart w:id="178" w:name="_Toc99785584"/>
      <w:r>
        <w:rPr>
          <w:rFonts w:ascii="Times New Roman" w:hAnsi="Times New Roman" w:eastAsia="仿宋"/>
          <w:sz w:val="24"/>
          <w:szCs w:val="24"/>
        </w:rPr>
        <w:t>（一）资格声明文件</w:t>
      </w:r>
      <w:bookmarkEnd w:id="175"/>
      <w:bookmarkEnd w:id="176"/>
      <w:bookmarkEnd w:id="177"/>
      <w:bookmarkEnd w:id="178"/>
    </w:p>
    <w:p>
      <w:pPr>
        <w:snapToGrid w:val="0"/>
        <w:spacing w:line="500" w:lineRule="exact"/>
        <w:rPr>
          <w:rFonts w:eastAsia="仿宋"/>
        </w:rPr>
      </w:pPr>
      <w:r>
        <w:rPr>
          <w:rFonts w:eastAsia="仿宋"/>
        </w:rPr>
        <w:t>致：（招标人）</w:t>
      </w:r>
    </w:p>
    <w:p>
      <w:pPr>
        <w:snapToGrid w:val="0"/>
        <w:spacing w:line="500" w:lineRule="exact"/>
        <w:ind w:firstLine="480" w:firstLineChars="200"/>
        <w:rPr>
          <w:rFonts w:eastAsia="仿宋"/>
        </w:rPr>
      </w:pPr>
      <w:r>
        <w:rPr>
          <w:rFonts w:eastAsia="仿宋"/>
          <w:u w:val="single"/>
        </w:rPr>
        <w:t xml:space="preserve">        </w:t>
      </w:r>
      <w:r>
        <w:rPr>
          <w:rFonts w:eastAsia="仿宋"/>
        </w:rPr>
        <w:t>（投标人名称）</w:t>
      </w:r>
      <w:r>
        <w:rPr>
          <w:rFonts w:eastAsia="仿宋"/>
          <w:u w:val="single"/>
        </w:rPr>
        <w:t xml:space="preserve">       </w:t>
      </w:r>
      <w:r>
        <w:rPr>
          <w:rFonts w:eastAsia="仿宋"/>
        </w:rPr>
        <w:t>系中华人民共和国合法企业，经营地址</w:t>
      </w:r>
      <w:r>
        <w:rPr>
          <w:rFonts w:eastAsia="仿宋"/>
          <w:u w:val="single"/>
        </w:rPr>
        <w:t xml:space="preserve">                            </w:t>
      </w:r>
      <w:r>
        <w:rPr>
          <w:rFonts w:eastAsia="仿宋"/>
        </w:rPr>
        <w:t>。</w:t>
      </w:r>
    </w:p>
    <w:p>
      <w:pPr>
        <w:snapToGrid w:val="0"/>
        <w:spacing w:line="500" w:lineRule="exact"/>
        <w:ind w:firstLine="480" w:firstLineChars="200"/>
        <w:rPr>
          <w:rFonts w:eastAsia="仿宋"/>
        </w:rPr>
      </w:pPr>
      <w:r>
        <w:rPr>
          <w:rFonts w:eastAsia="仿宋"/>
        </w:rPr>
        <w:t>我（姓名）系（投标人名称）的法定代表人，我方愿意参加贵方组织的</w:t>
      </w:r>
      <w:r>
        <w:rPr>
          <w:rFonts w:eastAsia="仿宋"/>
          <w:u w:val="single"/>
        </w:rPr>
        <w:t xml:space="preserve">        </w:t>
      </w:r>
      <w:r>
        <w:rPr>
          <w:rFonts w:eastAsia="仿宋"/>
        </w:rPr>
        <w:t>项目（招标项目名称）（编号为</w:t>
      </w:r>
      <w:r>
        <w:rPr>
          <w:rFonts w:eastAsia="仿宋"/>
          <w:u w:val="single"/>
        </w:rPr>
        <w:t xml:space="preserve">         </w:t>
      </w:r>
      <w:r>
        <w:rPr>
          <w:rFonts w:eastAsia="仿宋"/>
        </w:rPr>
        <w:t>）的投标，为此，我方就本次投标有关事项郑重声明如下：</w:t>
      </w:r>
    </w:p>
    <w:p>
      <w:pPr>
        <w:snapToGrid w:val="0"/>
        <w:spacing w:line="500" w:lineRule="exact"/>
        <w:ind w:firstLine="480" w:firstLineChars="200"/>
        <w:rPr>
          <w:rFonts w:eastAsia="仿宋"/>
        </w:rPr>
      </w:pPr>
      <w:r>
        <w:rPr>
          <w:rFonts w:eastAsia="仿宋"/>
        </w:rPr>
        <w:t>1、投标方已详细审查全部招标文件，同意投标文件的各项要求。</w:t>
      </w:r>
    </w:p>
    <w:p>
      <w:pPr>
        <w:snapToGrid w:val="0"/>
        <w:spacing w:line="500" w:lineRule="exact"/>
        <w:ind w:firstLine="480" w:firstLineChars="200"/>
        <w:rPr>
          <w:rFonts w:eastAsia="仿宋"/>
        </w:rPr>
      </w:pPr>
      <w:r>
        <w:rPr>
          <w:rFonts w:eastAsia="仿宋"/>
        </w:rPr>
        <w:t>2、我方向贵方提交的所有投标文件、资料都是准确的和真实的。</w:t>
      </w:r>
    </w:p>
    <w:p>
      <w:pPr>
        <w:snapToGrid w:val="0"/>
        <w:spacing w:line="500" w:lineRule="exact"/>
        <w:ind w:firstLine="480" w:firstLineChars="200"/>
        <w:rPr>
          <w:rFonts w:eastAsia="仿宋"/>
        </w:rPr>
      </w:pPr>
      <w:r>
        <w:rPr>
          <w:rFonts w:eastAsia="仿宋"/>
        </w:rPr>
        <w:t>3、若中标，我方将按招标文件规定履行合同责任和义务。</w:t>
      </w:r>
    </w:p>
    <w:p>
      <w:pPr>
        <w:snapToGrid w:val="0"/>
        <w:spacing w:line="500" w:lineRule="exact"/>
        <w:ind w:firstLine="480" w:firstLineChars="200"/>
        <w:rPr>
          <w:rFonts w:eastAsia="仿宋"/>
        </w:rPr>
      </w:pPr>
      <w:r>
        <w:rPr>
          <w:rFonts w:eastAsia="仿宋"/>
        </w:rPr>
        <w:t>4、我方的投标自投标截止时间之日起有效期为</w:t>
      </w:r>
      <w:r>
        <w:rPr>
          <w:rFonts w:eastAsia="仿宋"/>
          <w:u w:val="single"/>
        </w:rPr>
        <w:t xml:space="preserve">    </w:t>
      </w:r>
      <w:r>
        <w:rPr>
          <w:rFonts w:eastAsia="仿宋"/>
        </w:rPr>
        <w:t>个日历天。</w:t>
      </w:r>
    </w:p>
    <w:p>
      <w:pPr>
        <w:snapToGrid w:val="0"/>
        <w:spacing w:line="500" w:lineRule="exact"/>
        <w:ind w:firstLine="480" w:firstLineChars="200"/>
        <w:rPr>
          <w:rFonts w:eastAsia="仿宋"/>
        </w:rPr>
      </w:pPr>
      <w:r>
        <w:rPr>
          <w:rFonts w:eastAsia="仿宋"/>
        </w:rPr>
        <w:t>5.以上事项如有虚假或隐瞒，我方愿意承担一切后果，并不再寻求任何旨在减轻或免除法律责任的辩解。</w:t>
      </w:r>
    </w:p>
    <w:p>
      <w:pPr>
        <w:tabs>
          <w:tab w:val="left" w:pos="939"/>
        </w:tabs>
        <w:snapToGrid w:val="0"/>
        <w:spacing w:line="500" w:lineRule="exact"/>
        <w:ind w:left="818" w:leftChars="150" w:hanging="458" w:hangingChars="191"/>
        <w:rPr>
          <w:rFonts w:eastAsia="仿宋"/>
        </w:rPr>
      </w:pPr>
    </w:p>
    <w:p>
      <w:pPr>
        <w:snapToGrid w:val="0"/>
        <w:spacing w:line="500" w:lineRule="exact"/>
        <w:ind w:firstLine="200"/>
        <w:rPr>
          <w:rFonts w:eastAsia="仿宋"/>
        </w:rPr>
      </w:pPr>
    </w:p>
    <w:p>
      <w:pPr>
        <w:snapToGrid w:val="0"/>
        <w:spacing w:line="500" w:lineRule="exact"/>
        <w:ind w:right="600" w:firstLine="120" w:firstLineChars="50"/>
        <w:rPr>
          <w:rFonts w:eastAsia="仿宋"/>
        </w:rPr>
      </w:pPr>
      <w:r>
        <w:rPr>
          <w:rFonts w:eastAsia="仿宋"/>
        </w:rPr>
        <w:t xml:space="preserve">法定代表人签字：                        日 期：          </w:t>
      </w:r>
    </w:p>
    <w:p>
      <w:pPr>
        <w:snapToGrid w:val="0"/>
        <w:spacing w:line="500" w:lineRule="exact"/>
        <w:ind w:firstLine="200"/>
        <w:rPr>
          <w:rFonts w:eastAsia="仿宋"/>
        </w:rPr>
      </w:pPr>
    </w:p>
    <w:p>
      <w:pPr>
        <w:snapToGrid w:val="0"/>
        <w:spacing w:line="500" w:lineRule="exact"/>
        <w:ind w:firstLine="120" w:firstLineChars="50"/>
        <w:rPr>
          <w:rFonts w:eastAsia="仿宋"/>
        </w:rPr>
      </w:pPr>
      <w:r>
        <w:rPr>
          <w:rFonts w:eastAsia="仿宋"/>
        </w:rPr>
        <w:t xml:space="preserve">单位全称（公章）：   </w:t>
      </w: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firstLine="120" w:firstLineChars="50"/>
        <w:rPr>
          <w:rFonts w:eastAsia="仿宋"/>
        </w:rPr>
      </w:pPr>
    </w:p>
    <w:p>
      <w:pPr>
        <w:snapToGrid w:val="0"/>
        <w:spacing w:line="500" w:lineRule="exact"/>
        <w:ind w:left="1445"/>
        <w:jc w:val="left"/>
        <w:rPr>
          <w:rFonts w:eastAsia="仿宋"/>
          <w:color w:val="000000"/>
        </w:rPr>
      </w:pPr>
    </w:p>
    <w:p>
      <w:pPr>
        <w:pStyle w:val="5"/>
        <w:snapToGrid w:val="0"/>
        <w:spacing w:before="0" w:after="0" w:line="500" w:lineRule="exact"/>
        <w:jc w:val="center"/>
        <w:rPr>
          <w:rFonts w:ascii="Times New Roman" w:hAnsi="Times New Roman" w:eastAsia="仿宋"/>
          <w:sz w:val="24"/>
          <w:szCs w:val="24"/>
        </w:rPr>
        <w:sectPr>
          <w:pgSz w:w="11906" w:h="16838"/>
          <w:pgMar w:top="1134" w:right="850" w:bottom="1134" w:left="850" w:header="283" w:footer="283" w:gutter="0"/>
          <w:cols w:space="720" w:num="1"/>
          <w:docGrid w:type="lines" w:linePitch="339" w:charSpace="0"/>
        </w:sectPr>
      </w:pPr>
      <w:bookmarkStart w:id="179" w:name="_Toc30531"/>
    </w:p>
    <w:p>
      <w:pPr>
        <w:pStyle w:val="5"/>
        <w:numPr>
          <w:ilvl w:val="0"/>
          <w:numId w:val="0"/>
        </w:numPr>
        <w:snapToGrid w:val="0"/>
        <w:spacing w:before="0" w:after="0" w:line="500" w:lineRule="exact"/>
        <w:jc w:val="center"/>
        <w:rPr>
          <w:rFonts w:ascii="Times New Roman" w:hAnsi="Times New Roman" w:eastAsia="仿宋"/>
          <w:sz w:val="24"/>
          <w:szCs w:val="24"/>
        </w:rPr>
      </w:pPr>
      <w:bookmarkStart w:id="180" w:name="_Toc18067"/>
      <w:bookmarkStart w:id="181" w:name="_Toc16509"/>
      <w:bookmarkStart w:id="182" w:name="_Toc99785585"/>
      <w:r>
        <w:rPr>
          <w:rFonts w:ascii="Times New Roman" w:hAnsi="Times New Roman" w:eastAsia="仿宋"/>
          <w:sz w:val="24"/>
          <w:szCs w:val="24"/>
        </w:rPr>
        <w:t>（二）企业营业执照</w:t>
      </w:r>
      <w:bookmarkEnd w:id="179"/>
      <w:bookmarkEnd w:id="180"/>
      <w:bookmarkEnd w:id="181"/>
      <w:bookmarkEnd w:id="182"/>
    </w:p>
    <w:p>
      <w:pPr>
        <w:snapToGrid w:val="0"/>
        <w:spacing w:line="500" w:lineRule="exact"/>
        <w:ind w:firstLine="480" w:firstLineChars="200"/>
        <w:rPr>
          <w:rFonts w:eastAsia="仿宋"/>
          <w:color w:val="000000"/>
        </w:rPr>
      </w:pPr>
      <w:r>
        <w:rPr>
          <w:rFonts w:eastAsia="仿宋"/>
          <w:color w:val="000000"/>
        </w:rPr>
        <w:t>提供合法有效的营业执照、组织机构代码证、税务登记证（若三证合一只须提供营业执照副本）复印件并加盖公章。</w:t>
      </w:r>
    </w:p>
    <w:p>
      <w:pPr>
        <w:snapToGrid w:val="0"/>
        <w:spacing w:line="500" w:lineRule="exact"/>
        <w:ind w:firstLine="480" w:firstLineChars="200"/>
        <w:rPr>
          <w:rFonts w:eastAsia="仿宋"/>
          <w:color w:val="000000"/>
        </w:rPr>
      </w:pPr>
    </w:p>
    <w:p>
      <w:pPr>
        <w:snapToGrid w:val="0"/>
        <w:spacing w:line="500" w:lineRule="exact"/>
        <w:ind w:firstLine="480" w:firstLineChars="200"/>
        <w:rPr>
          <w:rFonts w:eastAsia="仿宋"/>
          <w:color w:val="000000"/>
        </w:rPr>
      </w:pPr>
    </w:p>
    <w:p>
      <w:pPr>
        <w:snapToGrid w:val="0"/>
        <w:spacing w:line="500" w:lineRule="exact"/>
        <w:ind w:firstLine="480" w:firstLineChars="200"/>
        <w:rPr>
          <w:rFonts w:eastAsia="仿宋"/>
          <w:color w:val="000000"/>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183" w:name="_Toc99785586"/>
      <w:bookmarkStart w:id="184" w:name="_Toc32236"/>
      <w:bookmarkStart w:id="185" w:name="_Toc13021"/>
      <w:bookmarkStart w:id="186" w:name="_Toc3448"/>
      <w:r>
        <w:rPr>
          <w:rFonts w:ascii="Times New Roman" w:hAnsi="Times New Roman" w:eastAsia="仿宋"/>
          <w:sz w:val="24"/>
          <w:szCs w:val="24"/>
        </w:rPr>
        <w:t>（三）法定代表人授权委托书或法定代表人身份证明书</w:t>
      </w:r>
      <w:bookmarkEnd w:id="183"/>
      <w:bookmarkEnd w:id="184"/>
      <w:bookmarkEnd w:id="185"/>
      <w:bookmarkEnd w:id="186"/>
    </w:p>
    <w:p>
      <w:pPr>
        <w:snapToGrid w:val="0"/>
        <w:spacing w:line="500" w:lineRule="exact"/>
        <w:ind w:firstLine="480" w:firstLineChars="200"/>
        <w:jc w:val="left"/>
        <w:rPr>
          <w:rFonts w:eastAsia="仿宋"/>
          <w:color w:val="000000"/>
        </w:rPr>
      </w:pPr>
      <w:r>
        <w:rPr>
          <w:rFonts w:eastAsia="仿宋"/>
          <w:color w:val="000000"/>
        </w:rPr>
        <w:t>格式详见第五部分投标文件格式中资格审查文件第二、三部分内容。</w:t>
      </w:r>
    </w:p>
    <w:p>
      <w:pPr>
        <w:snapToGrid w:val="0"/>
        <w:spacing w:line="500" w:lineRule="exact"/>
        <w:ind w:firstLine="480" w:firstLineChars="200"/>
        <w:jc w:val="left"/>
        <w:rPr>
          <w:rFonts w:eastAsia="仿宋"/>
          <w:color w:val="000000"/>
        </w:rPr>
      </w:pPr>
    </w:p>
    <w:p>
      <w:pPr>
        <w:snapToGrid w:val="0"/>
        <w:spacing w:line="500" w:lineRule="exact"/>
        <w:ind w:firstLine="480" w:firstLineChars="200"/>
        <w:jc w:val="left"/>
        <w:rPr>
          <w:rFonts w:eastAsia="仿宋"/>
          <w:color w:val="000000"/>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187" w:name="_Toc15415"/>
      <w:bookmarkStart w:id="188" w:name="_Toc4866"/>
      <w:bookmarkStart w:id="189" w:name="_Toc28382"/>
      <w:bookmarkStart w:id="190" w:name="_Toc99785587"/>
      <w:r>
        <w:rPr>
          <w:rFonts w:ascii="Times New Roman" w:hAnsi="Times New Roman" w:eastAsia="仿宋"/>
          <w:sz w:val="24"/>
          <w:szCs w:val="24"/>
        </w:rPr>
        <w:t>（四）投标人简介</w:t>
      </w:r>
      <w:bookmarkEnd w:id="187"/>
      <w:bookmarkEnd w:id="188"/>
      <w:bookmarkEnd w:id="189"/>
      <w:bookmarkEnd w:id="190"/>
    </w:p>
    <w:p>
      <w:pPr>
        <w:snapToGrid w:val="0"/>
        <w:spacing w:line="500" w:lineRule="exact"/>
        <w:ind w:firstLine="480" w:firstLineChars="200"/>
        <w:rPr>
          <w:rFonts w:eastAsia="仿宋"/>
        </w:rPr>
      </w:pPr>
      <w:r>
        <w:rPr>
          <w:rFonts w:eastAsia="仿宋"/>
          <w:bCs/>
          <w:color w:val="000000"/>
        </w:rPr>
        <w:t>简要叙述投标人概况：包括企业概况、提供的主要服务或经营业务范围；组织机构、所属集（财）团等（包含此项目应具有资质证件证明）</w:t>
      </w:r>
      <w:r>
        <w:rPr>
          <w:rFonts w:eastAsia="仿宋"/>
          <w:bCs/>
        </w:rPr>
        <w:t>；</w:t>
      </w:r>
    </w:p>
    <w:p>
      <w:pPr>
        <w:tabs>
          <w:tab w:val="left" w:pos="900"/>
          <w:tab w:val="left" w:pos="1326"/>
        </w:tabs>
        <w:snapToGrid w:val="0"/>
        <w:spacing w:line="500" w:lineRule="exact"/>
        <w:ind w:firstLine="460" w:firstLineChars="192"/>
        <w:rPr>
          <w:rFonts w:eastAsia="仿宋"/>
          <w:bCs/>
          <w:color w:val="000000"/>
        </w:rPr>
      </w:pPr>
    </w:p>
    <w:p>
      <w:pPr>
        <w:tabs>
          <w:tab w:val="left" w:pos="900"/>
          <w:tab w:val="left" w:pos="1326"/>
        </w:tabs>
        <w:snapToGrid w:val="0"/>
        <w:spacing w:line="500" w:lineRule="exact"/>
        <w:ind w:firstLine="460" w:firstLineChars="192"/>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tabs>
          <w:tab w:val="left" w:pos="900"/>
          <w:tab w:val="left" w:pos="1326"/>
        </w:tabs>
        <w:snapToGrid w:val="0"/>
        <w:spacing w:line="500" w:lineRule="exact"/>
        <w:rPr>
          <w:rFonts w:eastAsia="仿宋"/>
          <w:bCs/>
          <w:color w:val="000000"/>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191" w:name="_Toc99785588"/>
      <w:bookmarkStart w:id="192" w:name="_Toc29100"/>
      <w:bookmarkStart w:id="193" w:name="_Toc24379"/>
      <w:bookmarkStart w:id="194" w:name="_Toc3991"/>
      <w:r>
        <w:rPr>
          <w:rFonts w:ascii="Times New Roman" w:hAnsi="Times New Roman" w:eastAsia="仿宋"/>
          <w:sz w:val="24"/>
          <w:szCs w:val="24"/>
        </w:rPr>
        <w:t>（五）项目服务期承诺</w:t>
      </w:r>
      <w:bookmarkEnd w:id="191"/>
      <w:bookmarkEnd w:id="192"/>
      <w:bookmarkEnd w:id="193"/>
      <w:bookmarkEnd w:id="194"/>
    </w:p>
    <w:p>
      <w:pPr>
        <w:snapToGrid w:val="0"/>
        <w:spacing w:line="500" w:lineRule="exact"/>
        <w:rPr>
          <w:rFonts w:eastAsia="仿宋"/>
        </w:rPr>
      </w:pPr>
      <w:r>
        <w:rPr>
          <w:rFonts w:eastAsia="仿宋"/>
        </w:rPr>
        <w:t>致：（招标人）</w:t>
      </w:r>
    </w:p>
    <w:p>
      <w:pPr>
        <w:widowControl/>
        <w:snapToGrid w:val="0"/>
        <w:spacing w:line="500" w:lineRule="exact"/>
        <w:jc w:val="left"/>
        <w:rPr>
          <w:rFonts w:eastAsia="仿宋"/>
        </w:rPr>
      </w:pPr>
      <w:r>
        <w:rPr>
          <w:rFonts w:eastAsia="仿宋"/>
          <w:u w:val="single"/>
        </w:rPr>
        <w:t xml:space="preserve">        </w:t>
      </w:r>
      <w:r>
        <w:rPr>
          <w:rFonts w:eastAsia="仿宋"/>
        </w:rPr>
        <w:t>（投标人名称）</w:t>
      </w:r>
      <w:r>
        <w:rPr>
          <w:rFonts w:eastAsia="仿宋"/>
          <w:u w:val="single"/>
        </w:rPr>
        <w:t xml:space="preserve">       </w:t>
      </w:r>
      <w:r>
        <w:rPr>
          <w:rFonts w:eastAsia="仿宋"/>
        </w:rPr>
        <w:t>参加贵方组织的</w:t>
      </w:r>
      <w:r>
        <w:rPr>
          <w:rFonts w:eastAsia="仿宋"/>
          <w:u w:val="single"/>
        </w:rPr>
        <w:t xml:space="preserve">        </w:t>
      </w:r>
      <w:r>
        <w:rPr>
          <w:rFonts w:eastAsia="仿宋"/>
        </w:rPr>
        <w:t>项目（招标项目名称）（编号为</w:t>
      </w:r>
      <w:r>
        <w:rPr>
          <w:rFonts w:eastAsia="仿宋"/>
          <w:u w:val="single"/>
        </w:rPr>
        <w:t xml:space="preserve">         </w:t>
      </w:r>
      <w:r>
        <w:rPr>
          <w:rFonts w:eastAsia="仿宋"/>
        </w:rPr>
        <w:t>）的投标，如我单位中标，我方就本次项目服务工期承诺如下：</w:t>
      </w:r>
    </w:p>
    <w:p>
      <w:pPr>
        <w:widowControl/>
        <w:numPr>
          <w:ilvl w:val="0"/>
          <w:numId w:val="7"/>
        </w:numPr>
        <w:snapToGrid w:val="0"/>
        <w:spacing w:line="500" w:lineRule="exact"/>
        <w:ind w:left="0" w:firstLine="480"/>
        <w:jc w:val="left"/>
        <w:rPr>
          <w:rFonts w:eastAsia="仿宋"/>
        </w:rPr>
      </w:pPr>
      <w:r>
        <w:rPr>
          <w:rFonts w:eastAsia="仿宋"/>
        </w:rPr>
        <w:t>我单位承诺，自收到中标通知书3日内安排全部项目团队人员驻场提供咨询服务工作。</w:t>
      </w:r>
    </w:p>
    <w:p>
      <w:pPr>
        <w:widowControl/>
        <w:numPr>
          <w:ilvl w:val="0"/>
          <w:numId w:val="7"/>
        </w:numPr>
        <w:snapToGrid w:val="0"/>
        <w:spacing w:line="500" w:lineRule="exact"/>
        <w:ind w:left="0" w:firstLine="480"/>
        <w:jc w:val="left"/>
        <w:rPr>
          <w:rFonts w:eastAsia="仿宋"/>
        </w:rPr>
      </w:pPr>
      <w:r>
        <w:rPr>
          <w:rFonts w:eastAsia="仿宋"/>
        </w:rPr>
        <w:t>我单位承诺</w:t>
      </w:r>
      <w:r>
        <w:rPr>
          <w:rFonts w:hint="eastAsia" w:eastAsia="仿宋"/>
        </w:rPr>
        <w:t>在合同签订的服务期内</w:t>
      </w:r>
      <w:r>
        <w:rPr>
          <w:rFonts w:eastAsia="仿宋"/>
        </w:rPr>
        <w:t>完成本项目。如不能按期完成则根据合同内容条款进行处罚和赔偿。</w:t>
      </w:r>
    </w:p>
    <w:p>
      <w:pPr>
        <w:widowControl/>
        <w:snapToGrid w:val="0"/>
        <w:spacing w:line="500" w:lineRule="exact"/>
        <w:jc w:val="left"/>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4960" w:firstLineChars="2067"/>
        <w:rPr>
          <w:rFonts w:eastAsia="仿宋"/>
        </w:rPr>
      </w:pPr>
      <w:r>
        <w:rPr>
          <w:rFonts w:eastAsia="仿宋"/>
        </w:rPr>
        <w:t>投标人名称（公章）：</w:t>
      </w:r>
    </w:p>
    <w:p>
      <w:pPr>
        <w:snapToGrid w:val="0"/>
        <w:spacing w:line="500" w:lineRule="exact"/>
        <w:ind w:firstLine="4960" w:firstLineChars="2067"/>
        <w:rPr>
          <w:rFonts w:eastAsia="仿宋"/>
        </w:rPr>
      </w:pPr>
      <w:r>
        <w:rPr>
          <w:rFonts w:eastAsia="仿宋"/>
        </w:rPr>
        <w:t>法定代表人或授权代理人(签字)：</w:t>
      </w:r>
    </w:p>
    <w:p>
      <w:pPr>
        <w:snapToGrid w:val="0"/>
        <w:spacing w:line="500" w:lineRule="exact"/>
        <w:ind w:firstLine="4960" w:firstLineChars="2067"/>
        <w:jc w:val="left"/>
        <w:rPr>
          <w:rFonts w:eastAsia="仿宋"/>
        </w:rPr>
      </w:pPr>
      <w:r>
        <w:rPr>
          <w:rFonts w:eastAsia="仿宋"/>
        </w:rPr>
        <w:t>日期：</w:t>
      </w: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snapToGrid w:val="0"/>
        <w:spacing w:line="500" w:lineRule="exact"/>
        <w:ind w:firstLine="720" w:firstLineChars="300"/>
        <w:rPr>
          <w:rFonts w:eastAsia="仿宋"/>
        </w:rPr>
      </w:pPr>
    </w:p>
    <w:p>
      <w:pPr>
        <w:pStyle w:val="5"/>
        <w:snapToGrid w:val="0"/>
        <w:spacing w:before="0" w:after="0" w:line="500" w:lineRule="exact"/>
        <w:jc w:val="center"/>
        <w:rPr>
          <w:rFonts w:ascii="Times New Roman" w:hAnsi="Times New Roman" w:eastAsia="仿宋"/>
          <w:sz w:val="24"/>
          <w:szCs w:val="24"/>
        </w:rPr>
        <w:sectPr>
          <w:pgSz w:w="11906" w:h="16838"/>
          <w:pgMar w:top="1134" w:right="850" w:bottom="1134" w:left="850" w:header="283" w:footer="283" w:gutter="0"/>
          <w:cols w:space="720" w:num="1"/>
          <w:docGrid w:type="lines" w:linePitch="339" w:charSpace="0"/>
        </w:sectPr>
      </w:pPr>
      <w:bookmarkStart w:id="195" w:name="_Toc1041"/>
    </w:p>
    <w:p>
      <w:pPr>
        <w:pStyle w:val="5"/>
        <w:numPr>
          <w:ilvl w:val="0"/>
          <w:numId w:val="0"/>
        </w:numPr>
        <w:snapToGrid w:val="0"/>
        <w:spacing w:before="0" w:after="0" w:line="500" w:lineRule="exact"/>
        <w:jc w:val="center"/>
        <w:rPr>
          <w:rFonts w:ascii="Times New Roman" w:hAnsi="Times New Roman" w:eastAsia="仿宋"/>
          <w:b w:val="0"/>
          <w:color w:val="000000"/>
          <w:sz w:val="28"/>
          <w:szCs w:val="28"/>
        </w:rPr>
      </w:pPr>
      <w:bookmarkStart w:id="196" w:name="_Toc99785589"/>
      <w:bookmarkStart w:id="197" w:name="_Toc21643"/>
      <w:bookmarkStart w:id="198" w:name="_Toc23357"/>
      <w:r>
        <w:rPr>
          <w:rFonts w:ascii="Times New Roman" w:hAnsi="Times New Roman" w:eastAsia="仿宋"/>
          <w:sz w:val="24"/>
          <w:szCs w:val="24"/>
        </w:rPr>
        <w:t>（六）技术规格偏离表</w:t>
      </w:r>
      <w:bookmarkEnd w:id="195"/>
      <w:bookmarkEnd w:id="196"/>
      <w:bookmarkEnd w:id="197"/>
      <w:bookmarkEnd w:id="198"/>
    </w:p>
    <w:p>
      <w:pPr>
        <w:pStyle w:val="449"/>
        <w:jc w:val="both"/>
        <w:rPr>
          <w:rFonts w:eastAsia="仿宋"/>
          <w:color w:val="000000"/>
          <w:kern w:val="2"/>
          <w:sz w:val="30"/>
          <w:szCs w:val="30"/>
        </w:rPr>
      </w:pPr>
      <w:r>
        <w:rPr>
          <w:rFonts w:eastAsia="仿宋"/>
          <w:color w:val="000000"/>
          <w:sz w:val="28"/>
          <w:szCs w:val="28"/>
        </w:rPr>
        <w:t xml:space="preserve">项目名称 ：                             </w:t>
      </w:r>
    </w:p>
    <w:tbl>
      <w:tblPr>
        <w:tblStyle w:val="67"/>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426"/>
        <w:gridCol w:w="1840"/>
        <w:gridCol w:w="1376"/>
        <w:gridCol w:w="1486"/>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221" w:type="dxa"/>
            <w:vAlign w:val="center"/>
          </w:tcPr>
          <w:p>
            <w:pPr>
              <w:ind w:right="-80"/>
              <w:jc w:val="center"/>
              <w:rPr>
                <w:rFonts w:eastAsia="仿宋"/>
                <w:color w:val="000000"/>
                <w:sz w:val="28"/>
                <w:szCs w:val="28"/>
              </w:rPr>
            </w:pPr>
            <w:r>
              <w:rPr>
                <w:rFonts w:eastAsia="仿宋"/>
                <w:color w:val="000000"/>
                <w:sz w:val="28"/>
                <w:szCs w:val="28"/>
              </w:rPr>
              <w:t>条目号</w:t>
            </w:r>
          </w:p>
        </w:tc>
        <w:tc>
          <w:tcPr>
            <w:tcW w:w="1426" w:type="dxa"/>
            <w:vAlign w:val="center"/>
          </w:tcPr>
          <w:p>
            <w:pPr>
              <w:jc w:val="center"/>
              <w:rPr>
                <w:rFonts w:eastAsia="仿宋"/>
                <w:color w:val="000000"/>
                <w:sz w:val="28"/>
                <w:szCs w:val="28"/>
              </w:rPr>
            </w:pPr>
            <w:r>
              <w:rPr>
                <w:rFonts w:eastAsia="仿宋"/>
                <w:color w:val="000000"/>
                <w:sz w:val="28"/>
                <w:szCs w:val="28"/>
              </w:rPr>
              <w:t>项目名称</w:t>
            </w:r>
          </w:p>
        </w:tc>
        <w:tc>
          <w:tcPr>
            <w:tcW w:w="1840" w:type="dxa"/>
            <w:vAlign w:val="center"/>
          </w:tcPr>
          <w:p>
            <w:pPr>
              <w:pStyle w:val="13"/>
              <w:ind w:firstLine="0" w:firstLineChars="0"/>
              <w:jc w:val="center"/>
              <w:rPr>
                <w:rFonts w:eastAsia="仿宋"/>
                <w:color w:val="000000"/>
                <w:szCs w:val="28"/>
              </w:rPr>
            </w:pPr>
            <w:r>
              <w:rPr>
                <w:rFonts w:eastAsia="仿宋"/>
                <w:color w:val="000000"/>
                <w:szCs w:val="28"/>
              </w:rPr>
              <w:t>招标技术规格</w:t>
            </w:r>
          </w:p>
        </w:tc>
        <w:tc>
          <w:tcPr>
            <w:tcW w:w="1376" w:type="dxa"/>
            <w:vAlign w:val="center"/>
          </w:tcPr>
          <w:p>
            <w:pPr>
              <w:pStyle w:val="13"/>
              <w:ind w:firstLine="0" w:firstLineChars="0"/>
              <w:jc w:val="center"/>
              <w:rPr>
                <w:rFonts w:eastAsia="仿宋"/>
                <w:color w:val="000000"/>
                <w:szCs w:val="28"/>
              </w:rPr>
            </w:pPr>
            <w:r>
              <w:rPr>
                <w:rFonts w:eastAsia="仿宋"/>
                <w:color w:val="000000"/>
                <w:szCs w:val="28"/>
              </w:rPr>
              <w:t>数 量</w:t>
            </w:r>
          </w:p>
        </w:tc>
        <w:tc>
          <w:tcPr>
            <w:tcW w:w="1486" w:type="dxa"/>
            <w:vAlign w:val="center"/>
          </w:tcPr>
          <w:p>
            <w:pPr>
              <w:jc w:val="center"/>
              <w:rPr>
                <w:rFonts w:eastAsia="仿宋"/>
                <w:color w:val="000000"/>
                <w:sz w:val="28"/>
                <w:szCs w:val="28"/>
              </w:rPr>
            </w:pPr>
            <w:r>
              <w:rPr>
                <w:rFonts w:eastAsia="仿宋"/>
                <w:color w:val="000000"/>
                <w:sz w:val="28"/>
                <w:szCs w:val="28"/>
              </w:rPr>
              <w:t>投标技术规格</w:t>
            </w:r>
          </w:p>
        </w:tc>
        <w:tc>
          <w:tcPr>
            <w:tcW w:w="900" w:type="dxa"/>
            <w:vAlign w:val="center"/>
          </w:tcPr>
          <w:p>
            <w:pPr>
              <w:jc w:val="center"/>
              <w:rPr>
                <w:rFonts w:eastAsia="仿宋"/>
                <w:color w:val="000000"/>
                <w:sz w:val="28"/>
                <w:szCs w:val="28"/>
              </w:rPr>
            </w:pPr>
            <w:r>
              <w:rPr>
                <w:rFonts w:eastAsia="仿宋"/>
                <w:color w:val="000000"/>
                <w:sz w:val="28"/>
                <w:szCs w:val="28"/>
              </w:rPr>
              <w:t>偏离</w:t>
            </w:r>
          </w:p>
        </w:tc>
        <w:tc>
          <w:tcPr>
            <w:tcW w:w="1080" w:type="dxa"/>
            <w:vAlign w:val="center"/>
          </w:tcPr>
          <w:p>
            <w:pPr>
              <w:jc w:val="center"/>
              <w:rPr>
                <w:rFonts w:eastAsia="仿宋"/>
                <w:color w:val="000000"/>
                <w:sz w:val="28"/>
                <w:szCs w:val="28"/>
              </w:rPr>
            </w:pPr>
            <w:r>
              <w:rPr>
                <w:rFonts w:eastAsia="仿宋"/>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r>
              <w:rPr>
                <w:rFonts w:eastAsia="仿宋"/>
                <w:color w:val="000000"/>
                <w:sz w:val="28"/>
                <w:szCs w:val="28"/>
              </w:rPr>
              <w:t>1</w:t>
            </w: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1" w:type="dxa"/>
            <w:vAlign w:val="center"/>
          </w:tcPr>
          <w:p>
            <w:pPr>
              <w:ind w:right="-80"/>
              <w:jc w:val="center"/>
              <w:rPr>
                <w:rFonts w:eastAsia="仿宋"/>
                <w:color w:val="000000"/>
                <w:sz w:val="28"/>
                <w:szCs w:val="28"/>
              </w:rPr>
            </w:pPr>
          </w:p>
        </w:tc>
        <w:tc>
          <w:tcPr>
            <w:tcW w:w="1426" w:type="dxa"/>
            <w:vAlign w:val="center"/>
          </w:tcPr>
          <w:p>
            <w:pPr>
              <w:rPr>
                <w:rFonts w:eastAsia="仿宋"/>
                <w:color w:val="000000"/>
                <w:sz w:val="28"/>
                <w:szCs w:val="28"/>
              </w:rPr>
            </w:pPr>
          </w:p>
        </w:tc>
        <w:tc>
          <w:tcPr>
            <w:tcW w:w="1840" w:type="dxa"/>
            <w:vAlign w:val="center"/>
          </w:tcPr>
          <w:p>
            <w:pPr>
              <w:adjustRightInd w:val="0"/>
              <w:snapToGrid w:val="0"/>
              <w:spacing w:line="260" w:lineRule="atLeast"/>
              <w:rPr>
                <w:rFonts w:eastAsia="仿宋"/>
                <w:color w:val="000000"/>
                <w:sz w:val="28"/>
                <w:szCs w:val="28"/>
              </w:rPr>
            </w:pPr>
          </w:p>
        </w:tc>
        <w:tc>
          <w:tcPr>
            <w:tcW w:w="1376" w:type="dxa"/>
            <w:vAlign w:val="center"/>
          </w:tcPr>
          <w:p>
            <w:pPr>
              <w:jc w:val="center"/>
              <w:rPr>
                <w:rFonts w:eastAsia="仿宋"/>
                <w:color w:val="000000"/>
                <w:sz w:val="28"/>
                <w:szCs w:val="28"/>
              </w:rPr>
            </w:pPr>
          </w:p>
        </w:tc>
        <w:tc>
          <w:tcPr>
            <w:tcW w:w="1486" w:type="dxa"/>
            <w:vAlign w:val="center"/>
          </w:tcPr>
          <w:p>
            <w:pPr>
              <w:adjustRightInd w:val="0"/>
              <w:snapToGrid w:val="0"/>
              <w:spacing w:line="260" w:lineRule="atLeast"/>
              <w:jc w:val="center"/>
              <w:rPr>
                <w:rFonts w:eastAsia="仿宋"/>
                <w:b/>
                <w:color w:val="000000"/>
                <w:sz w:val="28"/>
                <w:szCs w:val="28"/>
              </w:rPr>
            </w:pPr>
          </w:p>
        </w:tc>
        <w:tc>
          <w:tcPr>
            <w:tcW w:w="900" w:type="dxa"/>
            <w:vAlign w:val="center"/>
          </w:tcPr>
          <w:p>
            <w:pPr>
              <w:adjustRightInd w:val="0"/>
              <w:snapToGrid w:val="0"/>
              <w:spacing w:line="260" w:lineRule="atLeast"/>
              <w:jc w:val="center"/>
              <w:rPr>
                <w:rFonts w:eastAsia="仿宋"/>
                <w:b/>
                <w:color w:val="000000"/>
                <w:sz w:val="28"/>
                <w:szCs w:val="28"/>
              </w:rPr>
            </w:pPr>
          </w:p>
        </w:tc>
        <w:tc>
          <w:tcPr>
            <w:tcW w:w="1080" w:type="dxa"/>
            <w:vAlign w:val="center"/>
          </w:tcPr>
          <w:p>
            <w:pPr>
              <w:adjustRightInd w:val="0"/>
              <w:snapToGrid w:val="0"/>
              <w:spacing w:line="260" w:lineRule="atLeast"/>
              <w:jc w:val="center"/>
              <w:rPr>
                <w:rFonts w:eastAsia="仿宋"/>
                <w:b/>
                <w:color w:val="000000"/>
                <w:sz w:val="28"/>
                <w:szCs w:val="28"/>
              </w:rPr>
            </w:pPr>
          </w:p>
        </w:tc>
      </w:tr>
    </w:tbl>
    <w:p>
      <w:pPr>
        <w:rPr>
          <w:rFonts w:eastAsia="仿宋"/>
          <w:color w:val="000000"/>
          <w:sz w:val="28"/>
          <w:szCs w:val="28"/>
        </w:rPr>
      </w:pPr>
      <w:r>
        <w:rPr>
          <w:rFonts w:eastAsia="仿宋"/>
          <w:color w:val="000000"/>
          <w:sz w:val="28"/>
          <w:szCs w:val="28"/>
        </w:rPr>
        <w:t>投标单位：（盖章）</w:t>
      </w:r>
    </w:p>
    <w:p>
      <w:pPr>
        <w:rPr>
          <w:rFonts w:eastAsia="仿宋"/>
          <w:color w:val="000000"/>
          <w:sz w:val="28"/>
          <w:szCs w:val="28"/>
        </w:rPr>
      </w:pPr>
      <w:r>
        <w:rPr>
          <w:rFonts w:eastAsia="仿宋"/>
          <w:color w:val="000000"/>
          <w:sz w:val="28"/>
          <w:szCs w:val="28"/>
        </w:rPr>
        <w:t>法定代表人：（签字）</w:t>
      </w:r>
    </w:p>
    <w:p>
      <w:pPr>
        <w:ind w:right="1120"/>
        <w:rPr>
          <w:rFonts w:eastAsia="仿宋"/>
          <w:color w:val="000000"/>
          <w:sz w:val="28"/>
          <w:szCs w:val="28"/>
        </w:rPr>
      </w:pPr>
      <w:r>
        <w:rPr>
          <w:rFonts w:eastAsia="仿宋"/>
          <w:color w:val="000000"/>
          <w:sz w:val="28"/>
          <w:szCs w:val="28"/>
        </w:rPr>
        <w:t>日期：</w:t>
      </w:r>
      <w:r>
        <w:rPr>
          <w:rFonts w:eastAsia="仿宋"/>
          <w:color w:val="000000"/>
          <w:sz w:val="28"/>
          <w:szCs w:val="28"/>
          <w:u w:val="single"/>
        </w:rPr>
        <w:t xml:space="preserve">   </w:t>
      </w:r>
      <w:r>
        <w:rPr>
          <w:rFonts w:eastAsia="仿宋"/>
          <w:color w:val="000000"/>
          <w:sz w:val="28"/>
          <w:szCs w:val="28"/>
        </w:rPr>
        <w:t>年</w:t>
      </w:r>
      <w:r>
        <w:rPr>
          <w:rFonts w:eastAsia="仿宋"/>
          <w:color w:val="000000"/>
          <w:sz w:val="28"/>
          <w:szCs w:val="28"/>
          <w:u w:val="single"/>
        </w:rPr>
        <w:t xml:space="preserve">   </w:t>
      </w:r>
      <w:r>
        <w:rPr>
          <w:rFonts w:eastAsia="仿宋"/>
          <w:color w:val="000000"/>
          <w:sz w:val="28"/>
          <w:szCs w:val="28"/>
        </w:rPr>
        <w:t>月</w:t>
      </w:r>
      <w:r>
        <w:rPr>
          <w:rFonts w:eastAsia="仿宋"/>
          <w:color w:val="000000"/>
          <w:sz w:val="28"/>
          <w:szCs w:val="28"/>
          <w:u w:val="single"/>
        </w:rPr>
        <w:t xml:space="preserve">   </w:t>
      </w:r>
      <w:r>
        <w:rPr>
          <w:rFonts w:eastAsia="仿宋"/>
          <w:color w:val="000000"/>
          <w:sz w:val="28"/>
          <w:szCs w:val="28"/>
        </w:rPr>
        <w:t>日</w:t>
      </w:r>
    </w:p>
    <w:p>
      <w:pPr>
        <w:snapToGrid w:val="0"/>
        <w:spacing w:line="500" w:lineRule="exact"/>
        <w:rPr>
          <w:rFonts w:eastAsia="仿宋"/>
          <w:b/>
        </w:rPr>
      </w:pPr>
      <w:r>
        <w:rPr>
          <w:rFonts w:eastAsia="仿宋"/>
          <w:b/>
        </w:rPr>
        <w:t>注：1. 投标人应仔细研读、对照招标文件第三部分规定</w:t>
      </w:r>
      <w:r>
        <w:rPr>
          <w:rFonts w:hint="eastAsia" w:eastAsia="仿宋"/>
          <w:b/>
        </w:rPr>
        <w:t>采购</w:t>
      </w:r>
      <w:r>
        <w:rPr>
          <w:rFonts w:eastAsia="仿宋"/>
          <w:b/>
        </w:rPr>
        <w:t>要求及招标范围的要求，偏离部分必须在上表中填写，并在评审现场主动说明偏离情况。</w:t>
      </w:r>
    </w:p>
    <w:p>
      <w:pPr>
        <w:snapToGrid w:val="0"/>
        <w:spacing w:line="500" w:lineRule="exact"/>
        <w:rPr>
          <w:rFonts w:eastAsia="仿宋"/>
          <w:b/>
        </w:rPr>
      </w:pPr>
      <w:r>
        <w:rPr>
          <w:rFonts w:eastAsia="仿宋"/>
          <w:b/>
        </w:rPr>
        <w:t xml:space="preserve">    2. 投标人承诺：除本表响应的偏离项目及内容外，其他所有项目及内容均完全与招标文件的技术及服务要求相同。</w:t>
      </w:r>
    </w:p>
    <w:p>
      <w:pPr>
        <w:snapToGrid w:val="0"/>
        <w:spacing w:line="500" w:lineRule="exact"/>
        <w:ind w:firstLine="482" w:firstLineChars="200"/>
        <w:rPr>
          <w:rFonts w:eastAsia="仿宋"/>
          <w:b/>
        </w:rPr>
      </w:pPr>
      <w:r>
        <w:rPr>
          <w:rFonts w:eastAsia="仿宋"/>
          <w:b/>
        </w:rPr>
        <w:t>3. 如投标人与要求完全一致，须在上表中注明“完全响应，无偏离”。</w:t>
      </w:r>
    </w:p>
    <w:p>
      <w:pPr>
        <w:snapToGrid w:val="0"/>
        <w:spacing w:line="500" w:lineRule="exact"/>
        <w:ind w:firstLine="482" w:firstLineChars="200"/>
        <w:rPr>
          <w:rFonts w:eastAsia="仿宋"/>
          <w:b/>
        </w:rPr>
      </w:pPr>
      <w:r>
        <w:rPr>
          <w:rFonts w:eastAsia="仿宋"/>
          <w:b/>
        </w:rPr>
        <w:t>4. 针对偏离项进行详细说明。</w:t>
      </w:r>
    </w:p>
    <w:p>
      <w:pPr>
        <w:snapToGrid w:val="0"/>
        <w:spacing w:line="500" w:lineRule="exact"/>
        <w:ind w:firstLine="482" w:firstLineChars="200"/>
        <w:rPr>
          <w:rFonts w:eastAsia="仿宋"/>
          <w:b/>
        </w:rPr>
      </w:pPr>
    </w:p>
    <w:p>
      <w:pPr>
        <w:snapToGrid w:val="0"/>
        <w:spacing w:line="500" w:lineRule="exact"/>
        <w:rPr>
          <w:rFonts w:eastAsia="仿宋"/>
        </w:rPr>
      </w:pPr>
    </w:p>
    <w:p>
      <w:pPr>
        <w:snapToGrid w:val="0"/>
        <w:spacing w:line="500" w:lineRule="exact"/>
        <w:jc w:val="center"/>
        <w:outlineLvl w:val="1"/>
        <w:rPr>
          <w:rFonts w:eastAsia="仿宋"/>
          <w:b/>
        </w:rPr>
        <w:sectPr>
          <w:pgSz w:w="11906" w:h="16838"/>
          <w:pgMar w:top="1134" w:right="850" w:bottom="1134" w:left="850" w:header="283" w:footer="283" w:gutter="0"/>
          <w:cols w:space="720" w:num="1"/>
          <w:docGrid w:type="lines" w:linePitch="339" w:charSpace="0"/>
        </w:sectPr>
      </w:pPr>
      <w:bookmarkStart w:id="199" w:name="_Toc13626"/>
    </w:p>
    <w:p>
      <w:pPr>
        <w:snapToGrid w:val="0"/>
        <w:spacing w:line="500" w:lineRule="exact"/>
        <w:jc w:val="center"/>
        <w:outlineLvl w:val="1"/>
        <w:rPr>
          <w:rFonts w:eastAsia="仿宋"/>
        </w:rPr>
      </w:pPr>
      <w:bookmarkStart w:id="200" w:name="_Toc24199"/>
      <w:bookmarkStart w:id="201" w:name="_Toc99785590"/>
      <w:bookmarkStart w:id="202" w:name="_Toc28326"/>
      <w:r>
        <w:rPr>
          <w:rFonts w:eastAsia="仿宋"/>
          <w:b/>
        </w:rPr>
        <w:t>（七）合同（商务）条款偏离表</w:t>
      </w:r>
      <w:bookmarkEnd w:id="199"/>
      <w:bookmarkEnd w:id="200"/>
      <w:bookmarkEnd w:id="201"/>
      <w:bookmarkEnd w:id="202"/>
    </w:p>
    <w:p>
      <w:pPr>
        <w:snapToGrid w:val="0"/>
        <w:spacing w:line="500" w:lineRule="exact"/>
        <w:rPr>
          <w:rFonts w:eastAsia="仿宋"/>
        </w:rPr>
      </w:pPr>
    </w:p>
    <w:p>
      <w:pPr>
        <w:snapToGrid w:val="0"/>
        <w:spacing w:line="500" w:lineRule="exact"/>
        <w:rPr>
          <w:rFonts w:eastAsia="仿宋"/>
        </w:rPr>
      </w:pPr>
      <w:r>
        <w:rPr>
          <w:rFonts w:eastAsia="仿宋"/>
        </w:rPr>
        <w:t>项目名称：</w:t>
      </w:r>
    </w:p>
    <w:p>
      <w:pPr>
        <w:snapToGrid w:val="0"/>
        <w:spacing w:line="500" w:lineRule="exact"/>
        <w:rPr>
          <w:rFonts w:eastAsia="仿宋"/>
        </w:rPr>
      </w:pPr>
      <w:r>
        <w:rPr>
          <w:rFonts w:eastAsia="仿宋"/>
        </w:rPr>
        <w:t>项目编号：</w:t>
      </w:r>
    </w:p>
    <w:tbl>
      <w:tblPr>
        <w:tblStyle w:val="6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68"/>
        <w:gridCol w:w="1764"/>
        <w:gridCol w:w="1728"/>
        <w:gridCol w:w="120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00" w:lineRule="exact"/>
              <w:rPr>
                <w:rFonts w:eastAsia="仿宋"/>
              </w:rPr>
            </w:pPr>
            <w:r>
              <w:rPr>
                <w:rFonts w:eastAsia="仿宋"/>
              </w:rPr>
              <w:t>序号</w:t>
            </w:r>
          </w:p>
        </w:tc>
        <w:tc>
          <w:tcPr>
            <w:tcW w:w="1368" w:type="dxa"/>
            <w:vAlign w:val="center"/>
          </w:tcPr>
          <w:p>
            <w:pPr>
              <w:snapToGrid w:val="0"/>
              <w:spacing w:line="500" w:lineRule="exact"/>
              <w:rPr>
                <w:rFonts w:eastAsia="仿宋"/>
              </w:rPr>
            </w:pPr>
            <w:r>
              <w:rPr>
                <w:rFonts w:eastAsia="仿宋"/>
              </w:rPr>
              <w:t>采购协议条目号</w:t>
            </w:r>
          </w:p>
        </w:tc>
        <w:tc>
          <w:tcPr>
            <w:tcW w:w="1764" w:type="dxa"/>
            <w:vAlign w:val="center"/>
          </w:tcPr>
          <w:p>
            <w:pPr>
              <w:snapToGrid w:val="0"/>
              <w:spacing w:line="500" w:lineRule="exact"/>
              <w:rPr>
                <w:rFonts w:eastAsia="仿宋"/>
              </w:rPr>
            </w:pPr>
            <w:r>
              <w:rPr>
                <w:rFonts w:eastAsia="仿宋"/>
              </w:rPr>
              <w:t>协议要求</w:t>
            </w:r>
          </w:p>
        </w:tc>
        <w:tc>
          <w:tcPr>
            <w:tcW w:w="1728" w:type="dxa"/>
            <w:vAlign w:val="center"/>
          </w:tcPr>
          <w:p>
            <w:pPr>
              <w:snapToGrid w:val="0"/>
              <w:spacing w:line="500" w:lineRule="exact"/>
              <w:rPr>
                <w:rFonts w:eastAsia="仿宋"/>
              </w:rPr>
            </w:pPr>
            <w:r>
              <w:rPr>
                <w:rFonts w:eastAsia="仿宋"/>
              </w:rPr>
              <w:t>投标响应</w:t>
            </w:r>
          </w:p>
        </w:tc>
        <w:tc>
          <w:tcPr>
            <w:tcW w:w="1200" w:type="dxa"/>
            <w:vAlign w:val="center"/>
          </w:tcPr>
          <w:p>
            <w:pPr>
              <w:snapToGrid w:val="0"/>
              <w:spacing w:line="500" w:lineRule="exact"/>
              <w:rPr>
                <w:rFonts w:eastAsia="仿宋"/>
              </w:rPr>
            </w:pPr>
            <w:r>
              <w:rPr>
                <w:rFonts w:eastAsia="仿宋"/>
              </w:rPr>
              <w:t>偏离</w:t>
            </w:r>
          </w:p>
        </w:tc>
        <w:tc>
          <w:tcPr>
            <w:tcW w:w="2254" w:type="dxa"/>
            <w:vAlign w:val="center"/>
          </w:tcPr>
          <w:p>
            <w:pPr>
              <w:snapToGrid w:val="0"/>
              <w:spacing w:line="500" w:lineRule="exact"/>
              <w:rPr>
                <w:rFonts w:eastAsia="仿宋"/>
              </w:rPr>
            </w:pPr>
            <w:r>
              <w:rPr>
                <w:rFonts w:eastAsia="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napToGrid w:val="0"/>
              <w:spacing w:line="500" w:lineRule="exact"/>
              <w:rPr>
                <w:rFonts w:eastAsia="仿宋"/>
              </w:rPr>
            </w:pPr>
          </w:p>
        </w:tc>
        <w:tc>
          <w:tcPr>
            <w:tcW w:w="1368" w:type="dxa"/>
          </w:tcPr>
          <w:p>
            <w:pPr>
              <w:snapToGrid w:val="0"/>
              <w:spacing w:line="500" w:lineRule="exact"/>
              <w:rPr>
                <w:rFonts w:eastAsia="仿宋"/>
              </w:rPr>
            </w:pPr>
          </w:p>
        </w:tc>
        <w:tc>
          <w:tcPr>
            <w:tcW w:w="1764" w:type="dxa"/>
          </w:tcPr>
          <w:p>
            <w:pPr>
              <w:snapToGrid w:val="0"/>
              <w:spacing w:line="500" w:lineRule="exact"/>
              <w:rPr>
                <w:rFonts w:eastAsia="仿宋"/>
              </w:rPr>
            </w:pPr>
          </w:p>
        </w:tc>
        <w:tc>
          <w:tcPr>
            <w:tcW w:w="1728" w:type="dxa"/>
          </w:tcPr>
          <w:p>
            <w:pPr>
              <w:snapToGrid w:val="0"/>
              <w:spacing w:line="500" w:lineRule="exact"/>
              <w:rPr>
                <w:rFonts w:eastAsia="仿宋"/>
              </w:rPr>
            </w:pPr>
          </w:p>
        </w:tc>
        <w:tc>
          <w:tcPr>
            <w:tcW w:w="1200" w:type="dxa"/>
          </w:tcPr>
          <w:p>
            <w:pPr>
              <w:snapToGrid w:val="0"/>
              <w:spacing w:line="500" w:lineRule="exact"/>
              <w:rPr>
                <w:rFonts w:eastAsia="仿宋"/>
              </w:rPr>
            </w:pPr>
          </w:p>
        </w:tc>
        <w:tc>
          <w:tcPr>
            <w:tcW w:w="2254" w:type="dxa"/>
          </w:tcPr>
          <w:p>
            <w:pPr>
              <w:snapToGrid w:val="0"/>
              <w:spacing w:line="500" w:lineRule="exact"/>
              <w:rPr>
                <w:rFonts w:eastAsia="仿宋"/>
              </w:rPr>
            </w:pPr>
          </w:p>
        </w:tc>
      </w:tr>
    </w:tbl>
    <w:p>
      <w:pPr>
        <w:snapToGrid w:val="0"/>
        <w:spacing w:line="400" w:lineRule="exact"/>
        <w:rPr>
          <w:rFonts w:eastAsia="仿宋"/>
        </w:rPr>
      </w:pPr>
      <w:r>
        <w:rPr>
          <w:rFonts w:eastAsia="仿宋"/>
        </w:rPr>
        <w:t xml:space="preserve">注： </w:t>
      </w:r>
    </w:p>
    <w:p>
      <w:pPr>
        <w:snapToGrid w:val="0"/>
        <w:spacing w:line="400" w:lineRule="exact"/>
        <w:rPr>
          <w:rFonts w:eastAsia="仿宋"/>
        </w:rPr>
      </w:pPr>
      <w:r>
        <w:rPr>
          <w:rFonts w:eastAsia="仿宋"/>
        </w:rPr>
        <w:t xml:space="preserve">    1. 投标人应仔细研读、对照招标文件合同条款，偏离部分必须在上表中填写，并在评审现场主动说明偏离情况。</w:t>
      </w:r>
    </w:p>
    <w:p>
      <w:pPr>
        <w:snapToGrid w:val="0"/>
        <w:spacing w:line="400" w:lineRule="exact"/>
        <w:rPr>
          <w:rFonts w:eastAsia="仿宋"/>
        </w:rPr>
      </w:pPr>
      <w:r>
        <w:rPr>
          <w:rFonts w:eastAsia="仿宋"/>
        </w:rPr>
        <w:t xml:space="preserve">    2. 投标人承诺：除本表响应的偏离项目及内容外，其他所有项目及内容均完全与合同要求相同。</w:t>
      </w:r>
    </w:p>
    <w:p>
      <w:pPr>
        <w:snapToGrid w:val="0"/>
        <w:spacing w:line="400" w:lineRule="exact"/>
        <w:rPr>
          <w:rFonts w:eastAsia="仿宋"/>
        </w:rPr>
      </w:pPr>
      <w:r>
        <w:rPr>
          <w:rFonts w:eastAsia="仿宋"/>
        </w:rPr>
        <w:t xml:space="preserve">    3. 如投标人与要求完全一致，须在上表中注明“完全响应，无偏离”。</w:t>
      </w:r>
    </w:p>
    <w:p>
      <w:pPr>
        <w:snapToGrid w:val="0"/>
        <w:spacing w:line="400" w:lineRule="exact"/>
        <w:rPr>
          <w:rFonts w:eastAsia="仿宋"/>
        </w:rPr>
      </w:pPr>
      <w:r>
        <w:rPr>
          <w:rFonts w:eastAsia="仿宋"/>
        </w:rPr>
        <w:t xml:space="preserve">    4. 对于需要投标人自行补充完善的条款请另行说明。</w:t>
      </w:r>
    </w:p>
    <w:p>
      <w:pPr>
        <w:snapToGrid w:val="0"/>
        <w:spacing w:line="500" w:lineRule="exact"/>
        <w:rPr>
          <w:rFonts w:eastAsia="仿宋"/>
        </w:rPr>
      </w:pPr>
    </w:p>
    <w:p>
      <w:pPr>
        <w:snapToGrid w:val="0"/>
        <w:spacing w:line="500" w:lineRule="exact"/>
        <w:ind w:firstLine="4960" w:firstLineChars="2067"/>
        <w:rPr>
          <w:rFonts w:eastAsia="仿宋"/>
        </w:rPr>
      </w:pPr>
      <w:r>
        <w:rPr>
          <w:rFonts w:eastAsia="仿宋"/>
        </w:rPr>
        <w:t>投标人名称（公章）：</w:t>
      </w:r>
    </w:p>
    <w:p>
      <w:pPr>
        <w:snapToGrid w:val="0"/>
        <w:spacing w:line="500" w:lineRule="exact"/>
        <w:ind w:firstLine="4960" w:firstLineChars="2067"/>
        <w:rPr>
          <w:rFonts w:eastAsia="仿宋"/>
        </w:rPr>
      </w:pPr>
      <w:r>
        <w:rPr>
          <w:rFonts w:eastAsia="仿宋"/>
        </w:rPr>
        <w:t>法定代表人或授权代理人(签字)：</w:t>
      </w:r>
    </w:p>
    <w:p>
      <w:pPr>
        <w:snapToGrid w:val="0"/>
        <w:spacing w:line="500" w:lineRule="exact"/>
        <w:ind w:firstLine="4960" w:firstLineChars="2067"/>
        <w:jc w:val="left"/>
        <w:rPr>
          <w:rFonts w:eastAsia="仿宋"/>
        </w:rPr>
      </w:pPr>
      <w:r>
        <w:rPr>
          <w:rFonts w:eastAsia="仿宋"/>
        </w:rPr>
        <w:t>日期：</w:t>
      </w:r>
    </w:p>
    <w:p>
      <w:pPr>
        <w:snapToGrid w:val="0"/>
        <w:spacing w:line="500" w:lineRule="exact"/>
        <w:ind w:firstLine="4960" w:firstLineChars="2067"/>
        <w:jc w:val="left"/>
        <w:rPr>
          <w:rFonts w:eastAsia="仿宋"/>
        </w:rPr>
      </w:pPr>
    </w:p>
    <w:p>
      <w:pPr>
        <w:snapToGrid w:val="0"/>
        <w:spacing w:line="500" w:lineRule="exact"/>
        <w:ind w:firstLine="4960" w:firstLineChars="2067"/>
        <w:jc w:val="left"/>
        <w:rPr>
          <w:rFonts w:eastAsia="仿宋"/>
        </w:rPr>
      </w:pPr>
    </w:p>
    <w:p>
      <w:pPr>
        <w:snapToGrid w:val="0"/>
        <w:spacing w:line="500" w:lineRule="exact"/>
        <w:ind w:firstLine="4960" w:firstLineChars="2067"/>
        <w:jc w:val="left"/>
        <w:rPr>
          <w:rFonts w:eastAsia="仿宋"/>
        </w:rPr>
      </w:pPr>
    </w:p>
    <w:p>
      <w:pPr>
        <w:snapToGrid w:val="0"/>
        <w:spacing w:line="500" w:lineRule="exact"/>
        <w:ind w:firstLine="4960" w:firstLineChars="2067"/>
        <w:jc w:val="left"/>
        <w:rPr>
          <w:rFonts w:eastAsia="仿宋"/>
        </w:rPr>
      </w:pPr>
    </w:p>
    <w:p>
      <w:pPr>
        <w:pStyle w:val="48"/>
        <w:snapToGrid w:val="0"/>
        <w:spacing w:line="500" w:lineRule="exact"/>
        <w:jc w:val="center"/>
        <w:outlineLvl w:val="1"/>
        <w:rPr>
          <w:rFonts w:ascii="Times New Roman" w:hAnsi="Times New Roman" w:eastAsia="仿宋"/>
          <w:b/>
          <w:i w:val="0"/>
          <w:color w:val="000000"/>
          <w:spacing w:val="0"/>
          <w:kern w:val="2"/>
          <w:szCs w:val="24"/>
        </w:rPr>
        <w:sectPr>
          <w:pgSz w:w="11906" w:h="16838"/>
          <w:pgMar w:top="1134" w:right="850" w:bottom="1134" w:left="850" w:header="283" w:footer="283" w:gutter="0"/>
          <w:cols w:space="720" w:num="1"/>
          <w:docGrid w:type="lines" w:linePitch="339" w:charSpace="0"/>
        </w:sectPr>
      </w:pPr>
      <w:bookmarkStart w:id="203" w:name="_Toc20011"/>
    </w:p>
    <w:p>
      <w:pPr>
        <w:pStyle w:val="48"/>
        <w:snapToGrid w:val="0"/>
        <w:spacing w:line="500" w:lineRule="exact"/>
        <w:jc w:val="center"/>
        <w:outlineLvl w:val="1"/>
        <w:rPr>
          <w:rFonts w:ascii="Times New Roman" w:hAnsi="Times New Roman" w:eastAsia="仿宋"/>
          <w:b/>
          <w:i w:val="0"/>
          <w:color w:val="000000"/>
          <w:spacing w:val="0"/>
          <w:kern w:val="2"/>
          <w:szCs w:val="24"/>
        </w:rPr>
      </w:pPr>
      <w:bookmarkStart w:id="204" w:name="_Toc13030"/>
      <w:bookmarkStart w:id="205" w:name="_Toc24216"/>
      <w:bookmarkStart w:id="206" w:name="_Toc99785591"/>
      <w:r>
        <w:rPr>
          <w:rFonts w:ascii="Times New Roman" w:hAnsi="Times New Roman" w:eastAsia="仿宋"/>
          <w:b/>
          <w:i w:val="0"/>
          <w:color w:val="000000"/>
          <w:spacing w:val="0"/>
          <w:kern w:val="2"/>
          <w:szCs w:val="24"/>
        </w:rPr>
        <w:t>（八）拟投入人员承诺函</w:t>
      </w:r>
      <w:bookmarkEnd w:id="203"/>
      <w:bookmarkEnd w:id="204"/>
      <w:bookmarkEnd w:id="205"/>
      <w:bookmarkEnd w:id="206"/>
    </w:p>
    <w:p>
      <w:pPr>
        <w:snapToGrid w:val="0"/>
        <w:spacing w:line="360" w:lineRule="exact"/>
        <w:rPr>
          <w:rFonts w:eastAsia="仿宋"/>
        </w:rPr>
      </w:pPr>
      <w:r>
        <w:rPr>
          <w:rFonts w:eastAsia="仿宋"/>
        </w:rPr>
        <w:t>致：（招标人）</w:t>
      </w:r>
    </w:p>
    <w:p>
      <w:pPr>
        <w:snapToGrid w:val="0"/>
        <w:spacing w:line="360" w:lineRule="exact"/>
        <w:ind w:firstLine="480" w:firstLineChars="200"/>
        <w:rPr>
          <w:rFonts w:eastAsia="仿宋"/>
        </w:rPr>
      </w:pPr>
      <w:r>
        <w:rPr>
          <w:rFonts w:eastAsia="仿宋"/>
          <w:u w:val="single"/>
        </w:rPr>
        <w:t xml:space="preserve">        </w:t>
      </w:r>
      <w:r>
        <w:rPr>
          <w:rFonts w:eastAsia="仿宋"/>
        </w:rPr>
        <w:t>（投标人名称）</w:t>
      </w:r>
      <w:r>
        <w:rPr>
          <w:rFonts w:eastAsia="仿宋"/>
          <w:u w:val="single"/>
        </w:rPr>
        <w:t xml:space="preserve">       </w:t>
      </w:r>
      <w:r>
        <w:rPr>
          <w:rFonts w:eastAsia="仿宋"/>
        </w:rPr>
        <w:t>参加贵方组织的</w:t>
      </w:r>
      <w:r>
        <w:rPr>
          <w:rFonts w:eastAsia="仿宋"/>
          <w:u w:val="single"/>
        </w:rPr>
        <w:t xml:space="preserve">        </w:t>
      </w:r>
      <w:r>
        <w:rPr>
          <w:rFonts w:eastAsia="仿宋"/>
        </w:rPr>
        <w:t>项目（招标项目名称）（编号为</w:t>
      </w:r>
      <w:r>
        <w:rPr>
          <w:rFonts w:eastAsia="仿宋"/>
          <w:u w:val="single"/>
        </w:rPr>
        <w:t xml:space="preserve">         </w:t>
      </w:r>
      <w:r>
        <w:rPr>
          <w:rFonts w:eastAsia="仿宋"/>
        </w:rPr>
        <w:t>）的投标，如我单位中标，我方就本次项目拟投入人员承诺如下：</w:t>
      </w:r>
    </w:p>
    <w:p>
      <w:pPr>
        <w:numPr>
          <w:ilvl w:val="0"/>
          <w:numId w:val="8"/>
        </w:numPr>
        <w:snapToGrid w:val="0"/>
        <w:spacing w:line="360" w:lineRule="exact"/>
        <w:ind w:left="0" w:firstLine="566" w:firstLineChars="236"/>
        <w:rPr>
          <w:rFonts w:eastAsia="仿宋"/>
        </w:rPr>
      </w:pPr>
      <w:r>
        <w:rPr>
          <w:rFonts w:eastAsia="仿宋"/>
        </w:rPr>
        <w:t>我方承诺，投标文件中拟投入人员清单中项目负责人、项目实施团队人员、远程服务支持人员、售后服务（维保）人员均为我公司为贵单位本次采购配置的服务人员。实际工作中人员如与清单人员名单不一致，贵单位有权终止合同或按照合同条款进行处罚。由此造成的其他损失均由我方承担进行赔偿。</w:t>
      </w:r>
    </w:p>
    <w:p>
      <w:pPr>
        <w:numPr>
          <w:ilvl w:val="0"/>
          <w:numId w:val="8"/>
        </w:numPr>
        <w:snapToGrid w:val="0"/>
        <w:spacing w:line="360" w:lineRule="exact"/>
        <w:ind w:left="0" w:firstLine="566" w:firstLineChars="236"/>
        <w:rPr>
          <w:rFonts w:eastAsia="仿宋"/>
        </w:rPr>
      </w:pPr>
      <w:r>
        <w:rPr>
          <w:rFonts w:eastAsia="仿宋"/>
        </w:rPr>
        <w:t>我方承诺投标文件中项目成员的相关信息均为真实、有效的。在项目开展阶段如发现提供虚假资料，或投标文件描述与实际情况不符，贵单位有权终止合同或按照合同条款进行处罚。由此造成的其他损失均由我方承担进行赔偿。</w:t>
      </w:r>
    </w:p>
    <w:p>
      <w:pPr>
        <w:numPr>
          <w:ilvl w:val="0"/>
          <w:numId w:val="8"/>
        </w:numPr>
        <w:snapToGrid w:val="0"/>
        <w:spacing w:line="360" w:lineRule="exact"/>
        <w:ind w:left="0" w:firstLine="566" w:firstLineChars="236"/>
        <w:rPr>
          <w:rFonts w:eastAsia="仿宋"/>
        </w:rPr>
      </w:pPr>
      <w:r>
        <w:rPr>
          <w:rFonts w:eastAsia="仿宋"/>
        </w:rPr>
        <w:t>我方承诺在服务期内，我公司将采取相关措施保证项目管理工作人员及售后服务（维保）人员的稳定，以利项目实施工作连续、正常进行。人员离职、调配、不符合贵单位标准辞退等非贵单位原因人员更换不超过40%，否则贵单位有权终止合同。</w:t>
      </w:r>
    </w:p>
    <w:p>
      <w:pPr>
        <w:numPr>
          <w:ilvl w:val="0"/>
          <w:numId w:val="8"/>
        </w:numPr>
        <w:snapToGrid w:val="0"/>
        <w:spacing w:line="360" w:lineRule="exact"/>
        <w:ind w:left="0" w:firstLine="566" w:firstLineChars="236"/>
        <w:rPr>
          <w:rFonts w:eastAsia="仿宋"/>
        </w:rPr>
      </w:pPr>
      <w:r>
        <w:rPr>
          <w:rFonts w:eastAsia="仿宋"/>
        </w:rPr>
        <w:t>如果我方中标，若由于特殊原因须更换实施人员和售后（维保）人员时，我方将以不低于此人员资历的标准进行替换，并报贵单位审查。经审查通过后，方可更换。若未经贵单位批准，我方擅自更换，贵单位有权终止合同或按照合同条款进行处罚。</w:t>
      </w:r>
    </w:p>
    <w:p>
      <w:pPr>
        <w:numPr>
          <w:ilvl w:val="0"/>
          <w:numId w:val="8"/>
        </w:numPr>
        <w:snapToGrid w:val="0"/>
        <w:spacing w:line="360" w:lineRule="exact"/>
        <w:ind w:left="0" w:firstLine="566" w:firstLineChars="236"/>
        <w:rPr>
          <w:rFonts w:eastAsia="仿宋"/>
        </w:rPr>
      </w:pPr>
      <w:r>
        <w:rPr>
          <w:rFonts w:eastAsia="仿宋"/>
        </w:rPr>
        <w:t>我方承诺项目实施期间，在关键节点或工作内容较为集中阶段，贵单位有权要求我方增加项目成员保障工作正常开展，新增加人员应满足贵单位要求的资质能力。</w:t>
      </w:r>
    </w:p>
    <w:p>
      <w:pPr>
        <w:numPr>
          <w:ilvl w:val="0"/>
          <w:numId w:val="8"/>
        </w:numPr>
        <w:snapToGrid w:val="0"/>
        <w:spacing w:line="360" w:lineRule="exact"/>
        <w:ind w:left="0" w:firstLine="566" w:firstLineChars="236"/>
        <w:rPr>
          <w:rFonts w:eastAsia="仿宋"/>
        </w:rPr>
      </w:pPr>
      <w:r>
        <w:rPr>
          <w:rFonts w:eastAsia="仿宋"/>
        </w:rPr>
        <w:t>我方承诺拟提供人员清单中人员均为责任心强，能够按照投标文件所述相关方案执行人员，如不符合贵单位标准，贵单位有权对人员进行更换。如备选人员不符合贵单位使用要求的，我方承诺提供不少于2人且不低于此人员资历的备选人员名单供贵单位选择。否则贵单位有权终止合同。</w:t>
      </w:r>
    </w:p>
    <w:p>
      <w:pPr>
        <w:snapToGrid w:val="0"/>
        <w:spacing w:line="500" w:lineRule="exact"/>
        <w:rPr>
          <w:rFonts w:eastAsia="仿宋"/>
        </w:rPr>
      </w:pPr>
    </w:p>
    <w:p>
      <w:pPr>
        <w:snapToGrid w:val="0"/>
        <w:spacing w:line="500" w:lineRule="exact"/>
        <w:rPr>
          <w:rFonts w:eastAsia="仿宋"/>
        </w:rPr>
      </w:pPr>
    </w:p>
    <w:p>
      <w:pPr>
        <w:snapToGrid w:val="0"/>
        <w:spacing w:line="500" w:lineRule="exact"/>
        <w:ind w:firstLine="4677" w:firstLineChars="1949"/>
        <w:rPr>
          <w:rFonts w:eastAsia="仿宋"/>
        </w:rPr>
      </w:pPr>
      <w:r>
        <w:rPr>
          <w:rFonts w:eastAsia="仿宋"/>
        </w:rPr>
        <w:t>投标人（盖章）：</w:t>
      </w:r>
    </w:p>
    <w:p>
      <w:pPr>
        <w:snapToGrid w:val="0"/>
        <w:spacing w:line="500" w:lineRule="exact"/>
        <w:ind w:firstLine="4677" w:firstLineChars="1949"/>
        <w:rPr>
          <w:rFonts w:eastAsia="仿宋"/>
        </w:rPr>
      </w:pPr>
      <w:r>
        <w:rPr>
          <w:rFonts w:eastAsia="仿宋"/>
        </w:rPr>
        <w:t>法定代表人或委托代理人（签章）：</w:t>
      </w:r>
    </w:p>
    <w:p>
      <w:pPr>
        <w:snapToGrid w:val="0"/>
        <w:spacing w:line="500" w:lineRule="exact"/>
        <w:ind w:firstLine="4677" w:firstLineChars="1949"/>
        <w:rPr>
          <w:rFonts w:eastAsia="仿宋"/>
        </w:rPr>
      </w:pPr>
      <w:r>
        <w:rPr>
          <w:rFonts w:eastAsia="仿宋"/>
        </w:rPr>
        <w:t>日期：</w:t>
      </w: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pStyle w:val="48"/>
        <w:snapToGrid w:val="0"/>
        <w:spacing w:line="500" w:lineRule="exact"/>
        <w:jc w:val="center"/>
        <w:outlineLvl w:val="1"/>
        <w:rPr>
          <w:rFonts w:ascii="Times New Roman" w:hAnsi="Times New Roman" w:eastAsia="仿宋"/>
          <w:b/>
          <w:i w:val="0"/>
          <w:color w:val="000000"/>
          <w:spacing w:val="0"/>
          <w:kern w:val="2"/>
          <w:szCs w:val="24"/>
        </w:rPr>
        <w:sectPr>
          <w:pgSz w:w="11906" w:h="16838"/>
          <w:pgMar w:top="1134" w:right="850" w:bottom="1134" w:left="850" w:header="283" w:footer="283" w:gutter="0"/>
          <w:cols w:space="720" w:num="1"/>
          <w:docGrid w:type="lines" w:linePitch="339" w:charSpace="0"/>
        </w:sectPr>
      </w:pPr>
      <w:bookmarkStart w:id="207" w:name="_Toc7110"/>
    </w:p>
    <w:p>
      <w:pPr>
        <w:pStyle w:val="48"/>
        <w:snapToGrid w:val="0"/>
        <w:spacing w:line="500" w:lineRule="exact"/>
        <w:jc w:val="center"/>
        <w:outlineLvl w:val="1"/>
        <w:rPr>
          <w:rFonts w:ascii="Times New Roman" w:hAnsi="Times New Roman" w:eastAsia="仿宋"/>
          <w:b/>
          <w:i w:val="0"/>
          <w:color w:val="000000"/>
          <w:spacing w:val="0"/>
          <w:kern w:val="2"/>
          <w:szCs w:val="24"/>
        </w:rPr>
      </w:pPr>
      <w:bookmarkStart w:id="208" w:name="_Toc1567"/>
      <w:bookmarkStart w:id="209" w:name="_Toc31560"/>
      <w:bookmarkStart w:id="210" w:name="_Toc99785592"/>
      <w:r>
        <w:rPr>
          <w:rFonts w:ascii="Times New Roman" w:hAnsi="Times New Roman" w:eastAsia="仿宋"/>
          <w:b/>
          <w:i w:val="0"/>
          <w:color w:val="000000"/>
          <w:spacing w:val="0"/>
          <w:kern w:val="2"/>
          <w:szCs w:val="24"/>
        </w:rPr>
        <w:t>（九）项目人员信息表</w:t>
      </w:r>
      <w:bookmarkEnd w:id="207"/>
      <w:bookmarkEnd w:id="208"/>
      <w:bookmarkEnd w:id="209"/>
      <w:bookmarkEnd w:id="210"/>
    </w:p>
    <w:p>
      <w:pPr>
        <w:rPr>
          <w:rFonts w:eastAsia="仿宋"/>
        </w:rPr>
      </w:pPr>
    </w:p>
    <w:p>
      <w:pPr>
        <w:jc w:val="center"/>
        <w:rPr>
          <w:rFonts w:eastAsia="仿宋"/>
          <w:b/>
          <w:sz w:val="30"/>
          <w:szCs w:val="30"/>
        </w:rPr>
      </w:pPr>
      <w:r>
        <w:rPr>
          <w:rFonts w:eastAsia="仿宋"/>
          <w:b/>
          <w:sz w:val="30"/>
          <w:szCs w:val="30"/>
        </w:rPr>
        <w:t>1、项目实施团队成员一览表</w:t>
      </w:r>
    </w:p>
    <w:tbl>
      <w:tblPr>
        <w:tblStyle w:val="6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63"/>
        <w:gridCol w:w="720"/>
        <w:gridCol w:w="900"/>
        <w:gridCol w:w="1073"/>
        <w:gridCol w:w="1745"/>
        <w:gridCol w:w="1189"/>
        <w:gridCol w:w="17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05" w:type="dxa"/>
            <w:vAlign w:val="center"/>
          </w:tcPr>
          <w:p>
            <w:pPr>
              <w:snapToGrid w:val="0"/>
              <w:jc w:val="center"/>
              <w:rPr>
                <w:rFonts w:eastAsia="仿宋"/>
                <w:color w:val="000000"/>
                <w:szCs w:val="21"/>
              </w:rPr>
            </w:pPr>
            <w:r>
              <w:rPr>
                <w:rFonts w:eastAsia="仿宋"/>
                <w:color w:val="000000"/>
                <w:szCs w:val="21"/>
              </w:rPr>
              <w:t>序号</w:t>
            </w:r>
          </w:p>
        </w:tc>
        <w:tc>
          <w:tcPr>
            <w:tcW w:w="963" w:type="dxa"/>
            <w:vAlign w:val="center"/>
          </w:tcPr>
          <w:p>
            <w:pPr>
              <w:snapToGrid w:val="0"/>
              <w:jc w:val="center"/>
              <w:rPr>
                <w:rFonts w:eastAsia="仿宋"/>
                <w:color w:val="000000"/>
                <w:szCs w:val="21"/>
              </w:rPr>
            </w:pPr>
            <w:r>
              <w:rPr>
                <w:rFonts w:eastAsia="仿宋"/>
                <w:color w:val="000000"/>
                <w:szCs w:val="21"/>
              </w:rPr>
              <w:t>姓名</w:t>
            </w:r>
          </w:p>
        </w:tc>
        <w:tc>
          <w:tcPr>
            <w:tcW w:w="720" w:type="dxa"/>
            <w:vAlign w:val="center"/>
          </w:tcPr>
          <w:p>
            <w:pPr>
              <w:snapToGrid w:val="0"/>
              <w:jc w:val="center"/>
              <w:rPr>
                <w:rFonts w:eastAsia="仿宋"/>
                <w:color w:val="000000"/>
                <w:szCs w:val="21"/>
              </w:rPr>
            </w:pPr>
            <w:r>
              <w:rPr>
                <w:rFonts w:eastAsia="仿宋"/>
                <w:color w:val="000000"/>
                <w:szCs w:val="21"/>
              </w:rPr>
              <w:t>年龄</w:t>
            </w:r>
          </w:p>
        </w:tc>
        <w:tc>
          <w:tcPr>
            <w:tcW w:w="900" w:type="dxa"/>
            <w:vAlign w:val="center"/>
          </w:tcPr>
          <w:p>
            <w:pPr>
              <w:snapToGrid w:val="0"/>
              <w:jc w:val="center"/>
              <w:rPr>
                <w:rFonts w:eastAsia="仿宋"/>
                <w:color w:val="000000"/>
                <w:szCs w:val="21"/>
              </w:rPr>
            </w:pPr>
            <w:r>
              <w:rPr>
                <w:rFonts w:eastAsia="仿宋"/>
                <w:color w:val="000000"/>
                <w:szCs w:val="21"/>
              </w:rPr>
              <w:t>学历</w:t>
            </w:r>
          </w:p>
        </w:tc>
        <w:tc>
          <w:tcPr>
            <w:tcW w:w="1073" w:type="dxa"/>
            <w:vAlign w:val="center"/>
          </w:tcPr>
          <w:p>
            <w:pPr>
              <w:snapToGrid w:val="0"/>
              <w:jc w:val="center"/>
              <w:rPr>
                <w:rFonts w:eastAsia="仿宋"/>
                <w:color w:val="000000"/>
                <w:szCs w:val="21"/>
              </w:rPr>
            </w:pPr>
            <w:r>
              <w:rPr>
                <w:rFonts w:eastAsia="仿宋"/>
                <w:color w:val="000000"/>
                <w:szCs w:val="21"/>
              </w:rPr>
              <w:t>工作年限</w:t>
            </w:r>
          </w:p>
        </w:tc>
        <w:tc>
          <w:tcPr>
            <w:tcW w:w="1745" w:type="dxa"/>
            <w:vAlign w:val="center"/>
          </w:tcPr>
          <w:p>
            <w:pPr>
              <w:snapToGrid w:val="0"/>
              <w:jc w:val="center"/>
              <w:rPr>
                <w:rFonts w:eastAsia="仿宋"/>
                <w:color w:val="000000"/>
                <w:szCs w:val="21"/>
              </w:rPr>
            </w:pPr>
            <w:r>
              <w:rPr>
                <w:rFonts w:eastAsia="仿宋"/>
                <w:color w:val="000000"/>
                <w:szCs w:val="21"/>
              </w:rPr>
              <w:t>本项目职责</w:t>
            </w:r>
          </w:p>
        </w:tc>
        <w:tc>
          <w:tcPr>
            <w:tcW w:w="1189" w:type="dxa"/>
            <w:vAlign w:val="center"/>
          </w:tcPr>
          <w:p>
            <w:pPr>
              <w:snapToGrid w:val="0"/>
              <w:jc w:val="center"/>
              <w:rPr>
                <w:rFonts w:eastAsia="仿宋"/>
                <w:color w:val="000000"/>
                <w:szCs w:val="21"/>
              </w:rPr>
            </w:pPr>
            <w:r>
              <w:rPr>
                <w:rFonts w:eastAsia="仿宋"/>
                <w:color w:val="000000"/>
                <w:szCs w:val="21"/>
              </w:rPr>
              <w:t>项目负责内容</w:t>
            </w:r>
          </w:p>
        </w:tc>
        <w:tc>
          <w:tcPr>
            <w:tcW w:w="1743" w:type="dxa"/>
          </w:tcPr>
          <w:p>
            <w:pPr>
              <w:snapToGrid w:val="0"/>
              <w:jc w:val="center"/>
              <w:rPr>
                <w:rFonts w:eastAsia="仿宋"/>
                <w:color w:val="000000"/>
                <w:szCs w:val="21"/>
              </w:rPr>
            </w:pPr>
            <w:r>
              <w:rPr>
                <w:rFonts w:eastAsia="仿宋"/>
                <w:color w:val="000000"/>
                <w:szCs w:val="21"/>
              </w:rPr>
              <w:t>驻场服务时间</w:t>
            </w:r>
          </w:p>
        </w:tc>
        <w:tc>
          <w:tcPr>
            <w:tcW w:w="709" w:type="dxa"/>
            <w:vAlign w:val="center"/>
          </w:tcPr>
          <w:p>
            <w:pPr>
              <w:snapToGrid w:val="0"/>
              <w:jc w:val="center"/>
              <w:rPr>
                <w:rFonts w:eastAsia="仿宋"/>
                <w:color w:val="000000"/>
                <w:szCs w:val="21"/>
              </w:rPr>
            </w:pPr>
            <w:r>
              <w:rPr>
                <w:rFonts w:eastAsia="仿宋"/>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5" w:type="dxa"/>
          </w:tcPr>
          <w:p>
            <w:pPr>
              <w:snapToGrid w:val="0"/>
              <w:jc w:val="center"/>
              <w:rPr>
                <w:rFonts w:eastAsia="仿宋"/>
                <w:color w:val="000000"/>
                <w:szCs w:val="21"/>
              </w:rPr>
            </w:pPr>
          </w:p>
        </w:tc>
        <w:tc>
          <w:tcPr>
            <w:tcW w:w="963" w:type="dxa"/>
          </w:tcPr>
          <w:p>
            <w:pPr>
              <w:snapToGrid w:val="0"/>
              <w:jc w:val="center"/>
              <w:rPr>
                <w:rFonts w:eastAsia="仿宋"/>
                <w:color w:val="000000"/>
                <w:szCs w:val="21"/>
              </w:rPr>
            </w:pPr>
          </w:p>
        </w:tc>
        <w:tc>
          <w:tcPr>
            <w:tcW w:w="720" w:type="dxa"/>
          </w:tcPr>
          <w:p>
            <w:pPr>
              <w:snapToGrid w:val="0"/>
              <w:jc w:val="center"/>
              <w:rPr>
                <w:rFonts w:eastAsia="仿宋"/>
                <w:color w:val="000000"/>
                <w:szCs w:val="21"/>
              </w:rPr>
            </w:pPr>
          </w:p>
        </w:tc>
        <w:tc>
          <w:tcPr>
            <w:tcW w:w="900" w:type="dxa"/>
          </w:tcPr>
          <w:p>
            <w:pPr>
              <w:snapToGrid w:val="0"/>
              <w:jc w:val="center"/>
              <w:rPr>
                <w:rFonts w:eastAsia="仿宋"/>
                <w:color w:val="000000"/>
                <w:szCs w:val="21"/>
              </w:rPr>
            </w:pPr>
          </w:p>
        </w:tc>
        <w:tc>
          <w:tcPr>
            <w:tcW w:w="1073" w:type="dxa"/>
          </w:tcPr>
          <w:p>
            <w:pPr>
              <w:snapToGrid w:val="0"/>
              <w:jc w:val="center"/>
              <w:rPr>
                <w:rFonts w:eastAsia="仿宋"/>
                <w:color w:val="000000"/>
                <w:szCs w:val="21"/>
              </w:rPr>
            </w:pPr>
          </w:p>
        </w:tc>
        <w:tc>
          <w:tcPr>
            <w:tcW w:w="1745" w:type="dxa"/>
            <w:vAlign w:val="center"/>
          </w:tcPr>
          <w:p>
            <w:pPr>
              <w:snapToGrid w:val="0"/>
              <w:jc w:val="center"/>
              <w:rPr>
                <w:rFonts w:eastAsia="仿宋"/>
                <w:color w:val="000000"/>
                <w:szCs w:val="21"/>
              </w:rPr>
            </w:pPr>
            <w:r>
              <w:rPr>
                <w:rFonts w:eastAsia="仿宋"/>
                <w:color w:val="000000"/>
                <w:szCs w:val="21"/>
              </w:rPr>
              <w:t>项目经理</w:t>
            </w:r>
          </w:p>
        </w:tc>
        <w:tc>
          <w:tcPr>
            <w:tcW w:w="1189" w:type="dxa"/>
          </w:tcPr>
          <w:p>
            <w:pPr>
              <w:snapToGrid w:val="0"/>
              <w:jc w:val="center"/>
              <w:rPr>
                <w:rFonts w:eastAsia="仿宋"/>
                <w:color w:val="000000"/>
                <w:szCs w:val="21"/>
              </w:rPr>
            </w:pPr>
          </w:p>
        </w:tc>
        <w:tc>
          <w:tcPr>
            <w:tcW w:w="1743" w:type="dxa"/>
          </w:tcPr>
          <w:p>
            <w:pPr>
              <w:snapToGrid w:val="0"/>
              <w:jc w:val="center"/>
              <w:rPr>
                <w:rFonts w:eastAsia="仿宋"/>
                <w:color w:val="000000"/>
                <w:szCs w:val="21"/>
              </w:rPr>
            </w:pPr>
          </w:p>
        </w:tc>
        <w:tc>
          <w:tcPr>
            <w:tcW w:w="709" w:type="dxa"/>
          </w:tcPr>
          <w:p>
            <w:pPr>
              <w:snapToGrid w:val="0"/>
              <w:jc w:val="center"/>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5" w:type="dxa"/>
          </w:tcPr>
          <w:p>
            <w:pPr>
              <w:snapToGrid w:val="0"/>
              <w:jc w:val="center"/>
              <w:rPr>
                <w:rFonts w:eastAsia="仿宋"/>
                <w:color w:val="000000"/>
                <w:szCs w:val="21"/>
              </w:rPr>
            </w:pPr>
          </w:p>
        </w:tc>
        <w:tc>
          <w:tcPr>
            <w:tcW w:w="963" w:type="dxa"/>
          </w:tcPr>
          <w:p>
            <w:pPr>
              <w:snapToGrid w:val="0"/>
              <w:jc w:val="center"/>
              <w:rPr>
                <w:rFonts w:eastAsia="仿宋"/>
                <w:color w:val="000000"/>
                <w:szCs w:val="21"/>
              </w:rPr>
            </w:pPr>
          </w:p>
        </w:tc>
        <w:tc>
          <w:tcPr>
            <w:tcW w:w="720" w:type="dxa"/>
          </w:tcPr>
          <w:p>
            <w:pPr>
              <w:snapToGrid w:val="0"/>
              <w:jc w:val="center"/>
              <w:rPr>
                <w:rFonts w:eastAsia="仿宋"/>
                <w:color w:val="000000"/>
                <w:szCs w:val="21"/>
              </w:rPr>
            </w:pPr>
          </w:p>
        </w:tc>
        <w:tc>
          <w:tcPr>
            <w:tcW w:w="900" w:type="dxa"/>
          </w:tcPr>
          <w:p>
            <w:pPr>
              <w:snapToGrid w:val="0"/>
              <w:jc w:val="center"/>
              <w:rPr>
                <w:rFonts w:eastAsia="仿宋"/>
                <w:color w:val="000000"/>
                <w:szCs w:val="21"/>
              </w:rPr>
            </w:pPr>
          </w:p>
        </w:tc>
        <w:tc>
          <w:tcPr>
            <w:tcW w:w="1073" w:type="dxa"/>
          </w:tcPr>
          <w:p>
            <w:pPr>
              <w:snapToGrid w:val="0"/>
              <w:jc w:val="center"/>
              <w:rPr>
                <w:rFonts w:eastAsia="仿宋"/>
                <w:color w:val="000000"/>
                <w:szCs w:val="21"/>
              </w:rPr>
            </w:pPr>
          </w:p>
        </w:tc>
        <w:tc>
          <w:tcPr>
            <w:tcW w:w="1745" w:type="dxa"/>
            <w:vAlign w:val="center"/>
          </w:tcPr>
          <w:p>
            <w:pPr>
              <w:snapToGrid w:val="0"/>
              <w:jc w:val="center"/>
              <w:rPr>
                <w:rFonts w:eastAsia="仿宋"/>
                <w:color w:val="000000"/>
                <w:szCs w:val="21"/>
              </w:rPr>
            </w:pPr>
            <w:r>
              <w:rPr>
                <w:rFonts w:eastAsia="仿宋"/>
                <w:color w:val="000000"/>
                <w:szCs w:val="21"/>
              </w:rPr>
              <w:t>项目成员</w:t>
            </w:r>
          </w:p>
        </w:tc>
        <w:tc>
          <w:tcPr>
            <w:tcW w:w="1189" w:type="dxa"/>
          </w:tcPr>
          <w:p>
            <w:pPr>
              <w:snapToGrid w:val="0"/>
              <w:jc w:val="center"/>
              <w:rPr>
                <w:rFonts w:eastAsia="仿宋"/>
                <w:color w:val="000000"/>
                <w:szCs w:val="21"/>
              </w:rPr>
            </w:pPr>
          </w:p>
        </w:tc>
        <w:tc>
          <w:tcPr>
            <w:tcW w:w="1743" w:type="dxa"/>
          </w:tcPr>
          <w:p>
            <w:pPr>
              <w:snapToGrid w:val="0"/>
              <w:jc w:val="center"/>
              <w:rPr>
                <w:rFonts w:eastAsia="仿宋"/>
                <w:color w:val="000000"/>
                <w:szCs w:val="21"/>
              </w:rPr>
            </w:pPr>
          </w:p>
        </w:tc>
        <w:tc>
          <w:tcPr>
            <w:tcW w:w="709" w:type="dxa"/>
          </w:tcPr>
          <w:p>
            <w:pPr>
              <w:snapToGrid w:val="0"/>
              <w:jc w:val="center"/>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05" w:type="dxa"/>
          </w:tcPr>
          <w:p>
            <w:pPr>
              <w:snapToGrid w:val="0"/>
              <w:jc w:val="center"/>
              <w:rPr>
                <w:rFonts w:eastAsia="仿宋"/>
                <w:color w:val="000000"/>
                <w:szCs w:val="21"/>
              </w:rPr>
            </w:pPr>
          </w:p>
        </w:tc>
        <w:tc>
          <w:tcPr>
            <w:tcW w:w="963" w:type="dxa"/>
          </w:tcPr>
          <w:p>
            <w:pPr>
              <w:snapToGrid w:val="0"/>
              <w:jc w:val="center"/>
              <w:rPr>
                <w:rFonts w:eastAsia="仿宋"/>
                <w:color w:val="000000"/>
                <w:szCs w:val="21"/>
              </w:rPr>
            </w:pPr>
          </w:p>
        </w:tc>
        <w:tc>
          <w:tcPr>
            <w:tcW w:w="720" w:type="dxa"/>
          </w:tcPr>
          <w:p>
            <w:pPr>
              <w:snapToGrid w:val="0"/>
              <w:jc w:val="center"/>
              <w:rPr>
                <w:rFonts w:eastAsia="仿宋"/>
                <w:color w:val="000000"/>
                <w:szCs w:val="21"/>
              </w:rPr>
            </w:pPr>
          </w:p>
        </w:tc>
        <w:tc>
          <w:tcPr>
            <w:tcW w:w="900" w:type="dxa"/>
          </w:tcPr>
          <w:p>
            <w:pPr>
              <w:snapToGrid w:val="0"/>
              <w:jc w:val="center"/>
              <w:rPr>
                <w:rFonts w:eastAsia="仿宋"/>
                <w:color w:val="000000"/>
                <w:szCs w:val="21"/>
              </w:rPr>
            </w:pPr>
          </w:p>
        </w:tc>
        <w:tc>
          <w:tcPr>
            <w:tcW w:w="1073" w:type="dxa"/>
          </w:tcPr>
          <w:p>
            <w:pPr>
              <w:snapToGrid w:val="0"/>
              <w:rPr>
                <w:rFonts w:eastAsia="仿宋"/>
                <w:color w:val="000000"/>
                <w:szCs w:val="21"/>
              </w:rPr>
            </w:pPr>
          </w:p>
        </w:tc>
        <w:tc>
          <w:tcPr>
            <w:tcW w:w="1745" w:type="dxa"/>
            <w:vAlign w:val="center"/>
          </w:tcPr>
          <w:p>
            <w:pPr>
              <w:snapToGrid w:val="0"/>
              <w:jc w:val="center"/>
              <w:rPr>
                <w:rFonts w:eastAsia="仿宋"/>
                <w:color w:val="000000"/>
                <w:szCs w:val="21"/>
              </w:rPr>
            </w:pPr>
            <w:r>
              <w:rPr>
                <w:rFonts w:eastAsia="仿宋"/>
                <w:color w:val="000000"/>
                <w:szCs w:val="21"/>
              </w:rPr>
              <w:t>……</w:t>
            </w:r>
          </w:p>
        </w:tc>
        <w:tc>
          <w:tcPr>
            <w:tcW w:w="1189" w:type="dxa"/>
          </w:tcPr>
          <w:p>
            <w:pPr>
              <w:snapToGrid w:val="0"/>
              <w:jc w:val="center"/>
              <w:rPr>
                <w:rFonts w:eastAsia="仿宋"/>
                <w:color w:val="000000"/>
                <w:szCs w:val="21"/>
              </w:rPr>
            </w:pPr>
          </w:p>
        </w:tc>
        <w:tc>
          <w:tcPr>
            <w:tcW w:w="1743" w:type="dxa"/>
          </w:tcPr>
          <w:p>
            <w:pPr>
              <w:snapToGrid w:val="0"/>
              <w:jc w:val="center"/>
              <w:rPr>
                <w:rFonts w:eastAsia="仿宋"/>
                <w:color w:val="000000"/>
                <w:szCs w:val="21"/>
              </w:rPr>
            </w:pPr>
          </w:p>
        </w:tc>
        <w:tc>
          <w:tcPr>
            <w:tcW w:w="709" w:type="dxa"/>
          </w:tcPr>
          <w:p>
            <w:pPr>
              <w:snapToGrid w:val="0"/>
              <w:jc w:val="center"/>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5" w:type="dxa"/>
          </w:tcPr>
          <w:p>
            <w:pPr>
              <w:snapToGrid w:val="0"/>
              <w:jc w:val="center"/>
              <w:rPr>
                <w:rFonts w:eastAsia="仿宋"/>
                <w:color w:val="000000"/>
                <w:szCs w:val="21"/>
              </w:rPr>
            </w:pPr>
          </w:p>
        </w:tc>
        <w:tc>
          <w:tcPr>
            <w:tcW w:w="963" w:type="dxa"/>
          </w:tcPr>
          <w:p>
            <w:pPr>
              <w:snapToGrid w:val="0"/>
              <w:jc w:val="center"/>
              <w:rPr>
                <w:rFonts w:eastAsia="仿宋"/>
                <w:color w:val="000000"/>
                <w:szCs w:val="21"/>
              </w:rPr>
            </w:pPr>
          </w:p>
        </w:tc>
        <w:tc>
          <w:tcPr>
            <w:tcW w:w="720" w:type="dxa"/>
          </w:tcPr>
          <w:p>
            <w:pPr>
              <w:snapToGrid w:val="0"/>
              <w:jc w:val="center"/>
              <w:rPr>
                <w:rFonts w:eastAsia="仿宋"/>
                <w:color w:val="000000"/>
                <w:szCs w:val="21"/>
              </w:rPr>
            </w:pPr>
          </w:p>
        </w:tc>
        <w:tc>
          <w:tcPr>
            <w:tcW w:w="900" w:type="dxa"/>
          </w:tcPr>
          <w:p>
            <w:pPr>
              <w:snapToGrid w:val="0"/>
              <w:jc w:val="center"/>
              <w:rPr>
                <w:rFonts w:eastAsia="仿宋"/>
                <w:color w:val="000000"/>
                <w:szCs w:val="21"/>
              </w:rPr>
            </w:pPr>
          </w:p>
        </w:tc>
        <w:tc>
          <w:tcPr>
            <w:tcW w:w="1073" w:type="dxa"/>
          </w:tcPr>
          <w:p>
            <w:pPr>
              <w:snapToGrid w:val="0"/>
              <w:jc w:val="center"/>
              <w:rPr>
                <w:rFonts w:eastAsia="仿宋"/>
                <w:color w:val="000000"/>
                <w:szCs w:val="21"/>
              </w:rPr>
            </w:pPr>
          </w:p>
        </w:tc>
        <w:tc>
          <w:tcPr>
            <w:tcW w:w="1745" w:type="dxa"/>
            <w:vAlign w:val="center"/>
          </w:tcPr>
          <w:p>
            <w:pPr>
              <w:snapToGrid w:val="0"/>
              <w:jc w:val="center"/>
              <w:rPr>
                <w:rFonts w:eastAsia="仿宋"/>
                <w:color w:val="000000"/>
                <w:szCs w:val="21"/>
              </w:rPr>
            </w:pPr>
            <w:r>
              <w:rPr>
                <w:rFonts w:eastAsia="仿宋"/>
                <w:color w:val="000000"/>
                <w:szCs w:val="21"/>
              </w:rPr>
              <w:t>远程支持人员</w:t>
            </w:r>
          </w:p>
        </w:tc>
        <w:tc>
          <w:tcPr>
            <w:tcW w:w="1189" w:type="dxa"/>
          </w:tcPr>
          <w:p>
            <w:pPr>
              <w:snapToGrid w:val="0"/>
              <w:jc w:val="center"/>
              <w:rPr>
                <w:rFonts w:eastAsia="仿宋"/>
                <w:color w:val="000000"/>
                <w:szCs w:val="21"/>
              </w:rPr>
            </w:pPr>
          </w:p>
        </w:tc>
        <w:tc>
          <w:tcPr>
            <w:tcW w:w="1743" w:type="dxa"/>
          </w:tcPr>
          <w:p>
            <w:pPr>
              <w:snapToGrid w:val="0"/>
              <w:jc w:val="center"/>
              <w:rPr>
                <w:rFonts w:eastAsia="仿宋"/>
                <w:color w:val="000000"/>
                <w:szCs w:val="21"/>
              </w:rPr>
            </w:pPr>
          </w:p>
        </w:tc>
        <w:tc>
          <w:tcPr>
            <w:tcW w:w="709" w:type="dxa"/>
          </w:tcPr>
          <w:p>
            <w:pPr>
              <w:snapToGrid w:val="0"/>
              <w:jc w:val="center"/>
              <w:rPr>
                <w:rFonts w:eastAsia="仿宋"/>
                <w:color w:val="000000"/>
                <w:szCs w:val="21"/>
              </w:rPr>
            </w:pPr>
          </w:p>
        </w:tc>
      </w:tr>
    </w:tbl>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pStyle w:val="26"/>
        <w:snapToGrid w:val="0"/>
        <w:spacing w:line="500" w:lineRule="exact"/>
        <w:ind w:firstLine="6376" w:firstLineChars="2657"/>
        <w:jc w:val="left"/>
        <w:rPr>
          <w:rFonts w:ascii="Times New Roman" w:eastAsia="仿宋"/>
          <w:color w:val="000000"/>
          <w:sz w:val="24"/>
        </w:rPr>
      </w:pPr>
      <w:r>
        <w:rPr>
          <w:rFonts w:ascii="Times New Roman" w:eastAsia="仿宋"/>
          <w:color w:val="000000"/>
          <w:sz w:val="24"/>
        </w:rPr>
        <w:t>投标代表签字：</w:t>
      </w:r>
    </w:p>
    <w:p>
      <w:pPr>
        <w:pStyle w:val="26"/>
        <w:snapToGrid w:val="0"/>
        <w:spacing w:line="500" w:lineRule="exact"/>
        <w:ind w:firstLine="6376" w:firstLineChars="2657"/>
        <w:jc w:val="left"/>
        <w:rPr>
          <w:rFonts w:ascii="Times New Roman" w:eastAsia="仿宋"/>
          <w:color w:val="000000"/>
          <w:sz w:val="24"/>
        </w:rPr>
      </w:pPr>
      <w:r>
        <w:rPr>
          <w:rFonts w:ascii="Times New Roman" w:eastAsia="仿宋"/>
          <w:color w:val="000000"/>
          <w:sz w:val="24"/>
        </w:rPr>
        <w:t xml:space="preserve">投标单位公章：        </w:t>
      </w:r>
    </w:p>
    <w:p>
      <w:pPr>
        <w:snapToGrid w:val="0"/>
        <w:spacing w:line="500" w:lineRule="exact"/>
        <w:ind w:firstLine="6376" w:firstLineChars="2657"/>
        <w:rPr>
          <w:rFonts w:eastAsia="仿宋"/>
          <w:b/>
          <w:color w:val="000000"/>
        </w:rPr>
      </w:pPr>
      <w:r>
        <w:rPr>
          <w:rFonts w:eastAsia="仿宋"/>
          <w:color w:val="000000"/>
        </w:rPr>
        <w:t>日期：</w:t>
      </w:r>
      <w:r>
        <w:rPr>
          <w:rFonts w:eastAsia="仿宋"/>
          <w:color w:val="000000"/>
          <w:u w:val="single"/>
        </w:rPr>
        <w:t xml:space="preserve">  </w:t>
      </w:r>
      <w:r>
        <w:rPr>
          <w:rFonts w:eastAsia="仿宋"/>
          <w:color w:val="000000"/>
        </w:rPr>
        <w:t>年</w:t>
      </w:r>
      <w:r>
        <w:rPr>
          <w:rFonts w:eastAsia="仿宋"/>
          <w:color w:val="000000"/>
          <w:u w:val="single"/>
        </w:rPr>
        <w:t xml:space="preserve">  </w:t>
      </w:r>
      <w:r>
        <w:rPr>
          <w:rFonts w:eastAsia="仿宋"/>
          <w:color w:val="000000"/>
        </w:rPr>
        <w:t>月</w:t>
      </w:r>
      <w:r>
        <w:rPr>
          <w:rFonts w:eastAsia="仿宋"/>
          <w:color w:val="000000"/>
          <w:u w:val="single"/>
        </w:rPr>
        <w:t xml:space="preserve">  </w:t>
      </w:r>
      <w:r>
        <w:rPr>
          <w:rFonts w:eastAsia="仿宋"/>
          <w:color w:val="000000"/>
        </w:rPr>
        <w:t>日</w:t>
      </w: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snapToGrid w:val="0"/>
        <w:spacing w:line="500" w:lineRule="exact"/>
        <w:jc w:val="center"/>
        <w:rPr>
          <w:rFonts w:eastAsia="仿宋"/>
          <w:b/>
          <w:color w:val="000000"/>
        </w:rPr>
      </w:pPr>
    </w:p>
    <w:p>
      <w:pPr>
        <w:pStyle w:val="13"/>
        <w:snapToGrid w:val="0"/>
        <w:spacing w:line="500" w:lineRule="exact"/>
        <w:ind w:firstLine="602"/>
        <w:jc w:val="center"/>
        <w:rPr>
          <w:rFonts w:eastAsia="仿宋"/>
          <w:b/>
          <w:sz w:val="30"/>
          <w:szCs w:val="30"/>
        </w:rPr>
        <w:sectPr>
          <w:pgSz w:w="11906" w:h="16838"/>
          <w:pgMar w:top="1134" w:right="850" w:bottom="1134" w:left="850" w:header="283" w:footer="283" w:gutter="0"/>
          <w:cols w:space="720" w:num="1"/>
          <w:docGrid w:type="lines" w:linePitch="339" w:charSpace="0"/>
        </w:sectPr>
      </w:pPr>
    </w:p>
    <w:p>
      <w:pPr>
        <w:pStyle w:val="13"/>
        <w:snapToGrid w:val="0"/>
        <w:spacing w:line="500" w:lineRule="exact"/>
        <w:ind w:firstLine="602"/>
        <w:jc w:val="center"/>
        <w:rPr>
          <w:rFonts w:eastAsia="仿宋"/>
          <w:b/>
          <w:sz w:val="30"/>
          <w:szCs w:val="30"/>
        </w:rPr>
      </w:pPr>
      <w:r>
        <w:rPr>
          <w:rFonts w:eastAsia="仿宋"/>
          <w:b/>
          <w:sz w:val="30"/>
          <w:szCs w:val="30"/>
        </w:rPr>
        <w:t>2、项目经理</w:t>
      </w:r>
    </w:p>
    <w:p>
      <w:pPr>
        <w:pStyle w:val="13"/>
        <w:snapToGrid w:val="0"/>
        <w:spacing w:line="500" w:lineRule="exact"/>
        <w:ind w:firstLine="480"/>
        <w:rPr>
          <w:rFonts w:eastAsia="仿宋"/>
          <w:color w:val="000000"/>
          <w:sz w:val="24"/>
          <w:szCs w:val="24"/>
          <w:u w:val="single"/>
        </w:rPr>
      </w:pPr>
      <w:r>
        <w:rPr>
          <w:rFonts w:eastAsia="仿宋"/>
          <w:color w:val="000000"/>
          <w:sz w:val="24"/>
          <w:szCs w:val="24"/>
        </w:rPr>
        <w:t>我公司承诺：如我公司中标，将派驻的项目经理为</w:t>
      </w:r>
      <w:r>
        <w:rPr>
          <w:rFonts w:eastAsia="仿宋"/>
          <w:color w:val="000000"/>
          <w:sz w:val="24"/>
          <w:szCs w:val="24"/>
          <w:u w:val="single"/>
        </w:rPr>
        <w:t xml:space="preserve">      </w:t>
      </w:r>
    </w:p>
    <w:p>
      <w:pPr>
        <w:pStyle w:val="13"/>
        <w:snapToGrid w:val="0"/>
        <w:spacing w:line="500" w:lineRule="exact"/>
        <w:ind w:firstLine="480"/>
        <w:rPr>
          <w:rFonts w:eastAsia="仿宋"/>
          <w:color w:val="000000"/>
          <w:sz w:val="24"/>
          <w:szCs w:val="24"/>
          <w:u w:val="single"/>
        </w:rPr>
      </w:pPr>
    </w:p>
    <w:tbl>
      <w:tblPr>
        <w:tblStyle w:val="6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3"/>
        <w:gridCol w:w="1064"/>
        <w:gridCol w:w="1275"/>
        <w:gridCol w:w="1701"/>
        <w:gridCol w:w="127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vAlign w:val="center"/>
          </w:tcPr>
          <w:p>
            <w:pPr>
              <w:snapToGrid w:val="0"/>
              <w:spacing w:line="500" w:lineRule="exact"/>
              <w:jc w:val="center"/>
              <w:rPr>
                <w:rFonts w:eastAsia="仿宋"/>
                <w:color w:val="000000"/>
              </w:rPr>
            </w:pPr>
            <w:r>
              <w:rPr>
                <w:rFonts w:eastAsia="仿宋"/>
                <w:color w:val="000000"/>
                <w:szCs w:val="21"/>
              </w:rPr>
              <w:t>项目经理简历表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姓名</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年龄</w:t>
            </w:r>
          </w:p>
        </w:tc>
        <w:tc>
          <w:tcPr>
            <w:tcW w:w="1701" w:type="dxa"/>
            <w:vAlign w:val="center"/>
          </w:tcPr>
          <w:p>
            <w:pPr>
              <w:snapToGrid w:val="0"/>
              <w:spacing w:line="500" w:lineRule="exact"/>
              <w:rPr>
                <w:rFonts w:eastAsia="仿宋"/>
                <w:color w:val="000000"/>
                <w:szCs w:val="21"/>
              </w:rPr>
            </w:pPr>
          </w:p>
        </w:tc>
        <w:tc>
          <w:tcPr>
            <w:tcW w:w="1276" w:type="dxa"/>
            <w:vMerge w:val="restart"/>
            <w:vAlign w:val="center"/>
          </w:tcPr>
          <w:p>
            <w:pPr>
              <w:snapToGrid w:val="0"/>
              <w:spacing w:line="500" w:lineRule="exact"/>
              <w:rPr>
                <w:rFonts w:eastAsia="仿宋"/>
                <w:color w:val="000000"/>
                <w:szCs w:val="21"/>
              </w:rPr>
            </w:pPr>
            <w:r>
              <w:rPr>
                <w:rFonts w:eastAsia="仿宋"/>
                <w:color w:val="000000"/>
                <w:szCs w:val="21"/>
              </w:rPr>
              <w:t>照片</w:t>
            </w:r>
          </w:p>
        </w:tc>
        <w:tc>
          <w:tcPr>
            <w:tcW w:w="1314" w:type="dxa"/>
            <w:vMerge w:val="restart"/>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手机号</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毕业</w:t>
            </w:r>
          </w:p>
          <w:p>
            <w:pPr>
              <w:snapToGrid w:val="0"/>
              <w:spacing w:line="500" w:lineRule="exact"/>
              <w:rPr>
                <w:rFonts w:eastAsia="仿宋"/>
                <w:color w:val="000000"/>
                <w:szCs w:val="21"/>
              </w:rPr>
            </w:pPr>
            <w:r>
              <w:rPr>
                <w:rFonts w:eastAsia="仿宋"/>
                <w:color w:val="000000"/>
                <w:szCs w:val="21"/>
              </w:rPr>
              <w:t>院校</w:t>
            </w:r>
          </w:p>
        </w:tc>
        <w:tc>
          <w:tcPr>
            <w:tcW w:w="1701" w:type="dxa"/>
            <w:vAlign w:val="center"/>
          </w:tcPr>
          <w:p>
            <w:pPr>
              <w:snapToGrid w:val="0"/>
              <w:spacing w:line="500" w:lineRule="exact"/>
              <w:rPr>
                <w:rFonts w:eastAsia="仿宋"/>
                <w:color w:val="000000"/>
                <w:szCs w:val="21"/>
              </w:rPr>
            </w:pPr>
          </w:p>
        </w:tc>
        <w:tc>
          <w:tcPr>
            <w:tcW w:w="1276" w:type="dxa"/>
            <w:vMerge w:val="continue"/>
            <w:vAlign w:val="center"/>
          </w:tcPr>
          <w:p>
            <w:pPr>
              <w:snapToGrid w:val="0"/>
              <w:spacing w:line="500" w:lineRule="exact"/>
              <w:rPr>
                <w:rFonts w:eastAsia="仿宋"/>
                <w:color w:val="000000"/>
                <w:szCs w:val="21"/>
              </w:rPr>
            </w:pPr>
          </w:p>
        </w:tc>
        <w:tc>
          <w:tcPr>
            <w:tcW w:w="1314" w:type="dxa"/>
            <w:vMerge w:val="continue"/>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专业</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学位</w:t>
            </w:r>
          </w:p>
        </w:tc>
        <w:tc>
          <w:tcPr>
            <w:tcW w:w="1701" w:type="dxa"/>
            <w:vAlign w:val="center"/>
          </w:tcPr>
          <w:p>
            <w:pPr>
              <w:snapToGrid w:val="0"/>
              <w:spacing w:line="500" w:lineRule="exact"/>
              <w:jc w:val="center"/>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拟任职务</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工作年限</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本公司工作年限</w:t>
            </w: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担任负责人年限</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学习经历</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技术认证</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技术能力</w:t>
            </w:r>
          </w:p>
        </w:tc>
        <w:tc>
          <w:tcPr>
            <w:tcW w:w="7693" w:type="dxa"/>
            <w:gridSpan w:val="6"/>
            <w:vAlign w:val="center"/>
          </w:tcPr>
          <w:p>
            <w:pPr>
              <w:snapToGrid w:val="0"/>
              <w:spacing w:line="500" w:lineRule="exact"/>
              <w:rPr>
                <w:rFonts w:eastAsia="仿宋"/>
                <w:color w:val="000000"/>
                <w:szCs w:val="21"/>
              </w:rPr>
            </w:pPr>
            <w:r>
              <w:rPr>
                <w:rFonts w:eastAsia="仿宋"/>
                <w:color w:val="000000"/>
                <w:szCs w:val="21"/>
              </w:rPr>
              <w:t>能力描述</w:t>
            </w:r>
          </w:p>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vAlign w:val="center"/>
          </w:tcPr>
          <w:p>
            <w:pPr>
              <w:snapToGrid w:val="0"/>
              <w:spacing w:line="500" w:lineRule="exact"/>
              <w:jc w:val="center"/>
              <w:rPr>
                <w:rFonts w:eastAsia="仿宋"/>
                <w:color w:val="000000"/>
                <w:szCs w:val="21"/>
              </w:rPr>
            </w:pPr>
            <w:r>
              <w:rPr>
                <w:rFonts w:eastAsia="仿宋"/>
                <w:color w:val="000000"/>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2" w:type="dxa"/>
            <w:vAlign w:val="center"/>
          </w:tcPr>
          <w:p>
            <w:pPr>
              <w:snapToGrid w:val="0"/>
              <w:spacing w:line="500" w:lineRule="exact"/>
              <w:rPr>
                <w:rFonts w:eastAsia="仿宋"/>
                <w:color w:val="000000"/>
                <w:szCs w:val="21"/>
              </w:rPr>
            </w:pPr>
            <w:r>
              <w:rPr>
                <w:rFonts w:eastAsia="仿宋"/>
                <w:color w:val="000000"/>
                <w:szCs w:val="21"/>
              </w:rPr>
              <w:t>序号</w:t>
            </w:r>
          </w:p>
        </w:tc>
        <w:tc>
          <w:tcPr>
            <w:tcW w:w="1063" w:type="dxa"/>
            <w:vAlign w:val="center"/>
          </w:tcPr>
          <w:p>
            <w:pPr>
              <w:snapToGrid w:val="0"/>
              <w:spacing w:line="500" w:lineRule="exact"/>
              <w:rPr>
                <w:rFonts w:eastAsia="仿宋"/>
                <w:color w:val="000000"/>
                <w:szCs w:val="21"/>
              </w:rPr>
            </w:pPr>
            <w:r>
              <w:rPr>
                <w:rFonts w:eastAsia="仿宋"/>
                <w:color w:val="000000"/>
                <w:szCs w:val="21"/>
              </w:rPr>
              <w:t>项目名称</w:t>
            </w:r>
          </w:p>
        </w:tc>
        <w:tc>
          <w:tcPr>
            <w:tcW w:w="1064" w:type="dxa"/>
            <w:vAlign w:val="center"/>
          </w:tcPr>
          <w:p>
            <w:pPr>
              <w:snapToGrid w:val="0"/>
              <w:rPr>
                <w:rFonts w:eastAsia="仿宋"/>
                <w:color w:val="000000"/>
                <w:szCs w:val="21"/>
              </w:rPr>
            </w:pPr>
            <w:r>
              <w:rPr>
                <w:rFonts w:eastAsia="仿宋"/>
                <w:color w:val="000000"/>
                <w:szCs w:val="21"/>
              </w:rPr>
              <w:t>合同签订时间（起-止）</w:t>
            </w:r>
          </w:p>
        </w:tc>
        <w:tc>
          <w:tcPr>
            <w:tcW w:w="1275" w:type="dxa"/>
            <w:vAlign w:val="center"/>
          </w:tcPr>
          <w:p>
            <w:pPr>
              <w:snapToGrid w:val="0"/>
              <w:spacing w:line="500" w:lineRule="exact"/>
              <w:rPr>
                <w:rFonts w:eastAsia="仿宋"/>
                <w:color w:val="000000"/>
                <w:szCs w:val="21"/>
              </w:rPr>
            </w:pPr>
            <w:r>
              <w:rPr>
                <w:rFonts w:eastAsia="仿宋"/>
                <w:color w:val="000000"/>
                <w:szCs w:val="21"/>
              </w:rPr>
              <w:t>项目金额</w:t>
            </w:r>
          </w:p>
        </w:tc>
        <w:tc>
          <w:tcPr>
            <w:tcW w:w="1701" w:type="dxa"/>
            <w:vAlign w:val="center"/>
          </w:tcPr>
          <w:p>
            <w:pPr>
              <w:snapToGrid w:val="0"/>
              <w:spacing w:line="500" w:lineRule="exact"/>
              <w:rPr>
                <w:rFonts w:eastAsia="仿宋"/>
                <w:color w:val="000000"/>
                <w:szCs w:val="21"/>
              </w:rPr>
            </w:pPr>
            <w:r>
              <w:rPr>
                <w:rFonts w:eastAsia="仿宋"/>
                <w:color w:val="000000"/>
                <w:szCs w:val="21"/>
              </w:rPr>
              <w:t>项目主要内容</w:t>
            </w:r>
          </w:p>
        </w:tc>
        <w:tc>
          <w:tcPr>
            <w:tcW w:w="1276" w:type="dxa"/>
            <w:vAlign w:val="center"/>
          </w:tcPr>
          <w:p>
            <w:pPr>
              <w:snapToGrid w:val="0"/>
              <w:spacing w:line="500" w:lineRule="exact"/>
              <w:rPr>
                <w:rFonts w:eastAsia="仿宋"/>
                <w:color w:val="000000"/>
                <w:szCs w:val="21"/>
              </w:rPr>
            </w:pPr>
            <w:r>
              <w:rPr>
                <w:rFonts w:eastAsia="仿宋"/>
                <w:color w:val="000000"/>
                <w:szCs w:val="21"/>
              </w:rPr>
              <w:t>客户名称</w:t>
            </w:r>
          </w:p>
        </w:tc>
        <w:tc>
          <w:tcPr>
            <w:tcW w:w="1314" w:type="dxa"/>
            <w:vAlign w:val="center"/>
          </w:tcPr>
          <w:p>
            <w:pPr>
              <w:snapToGrid w:val="0"/>
              <w:rPr>
                <w:rFonts w:eastAsia="仿宋"/>
                <w:color w:val="000000"/>
                <w:szCs w:val="21"/>
              </w:rPr>
            </w:pPr>
            <w:r>
              <w:rPr>
                <w:rFonts w:eastAsia="仿宋"/>
                <w:color w:val="000000"/>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bl>
    <w:p>
      <w:pPr>
        <w:tabs>
          <w:tab w:val="left" w:pos="-3119"/>
        </w:tabs>
        <w:snapToGrid w:val="0"/>
        <w:spacing w:line="500" w:lineRule="exact"/>
        <w:jc w:val="left"/>
        <w:rPr>
          <w:rFonts w:eastAsia="仿宋"/>
          <w:color w:val="000000"/>
          <w:szCs w:val="21"/>
        </w:rPr>
      </w:pPr>
      <w:r>
        <w:rPr>
          <w:rFonts w:eastAsia="仿宋"/>
          <w:color w:val="000000"/>
          <w:szCs w:val="21"/>
        </w:rPr>
        <w:t>注：（1）根据上表内容提供项目经理工作经验、身份证复印件、劳务合同、社保证明等相关材料；</w:t>
      </w:r>
    </w:p>
    <w:p>
      <w:pPr>
        <w:tabs>
          <w:tab w:val="left" w:pos="-3119"/>
        </w:tabs>
        <w:snapToGrid w:val="0"/>
        <w:spacing w:line="500" w:lineRule="exact"/>
        <w:ind w:firstLine="420"/>
        <w:jc w:val="left"/>
        <w:rPr>
          <w:rFonts w:eastAsia="仿宋"/>
          <w:color w:val="000000"/>
          <w:szCs w:val="21"/>
        </w:rPr>
      </w:pPr>
      <w:r>
        <w:rPr>
          <w:rFonts w:eastAsia="仿宋"/>
          <w:color w:val="000000"/>
          <w:szCs w:val="21"/>
        </w:rPr>
        <w:t>（2）根据类似工作经历顺序提供项目经理作为项目负责人实施的业绩证明。合同要求提供合同首页、金额所在页、签字盖章页及能够体现工作内容的关键页（如工作说明书部分或合同主体内容），日期以合同签订日期为准。合同或中标通知书不能体现项目负责人经历的，请提供用户业务部门出具的相关证明文件，证明文件须说明服务时间及所负责具体内容。</w:t>
      </w:r>
    </w:p>
    <w:p>
      <w:pPr>
        <w:pStyle w:val="13"/>
        <w:snapToGrid w:val="0"/>
        <w:spacing w:line="500" w:lineRule="exact"/>
        <w:ind w:firstLine="602"/>
        <w:jc w:val="center"/>
        <w:rPr>
          <w:rFonts w:eastAsia="仿宋"/>
          <w:b/>
          <w:sz w:val="30"/>
          <w:szCs w:val="30"/>
        </w:rPr>
        <w:sectPr>
          <w:pgSz w:w="11906" w:h="16838"/>
          <w:pgMar w:top="1134" w:right="850" w:bottom="1134" w:left="850" w:header="283" w:footer="283" w:gutter="0"/>
          <w:cols w:space="720" w:num="1"/>
          <w:docGrid w:type="lines" w:linePitch="339" w:charSpace="0"/>
        </w:sectPr>
      </w:pPr>
    </w:p>
    <w:p>
      <w:pPr>
        <w:pStyle w:val="13"/>
        <w:snapToGrid w:val="0"/>
        <w:spacing w:line="500" w:lineRule="exact"/>
        <w:ind w:firstLine="602"/>
        <w:jc w:val="center"/>
        <w:rPr>
          <w:rFonts w:eastAsia="仿宋"/>
          <w:b/>
          <w:sz w:val="30"/>
          <w:szCs w:val="30"/>
        </w:rPr>
      </w:pPr>
      <w:r>
        <w:rPr>
          <w:rFonts w:eastAsia="仿宋"/>
          <w:b/>
          <w:sz w:val="30"/>
          <w:szCs w:val="30"/>
        </w:rPr>
        <w:t>2-1、项目经理工作经验承诺</w:t>
      </w:r>
    </w:p>
    <w:p>
      <w:pPr>
        <w:tabs>
          <w:tab w:val="left" w:pos="-3119"/>
        </w:tabs>
        <w:snapToGrid w:val="0"/>
        <w:spacing w:line="500" w:lineRule="exact"/>
        <w:ind w:firstLine="420"/>
        <w:jc w:val="left"/>
        <w:rPr>
          <w:rFonts w:eastAsia="仿宋"/>
          <w:color w:val="000000"/>
        </w:rPr>
      </w:pPr>
      <w:r>
        <w:rPr>
          <w:rFonts w:eastAsia="仿宋"/>
          <w:color w:val="000000"/>
        </w:rPr>
        <w:t>我公司承诺我公司将派驻的项目经理为</w:t>
      </w:r>
      <w:r>
        <w:rPr>
          <w:rFonts w:eastAsia="仿宋"/>
          <w:color w:val="000000"/>
          <w:u w:val="single"/>
        </w:rPr>
        <w:t xml:space="preserve">   （</w:t>
      </w:r>
      <w:r>
        <w:rPr>
          <w:rFonts w:eastAsia="仿宋"/>
          <w:i/>
          <w:color w:val="000000"/>
          <w:u w:val="single"/>
        </w:rPr>
        <w:t>姓名</w:t>
      </w:r>
      <w:r>
        <w:rPr>
          <w:rFonts w:eastAsia="仿宋"/>
          <w:color w:val="000000"/>
          <w:u w:val="single"/>
        </w:rPr>
        <w:t xml:space="preserve">）    </w:t>
      </w:r>
      <w:r>
        <w:rPr>
          <w:rFonts w:eastAsia="仿宋"/>
          <w:color w:val="000000"/>
        </w:rPr>
        <w:t>在</w:t>
      </w:r>
      <w:r>
        <w:rPr>
          <w:rFonts w:eastAsia="仿宋"/>
          <w:color w:val="000000"/>
          <w:u w:val="single"/>
        </w:rPr>
        <w:t xml:space="preserve"> </w:t>
      </w:r>
      <w:r>
        <w:rPr>
          <w:rFonts w:hint="eastAsia" w:eastAsia="仿宋"/>
          <w:color w:val="000000"/>
          <w:u w:val="single"/>
        </w:rPr>
        <w:t xml:space="preserve">              </w:t>
      </w:r>
      <w:r>
        <w:rPr>
          <w:rFonts w:eastAsia="仿宋"/>
          <w:color w:val="000000"/>
        </w:rPr>
        <w:t>行业已工作</w:t>
      </w:r>
      <w:r>
        <w:rPr>
          <w:rFonts w:eastAsia="仿宋"/>
          <w:color w:val="000000"/>
          <w:u w:val="single"/>
        </w:rPr>
        <w:t xml:space="preserve">     </w:t>
      </w:r>
      <w:r>
        <w:rPr>
          <w:rFonts w:eastAsia="仿宋"/>
          <w:color w:val="000000"/>
        </w:rPr>
        <w:t>年。主要工作经验如下：（</w:t>
      </w:r>
      <w:r>
        <w:rPr>
          <w:rFonts w:eastAsia="仿宋"/>
          <w:i/>
          <w:color w:val="000000"/>
        </w:rPr>
        <w:t>内容自拟</w:t>
      </w:r>
      <w:r>
        <w:rPr>
          <w:rFonts w:eastAsia="仿宋"/>
          <w:color w:val="000000"/>
        </w:rPr>
        <w:t>）</w:t>
      </w:r>
    </w:p>
    <w:p>
      <w:pPr>
        <w:tabs>
          <w:tab w:val="left" w:pos="-3119"/>
        </w:tabs>
        <w:snapToGrid w:val="0"/>
        <w:spacing w:line="500" w:lineRule="exact"/>
        <w:ind w:firstLine="420"/>
        <w:jc w:val="left"/>
        <w:rPr>
          <w:rFonts w:eastAsia="仿宋"/>
          <w:color w:val="000000"/>
        </w:rPr>
      </w:pPr>
      <w:r>
        <w:rPr>
          <w:rFonts w:eastAsia="仿宋"/>
          <w:color w:val="000000"/>
        </w:rPr>
        <w:t>（一）……</w:t>
      </w:r>
    </w:p>
    <w:p>
      <w:pPr>
        <w:tabs>
          <w:tab w:val="left" w:pos="-3119"/>
        </w:tabs>
        <w:snapToGrid w:val="0"/>
        <w:spacing w:line="500" w:lineRule="exact"/>
        <w:ind w:firstLine="420"/>
        <w:jc w:val="left"/>
        <w:rPr>
          <w:rFonts w:eastAsia="仿宋"/>
          <w:color w:val="000000"/>
        </w:rPr>
      </w:pPr>
      <w:r>
        <w:rPr>
          <w:rFonts w:eastAsia="仿宋"/>
          <w:color w:val="000000"/>
        </w:rPr>
        <w:t>（二）……</w:t>
      </w:r>
    </w:p>
    <w:p>
      <w:pPr>
        <w:tabs>
          <w:tab w:val="left" w:pos="-3119"/>
        </w:tabs>
        <w:snapToGrid w:val="0"/>
        <w:spacing w:line="500" w:lineRule="exact"/>
        <w:ind w:firstLine="420"/>
        <w:jc w:val="left"/>
        <w:rPr>
          <w:rFonts w:eastAsia="仿宋"/>
          <w:color w:val="000000"/>
        </w:rPr>
      </w:pPr>
      <w:r>
        <w:rPr>
          <w:rFonts w:eastAsia="仿宋"/>
          <w:color w:val="000000"/>
        </w:rPr>
        <w:t>（三）……</w:t>
      </w:r>
    </w:p>
    <w:p>
      <w:pPr>
        <w:tabs>
          <w:tab w:val="left" w:pos="-3119"/>
        </w:tabs>
        <w:snapToGrid w:val="0"/>
        <w:spacing w:line="500" w:lineRule="exact"/>
        <w:ind w:firstLine="360" w:firstLineChars="150"/>
        <w:jc w:val="left"/>
        <w:rPr>
          <w:rFonts w:eastAsia="仿宋"/>
          <w:color w:val="000000"/>
        </w:rPr>
      </w:pPr>
      <w:r>
        <w:rPr>
          <w:rFonts w:eastAsia="仿宋"/>
          <w:color w:val="000000"/>
        </w:rPr>
        <w:t>我公司承诺上述内容均真实有效。若有虚假，同意按无效标处理，同时按照合同条款和相关法律法规进行对招标人进行赔偿。</w:t>
      </w: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pStyle w:val="26"/>
        <w:snapToGrid w:val="0"/>
        <w:spacing w:line="500" w:lineRule="exact"/>
        <w:ind w:firstLine="6376" w:firstLineChars="2657"/>
        <w:jc w:val="left"/>
        <w:rPr>
          <w:rFonts w:ascii="Times New Roman" w:eastAsia="仿宋"/>
          <w:color w:val="000000"/>
          <w:sz w:val="24"/>
        </w:rPr>
      </w:pPr>
      <w:r>
        <w:rPr>
          <w:rFonts w:ascii="Times New Roman" w:eastAsia="仿宋"/>
          <w:color w:val="000000"/>
          <w:sz w:val="24"/>
        </w:rPr>
        <w:t>投标代表签字：</w:t>
      </w:r>
    </w:p>
    <w:p>
      <w:pPr>
        <w:pStyle w:val="26"/>
        <w:snapToGrid w:val="0"/>
        <w:spacing w:line="500" w:lineRule="exact"/>
        <w:ind w:firstLine="6376" w:firstLineChars="2657"/>
        <w:jc w:val="left"/>
        <w:rPr>
          <w:rFonts w:ascii="Times New Roman" w:eastAsia="仿宋"/>
          <w:color w:val="000000"/>
          <w:sz w:val="24"/>
        </w:rPr>
      </w:pPr>
      <w:r>
        <w:rPr>
          <w:rFonts w:ascii="Times New Roman" w:eastAsia="仿宋"/>
          <w:color w:val="000000"/>
          <w:sz w:val="24"/>
        </w:rPr>
        <w:t xml:space="preserve">投标单位公章：        </w:t>
      </w:r>
    </w:p>
    <w:p>
      <w:pPr>
        <w:snapToGrid w:val="0"/>
        <w:spacing w:line="500" w:lineRule="exact"/>
        <w:ind w:firstLine="6376" w:firstLineChars="2657"/>
        <w:rPr>
          <w:rFonts w:eastAsia="仿宋"/>
          <w:b/>
          <w:color w:val="000000"/>
        </w:rPr>
      </w:pPr>
      <w:r>
        <w:rPr>
          <w:rFonts w:eastAsia="仿宋"/>
          <w:color w:val="000000"/>
        </w:rPr>
        <w:t>日期：</w:t>
      </w:r>
      <w:r>
        <w:rPr>
          <w:rFonts w:eastAsia="仿宋"/>
          <w:color w:val="000000"/>
          <w:u w:val="single"/>
        </w:rPr>
        <w:t xml:space="preserve">  </w:t>
      </w:r>
      <w:r>
        <w:rPr>
          <w:rFonts w:eastAsia="仿宋"/>
          <w:color w:val="000000"/>
        </w:rPr>
        <w:t>年</w:t>
      </w:r>
      <w:r>
        <w:rPr>
          <w:rFonts w:eastAsia="仿宋"/>
          <w:color w:val="000000"/>
          <w:u w:val="single"/>
        </w:rPr>
        <w:t xml:space="preserve">  </w:t>
      </w:r>
      <w:r>
        <w:rPr>
          <w:rFonts w:eastAsia="仿宋"/>
          <w:color w:val="000000"/>
        </w:rPr>
        <w:t>月</w:t>
      </w:r>
      <w:r>
        <w:rPr>
          <w:rFonts w:eastAsia="仿宋"/>
          <w:color w:val="000000"/>
          <w:u w:val="single"/>
        </w:rPr>
        <w:t xml:space="preserve">  </w:t>
      </w:r>
      <w:r>
        <w:rPr>
          <w:rFonts w:eastAsia="仿宋"/>
          <w:color w:val="000000"/>
        </w:rPr>
        <w:t>日</w:t>
      </w: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pStyle w:val="13"/>
        <w:snapToGrid w:val="0"/>
        <w:spacing w:line="500" w:lineRule="exact"/>
        <w:ind w:firstLine="602"/>
        <w:jc w:val="center"/>
        <w:rPr>
          <w:rFonts w:eastAsia="仿宋"/>
          <w:b/>
          <w:sz w:val="30"/>
          <w:szCs w:val="30"/>
        </w:rPr>
        <w:sectPr>
          <w:pgSz w:w="11906" w:h="16838"/>
          <w:pgMar w:top="1134" w:right="850" w:bottom="1134" w:left="850" w:header="283" w:footer="283" w:gutter="0"/>
          <w:cols w:space="720" w:num="1"/>
          <w:docGrid w:type="lines" w:linePitch="339" w:charSpace="0"/>
        </w:sectPr>
      </w:pPr>
    </w:p>
    <w:p>
      <w:pPr>
        <w:pStyle w:val="13"/>
        <w:snapToGrid w:val="0"/>
        <w:spacing w:line="500" w:lineRule="exact"/>
        <w:ind w:firstLine="602"/>
        <w:jc w:val="center"/>
        <w:rPr>
          <w:rFonts w:eastAsia="仿宋"/>
          <w:b/>
          <w:sz w:val="30"/>
          <w:szCs w:val="30"/>
        </w:rPr>
      </w:pPr>
      <w:r>
        <w:rPr>
          <w:rFonts w:eastAsia="仿宋"/>
          <w:b/>
          <w:sz w:val="30"/>
          <w:szCs w:val="30"/>
        </w:rPr>
        <w:t>3、项目团队成员</w:t>
      </w:r>
    </w:p>
    <w:tbl>
      <w:tblPr>
        <w:tblStyle w:val="6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3"/>
        <w:gridCol w:w="1064"/>
        <w:gridCol w:w="1275"/>
        <w:gridCol w:w="1701"/>
        <w:gridCol w:w="127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5" w:type="dxa"/>
            <w:gridSpan w:val="7"/>
            <w:vAlign w:val="center"/>
          </w:tcPr>
          <w:p>
            <w:pPr>
              <w:snapToGrid w:val="0"/>
              <w:spacing w:line="500" w:lineRule="exact"/>
              <w:jc w:val="center"/>
              <w:rPr>
                <w:rFonts w:eastAsia="仿宋"/>
                <w:color w:val="000000"/>
              </w:rPr>
            </w:pPr>
            <w:r>
              <w:rPr>
                <w:rFonts w:eastAsia="仿宋"/>
                <w:color w:val="000000"/>
                <w:szCs w:val="21"/>
              </w:rPr>
              <w:t>项目成员简历表（一人一表）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姓名</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年龄</w:t>
            </w:r>
          </w:p>
        </w:tc>
        <w:tc>
          <w:tcPr>
            <w:tcW w:w="1701" w:type="dxa"/>
            <w:vAlign w:val="center"/>
          </w:tcPr>
          <w:p>
            <w:pPr>
              <w:snapToGrid w:val="0"/>
              <w:spacing w:line="500" w:lineRule="exact"/>
              <w:rPr>
                <w:rFonts w:eastAsia="仿宋"/>
                <w:color w:val="000000"/>
                <w:szCs w:val="21"/>
              </w:rPr>
            </w:pPr>
          </w:p>
        </w:tc>
        <w:tc>
          <w:tcPr>
            <w:tcW w:w="1276" w:type="dxa"/>
            <w:vMerge w:val="restart"/>
            <w:vAlign w:val="center"/>
          </w:tcPr>
          <w:p>
            <w:pPr>
              <w:snapToGrid w:val="0"/>
              <w:spacing w:line="500" w:lineRule="exact"/>
              <w:rPr>
                <w:rFonts w:eastAsia="仿宋"/>
                <w:color w:val="000000"/>
                <w:szCs w:val="21"/>
              </w:rPr>
            </w:pPr>
            <w:r>
              <w:rPr>
                <w:rFonts w:eastAsia="仿宋"/>
                <w:color w:val="000000"/>
                <w:szCs w:val="21"/>
              </w:rPr>
              <w:t>照片</w:t>
            </w:r>
          </w:p>
        </w:tc>
        <w:tc>
          <w:tcPr>
            <w:tcW w:w="1314" w:type="dxa"/>
            <w:vMerge w:val="restart"/>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手机号</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毕业</w:t>
            </w:r>
          </w:p>
          <w:p>
            <w:pPr>
              <w:snapToGrid w:val="0"/>
              <w:spacing w:line="500" w:lineRule="exact"/>
              <w:rPr>
                <w:rFonts w:eastAsia="仿宋"/>
                <w:color w:val="000000"/>
                <w:szCs w:val="21"/>
              </w:rPr>
            </w:pPr>
            <w:r>
              <w:rPr>
                <w:rFonts w:eastAsia="仿宋"/>
                <w:color w:val="000000"/>
                <w:szCs w:val="21"/>
              </w:rPr>
              <w:t>院校</w:t>
            </w:r>
          </w:p>
        </w:tc>
        <w:tc>
          <w:tcPr>
            <w:tcW w:w="1701" w:type="dxa"/>
            <w:vAlign w:val="center"/>
          </w:tcPr>
          <w:p>
            <w:pPr>
              <w:snapToGrid w:val="0"/>
              <w:spacing w:line="500" w:lineRule="exact"/>
              <w:rPr>
                <w:rFonts w:eastAsia="仿宋"/>
                <w:color w:val="000000"/>
                <w:szCs w:val="21"/>
              </w:rPr>
            </w:pPr>
          </w:p>
        </w:tc>
        <w:tc>
          <w:tcPr>
            <w:tcW w:w="1276" w:type="dxa"/>
            <w:vMerge w:val="continue"/>
            <w:vAlign w:val="center"/>
          </w:tcPr>
          <w:p>
            <w:pPr>
              <w:snapToGrid w:val="0"/>
              <w:spacing w:line="500" w:lineRule="exact"/>
              <w:rPr>
                <w:rFonts w:eastAsia="仿宋"/>
                <w:color w:val="000000"/>
                <w:szCs w:val="21"/>
              </w:rPr>
            </w:pPr>
          </w:p>
        </w:tc>
        <w:tc>
          <w:tcPr>
            <w:tcW w:w="1314" w:type="dxa"/>
            <w:vMerge w:val="continue"/>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专业</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学位</w:t>
            </w: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拟任职务</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工作年限</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本公司工作年限</w:t>
            </w: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担任负责人年限</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学习经历</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技术认证</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技术能力</w:t>
            </w:r>
          </w:p>
        </w:tc>
        <w:tc>
          <w:tcPr>
            <w:tcW w:w="7693" w:type="dxa"/>
            <w:gridSpan w:val="6"/>
            <w:vAlign w:val="center"/>
          </w:tcPr>
          <w:p>
            <w:pPr>
              <w:snapToGrid w:val="0"/>
              <w:spacing w:line="500" w:lineRule="exact"/>
              <w:rPr>
                <w:rFonts w:eastAsia="仿宋"/>
                <w:color w:val="000000"/>
                <w:szCs w:val="21"/>
              </w:rPr>
            </w:pPr>
            <w:r>
              <w:rPr>
                <w:rFonts w:eastAsia="仿宋"/>
                <w:color w:val="000000"/>
                <w:szCs w:val="21"/>
              </w:rPr>
              <w:t>工作经历及技术能力描述</w:t>
            </w:r>
          </w:p>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vAlign w:val="center"/>
          </w:tcPr>
          <w:p>
            <w:pPr>
              <w:snapToGrid w:val="0"/>
              <w:spacing w:line="500" w:lineRule="exact"/>
              <w:jc w:val="center"/>
              <w:rPr>
                <w:rFonts w:eastAsia="仿宋"/>
                <w:color w:val="000000"/>
                <w:szCs w:val="21"/>
              </w:rPr>
            </w:pPr>
            <w:r>
              <w:rPr>
                <w:rFonts w:eastAsia="仿宋"/>
                <w:color w:val="000000"/>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2" w:type="dxa"/>
            <w:vAlign w:val="center"/>
          </w:tcPr>
          <w:p>
            <w:pPr>
              <w:snapToGrid w:val="0"/>
              <w:spacing w:line="500" w:lineRule="exact"/>
              <w:rPr>
                <w:rFonts w:eastAsia="仿宋"/>
                <w:color w:val="000000"/>
                <w:szCs w:val="21"/>
              </w:rPr>
            </w:pPr>
            <w:r>
              <w:rPr>
                <w:rFonts w:eastAsia="仿宋"/>
                <w:color w:val="000000"/>
                <w:szCs w:val="21"/>
              </w:rPr>
              <w:t>序号</w:t>
            </w:r>
          </w:p>
        </w:tc>
        <w:tc>
          <w:tcPr>
            <w:tcW w:w="1063" w:type="dxa"/>
            <w:vAlign w:val="center"/>
          </w:tcPr>
          <w:p>
            <w:pPr>
              <w:snapToGrid w:val="0"/>
              <w:spacing w:line="500" w:lineRule="exact"/>
              <w:rPr>
                <w:rFonts w:eastAsia="仿宋"/>
                <w:color w:val="000000"/>
                <w:szCs w:val="21"/>
              </w:rPr>
            </w:pPr>
            <w:r>
              <w:rPr>
                <w:rFonts w:eastAsia="仿宋"/>
                <w:color w:val="000000"/>
                <w:szCs w:val="21"/>
              </w:rPr>
              <w:t>项目名称</w:t>
            </w:r>
          </w:p>
        </w:tc>
        <w:tc>
          <w:tcPr>
            <w:tcW w:w="1064" w:type="dxa"/>
            <w:vAlign w:val="center"/>
          </w:tcPr>
          <w:p>
            <w:pPr>
              <w:snapToGrid w:val="0"/>
              <w:jc w:val="center"/>
              <w:rPr>
                <w:rFonts w:eastAsia="仿宋"/>
                <w:color w:val="000000"/>
                <w:szCs w:val="21"/>
              </w:rPr>
            </w:pPr>
            <w:r>
              <w:rPr>
                <w:rFonts w:eastAsia="仿宋"/>
                <w:color w:val="000000"/>
                <w:szCs w:val="21"/>
              </w:rPr>
              <w:t>合同签订时间（起-止）</w:t>
            </w:r>
          </w:p>
        </w:tc>
        <w:tc>
          <w:tcPr>
            <w:tcW w:w="1275" w:type="dxa"/>
            <w:vAlign w:val="center"/>
          </w:tcPr>
          <w:p>
            <w:pPr>
              <w:snapToGrid w:val="0"/>
              <w:spacing w:line="500" w:lineRule="exact"/>
              <w:rPr>
                <w:rFonts w:eastAsia="仿宋"/>
                <w:color w:val="000000"/>
                <w:szCs w:val="21"/>
              </w:rPr>
            </w:pPr>
            <w:r>
              <w:rPr>
                <w:rFonts w:eastAsia="仿宋"/>
                <w:color w:val="000000"/>
                <w:szCs w:val="21"/>
              </w:rPr>
              <w:t>项目金额</w:t>
            </w:r>
          </w:p>
        </w:tc>
        <w:tc>
          <w:tcPr>
            <w:tcW w:w="1701" w:type="dxa"/>
            <w:vAlign w:val="center"/>
          </w:tcPr>
          <w:p>
            <w:pPr>
              <w:snapToGrid w:val="0"/>
              <w:spacing w:line="500" w:lineRule="exact"/>
              <w:rPr>
                <w:rFonts w:eastAsia="仿宋"/>
                <w:color w:val="000000"/>
                <w:szCs w:val="21"/>
              </w:rPr>
            </w:pPr>
            <w:r>
              <w:rPr>
                <w:rFonts w:eastAsia="仿宋"/>
                <w:color w:val="000000"/>
                <w:szCs w:val="21"/>
              </w:rPr>
              <w:t>主要负责内容</w:t>
            </w:r>
          </w:p>
        </w:tc>
        <w:tc>
          <w:tcPr>
            <w:tcW w:w="1276" w:type="dxa"/>
            <w:vAlign w:val="center"/>
          </w:tcPr>
          <w:p>
            <w:pPr>
              <w:snapToGrid w:val="0"/>
              <w:spacing w:line="500" w:lineRule="exact"/>
              <w:rPr>
                <w:rFonts w:eastAsia="仿宋"/>
                <w:color w:val="000000"/>
                <w:szCs w:val="21"/>
              </w:rPr>
            </w:pPr>
            <w:r>
              <w:rPr>
                <w:rFonts w:eastAsia="仿宋"/>
                <w:color w:val="000000"/>
                <w:szCs w:val="21"/>
              </w:rPr>
              <w:t>客户名称</w:t>
            </w:r>
          </w:p>
        </w:tc>
        <w:tc>
          <w:tcPr>
            <w:tcW w:w="1314" w:type="dxa"/>
            <w:vAlign w:val="center"/>
          </w:tcPr>
          <w:p>
            <w:pPr>
              <w:snapToGrid w:val="0"/>
              <w:rPr>
                <w:rFonts w:eastAsia="仿宋"/>
                <w:color w:val="000000"/>
                <w:szCs w:val="21"/>
              </w:rPr>
            </w:pPr>
            <w:r>
              <w:rPr>
                <w:rFonts w:eastAsia="仿宋"/>
                <w:color w:val="000000"/>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bl>
    <w:p>
      <w:pPr>
        <w:tabs>
          <w:tab w:val="left" w:pos="-3119"/>
        </w:tabs>
        <w:snapToGrid w:val="0"/>
        <w:spacing w:line="500" w:lineRule="exact"/>
        <w:jc w:val="left"/>
        <w:rPr>
          <w:rFonts w:eastAsia="仿宋"/>
          <w:color w:val="000000"/>
          <w:szCs w:val="21"/>
        </w:rPr>
      </w:pPr>
      <w:r>
        <w:rPr>
          <w:rFonts w:eastAsia="仿宋"/>
          <w:color w:val="000000"/>
          <w:szCs w:val="21"/>
        </w:rPr>
        <w:t>注：（1）根据上表内容提供项目团队成员身份证复印件、劳务合同、社保证明等相关材料；</w:t>
      </w: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tabs>
          <w:tab w:val="left" w:pos="-3119"/>
        </w:tabs>
        <w:snapToGrid w:val="0"/>
        <w:spacing w:line="500" w:lineRule="exact"/>
        <w:ind w:firstLine="360" w:firstLineChars="150"/>
        <w:jc w:val="left"/>
        <w:rPr>
          <w:rFonts w:eastAsia="仿宋"/>
          <w:color w:val="000000"/>
        </w:rPr>
      </w:pPr>
    </w:p>
    <w:p>
      <w:pPr>
        <w:pStyle w:val="13"/>
        <w:snapToGrid w:val="0"/>
        <w:spacing w:line="500" w:lineRule="exact"/>
        <w:ind w:left="360" w:firstLine="0" w:firstLineChars="0"/>
        <w:jc w:val="center"/>
        <w:rPr>
          <w:rFonts w:eastAsia="仿宋"/>
          <w:b/>
          <w:sz w:val="30"/>
          <w:szCs w:val="30"/>
        </w:rPr>
        <w:sectPr>
          <w:pgSz w:w="11906" w:h="16838"/>
          <w:pgMar w:top="1134" w:right="850" w:bottom="1134" w:left="850" w:header="283" w:footer="283" w:gutter="0"/>
          <w:cols w:space="720" w:num="1"/>
          <w:docGrid w:type="lines" w:linePitch="339" w:charSpace="0"/>
        </w:sectPr>
      </w:pPr>
    </w:p>
    <w:p>
      <w:pPr>
        <w:pStyle w:val="13"/>
        <w:snapToGrid w:val="0"/>
        <w:spacing w:line="500" w:lineRule="exact"/>
        <w:ind w:left="360" w:firstLine="0" w:firstLineChars="0"/>
        <w:jc w:val="center"/>
        <w:rPr>
          <w:rFonts w:eastAsia="仿宋"/>
          <w:b/>
          <w:sz w:val="30"/>
          <w:szCs w:val="30"/>
        </w:rPr>
      </w:pPr>
      <w:r>
        <w:rPr>
          <w:rFonts w:eastAsia="仿宋"/>
          <w:b/>
          <w:sz w:val="30"/>
          <w:szCs w:val="30"/>
        </w:rPr>
        <w:t>4、远程服务支持人员</w:t>
      </w:r>
    </w:p>
    <w:tbl>
      <w:tblPr>
        <w:tblStyle w:val="6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3"/>
        <w:gridCol w:w="1064"/>
        <w:gridCol w:w="1275"/>
        <w:gridCol w:w="1701"/>
        <w:gridCol w:w="127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vAlign w:val="center"/>
          </w:tcPr>
          <w:p>
            <w:pPr>
              <w:snapToGrid w:val="0"/>
              <w:spacing w:line="500" w:lineRule="exact"/>
              <w:jc w:val="center"/>
              <w:rPr>
                <w:rFonts w:eastAsia="仿宋"/>
                <w:color w:val="000000"/>
              </w:rPr>
            </w:pPr>
            <w:r>
              <w:rPr>
                <w:rFonts w:eastAsia="仿宋"/>
                <w:color w:val="000000"/>
                <w:szCs w:val="21"/>
              </w:rPr>
              <w:t>远程支持服务人员简历表（一人一表）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姓名</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年龄</w:t>
            </w:r>
          </w:p>
        </w:tc>
        <w:tc>
          <w:tcPr>
            <w:tcW w:w="1701" w:type="dxa"/>
            <w:vAlign w:val="center"/>
          </w:tcPr>
          <w:p>
            <w:pPr>
              <w:snapToGrid w:val="0"/>
              <w:spacing w:line="500" w:lineRule="exact"/>
              <w:rPr>
                <w:rFonts w:eastAsia="仿宋"/>
                <w:color w:val="000000"/>
                <w:szCs w:val="21"/>
              </w:rPr>
            </w:pPr>
          </w:p>
        </w:tc>
        <w:tc>
          <w:tcPr>
            <w:tcW w:w="1276" w:type="dxa"/>
            <w:vMerge w:val="restart"/>
            <w:vAlign w:val="center"/>
          </w:tcPr>
          <w:p>
            <w:pPr>
              <w:snapToGrid w:val="0"/>
              <w:spacing w:line="500" w:lineRule="exact"/>
              <w:rPr>
                <w:rFonts w:eastAsia="仿宋"/>
                <w:color w:val="000000"/>
                <w:szCs w:val="21"/>
              </w:rPr>
            </w:pPr>
            <w:r>
              <w:rPr>
                <w:rFonts w:eastAsia="仿宋"/>
                <w:color w:val="000000"/>
                <w:szCs w:val="21"/>
              </w:rPr>
              <w:t>照片</w:t>
            </w:r>
          </w:p>
        </w:tc>
        <w:tc>
          <w:tcPr>
            <w:tcW w:w="1314" w:type="dxa"/>
            <w:vMerge w:val="restart"/>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手机号</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毕业</w:t>
            </w:r>
          </w:p>
          <w:p>
            <w:pPr>
              <w:snapToGrid w:val="0"/>
              <w:spacing w:line="500" w:lineRule="exact"/>
              <w:rPr>
                <w:rFonts w:eastAsia="仿宋"/>
                <w:color w:val="000000"/>
                <w:szCs w:val="21"/>
              </w:rPr>
            </w:pPr>
            <w:r>
              <w:rPr>
                <w:rFonts w:eastAsia="仿宋"/>
                <w:color w:val="000000"/>
                <w:szCs w:val="21"/>
              </w:rPr>
              <w:t>院校</w:t>
            </w:r>
          </w:p>
        </w:tc>
        <w:tc>
          <w:tcPr>
            <w:tcW w:w="1701" w:type="dxa"/>
            <w:vAlign w:val="center"/>
          </w:tcPr>
          <w:p>
            <w:pPr>
              <w:snapToGrid w:val="0"/>
              <w:spacing w:line="500" w:lineRule="exact"/>
              <w:rPr>
                <w:rFonts w:eastAsia="仿宋"/>
                <w:color w:val="000000"/>
                <w:szCs w:val="21"/>
              </w:rPr>
            </w:pPr>
          </w:p>
        </w:tc>
        <w:tc>
          <w:tcPr>
            <w:tcW w:w="1276" w:type="dxa"/>
            <w:vMerge w:val="continue"/>
            <w:vAlign w:val="center"/>
          </w:tcPr>
          <w:p>
            <w:pPr>
              <w:snapToGrid w:val="0"/>
              <w:spacing w:line="500" w:lineRule="exact"/>
              <w:rPr>
                <w:rFonts w:eastAsia="仿宋"/>
                <w:color w:val="000000"/>
                <w:szCs w:val="21"/>
              </w:rPr>
            </w:pPr>
          </w:p>
        </w:tc>
        <w:tc>
          <w:tcPr>
            <w:tcW w:w="1314" w:type="dxa"/>
            <w:vMerge w:val="continue"/>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专业</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学位</w:t>
            </w: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拟任职务</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工作年限</w:t>
            </w:r>
          </w:p>
        </w:tc>
        <w:tc>
          <w:tcPr>
            <w:tcW w:w="2127" w:type="dxa"/>
            <w:gridSpan w:val="2"/>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r>
              <w:rPr>
                <w:rFonts w:eastAsia="仿宋"/>
                <w:color w:val="000000"/>
                <w:szCs w:val="21"/>
              </w:rPr>
              <w:t>本公司工作年限</w:t>
            </w: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r>
              <w:rPr>
                <w:rFonts w:eastAsia="仿宋"/>
                <w:color w:val="000000"/>
                <w:szCs w:val="21"/>
              </w:rPr>
              <w:t>担任负责人年限</w:t>
            </w: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学习经历</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技术认证</w:t>
            </w:r>
          </w:p>
        </w:tc>
        <w:tc>
          <w:tcPr>
            <w:tcW w:w="7693" w:type="dxa"/>
            <w:gridSpan w:val="6"/>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r>
              <w:rPr>
                <w:rFonts w:eastAsia="仿宋"/>
                <w:color w:val="000000"/>
                <w:szCs w:val="21"/>
              </w:rPr>
              <w:t>技术能力</w:t>
            </w:r>
          </w:p>
        </w:tc>
        <w:tc>
          <w:tcPr>
            <w:tcW w:w="7693" w:type="dxa"/>
            <w:gridSpan w:val="6"/>
            <w:vAlign w:val="center"/>
          </w:tcPr>
          <w:p>
            <w:pPr>
              <w:snapToGrid w:val="0"/>
              <w:spacing w:line="500" w:lineRule="exact"/>
              <w:rPr>
                <w:rFonts w:eastAsia="仿宋"/>
                <w:color w:val="000000"/>
                <w:szCs w:val="21"/>
              </w:rPr>
            </w:pPr>
            <w:r>
              <w:rPr>
                <w:rFonts w:eastAsia="仿宋"/>
                <w:color w:val="000000"/>
                <w:szCs w:val="21"/>
              </w:rPr>
              <w:t>工作经历及技术能力描述</w:t>
            </w:r>
          </w:p>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vAlign w:val="center"/>
          </w:tcPr>
          <w:p>
            <w:pPr>
              <w:snapToGrid w:val="0"/>
              <w:spacing w:line="500" w:lineRule="exact"/>
              <w:jc w:val="center"/>
              <w:rPr>
                <w:rFonts w:eastAsia="仿宋"/>
                <w:color w:val="000000"/>
                <w:szCs w:val="21"/>
              </w:rPr>
            </w:pPr>
            <w:r>
              <w:rPr>
                <w:rFonts w:eastAsia="仿宋"/>
                <w:color w:val="000000"/>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2" w:type="dxa"/>
            <w:vAlign w:val="center"/>
          </w:tcPr>
          <w:p>
            <w:pPr>
              <w:snapToGrid w:val="0"/>
              <w:spacing w:line="500" w:lineRule="exact"/>
              <w:rPr>
                <w:rFonts w:eastAsia="仿宋"/>
                <w:color w:val="000000"/>
                <w:szCs w:val="21"/>
              </w:rPr>
            </w:pPr>
            <w:r>
              <w:rPr>
                <w:rFonts w:eastAsia="仿宋"/>
                <w:color w:val="000000"/>
                <w:szCs w:val="21"/>
              </w:rPr>
              <w:t>序号</w:t>
            </w:r>
          </w:p>
        </w:tc>
        <w:tc>
          <w:tcPr>
            <w:tcW w:w="1063" w:type="dxa"/>
            <w:vAlign w:val="center"/>
          </w:tcPr>
          <w:p>
            <w:pPr>
              <w:snapToGrid w:val="0"/>
              <w:spacing w:line="500" w:lineRule="exact"/>
              <w:rPr>
                <w:rFonts w:eastAsia="仿宋"/>
                <w:color w:val="000000"/>
                <w:szCs w:val="21"/>
              </w:rPr>
            </w:pPr>
            <w:r>
              <w:rPr>
                <w:rFonts w:eastAsia="仿宋"/>
                <w:color w:val="000000"/>
                <w:szCs w:val="21"/>
              </w:rPr>
              <w:t>项目名称</w:t>
            </w:r>
          </w:p>
        </w:tc>
        <w:tc>
          <w:tcPr>
            <w:tcW w:w="1064" w:type="dxa"/>
            <w:vAlign w:val="center"/>
          </w:tcPr>
          <w:p>
            <w:pPr>
              <w:snapToGrid w:val="0"/>
              <w:rPr>
                <w:rFonts w:eastAsia="仿宋"/>
                <w:color w:val="000000"/>
                <w:szCs w:val="21"/>
              </w:rPr>
            </w:pPr>
            <w:r>
              <w:rPr>
                <w:rFonts w:eastAsia="仿宋"/>
                <w:color w:val="000000"/>
                <w:szCs w:val="21"/>
              </w:rPr>
              <w:t>合同签订时间（起-止）</w:t>
            </w:r>
          </w:p>
        </w:tc>
        <w:tc>
          <w:tcPr>
            <w:tcW w:w="1275" w:type="dxa"/>
            <w:vAlign w:val="center"/>
          </w:tcPr>
          <w:p>
            <w:pPr>
              <w:snapToGrid w:val="0"/>
              <w:spacing w:line="500" w:lineRule="exact"/>
              <w:rPr>
                <w:rFonts w:eastAsia="仿宋"/>
                <w:color w:val="000000"/>
                <w:szCs w:val="21"/>
              </w:rPr>
            </w:pPr>
            <w:r>
              <w:rPr>
                <w:rFonts w:eastAsia="仿宋"/>
                <w:color w:val="000000"/>
                <w:szCs w:val="21"/>
              </w:rPr>
              <w:t>项目金额</w:t>
            </w:r>
          </w:p>
        </w:tc>
        <w:tc>
          <w:tcPr>
            <w:tcW w:w="1701" w:type="dxa"/>
            <w:vAlign w:val="center"/>
          </w:tcPr>
          <w:p>
            <w:pPr>
              <w:snapToGrid w:val="0"/>
              <w:spacing w:line="500" w:lineRule="exact"/>
              <w:rPr>
                <w:rFonts w:eastAsia="仿宋"/>
                <w:color w:val="000000"/>
                <w:szCs w:val="21"/>
              </w:rPr>
            </w:pPr>
            <w:r>
              <w:rPr>
                <w:rFonts w:eastAsia="仿宋"/>
                <w:color w:val="000000"/>
                <w:szCs w:val="21"/>
              </w:rPr>
              <w:t>项目主要内容</w:t>
            </w:r>
          </w:p>
        </w:tc>
        <w:tc>
          <w:tcPr>
            <w:tcW w:w="1276" w:type="dxa"/>
            <w:vAlign w:val="center"/>
          </w:tcPr>
          <w:p>
            <w:pPr>
              <w:snapToGrid w:val="0"/>
              <w:spacing w:line="500" w:lineRule="exact"/>
              <w:rPr>
                <w:rFonts w:eastAsia="仿宋"/>
                <w:color w:val="000000"/>
                <w:szCs w:val="21"/>
              </w:rPr>
            </w:pPr>
            <w:r>
              <w:rPr>
                <w:rFonts w:eastAsia="仿宋"/>
                <w:color w:val="000000"/>
                <w:szCs w:val="21"/>
              </w:rPr>
              <w:t>客户名称</w:t>
            </w:r>
          </w:p>
        </w:tc>
        <w:tc>
          <w:tcPr>
            <w:tcW w:w="1314" w:type="dxa"/>
            <w:vAlign w:val="center"/>
          </w:tcPr>
          <w:p>
            <w:pPr>
              <w:snapToGrid w:val="0"/>
              <w:rPr>
                <w:rFonts w:eastAsia="仿宋"/>
                <w:color w:val="000000"/>
                <w:szCs w:val="21"/>
              </w:rPr>
            </w:pPr>
            <w:r>
              <w:rPr>
                <w:rFonts w:eastAsia="仿宋"/>
                <w:color w:val="000000"/>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500" w:lineRule="exact"/>
              <w:rPr>
                <w:rFonts w:eastAsia="仿宋"/>
                <w:color w:val="000000"/>
                <w:szCs w:val="21"/>
              </w:rPr>
            </w:pPr>
          </w:p>
        </w:tc>
        <w:tc>
          <w:tcPr>
            <w:tcW w:w="1063" w:type="dxa"/>
            <w:vAlign w:val="center"/>
          </w:tcPr>
          <w:p>
            <w:pPr>
              <w:snapToGrid w:val="0"/>
              <w:spacing w:line="500" w:lineRule="exact"/>
              <w:rPr>
                <w:rFonts w:eastAsia="仿宋"/>
                <w:color w:val="000000"/>
                <w:szCs w:val="21"/>
              </w:rPr>
            </w:pPr>
          </w:p>
        </w:tc>
        <w:tc>
          <w:tcPr>
            <w:tcW w:w="1064" w:type="dxa"/>
            <w:vAlign w:val="center"/>
          </w:tcPr>
          <w:p>
            <w:pPr>
              <w:snapToGrid w:val="0"/>
              <w:spacing w:line="500" w:lineRule="exact"/>
              <w:rPr>
                <w:rFonts w:eastAsia="仿宋"/>
                <w:color w:val="000000"/>
                <w:szCs w:val="21"/>
              </w:rPr>
            </w:pPr>
          </w:p>
        </w:tc>
        <w:tc>
          <w:tcPr>
            <w:tcW w:w="1275" w:type="dxa"/>
            <w:vAlign w:val="center"/>
          </w:tcPr>
          <w:p>
            <w:pPr>
              <w:snapToGrid w:val="0"/>
              <w:spacing w:line="500" w:lineRule="exact"/>
              <w:rPr>
                <w:rFonts w:eastAsia="仿宋"/>
                <w:color w:val="000000"/>
                <w:szCs w:val="21"/>
              </w:rPr>
            </w:pPr>
          </w:p>
        </w:tc>
        <w:tc>
          <w:tcPr>
            <w:tcW w:w="1701" w:type="dxa"/>
            <w:vAlign w:val="center"/>
          </w:tcPr>
          <w:p>
            <w:pPr>
              <w:snapToGrid w:val="0"/>
              <w:spacing w:line="500" w:lineRule="exact"/>
              <w:rPr>
                <w:rFonts w:eastAsia="仿宋"/>
                <w:color w:val="000000"/>
                <w:szCs w:val="21"/>
              </w:rPr>
            </w:pPr>
          </w:p>
        </w:tc>
        <w:tc>
          <w:tcPr>
            <w:tcW w:w="1276" w:type="dxa"/>
            <w:vAlign w:val="center"/>
          </w:tcPr>
          <w:p>
            <w:pPr>
              <w:snapToGrid w:val="0"/>
              <w:spacing w:line="500" w:lineRule="exact"/>
              <w:rPr>
                <w:rFonts w:eastAsia="仿宋"/>
                <w:color w:val="000000"/>
                <w:szCs w:val="21"/>
              </w:rPr>
            </w:pPr>
          </w:p>
        </w:tc>
        <w:tc>
          <w:tcPr>
            <w:tcW w:w="1314" w:type="dxa"/>
            <w:vAlign w:val="center"/>
          </w:tcPr>
          <w:p>
            <w:pPr>
              <w:snapToGrid w:val="0"/>
              <w:spacing w:line="500" w:lineRule="exact"/>
              <w:rPr>
                <w:rFonts w:eastAsia="仿宋"/>
                <w:color w:val="000000"/>
                <w:szCs w:val="21"/>
              </w:rPr>
            </w:pPr>
          </w:p>
        </w:tc>
      </w:tr>
    </w:tbl>
    <w:p>
      <w:pPr>
        <w:pStyle w:val="13"/>
        <w:snapToGrid w:val="0"/>
        <w:spacing w:line="500" w:lineRule="exact"/>
        <w:ind w:left="360" w:firstLine="0" w:firstLineChars="0"/>
        <w:rPr>
          <w:rFonts w:eastAsia="仿宋"/>
          <w:b/>
          <w:sz w:val="30"/>
          <w:szCs w:val="30"/>
        </w:rPr>
      </w:pPr>
    </w:p>
    <w:p>
      <w:pPr>
        <w:pStyle w:val="13"/>
        <w:snapToGrid w:val="0"/>
        <w:spacing w:line="500" w:lineRule="exact"/>
        <w:ind w:left="360" w:firstLine="0" w:firstLineChars="0"/>
        <w:rPr>
          <w:rFonts w:eastAsia="仿宋"/>
          <w:b/>
          <w:sz w:val="30"/>
          <w:szCs w:val="30"/>
        </w:rPr>
      </w:pPr>
    </w:p>
    <w:p>
      <w:pPr>
        <w:tabs>
          <w:tab w:val="left" w:pos="-3119"/>
        </w:tabs>
        <w:snapToGrid w:val="0"/>
        <w:spacing w:line="500" w:lineRule="exact"/>
        <w:jc w:val="left"/>
        <w:rPr>
          <w:rFonts w:eastAsia="仿宋"/>
          <w:color w:val="000000"/>
        </w:rPr>
      </w:pPr>
    </w:p>
    <w:p>
      <w:pPr>
        <w:tabs>
          <w:tab w:val="left" w:pos="-3119"/>
        </w:tabs>
        <w:snapToGrid w:val="0"/>
        <w:spacing w:line="500" w:lineRule="exact"/>
        <w:jc w:val="left"/>
        <w:rPr>
          <w:rFonts w:eastAsia="仿宋"/>
          <w:color w:val="000000"/>
        </w:rPr>
      </w:pPr>
    </w:p>
    <w:p>
      <w:pPr>
        <w:tabs>
          <w:tab w:val="left" w:pos="-3119"/>
        </w:tabs>
        <w:snapToGrid w:val="0"/>
        <w:spacing w:line="500" w:lineRule="exact"/>
        <w:jc w:val="left"/>
        <w:rPr>
          <w:rFonts w:eastAsia="仿宋"/>
          <w:color w:val="000000"/>
        </w:rPr>
      </w:pPr>
    </w:p>
    <w:p>
      <w:pPr>
        <w:tabs>
          <w:tab w:val="left" w:pos="-3119"/>
        </w:tabs>
        <w:snapToGrid w:val="0"/>
        <w:spacing w:line="500" w:lineRule="exact"/>
        <w:jc w:val="left"/>
        <w:rPr>
          <w:rFonts w:eastAsia="仿宋"/>
          <w:color w:val="000000"/>
        </w:rPr>
      </w:pPr>
    </w:p>
    <w:p>
      <w:pPr>
        <w:tabs>
          <w:tab w:val="left" w:pos="-3119"/>
        </w:tabs>
        <w:snapToGrid w:val="0"/>
        <w:spacing w:line="500" w:lineRule="exact"/>
        <w:jc w:val="left"/>
        <w:rPr>
          <w:rFonts w:eastAsia="仿宋"/>
        </w:rPr>
      </w:pPr>
    </w:p>
    <w:p>
      <w:pPr>
        <w:pStyle w:val="65"/>
        <w:tabs>
          <w:tab w:val="left" w:pos="630"/>
        </w:tabs>
        <w:ind w:firstLine="210"/>
      </w:pPr>
    </w:p>
    <w:p>
      <w:pPr>
        <w:tabs>
          <w:tab w:val="left" w:pos="-3119"/>
        </w:tabs>
        <w:snapToGrid w:val="0"/>
        <w:spacing w:line="500" w:lineRule="exact"/>
        <w:jc w:val="left"/>
        <w:rPr>
          <w:rFonts w:eastAsia="仿宋"/>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211" w:name="_Toc20640"/>
      <w:bookmarkStart w:id="212" w:name="_Toc25977"/>
      <w:bookmarkStart w:id="213" w:name="_Toc99785593"/>
      <w:bookmarkStart w:id="214" w:name="_Toc24190"/>
      <w:r>
        <w:rPr>
          <w:rFonts w:ascii="Times New Roman" w:hAnsi="Times New Roman" w:eastAsia="仿宋"/>
          <w:sz w:val="24"/>
          <w:szCs w:val="24"/>
        </w:rPr>
        <w:t>（十）项目实施方案</w:t>
      </w:r>
      <w:bookmarkEnd w:id="211"/>
      <w:bookmarkEnd w:id="212"/>
      <w:bookmarkEnd w:id="213"/>
      <w:bookmarkEnd w:id="214"/>
    </w:p>
    <w:p>
      <w:pPr>
        <w:snapToGrid w:val="0"/>
        <w:spacing w:line="500" w:lineRule="exact"/>
        <w:ind w:firstLine="435"/>
        <w:rPr>
          <w:rFonts w:eastAsia="仿宋"/>
        </w:rPr>
      </w:pPr>
      <w:r>
        <w:rPr>
          <w:rFonts w:eastAsia="仿宋"/>
        </w:rPr>
        <w:t>投标人根据自身情况及项目特点提供项目整体实施计划及方案，方案内容应符合招标文件要求内容，照抄招标文件内容不得分。（格式自拟）</w:t>
      </w:r>
    </w:p>
    <w:p>
      <w:pPr>
        <w:snapToGrid w:val="0"/>
        <w:spacing w:line="500" w:lineRule="exact"/>
        <w:ind w:firstLine="435"/>
        <w:rPr>
          <w:rFonts w:eastAsia="仿宋"/>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215" w:name="_Toc20880"/>
      <w:bookmarkStart w:id="216" w:name="_Toc99785594"/>
      <w:bookmarkStart w:id="217" w:name="_Toc6458"/>
      <w:bookmarkStart w:id="218" w:name="_Toc25671"/>
      <w:r>
        <w:rPr>
          <w:rFonts w:ascii="Times New Roman" w:hAnsi="Times New Roman" w:eastAsia="仿宋"/>
          <w:sz w:val="24"/>
          <w:szCs w:val="24"/>
        </w:rPr>
        <w:t>（十一）技术方案</w:t>
      </w:r>
      <w:bookmarkEnd w:id="215"/>
      <w:bookmarkEnd w:id="216"/>
      <w:bookmarkEnd w:id="217"/>
      <w:bookmarkEnd w:id="218"/>
    </w:p>
    <w:p>
      <w:pPr>
        <w:rPr>
          <w:rFonts w:eastAsia="仿宋"/>
        </w:rPr>
      </w:pPr>
      <w:r>
        <w:rPr>
          <w:rFonts w:eastAsia="仿宋"/>
        </w:rPr>
        <w:t>投标人根据自身实际情况结合招标文件要求提供的项目规划方案。（格式自拟）</w:t>
      </w:r>
    </w:p>
    <w:p>
      <w:pPr>
        <w:snapToGrid w:val="0"/>
        <w:spacing w:line="500" w:lineRule="exact"/>
        <w:rPr>
          <w:rFonts w:eastAsia="仿宋"/>
        </w:rPr>
      </w:pPr>
    </w:p>
    <w:p>
      <w:pPr>
        <w:snapToGrid w:val="0"/>
        <w:spacing w:line="500" w:lineRule="exact"/>
        <w:rPr>
          <w:rFonts w:eastAsia="仿宋"/>
        </w:rPr>
      </w:pPr>
    </w:p>
    <w:p>
      <w:pPr>
        <w:pStyle w:val="5"/>
        <w:numPr>
          <w:ilvl w:val="0"/>
          <w:numId w:val="0"/>
        </w:numPr>
        <w:snapToGrid w:val="0"/>
        <w:spacing w:before="0" w:after="0" w:line="500" w:lineRule="exact"/>
        <w:jc w:val="center"/>
        <w:rPr>
          <w:rFonts w:ascii="Times New Roman" w:hAnsi="Times New Roman" w:eastAsia="仿宋"/>
          <w:sz w:val="24"/>
          <w:szCs w:val="24"/>
        </w:rPr>
      </w:pPr>
      <w:bookmarkStart w:id="219" w:name="_Toc28491"/>
      <w:bookmarkStart w:id="220" w:name="_Toc12579"/>
      <w:bookmarkStart w:id="221" w:name="_Toc99785595"/>
      <w:bookmarkStart w:id="222" w:name="_Toc19296"/>
      <w:r>
        <w:rPr>
          <w:rFonts w:ascii="Times New Roman" w:hAnsi="Times New Roman" w:eastAsia="仿宋"/>
          <w:sz w:val="24"/>
          <w:szCs w:val="24"/>
        </w:rPr>
        <w:t>（十二）企业缴税及财务情况</w:t>
      </w:r>
      <w:bookmarkEnd w:id="219"/>
      <w:bookmarkEnd w:id="220"/>
      <w:bookmarkEnd w:id="221"/>
      <w:bookmarkEnd w:id="222"/>
    </w:p>
    <w:p>
      <w:pPr>
        <w:snapToGrid w:val="0"/>
        <w:spacing w:line="500" w:lineRule="exact"/>
        <w:ind w:firstLine="480" w:firstLineChars="200"/>
        <w:rPr>
          <w:rFonts w:eastAsia="仿宋"/>
        </w:rPr>
      </w:pPr>
      <w:r>
        <w:rPr>
          <w:rFonts w:eastAsia="仿宋"/>
        </w:rPr>
        <w:t>1、提供近</w:t>
      </w:r>
      <w:r>
        <w:rPr>
          <w:rFonts w:hint="eastAsia" w:eastAsia="仿宋"/>
          <w:lang w:val="en-US" w:eastAsia="zh-CN"/>
        </w:rPr>
        <w:t>两</w:t>
      </w:r>
      <w:r>
        <w:rPr>
          <w:rFonts w:eastAsia="仿宋"/>
        </w:rPr>
        <w:t>年（20</w:t>
      </w:r>
      <w:r>
        <w:rPr>
          <w:rFonts w:hint="eastAsia" w:eastAsia="仿宋"/>
        </w:rPr>
        <w:t>20</w:t>
      </w:r>
      <w:r>
        <w:rPr>
          <w:rFonts w:eastAsia="仿宋"/>
        </w:rPr>
        <w:t xml:space="preserve">年至今）依法缴纳完税证明复印件加盖公章； </w:t>
      </w:r>
    </w:p>
    <w:p>
      <w:pPr>
        <w:snapToGrid w:val="0"/>
        <w:spacing w:line="500" w:lineRule="exact"/>
        <w:ind w:firstLine="480" w:firstLineChars="200"/>
        <w:rPr>
          <w:rFonts w:eastAsia="仿宋"/>
        </w:rPr>
      </w:pPr>
      <w:r>
        <w:rPr>
          <w:rFonts w:eastAsia="仿宋"/>
        </w:rPr>
        <w:t>2、提供近</w:t>
      </w:r>
      <w:r>
        <w:rPr>
          <w:rFonts w:hint="eastAsia" w:eastAsia="仿宋"/>
          <w:lang w:val="en-US" w:eastAsia="zh-CN"/>
        </w:rPr>
        <w:t>两</w:t>
      </w:r>
      <w:r>
        <w:rPr>
          <w:rFonts w:eastAsia="仿宋"/>
        </w:rPr>
        <w:t>年（20</w:t>
      </w:r>
      <w:r>
        <w:rPr>
          <w:rFonts w:hint="eastAsia" w:eastAsia="仿宋"/>
          <w:lang w:val="en-US" w:eastAsia="zh-CN"/>
        </w:rPr>
        <w:t>20</w:t>
      </w:r>
      <w:r>
        <w:rPr>
          <w:rFonts w:eastAsia="仿宋"/>
        </w:rPr>
        <w:t>年至今）财务审计报告复印件加盖公章</w:t>
      </w:r>
      <w:r>
        <w:rPr>
          <w:rFonts w:hint="eastAsia" w:eastAsia="仿宋"/>
        </w:rPr>
        <w:t>（成立不满一年的公司不需要提供）</w:t>
      </w:r>
      <w:r>
        <w:rPr>
          <w:rFonts w:eastAsia="仿宋"/>
        </w:rPr>
        <w:t xml:space="preserve">。   </w:t>
      </w:r>
    </w:p>
    <w:p>
      <w:pPr>
        <w:snapToGrid w:val="0"/>
        <w:spacing w:line="500" w:lineRule="exact"/>
        <w:ind w:firstLine="480" w:firstLineChars="200"/>
        <w:rPr>
          <w:rFonts w:eastAsia="仿宋"/>
        </w:rPr>
      </w:pPr>
      <w:r>
        <w:rPr>
          <w:rFonts w:eastAsia="仿宋"/>
        </w:rPr>
        <w:t>所有复印件均加盖公章（格式自拟）</w:t>
      </w: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snapToGrid w:val="0"/>
        <w:spacing w:line="500" w:lineRule="exact"/>
        <w:rPr>
          <w:rFonts w:eastAsia="仿宋"/>
        </w:rPr>
      </w:pPr>
    </w:p>
    <w:p>
      <w:pPr>
        <w:pStyle w:val="5"/>
        <w:snapToGrid w:val="0"/>
        <w:spacing w:before="0" w:after="0" w:line="500" w:lineRule="exact"/>
        <w:jc w:val="center"/>
        <w:rPr>
          <w:rFonts w:ascii="Times New Roman" w:hAnsi="Times New Roman" w:eastAsia="仿宋"/>
          <w:color w:val="000000"/>
          <w:sz w:val="24"/>
          <w:szCs w:val="24"/>
        </w:rPr>
        <w:sectPr>
          <w:pgSz w:w="11906" w:h="16838"/>
          <w:pgMar w:top="1134" w:right="850" w:bottom="1134" w:left="850" w:header="283" w:footer="283" w:gutter="0"/>
          <w:cols w:space="720" w:num="1"/>
          <w:docGrid w:type="lines" w:linePitch="339" w:charSpace="0"/>
        </w:sectPr>
      </w:pPr>
      <w:bookmarkStart w:id="223" w:name="_Toc6090"/>
    </w:p>
    <w:p>
      <w:pPr>
        <w:pStyle w:val="5"/>
        <w:numPr>
          <w:ilvl w:val="0"/>
          <w:numId w:val="0"/>
        </w:numPr>
        <w:snapToGrid w:val="0"/>
        <w:spacing w:before="0" w:after="0" w:line="500" w:lineRule="exact"/>
        <w:jc w:val="center"/>
        <w:rPr>
          <w:rFonts w:ascii="Times New Roman" w:hAnsi="Times New Roman" w:eastAsia="仿宋"/>
          <w:color w:val="FF0000"/>
          <w:sz w:val="24"/>
          <w:szCs w:val="24"/>
        </w:rPr>
      </w:pPr>
      <w:bookmarkStart w:id="224" w:name="_Toc28150"/>
      <w:bookmarkStart w:id="225" w:name="_Toc11977"/>
      <w:bookmarkStart w:id="226" w:name="_Toc99785596"/>
      <w:r>
        <w:rPr>
          <w:rFonts w:ascii="Times New Roman" w:hAnsi="Times New Roman" w:eastAsia="仿宋"/>
          <w:color w:val="000000"/>
          <w:sz w:val="24"/>
          <w:szCs w:val="24"/>
        </w:rPr>
        <w:t>（十三）项目验收承诺</w:t>
      </w:r>
      <w:bookmarkEnd w:id="223"/>
      <w:bookmarkEnd w:id="224"/>
      <w:bookmarkEnd w:id="225"/>
      <w:bookmarkEnd w:id="226"/>
    </w:p>
    <w:p>
      <w:pPr>
        <w:snapToGrid w:val="0"/>
        <w:spacing w:line="500" w:lineRule="exact"/>
        <w:rPr>
          <w:rFonts w:eastAsia="仿宋"/>
        </w:rPr>
      </w:pPr>
      <w:r>
        <w:rPr>
          <w:rFonts w:eastAsia="仿宋"/>
        </w:rPr>
        <w:t>致：（招标人）</w:t>
      </w:r>
    </w:p>
    <w:p>
      <w:pPr>
        <w:snapToGrid w:val="0"/>
        <w:spacing w:line="500" w:lineRule="exact"/>
        <w:ind w:firstLine="480" w:firstLineChars="200"/>
        <w:rPr>
          <w:rFonts w:eastAsia="仿宋"/>
        </w:rPr>
      </w:pPr>
      <w:r>
        <w:rPr>
          <w:rFonts w:eastAsia="仿宋"/>
          <w:u w:val="single"/>
        </w:rPr>
        <w:t xml:space="preserve">        </w:t>
      </w:r>
      <w:r>
        <w:rPr>
          <w:rFonts w:eastAsia="仿宋"/>
        </w:rPr>
        <w:t>（投标人名称）</w:t>
      </w:r>
      <w:r>
        <w:rPr>
          <w:rFonts w:eastAsia="仿宋"/>
          <w:u w:val="single"/>
        </w:rPr>
        <w:t xml:space="preserve">       </w:t>
      </w:r>
      <w:r>
        <w:rPr>
          <w:rFonts w:eastAsia="仿宋"/>
        </w:rPr>
        <w:t>参加贵方组织的</w:t>
      </w:r>
      <w:r>
        <w:rPr>
          <w:rFonts w:eastAsia="仿宋"/>
          <w:u w:val="single"/>
        </w:rPr>
        <w:t xml:space="preserve">        </w:t>
      </w:r>
      <w:r>
        <w:rPr>
          <w:rFonts w:eastAsia="仿宋"/>
        </w:rPr>
        <w:t>项目（招标项目名称）（编号为</w:t>
      </w:r>
      <w:r>
        <w:rPr>
          <w:rFonts w:eastAsia="仿宋"/>
          <w:u w:val="single"/>
        </w:rPr>
        <w:t xml:space="preserve">         </w:t>
      </w:r>
      <w:r>
        <w:rPr>
          <w:rFonts w:eastAsia="仿宋"/>
        </w:rPr>
        <w:t>）的投标，如我单位中标，我方就本次项目验收服务承诺如下：</w:t>
      </w:r>
    </w:p>
    <w:p>
      <w:pPr>
        <w:widowControl/>
        <w:snapToGrid w:val="0"/>
        <w:spacing w:line="500" w:lineRule="exact"/>
        <w:ind w:firstLine="420"/>
        <w:jc w:val="left"/>
        <w:rPr>
          <w:rFonts w:eastAsia="仿宋"/>
          <w:spacing w:val="-2"/>
        </w:rPr>
      </w:pPr>
      <w:r>
        <w:rPr>
          <w:rFonts w:eastAsia="仿宋"/>
          <w:spacing w:val="-2"/>
        </w:rPr>
        <w:t>1、项目结束后</w:t>
      </w:r>
      <w:r>
        <w:rPr>
          <w:rFonts w:eastAsia="仿宋"/>
          <w:spacing w:val="-2"/>
          <w:u w:val="single"/>
        </w:rPr>
        <w:t xml:space="preserve">    </w:t>
      </w:r>
      <w:r>
        <w:rPr>
          <w:rFonts w:eastAsia="仿宋"/>
          <w:spacing w:val="-2"/>
        </w:rPr>
        <w:t>个工作日内开始进行验收。验收按照招标人关于验收标准的约定进行。我方承诺在验收前做好验收的必要准备并向贵单位提交验收申请书，</w:t>
      </w:r>
      <w:r>
        <w:rPr>
          <w:rStyle w:val="241"/>
          <w:rFonts w:ascii="Times New Roman" w:hAnsi="Times New Roman" w:eastAsia="仿宋" w:cs="Times New Roman"/>
          <w:sz w:val="24"/>
          <w:szCs w:val="24"/>
        </w:rPr>
        <w:t>按照贵单位的验收流程完成验收</w:t>
      </w:r>
      <w:r>
        <w:rPr>
          <w:rFonts w:eastAsia="仿宋"/>
          <w:spacing w:val="-2"/>
        </w:rPr>
        <w:t>。</w:t>
      </w:r>
    </w:p>
    <w:p>
      <w:pPr>
        <w:widowControl/>
        <w:snapToGrid w:val="0"/>
        <w:spacing w:line="500" w:lineRule="exact"/>
        <w:ind w:firstLine="420"/>
        <w:jc w:val="left"/>
        <w:rPr>
          <w:rFonts w:eastAsia="仿宋"/>
          <w:spacing w:val="-2"/>
        </w:rPr>
      </w:pPr>
      <w:r>
        <w:rPr>
          <w:rFonts w:eastAsia="仿宋"/>
          <w:spacing w:val="-2"/>
        </w:rPr>
        <w:t>2、我方承诺按照贵单位要求提供符合贵单位要求的交付物。</w:t>
      </w:r>
    </w:p>
    <w:p>
      <w:pPr>
        <w:widowControl/>
        <w:snapToGrid w:val="0"/>
        <w:spacing w:line="500" w:lineRule="exact"/>
        <w:ind w:firstLine="420"/>
        <w:jc w:val="left"/>
        <w:rPr>
          <w:rFonts w:eastAsia="仿宋"/>
          <w:spacing w:val="-2"/>
        </w:rPr>
      </w:pPr>
      <w:r>
        <w:rPr>
          <w:rFonts w:eastAsia="仿宋"/>
          <w:spacing w:val="-2"/>
        </w:rPr>
        <w:t>3、我方承诺各阶段交付的文档应包括工作过程中产生的文档、工作成果、分析报告（如有）以及与项目有关的其他重要文件。文档同时以电子和纸质形式交付，文档内容完整详实、数据准确、论证充分，且结论明确。</w:t>
      </w:r>
    </w:p>
    <w:p>
      <w:pPr>
        <w:snapToGrid w:val="0"/>
        <w:spacing w:line="500" w:lineRule="exact"/>
        <w:ind w:firstLine="556" w:firstLineChars="236"/>
        <w:rPr>
          <w:rFonts w:eastAsia="仿宋"/>
          <w:spacing w:val="-2"/>
        </w:rPr>
      </w:pPr>
    </w:p>
    <w:p>
      <w:pPr>
        <w:snapToGrid w:val="0"/>
        <w:spacing w:line="500" w:lineRule="exact"/>
        <w:ind w:firstLine="556" w:firstLineChars="236"/>
        <w:rPr>
          <w:rFonts w:eastAsia="仿宋"/>
          <w:spacing w:val="-2"/>
        </w:rPr>
      </w:pPr>
    </w:p>
    <w:p>
      <w:pPr>
        <w:snapToGrid w:val="0"/>
        <w:spacing w:line="500" w:lineRule="exact"/>
        <w:ind w:firstLine="556" w:firstLineChars="236"/>
        <w:rPr>
          <w:rFonts w:eastAsia="仿宋"/>
          <w:spacing w:val="-2"/>
        </w:rPr>
      </w:pPr>
    </w:p>
    <w:p>
      <w:pPr>
        <w:snapToGrid w:val="0"/>
        <w:spacing w:line="500" w:lineRule="exact"/>
        <w:ind w:firstLine="566" w:firstLineChars="236"/>
        <w:rPr>
          <w:rFonts w:eastAsia="仿宋"/>
        </w:rPr>
      </w:pPr>
    </w:p>
    <w:p>
      <w:pPr>
        <w:snapToGrid w:val="0"/>
        <w:spacing w:line="500" w:lineRule="exact"/>
        <w:ind w:firstLine="5103"/>
        <w:rPr>
          <w:rFonts w:eastAsia="仿宋"/>
        </w:rPr>
      </w:pPr>
      <w:r>
        <w:rPr>
          <w:rFonts w:eastAsia="仿宋"/>
        </w:rPr>
        <w:t>投标人名称（公章）：</w:t>
      </w:r>
    </w:p>
    <w:p>
      <w:pPr>
        <w:snapToGrid w:val="0"/>
        <w:spacing w:line="500" w:lineRule="exact"/>
        <w:ind w:firstLine="5103"/>
        <w:rPr>
          <w:rFonts w:eastAsia="仿宋"/>
        </w:rPr>
      </w:pPr>
      <w:r>
        <w:rPr>
          <w:rFonts w:eastAsia="仿宋"/>
        </w:rPr>
        <w:t>法定代表人或授权代理人(签字)：</w:t>
      </w:r>
    </w:p>
    <w:p>
      <w:pPr>
        <w:snapToGrid w:val="0"/>
        <w:spacing w:line="500" w:lineRule="exact"/>
        <w:ind w:firstLine="5040" w:firstLineChars="2100"/>
        <w:rPr>
          <w:rFonts w:eastAsia="仿宋"/>
        </w:rPr>
      </w:pPr>
      <w:r>
        <w:rPr>
          <w:rFonts w:eastAsia="仿宋"/>
        </w:rPr>
        <w:t>日期：</w:t>
      </w: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snapToGrid w:val="0"/>
        <w:spacing w:line="500" w:lineRule="exact"/>
        <w:ind w:firstLine="360" w:firstLineChars="150"/>
        <w:rPr>
          <w:rFonts w:eastAsia="仿宋"/>
        </w:rPr>
      </w:pPr>
    </w:p>
    <w:p>
      <w:pPr>
        <w:pStyle w:val="5"/>
        <w:snapToGrid w:val="0"/>
        <w:spacing w:before="0" w:after="0" w:line="500" w:lineRule="exact"/>
        <w:jc w:val="center"/>
        <w:rPr>
          <w:rFonts w:ascii="Times New Roman" w:hAnsi="Times New Roman" w:eastAsia="仿宋"/>
          <w:color w:val="000000"/>
          <w:sz w:val="24"/>
          <w:szCs w:val="24"/>
        </w:rPr>
        <w:sectPr>
          <w:pgSz w:w="11906" w:h="16838"/>
          <w:pgMar w:top="1134" w:right="850" w:bottom="1134" w:left="850" w:header="283" w:footer="283" w:gutter="0"/>
          <w:cols w:space="720" w:num="1"/>
          <w:docGrid w:type="lines" w:linePitch="339" w:charSpace="0"/>
        </w:sectPr>
      </w:pPr>
      <w:bookmarkStart w:id="227" w:name="_Toc3602"/>
    </w:p>
    <w:p>
      <w:pPr>
        <w:pStyle w:val="5"/>
        <w:numPr>
          <w:ilvl w:val="0"/>
          <w:numId w:val="0"/>
        </w:numPr>
        <w:snapToGrid w:val="0"/>
        <w:spacing w:before="0" w:after="0" w:line="500" w:lineRule="exact"/>
        <w:jc w:val="center"/>
        <w:rPr>
          <w:rFonts w:ascii="Times New Roman" w:hAnsi="Times New Roman" w:eastAsia="仿宋"/>
          <w:color w:val="000000"/>
          <w:sz w:val="24"/>
          <w:szCs w:val="24"/>
        </w:rPr>
      </w:pPr>
      <w:bookmarkStart w:id="228" w:name="_Toc99785597"/>
      <w:bookmarkStart w:id="229" w:name="_Toc10799"/>
      <w:bookmarkStart w:id="230" w:name="_Toc28587"/>
      <w:r>
        <w:rPr>
          <w:rFonts w:ascii="Times New Roman" w:hAnsi="Times New Roman" w:eastAsia="仿宋"/>
          <w:color w:val="000000"/>
          <w:sz w:val="24"/>
          <w:szCs w:val="24"/>
        </w:rPr>
        <w:t>（十四）售后服务与增值服务承诺</w:t>
      </w:r>
      <w:bookmarkEnd w:id="227"/>
      <w:bookmarkEnd w:id="228"/>
      <w:bookmarkEnd w:id="229"/>
      <w:bookmarkEnd w:id="230"/>
    </w:p>
    <w:p>
      <w:pPr>
        <w:snapToGrid w:val="0"/>
        <w:spacing w:line="500" w:lineRule="exact"/>
        <w:ind w:firstLine="566" w:firstLineChars="236"/>
        <w:rPr>
          <w:rFonts w:eastAsia="仿宋"/>
          <w:u w:val="single"/>
        </w:rPr>
      </w:pPr>
    </w:p>
    <w:p>
      <w:pPr>
        <w:snapToGrid w:val="0"/>
        <w:spacing w:line="500" w:lineRule="exact"/>
        <w:rPr>
          <w:rFonts w:eastAsia="仿宋"/>
        </w:rPr>
      </w:pPr>
      <w:r>
        <w:rPr>
          <w:rFonts w:eastAsia="仿宋"/>
        </w:rPr>
        <w:t>致：（招标人）</w:t>
      </w:r>
    </w:p>
    <w:p>
      <w:pPr>
        <w:snapToGrid w:val="0"/>
        <w:spacing w:line="500" w:lineRule="exact"/>
        <w:ind w:firstLine="566" w:firstLineChars="236"/>
        <w:rPr>
          <w:rFonts w:eastAsia="仿宋"/>
        </w:rPr>
      </w:pPr>
      <w:r>
        <w:rPr>
          <w:rFonts w:eastAsia="仿宋"/>
          <w:u w:val="single"/>
        </w:rPr>
        <w:t xml:space="preserve">        </w:t>
      </w:r>
      <w:r>
        <w:rPr>
          <w:rFonts w:eastAsia="仿宋"/>
        </w:rPr>
        <w:t>（投标人名称）</w:t>
      </w:r>
      <w:r>
        <w:rPr>
          <w:rFonts w:eastAsia="仿宋"/>
          <w:u w:val="single"/>
        </w:rPr>
        <w:t xml:space="preserve">       </w:t>
      </w:r>
      <w:r>
        <w:rPr>
          <w:rFonts w:eastAsia="仿宋"/>
        </w:rPr>
        <w:t>参加贵方组织的</w:t>
      </w:r>
      <w:r>
        <w:rPr>
          <w:rFonts w:eastAsia="仿宋"/>
          <w:u w:val="single"/>
        </w:rPr>
        <w:t xml:space="preserve">        </w:t>
      </w:r>
      <w:r>
        <w:rPr>
          <w:rFonts w:eastAsia="仿宋"/>
        </w:rPr>
        <w:t>项目（招标项目名称）（编号为</w:t>
      </w:r>
      <w:r>
        <w:rPr>
          <w:rFonts w:eastAsia="仿宋"/>
          <w:u w:val="single"/>
        </w:rPr>
        <w:t xml:space="preserve">         </w:t>
      </w:r>
      <w:r>
        <w:rPr>
          <w:rFonts w:eastAsia="仿宋"/>
        </w:rPr>
        <w:t>）的投标，如我单位中标，我方就本次投标产品售后服务及增值服务承诺如下：</w:t>
      </w:r>
    </w:p>
    <w:p>
      <w:pPr>
        <w:snapToGrid w:val="0"/>
        <w:spacing w:line="500" w:lineRule="exact"/>
        <w:ind w:firstLine="600" w:firstLineChars="250"/>
        <w:rPr>
          <w:rFonts w:eastAsia="仿宋"/>
        </w:rPr>
      </w:pPr>
      <w:r>
        <w:rPr>
          <w:rFonts w:eastAsia="仿宋"/>
        </w:rPr>
        <w:t>1、我单位承诺项目免费维护服务期为_________年。（其中包含驻场人员现场服务</w:t>
      </w:r>
      <w:r>
        <w:rPr>
          <w:rFonts w:eastAsia="仿宋"/>
          <w:u w:val="single"/>
        </w:rPr>
        <w:t xml:space="preserve">   </w:t>
      </w:r>
      <w:r>
        <w:rPr>
          <w:rFonts w:eastAsia="仿宋"/>
        </w:rPr>
        <w:t>月）。</w:t>
      </w:r>
    </w:p>
    <w:p>
      <w:pPr>
        <w:snapToGrid w:val="0"/>
        <w:spacing w:line="500" w:lineRule="exact"/>
        <w:ind w:firstLine="600" w:firstLineChars="250"/>
        <w:rPr>
          <w:rFonts w:eastAsia="仿宋"/>
        </w:rPr>
      </w:pPr>
      <w:r>
        <w:rPr>
          <w:rFonts w:eastAsia="仿宋"/>
        </w:rPr>
        <w:t>2、我单位承诺免费维护期内现场驻场服务人员为项目咨询团队人员。</w:t>
      </w:r>
    </w:p>
    <w:p>
      <w:pPr>
        <w:snapToGrid w:val="0"/>
        <w:spacing w:line="500" w:lineRule="exact"/>
        <w:ind w:firstLine="600" w:firstLineChars="250"/>
        <w:jc w:val="left"/>
        <w:rPr>
          <w:rFonts w:eastAsia="仿宋"/>
        </w:rPr>
      </w:pPr>
      <w:r>
        <w:rPr>
          <w:rFonts w:eastAsia="仿宋"/>
        </w:rPr>
        <w:t>3、故障服务响应时间：我在接到服务通知之时起至完成维护的时间不超过__________小时 （现场）。</w:t>
      </w:r>
    </w:p>
    <w:p>
      <w:pPr>
        <w:snapToGrid w:val="0"/>
        <w:spacing w:line="500" w:lineRule="exact"/>
        <w:ind w:left="360" w:firstLine="206" w:firstLineChars="86"/>
        <w:jc w:val="left"/>
        <w:rPr>
          <w:rFonts w:eastAsia="仿宋"/>
        </w:rPr>
      </w:pPr>
      <w:r>
        <w:rPr>
          <w:rFonts w:eastAsia="仿宋"/>
        </w:rPr>
        <w:t>4、故障服务响应时间：我在接到服务通知之时起至完成维护的时间不超过__________小时 （异地）。</w:t>
      </w:r>
    </w:p>
    <w:p>
      <w:pPr>
        <w:snapToGrid w:val="0"/>
        <w:spacing w:line="500" w:lineRule="exact"/>
        <w:ind w:left="1" w:firstLine="561" w:firstLineChars="234"/>
        <w:jc w:val="left"/>
        <w:rPr>
          <w:rFonts w:eastAsia="仿宋"/>
        </w:rPr>
      </w:pPr>
      <w:r>
        <w:rPr>
          <w:rFonts w:eastAsia="仿宋"/>
        </w:rPr>
        <w:t>5、我单位承诺：对于重大业务调整和远程服务无法解决的业务问题，我方的支持人员将在24个小时内（同城）（或48个小时内（异地））赶到现场，并在3个工作日之内完成对问题的解答。</w:t>
      </w:r>
    </w:p>
    <w:p>
      <w:pPr>
        <w:snapToGrid w:val="0"/>
        <w:spacing w:line="500" w:lineRule="exact"/>
        <w:ind w:firstLine="566" w:firstLineChars="236"/>
        <w:rPr>
          <w:rFonts w:eastAsia="仿宋"/>
        </w:rPr>
      </w:pPr>
      <w:r>
        <w:rPr>
          <w:rFonts w:eastAsia="仿宋"/>
        </w:rPr>
        <w:t>6、我单位应向贵单位提供各种技术资料和简易安装工具作为维护管理使用。必须包括但不限于以下内容：</w:t>
      </w:r>
    </w:p>
    <w:p>
      <w:pPr>
        <w:snapToGrid w:val="0"/>
        <w:spacing w:line="500" w:lineRule="exact"/>
        <w:ind w:firstLine="566" w:firstLineChars="236"/>
        <w:rPr>
          <w:rFonts w:eastAsia="仿宋"/>
        </w:rPr>
      </w:pPr>
      <w:r>
        <w:rPr>
          <w:rFonts w:eastAsia="仿宋"/>
        </w:rPr>
        <w:t>7、我单位提供的增值服务主要如下：（格式自拟）</w:t>
      </w:r>
    </w:p>
    <w:p>
      <w:pPr>
        <w:snapToGrid w:val="0"/>
        <w:spacing w:line="500" w:lineRule="exact"/>
        <w:ind w:firstLine="566" w:firstLineChars="236"/>
        <w:rPr>
          <w:rFonts w:eastAsia="仿宋"/>
        </w:rPr>
      </w:pPr>
      <w:r>
        <w:rPr>
          <w:rFonts w:eastAsia="仿宋"/>
        </w:rPr>
        <w:t>（1）……；</w:t>
      </w:r>
    </w:p>
    <w:p>
      <w:pPr>
        <w:snapToGrid w:val="0"/>
        <w:spacing w:line="500" w:lineRule="exact"/>
        <w:ind w:firstLine="566" w:firstLineChars="236"/>
        <w:rPr>
          <w:rFonts w:eastAsia="仿宋"/>
          <w:u w:val="single"/>
        </w:rPr>
      </w:pPr>
      <w:r>
        <w:rPr>
          <w:rFonts w:eastAsia="仿宋"/>
        </w:rPr>
        <w:t>（2）……。</w:t>
      </w:r>
    </w:p>
    <w:p>
      <w:pPr>
        <w:snapToGrid w:val="0"/>
        <w:spacing w:line="500" w:lineRule="exact"/>
        <w:ind w:firstLine="569" w:firstLineChars="236"/>
        <w:rPr>
          <w:rFonts w:eastAsia="仿宋"/>
          <w:b/>
          <w:szCs w:val="21"/>
        </w:rPr>
      </w:pPr>
    </w:p>
    <w:p>
      <w:pPr>
        <w:snapToGrid w:val="0"/>
        <w:spacing w:line="500" w:lineRule="exact"/>
        <w:ind w:firstLine="5103"/>
        <w:rPr>
          <w:rFonts w:eastAsia="仿宋"/>
        </w:rPr>
      </w:pPr>
      <w:r>
        <w:rPr>
          <w:rFonts w:eastAsia="仿宋"/>
        </w:rPr>
        <w:t>投标人名称（公章）：</w:t>
      </w:r>
    </w:p>
    <w:p>
      <w:pPr>
        <w:snapToGrid w:val="0"/>
        <w:spacing w:line="500" w:lineRule="exact"/>
        <w:ind w:firstLine="5103"/>
        <w:rPr>
          <w:rFonts w:eastAsia="仿宋"/>
        </w:rPr>
      </w:pPr>
      <w:r>
        <w:rPr>
          <w:rFonts w:eastAsia="仿宋"/>
        </w:rPr>
        <w:t>法定代表人或授权代理人(签字)：</w:t>
      </w:r>
    </w:p>
    <w:p>
      <w:pPr>
        <w:snapToGrid w:val="0"/>
        <w:spacing w:line="500" w:lineRule="exact"/>
        <w:ind w:firstLine="5040" w:firstLineChars="2100"/>
        <w:rPr>
          <w:rFonts w:eastAsia="仿宋"/>
        </w:rPr>
      </w:pPr>
      <w:r>
        <w:rPr>
          <w:rFonts w:eastAsia="仿宋"/>
        </w:rPr>
        <w:t>日期：</w:t>
      </w:r>
    </w:p>
    <w:p>
      <w:pPr>
        <w:snapToGrid w:val="0"/>
        <w:spacing w:line="500" w:lineRule="exact"/>
        <w:jc w:val="left"/>
        <w:rPr>
          <w:rFonts w:eastAsia="仿宋"/>
        </w:rPr>
      </w:pPr>
    </w:p>
    <w:p>
      <w:pPr>
        <w:snapToGrid w:val="0"/>
        <w:spacing w:line="500" w:lineRule="exact"/>
        <w:jc w:val="left"/>
        <w:rPr>
          <w:rFonts w:eastAsia="仿宋"/>
        </w:rPr>
      </w:pPr>
    </w:p>
    <w:p>
      <w:pPr>
        <w:snapToGrid w:val="0"/>
        <w:spacing w:line="500" w:lineRule="exact"/>
        <w:jc w:val="left"/>
        <w:rPr>
          <w:rFonts w:eastAsia="仿宋"/>
        </w:rPr>
      </w:pPr>
    </w:p>
    <w:p>
      <w:pPr>
        <w:pStyle w:val="5"/>
        <w:snapToGrid w:val="0"/>
        <w:spacing w:before="0" w:after="0" w:line="500" w:lineRule="exact"/>
        <w:jc w:val="center"/>
        <w:rPr>
          <w:rFonts w:ascii="Times New Roman" w:hAnsi="Times New Roman" w:eastAsia="仿宋"/>
          <w:sz w:val="24"/>
          <w:szCs w:val="24"/>
        </w:rPr>
        <w:sectPr>
          <w:pgSz w:w="11906" w:h="16838"/>
          <w:pgMar w:top="1134" w:right="850" w:bottom="1134" w:left="850" w:header="283" w:footer="283" w:gutter="0"/>
          <w:cols w:space="720" w:num="1"/>
          <w:docGrid w:type="lines" w:linePitch="339" w:charSpace="0"/>
        </w:sectPr>
      </w:pPr>
      <w:bookmarkStart w:id="231" w:name="_Toc14004"/>
    </w:p>
    <w:p>
      <w:pPr>
        <w:pStyle w:val="5"/>
        <w:numPr>
          <w:ilvl w:val="0"/>
          <w:numId w:val="0"/>
        </w:numPr>
        <w:snapToGrid w:val="0"/>
        <w:spacing w:before="0" w:after="0" w:line="500" w:lineRule="exact"/>
        <w:jc w:val="center"/>
        <w:rPr>
          <w:rFonts w:ascii="Times New Roman" w:hAnsi="Times New Roman" w:eastAsia="仿宋"/>
          <w:sz w:val="24"/>
          <w:szCs w:val="24"/>
        </w:rPr>
      </w:pPr>
      <w:bookmarkStart w:id="232" w:name="_Toc99785598"/>
      <w:bookmarkStart w:id="233" w:name="_Toc16013"/>
      <w:bookmarkStart w:id="234" w:name="_Toc22321"/>
      <w:r>
        <w:rPr>
          <w:rFonts w:ascii="Times New Roman" w:hAnsi="Times New Roman" w:eastAsia="仿宋"/>
          <w:sz w:val="24"/>
          <w:szCs w:val="24"/>
        </w:rPr>
        <w:t>（十五）售后服务方案</w:t>
      </w:r>
      <w:bookmarkEnd w:id="231"/>
      <w:bookmarkEnd w:id="232"/>
      <w:bookmarkEnd w:id="233"/>
      <w:bookmarkEnd w:id="234"/>
    </w:p>
    <w:p>
      <w:pPr>
        <w:numPr>
          <w:ilvl w:val="0"/>
          <w:numId w:val="9"/>
        </w:numPr>
        <w:snapToGrid w:val="0"/>
        <w:spacing w:line="500" w:lineRule="exact"/>
        <w:ind w:left="0" w:firstLine="567"/>
        <w:rPr>
          <w:rFonts w:eastAsia="仿宋"/>
        </w:rPr>
      </w:pPr>
      <w:r>
        <w:rPr>
          <w:rFonts w:eastAsia="仿宋"/>
        </w:rPr>
        <w:t>提供免费维护期内的售后服务方案，包括但不限于售后服务内容、响应时间等；</w:t>
      </w:r>
    </w:p>
    <w:p>
      <w:pPr>
        <w:numPr>
          <w:ilvl w:val="0"/>
          <w:numId w:val="9"/>
        </w:numPr>
        <w:snapToGrid w:val="0"/>
        <w:spacing w:line="500" w:lineRule="exact"/>
        <w:ind w:left="0" w:firstLine="567"/>
        <w:rPr>
          <w:rFonts w:eastAsia="仿宋"/>
        </w:rPr>
      </w:pPr>
      <w:r>
        <w:rPr>
          <w:rFonts w:eastAsia="仿宋"/>
        </w:rPr>
        <w:t>售后服务人员名单；</w:t>
      </w:r>
    </w:p>
    <w:p>
      <w:pPr>
        <w:numPr>
          <w:ilvl w:val="0"/>
          <w:numId w:val="9"/>
        </w:numPr>
        <w:snapToGrid w:val="0"/>
        <w:spacing w:line="500" w:lineRule="exact"/>
        <w:ind w:left="0" w:firstLine="567"/>
        <w:rPr>
          <w:rFonts w:eastAsia="仿宋"/>
        </w:rPr>
      </w:pPr>
      <w:r>
        <w:rPr>
          <w:rFonts w:eastAsia="仿宋"/>
        </w:rPr>
        <w:t>提供免费维护期后的售后服务方案，包括但不限于售后服务内容、计费标准等；</w:t>
      </w:r>
    </w:p>
    <w:p>
      <w:pPr>
        <w:numPr>
          <w:ilvl w:val="0"/>
          <w:numId w:val="9"/>
        </w:numPr>
        <w:snapToGrid w:val="0"/>
        <w:spacing w:line="500" w:lineRule="exact"/>
        <w:ind w:left="0" w:firstLine="567"/>
        <w:rPr>
          <w:rFonts w:eastAsia="仿宋"/>
        </w:rPr>
      </w:pPr>
      <w:r>
        <w:rPr>
          <w:rFonts w:eastAsia="仿宋"/>
        </w:rPr>
        <w:t>投标人认为的其他资料。</w:t>
      </w: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ind w:firstLine="600" w:firstLineChars="250"/>
        <w:rPr>
          <w:rFonts w:eastAsia="仿宋"/>
        </w:rPr>
      </w:pPr>
    </w:p>
    <w:p>
      <w:pPr>
        <w:snapToGrid w:val="0"/>
        <w:spacing w:line="500" w:lineRule="exact"/>
        <w:jc w:val="center"/>
        <w:outlineLvl w:val="1"/>
        <w:rPr>
          <w:rFonts w:eastAsia="仿宋"/>
          <w:b/>
        </w:rPr>
        <w:sectPr>
          <w:pgSz w:w="11906" w:h="16838"/>
          <w:pgMar w:top="1134" w:right="850" w:bottom="1134" w:left="850" w:header="283" w:footer="283" w:gutter="0"/>
          <w:cols w:space="720" w:num="1"/>
          <w:docGrid w:type="lines" w:linePitch="339" w:charSpace="0"/>
        </w:sectPr>
      </w:pPr>
      <w:bookmarkStart w:id="235" w:name="_Toc267060465"/>
      <w:bookmarkStart w:id="236" w:name="_Toc267060080"/>
      <w:bookmarkStart w:id="237" w:name="_Toc266868684"/>
      <w:bookmarkStart w:id="238" w:name="_Toc259692754"/>
      <w:bookmarkStart w:id="239" w:name="_Toc254790914"/>
      <w:bookmarkStart w:id="240" w:name="_Toc266870921"/>
      <w:bookmarkStart w:id="241" w:name="_Toc266870446"/>
      <w:bookmarkStart w:id="242" w:name="_Toc258401270"/>
      <w:bookmarkStart w:id="243" w:name="_Toc255975021"/>
      <w:bookmarkStart w:id="244" w:name="_Toc267060220"/>
      <w:bookmarkStart w:id="245" w:name="_Toc15314"/>
      <w:bookmarkStart w:id="246" w:name="_Toc259520879"/>
      <w:bookmarkStart w:id="247" w:name="_Toc259692661"/>
      <w:bookmarkStart w:id="248" w:name="_Toc235438357"/>
      <w:bookmarkStart w:id="249" w:name="_Toc232302127"/>
      <w:bookmarkStart w:id="250" w:name="_Toc253066629"/>
      <w:bookmarkStart w:id="251" w:name="_Toc251586246"/>
      <w:bookmarkStart w:id="252" w:name="_Toc236021462"/>
      <w:bookmarkStart w:id="253" w:name="_Toc235438003"/>
      <w:bookmarkStart w:id="254" w:name="_Toc249325725"/>
      <w:bookmarkStart w:id="255" w:name="_Toc235438286"/>
      <w:bookmarkStart w:id="256" w:name="_Toc251613844"/>
      <w:bookmarkStart w:id="257" w:name="_Toc160880168"/>
      <w:bookmarkStart w:id="258" w:name="_Toc177985477"/>
      <w:bookmarkStart w:id="259" w:name="_Toc193160456"/>
      <w:bookmarkStart w:id="260" w:name="_Toc192996454"/>
      <w:bookmarkStart w:id="261" w:name="_Toc169332957"/>
      <w:bookmarkStart w:id="262" w:name="_Toc203355741"/>
      <w:bookmarkStart w:id="263" w:name="_Toc192663694"/>
      <w:bookmarkStart w:id="264" w:name="_Toc170798801"/>
      <w:bookmarkStart w:id="265" w:name="_Toc192663843"/>
      <w:bookmarkStart w:id="266" w:name="_Toc181436469"/>
      <w:bookmarkStart w:id="267" w:name="_Toc192664161"/>
      <w:bookmarkStart w:id="268" w:name="_Toc182805225"/>
      <w:bookmarkStart w:id="269" w:name="_Toc191803634"/>
      <w:bookmarkStart w:id="270" w:name="_Toc169332846"/>
      <w:bookmarkStart w:id="271" w:name="_Toc191802698"/>
      <w:bookmarkStart w:id="272" w:name="_Toc182372790"/>
      <w:bookmarkStart w:id="273" w:name="_Toc211917124"/>
      <w:bookmarkStart w:id="274" w:name="_Toc193165742"/>
      <w:bookmarkStart w:id="275" w:name="_Toc180302921"/>
      <w:bookmarkStart w:id="276" w:name="_Toc181436573"/>
      <w:bookmarkStart w:id="277" w:name="_Toc191783230"/>
      <w:bookmarkStart w:id="278" w:name="_Toc160880537"/>
      <w:bookmarkStart w:id="279" w:name="_Toc191789337"/>
      <w:bookmarkStart w:id="280" w:name="_Toc192996346"/>
    </w:p>
    <w:p>
      <w:pPr>
        <w:snapToGrid w:val="0"/>
        <w:spacing w:line="500" w:lineRule="exact"/>
        <w:jc w:val="center"/>
        <w:outlineLvl w:val="1"/>
        <w:rPr>
          <w:rFonts w:eastAsia="仿宋"/>
          <w:b/>
        </w:rPr>
      </w:pPr>
      <w:bookmarkStart w:id="281" w:name="_Toc4398"/>
      <w:bookmarkStart w:id="282" w:name="_Toc99785599"/>
      <w:bookmarkStart w:id="283" w:name="_Toc2129"/>
      <w:r>
        <w:rPr>
          <w:rFonts w:eastAsia="仿宋"/>
          <w:b/>
        </w:rPr>
        <w:t>（十六）类似业绩汇总表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81"/>
      <w:bookmarkEnd w:id="282"/>
      <w:bookmarkEnd w:id="283"/>
    </w:p>
    <w:p>
      <w:pPr>
        <w:snapToGrid w:val="0"/>
        <w:spacing w:line="500" w:lineRule="exact"/>
        <w:ind w:firstLine="240" w:firstLineChars="100"/>
        <w:rPr>
          <w:rFonts w:eastAsia="仿宋"/>
        </w:rPr>
      </w:pPr>
      <w:r>
        <w:rPr>
          <w:rFonts w:eastAsia="仿宋"/>
        </w:rPr>
        <w:t xml:space="preserve">项目名称：                         </w:t>
      </w:r>
    </w:p>
    <w:p>
      <w:pPr>
        <w:snapToGrid w:val="0"/>
        <w:spacing w:line="500" w:lineRule="exact"/>
        <w:ind w:firstLine="120" w:firstLineChars="50"/>
        <w:rPr>
          <w:rFonts w:eastAsia="仿宋"/>
        </w:rPr>
      </w:pPr>
      <w:r>
        <w:rPr>
          <w:rFonts w:eastAsia="仿宋"/>
        </w:rPr>
        <w:t xml:space="preserve"> 项目编号∶</w:t>
      </w:r>
    </w:p>
    <w:tbl>
      <w:tblPr>
        <w:tblStyle w:val="67"/>
        <w:tblW w:w="9160" w:type="dxa"/>
        <w:jc w:val="center"/>
        <w:tblLayout w:type="fixed"/>
        <w:tblCellMar>
          <w:top w:w="0" w:type="dxa"/>
          <w:left w:w="108" w:type="dxa"/>
          <w:bottom w:w="0" w:type="dxa"/>
          <w:right w:w="108" w:type="dxa"/>
        </w:tblCellMar>
      </w:tblPr>
      <w:tblGrid>
        <w:gridCol w:w="984"/>
        <w:gridCol w:w="1853"/>
        <w:gridCol w:w="1309"/>
        <w:gridCol w:w="1199"/>
        <w:gridCol w:w="1526"/>
        <w:gridCol w:w="1344"/>
        <w:gridCol w:w="945"/>
      </w:tblGrid>
      <w:tr>
        <w:tblPrEx>
          <w:tblCellMar>
            <w:top w:w="0" w:type="dxa"/>
            <w:left w:w="108" w:type="dxa"/>
            <w:bottom w:w="0" w:type="dxa"/>
            <w:right w:w="108" w:type="dxa"/>
          </w:tblCellMar>
        </w:tblPrEx>
        <w:trPr>
          <w:trHeight w:val="893" w:hRule="atLeast"/>
          <w:jc w:val="center"/>
        </w:trPr>
        <w:tc>
          <w:tcPr>
            <w:tcW w:w="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lang w:val="zh-CN"/>
              </w:rPr>
            </w:pPr>
            <w:r>
              <w:rPr>
                <w:rFonts w:eastAsia="仿宋"/>
                <w:szCs w:val="21"/>
                <w:lang w:val="zh-CN"/>
              </w:rPr>
              <w:t>合同</w:t>
            </w:r>
          </w:p>
          <w:p>
            <w:pPr>
              <w:autoSpaceDE w:val="0"/>
              <w:autoSpaceDN w:val="0"/>
              <w:adjustRightInd w:val="0"/>
              <w:snapToGrid w:val="0"/>
              <w:spacing w:line="240" w:lineRule="exact"/>
              <w:jc w:val="center"/>
              <w:rPr>
                <w:rFonts w:eastAsia="仿宋"/>
                <w:szCs w:val="21"/>
                <w:lang w:val="zh-CN"/>
              </w:rPr>
            </w:pPr>
            <w:r>
              <w:rPr>
                <w:rFonts w:eastAsia="仿宋"/>
                <w:szCs w:val="21"/>
                <w:lang w:val="zh-CN"/>
              </w:rPr>
              <w:t>编号</w:t>
            </w:r>
          </w:p>
        </w:tc>
        <w:tc>
          <w:tcPr>
            <w:tcW w:w="1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lang w:val="zh-CN"/>
              </w:rPr>
            </w:pPr>
            <w:r>
              <w:rPr>
                <w:rFonts w:eastAsia="仿宋"/>
                <w:szCs w:val="21"/>
                <w:lang w:val="zh-CN"/>
              </w:rPr>
              <w:t>项目名称</w:t>
            </w:r>
          </w:p>
        </w:tc>
        <w:tc>
          <w:tcPr>
            <w:tcW w:w="13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rPr>
            </w:pPr>
            <w:r>
              <w:rPr>
                <w:rFonts w:eastAsia="仿宋"/>
                <w:szCs w:val="21"/>
              </w:rPr>
              <w:t>合同</w:t>
            </w:r>
          </w:p>
          <w:p>
            <w:pPr>
              <w:autoSpaceDE w:val="0"/>
              <w:autoSpaceDN w:val="0"/>
              <w:adjustRightInd w:val="0"/>
              <w:snapToGrid w:val="0"/>
              <w:spacing w:line="240" w:lineRule="exact"/>
              <w:jc w:val="center"/>
              <w:rPr>
                <w:rFonts w:eastAsia="仿宋"/>
                <w:szCs w:val="21"/>
              </w:rPr>
            </w:pPr>
            <w:r>
              <w:rPr>
                <w:rFonts w:eastAsia="仿宋"/>
                <w:szCs w:val="21"/>
              </w:rPr>
              <w:t>总金额</w:t>
            </w:r>
          </w:p>
        </w:tc>
        <w:tc>
          <w:tcPr>
            <w:tcW w:w="11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rPr>
            </w:pPr>
            <w:r>
              <w:rPr>
                <w:rFonts w:eastAsia="仿宋"/>
                <w:szCs w:val="21"/>
              </w:rPr>
              <w:t>合同签订日期</w:t>
            </w:r>
          </w:p>
        </w:tc>
        <w:tc>
          <w:tcPr>
            <w:tcW w:w="15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lang w:val="zh-CN"/>
              </w:rPr>
            </w:pPr>
            <w:r>
              <w:rPr>
                <w:rFonts w:eastAsia="仿宋"/>
                <w:szCs w:val="21"/>
                <w:lang w:val="zh-CN"/>
              </w:rPr>
              <w:t>项目完成</w:t>
            </w:r>
          </w:p>
          <w:p>
            <w:pPr>
              <w:autoSpaceDE w:val="0"/>
              <w:autoSpaceDN w:val="0"/>
              <w:adjustRightInd w:val="0"/>
              <w:snapToGrid w:val="0"/>
              <w:spacing w:line="240" w:lineRule="exact"/>
              <w:jc w:val="center"/>
              <w:rPr>
                <w:rFonts w:eastAsia="仿宋"/>
                <w:szCs w:val="21"/>
              </w:rPr>
            </w:pPr>
            <w:r>
              <w:rPr>
                <w:rFonts w:eastAsia="仿宋"/>
                <w:szCs w:val="21"/>
                <w:lang w:val="zh-CN"/>
              </w:rPr>
              <w:t>日期</w:t>
            </w: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rPr>
            </w:pPr>
            <w:r>
              <w:rPr>
                <w:rFonts w:eastAsia="仿宋"/>
                <w:szCs w:val="21"/>
                <w:lang w:val="zh-CN"/>
              </w:rPr>
              <w:t>用户名称、联系人、联系电话</w:t>
            </w: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exact"/>
              <w:jc w:val="center"/>
              <w:rPr>
                <w:rFonts w:eastAsia="仿宋"/>
                <w:szCs w:val="21"/>
              </w:rPr>
            </w:pPr>
            <w:r>
              <w:rPr>
                <w:rFonts w:eastAsia="仿宋"/>
                <w:szCs w:val="21"/>
              </w:rPr>
              <w:t>是否有用户评价意见书</w:t>
            </w: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8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0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19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5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13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c>
          <w:tcPr>
            <w:tcW w:w="94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00" w:lineRule="exact"/>
              <w:rPr>
                <w:rFonts w:eastAsia="仿宋"/>
              </w:rPr>
            </w:pPr>
          </w:p>
        </w:tc>
      </w:tr>
    </w:tbl>
    <w:p>
      <w:pPr>
        <w:snapToGrid w:val="0"/>
        <w:rPr>
          <w:rFonts w:eastAsia="仿宋"/>
          <w:szCs w:val="21"/>
          <w:lang w:val="zh-CN"/>
        </w:rPr>
      </w:pPr>
      <w:r>
        <w:rPr>
          <w:rFonts w:eastAsia="仿宋"/>
          <w:szCs w:val="21"/>
          <w:lang w:val="zh-CN"/>
        </w:rPr>
        <w:t xml:space="preserve">注：（1）业绩要求：要求为类似业绩，分支机构案例不做为有效业绩。提供能够体现服务内容的中标/成交通知书或合同复印件，合同要求提供合同首页、金额所在页、签字盖章页及能够体现工作内容的关键页（如工作说明书部分或合同主体内容），日期以合同签订日期为准。 </w:t>
      </w:r>
    </w:p>
    <w:p>
      <w:pPr>
        <w:snapToGrid w:val="0"/>
        <w:ind w:firstLine="360" w:firstLineChars="150"/>
        <w:rPr>
          <w:rFonts w:eastAsia="仿宋"/>
          <w:szCs w:val="21"/>
          <w:lang w:val="zh-CN"/>
        </w:rPr>
      </w:pPr>
      <w:r>
        <w:rPr>
          <w:rFonts w:eastAsia="仿宋"/>
          <w:szCs w:val="21"/>
          <w:lang w:val="zh-CN"/>
        </w:rPr>
        <w:t>（2）按照业绩汇总表顺序提供合同或成交通知书。</w:t>
      </w:r>
    </w:p>
    <w:p>
      <w:pPr>
        <w:snapToGrid w:val="0"/>
        <w:ind w:firstLine="361" w:firstLineChars="150"/>
        <w:rPr>
          <w:rFonts w:eastAsia="仿宋"/>
          <w:b/>
        </w:rPr>
      </w:pPr>
    </w:p>
    <w:p>
      <w:pPr>
        <w:snapToGrid w:val="0"/>
        <w:ind w:firstLine="361" w:firstLineChars="150"/>
        <w:rPr>
          <w:rFonts w:eastAsia="仿宋"/>
          <w:b/>
        </w:rPr>
      </w:pPr>
      <w:r>
        <w:rPr>
          <w:rFonts w:eastAsia="仿宋"/>
          <w:b/>
        </w:rPr>
        <w:t>投标人承诺：以上业绩均真实有效。若有虚假，同意按无效标处理，同时按照合同条款和相关法律法规进行对招标人进行赔偿。</w:t>
      </w:r>
    </w:p>
    <w:p>
      <w:pPr>
        <w:snapToGrid w:val="0"/>
        <w:ind w:firstLine="360" w:firstLineChars="150"/>
        <w:rPr>
          <w:rFonts w:eastAsia="仿宋"/>
          <w:lang w:val="zh-CN"/>
        </w:rPr>
      </w:pPr>
    </w:p>
    <w:p>
      <w:pPr>
        <w:snapToGrid w:val="0"/>
        <w:spacing w:line="500" w:lineRule="exact"/>
        <w:ind w:firstLine="4560" w:firstLineChars="1900"/>
        <w:rPr>
          <w:rFonts w:eastAsia="仿宋"/>
        </w:rPr>
      </w:pPr>
      <w:r>
        <w:rPr>
          <w:rFonts w:eastAsia="仿宋"/>
        </w:rPr>
        <w:t>投标人名称（公章）：</w:t>
      </w:r>
    </w:p>
    <w:p>
      <w:pPr>
        <w:snapToGrid w:val="0"/>
        <w:spacing w:line="500" w:lineRule="exact"/>
        <w:ind w:firstLine="4560" w:firstLineChars="1900"/>
        <w:rPr>
          <w:rFonts w:eastAsia="仿宋"/>
        </w:rPr>
      </w:pPr>
      <w:r>
        <w:rPr>
          <w:rFonts w:eastAsia="仿宋"/>
        </w:rPr>
        <w:t>法定代表人或授权代理人(签字)：</w:t>
      </w:r>
    </w:p>
    <w:p>
      <w:pPr>
        <w:snapToGrid w:val="0"/>
        <w:spacing w:line="500" w:lineRule="exact"/>
        <w:ind w:firstLine="4560" w:firstLineChars="1900"/>
        <w:rPr>
          <w:rFonts w:eastAsia="仿宋"/>
        </w:rPr>
      </w:pPr>
      <w:r>
        <w:rPr>
          <w:rFonts w:eastAsia="仿宋"/>
        </w:rPr>
        <w:t>日期：</w:t>
      </w:r>
    </w:p>
    <w:p>
      <w:pPr>
        <w:snapToGrid w:val="0"/>
        <w:spacing w:line="500" w:lineRule="exact"/>
        <w:jc w:val="center"/>
        <w:outlineLvl w:val="1"/>
        <w:rPr>
          <w:rFonts w:eastAsia="仿宋"/>
          <w:b/>
        </w:rPr>
        <w:sectPr>
          <w:pgSz w:w="11906" w:h="16838"/>
          <w:pgMar w:top="1134" w:right="850" w:bottom="1134" w:left="850" w:header="283" w:footer="283" w:gutter="0"/>
          <w:cols w:space="720" w:num="1"/>
          <w:docGrid w:type="lines" w:linePitch="339" w:charSpace="0"/>
        </w:sectPr>
      </w:pPr>
      <w:bookmarkStart w:id="284" w:name="_Toc267060221"/>
      <w:bookmarkStart w:id="285" w:name="_Toc259692663"/>
      <w:bookmarkStart w:id="286" w:name="_Toc255975023"/>
      <w:bookmarkStart w:id="287" w:name="_Toc266870447"/>
      <w:bookmarkStart w:id="288" w:name="_Toc254790916"/>
      <w:bookmarkStart w:id="289" w:name="_Toc2846"/>
      <w:bookmarkStart w:id="290" w:name="_Toc259520881"/>
      <w:bookmarkStart w:id="291" w:name="_Toc266868686"/>
      <w:bookmarkStart w:id="292" w:name="_Toc266870922"/>
      <w:bookmarkStart w:id="293" w:name="_Toc259692756"/>
      <w:bookmarkStart w:id="294" w:name="_Toc258401272"/>
      <w:bookmarkStart w:id="295" w:name="_Toc267060081"/>
      <w:bookmarkStart w:id="296" w:name="_Toc267060466"/>
    </w:p>
    <w:p>
      <w:pPr>
        <w:snapToGrid w:val="0"/>
        <w:spacing w:line="500" w:lineRule="exact"/>
        <w:jc w:val="center"/>
        <w:outlineLvl w:val="1"/>
        <w:rPr>
          <w:rFonts w:eastAsia="仿宋"/>
          <w:b/>
        </w:rPr>
      </w:pPr>
      <w:bookmarkStart w:id="297" w:name="_Toc8961"/>
      <w:bookmarkStart w:id="298" w:name="_Toc16333"/>
      <w:bookmarkStart w:id="299" w:name="_Toc99785600"/>
      <w:r>
        <w:rPr>
          <w:rFonts w:eastAsia="仿宋"/>
          <w:b/>
        </w:rPr>
        <w:t>（十七）投标人提交的其它资料</w:t>
      </w:r>
      <w:bookmarkEnd w:id="248"/>
      <w:bookmarkEnd w:id="249"/>
      <w:bookmarkEnd w:id="250"/>
      <w:bookmarkEnd w:id="251"/>
      <w:bookmarkEnd w:id="252"/>
      <w:bookmarkEnd w:id="253"/>
      <w:bookmarkEnd w:id="254"/>
      <w:bookmarkEnd w:id="255"/>
      <w:bookmarkEnd w:id="25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napToGrid w:val="0"/>
        <w:spacing w:line="500" w:lineRule="exact"/>
        <w:rPr>
          <w:rFonts w:eastAsia="仿宋"/>
        </w:rPr>
      </w:pPr>
    </w:p>
    <w:p>
      <w:pPr>
        <w:snapToGrid w:val="0"/>
        <w:spacing w:line="500" w:lineRule="exact"/>
        <w:ind w:firstLine="480" w:firstLineChars="200"/>
        <w:rPr>
          <w:rFonts w:eastAsia="仿宋"/>
        </w:rPr>
      </w:pPr>
      <w:r>
        <w:rPr>
          <w:rFonts w:eastAsia="仿宋"/>
        </w:rPr>
        <w:t>投标人应提交的其它资料，包括：</w:t>
      </w:r>
    </w:p>
    <w:p>
      <w:pPr>
        <w:snapToGrid w:val="0"/>
        <w:spacing w:line="500" w:lineRule="exact"/>
        <w:ind w:firstLine="480"/>
        <w:rPr>
          <w:rFonts w:eastAsia="仿宋"/>
        </w:rPr>
      </w:pPr>
      <w:r>
        <w:rPr>
          <w:rFonts w:eastAsia="仿宋"/>
        </w:rPr>
        <w:t>（1）招标文件要求提供的其它资料等。</w:t>
      </w:r>
    </w:p>
    <w:p>
      <w:pPr>
        <w:pStyle w:val="2"/>
        <w:tabs>
          <w:tab w:val="left" w:pos="630"/>
        </w:tabs>
        <w:snapToGrid w:val="0"/>
        <w:spacing w:line="500" w:lineRule="exact"/>
        <w:ind w:firstLine="480" w:firstLineChars="200"/>
        <w:rPr>
          <w:rFonts w:ascii="Times New Roman" w:eastAsia="仿宋"/>
        </w:rPr>
      </w:pPr>
      <w:r>
        <w:rPr>
          <w:rFonts w:ascii="Times New Roman" w:eastAsia="仿宋"/>
        </w:rPr>
        <w:t>（注：复印件均需由企业加盖公章并注明复印件与原件一致。）</w:t>
      </w:r>
    </w:p>
    <w:p>
      <w:pPr>
        <w:snapToGrid w:val="0"/>
        <w:spacing w:line="500" w:lineRule="exact"/>
        <w:ind w:firstLine="3120" w:firstLineChars="1300"/>
        <w:rPr>
          <w:rFonts w:eastAsia="仿宋"/>
        </w:rPr>
      </w:pPr>
    </w:p>
    <w:p>
      <w:pPr>
        <w:snapToGrid w:val="0"/>
        <w:spacing w:line="500" w:lineRule="exact"/>
        <w:ind w:firstLine="3120" w:firstLineChars="1300"/>
        <w:rPr>
          <w:rFonts w:eastAsia="仿宋"/>
        </w:rPr>
      </w:pPr>
    </w:p>
    <w:p>
      <w:pPr>
        <w:snapToGrid w:val="0"/>
        <w:spacing w:line="500" w:lineRule="exact"/>
        <w:ind w:firstLine="3120" w:firstLineChars="1300"/>
        <w:rPr>
          <w:rFonts w:eastAsia="仿宋"/>
        </w:rPr>
      </w:pPr>
    </w:p>
    <w:p>
      <w:pPr>
        <w:snapToGrid w:val="0"/>
        <w:spacing w:line="500" w:lineRule="exact"/>
        <w:ind w:firstLine="3120" w:firstLineChars="1300"/>
        <w:rPr>
          <w:rFonts w:eastAsia="仿宋"/>
        </w:rPr>
      </w:pPr>
    </w:p>
    <w:p>
      <w:pPr>
        <w:snapToGrid w:val="0"/>
        <w:spacing w:line="500" w:lineRule="exact"/>
        <w:ind w:firstLine="4560" w:firstLineChars="1900"/>
        <w:rPr>
          <w:rFonts w:eastAsia="仿宋"/>
        </w:rPr>
      </w:pPr>
      <w:r>
        <w:rPr>
          <w:rFonts w:eastAsia="仿宋"/>
        </w:rPr>
        <w:t>投标人名称（公章）：</w:t>
      </w:r>
    </w:p>
    <w:p>
      <w:pPr>
        <w:snapToGrid w:val="0"/>
        <w:spacing w:line="500" w:lineRule="exact"/>
        <w:ind w:firstLine="4560" w:firstLineChars="1900"/>
        <w:rPr>
          <w:rFonts w:eastAsia="仿宋"/>
        </w:rPr>
      </w:pPr>
    </w:p>
    <w:p>
      <w:pPr>
        <w:snapToGrid w:val="0"/>
        <w:spacing w:line="500" w:lineRule="exact"/>
        <w:rPr>
          <w:rFonts w:eastAsia="仿宋"/>
        </w:rPr>
      </w:pPr>
    </w:p>
    <w:p>
      <w:pPr>
        <w:snapToGrid w:val="0"/>
        <w:spacing w:line="500" w:lineRule="exact"/>
        <w:ind w:firstLine="4560" w:firstLineChars="1900"/>
        <w:rPr>
          <w:rFonts w:eastAsia="仿宋"/>
        </w:rPr>
      </w:pPr>
      <w:r>
        <w:rPr>
          <w:rFonts w:eastAsia="仿宋"/>
        </w:rPr>
        <w:t>法定代表人或授权代理人(签字)：</w:t>
      </w:r>
    </w:p>
    <w:p>
      <w:pPr>
        <w:snapToGrid w:val="0"/>
        <w:spacing w:line="500" w:lineRule="exact"/>
        <w:rPr>
          <w:rFonts w:eastAsia="仿宋"/>
        </w:rPr>
      </w:pPr>
    </w:p>
    <w:p>
      <w:pPr>
        <w:snapToGrid w:val="0"/>
        <w:spacing w:line="500" w:lineRule="exact"/>
        <w:ind w:firstLine="4560" w:firstLineChars="1900"/>
        <w:rPr>
          <w:rFonts w:eastAsia="仿宋"/>
        </w:rPr>
      </w:pPr>
    </w:p>
    <w:p>
      <w:pPr>
        <w:snapToGrid w:val="0"/>
        <w:spacing w:line="500" w:lineRule="exact"/>
        <w:ind w:firstLine="4560" w:firstLineChars="1900"/>
        <w:rPr>
          <w:rFonts w:eastAsia="仿宋"/>
        </w:rPr>
      </w:pPr>
      <w:r>
        <w:rPr>
          <w:rFonts w:eastAsia="仿宋"/>
        </w:rPr>
        <w:t>日期：</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snapToGrid w:val="0"/>
        <w:spacing w:line="500" w:lineRule="exact"/>
        <w:rPr>
          <w:rFonts w:eastAsia="仿宋"/>
        </w:rPr>
      </w:pPr>
    </w:p>
    <w:p>
      <w:pPr>
        <w:ind w:firstLine="480" w:firstLineChars="20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DejaVu Sans">
    <w:altName w:val="Times New Roman"/>
    <w:panose1 w:val="00000000000000000000"/>
    <w:charset w:val="00"/>
    <w:family w:val="roman"/>
    <w:pitch w:val="default"/>
    <w:sig w:usb0="00000000" w:usb1="00000000" w:usb2="0A246029" w:usb3="0400200C" w:csb0="600001FF" w:csb1="DFFF0000"/>
  </w:font>
  <w:font w:name="方正黑体_GBK">
    <w:altName w:val="微软雅黑"/>
    <w:panose1 w:val="03000509000000000000"/>
    <w:charset w:val="86"/>
    <w:family w:val="auto"/>
    <w:pitch w:val="default"/>
    <w:sig w:usb0="00000000" w:usb1="00000000" w:usb2="00000000" w:usb3="00000000" w:csb0="00040000" w:csb1="00000000"/>
  </w:font>
  <w:font w:name="Univers LT Std 45 Light">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华文彩云">
    <w:altName w:val="微软雅黑"/>
    <w:panose1 w:val="0201080004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公文小标宋简">
    <w:altName w:val="微软雅黑"/>
    <w:panose1 w:val="00000000000000000000"/>
    <w:charset w:val="00"/>
    <w:family w:val="auto"/>
    <w:pitch w:val="default"/>
    <w:sig w:usb0="00000000" w:usb1="00000000" w:usb2="00000000"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1"/>
                            <w:rPr>
                              <w:rFonts w:eastAsia="宋体"/>
                            </w:rPr>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Afb01vZAQAAsgMAAA4AAAAAAAAA&#10;AQAgAAAAIgEAAGRycy9lMm9Eb2MueG1sUEsFBgAAAAAGAAYAWQEAAG0FAAAAAA==&#10;">
              <v:fill on="f" focussize="0,0"/>
              <v:stroke on="f" weight="1.25pt"/>
              <v:imagedata o:title=""/>
              <o:lock v:ext="edit" aspectratio="f"/>
              <v:textbox inset="0mm,0mm,0mm,0mm" style="mso-fit-shape-to-text:t;">
                <w:txbxContent>
                  <w:p>
                    <w:pPr>
                      <w:pStyle w:val="41"/>
                      <w:rPr>
                        <w:rFonts w:eastAsia="宋体"/>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1"/>
                            <w:rPr>
                              <w:rFonts w:eastAsia="宋体"/>
                            </w:rPr>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ArBLzfZAQAAsgMAAA4AAAAAAAAA&#10;AQAgAAAAIgEAAGRycy9lMm9Eb2MueG1sUEsFBgAAAAAGAAYAWQEAAG0FAAAAAA==&#10;">
              <v:fill on="f" focussize="0,0"/>
              <v:stroke on="f" weight="1.25pt"/>
              <v:imagedata o:title=""/>
              <o:lock v:ext="edit" aspectratio="f"/>
              <v:textbox inset="0mm,0mm,0mm,0mm" style="mso-fit-shape-to-text:t;">
                <w:txbxContent>
                  <w:p>
                    <w:pPr>
                      <w:pStyle w:val="41"/>
                      <w:rPr>
                        <w:rFonts w:eastAsia="宋体"/>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1"/>
                            <w:rPr>
                              <w:rFonts w:eastAsia="宋体"/>
                            </w:rPr>
                          </w:pPr>
                          <w:r>
                            <w:fldChar w:fldCharType="begin"/>
                          </w:r>
                          <w:r>
                            <w:instrText xml:space="preserve"> PAGE  \* MERGEFORMAT </w:instrText>
                          </w:r>
                          <w:r>
                            <w:fldChar w:fldCharType="separate"/>
                          </w:r>
                          <w:r>
                            <w:t>114</w:t>
                          </w:r>
                          <w:r>
                            <w:fldChar w:fldCharType="end"/>
                          </w:r>
                        </w:p>
                      </w:txbxContent>
                    </wps:txbx>
                    <wps:bodyPr wrap="none" lIns="0" tIns="0" rIns="0" bIns="0" upright="1">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b7IUNgBAACyAwAADgAAAAAAAAAB&#10;ACAAAAAiAQAAZHJzL2Uyb0RvYy54bWxQSwUGAAAAAAYABgBZAQAAbAUAAAAA&#10;">
              <v:fill on="f" focussize="0,0"/>
              <v:stroke on="f" weight="1.25pt"/>
              <v:imagedata o:title=""/>
              <o:lock v:ext="edit" aspectratio="f"/>
              <v:textbox inset="0mm,0mm,0mm,0mm" style="mso-fit-shape-to-text:t;">
                <w:txbxContent>
                  <w:p>
                    <w:pPr>
                      <w:pStyle w:val="41"/>
                      <w:rPr>
                        <w:rFonts w:eastAsia="宋体"/>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tabs>
        <w:tab w:val="center" w:pos="4620"/>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1"/>
                          </w:pPr>
                          <w:r>
                            <w:fldChar w:fldCharType="begin"/>
                          </w:r>
                          <w:r>
                            <w:instrText xml:space="preserve"> PAGE  \* MERGEFORMAT </w:instrText>
                          </w:r>
                          <w:r>
                            <w:fldChar w:fldCharType="separate"/>
                          </w:r>
                          <w:r>
                            <w:rPr>
                              <w:rFonts w:hint="eastAsia"/>
                            </w:rPr>
                            <w:t>- 40 -</w:t>
                          </w:r>
                          <w:r>
                            <w:rPr>
                              <w:rFonts w:hint="eastAsia"/>
                            </w:rPr>
                            <w:fldChar w:fldCharType="end"/>
                          </w:r>
                        </w:p>
                      </w:txbxContent>
                    </wps:txbx>
                    <wps:bodyPr wrap="none" lIns="0" tIns="0" rIns="0" bIns="0" upright="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M8cdXZAQAAsgMAAA4AAAAAAAAA&#10;AQAgAAAAIgEAAGRycy9lMm9Eb2MueG1sUEsFBgAAAAAGAAYAWQEAAG0FAAAAAA==&#10;">
              <v:fill on="f" focussize="0,0"/>
              <v:stroke on="f" weight="1.25pt"/>
              <v:imagedata o:title=""/>
              <o:lock v:ext="edit" aspectratio="f"/>
              <v:textbox inset="0mm,0mm,0mm,0mm" style="mso-fit-shape-to-text:t;">
                <w:txbxContent>
                  <w:p>
                    <w:pPr>
                      <w:pStyle w:val="41"/>
                    </w:pPr>
                    <w:r>
                      <w:fldChar w:fldCharType="begin"/>
                    </w:r>
                    <w:r>
                      <w:instrText xml:space="preserve"> PAGE  \* MERGEFORMAT </w:instrText>
                    </w:r>
                    <w:r>
                      <w:fldChar w:fldCharType="separate"/>
                    </w:r>
                    <w:r>
                      <w:rPr>
                        <w:rFonts w:hint="eastAsia"/>
                      </w:rPr>
                      <w:t>- 40 -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1"/>
      </w:pBdr>
      <w:tabs>
        <w:tab w:val="right" w:pos="8312"/>
        <w:tab w:val="clear" w:pos="8306"/>
      </w:tabs>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2"/>
      <w:numFmt w:val="decimal"/>
      <w:suff w:val="nothing"/>
      <w:lvlText w:val="%1、"/>
      <w:lvlJc w:val="left"/>
    </w:lvl>
    <w:lvl w:ilvl="1" w:tentative="0">
      <w:start w:val="1"/>
      <w:numFmt w:val="bullet"/>
      <w:lvlText w:val="•"/>
      <w:lvlJc w:val="left"/>
      <w:pPr>
        <w:tabs>
          <w:tab w:val="left" w:pos="1364"/>
        </w:tabs>
        <w:ind w:left="1364" w:hanging="360"/>
      </w:pPr>
      <w:rPr>
        <w:rFonts w:hint="default" w:ascii="Times New Roman" w:hAnsi="Times New Roman"/>
      </w:rPr>
    </w:lvl>
    <w:lvl w:ilvl="2" w:tentative="0">
      <w:start w:val="1"/>
      <w:numFmt w:val="bullet"/>
      <w:lvlText w:val="•"/>
      <w:lvlJc w:val="left"/>
      <w:pPr>
        <w:tabs>
          <w:tab w:val="left" w:pos="2084"/>
        </w:tabs>
        <w:ind w:left="2084" w:hanging="360"/>
      </w:pPr>
      <w:rPr>
        <w:rFonts w:hint="default" w:ascii="Times New Roman" w:hAnsi="Times New Roman"/>
      </w:rPr>
    </w:lvl>
    <w:lvl w:ilvl="3" w:tentative="0">
      <w:start w:val="1"/>
      <w:numFmt w:val="bullet"/>
      <w:lvlText w:val="•"/>
      <w:lvlJc w:val="left"/>
      <w:pPr>
        <w:tabs>
          <w:tab w:val="left" w:pos="2804"/>
        </w:tabs>
        <w:ind w:left="2804" w:hanging="360"/>
      </w:pPr>
      <w:rPr>
        <w:rFonts w:hint="default" w:ascii="Times New Roman" w:hAnsi="Times New Roman"/>
      </w:rPr>
    </w:lvl>
    <w:lvl w:ilvl="4" w:tentative="0">
      <w:start w:val="1"/>
      <w:numFmt w:val="bullet"/>
      <w:lvlText w:val="•"/>
      <w:lvlJc w:val="left"/>
      <w:pPr>
        <w:tabs>
          <w:tab w:val="left" w:pos="3524"/>
        </w:tabs>
        <w:ind w:left="3524" w:hanging="360"/>
      </w:pPr>
      <w:rPr>
        <w:rFonts w:hint="default" w:ascii="Times New Roman" w:hAnsi="Times New Roman"/>
      </w:rPr>
    </w:lvl>
    <w:lvl w:ilvl="5" w:tentative="0">
      <w:start w:val="1"/>
      <w:numFmt w:val="bullet"/>
      <w:lvlText w:val="•"/>
      <w:lvlJc w:val="left"/>
      <w:pPr>
        <w:tabs>
          <w:tab w:val="left" w:pos="4244"/>
        </w:tabs>
        <w:ind w:left="4244" w:hanging="360"/>
      </w:pPr>
      <w:rPr>
        <w:rFonts w:hint="default" w:ascii="Times New Roman" w:hAnsi="Times New Roman"/>
      </w:rPr>
    </w:lvl>
    <w:lvl w:ilvl="6" w:tentative="0">
      <w:start w:val="1"/>
      <w:numFmt w:val="bullet"/>
      <w:lvlText w:val="•"/>
      <w:lvlJc w:val="left"/>
      <w:pPr>
        <w:tabs>
          <w:tab w:val="left" w:pos="4964"/>
        </w:tabs>
        <w:ind w:left="4964" w:hanging="360"/>
      </w:pPr>
      <w:rPr>
        <w:rFonts w:hint="default" w:ascii="Times New Roman" w:hAnsi="Times New Roman"/>
      </w:rPr>
    </w:lvl>
    <w:lvl w:ilvl="7" w:tentative="0">
      <w:start w:val="1"/>
      <w:numFmt w:val="bullet"/>
      <w:lvlText w:val="•"/>
      <w:lvlJc w:val="left"/>
      <w:pPr>
        <w:tabs>
          <w:tab w:val="left" w:pos="5684"/>
        </w:tabs>
        <w:ind w:left="5684" w:hanging="360"/>
      </w:pPr>
      <w:rPr>
        <w:rFonts w:hint="default" w:ascii="Times New Roman" w:hAnsi="Times New Roman"/>
      </w:rPr>
    </w:lvl>
    <w:lvl w:ilvl="8" w:tentative="0">
      <w:start w:val="1"/>
      <w:numFmt w:val="bullet"/>
      <w:lvlText w:val="•"/>
      <w:lvlJc w:val="left"/>
      <w:pPr>
        <w:tabs>
          <w:tab w:val="left" w:pos="6404"/>
        </w:tabs>
        <w:ind w:left="6404" w:hanging="360"/>
      </w:pPr>
      <w:rPr>
        <w:rFonts w:hint="default" w:ascii="Times New Roman" w:hAnsi="Times New Roman"/>
      </w:rPr>
    </w:lvl>
  </w:abstractNum>
  <w:abstractNum w:abstractNumId="1">
    <w:nsid w:val="00000008"/>
    <w:multiLevelType w:val="multilevel"/>
    <w:tmpl w:val="00000008"/>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9CA32A1"/>
    <w:multiLevelType w:val="multilevel"/>
    <w:tmpl w:val="09CA32A1"/>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51BC27"/>
    <w:multiLevelType w:val="singleLevel"/>
    <w:tmpl w:val="1E51BC27"/>
    <w:lvl w:ilvl="0" w:tentative="0">
      <w:start w:val="3"/>
      <w:numFmt w:val="chineseCounting"/>
      <w:suff w:val="space"/>
      <w:lvlText w:val="第%1部分"/>
      <w:lvlJc w:val="left"/>
      <w:rPr>
        <w:rFonts w:hint="eastAsia"/>
      </w:rPr>
    </w:lvl>
  </w:abstractNum>
  <w:abstractNum w:abstractNumId="4">
    <w:nsid w:val="2C3E0C54"/>
    <w:multiLevelType w:val="multilevel"/>
    <w:tmpl w:val="2C3E0C54"/>
    <w:lvl w:ilvl="0" w:tentative="0">
      <w:start w:val="1"/>
      <w:numFmt w:val="decimal"/>
      <w:suff w:val="nothing"/>
      <w:lvlText w:val="%1."/>
      <w:lvlJc w:val="left"/>
      <w:pPr>
        <w:ind w:left="900" w:hanging="90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5">
    <w:nsid w:val="3CA6706F"/>
    <w:multiLevelType w:val="multilevel"/>
    <w:tmpl w:val="3CA6706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0A00E16"/>
    <w:multiLevelType w:val="multilevel"/>
    <w:tmpl w:val="40A00E16"/>
    <w:lvl w:ilvl="0" w:tentative="0">
      <w:start w:val="1"/>
      <w:numFmt w:val="decimal"/>
      <w:pStyle w:val="3"/>
      <w:suff w:val="space"/>
      <w:lvlText w:val="%1"/>
      <w:lvlJc w:val="left"/>
      <w:pPr>
        <w:ind w:left="0" w:firstLine="0"/>
      </w:pPr>
      <w:rPr>
        <w:rFonts w:hint="eastAsia"/>
      </w:rPr>
    </w:lvl>
    <w:lvl w:ilvl="1" w:tentative="0">
      <w:start w:val="1"/>
      <w:numFmt w:val="decimal"/>
      <w:pStyle w:val="5"/>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pStyle w:val="7"/>
      <w:suff w:val="space"/>
      <w:lvlText w:val="%1.%2.%3.%4"/>
      <w:lvlJc w:val="left"/>
      <w:pPr>
        <w:ind w:left="0" w:firstLine="0"/>
      </w:pPr>
      <w:rPr>
        <w:rFonts w:hint="eastAsia"/>
      </w:rPr>
    </w:lvl>
    <w:lvl w:ilvl="4" w:tentative="0">
      <w:start w:val="1"/>
      <w:numFmt w:val="decimal"/>
      <w:pStyle w:val="8"/>
      <w:suff w:val="space"/>
      <w:lvlText w:val="%1.%2.%3.%4.%5"/>
      <w:lvlJc w:val="left"/>
      <w:pPr>
        <w:ind w:left="0" w:firstLine="0"/>
      </w:pPr>
      <w:rPr>
        <w:rFonts w:hint="eastAsia"/>
      </w:rPr>
    </w:lvl>
    <w:lvl w:ilvl="5" w:tentative="0">
      <w:start w:val="1"/>
      <w:numFmt w:val="decimal"/>
      <w:pStyle w:val="9"/>
      <w:suff w:val="space"/>
      <w:lvlText w:val="%1.%2.%3.%4.%5.%6"/>
      <w:lvlJc w:val="left"/>
      <w:pPr>
        <w:ind w:left="0" w:firstLine="0"/>
      </w:pPr>
      <w:rPr>
        <w:rFonts w:hint="eastAsia"/>
      </w:rPr>
    </w:lvl>
    <w:lvl w:ilvl="6" w:tentative="0">
      <w:start w:val="1"/>
      <w:numFmt w:val="decimal"/>
      <w:pStyle w:val="10"/>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5A33DB58"/>
    <w:multiLevelType w:val="singleLevel"/>
    <w:tmpl w:val="5A33DB58"/>
    <w:lvl w:ilvl="0" w:tentative="0">
      <w:start w:val="1"/>
      <w:numFmt w:val="decimalEnclosedCircleChinese"/>
      <w:suff w:val="nothing"/>
      <w:lvlText w:val="%1-"/>
      <w:lvlJc w:val="left"/>
      <w:rPr>
        <w:rFonts w:hint="eastAsia"/>
      </w:rPr>
    </w:lvl>
  </w:abstractNum>
  <w:abstractNum w:abstractNumId="8">
    <w:nsid w:val="7919794F"/>
    <w:multiLevelType w:val="multilevel"/>
    <w:tmpl w:val="791979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3"/>
  </w:num>
  <w:num w:numId="4">
    <w:abstractNumId w:val="5"/>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172A27"/>
    <w:rsid w:val="00001907"/>
    <w:rsid w:val="000023C2"/>
    <w:rsid w:val="0000330B"/>
    <w:rsid w:val="000061A3"/>
    <w:rsid w:val="0000682E"/>
    <w:rsid w:val="000072E6"/>
    <w:rsid w:val="000073C1"/>
    <w:rsid w:val="00015280"/>
    <w:rsid w:val="000163B8"/>
    <w:rsid w:val="000221FF"/>
    <w:rsid w:val="00025E1D"/>
    <w:rsid w:val="00026D34"/>
    <w:rsid w:val="00031561"/>
    <w:rsid w:val="00034B01"/>
    <w:rsid w:val="000357FF"/>
    <w:rsid w:val="00035840"/>
    <w:rsid w:val="00036A69"/>
    <w:rsid w:val="00043809"/>
    <w:rsid w:val="0005254C"/>
    <w:rsid w:val="00053112"/>
    <w:rsid w:val="00055A3C"/>
    <w:rsid w:val="0006054B"/>
    <w:rsid w:val="00060F48"/>
    <w:rsid w:val="00063EF9"/>
    <w:rsid w:val="00064DA9"/>
    <w:rsid w:val="00065415"/>
    <w:rsid w:val="0007024A"/>
    <w:rsid w:val="00071F92"/>
    <w:rsid w:val="0007524F"/>
    <w:rsid w:val="0007597F"/>
    <w:rsid w:val="000802BE"/>
    <w:rsid w:val="00085524"/>
    <w:rsid w:val="00091FAC"/>
    <w:rsid w:val="00095313"/>
    <w:rsid w:val="000969B8"/>
    <w:rsid w:val="000A0DDB"/>
    <w:rsid w:val="000A1391"/>
    <w:rsid w:val="000A3545"/>
    <w:rsid w:val="000B124B"/>
    <w:rsid w:val="000B35D0"/>
    <w:rsid w:val="000B51FA"/>
    <w:rsid w:val="000C37B7"/>
    <w:rsid w:val="000C79D3"/>
    <w:rsid w:val="000D0548"/>
    <w:rsid w:val="000D24F5"/>
    <w:rsid w:val="000D4957"/>
    <w:rsid w:val="000D6F68"/>
    <w:rsid w:val="000D778D"/>
    <w:rsid w:val="000E162E"/>
    <w:rsid w:val="000E1852"/>
    <w:rsid w:val="000E36F5"/>
    <w:rsid w:val="000F042E"/>
    <w:rsid w:val="000F3AAD"/>
    <w:rsid w:val="000F465F"/>
    <w:rsid w:val="000F46AE"/>
    <w:rsid w:val="000F4E90"/>
    <w:rsid w:val="001023CC"/>
    <w:rsid w:val="001035E5"/>
    <w:rsid w:val="00107B8A"/>
    <w:rsid w:val="00113190"/>
    <w:rsid w:val="00113CF2"/>
    <w:rsid w:val="00134BF0"/>
    <w:rsid w:val="00137F2E"/>
    <w:rsid w:val="00140A15"/>
    <w:rsid w:val="00150DBA"/>
    <w:rsid w:val="0015112E"/>
    <w:rsid w:val="001515B4"/>
    <w:rsid w:val="0015221F"/>
    <w:rsid w:val="001554AE"/>
    <w:rsid w:val="001559B6"/>
    <w:rsid w:val="00162E1D"/>
    <w:rsid w:val="00164FA8"/>
    <w:rsid w:val="001659A9"/>
    <w:rsid w:val="001660B4"/>
    <w:rsid w:val="0016623B"/>
    <w:rsid w:val="001678F1"/>
    <w:rsid w:val="00171034"/>
    <w:rsid w:val="00171B48"/>
    <w:rsid w:val="00172A27"/>
    <w:rsid w:val="001768F7"/>
    <w:rsid w:val="001775C6"/>
    <w:rsid w:val="001808F3"/>
    <w:rsid w:val="00180E9F"/>
    <w:rsid w:val="001823B5"/>
    <w:rsid w:val="00184A1D"/>
    <w:rsid w:val="00187325"/>
    <w:rsid w:val="00187B05"/>
    <w:rsid w:val="001900D2"/>
    <w:rsid w:val="00196DF2"/>
    <w:rsid w:val="001A06BB"/>
    <w:rsid w:val="001A1FD9"/>
    <w:rsid w:val="001A3D6D"/>
    <w:rsid w:val="001A46E9"/>
    <w:rsid w:val="001A4CE8"/>
    <w:rsid w:val="001A5B52"/>
    <w:rsid w:val="001B1D42"/>
    <w:rsid w:val="001B2103"/>
    <w:rsid w:val="001B3AF3"/>
    <w:rsid w:val="001B546B"/>
    <w:rsid w:val="001B5541"/>
    <w:rsid w:val="001B63B3"/>
    <w:rsid w:val="001B65C9"/>
    <w:rsid w:val="001B6695"/>
    <w:rsid w:val="001C6C6C"/>
    <w:rsid w:val="001C72A5"/>
    <w:rsid w:val="001D21D0"/>
    <w:rsid w:val="001D36EF"/>
    <w:rsid w:val="001E1841"/>
    <w:rsid w:val="001E5E44"/>
    <w:rsid w:val="001E68DC"/>
    <w:rsid w:val="001E7A6B"/>
    <w:rsid w:val="001F0C5B"/>
    <w:rsid w:val="001F3279"/>
    <w:rsid w:val="001F465C"/>
    <w:rsid w:val="001F5717"/>
    <w:rsid w:val="001F6C39"/>
    <w:rsid w:val="00201F35"/>
    <w:rsid w:val="00202F5A"/>
    <w:rsid w:val="00203D42"/>
    <w:rsid w:val="00214E8C"/>
    <w:rsid w:val="002376A8"/>
    <w:rsid w:val="00241663"/>
    <w:rsid w:val="00243E90"/>
    <w:rsid w:val="00243F16"/>
    <w:rsid w:val="002451AB"/>
    <w:rsid w:val="00245592"/>
    <w:rsid w:val="002458EA"/>
    <w:rsid w:val="0024603E"/>
    <w:rsid w:val="00246293"/>
    <w:rsid w:val="002521AD"/>
    <w:rsid w:val="002623EF"/>
    <w:rsid w:val="002728D5"/>
    <w:rsid w:val="00273999"/>
    <w:rsid w:val="00273A78"/>
    <w:rsid w:val="00273FA7"/>
    <w:rsid w:val="002815B6"/>
    <w:rsid w:val="00281730"/>
    <w:rsid w:val="00290318"/>
    <w:rsid w:val="002905BD"/>
    <w:rsid w:val="00290BDA"/>
    <w:rsid w:val="00290EA0"/>
    <w:rsid w:val="00294978"/>
    <w:rsid w:val="00296DC6"/>
    <w:rsid w:val="002973AA"/>
    <w:rsid w:val="002A271C"/>
    <w:rsid w:val="002A4267"/>
    <w:rsid w:val="002B26AE"/>
    <w:rsid w:val="002B557A"/>
    <w:rsid w:val="002B77D5"/>
    <w:rsid w:val="002B7C8B"/>
    <w:rsid w:val="002C1B7B"/>
    <w:rsid w:val="002C4BBF"/>
    <w:rsid w:val="002C52DF"/>
    <w:rsid w:val="002C66C1"/>
    <w:rsid w:val="002D1096"/>
    <w:rsid w:val="002D2420"/>
    <w:rsid w:val="002D6280"/>
    <w:rsid w:val="002E1147"/>
    <w:rsid w:val="002E1FDF"/>
    <w:rsid w:val="002E249C"/>
    <w:rsid w:val="002E37AC"/>
    <w:rsid w:val="002E75CB"/>
    <w:rsid w:val="002F083F"/>
    <w:rsid w:val="002F27C1"/>
    <w:rsid w:val="002F4C23"/>
    <w:rsid w:val="002F65B4"/>
    <w:rsid w:val="002F7007"/>
    <w:rsid w:val="002F726E"/>
    <w:rsid w:val="003003F5"/>
    <w:rsid w:val="003013C1"/>
    <w:rsid w:val="00303BD4"/>
    <w:rsid w:val="00307DEF"/>
    <w:rsid w:val="00312010"/>
    <w:rsid w:val="003219FB"/>
    <w:rsid w:val="00322544"/>
    <w:rsid w:val="00327C36"/>
    <w:rsid w:val="00332869"/>
    <w:rsid w:val="003336E9"/>
    <w:rsid w:val="00333CE2"/>
    <w:rsid w:val="003366E6"/>
    <w:rsid w:val="00350408"/>
    <w:rsid w:val="00360ABA"/>
    <w:rsid w:val="003679FF"/>
    <w:rsid w:val="0037094E"/>
    <w:rsid w:val="0037103C"/>
    <w:rsid w:val="00371755"/>
    <w:rsid w:val="003736B4"/>
    <w:rsid w:val="00375115"/>
    <w:rsid w:val="00375671"/>
    <w:rsid w:val="00375DE6"/>
    <w:rsid w:val="00376807"/>
    <w:rsid w:val="00383DA9"/>
    <w:rsid w:val="003925D2"/>
    <w:rsid w:val="00393130"/>
    <w:rsid w:val="00396CA0"/>
    <w:rsid w:val="003A291C"/>
    <w:rsid w:val="003A3AF7"/>
    <w:rsid w:val="003A5C8E"/>
    <w:rsid w:val="003B06C6"/>
    <w:rsid w:val="003B1C56"/>
    <w:rsid w:val="003B25CE"/>
    <w:rsid w:val="003C359A"/>
    <w:rsid w:val="003C59E0"/>
    <w:rsid w:val="003D38CC"/>
    <w:rsid w:val="003E07F1"/>
    <w:rsid w:val="003E16E9"/>
    <w:rsid w:val="003E1D90"/>
    <w:rsid w:val="003E2FBC"/>
    <w:rsid w:val="003E63F5"/>
    <w:rsid w:val="003E6EEC"/>
    <w:rsid w:val="003E6FBA"/>
    <w:rsid w:val="003E78AB"/>
    <w:rsid w:val="003F1B1E"/>
    <w:rsid w:val="003F257B"/>
    <w:rsid w:val="003F3D2C"/>
    <w:rsid w:val="003F4B6C"/>
    <w:rsid w:val="003F5C9A"/>
    <w:rsid w:val="004158C7"/>
    <w:rsid w:val="00415A99"/>
    <w:rsid w:val="0041733A"/>
    <w:rsid w:val="00422BEB"/>
    <w:rsid w:val="004237A8"/>
    <w:rsid w:val="0043512F"/>
    <w:rsid w:val="0044087C"/>
    <w:rsid w:val="00440FD9"/>
    <w:rsid w:val="004531CD"/>
    <w:rsid w:val="00457121"/>
    <w:rsid w:val="004575CC"/>
    <w:rsid w:val="004603A3"/>
    <w:rsid w:val="0046059B"/>
    <w:rsid w:val="00462C46"/>
    <w:rsid w:val="00463151"/>
    <w:rsid w:val="004715C8"/>
    <w:rsid w:val="004729E9"/>
    <w:rsid w:val="00473531"/>
    <w:rsid w:val="00474E4F"/>
    <w:rsid w:val="004756FC"/>
    <w:rsid w:val="00476BF6"/>
    <w:rsid w:val="004805D9"/>
    <w:rsid w:val="00487DF5"/>
    <w:rsid w:val="004A364F"/>
    <w:rsid w:val="004A3C62"/>
    <w:rsid w:val="004A3DC1"/>
    <w:rsid w:val="004A3F2F"/>
    <w:rsid w:val="004A6D1F"/>
    <w:rsid w:val="004A6D39"/>
    <w:rsid w:val="004B0770"/>
    <w:rsid w:val="004B17A4"/>
    <w:rsid w:val="004C1E66"/>
    <w:rsid w:val="004C567B"/>
    <w:rsid w:val="004C5D82"/>
    <w:rsid w:val="004D27A3"/>
    <w:rsid w:val="004D3B1F"/>
    <w:rsid w:val="004D4AF6"/>
    <w:rsid w:val="004D79FE"/>
    <w:rsid w:val="004E2569"/>
    <w:rsid w:val="004E49F2"/>
    <w:rsid w:val="004E6D79"/>
    <w:rsid w:val="004F0F4D"/>
    <w:rsid w:val="004F1EC8"/>
    <w:rsid w:val="004F3853"/>
    <w:rsid w:val="004F3E18"/>
    <w:rsid w:val="004F40E5"/>
    <w:rsid w:val="004F4B63"/>
    <w:rsid w:val="004F4FA5"/>
    <w:rsid w:val="004F5F75"/>
    <w:rsid w:val="00500378"/>
    <w:rsid w:val="00500D7C"/>
    <w:rsid w:val="005048B1"/>
    <w:rsid w:val="00507E00"/>
    <w:rsid w:val="00510F4A"/>
    <w:rsid w:val="00512563"/>
    <w:rsid w:val="00512A60"/>
    <w:rsid w:val="005140E0"/>
    <w:rsid w:val="00520972"/>
    <w:rsid w:val="00521185"/>
    <w:rsid w:val="00530313"/>
    <w:rsid w:val="005312ED"/>
    <w:rsid w:val="00535133"/>
    <w:rsid w:val="00540005"/>
    <w:rsid w:val="00540A38"/>
    <w:rsid w:val="005419EA"/>
    <w:rsid w:val="00541AA4"/>
    <w:rsid w:val="00546228"/>
    <w:rsid w:val="00552D58"/>
    <w:rsid w:val="00555182"/>
    <w:rsid w:val="00556FB0"/>
    <w:rsid w:val="00564FFE"/>
    <w:rsid w:val="005655CF"/>
    <w:rsid w:val="00572BCC"/>
    <w:rsid w:val="00576093"/>
    <w:rsid w:val="00587852"/>
    <w:rsid w:val="00591B5E"/>
    <w:rsid w:val="0059282C"/>
    <w:rsid w:val="005964BF"/>
    <w:rsid w:val="005966CF"/>
    <w:rsid w:val="005A00B8"/>
    <w:rsid w:val="005B03AB"/>
    <w:rsid w:val="005B1FE3"/>
    <w:rsid w:val="005B26A2"/>
    <w:rsid w:val="005B2813"/>
    <w:rsid w:val="005B43BC"/>
    <w:rsid w:val="005B4544"/>
    <w:rsid w:val="005C0845"/>
    <w:rsid w:val="005C5644"/>
    <w:rsid w:val="005C7540"/>
    <w:rsid w:val="005D14ED"/>
    <w:rsid w:val="005D1AC7"/>
    <w:rsid w:val="005E058C"/>
    <w:rsid w:val="005E6AF5"/>
    <w:rsid w:val="005E6EE8"/>
    <w:rsid w:val="005E79D9"/>
    <w:rsid w:val="005F2A54"/>
    <w:rsid w:val="005F6468"/>
    <w:rsid w:val="005F65AA"/>
    <w:rsid w:val="005F66DE"/>
    <w:rsid w:val="005F67D3"/>
    <w:rsid w:val="005F713F"/>
    <w:rsid w:val="005F74D7"/>
    <w:rsid w:val="006005F0"/>
    <w:rsid w:val="0060452F"/>
    <w:rsid w:val="00621D9D"/>
    <w:rsid w:val="006234C8"/>
    <w:rsid w:val="006235FB"/>
    <w:rsid w:val="00624862"/>
    <w:rsid w:val="00625684"/>
    <w:rsid w:val="00627765"/>
    <w:rsid w:val="0063129D"/>
    <w:rsid w:val="0063166C"/>
    <w:rsid w:val="006346E4"/>
    <w:rsid w:val="00635A89"/>
    <w:rsid w:val="006375E2"/>
    <w:rsid w:val="006411BF"/>
    <w:rsid w:val="0064232A"/>
    <w:rsid w:val="00652692"/>
    <w:rsid w:val="00660EED"/>
    <w:rsid w:val="0066472D"/>
    <w:rsid w:val="00664E33"/>
    <w:rsid w:val="00666542"/>
    <w:rsid w:val="00667B85"/>
    <w:rsid w:val="0067042F"/>
    <w:rsid w:val="00671C8B"/>
    <w:rsid w:val="00671CB2"/>
    <w:rsid w:val="00671F8B"/>
    <w:rsid w:val="0067222A"/>
    <w:rsid w:val="0067704A"/>
    <w:rsid w:val="006802A7"/>
    <w:rsid w:val="006817F1"/>
    <w:rsid w:val="00682A04"/>
    <w:rsid w:val="0068325C"/>
    <w:rsid w:val="00684BBD"/>
    <w:rsid w:val="00690646"/>
    <w:rsid w:val="0069132B"/>
    <w:rsid w:val="00691CD6"/>
    <w:rsid w:val="00693D3C"/>
    <w:rsid w:val="006962A3"/>
    <w:rsid w:val="00697024"/>
    <w:rsid w:val="006970EB"/>
    <w:rsid w:val="006A03D1"/>
    <w:rsid w:val="006B0831"/>
    <w:rsid w:val="006B1857"/>
    <w:rsid w:val="006B211C"/>
    <w:rsid w:val="006B2600"/>
    <w:rsid w:val="006B32A3"/>
    <w:rsid w:val="006B40D0"/>
    <w:rsid w:val="006B40F2"/>
    <w:rsid w:val="006B7543"/>
    <w:rsid w:val="006C2304"/>
    <w:rsid w:val="006C233D"/>
    <w:rsid w:val="006C3EE7"/>
    <w:rsid w:val="006C42EB"/>
    <w:rsid w:val="006C4B6B"/>
    <w:rsid w:val="006C7486"/>
    <w:rsid w:val="006C77A7"/>
    <w:rsid w:val="006D204E"/>
    <w:rsid w:val="006D6473"/>
    <w:rsid w:val="006E528C"/>
    <w:rsid w:val="0070335F"/>
    <w:rsid w:val="00714051"/>
    <w:rsid w:val="00720B1C"/>
    <w:rsid w:val="00721888"/>
    <w:rsid w:val="007253E3"/>
    <w:rsid w:val="007279BF"/>
    <w:rsid w:val="00731411"/>
    <w:rsid w:val="007333D8"/>
    <w:rsid w:val="007349C8"/>
    <w:rsid w:val="007418F2"/>
    <w:rsid w:val="00742A82"/>
    <w:rsid w:val="00746070"/>
    <w:rsid w:val="007476F1"/>
    <w:rsid w:val="00754472"/>
    <w:rsid w:val="00756E45"/>
    <w:rsid w:val="007634DC"/>
    <w:rsid w:val="00767351"/>
    <w:rsid w:val="00767AA5"/>
    <w:rsid w:val="00772D73"/>
    <w:rsid w:val="00775F65"/>
    <w:rsid w:val="007771C5"/>
    <w:rsid w:val="0079250F"/>
    <w:rsid w:val="00796771"/>
    <w:rsid w:val="007A38EE"/>
    <w:rsid w:val="007A60A0"/>
    <w:rsid w:val="007A7B89"/>
    <w:rsid w:val="007B2A10"/>
    <w:rsid w:val="007B4B05"/>
    <w:rsid w:val="007B73B0"/>
    <w:rsid w:val="007C3DEA"/>
    <w:rsid w:val="007C5695"/>
    <w:rsid w:val="007D004B"/>
    <w:rsid w:val="007D0813"/>
    <w:rsid w:val="007D0A8C"/>
    <w:rsid w:val="007D3519"/>
    <w:rsid w:val="007E19D6"/>
    <w:rsid w:val="007E2926"/>
    <w:rsid w:val="007E36AB"/>
    <w:rsid w:val="007E46A6"/>
    <w:rsid w:val="007E4A90"/>
    <w:rsid w:val="007E6E6A"/>
    <w:rsid w:val="00800125"/>
    <w:rsid w:val="0080060F"/>
    <w:rsid w:val="008069FD"/>
    <w:rsid w:val="00807FD9"/>
    <w:rsid w:val="00811144"/>
    <w:rsid w:val="008113A7"/>
    <w:rsid w:val="00813ADA"/>
    <w:rsid w:val="00820084"/>
    <w:rsid w:val="00820445"/>
    <w:rsid w:val="00822B2E"/>
    <w:rsid w:val="00830016"/>
    <w:rsid w:val="008321E6"/>
    <w:rsid w:val="00832903"/>
    <w:rsid w:val="00834B16"/>
    <w:rsid w:val="00843E4B"/>
    <w:rsid w:val="00851406"/>
    <w:rsid w:val="008531E4"/>
    <w:rsid w:val="00856FD1"/>
    <w:rsid w:val="00860056"/>
    <w:rsid w:val="0086210B"/>
    <w:rsid w:val="00863704"/>
    <w:rsid w:val="0087271A"/>
    <w:rsid w:val="008737D8"/>
    <w:rsid w:val="00874C08"/>
    <w:rsid w:val="008757C9"/>
    <w:rsid w:val="008820CD"/>
    <w:rsid w:val="00883974"/>
    <w:rsid w:val="00884740"/>
    <w:rsid w:val="00897B6A"/>
    <w:rsid w:val="008B5325"/>
    <w:rsid w:val="008B58DF"/>
    <w:rsid w:val="008B58ED"/>
    <w:rsid w:val="008C036A"/>
    <w:rsid w:val="008C0F7A"/>
    <w:rsid w:val="008C2244"/>
    <w:rsid w:val="008C2A66"/>
    <w:rsid w:val="008C3874"/>
    <w:rsid w:val="008C498C"/>
    <w:rsid w:val="008C4B88"/>
    <w:rsid w:val="008D1766"/>
    <w:rsid w:val="008D1A92"/>
    <w:rsid w:val="008D28AD"/>
    <w:rsid w:val="008D6ED5"/>
    <w:rsid w:val="008E1A8D"/>
    <w:rsid w:val="008E2173"/>
    <w:rsid w:val="008E3A5B"/>
    <w:rsid w:val="008E3DC9"/>
    <w:rsid w:val="008E4767"/>
    <w:rsid w:val="008E50A3"/>
    <w:rsid w:val="008F0283"/>
    <w:rsid w:val="008F0E61"/>
    <w:rsid w:val="008F1400"/>
    <w:rsid w:val="008F4204"/>
    <w:rsid w:val="00901853"/>
    <w:rsid w:val="00901865"/>
    <w:rsid w:val="009027AF"/>
    <w:rsid w:val="00905DDC"/>
    <w:rsid w:val="00912300"/>
    <w:rsid w:val="009130C4"/>
    <w:rsid w:val="009133D7"/>
    <w:rsid w:val="009266F6"/>
    <w:rsid w:val="00930104"/>
    <w:rsid w:val="00930392"/>
    <w:rsid w:val="00932E58"/>
    <w:rsid w:val="00944545"/>
    <w:rsid w:val="009469E3"/>
    <w:rsid w:val="009474A6"/>
    <w:rsid w:val="00950C55"/>
    <w:rsid w:val="0095648A"/>
    <w:rsid w:val="00960753"/>
    <w:rsid w:val="009617BF"/>
    <w:rsid w:val="009627E1"/>
    <w:rsid w:val="009716D2"/>
    <w:rsid w:val="009731FD"/>
    <w:rsid w:val="00974867"/>
    <w:rsid w:val="009757BD"/>
    <w:rsid w:val="009776C9"/>
    <w:rsid w:val="00980EAF"/>
    <w:rsid w:val="00981999"/>
    <w:rsid w:val="009864B2"/>
    <w:rsid w:val="009927DA"/>
    <w:rsid w:val="009A0638"/>
    <w:rsid w:val="009A0F64"/>
    <w:rsid w:val="009A19B3"/>
    <w:rsid w:val="009A1C24"/>
    <w:rsid w:val="009A1C27"/>
    <w:rsid w:val="009A65A9"/>
    <w:rsid w:val="009B3AA7"/>
    <w:rsid w:val="009B443C"/>
    <w:rsid w:val="009C3B39"/>
    <w:rsid w:val="009C487D"/>
    <w:rsid w:val="009D0E1A"/>
    <w:rsid w:val="009D33B4"/>
    <w:rsid w:val="009D36EB"/>
    <w:rsid w:val="009D79B7"/>
    <w:rsid w:val="009E01C7"/>
    <w:rsid w:val="009E4153"/>
    <w:rsid w:val="009E5072"/>
    <w:rsid w:val="009F0115"/>
    <w:rsid w:val="009F09FB"/>
    <w:rsid w:val="009F1414"/>
    <w:rsid w:val="009F2FD1"/>
    <w:rsid w:val="00A018FD"/>
    <w:rsid w:val="00A02C09"/>
    <w:rsid w:val="00A04B11"/>
    <w:rsid w:val="00A04E01"/>
    <w:rsid w:val="00A069DE"/>
    <w:rsid w:val="00A11948"/>
    <w:rsid w:val="00A1216E"/>
    <w:rsid w:val="00A137F5"/>
    <w:rsid w:val="00A178BE"/>
    <w:rsid w:val="00A20650"/>
    <w:rsid w:val="00A21F8C"/>
    <w:rsid w:val="00A22688"/>
    <w:rsid w:val="00A34A70"/>
    <w:rsid w:val="00A34BE7"/>
    <w:rsid w:val="00A41034"/>
    <w:rsid w:val="00A41795"/>
    <w:rsid w:val="00A41A1A"/>
    <w:rsid w:val="00A461CF"/>
    <w:rsid w:val="00A46F9B"/>
    <w:rsid w:val="00A522A9"/>
    <w:rsid w:val="00A54814"/>
    <w:rsid w:val="00A54F45"/>
    <w:rsid w:val="00A55B38"/>
    <w:rsid w:val="00A64EED"/>
    <w:rsid w:val="00A65417"/>
    <w:rsid w:val="00A65568"/>
    <w:rsid w:val="00A70A4E"/>
    <w:rsid w:val="00A713E7"/>
    <w:rsid w:val="00A722A6"/>
    <w:rsid w:val="00A72AA6"/>
    <w:rsid w:val="00A73424"/>
    <w:rsid w:val="00A76642"/>
    <w:rsid w:val="00A76FC3"/>
    <w:rsid w:val="00A82331"/>
    <w:rsid w:val="00A82EEA"/>
    <w:rsid w:val="00A834C6"/>
    <w:rsid w:val="00A85581"/>
    <w:rsid w:val="00A85E4B"/>
    <w:rsid w:val="00A90F9B"/>
    <w:rsid w:val="00A91777"/>
    <w:rsid w:val="00A91F1C"/>
    <w:rsid w:val="00A97403"/>
    <w:rsid w:val="00AA07C1"/>
    <w:rsid w:val="00AA1171"/>
    <w:rsid w:val="00AA5232"/>
    <w:rsid w:val="00AA600C"/>
    <w:rsid w:val="00AA6895"/>
    <w:rsid w:val="00AA73DB"/>
    <w:rsid w:val="00AB434C"/>
    <w:rsid w:val="00AB70C3"/>
    <w:rsid w:val="00AB7462"/>
    <w:rsid w:val="00AC32A2"/>
    <w:rsid w:val="00AC5125"/>
    <w:rsid w:val="00AC548E"/>
    <w:rsid w:val="00AC6871"/>
    <w:rsid w:val="00AC753C"/>
    <w:rsid w:val="00AD1BFF"/>
    <w:rsid w:val="00AE6F39"/>
    <w:rsid w:val="00AE7B14"/>
    <w:rsid w:val="00AF30CD"/>
    <w:rsid w:val="00AF3166"/>
    <w:rsid w:val="00AF4402"/>
    <w:rsid w:val="00B008F9"/>
    <w:rsid w:val="00B01A90"/>
    <w:rsid w:val="00B0280F"/>
    <w:rsid w:val="00B060D8"/>
    <w:rsid w:val="00B0631B"/>
    <w:rsid w:val="00B1105D"/>
    <w:rsid w:val="00B131AA"/>
    <w:rsid w:val="00B153AB"/>
    <w:rsid w:val="00B176A4"/>
    <w:rsid w:val="00B1773C"/>
    <w:rsid w:val="00B17C7F"/>
    <w:rsid w:val="00B2266C"/>
    <w:rsid w:val="00B27C71"/>
    <w:rsid w:val="00B30336"/>
    <w:rsid w:val="00B30BD0"/>
    <w:rsid w:val="00B310F2"/>
    <w:rsid w:val="00B33726"/>
    <w:rsid w:val="00B37C70"/>
    <w:rsid w:val="00B37F7D"/>
    <w:rsid w:val="00B4105C"/>
    <w:rsid w:val="00B418E4"/>
    <w:rsid w:val="00B442AA"/>
    <w:rsid w:val="00B50091"/>
    <w:rsid w:val="00B54BC6"/>
    <w:rsid w:val="00B56324"/>
    <w:rsid w:val="00B57D9B"/>
    <w:rsid w:val="00B61A1A"/>
    <w:rsid w:val="00B61F7D"/>
    <w:rsid w:val="00B645DC"/>
    <w:rsid w:val="00B65341"/>
    <w:rsid w:val="00B73CD1"/>
    <w:rsid w:val="00B75273"/>
    <w:rsid w:val="00B75AE7"/>
    <w:rsid w:val="00B7743A"/>
    <w:rsid w:val="00B77574"/>
    <w:rsid w:val="00B9084F"/>
    <w:rsid w:val="00B91BED"/>
    <w:rsid w:val="00B944D4"/>
    <w:rsid w:val="00B94ECB"/>
    <w:rsid w:val="00BA16AB"/>
    <w:rsid w:val="00BA1A1C"/>
    <w:rsid w:val="00BA1BD0"/>
    <w:rsid w:val="00BA784D"/>
    <w:rsid w:val="00BA79E9"/>
    <w:rsid w:val="00BA7B98"/>
    <w:rsid w:val="00BB0295"/>
    <w:rsid w:val="00BB2AF2"/>
    <w:rsid w:val="00BB4BF1"/>
    <w:rsid w:val="00BB50D3"/>
    <w:rsid w:val="00BB6EB0"/>
    <w:rsid w:val="00BC0044"/>
    <w:rsid w:val="00BD15CB"/>
    <w:rsid w:val="00BD2C71"/>
    <w:rsid w:val="00BF268E"/>
    <w:rsid w:val="00BF7C5B"/>
    <w:rsid w:val="00C00641"/>
    <w:rsid w:val="00C028A7"/>
    <w:rsid w:val="00C055E5"/>
    <w:rsid w:val="00C13F9B"/>
    <w:rsid w:val="00C14818"/>
    <w:rsid w:val="00C170CD"/>
    <w:rsid w:val="00C17FF2"/>
    <w:rsid w:val="00C21850"/>
    <w:rsid w:val="00C24C58"/>
    <w:rsid w:val="00C30F69"/>
    <w:rsid w:val="00C336E2"/>
    <w:rsid w:val="00C33E62"/>
    <w:rsid w:val="00C34D21"/>
    <w:rsid w:val="00C35610"/>
    <w:rsid w:val="00C376C5"/>
    <w:rsid w:val="00C439E4"/>
    <w:rsid w:val="00C44F52"/>
    <w:rsid w:val="00C503EF"/>
    <w:rsid w:val="00C52469"/>
    <w:rsid w:val="00C61B1F"/>
    <w:rsid w:val="00C63B5E"/>
    <w:rsid w:val="00C703A9"/>
    <w:rsid w:val="00C76B35"/>
    <w:rsid w:val="00C80D5A"/>
    <w:rsid w:val="00C82275"/>
    <w:rsid w:val="00C82790"/>
    <w:rsid w:val="00C9048B"/>
    <w:rsid w:val="00C908C1"/>
    <w:rsid w:val="00C90F61"/>
    <w:rsid w:val="00CA0219"/>
    <w:rsid w:val="00CA1A8B"/>
    <w:rsid w:val="00CA4C64"/>
    <w:rsid w:val="00CA5537"/>
    <w:rsid w:val="00CA59BA"/>
    <w:rsid w:val="00CA5CC4"/>
    <w:rsid w:val="00CB0218"/>
    <w:rsid w:val="00CB1ED7"/>
    <w:rsid w:val="00CC0346"/>
    <w:rsid w:val="00CC1816"/>
    <w:rsid w:val="00CC617E"/>
    <w:rsid w:val="00CE0DE7"/>
    <w:rsid w:val="00CE1935"/>
    <w:rsid w:val="00CE268D"/>
    <w:rsid w:val="00CE725E"/>
    <w:rsid w:val="00CF44EC"/>
    <w:rsid w:val="00D07D1F"/>
    <w:rsid w:val="00D139BE"/>
    <w:rsid w:val="00D14E0B"/>
    <w:rsid w:val="00D200A3"/>
    <w:rsid w:val="00D20B31"/>
    <w:rsid w:val="00D2555E"/>
    <w:rsid w:val="00D2664F"/>
    <w:rsid w:val="00D27C2A"/>
    <w:rsid w:val="00D32D66"/>
    <w:rsid w:val="00D3307A"/>
    <w:rsid w:val="00D362CE"/>
    <w:rsid w:val="00D42688"/>
    <w:rsid w:val="00D45572"/>
    <w:rsid w:val="00D45974"/>
    <w:rsid w:val="00D52C6A"/>
    <w:rsid w:val="00D541DB"/>
    <w:rsid w:val="00D57C19"/>
    <w:rsid w:val="00D646CE"/>
    <w:rsid w:val="00D73623"/>
    <w:rsid w:val="00D81AA3"/>
    <w:rsid w:val="00D87A9D"/>
    <w:rsid w:val="00D93156"/>
    <w:rsid w:val="00D97B21"/>
    <w:rsid w:val="00DA45BA"/>
    <w:rsid w:val="00DA7947"/>
    <w:rsid w:val="00DB2B0A"/>
    <w:rsid w:val="00DB621E"/>
    <w:rsid w:val="00DC28C3"/>
    <w:rsid w:val="00DC3F46"/>
    <w:rsid w:val="00DC4D9A"/>
    <w:rsid w:val="00DD43C1"/>
    <w:rsid w:val="00DD5A74"/>
    <w:rsid w:val="00DD6B7F"/>
    <w:rsid w:val="00DE0B86"/>
    <w:rsid w:val="00DF662F"/>
    <w:rsid w:val="00DF745B"/>
    <w:rsid w:val="00E00FEF"/>
    <w:rsid w:val="00E019BE"/>
    <w:rsid w:val="00E02695"/>
    <w:rsid w:val="00E054BE"/>
    <w:rsid w:val="00E11D7A"/>
    <w:rsid w:val="00E125B6"/>
    <w:rsid w:val="00E14116"/>
    <w:rsid w:val="00E156BB"/>
    <w:rsid w:val="00E16068"/>
    <w:rsid w:val="00E208EE"/>
    <w:rsid w:val="00E23C18"/>
    <w:rsid w:val="00E275E1"/>
    <w:rsid w:val="00E30A25"/>
    <w:rsid w:val="00E37E41"/>
    <w:rsid w:val="00E47606"/>
    <w:rsid w:val="00E55338"/>
    <w:rsid w:val="00E6442E"/>
    <w:rsid w:val="00E73BEE"/>
    <w:rsid w:val="00E76F0D"/>
    <w:rsid w:val="00E806D4"/>
    <w:rsid w:val="00E81ED7"/>
    <w:rsid w:val="00E84365"/>
    <w:rsid w:val="00E86845"/>
    <w:rsid w:val="00E90EA2"/>
    <w:rsid w:val="00E90EA7"/>
    <w:rsid w:val="00E937C9"/>
    <w:rsid w:val="00E945AA"/>
    <w:rsid w:val="00E94CAB"/>
    <w:rsid w:val="00E975DA"/>
    <w:rsid w:val="00E97B4F"/>
    <w:rsid w:val="00EA2AEF"/>
    <w:rsid w:val="00EA47C8"/>
    <w:rsid w:val="00EA48C9"/>
    <w:rsid w:val="00EA55EA"/>
    <w:rsid w:val="00EB051B"/>
    <w:rsid w:val="00EB374F"/>
    <w:rsid w:val="00EB5EBC"/>
    <w:rsid w:val="00EB6DA1"/>
    <w:rsid w:val="00EC13C5"/>
    <w:rsid w:val="00EC1970"/>
    <w:rsid w:val="00EC32BB"/>
    <w:rsid w:val="00EC3638"/>
    <w:rsid w:val="00EC437A"/>
    <w:rsid w:val="00EC63C9"/>
    <w:rsid w:val="00EC6F71"/>
    <w:rsid w:val="00EC76B9"/>
    <w:rsid w:val="00ED188E"/>
    <w:rsid w:val="00ED372D"/>
    <w:rsid w:val="00EE2D8B"/>
    <w:rsid w:val="00EE3587"/>
    <w:rsid w:val="00EE37BE"/>
    <w:rsid w:val="00EE4AD4"/>
    <w:rsid w:val="00EE4F1C"/>
    <w:rsid w:val="00EF0B43"/>
    <w:rsid w:val="00EF15EE"/>
    <w:rsid w:val="00EF3394"/>
    <w:rsid w:val="00EF37BA"/>
    <w:rsid w:val="00EF7CB3"/>
    <w:rsid w:val="00EF7DC4"/>
    <w:rsid w:val="00F01500"/>
    <w:rsid w:val="00F01FFC"/>
    <w:rsid w:val="00F0521E"/>
    <w:rsid w:val="00F06D72"/>
    <w:rsid w:val="00F11F89"/>
    <w:rsid w:val="00F14672"/>
    <w:rsid w:val="00F245A8"/>
    <w:rsid w:val="00F24F93"/>
    <w:rsid w:val="00F257C8"/>
    <w:rsid w:val="00F3050B"/>
    <w:rsid w:val="00F30718"/>
    <w:rsid w:val="00F40417"/>
    <w:rsid w:val="00F423DB"/>
    <w:rsid w:val="00F46845"/>
    <w:rsid w:val="00F46A3E"/>
    <w:rsid w:val="00F46CC0"/>
    <w:rsid w:val="00F51FE0"/>
    <w:rsid w:val="00F60A18"/>
    <w:rsid w:val="00F60A6F"/>
    <w:rsid w:val="00F6219A"/>
    <w:rsid w:val="00F623F2"/>
    <w:rsid w:val="00F633C9"/>
    <w:rsid w:val="00F64630"/>
    <w:rsid w:val="00F70A29"/>
    <w:rsid w:val="00F73BDB"/>
    <w:rsid w:val="00F81E8D"/>
    <w:rsid w:val="00F83E61"/>
    <w:rsid w:val="00F84127"/>
    <w:rsid w:val="00F84FB8"/>
    <w:rsid w:val="00F85CF4"/>
    <w:rsid w:val="00F85EC9"/>
    <w:rsid w:val="00F92658"/>
    <w:rsid w:val="00F93636"/>
    <w:rsid w:val="00FA2572"/>
    <w:rsid w:val="00FA2B8C"/>
    <w:rsid w:val="00FA4B93"/>
    <w:rsid w:val="00FA566F"/>
    <w:rsid w:val="00FA5BC8"/>
    <w:rsid w:val="00FB0CCB"/>
    <w:rsid w:val="00FB29DE"/>
    <w:rsid w:val="00FC50AD"/>
    <w:rsid w:val="00FC5B93"/>
    <w:rsid w:val="00FC65F0"/>
    <w:rsid w:val="00FC74EB"/>
    <w:rsid w:val="00FD0A9F"/>
    <w:rsid w:val="00FD3894"/>
    <w:rsid w:val="00FD6038"/>
    <w:rsid w:val="00FD7159"/>
    <w:rsid w:val="00FE047E"/>
    <w:rsid w:val="00FE2F4B"/>
    <w:rsid w:val="00FE792E"/>
    <w:rsid w:val="00FF2EDD"/>
    <w:rsid w:val="00FF3C18"/>
    <w:rsid w:val="00FF6354"/>
    <w:rsid w:val="02F130D7"/>
    <w:rsid w:val="06CC04CA"/>
    <w:rsid w:val="06FA52A7"/>
    <w:rsid w:val="128C65EF"/>
    <w:rsid w:val="136554B8"/>
    <w:rsid w:val="13DA39EC"/>
    <w:rsid w:val="13EE3E40"/>
    <w:rsid w:val="16D24864"/>
    <w:rsid w:val="178328D3"/>
    <w:rsid w:val="17E66C2E"/>
    <w:rsid w:val="1A3D3228"/>
    <w:rsid w:val="1A41056C"/>
    <w:rsid w:val="1C0969AF"/>
    <w:rsid w:val="1D5C40B0"/>
    <w:rsid w:val="1D9A0EA7"/>
    <w:rsid w:val="1ED754CC"/>
    <w:rsid w:val="27BF08F6"/>
    <w:rsid w:val="27C70672"/>
    <w:rsid w:val="293504BB"/>
    <w:rsid w:val="296B66A3"/>
    <w:rsid w:val="299852F7"/>
    <w:rsid w:val="2A9F3506"/>
    <w:rsid w:val="2B72F44A"/>
    <w:rsid w:val="2C730DD4"/>
    <w:rsid w:val="2DA453BF"/>
    <w:rsid w:val="339433BD"/>
    <w:rsid w:val="34E84718"/>
    <w:rsid w:val="351234DA"/>
    <w:rsid w:val="36533F02"/>
    <w:rsid w:val="371C3B6D"/>
    <w:rsid w:val="3BF21C3D"/>
    <w:rsid w:val="3C1B596E"/>
    <w:rsid w:val="402864BA"/>
    <w:rsid w:val="40467899"/>
    <w:rsid w:val="41196B0F"/>
    <w:rsid w:val="426D33D3"/>
    <w:rsid w:val="4529765A"/>
    <w:rsid w:val="47637F07"/>
    <w:rsid w:val="48CA130B"/>
    <w:rsid w:val="48DA1559"/>
    <w:rsid w:val="4A5C4AD7"/>
    <w:rsid w:val="4AC91949"/>
    <w:rsid w:val="4B455E7B"/>
    <w:rsid w:val="4C70498B"/>
    <w:rsid w:val="4D3B0BA5"/>
    <w:rsid w:val="4F3D0D91"/>
    <w:rsid w:val="511B7EB9"/>
    <w:rsid w:val="52012A38"/>
    <w:rsid w:val="5237616D"/>
    <w:rsid w:val="52533C23"/>
    <w:rsid w:val="533B3A49"/>
    <w:rsid w:val="53B26B85"/>
    <w:rsid w:val="54B04E17"/>
    <w:rsid w:val="54C94D19"/>
    <w:rsid w:val="58446322"/>
    <w:rsid w:val="5D9EF414"/>
    <w:rsid w:val="617A768C"/>
    <w:rsid w:val="622E3B83"/>
    <w:rsid w:val="62566D0D"/>
    <w:rsid w:val="650E3693"/>
    <w:rsid w:val="677E4DD8"/>
    <w:rsid w:val="678A6A15"/>
    <w:rsid w:val="68295D3E"/>
    <w:rsid w:val="68996E8C"/>
    <w:rsid w:val="694B7291"/>
    <w:rsid w:val="6DFB4905"/>
    <w:rsid w:val="6E3F653F"/>
    <w:rsid w:val="6F4E3790"/>
    <w:rsid w:val="717C0070"/>
    <w:rsid w:val="72366AAE"/>
    <w:rsid w:val="74E05723"/>
    <w:rsid w:val="75145F3F"/>
    <w:rsid w:val="75F9ADAD"/>
    <w:rsid w:val="767F346A"/>
    <w:rsid w:val="797D4AAC"/>
    <w:rsid w:val="7BD754E1"/>
    <w:rsid w:val="7D656121"/>
    <w:rsid w:val="7E5A17CE"/>
    <w:rsid w:val="7EF1CFDC"/>
    <w:rsid w:val="FFAFB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EastAsia" w:hAnsiTheme="minorEastAsia" w:eastAsiaTheme="minorEastAsia" w:cstheme="minorEastAsia"/>
      <w:kern w:val="2"/>
      <w:sz w:val="24"/>
      <w:szCs w:val="24"/>
      <w:lang w:val="en-US" w:eastAsia="zh-CN" w:bidi="ar-SA"/>
    </w:rPr>
  </w:style>
  <w:style w:type="paragraph" w:styleId="3">
    <w:name w:val="heading 1"/>
    <w:basedOn w:val="1"/>
    <w:next w:val="4"/>
    <w:link w:val="79"/>
    <w:qFormat/>
    <w:uiPriority w:val="0"/>
    <w:pPr>
      <w:keepNext/>
      <w:keepLines/>
      <w:numPr>
        <w:ilvl w:val="0"/>
        <w:numId w:val="1"/>
      </w:numPr>
      <w:spacing w:before="240" w:after="240"/>
      <w:outlineLvl w:val="0"/>
    </w:pPr>
    <w:rPr>
      <w:rFonts w:asciiTheme="majorEastAsia" w:hAnsiTheme="majorEastAsia" w:eastAsiaTheme="majorEastAsia" w:cstheme="majorEastAsia"/>
      <w:b/>
      <w:bCs/>
      <w:kern w:val="44"/>
      <w:sz w:val="32"/>
      <w:szCs w:val="44"/>
    </w:rPr>
  </w:style>
  <w:style w:type="paragraph" w:styleId="5">
    <w:name w:val="heading 2"/>
    <w:basedOn w:val="1"/>
    <w:next w:val="4"/>
    <w:link w:val="84"/>
    <w:unhideWhenUsed/>
    <w:qFormat/>
    <w:uiPriority w:val="0"/>
    <w:pPr>
      <w:keepNext/>
      <w:keepLines/>
      <w:numPr>
        <w:ilvl w:val="1"/>
        <w:numId w:val="1"/>
      </w:numPr>
      <w:spacing w:before="240" w:after="240"/>
      <w:outlineLvl w:val="1"/>
    </w:pPr>
    <w:rPr>
      <w:rFonts w:asciiTheme="majorEastAsia" w:hAnsiTheme="majorEastAsia" w:eastAsiaTheme="majorEastAsia" w:cstheme="majorEastAsia"/>
      <w:b/>
      <w:bCs/>
      <w:sz w:val="30"/>
      <w:szCs w:val="36"/>
    </w:rPr>
  </w:style>
  <w:style w:type="paragraph" w:styleId="6">
    <w:name w:val="heading 3"/>
    <w:basedOn w:val="1"/>
    <w:next w:val="4"/>
    <w:link w:val="113"/>
    <w:unhideWhenUsed/>
    <w:qFormat/>
    <w:uiPriority w:val="0"/>
    <w:pPr>
      <w:keepNext/>
      <w:keepLines/>
      <w:numPr>
        <w:ilvl w:val="2"/>
        <w:numId w:val="1"/>
      </w:numPr>
      <w:spacing w:before="240" w:after="240"/>
      <w:outlineLvl w:val="2"/>
    </w:pPr>
    <w:rPr>
      <w:rFonts w:asciiTheme="majorEastAsia" w:hAnsiTheme="majorEastAsia" w:eastAsiaTheme="majorEastAsia" w:cstheme="majorEastAsia"/>
      <w:b/>
      <w:bCs/>
      <w:sz w:val="28"/>
      <w:szCs w:val="32"/>
    </w:rPr>
  </w:style>
  <w:style w:type="paragraph" w:styleId="7">
    <w:name w:val="heading 4"/>
    <w:basedOn w:val="1"/>
    <w:next w:val="1"/>
    <w:link w:val="80"/>
    <w:unhideWhenUsed/>
    <w:qFormat/>
    <w:uiPriority w:val="0"/>
    <w:pPr>
      <w:keepNext/>
      <w:keepLines/>
      <w:numPr>
        <w:ilvl w:val="3"/>
        <w:numId w:val="1"/>
      </w:numPr>
      <w:spacing w:before="240" w:after="240"/>
      <w:outlineLvl w:val="3"/>
    </w:pPr>
    <w:rPr>
      <w:rFonts w:asciiTheme="majorEastAsia" w:hAnsiTheme="majorEastAsia" w:eastAsiaTheme="majorEastAsia" w:cstheme="majorEastAsia"/>
      <w:b/>
      <w:bCs/>
      <w:sz w:val="30"/>
      <w:szCs w:val="30"/>
    </w:rPr>
  </w:style>
  <w:style w:type="paragraph" w:styleId="8">
    <w:name w:val="heading 5"/>
    <w:basedOn w:val="1"/>
    <w:next w:val="1"/>
    <w:link w:val="82"/>
    <w:unhideWhenUsed/>
    <w:qFormat/>
    <w:uiPriority w:val="9"/>
    <w:pPr>
      <w:keepNext/>
      <w:keepLines/>
      <w:numPr>
        <w:ilvl w:val="4"/>
        <w:numId w:val="1"/>
      </w:numPr>
      <w:spacing w:before="240" w:after="240"/>
      <w:outlineLvl w:val="4"/>
    </w:pPr>
    <w:rPr>
      <w:rFonts w:asciiTheme="majorEastAsia" w:hAnsiTheme="majorEastAsia" w:eastAsiaTheme="majorEastAsia" w:cstheme="majorEastAsia"/>
      <w:b/>
      <w:bCs/>
      <w:sz w:val="28"/>
      <w:szCs w:val="28"/>
    </w:rPr>
  </w:style>
  <w:style w:type="paragraph" w:styleId="9">
    <w:name w:val="heading 6"/>
    <w:basedOn w:val="1"/>
    <w:next w:val="1"/>
    <w:link w:val="83"/>
    <w:unhideWhenUsed/>
    <w:qFormat/>
    <w:uiPriority w:val="9"/>
    <w:pPr>
      <w:keepNext/>
      <w:keepLines/>
      <w:numPr>
        <w:ilvl w:val="5"/>
        <w:numId w:val="1"/>
      </w:numPr>
      <w:spacing w:before="240" w:after="240"/>
      <w:outlineLvl w:val="5"/>
    </w:pPr>
    <w:rPr>
      <w:rFonts w:asciiTheme="majorEastAsia" w:hAnsiTheme="majorEastAsia" w:eastAsiaTheme="majorEastAsia" w:cstheme="majorEastAsia"/>
      <w:b/>
      <w:bCs/>
      <w:sz w:val="28"/>
      <w:szCs w:val="28"/>
    </w:rPr>
  </w:style>
  <w:style w:type="paragraph" w:styleId="10">
    <w:name w:val="heading 7"/>
    <w:basedOn w:val="1"/>
    <w:next w:val="1"/>
    <w:link w:val="86"/>
    <w:unhideWhenUsed/>
    <w:qFormat/>
    <w:uiPriority w:val="9"/>
    <w:pPr>
      <w:keepNext/>
      <w:keepLines/>
      <w:numPr>
        <w:ilvl w:val="6"/>
        <w:numId w:val="1"/>
      </w:numPr>
      <w:spacing w:before="240" w:after="240"/>
      <w:outlineLvl w:val="6"/>
    </w:pPr>
    <w:rPr>
      <w:rFonts w:asciiTheme="majorEastAsia" w:hAnsiTheme="majorEastAsia" w:eastAsiaTheme="majorEastAsia" w:cstheme="majorEastAsia"/>
      <w:b/>
      <w:bCs/>
      <w:sz w:val="28"/>
      <w:szCs w:val="28"/>
    </w:rPr>
  </w:style>
  <w:style w:type="paragraph" w:styleId="11">
    <w:name w:val="heading 8"/>
    <w:basedOn w:val="1"/>
    <w:next w:val="1"/>
    <w:link w:val="94"/>
    <w:unhideWhenUsed/>
    <w:qFormat/>
    <w:uiPriority w:val="9"/>
    <w:pPr>
      <w:keepNext/>
      <w:keepLines/>
      <w:spacing w:before="240" w:after="64" w:line="320" w:lineRule="auto"/>
      <w:outlineLvl w:val="7"/>
    </w:pPr>
    <w:rPr>
      <w:rFonts w:asciiTheme="majorHAnsi" w:hAnsiTheme="majorHAnsi" w:eastAsiaTheme="majorEastAsia" w:cstheme="majorBidi"/>
    </w:rPr>
  </w:style>
  <w:style w:type="paragraph" w:styleId="12">
    <w:name w:val="heading 9"/>
    <w:basedOn w:val="1"/>
    <w:next w:val="13"/>
    <w:link w:val="179"/>
    <w:qFormat/>
    <w:uiPriority w:val="9"/>
    <w:pPr>
      <w:keepNext/>
      <w:keepLines/>
      <w:spacing w:before="240" w:after="64" w:line="316" w:lineRule="auto"/>
      <w:outlineLvl w:val="8"/>
    </w:pPr>
    <w:rPr>
      <w:rFonts w:ascii="Arial" w:hAnsi="Arial" w:eastAsia="黑体" w:cs="Times New Roman"/>
      <w:sz w:val="21"/>
      <w:szCs w:val="20"/>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7"/>
    <w:unhideWhenUsed/>
    <w:qFormat/>
    <w:uiPriority w:val="0"/>
    <w:pPr>
      <w:spacing w:after="120"/>
    </w:pPr>
  </w:style>
  <w:style w:type="paragraph" w:styleId="4">
    <w:name w:val="No Spacing"/>
    <w:qFormat/>
    <w:uiPriority w:val="0"/>
    <w:rPr>
      <w:rFonts w:ascii="Calibri" w:hAnsi="Calibri" w:eastAsia="宋体" w:cs="Times New Roman"/>
      <w:sz w:val="22"/>
      <w:lang w:val="en-US" w:eastAsia="en-US" w:bidi="ar-SA"/>
    </w:rPr>
  </w:style>
  <w:style w:type="paragraph" w:styleId="13">
    <w:name w:val="Normal Indent"/>
    <w:basedOn w:val="1"/>
    <w:link w:val="238"/>
    <w:qFormat/>
    <w:uiPriority w:val="0"/>
    <w:pPr>
      <w:spacing w:line="240" w:lineRule="auto"/>
      <w:ind w:firstLine="200" w:firstLineChars="200"/>
    </w:pPr>
    <w:rPr>
      <w:rFonts w:ascii="Times New Roman" w:hAnsi="Times New Roman" w:eastAsia="宋体" w:cs="Times New Roman"/>
      <w:sz w:val="28"/>
      <w:szCs w:val="20"/>
    </w:rPr>
  </w:style>
  <w:style w:type="paragraph" w:styleId="14">
    <w:name w:val="List 3"/>
    <w:basedOn w:val="1"/>
    <w:qFormat/>
    <w:uiPriority w:val="0"/>
    <w:pPr>
      <w:spacing w:line="240" w:lineRule="auto"/>
      <w:ind w:left="600" w:leftChars="400" w:hanging="200" w:hangingChars="200"/>
    </w:pPr>
    <w:rPr>
      <w:rFonts w:ascii="Calibri" w:hAnsi="Calibri" w:eastAsia="宋体" w:cs="Times New Roman"/>
      <w:sz w:val="21"/>
    </w:rPr>
  </w:style>
  <w:style w:type="paragraph" w:styleId="15">
    <w:name w:val="toc 7"/>
    <w:basedOn w:val="1"/>
    <w:next w:val="1"/>
    <w:qFormat/>
    <w:uiPriority w:val="39"/>
    <w:pPr>
      <w:spacing w:line="240" w:lineRule="auto"/>
      <w:ind w:left="2520" w:leftChars="1200"/>
    </w:pPr>
    <w:rPr>
      <w:rFonts w:ascii="Calibri" w:hAnsi="Calibri" w:eastAsia="宋体" w:cs="Times New Roman"/>
      <w:sz w:val="21"/>
    </w:rPr>
  </w:style>
  <w:style w:type="paragraph" w:styleId="16">
    <w:name w:val="index 8"/>
    <w:basedOn w:val="1"/>
    <w:next w:val="1"/>
    <w:qFormat/>
    <w:uiPriority w:val="0"/>
    <w:pPr>
      <w:spacing w:line="240" w:lineRule="auto"/>
      <w:ind w:left="1400" w:leftChars="1400"/>
    </w:pPr>
    <w:rPr>
      <w:rFonts w:ascii="Calibri" w:hAnsi="Calibri" w:eastAsia="宋体" w:cs="Times New Roman"/>
      <w:sz w:val="21"/>
      <w:szCs w:val="20"/>
      <w:lang w:bidi="he-IL"/>
    </w:rPr>
  </w:style>
  <w:style w:type="paragraph" w:styleId="17">
    <w:name w:val="caption"/>
    <w:basedOn w:val="1"/>
    <w:next w:val="1"/>
    <w:link w:val="242"/>
    <w:qFormat/>
    <w:uiPriority w:val="0"/>
    <w:pPr>
      <w:spacing w:before="152" w:after="160" w:line="240" w:lineRule="auto"/>
    </w:pPr>
    <w:rPr>
      <w:rFonts w:ascii="Arial" w:hAnsi="Arial" w:eastAsia="黑体" w:cs="Arial"/>
      <w:sz w:val="20"/>
      <w:szCs w:val="20"/>
    </w:rPr>
  </w:style>
  <w:style w:type="paragraph" w:styleId="18">
    <w:name w:val="index 5"/>
    <w:basedOn w:val="1"/>
    <w:next w:val="1"/>
    <w:qFormat/>
    <w:uiPriority w:val="0"/>
    <w:pPr>
      <w:spacing w:line="240" w:lineRule="auto"/>
      <w:ind w:left="800" w:leftChars="800"/>
    </w:pPr>
    <w:rPr>
      <w:rFonts w:ascii="Calibri" w:hAnsi="Calibri" w:eastAsia="宋体" w:cs="Times New Roman"/>
      <w:sz w:val="21"/>
      <w:szCs w:val="20"/>
      <w:lang w:bidi="he-IL"/>
    </w:rPr>
  </w:style>
  <w:style w:type="paragraph" w:styleId="19">
    <w:name w:val="List Bullet"/>
    <w:basedOn w:val="1"/>
    <w:qFormat/>
    <w:uiPriority w:val="0"/>
    <w:pPr>
      <w:tabs>
        <w:tab w:val="left" w:pos="360"/>
        <w:tab w:val="left" w:pos="1344"/>
      </w:tabs>
      <w:ind w:firstLine="624"/>
      <w:contextualSpacing/>
    </w:pPr>
    <w:rPr>
      <w:rFonts w:ascii="Calibri" w:hAnsi="Calibri" w:eastAsia="宋体" w:cs="Times New Roman"/>
      <w:szCs w:val="21"/>
    </w:rPr>
  </w:style>
  <w:style w:type="paragraph" w:styleId="20">
    <w:name w:val="envelope address"/>
    <w:basedOn w:val="1"/>
    <w:qFormat/>
    <w:uiPriority w:val="0"/>
    <w:pPr>
      <w:adjustRightInd w:val="0"/>
      <w:spacing w:line="480" w:lineRule="atLeast"/>
      <w:ind w:left="2880"/>
      <w:textAlignment w:val="baseline"/>
    </w:pPr>
    <w:rPr>
      <w:rFonts w:ascii="Calibri" w:hAnsi="Calibri" w:eastAsia="魏碑体" w:cs="Times New Roman"/>
      <w:spacing w:val="10"/>
      <w:kern w:val="0"/>
      <w:sz w:val="32"/>
      <w:szCs w:val="20"/>
    </w:rPr>
  </w:style>
  <w:style w:type="paragraph" w:styleId="21">
    <w:name w:val="Document Map"/>
    <w:basedOn w:val="1"/>
    <w:link w:val="107"/>
    <w:unhideWhenUsed/>
    <w:qFormat/>
    <w:uiPriority w:val="0"/>
    <w:rPr>
      <w:rFonts w:ascii="宋体" w:eastAsia="宋体"/>
      <w:sz w:val="18"/>
      <w:szCs w:val="18"/>
    </w:rPr>
  </w:style>
  <w:style w:type="paragraph" w:styleId="22">
    <w:name w:val="annotation text"/>
    <w:basedOn w:val="1"/>
    <w:link w:val="95"/>
    <w:unhideWhenUsed/>
    <w:qFormat/>
    <w:uiPriority w:val="0"/>
    <w:pPr>
      <w:jc w:val="left"/>
    </w:pPr>
  </w:style>
  <w:style w:type="paragraph" w:styleId="23">
    <w:name w:val="index 6"/>
    <w:basedOn w:val="1"/>
    <w:next w:val="1"/>
    <w:qFormat/>
    <w:uiPriority w:val="0"/>
    <w:pPr>
      <w:spacing w:line="240" w:lineRule="auto"/>
      <w:ind w:left="1000" w:leftChars="1000"/>
    </w:pPr>
    <w:rPr>
      <w:rFonts w:ascii="Calibri" w:hAnsi="Calibri" w:eastAsia="宋体" w:cs="Times New Roman"/>
      <w:sz w:val="21"/>
      <w:szCs w:val="20"/>
      <w:lang w:bidi="he-IL"/>
    </w:rPr>
  </w:style>
  <w:style w:type="paragraph" w:styleId="24">
    <w:name w:val="Salutation"/>
    <w:basedOn w:val="1"/>
    <w:next w:val="1"/>
    <w:link w:val="307"/>
    <w:qFormat/>
    <w:uiPriority w:val="0"/>
    <w:pPr>
      <w:adjustRightInd w:val="0"/>
      <w:spacing w:line="312" w:lineRule="atLeast"/>
      <w:textAlignment w:val="baseline"/>
    </w:pPr>
    <w:rPr>
      <w:rFonts w:ascii="宋体" w:hAnsi="Times New Roman" w:eastAsia="宋体" w:cs="Times New Roman"/>
      <w:szCs w:val="20"/>
    </w:rPr>
  </w:style>
  <w:style w:type="paragraph" w:styleId="25">
    <w:name w:val="Body Text 3"/>
    <w:basedOn w:val="1"/>
    <w:link w:val="310"/>
    <w:qFormat/>
    <w:uiPriority w:val="0"/>
    <w:pPr>
      <w:spacing w:line="240" w:lineRule="auto"/>
      <w:jc w:val="center"/>
    </w:pPr>
    <w:rPr>
      <w:rFonts w:ascii="Times New Roman" w:hAnsi="Times New Roman" w:eastAsia="宋体" w:cs="Times New Roman"/>
      <w:szCs w:val="20"/>
    </w:rPr>
  </w:style>
  <w:style w:type="paragraph" w:styleId="26">
    <w:name w:val="Body Text Indent"/>
    <w:basedOn w:val="1"/>
    <w:link w:val="229"/>
    <w:unhideWhenUsed/>
    <w:qFormat/>
    <w:uiPriority w:val="0"/>
    <w:pPr>
      <w:ind w:firstLine="645"/>
    </w:pPr>
    <w:rPr>
      <w:rFonts w:ascii="Arial" w:hAnsi="Arial" w:eastAsia="仿宋_GB2312"/>
      <w:sz w:val="28"/>
    </w:rPr>
  </w:style>
  <w:style w:type="paragraph" w:styleId="27">
    <w:name w:val="List 2"/>
    <w:basedOn w:val="1"/>
    <w:qFormat/>
    <w:uiPriority w:val="0"/>
    <w:pPr>
      <w:spacing w:line="240" w:lineRule="auto"/>
      <w:ind w:left="400" w:leftChars="200" w:hanging="200" w:hangingChars="200"/>
    </w:pPr>
    <w:rPr>
      <w:rFonts w:ascii="Calibri" w:hAnsi="Calibri" w:eastAsia="宋体" w:cs="Times New Roman"/>
      <w:sz w:val="21"/>
      <w:szCs w:val="20"/>
    </w:rPr>
  </w:style>
  <w:style w:type="paragraph" w:styleId="28">
    <w:name w:val="List Continue"/>
    <w:basedOn w:val="1"/>
    <w:qFormat/>
    <w:uiPriority w:val="0"/>
    <w:pPr>
      <w:spacing w:after="120" w:line="240" w:lineRule="auto"/>
      <w:ind w:left="420" w:leftChars="200"/>
    </w:pPr>
    <w:rPr>
      <w:rFonts w:ascii="Calibri" w:hAnsi="Calibri" w:eastAsia="宋体" w:cs="Times New Roman"/>
      <w:sz w:val="21"/>
    </w:rPr>
  </w:style>
  <w:style w:type="paragraph" w:styleId="29">
    <w:name w:val="Block Text"/>
    <w:basedOn w:val="1"/>
    <w:qFormat/>
    <w:uiPriority w:val="0"/>
    <w:pPr>
      <w:spacing w:after="120" w:line="240" w:lineRule="auto"/>
      <w:ind w:left="700" w:leftChars="700" w:right="700" w:rightChars="700"/>
    </w:pPr>
    <w:rPr>
      <w:rFonts w:ascii="Calibri" w:hAnsi="Calibri" w:eastAsia="宋体" w:cs="Times New Roman"/>
      <w:sz w:val="21"/>
      <w:szCs w:val="21"/>
    </w:rPr>
  </w:style>
  <w:style w:type="paragraph" w:styleId="30">
    <w:name w:val="List Bullet 2"/>
    <w:basedOn w:val="1"/>
    <w:qFormat/>
    <w:uiPriority w:val="0"/>
    <w:pPr>
      <w:widowControl/>
      <w:adjustRightInd w:val="0"/>
      <w:ind w:left="723"/>
      <w:jc w:val="left"/>
      <w:textAlignment w:val="baseline"/>
    </w:pPr>
    <w:rPr>
      <w:rFonts w:ascii="Calibri" w:hAnsi="Calibri" w:eastAsia="宋体" w:cs="Times New Roman"/>
      <w:kern w:val="0"/>
      <w:szCs w:val="20"/>
    </w:rPr>
  </w:style>
  <w:style w:type="paragraph" w:styleId="31">
    <w:name w:val="index 4"/>
    <w:basedOn w:val="1"/>
    <w:next w:val="1"/>
    <w:qFormat/>
    <w:uiPriority w:val="0"/>
    <w:pPr>
      <w:spacing w:line="240" w:lineRule="auto"/>
      <w:ind w:left="600" w:leftChars="600"/>
    </w:pPr>
    <w:rPr>
      <w:rFonts w:ascii="Calibri" w:hAnsi="Calibri" w:eastAsia="宋体" w:cs="Times New Roman"/>
      <w:sz w:val="21"/>
      <w:szCs w:val="20"/>
      <w:lang w:bidi="he-IL"/>
    </w:rPr>
  </w:style>
  <w:style w:type="paragraph" w:styleId="32">
    <w:name w:val="toc 5"/>
    <w:basedOn w:val="1"/>
    <w:next w:val="1"/>
    <w:qFormat/>
    <w:uiPriority w:val="39"/>
    <w:pPr>
      <w:spacing w:line="240" w:lineRule="auto"/>
      <w:ind w:left="1680" w:leftChars="800"/>
    </w:pPr>
    <w:rPr>
      <w:rFonts w:ascii="Calibri" w:hAnsi="Calibri" w:eastAsia="宋体" w:cs="Times New Roman"/>
      <w:sz w:val="21"/>
    </w:rPr>
  </w:style>
  <w:style w:type="paragraph" w:styleId="33">
    <w:name w:val="toc 3"/>
    <w:basedOn w:val="1"/>
    <w:next w:val="1"/>
    <w:qFormat/>
    <w:uiPriority w:val="39"/>
    <w:pPr>
      <w:spacing w:line="240" w:lineRule="auto"/>
      <w:ind w:left="840" w:leftChars="400"/>
    </w:pPr>
    <w:rPr>
      <w:rFonts w:ascii="Calibri" w:hAnsi="Calibri" w:eastAsia="宋体" w:cs="Times New Roman"/>
      <w:sz w:val="21"/>
    </w:rPr>
  </w:style>
  <w:style w:type="paragraph" w:styleId="34">
    <w:name w:val="Plain Text"/>
    <w:basedOn w:val="1"/>
    <w:link w:val="304"/>
    <w:qFormat/>
    <w:uiPriority w:val="0"/>
    <w:pPr>
      <w:spacing w:line="240" w:lineRule="auto"/>
    </w:pPr>
    <w:rPr>
      <w:rFonts w:ascii="宋体" w:hAnsi="Times New Roman" w:eastAsia="宋体" w:cs="Times New Roman"/>
      <w:sz w:val="21"/>
      <w:szCs w:val="21"/>
    </w:rPr>
  </w:style>
  <w:style w:type="paragraph" w:styleId="35">
    <w:name w:val="toc 8"/>
    <w:basedOn w:val="1"/>
    <w:next w:val="1"/>
    <w:qFormat/>
    <w:uiPriority w:val="39"/>
    <w:pPr>
      <w:spacing w:line="240" w:lineRule="auto"/>
      <w:ind w:left="2940" w:leftChars="1400"/>
    </w:pPr>
    <w:rPr>
      <w:rFonts w:ascii="Calibri" w:hAnsi="Calibri" w:eastAsia="宋体" w:cs="Times New Roman"/>
      <w:sz w:val="21"/>
    </w:rPr>
  </w:style>
  <w:style w:type="paragraph" w:styleId="36">
    <w:name w:val="index 3"/>
    <w:basedOn w:val="1"/>
    <w:next w:val="1"/>
    <w:qFormat/>
    <w:uiPriority w:val="0"/>
    <w:pPr>
      <w:spacing w:line="240" w:lineRule="auto"/>
      <w:ind w:left="400" w:leftChars="400"/>
    </w:pPr>
    <w:rPr>
      <w:rFonts w:ascii="Calibri" w:hAnsi="Calibri" w:eastAsia="宋体" w:cs="Times New Roman"/>
      <w:sz w:val="21"/>
      <w:szCs w:val="20"/>
      <w:lang w:bidi="he-IL"/>
    </w:rPr>
  </w:style>
  <w:style w:type="paragraph" w:styleId="37">
    <w:name w:val="Date"/>
    <w:basedOn w:val="1"/>
    <w:next w:val="1"/>
    <w:link w:val="306"/>
    <w:qFormat/>
    <w:uiPriority w:val="0"/>
    <w:pPr>
      <w:spacing w:line="240" w:lineRule="auto"/>
      <w:ind w:left="2500" w:leftChars="2500"/>
    </w:pPr>
    <w:rPr>
      <w:rFonts w:ascii="Times New Roman" w:hAnsi="Times New Roman" w:eastAsia="宋体" w:cs="Times New Roman"/>
      <w:sz w:val="28"/>
    </w:rPr>
  </w:style>
  <w:style w:type="paragraph" w:styleId="38">
    <w:name w:val="Body Text Indent 2"/>
    <w:basedOn w:val="1"/>
    <w:link w:val="309"/>
    <w:qFormat/>
    <w:uiPriority w:val="0"/>
    <w:pPr>
      <w:ind w:firstLine="607"/>
    </w:pPr>
    <w:rPr>
      <w:rFonts w:ascii="楷体_GB2312" w:hAnsi="Times New Roman" w:eastAsia="宋体" w:cs="Times New Roman"/>
      <w:sz w:val="28"/>
      <w:szCs w:val="28"/>
    </w:rPr>
  </w:style>
  <w:style w:type="paragraph" w:styleId="39">
    <w:name w:val="endnote text"/>
    <w:basedOn w:val="1"/>
    <w:link w:val="305"/>
    <w:qFormat/>
    <w:uiPriority w:val="0"/>
    <w:pPr>
      <w:snapToGrid w:val="0"/>
      <w:spacing w:line="240" w:lineRule="auto"/>
      <w:jc w:val="left"/>
    </w:pPr>
    <w:rPr>
      <w:rFonts w:ascii="Times New Roman" w:hAnsi="Times New Roman" w:eastAsia="宋体" w:cs="Times New Roman"/>
      <w:sz w:val="21"/>
      <w:szCs w:val="20"/>
      <w:lang w:bidi="he-IL"/>
    </w:rPr>
  </w:style>
  <w:style w:type="paragraph" w:styleId="40">
    <w:name w:val="Balloon Text"/>
    <w:basedOn w:val="1"/>
    <w:link w:val="101"/>
    <w:unhideWhenUsed/>
    <w:qFormat/>
    <w:uiPriority w:val="99"/>
    <w:pPr>
      <w:spacing w:line="240" w:lineRule="auto"/>
    </w:pPr>
    <w:rPr>
      <w:sz w:val="18"/>
      <w:szCs w:val="18"/>
    </w:rPr>
  </w:style>
  <w:style w:type="paragraph" w:styleId="41">
    <w:name w:val="footer"/>
    <w:basedOn w:val="1"/>
    <w:link w:val="88"/>
    <w:unhideWhenUsed/>
    <w:qFormat/>
    <w:uiPriority w:val="99"/>
    <w:pPr>
      <w:tabs>
        <w:tab w:val="center" w:pos="4153"/>
        <w:tab w:val="right" w:pos="8306"/>
      </w:tabs>
      <w:snapToGrid w:val="0"/>
      <w:jc w:val="left"/>
    </w:pPr>
    <w:rPr>
      <w:sz w:val="18"/>
      <w:szCs w:val="18"/>
    </w:rPr>
  </w:style>
  <w:style w:type="paragraph" w:styleId="42">
    <w:name w:val="header"/>
    <w:basedOn w:val="1"/>
    <w:link w:val="87"/>
    <w:unhideWhenUsed/>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08"/>
    <w:qFormat/>
    <w:uiPriority w:val="0"/>
    <w:pPr>
      <w:spacing w:line="240" w:lineRule="auto"/>
      <w:ind w:left="4320"/>
    </w:pPr>
    <w:rPr>
      <w:rFonts w:ascii="Calibri" w:hAnsi="Calibri" w:eastAsia="楷体_GB2312" w:cs="Times New Roman"/>
      <w:sz w:val="21"/>
      <w:szCs w:val="20"/>
    </w:rPr>
  </w:style>
  <w:style w:type="paragraph" w:styleId="44">
    <w:name w:val="toc 1"/>
    <w:basedOn w:val="1"/>
    <w:next w:val="1"/>
    <w:unhideWhenUsed/>
    <w:qFormat/>
    <w:uiPriority w:val="39"/>
  </w:style>
  <w:style w:type="paragraph" w:styleId="45">
    <w:name w:val="toc 4"/>
    <w:basedOn w:val="1"/>
    <w:next w:val="1"/>
    <w:qFormat/>
    <w:uiPriority w:val="39"/>
    <w:pPr>
      <w:spacing w:line="240" w:lineRule="auto"/>
      <w:ind w:left="1260" w:leftChars="600"/>
    </w:pPr>
    <w:rPr>
      <w:rFonts w:ascii="Calibri" w:hAnsi="Calibri" w:eastAsia="宋体" w:cs="Times New Roman"/>
      <w:sz w:val="21"/>
    </w:rPr>
  </w:style>
  <w:style w:type="paragraph" w:styleId="46">
    <w:name w:val="index heading"/>
    <w:basedOn w:val="1"/>
    <w:next w:val="47"/>
    <w:qFormat/>
    <w:uiPriority w:val="0"/>
    <w:pPr>
      <w:ind w:firstLine="482"/>
    </w:pPr>
    <w:rPr>
      <w:rFonts w:ascii="Footlight MT Light" w:hAnsi="Footlight MT Light" w:eastAsia="宋体" w:cs="Times New Roman"/>
      <w:szCs w:val="20"/>
    </w:rPr>
  </w:style>
  <w:style w:type="paragraph" w:styleId="47">
    <w:name w:val="index 1"/>
    <w:basedOn w:val="1"/>
    <w:next w:val="1"/>
    <w:qFormat/>
    <w:uiPriority w:val="0"/>
    <w:pPr>
      <w:spacing w:line="240" w:lineRule="auto"/>
    </w:pPr>
    <w:rPr>
      <w:rFonts w:ascii="Calibri" w:hAnsi="Calibri" w:eastAsia="宋体" w:cs="Times New Roman"/>
      <w:sz w:val="21"/>
      <w:szCs w:val="20"/>
    </w:rPr>
  </w:style>
  <w:style w:type="paragraph" w:styleId="48">
    <w:name w:val="Subtitle"/>
    <w:basedOn w:val="1"/>
    <w:next w:val="1"/>
    <w:link w:val="382"/>
    <w:qFormat/>
    <w:uiPriority w:val="0"/>
    <w:pPr>
      <w:widowControl/>
    </w:pPr>
    <w:rPr>
      <w:rFonts w:ascii="Cambria" w:hAnsi="Cambria" w:eastAsia="宋体" w:cs="Times New Roman"/>
      <w:i/>
      <w:color w:val="4F81BD"/>
      <w:spacing w:val="15"/>
      <w:kern w:val="0"/>
      <w:szCs w:val="20"/>
    </w:rPr>
  </w:style>
  <w:style w:type="paragraph" w:styleId="49">
    <w:name w:val="List"/>
    <w:basedOn w:val="1"/>
    <w:qFormat/>
    <w:uiPriority w:val="0"/>
    <w:pPr>
      <w:spacing w:line="240" w:lineRule="auto"/>
      <w:ind w:left="420" w:hanging="420"/>
    </w:pPr>
    <w:rPr>
      <w:rFonts w:ascii="Calibri" w:hAnsi="Calibri" w:eastAsia="宋体" w:cs="Times New Roman"/>
      <w:szCs w:val="20"/>
    </w:rPr>
  </w:style>
  <w:style w:type="paragraph" w:styleId="50">
    <w:name w:val="footnote text"/>
    <w:basedOn w:val="1"/>
    <w:link w:val="340"/>
    <w:qFormat/>
    <w:uiPriority w:val="0"/>
    <w:pPr>
      <w:snapToGrid w:val="0"/>
      <w:spacing w:line="240" w:lineRule="auto"/>
      <w:jc w:val="left"/>
    </w:pPr>
    <w:rPr>
      <w:rFonts w:ascii="Times New Roman" w:hAnsi="Times New Roman" w:eastAsia="楷体_GB2312" w:cs="Times New Roman"/>
      <w:sz w:val="18"/>
      <w:szCs w:val="18"/>
    </w:rPr>
  </w:style>
  <w:style w:type="paragraph" w:styleId="51">
    <w:name w:val="toc 6"/>
    <w:basedOn w:val="1"/>
    <w:next w:val="1"/>
    <w:qFormat/>
    <w:uiPriority w:val="39"/>
    <w:pPr>
      <w:spacing w:line="240" w:lineRule="auto"/>
      <w:ind w:left="2100" w:leftChars="1000"/>
    </w:pPr>
    <w:rPr>
      <w:rFonts w:ascii="Calibri" w:hAnsi="Calibri" w:eastAsia="宋体" w:cs="Times New Roman"/>
      <w:sz w:val="21"/>
    </w:rPr>
  </w:style>
  <w:style w:type="paragraph" w:styleId="52">
    <w:name w:val="Body Text Indent 3"/>
    <w:basedOn w:val="1"/>
    <w:link w:val="114"/>
    <w:unhideWhenUsed/>
    <w:qFormat/>
    <w:uiPriority w:val="0"/>
    <w:pPr>
      <w:spacing w:after="120"/>
      <w:ind w:left="420" w:leftChars="200"/>
    </w:pPr>
    <w:rPr>
      <w:sz w:val="16"/>
      <w:szCs w:val="16"/>
    </w:rPr>
  </w:style>
  <w:style w:type="paragraph" w:styleId="53">
    <w:name w:val="index 7"/>
    <w:basedOn w:val="1"/>
    <w:next w:val="1"/>
    <w:qFormat/>
    <w:uiPriority w:val="0"/>
    <w:pPr>
      <w:spacing w:line="240" w:lineRule="auto"/>
      <w:ind w:left="1200" w:leftChars="1200"/>
    </w:pPr>
    <w:rPr>
      <w:rFonts w:ascii="Calibri" w:hAnsi="Calibri" w:eastAsia="宋体" w:cs="Times New Roman"/>
      <w:sz w:val="21"/>
      <w:szCs w:val="20"/>
    </w:rPr>
  </w:style>
  <w:style w:type="paragraph" w:styleId="54">
    <w:name w:val="index 9"/>
    <w:basedOn w:val="1"/>
    <w:next w:val="1"/>
    <w:qFormat/>
    <w:uiPriority w:val="0"/>
    <w:pPr>
      <w:spacing w:line="240" w:lineRule="auto"/>
      <w:ind w:left="1600" w:leftChars="1600"/>
    </w:pPr>
    <w:rPr>
      <w:rFonts w:ascii="Calibri" w:hAnsi="Calibri" w:eastAsia="宋体" w:cs="Times New Roman"/>
      <w:sz w:val="21"/>
      <w:szCs w:val="20"/>
      <w:lang w:bidi="he-IL"/>
    </w:rPr>
  </w:style>
  <w:style w:type="paragraph" w:styleId="55">
    <w:name w:val="table of figures"/>
    <w:basedOn w:val="1"/>
    <w:next w:val="1"/>
    <w:qFormat/>
    <w:uiPriority w:val="0"/>
    <w:pPr>
      <w:spacing w:line="240" w:lineRule="auto"/>
      <w:ind w:left="840" w:leftChars="200" w:hanging="420" w:hangingChars="200"/>
    </w:pPr>
    <w:rPr>
      <w:rFonts w:ascii="Calibri" w:hAnsi="Calibri" w:eastAsia="宋体" w:cs="Times New Roman"/>
      <w:sz w:val="21"/>
      <w:szCs w:val="20"/>
    </w:rPr>
  </w:style>
  <w:style w:type="paragraph" w:styleId="56">
    <w:name w:val="toc 2"/>
    <w:basedOn w:val="1"/>
    <w:next w:val="1"/>
    <w:unhideWhenUsed/>
    <w:qFormat/>
    <w:uiPriority w:val="39"/>
    <w:pPr>
      <w:ind w:left="420" w:leftChars="200"/>
    </w:pPr>
  </w:style>
  <w:style w:type="paragraph" w:styleId="57">
    <w:name w:val="toc 9"/>
    <w:basedOn w:val="1"/>
    <w:next w:val="1"/>
    <w:qFormat/>
    <w:uiPriority w:val="39"/>
    <w:pPr>
      <w:spacing w:line="240" w:lineRule="auto"/>
      <w:ind w:left="3360" w:leftChars="1600"/>
    </w:pPr>
    <w:rPr>
      <w:rFonts w:ascii="Calibri" w:hAnsi="Calibri" w:eastAsia="宋体" w:cs="Times New Roman"/>
      <w:sz w:val="21"/>
    </w:rPr>
  </w:style>
  <w:style w:type="paragraph" w:styleId="58">
    <w:name w:val="Body Text 2"/>
    <w:basedOn w:val="1"/>
    <w:link w:val="370"/>
    <w:qFormat/>
    <w:uiPriority w:val="0"/>
    <w:pPr>
      <w:spacing w:after="120" w:line="480" w:lineRule="auto"/>
    </w:pPr>
    <w:rPr>
      <w:rFonts w:ascii="Times New Roman" w:hAnsi="Times New Roman" w:eastAsia="宋体" w:cs="Times New Roman"/>
      <w:sz w:val="21"/>
    </w:rPr>
  </w:style>
  <w:style w:type="paragraph" w:styleId="59">
    <w:name w:val="List Continue 2"/>
    <w:basedOn w:val="1"/>
    <w:qFormat/>
    <w:uiPriority w:val="0"/>
    <w:pPr>
      <w:spacing w:after="120" w:line="240" w:lineRule="auto"/>
      <w:ind w:left="400" w:leftChars="400"/>
    </w:pPr>
    <w:rPr>
      <w:rFonts w:ascii="Calibri" w:hAnsi="Calibri" w:eastAsia="宋体" w:cs="Times New Roman"/>
      <w:sz w:val="21"/>
    </w:rPr>
  </w:style>
  <w:style w:type="paragraph" w:styleId="60">
    <w:name w:val="HTML Preformatted"/>
    <w:basedOn w:val="1"/>
    <w:link w:val="3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宋体" w:cs="Arial"/>
      <w:kern w:val="0"/>
    </w:rPr>
  </w:style>
  <w:style w:type="paragraph" w:styleId="61">
    <w:name w:val="Normal (Web)"/>
    <w:basedOn w:val="1"/>
    <w:qFormat/>
    <w:uiPriority w:val="99"/>
    <w:pPr>
      <w:widowControl/>
      <w:spacing w:before="100" w:beforeAutospacing="1" w:after="100" w:afterAutospacing="1" w:line="240" w:lineRule="auto"/>
      <w:jc w:val="left"/>
    </w:pPr>
    <w:rPr>
      <w:rFonts w:ascii="宋体" w:hAnsi="Calibri" w:eastAsia="宋体" w:cs="宋体"/>
      <w:kern w:val="0"/>
    </w:rPr>
  </w:style>
  <w:style w:type="paragraph" w:styleId="62">
    <w:name w:val="index 2"/>
    <w:basedOn w:val="1"/>
    <w:next w:val="1"/>
    <w:qFormat/>
    <w:uiPriority w:val="0"/>
    <w:pPr>
      <w:spacing w:line="240" w:lineRule="auto"/>
      <w:ind w:left="200" w:leftChars="200"/>
    </w:pPr>
    <w:rPr>
      <w:rFonts w:ascii="Arial" w:hAnsi="Arial" w:eastAsia="宋体" w:cs="Arial"/>
      <w:sz w:val="28"/>
      <w:szCs w:val="20"/>
    </w:rPr>
  </w:style>
  <w:style w:type="paragraph" w:styleId="63">
    <w:name w:val="Title"/>
    <w:basedOn w:val="1"/>
    <w:next w:val="1"/>
    <w:link w:val="388"/>
    <w:qFormat/>
    <w:uiPriority w:val="10"/>
    <w:pPr>
      <w:spacing w:before="240" w:after="60" w:line="240" w:lineRule="auto"/>
      <w:jc w:val="center"/>
      <w:outlineLvl w:val="0"/>
    </w:pPr>
    <w:rPr>
      <w:rFonts w:ascii="Arial" w:hAnsi="Arial" w:eastAsia="宋体" w:cs="Arial"/>
      <w:b/>
      <w:bCs/>
      <w:sz w:val="32"/>
      <w:szCs w:val="32"/>
    </w:rPr>
  </w:style>
  <w:style w:type="paragraph" w:styleId="64">
    <w:name w:val="annotation subject"/>
    <w:basedOn w:val="22"/>
    <w:next w:val="22"/>
    <w:link w:val="96"/>
    <w:unhideWhenUsed/>
    <w:qFormat/>
    <w:uiPriority w:val="99"/>
    <w:rPr>
      <w:b/>
      <w:bCs/>
    </w:rPr>
  </w:style>
  <w:style w:type="paragraph" w:styleId="65">
    <w:name w:val="Body Text First Indent"/>
    <w:basedOn w:val="2"/>
    <w:link w:val="98"/>
    <w:qFormat/>
    <w:uiPriority w:val="0"/>
    <w:pPr>
      <w:spacing w:line="240" w:lineRule="auto"/>
      <w:ind w:firstLine="420" w:firstLineChars="100"/>
    </w:pPr>
    <w:rPr>
      <w:rFonts w:ascii="Times New Roman" w:hAnsi="Times New Roman" w:eastAsia="宋体" w:cs="Times New Roman"/>
      <w:sz w:val="21"/>
    </w:rPr>
  </w:style>
  <w:style w:type="paragraph" w:styleId="66">
    <w:name w:val="Body Text First Indent 2"/>
    <w:basedOn w:val="26"/>
    <w:unhideWhenUsed/>
    <w:qFormat/>
    <w:uiPriority w:val="99"/>
    <w:pPr>
      <w:ind w:firstLine="420" w:firstLineChars="200"/>
    </w:pPr>
  </w:style>
  <w:style w:type="table" w:styleId="68">
    <w:name w:val="Table Grid"/>
    <w:basedOn w:val="6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0">
    <w:name w:val="Strong"/>
    <w:qFormat/>
    <w:uiPriority w:val="0"/>
    <w:rPr>
      <w:b/>
      <w:bCs/>
    </w:rPr>
  </w:style>
  <w:style w:type="character" w:styleId="71">
    <w:name w:val="endnote reference"/>
    <w:qFormat/>
    <w:uiPriority w:val="0"/>
    <w:rPr>
      <w:vertAlign w:val="superscript"/>
    </w:rPr>
  </w:style>
  <w:style w:type="character" w:styleId="72">
    <w:name w:val="page number"/>
    <w:qFormat/>
    <w:uiPriority w:val="0"/>
    <w:rPr>
      <w:rFonts w:eastAsia="宋体"/>
      <w:sz w:val="24"/>
      <w:szCs w:val="24"/>
      <w:lang w:val="en-US" w:eastAsia="zh-CN" w:bidi="ar-SA"/>
    </w:rPr>
  </w:style>
  <w:style w:type="character" w:styleId="73">
    <w:name w:val="FollowedHyperlink"/>
    <w:qFormat/>
    <w:uiPriority w:val="99"/>
    <w:rPr>
      <w:color w:val="800080"/>
      <w:u w:val="single"/>
    </w:rPr>
  </w:style>
  <w:style w:type="character" w:styleId="74">
    <w:name w:val="Emphasis"/>
    <w:qFormat/>
    <w:uiPriority w:val="0"/>
    <w:rPr>
      <w:color w:val="CC0000"/>
    </w:rPr>
  </w:style>
  <w:style w:type="character" w:styleId="75">
    <w:name w:val="Hyperlink"/>
    <w:basedOn w:val="69"/>
    <w:unhideWhenUsed/>
    <w:qFormat/>
    <w:uiPriority w:val="99"/>
    <w:rPr>
      <w:color w:val="0563C1" w:themeColor="hyperlink"/>
      <w:u w:val="single"/>
      <w14:textFill>
        <w14:solidFill>
          <w14:schemeClr w14:val="hlink"/>
        </w14:solidFill>
      </w14:textFill>
    </w:rPr>
  </w:style>
  <w:style w:type="character" w:styleId="76">
    <w:name w:val="annotation reference"/>
    <w:basedOn w:val="69"/>
    <w:unhideWhenUsed/>
    <w:qFormat/>
    <w:uiPriority w:val="0"/>
    <w:rPr>
      <w:sz w:val="21"/>
      <w:szCs w:val="21"/>
    </w:rPr>
  </w:style>
  <w:style w:type="character" w:styleId="77">
    <w:name w:val="HTML Cite"/>
    <w:unhideWhenUsed/>
    <w:qFormat/>
    <w:uiPriority w:val="0"/>
    <w:rPr>
      <w:color w:val="008000"/>
    </w:rPr>
  </w:style>
  <w:style w:type="character" w:styleId="78">
    <w:name w:val="footnote reference"/>
    <w:qFormat/>
    <w:uiPriority w:val="0"/>
    <w:rPr>
      <w:vertAlign w:val="superscript"/>
    </w:rPr>
  </w:style>
  <w:style w:type="character" w:customStyle="1" w:styleId="79">
    <w:name w:val="标题 1 Char"/>
    <w:basedOn w:val="69"/>
    <w:link w:val="3"/>
    <w:qFormat/>
    <w:uiPriority w:val="0"/>
    <w:rPr>
      <w:rFonts w:asciiTheme="majorEastAsia" w:hAnsiTheme="majorEastAsia" w:eastAsiaTheme="majorEastAsia" w:cstheme="majorEastAsia"/>
      <w:b/>
      <w:bCs/>
      <w:kern w:val="44"/>
      <w:sz w:val="32"/>
      <w:szCs w:val="44"/>
    </w:rPr>
  </w:style>
  <w:style w:type="character" w:customStyle="1" w:styleId="80">
    <w:name w:val="标题 4 Char"/>
    <w:basedOn w:val="69"/>
    <w:link w:val="7"/>
    <w:qFormat/>
    <w:uiPriority w:val="0"/>
    <w:rPr>
      <w:rFonts w:asciiTheme="majorEastAsia" w:hAnsiTheme="majorEastAsia" w:eastAsiaTheme="majorEastAsia" w:cstheme="majorEastAsia"/>
      <w:b/>
      <w:bCs/>
      <w:kern w:val="2"/>
      <w:sz w:val="30"/>
      <w:szCs w:val="30"/>
    </w:rPr>
  </w:style>
  <w:style w:type="character" w:customStyle="1" w:styleId="81">
    <w:name w:val="标题 3 字符"/>
    <w:basedOn w:val="69"/>
    <w:link w:val="6"/>
    <w:qFormat/>
    <w:uiPriority w:val="9"/>
    <w:rPr>
      <w:rFonts w:asciiTheme="majorEastAsia" w:hAnsiTheme="majorEastAsia" w:eastAsiaTheme="majorEastAsia" w:cstheme="majorEastAsia"/>
      <w:b/>
      <w:bCs/>
      <w:kern w:val="2"/>
      <w:sz w:val="28"/>
      <w:szCs w:val="32"/>
    </w:rPr>
  </w:style>
  <w:style w:type="character" w:customStyle="1" w:styleId="82">
    <w:name w:val="标题 5 Char"/>
    <w:basedOn w:val="69"/>
    <w:link w:val="8"/>
    <w:qFormat/>
    <w:uiPriority w:val="9"/>
    <w:rPr>
      <w:rFonts w:asciiTheme="majorEastAsia" w:hAnsiTheme="majorEastAsia" w:eastAsiaTheme="majorEastAsia" w:cstheme="majorEastAsia"/>
      <w:b/>
      <w:bCs/>
      <w:kern w:val="2"/>
      <w:sz w:val="28"/>
      <w:szCs w:val="28"/>
    </w:rPr>
  </w:style>
  <w:style w:type="character" w:customStyle="1" w:styleId="83">
    <w:name w:val="标题 6 Char"/>
    <w:basedOn w:val="69"/>
    <w:link w:val="9"/>
    <w:qFormat/>
    <w:uiPriority w:val="9"/>
    <w:rPr>
      <w:rFonts w:asciiTheme="majorEastAsia" w:hAnsiTheme="majorEastAsia" w:eastAsiaTheme="majorEastAsia" w:cstheme="majorEastAsia"/>
      <w:b/>
      <w:bCs/>
      <w:kern w:val="2"/>
      <w:sz w:val="28"/>
      <w:szCs w:val="28"/>
    </w:rPr>
  </w:style>
  <w:style w:type="character" w:customStyle="1" w:styleId="84">
    <w:name w:val="标题 2 Char1"/>
    <w:basedOn w:val="69"/>
    <w:link w:val="5"/>
    <w:qFormat/>
    <w:uiPriority w:val="0"/>
    <w:rPr>
      <w:rFonts w:asciiTheme="majorEastAsia" w:hAnsiTheme="majorEastAsia" w:eastAsiaTheme="majorEastAsia" w:cstheme="majorEastAsia"/>
      <w:b/>
      <w:bCs/>
      <w:kern w:val="2"/>
      <w:sz w:val="30"/>
      <w:szCs w:val="36"/>
    </w:rPr>
  </w:style>
  <w:style w:type="character" w:customStyle="1" w:styleId="85">
    <w:name w:val="标题 2 Char"/>
    <w:qFormat/>
    <w:uiPriority w:val="0"/>
    <w:rPr>
      <w:rFonts w:ascii="DejaVu Sans" w:hAnsi="DejaVu Sans" w:eastAsia="方正黑体_GBK"/>
      <w:b/>
      <w:sz w:val="32"/>
    </w:rPr>
  </w:style>
  <w:style w:type="character" w:customStyle="1" w:styleId="86">
    <w:name w:val="标题 7 Char"/>
    <w:basedOn w:val="69"/>
    <w:link w:val="10"/>
    <w:qFormat/>
    <w:uiPriority w:val="9"/>
    <w:rPr>
      <w:rFonts w:asciiTheme="majorEastAsia" w:hAnsiTheme="majorEastAsia" w:eastAsiaTheme="majorEastAsia" w:cstheme="majorEastAsia"/>
      <w:b/>
      <w:bCs/>
      <w:kern w:val="2"/>
      <w:sz w:val="28"/>
      <w:szCs w:val="28"/>
    </w:rPr>
  </w:style>
  <w:style w:type="character" w:customStyle="1" w:styleId="87">
    <w:name w:val="页眉 Char"/>
    <w:basedOn w:val="69"/>
    <w:link w:val="42"/>
    <w:qFormat/>
    <w:uiPriority w:val="0"/>
    <w:rPr>
      <w:sz w:val="18"/>
      <w:szCs w:val="18"/>
    </w:rPr>
  </w:style>
  <w:style w:type="character" w:customStyle="1" w:styleId="88">
    <w:name w:val="页脚 Char"/>
    <w:basedOn w:val="69"/>
    <w:link w:val="41"/>
    <w:qFormat/>
    <w:uiPriority w:val="99"/>
    <w:rPr>
      <w:sz w:val="18"/>
      <w:szCs w:val="18"/>
    </w:rPr>
  </w:style>
  <w:style w:type="paragraph" w:customStyle="1" w:styleId="89">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标书正文 Char Char1"/>
    <w:basedOn w:val="1"/>
    <w:qFormat/>
    <w:uiPriority w:val="0"/>
    <w:pPr>
      <w:spacing w:line="500" w:lineRule="exact"/>
      <w:ind w:firstLine="540" w:firstLineChars="225"/>
    </w:pPr>
    <w:rPr>
      <w:rFonts w:ascii="宋体" w:hAnsi="宋体" w:eastAsia="宋体" w:cs="Times New Roman"/>
      <w:szCs w:val="20"/>
    </w:rPr>
  </w:style>
  <w:style w:type="paragraph" w:customStyle="1" w:styleId="91">
    <w:name w:val="列表段落1"/>
    <w:basedOn w:val="1"/>
    <w:link w:val="99"/>
    <w:qFormat/>
    <w:uiPriority w:val="0"/>
    <w:pPr>
      <w:ind w:firstLine="420" w:firstLineChars="200"/>
    </w:pPr>
  </w:style>
  <w:style w:type="character" w:customStyle="1" w:styleId="92">
    <w:name w:val="标准文本 Char"/>
    <w:link w:val="93"/>
    <w:qFormat/>
    <w:uiPriority w:val="0"/>
    <w:rPr>
      <w:rFonts w:eastAsia="宋体" w:cs="宋体"/>
      <w:sz w:val="24"/>
    </w:rPr>
  </w:style>
  <w:style w:type="paragraph" w:customStyle="1" w:styleId="93">
    <w:name w:val="标准文本"/>
    <w:basedOn w:val="1"/>
    <w:link w:val="92"/>
    <w:qFormat/>
    <w:uiPriority w:val="0"/>
    <w:pPr>
      <w:ind w:firstLine="480" w:firstLineChars="200"/>
    </w:pPr>
    <w:rPr>
      <w:rFonts w:eastAsia="宋体" w:cs="宋体" w:asciiTheme="minorHAnsi" w:hAnsiTheme="minorHAnsi"/>
      <w:szCs w:val="22"/>
    </w:rPr>
  </w:style>
  <w:style w:type="character" w:customStyle="1" w:styleId="94">
    <w:name w:val="标题 8 Char"/>
    <w:basedOn w:val="69"/>
    <w:link w:val="11"/>
    <w:qFormat/>
    <w:uiPriority w:val="9"/>
    <w:rPr>
      <w:rFonts w:asciiTheme="majorHAnsi" w:hAnsiTheme="majorHAnsi" w:eastAsiaTheme="majorEastAsia" w:cstheme="majorBidi"/>
      <w:sz w:val="24"/>
      <w:szCs w:val="24"/>
    </w:rPr>
  </w:style>
  <w:style w:type="character" w:customStyle="1" w:styleId="95">
    <w:name w:val="批注文字 Char"/>
    <w:basedOn w:val="69"/>
    <w:link w:val="22"/>
    <w:qFormat/>
    <w:uiPriority w:val="0"/>
    <w:rPr>
      <w:rFonts w:asciiTheme="minorEastAsia" w:hAnsiTheme="minorEastAsia" w:cstheme="minorEastAsia"/>
      <w:sz w:val="24"/>
      <w:szCs w:val="24"/>
    </w:rPr>
  </w:style>
  <w:style w:type="character" w:customStyle="1" w:styleId="96">
    <w:name w:val="批注主题 Char"/>
    <w:basedOn w:val="95"/>
    <w:link w:val="64"/>
    <w:qFormat/>
    <w:uiPriority w:val="99"/>
    <w:rPr>
      <w:rFonts w:asciiTheme="minorEastAsia" w:hAnsiTheme="minorEastAsia" w:cstheme="minorEastAsia"/>
      <w:b/>
      <w:bCs/>
      <w:sz w:val="24"/>
      <w:szCs w:val="24"/>
    </w:rPr>
  </w:style>
  <w:style w:type="character" w:customStyle="1" w:styleId="97">
    <w:name w:val="正文文本 Char"/>
    <w:basedOn w:val="69"/>
    <w:link w:val="2"/>
    <w:qFormat/>
    <w:uiPriority w:val="0"/>
    <w:rPr>
      <w:rFonts w:asciiTheme="minorEastAsia" w:hAnsiTheme="minorEastAsia" w:cstheme="minorEastAsia"/>
      <w:sz w:val="24"/>
      <w:szCs w:val="24"/>
    </w:rPr>
  </w:style>
  <w:style w:type="character" w:customStyle="1" w:styleId="98">
    <w:name w:val="正文首行缩进 Char"/>
    <w:basedOn w:val="97"/>
    <w:link w:val="65"/>
    <w:qFormat/>
    <w:uiPriority w:val="0"/>
    <w:rPr>
      <w:rFonts w:ascii="Times New Roman" w:hAnsi="Times New Roman" w:eastAsia="宋体" w:cs="Times New Roman"/>
      <w:sz w:val="24"/>
      <w:szCs w:val="24"/>
    </w:rPr>
  </w:style>
  <w:style w:type="character" w:customStyle="1" w:styleId="99">
    <w:name w:val="列表段落 字符"/>
    <w:link w:val="91"/>
    <w:qFormat/>
    <w:uiPriority w:val="0"/>
    <w:rPr>
      <w:rFonts w:asciiTheme="minorEastAsia" w:hAnsiTheme="minorEastAsia" w:cstheme="minorEastAsia"/>
      <w:sz w:val="24"/>
      <w:szCs w:val="24"/>
    </w:rPr>
  </w:style>
  <w:style w:type="paragraph" w:customStyle="1" w:styleId="100">
    <w:name w:val="列出段落1."/>
    <w:basedOn w:val="1"/>
    <w:next w:val="91"/>
    <w:qFormat/>
    <w:uiPriority w:val="34"/>
    <w:pPr>
      <w:widowControl/>
      <w:spacing w:before="120" w:after="120"/>
      <w:ind w:left="720"/>
      <w:contextualSpacing/>
      <w:jc w:val="left"/>
    </w:pPr>
    <w:rPr>
      <w:rFonts w:ascii="Calibri" w:hAnsi="Calibri" w:eastAsia="宋体" w:cs="Times New Roman"/>
      <w:kern w:val="0"/>
      <w:lang w:eastAsia="en-US" w:bidi="en-US"/>
    </w:rPr>
  </w:style>
  <w:style w:type="character" w:customStyle="1" w:styleId="101">
    <w:name w:val="批注框文本 Char"/>
    <w:basedOn w:val="69"/>
    <w:link w:val="40"/>
    <w:qFormat/>
    <w:uiPriority w:val="99"/>
    <w:rPr>
      <w:rFonts w:asciiTheme="minorEastAsia" w:hAnsiTheme="minorEastAsia" w:cstheme="minorEastAsia"/>
      <w:sz w:val="18"/>
      <w:szCs w:val="18"/>
    </w:rPr>
  </w:style>
  <w:style w:type="paragraph" w:customStyle="1" w:styleId="102">
    <w:name w:val="正文1"/>
    <w:basedOn w:val="1"/>
    <w:next w:val="1"/>
    <w:qFormat/>
    <w:uiPriority w:val="0"/>
    <w:pPr>
      <w:adjustRightInd w:val="0"/>
      <w:snapToGrid w:val="0"/>
      <w:ind w:firstLine="200" w:firstLineChars="200"/>
    </w:pPr>
    <w:rPr>
      <w:rFonts w:ascii="宋体" w:hAnsi="宋体"/>
    </w:rPr>
  </w:style>
  <w:style w:type="paragraph" w:customStyle="1" w:styleId="103">
    <w:name w:val="列表段落11"/>
    <w:basedOn w:val="1"/>
    <w:qFormat/>
    <w:uiPriority w:val="99"/>
    <w:pPr>
      <w:ind w:firstLine="420" w:firstLineChars="200"/>
    </w:pPr>
  </w:style>
  <w:style w:type="paragraph" w:styleId="104">
    <w:name w:val="List Paragraph"/>
    <w:basedOn w:val="1"/>
    <w:qFormat/>
    <w:uiPriority w:val="34"/>
    <w:pPr>
      <w:ind w:firstLine="420" w:firstLineChars="200"/>
    </w:pPr>
  </w:style>
  <w:style w:type="paragraph" w:customStyle="1" w:styleId="105">
    <w:name w:val="WPSOffice手动目录 1"/>
    <w:qFormat/>
    <w:uiPriority w:val="0"/>
    <w:rPr>
      <w:rFonts w:ascii="Times New Roman" w:hAnsi="Times New Roman" w:eastAsia="宋体" w:cs="Times New Roman"/>
      <w:lang w:val="en-US" w:eastAsia="zh-CN" w:bidi="ar-SA"/>
    </w:rPr>
  </w:style>
  <w:style w:type="paragraph" w:customStyle="1" w:styleId="10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7">
    <w:name w:val="文档结构图 Char"/>
    <w:basedOn w:val="69"/>
    <w:link w:val="21"/>
    <w:qFormat/>
    <w:uiPriority w:val="0"/>
    <w:rPr>
      <w:rFonts w:ascii="宋体" w:hAnsiTheme="minorEastAsia" w:cstheme="minorEastAsia"/>
      <w:kern w:val="2"/>
      <w:sz w:val="18"/>
      <w:szCs w:val="18"/>
    </w:rPr>
  </w:style>
  <w:style w:type="paragraph" w:customStyle="1" w:styleId="10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09">
    <w:name w:val="列出段落1"/>
    <w:basedOn w:val="1"/>
    <w:qFormat/>
    <w:uiPriority w:val="34"/>
    <w:pPr>
      <w:ind w:firstLine="420" w:firstLineChars="200"/>
    </w:pPr>
    <w:rPr>
      <w:rFonts w:ascii="宋体" w:hAnsi="宋体" w:eastAsia="宋体" w:cs="宋体"/>
    </w:rPr>
  </w:style>
  <w:style w:type="paragraph" w:customStyle="1" w:styleId="110">
    <w:name w:val="列出段落2"/>
    <w:basedOn w:val="1"/>
    <w:qFormat/>
    <w:uiPriority w:val="34"/>
    <w:pPr>
      <w:ind w:firstLine="420" w:firstLineChars="200"/>
    </w:pPr>
    <w:rPr>
      <w:rFonts w:ascii="宋体" w:hAnsi="宋体" w:eastAsia="宋体" w:cs="宋体"/>
    </w:rPr>
  </w:style>
  <w:style w:type="character" w:customStyle="1" w:styleId="111">
    <w:name w:val="列出段落 Char"/>
    <w:qFormat/>
    <w:uiPriority w:val="34"/>
    <w:rPr>
      <w:rFonts w:ascii="Calibri" w:hAnsi="Calibri" w:eastAsia="宋体" w:cs="Times New Roman"/>
    </w:rPr>
  </w:style>
  <w:style w:type="paragraph" w:customStyle="1" w:styleId="112">
    <w:name w:val="列表段落3"/>
    <w:basedOn w:val="1"/>
    <w:qFormat/>
    <w:uiPriority w:val="0"/>
    <w:pPr>
      <w:ind w:firstLine="420" w:firstLineChars="200"/>
    </w:pPr>
    <w:rPr>
      <w:rFonts w:ascii="Calibri" w:hAnsi="Calibri" w:cs="Times New Roman"/>
      <w:szCs w:val="21"/>
    </w:rPr>
  </w:style>
  <w:style w:type="character" w:customStyle="1" w:styleId="113">
    <w:name w:val="标题 3 Char"/>
    <w:link w:val="6"/>
    <w:qFormat/>
    <w:uiPriority w:val="0"/>
    <w:rPr>
      <w:rFonts w:asciiTheme="majorEastAsia" w:hAnsiTheme="majorEastAsia" w:eastAsiaTheme="majorEastAsia" w:cstheme="majorEastAsia"/>
      <w:b/>
      <w:bCs/>
      <w:kern w:val="2"/>
      <w:sz w:val="28"/>
      <w:szCs w:val="32"/>
    </w:rPr>
  </w:style>
  <w:style w:type="character" w:customStyle="1" w:styleId="114">
    <w:name w:val="正文文本缩进 3 Char"/>
    <w:basedOn w:val="69"/>
    <w:link w:val="52"/>
    <w:qFormat/>
    <w:uiPriority w:val="0"/>
    <w:rPr>
      <w:rFonts w:asciiTheme="minorEastAsia" w:hAnsiTheme="minorEastAsia" w:eastAsiaTheme="minorEastAsia" w:cstheme="minorEastAsia"/>
      <w:kern w:val="2"/>
      <w:sz w:val="16"/>
      <w:szCs w:val="16"/>
    </w:rPr>
  </w:style>
  <w:style w:type="character" w:customStyle="1" w:styleId="115">
    <w:name w:val="标题 9 Char"/>
    <w:basedOn w:val="69"/>
    <w:link w:val="12"/>
    <w:qFormat/>
    <w:uiPriority w:val="9"/>
    <w:rPr>
      <w:rFonts w:asciiTheme="majorHAnsi" w:hAnsiTheme="majorHAnsi" w:eastAsiaTheme="majorEastAsia" w:cstheme="majorBidi"/>
      <w:kern w:val="2"/>
      <w:sz w:val="21"/>
      <w:szCs w:val="21"/>
    </w:rPr>
  </w:style>
  <w:style w:type="character" w:customStyle="1" w:styleId="116">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17">
    <w:name w:val="批注文字 Char1"/>
    <w:qFormat/>
    <w:uiPriority w:val="0"/>
    <w:rPr>
      <w:rFonts w:eastAsia="宋体"/>
      <w:kern w:val="2"/>
      <w:sz w:val="21"/>
    </w:rPr>
  </w:style>
  <w:style w:type="character" w:customStyle="1" w:styleId="118">
    <w:name w:val="页眉 Char1"/>
    <w:qFormat/>
    <w:uiPriority w:val="0"/>
    <w:rPr>
      <w:rFonts w:ascii="Times New Roman" w:hAnsi="Times New Roman" w:eastAsia="宋体" w:cs="Times New Roman"/>
      <w:sz w:val="18"/>
      <w:szCs w:val="18"/>
    </w:rPr>
  </w:style>
  <w:style w:type="character" w:customStyle="1" w:styleId="119">
    <w:name w:val="正文缩进 Char Char"/>
    <w:qFormat/>
    <w:uiPriority w:val="0"/>
    <w:rPr>
      <w:rFonts w:eastAsia="宋体"/>
      <w:kern w:val="2"/>
      <w:sz w:val="21"/>
      <w:szCs w:val="24"/>
      <w:lang w:val="en-US" w:eastAsia="zh-CN" w:bidi="ar-SA"/>
    </w:rPr>
  </w:style>
  <w:style w:type="character" w:customStyle="1" w:styleId="120">
    <w:name w:val="font51"/>
    <w:qFormat/>
    <w:uiPriority w:val="0"/>
    <w:rPr>
      <w:rFonts w:ascii="font-weight : 400" w:hAnsi="font-weight : 400" w:eastAsia="font-weight : 400" w:cs="font-weight : 400"/>
      <w:color w:val="FF0000"/>
      <w:sz w:val="20"/>
      <w:szCs w:val="20"/>
      <w:u w:val="none"/>
    </w:rPr>
  </w:style>
  <w:style w:type="character" w:customStyle="1" w:styleId="121">
    <w:name w:val="Char Char21"/>
    <w:qFormat/>
    <w:uiPriority w:val="0"/>
    <w:rPr>
      <w:rFonts w:ascii="宋体" w:eastAsia="宋体"/>
      <w:b/>
      <w:color w:val="000000"/>
      <w:kern w:val="2"/>
      <w:sz w:val="24"/>
      <w:szCs w:val="28"/>
      <w:lang w:val="en-US" w:eastAsia="zh-CN" w:bidi="ar-SA"/>
    </w:rPr>
  </w:style>
  <w:style w:type="character" w:customStyle="1" w:styleId="122">
    <w:name w:val="标3 Char"/>
    <w:link w:val="123"/>
    <w:qFormat/>
    <w:uiPriority w:val="0"/>
    <w:rPr>
      <w:rFonts w:ascii="宋体" w:hAnsi="宋体"/>
      <w:sz w:val="28"/>
      <w:szCs w:val="28"/>
    </w:rPr>
  </w:style>
  <w:style w:type="paragraph" w:customStyle="1" w:styleId="123">
    <w:name w:val="标3"/>
    <w:basedOn w:val="1"/>
    <w:link w:val="122"/>
    <w:qFormat/>
    <w:uiPriority w:val="0"/>
    <w:pPr>
      <w:adjustRightInd w:val="0"/>
      <w:snapToGrid w:val="0"/>
      <w:spacing w:beforeLines="50" w:line="240" w:lineRule="auto"/>
      <w:outlineLvl w:val="2"/>
    </w:pPr>
    <w:rPr>
      <w:rFonts w:ascii="宋体" w:hAnsi="宋体" w:eastAsia="宋体" w:cs="Times New Roman"/>
      <w:kern w:val="0"/>
      <w:sz w:val="28"/>
      <w:szCs w:val="28"/>
    </w:rPr>
  </w:style>
  <w:style w:type="character" w:customStyle="1" w:styleId="124">
    <w:name w:val="纯文本 Char1"/>
    <w:qFormat/>
    <w:uiPriority w:val="99"/>
    <w:rPr>
      <w:rFonts w:ascii="宋体" w:hAnsi="Courier New" w:cs="Century"/>
      <w:kern w:val="2"/>
      <w:sz w:val="21"/>
      <w:szCs w:val="21"/>
    </w:rPr>
  </w:style>
  <w:style w:type="character" w:customStyle="1" w:styleId="125">
    <w:name w:val="Char Char41"/>
    <w:qFormat/>
    <w:uiPriority w:val="0"/>
    <w:rPr>
      <w:rFonts w:eastAsia="Arial Unicode MS"/>
      <w:b/>
      <w:kern w:val="2"/>
      <w:sz w:val="21"/>
      <w:lang w:val="en-US" w:eastAsia="zh-CN"/>
    </w:rPr>
  </w:style>
  <w:style w:type="character" w:customStyle="1" w:styleId="126">
    <w:name w:val="Char Char19"/>
    <w:qFormat/>
    <w:uiPriority w:val="0"/>
    <w:rPr>
      <w:rFonts w:ascii="楷体_GB2312" w:eastAsia="楷体_GB2312"/>
      <w:kern w:val="2"/>
      <w:sz w:val="28"/>
      <w:szCs w:val="31"/>
      <w:lang w:val="en-US" w:eastAsia="zh-CN" w:bidi="ar-SA"/>
    </w:rPr>
  </w:style>
  <w:style w:type="character" w:customStyle="1" w:styleId="127">
    <w:name w:val="正文内容 Char Char"/>
    <w:link w:val="128"/>
    <w:qFormat/>
    <w:uiPriority w:val="0"/>
    <w:rPr>
      <w:rFonts w:ascii="Arial" w:hAnsi="Arial"/>
      <w:spacing w:val="-12"/>
      <w:kern w:val="2"/>
      <w:sz w:val="21"/>
    </w:rPr>
  </w:style>
  <w:style w:type="paragraph" w:customStyle="1" w:styleId="128">
    <w:name w:val="正文内容"/>
    <w:basedOn w:val="1"/>
    <w:link w:val="127"/>
    <w:qFormat/>
    <w:uiPriority w:val="0"/>
    <w:pPr>
      <w:spacing w:line="240" w:lineRule="auto"/>
    </w:pPr>
    <w:rPr>
      <w:rFonts w:ascii="Arial" w:hAnsi="Arial" w:eastAsia="宋体" w:cs="Times New Roman"/>
      <w:spacing w:val="-12"/>
      <w:sz w:val="21"/>
      <w:szCs w:val="20"/>
    </w:rPr>
  </w:style>
  <w:style w:type="character" w:customStyle="1" w:styleId="129">
    <w:name w:val="Char Char3"/>
    <w:qFormat/>
    <w:uiPriority w:val="0"/>
    <w:rPr>
      <w:rFonts w:ascii="Cambria" w:hAnsi="Cambria" w:eastAsia="宋体"/>
      <w:b/>
      <w:bCs/>
      <w:kern w:val="2"/>
      <w:sz w:val="32"/>
      <w:szCs w:val="32"/>
      <w:lang w:val="en-US" w:eastAsia="zh-CN" w:bidi="ar-SA"/>
    </w:rPr>
  </w:style>
  <w:style w:type="character" w:customStyle="1" w:styleId="130">
    <w:name w:val="Char Char9"/>
    <w:qFormat/>
    <w:uiPriority w:val="0"/>
    <w:rPr>
      <w:rFonts w:eastAsia="宋体"/>
      <w:kern w:val="2"/>
      <w:sz w:val="18"/>
      <w:szCs w:val="18"/>
      <w:lang w:val="en-US" w:eastAsia="zh-CN" w:bidi="ar-SA"/>
    </w:rPr>
  </w:style>
  <w:style w:type="character" w:customStyle="1" w:styleId="131">
    <w:name w:val="批注主题 Char1"/>
    <w:qFormat/>
    <w:uiPriority w:val="0"/>
    <w:rPr>
      <w:rFonts w:eastAsia="宋体"/>
      <w:b/>
      <w:bCs/>
      <w:kern w:val="2"/>
      <w:sz w:val="21"/>
    </w:rPr>
  </w:style>
  <w:style w:type="character" w:customStyle="1" w:styleId="132">
    <w:name w:val="文档结构图 Char1"/>
    <w:qFormat/>
    <w:uiPriority w:val="0"/>
    <w:rPr>
      <w:rFonts w:ascii="宋体" w:eastAsia="宋体" w:cs="Times New Roman"/>
      <w:sz w:val="18"/>
      <w:szCs w:val="18"/>
      <w:lang w:bidi="ar-SA"/>
    </w:rPr>
  </w:style>
  <w:style w:type="character" w:customStyle="1" w:styleId="133">
    <w:name w:val="Char Char5"/>
    <w:qFormat/>
    <w:uiPriority w:val="0"/>
    <w:rPr>
      <w:rFonts w:ascii="Arial" w:hAnsi="Arial" w:eastAsia="黑体"/>
      <w:b/>
      <w:kern w:val="2"/>
      <w:sz w:val="32"/>
      <w:lang w:val="en-US" w:eastAsia="zh-CN" w:bidi="ar-SA"/>
    </w:rPr>
  </w:style>
  <w:style w:type="character" w:customStyle="1" w:styleId="134">
    <w:name w:val="纯文本 Char"/>
    <w:link w:val="34"/>
    <w:qFormat/>
    <w:uiPriority w:val="0"/>
    <w:rPr>
      <w:rFonts w:ascii="宋体"/>
      <w:kern w:val="2"/>
      <w:sz w:val="21"/>
      <w:szCs w:val="21"/>
    </w:rPr>
  </w:style>
  <w:style w:type="character" w:customStyle="1" w:styleId="135">
    <w:name w:val="Char Char11"/>
    <w:qFormat/>
    <w:uiPriority w:val="0"/>
    <w:rPr>
      <w:rFonts w:eastAsia="宋体"/>
      <w:kern w:val="2"/>
      <w:sz w:val="24"/>
      <w:szCs w:val="24"/>
      <w:lang w:val="en-US" w:eastAsia="zh-CN" w:bidi="ar-SA"/>
    </w:rPr>
  </w:style>
  <w:style w:type="character" w:customStyle="1" w:styleId="136">
    <w:name w:val="Char Char111"/>
    <w:qFormat/>
    <w:uiPriority w:val="0"/>
    <w:rPr>
      <w:rFonts w:eastAsia="宋体"/>
      <w:kern w:val="2"/>
      <w:sz w:val="24"/>
      <w:szCs w:val="24"/>
      <w:lang w:val="en-US" w:eastAsia="zh-CN"/>
    </w:rPr>
  </w:style>
  <w:style w:type="character" w:customStyle="1" w:styleId="137">
    <w:name w:val="param_td12"/>
    <w:qFormat/>
    <w:uiPriority w:val="0"/>
    <w:rPr>
      <w:rFonts w:eastAsia="宋体"/>
      <w:sz w:val="24"/>
      <w:szCs w:val="24"/>
      <w:lang w:val="en-US" w:eastAsia="zh-CN" w:bidi="ar-SA"/>
    </w:rPr>
  </w:style>
  <w:style w:type="character" w:customStyle="1" w:styleId="138">
    <w:name w:val="标题 Char"/>
    <w:link w:val="63"/>
    <w:qFormat/>
    <w:uiPriority w:val="10"/>
    <w:rPr>
      <w:rFonts w:ascii="Arial" w:hAnsi="Arial" w:cs="Arial"/>
      <w:b/>
      <w:bCs/>
      <w:kern w:val="2"/>
      <w:sz w:val="32"/>
      <w:szCs w:val="32"/>
    </w:rPr>
  </w:style>
  <w:style w:type="character" w:customStyle="1" w:styleId="139">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40">
    <w:name w:val="正文文本 Char1"/>
    <w:qFormat/>
    <w:uiPriority w:val="0"/>
    <w:rPr>
      <w:rFonts w:ascii="Times New Roman" w:hAnsi="Times New Roman" w:eastAsia="宋体" w:cs="Times New Roman"/>
      <w:szCs w:val="24"/>
      <w:lang w:bidi="ar-SA"/>
    </w:rPr>
  </w:style>
  <w:style w:type="character" w:customStyle="1" w:styleId="141">
    <w:name w:val="标准正文 Char Char"/>
    <w:link w:val="142"/>
    <w:qFormat/>
    <w:uiPriority w:val="0"/>
    <w:rPr>
      <w:sz w:val="24"/>
    </w:rPr>
  </w:style>
  <w:style w:type="paragraph" w:customStyle="1" w:styleId="142">
    <w:name w:val="标准正文"/>
    <w:basedOn w:val="26"/>
    <w:link w:val="141"/>
    <w:qFormat/>
    <w:uiPriority w:val="0"/>
    <w:pPr>
      <w:spacing w:before="60" w:after="60"/>
      <w:ind w:firstLine="482"/>
    </w:pPr>
    <w:rPr>
      <w:rFonts w:ascii="Times New Roman" w:hAnsi="Times New Roman" w:eastAsia="宋体" w:cs="Times New Roman"/>
      <w:kern w:val="0"/>
      <w:sz w:val="24"/>
      <w:szCs w:val="20"/>
    </w:rPr>
  </w:style>
  <w:style w:type="character" w:customStyle="1" w:styleId="143">
    <w:name w:val="样式 正文缩进 + 首行缩进:  2 字符 Char"/>
    <w:link w:val="144"/>
    <w:qFormat/>
    <w:uiPriority w:val="0"/>
    <w:rPr>
      <w:kern w:val="2"/>
      <w:sz w:val="24"/>
    </w:rPr>
  </w:style>
  <w:style w:type="paragraph" w:customStyle="1" w:styleId="144">
    <w:name w:val="样式 正文缩进 + 首行缩进:  2 字符"/>
    <w:basedOn w:val="13"/>
    <w:link w:val="143"/>
    <w:qFormat/>
    <w:uiPriority w:val="0"/>
    <w:pPr>
      <w:spacing w:line="360" w:lineRule="auto"/>
    </w:pPr>
    <w:rPr>
      <w:sz w:val="24"/>
    </w:rPr>
  </w:style>
  <w:style w:type="character" w:customStyle="1" w:styleId="145">
    <w:name w:val="明显引用 Char3"/>
    <w:qFormat/>
    <w:uiPriority w:val="30"/>
    <w:rPr>
      <w:rFonts w:eastAsia="宋体"/>
      <w:b/>
      <w:bCs/>
      <w:i/>
      <w:iCs/>
      <w:color w:val="4F81BD"/>
      <w:kern w:val="2"/>
      <w:sz w:val="21"/>
      <w:szCs w:val="24"/>
    </w:rPr>
  </w:style>
  <w:style w:type="character" w:customStyle="1" w:styleId="146">
    <w:name w:val="Char Char6"/>
    <w:qFormat/>
    <w:uiPriority w:val="0"/>
    <w:rPr>
      <w:rFonts w:eastAsia="宋体"/>
      <w:kern w:val="2"/>
      <w:sz w:val="18"/>
      <w:szCs w:val="18"/>
      <w:lang w:val="en-US" w:eastAsia="zh-CN" w:bidi="ar-SA"/>
    </w:rPr>
  </w:style>
  <w:style w:type="character" w:customStyle="1" w:styleId="147">
    <w:name w:val="cnfont1"/>
    <w:qFormat/>
    <w:uiPriority w:val="0"/>
    <w:rPr>
      <w:rFonts w:eastAsia="宋体"/>
      <w:kern w:val="2"/>
      <w:sz w:val="24"/>
      <w:szCs w:val="24"/>
      <w:lang w:val="en-US" w:eastAsia="zh-CN" w:bidi="ar-SA"/>
    </w:rPr>
  </w:style>
  <w:style w:type="character" w:customStyle="1" w:styleId="148">
    <w:name w:val="Char Char23"/>
    <w:qFormat/>
    <w:uiPriority w:val="0"/>
    <w:rPr>
      <w:rFonts w:ascii="黑体" w:hAnsi="Times New Roman" w:eastAsia="黑体"/>
      <w:kern w:val="0"/>
      <w:sz w:val="52"/>
    </w:rPr>
  </w:style>
  <w:style w:type="character" w:customStyle="1" w:styleId="149">
    <w:name w:val="ZGSM"/>
    <w:qFormat/>
    <w:uiPriority w:val="0"/>
  </w:style>
  <w:style w:type="character" w:customStyle="1" w:styleId="150">
    <w:name w:val="书籍标题1"/>
    <w:qFormat/>
    <w:uiPriority w:val="0"/>
    <w:rPr>
      <w:b/>
      <w:smallCaps/>
      <w:spacing w:val="5"/>
    </w:rPr>
  </w:style>
  <w:style w:type="character" w:customStyle="1" w:styleId="151">
    <w:name w:val="font21"/>
    <w:qFormat/>
    <w:uiPriority w:val="0"/>
    <w:rPr>
      <w:rFonts w:hint="eastAsia" w:ascii="宋体" w:hAnsi="宋体" w:eastAsia="宋体" w:cs="宋体"/>
      <w:color w:val="000000"/>
      <w:sz w:val="20"/>
      <w:szCs w:val="20"/>
      <w:u w:val="none"/>
    </w:rPr>
  </w:style>
  <w:style w:type="character" w:customStyle="1" w:styleId="152">
    <w:name w:val="副标题 Char1"/>
    <w:qFormat/>
    <w:uiPriority w:val="0"/>
    <w:rPr>
      <w:rFonts w:ascii="Cambria" w:hAnsi="Cambria" w:cs="Times New Roman"/>
      <w:b/>
      <w:bCs/>
      <w:kern w:val="28"/>
      <w:sz w:val="32"/>
      <w:szCs w:val="32"/>
    </w:rPr>
  </w:style>
  <w:style w:type="character" w:customStyle="1" w:styleId="153">
    <w:name w:val="Table Heading Char Char"/>
    <w:qFormat/>
    <w:uiPriority w:val="0"/>
    <w:rPr>
      <w:rFonts w:ascii="Arial" w:hAnsi="Arial" w:eastAsia="黑体" w:cs="Arial"/>
      <w:kern w:val="2"/>
      <w:sz w:val="18"/>
      <w:szCs w:val="18"/>
      <w:lang w:val="en-US" w:eastAsia="zh-CN" w:bidi="ar-SA"/>
    </w:rPr>
  </w:style>
  <w:style w:type="character" w:customStyle="1" w:styleId="154">
    <w:name w:val="副标题 Char2"/>
    <w:qFormat/>
    <w:uiPriority w:val="0"/>
    <w:rPr>
      <w:rFonts w:ascii="Cambria" w:hAnsi="Cambria" w:cs="Times New Roman"/>
      <w:b/>
      <w:bCs/>
      <w:kern w:val="28"/>
      <w:sz w:val="32"/>
      <w:szCs w:val="32"/>
    </w:rPr>
  </w:style>
  <w:style w:type="character" w:customStyle="1" w:styleId="155">
    <w:name w:val="Char Char17"/>
    <w:qFormat/>
    <w:uiPriority w:val="0"/>
    <w:rPr>
      <w:rFonts w:ascii="华文彩云" w:eastAsia="华文彩云"/>
      <w:kern w:val="2"/>
      <w:sz w:val="28"/>
      <w:szCs w:val="24"/>
      <w:lang w:val="en-US" w:eastAsia="zh-CN" w:bidi="ar-SA"/>
    </w:rPr>
  </w:style>
  <w:style w:type="character" w:customStyle="1" w:styleId="156">
    <w:name w:val="so-ask-best"/>
    <w:qFormat/>
    <w:uiPriority w:val="0"/>
  </w:style>
  <w:style w:type="character" w:customStyle="1" w:styleId="157">
    <w:name w:val="Char Char1"/>
    <w:qFormat/>
    <w:uiPriority w:val="0"/>
    <w:rPr>
      <w:rFonts w:eastAsia="宋体"/>
      <w:kern w:val="2"/>
      <w:sz w:val="24"/>
      <w:lang w:val="en-US" w:eastAsia="zh-CN" w:bidi="ar-SA"/>
    </w:rPr>
  </w:style>
  <w:style w:type="character" w:customStyle="1" w:styleId="158">
    <w:name w:val="标题 字符"/>
    <w:qFormat/>
    <w:uiPriority w:val="0"/>
    <w:rPr>
      <w:rFonts w:ascii="Cambria" w:hAnsi="Cambria" w:eastAsia="宋体" w:cs="Times New Roman"/>
      <w:b/>
      <w:bCs/>
      <w:sz w:val="32"/>
      <w:szCs w:val="32"/>
    </w:rPr>
  </w:style>
  <w:style w:type="character" w:customStyle="1" w:styleId="159">
    <w:name w:val="正文文本 3 Char"/>
    <w:link w:val="25"/>
    <w:qFormat/>
    <w:uiPriority w:val="0"/>
    <w:rPr>
      <w:kern w:val="2"/>
      <w:sz w:val="24"/>
    </w:rPr>
  </w:style>
  <w:style w:type="character" w:customStyle="1" w:styleId="160">
    <w:name w:val="样式 正文 +正文:小4首行缩进:  2 字符段前: 0 磅段后: 6 磅 + 红色 Char Char"/>
    <w:link w:val="161"/>
    <w:qFormat/>
    <w:uiPriority w:val="0"/>
    <w:rPr>
      <w:color w:val="FF0000"/>
      <w:kern w:val="2"/>
      <w:sz w:val="24"/>
      <w:szCs w:val="24"/>
    </w:rPr>
  </w:style>
  <w:style w:type="paragraph" w:customStyle="1" w:styleId="161">
    <w:name w:val="样式 正文 +正文:小4首行缩进:  2 字符段前: 0 磅段后: 6 磅 + 红色"/>
    <w:basedOn w:val="162"/>
    <w:link w:val="160"/>
    <w:qFormat/>
    <w:uiPriority w:val="0"/>
    <w:rPr>
      <w:color w:val="FF0000"/>
    </w:rPr>
  </w:style>
  <w:style w:type="paragraph" w:customStyle="1" w:styleId="162">
    <w:name w:val="正文 +正文:小4"/>
    <w:next w:val="1"/>
    <w:link w:val="165"/>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163">
    <w:name w:val="缺省文本 Char"/>
    <w:link w:val="164"/>
    <w:qFormat/>
    <w:locked/>
    <w:uiPriority w:val="0"/>
    <w:rPr>
      <w:color w:val="000000"/>
      <w:szCs w:val="24"/>
    </w:rPr>
  </w:style>
  <w:style w:type="paragraph" w:customStyle="1" w:styleId="164">
    <w:name w:val="缺省文本"/>
    <w:link w:val="163"/>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65">
    <w:name w:val="正文 +正文:小4 Char"/>
    <w:link w:val="162"/>
    <w:qFormat/>
    <w:uiPriority w:val="0"/>
    <w:rPr>
      <w:kern w:val="2"/>
      <w:sz w:val="24"/>
      <w:szCs w:val="24"/>
    </w:rPr>
  </w:style>
  <w:style w:type="character" w:customStyle="1" w:styleId="166">
    <w:name w:val="引用 Char1"/>
    <w:qFormat/>
    <w:uiPriority w:val="0"/>
    <w:rPr>
      <w:rFonts w:eastAsia="楷体_GB2312"/>
      <w:i/>
      <w:iCs/>
      <w:color w:val="000000"/>
      <w:kern w:val="2"/>
      <w:sz w:val="28"/>
    </w:rPr>
  </w:style>
  <w:style w:type="character" w:customStyle="1" w:styleId="167">
    <w:name w:val="尾注文本 Char"/>
    <w:link w:val="39"/>
    <w:qFormat/>
    <w:uiPriority w:val="0"/>
    <w:rPr>
      <w:kern w:val="2"/>
      <w:sz w:val="21"/>
      <w:lang w:bidi="he-IL"/>
    </w:rPr>
  </w:style>
  <w:style w:type="character" w:customStyle="1" w:styleId="168">
    <w:name w:val="标题 1 Char1"/>
    <w:qFormat/>
    <w:uiPriority w:val="0"/>
    <w:rPr>
      <w:rFonts w:ascii="Times New Roman" w:hAnsi="Times New Roman" w:eastAsia="宋体" w:cs="Times New Roman"/>
      <w:b/>
      <w:kern w:val="44"/>
      <w:sz w:val="32"/>
      <w:szCs w:val="20"/>
    </w:rPr>
  </w:style>
  <w:style w:type="character" w:customStyle="1" w:styleId="169">
    <w:name w:val="正文首行缩进 Char1"/>
    <w:qFormat/>
    <w:uiPriority w:val="0"/>
    <w:rPr>
      <w:rFonts w:ascii="Times New Roman" w:hAnsi="Times New Roman" w:eastAsia="宋体" w:cs="Times New Roman"/>
      <w:szCs w:val="24"/>
      <w:lang w:bidi="ar-SA"/>
    </w:rPr>
  </w:style>
  <w:style w:type="character" w:customStyle="1" w:styleId="170">
    <w:name w:val="bai12xi1"/>
    <w:qFormat/>
    <w:uiPriority w:val="0"/>
    <w:rPr>
      <w:rFonts w:ascii="Calibri" w:hAnsi="Calibri" w:eastAsia="仿宋_GB2312"/>
      <w:color w:val="FFFFFF"/>
      <w:kern w:val="2"/>
      <w:sz w:val="18"/>
      <w:szCs w:val="18"/>
      <w:lang w:val="en-US" w:eastAsia="zh-CN" w:bidi="ar-SA"/>
    </w:rPr>
  </w:style>
  <w:style w:type="character" w:customStyle="1" w:styleId="171">
    <w:name w:val="副标题 Char"/>
    <w:link w:val="48"/>
    <w:qFormat/>
    <w:uiPriority w:val="0"/>
    <w:rPr>
      <w:rFonts w:ascii="Cambria" w:hAnsi="Cambria"/>
      <w:i/>
      <w:color w:val="4F81BD"/>
      <w:spacing w:val="15"/>
      <w:sz w:val="24"/>
    </w:rPr>
  </w:style>
  <w:style w:type="character" w:customStyle="1" w:styleId="172">
    <w:name w:val="style41"/>
    <w:qFormat/>
    <w:uiPriority w:val="0"/>
    <w:rPr>
      <w:color w:val="0000FF"/>
    </w:rPr>
  </w:style>
  <w:style w:type="character" w:customStyle="1" w:styleId="173">
    <w:name w:val="olt_table_content_cfg1"/>
    <w:qFormat/>
    <w:uiPriority w:val="0"/>
    <w:rPr>
      <w:rFonts w:hint="default" w:ascii="Arial" w:hAnsi="Arial" w:cs="Arial"/>
      <w:color w:val="000000"/>
      <w:sz w:val="16"/>
      <w:szCs w:val="16"/>
    </w:rPr>
  </w:style>
  <w:style w:type="character" w:customStyle="1" w:styleId="174">
    <w:name w:val="不明显参考1"/>
    <w:qFormat/>
    <w:uiPriority w:val="0"/>
    <w:rPr>
      <w:smallCaps/>
      <w:color w:val="C0504D"/>
      <w:u w:val="single"/>
    </w:rPr>
  </w:style>
  <w:style w:type="character" w:customStyle="1" w:styleId="175">
    <w:name w:val="Char Char7"/>
    <w:qFormat/>
    <w:uiPriority w:val="0"/>
    <w:rPr>
      <w:sz w:val="18"/>
      <w:szCs w:val="18"/>
    </w:rPr>
  </w:style>
  <w:style w:type="character" w:customStyle="1" w:styleId="176">
    <w:name w:val="称呼 Char"/>
    <w:link w:val="24"/>
    <w:qFormat/>
    <w:uiPriority w:val="0"/>
    <w:rPr>
      <w:rFonts w:ascii="宋体"/>
      <w:kern w:val="2"/>
      <w:sz w:val="24"/>
    </w:rPr>
  </w:style>
  <w:style w:type="character" w:customStyle="1" w:styleId="177">
    <w:name w:val="font81"/>
    <w:qFormat/>
    <w:uiPriority w:val="0"/>
    <w:rPr>
      <w:rFonts w:hint="eastAsia" w:ascii="方正仿宋_GBK" w:hAnsi="方正仿宋_GBK" w:eastAsia="方正仿宋_GBK" w:cs="方正仿宋_GBK"/>
      <w:color w:val="FF0000"/>
      <w:sz w:val="18"/>
      <w:szCs w:val="18"/>
      <w:u w:val="none"/>
    </w:rPr>
  </w:style>
  <w:style w:type="character" w:customStyle="1" w:styleId="178">
    <w:name w:val="Table Text Char Char Char Char Char Char"/>
    <w:qFormat/>
    <w:uiPriority w:val="0"/>
    <w:rPr>
      <w:rFonts w:ascii="Arial" w:hAnsi="Arial" w:eastAsia="宋体" w:cs="Arial"/>
      <w:kern w:val="2"/>
      <w:sz w:val="18"/>
      <w:szCs w:val="18"/>
      <w:lang w:val="en-US" w:eastAsia="zh-CN" w:bidi="ar-SA"/>
    </w:rPr>
  </w:style>
  <w:style w:type="character" w:customStyle="1" w:styleId="179">
    <w:name w:val="标题 9 Char1"/>
    <w:link w:val="12"/>
    <w:qFormat/>
    <w:uiPriority w:val="0"/>
    <w:rPr>
      <w:rFonts w:ascii="Arial" w:hAnsi="Arial" w:eastAsia="黑体"/>
      <w:kern w:val="2"/>
      <w:sz w:val="21"/>
    </w:rPr>
  </w:style>
  <w:style w:type="character" w:customStyle="1" w:styleId="180">
    <w:name w:val="部分目录 字符"/>
    <w:link w:val="181"/>
    <w:qFormat/>
    <w:uiPriority w:val="0"/>
    <w:rPr>
      <w:rFonts w:ascii="华文中宋" w:hAnsi="华文中宋" w:eastAsia="华文中宋"/>
      <w:b/>
      <w:color w:val="000000"/>
      <w:sz w:val="36"/>
      <w:szCs w:val="36"/>
    </w:rPr>
  </w:style>
  <w:style w:type="paragraph" w:customStyle="1" w:styleId="181">
    <w:name w:val="部分目录"/>
    <w:basedOn w:val="164"/>
    <w:link w:val="180"/>
    <w:qFormat/>
    <w:uiPriority w:val="0"/>
    <w:pPr>
      <w:jc w:val="center"/>
    </w:pPr>
    <w:rPr>
      <w:rFonts w:ascii="华文中宋" w:hAnsi="华文中宋" w:eastAsia="华文中宋"/>
      <w:b/>
      <w:sz w:val="36"/>
      <w:szCs w:val="36"/>
    </w:rPr>
  </w:style>
  <w:style w:type="character" w:customStyle="1" w:styleId="182">
    <w:name w:val="Char Char4"/>
    <w:qFormat/>
    <w:uiPriority w:val="0"/>
    <w:rPr>
      <w:rFonts w:eastAsia="Arial Unicode MS"/>
      <w:b/>
      <w:kern w:val="2"/>
      <w:sz w:val="21"/>
      <w:lang w:val="en-US" w:eastAsia="zh-CN" w:bidi="ar-SA"/>
    </w:rPr>
  </w:style>
  <w:style w:type="character" w:customStyle="1" w:styleId="183">
    <w:name w:val="批注框文本 Char1"/>
    <w:qFormat/>
    <w:uiPriority w:val="0"/>
    <w:rPr>
      <w:rFonts w:ascii="Times New Roman" w:hAnsi="Times New Roman" w:eastAsia="宋体" w:cs="Times New Roman"/>
      <w:sz w:val="18"/>
      <w:szCs w:val="18"/>
      <w:lang w:bidi="ar-SA"/>
    </w:rPr>
  </w:style>
  <w:style w:type="character" w:customStyle="1" w:styleId="184">
    <w:name w:val="c-icon"/>
    <w:basedOn w:val="69"/>
    <w:qFormat/>
    <w:uiPriority w:val="0"/>
  </w:style>
  <w:style w:type="character" w:customStyle="1" w:styleId="185">
    <w:name w:val="Char Char161"/>
    <w:qFormat/>
    <w:uiPriority w:val="0"/>
    <w:rPr>
      <w:rFonts w:eastAsia="宋体"/>
      <w:kern w:val="2"/>
      <w:sz w:val="18"/>
      <w:lang w:val="en-US" w:eastAsia="zh-CN"/>
    </w:rPr>
  </w:style>
  <w:style w:type="character" w:customStyle="1" w:styleId="186">
    <w:name w:val="引用 Char2"/>
    <w:qFormat/>
    <w:uiPriority w:val="29"/>
    <w:rPr>
      <w:rFonts w:eastAsia="楷体_GB2312"/>
      <w:i/>
      <w:iCs/>
      <w:color w:val="000000"/>
      <w:kern w:val="2"/>
      <w:sz w:val="28"/>
    </w:rPr>
  </w:style>
  <w:style w:type="character" w:customStyle="1" w:styleId="187">
    <w:name w:val="标题 7 Char1"/>
    <w:qFormat/>
    <w:uiPriority w:val="0"/>
    <w:rPr>
      <w:rFonts w:eastAsia="宋体"/>
      <w:b/>
      <w:kern w:val="2"/>
      <w:sz w:val="24"/>
    </w:rPr>
  </w:style>
  <w:style w:type="character" w:customStyle="1" w:styleId="188">
    <w:name w:val="details22"/>
    <w:qFormat/>
    <w:uiPriority w:val="0"/>
    <w:rPr>
      <w:rFonts w:hint="default" w:ascii="Tahoma" w:hAnsi="Tahoma" w:cs="Tahoma"/>
      <w:color w:val="666666"/>
      <w:sz w:val="18"/>
      <w:szCs w:val="18"/>
    </w:rPr>
  </w:style>
  <w:style w:type="character" w:customStyle="1" w:styleId="189">
    <w:name w:val="样式 正文首行缩进 + 宋体 Char"/>
    <w:qFormat/>
    <w:uiPriority w:val="0"/>
    <w:rPr>
      <w:rFonts w:eastAsia="宋体"/>
      <w:kern w:val="2"/>
      <w:sz w:val="28"/>
      <w:szCs w:val="28"/>
      <w:lang w:val="en-US" w:eastAsia="zh-CN" w:bidi="ar-SA"/>
    </w:rPr>
  </w:style>
  <w:style w:type="character" w:customStyle="1" w:styleId="190">
    <w:name w:val="正文文本 (2) + 10 pt"/>
    <w:qFormat/>
    <w:uiPriority w:val="0"/>
    <w:rPr>
      <w:rFonts w:ascii="华文中宋" w:hAnsi="华文中宋" w:eastAsia="华文中宋" w:cs="华文中宋"/>
      <w:color w:val="000000"/>
      <w:spacing w:val="10"/>
      <w:w w:val="100"/>
      <w:position w:val="0"/>
      <w:sz w:val="20"/>
      <w:szCs w:val="20"/>
      <w:u w:val="none"/>
      <w:lang w:val="zh-TW" w:eastAsia="zh-TW" w:bidi="zh-TW"/>
    </w:rPr>
  </w:style>
  <w:style w:type="character" w:customStyle="1" w:styleId="191">
    <w:name w:val="title_neve1"/>
    <w:qFormat/>
    <w:uiPriority w:val="0"/>
    <w:rPr>
      <w:color w:val="000000"/>
      <w:sz w:val="18"/>
      <w:szCs w:val="18"/>
    </w:rPr>
  </w:style>
  <w:style w:type="character" w:customStyle="1" w:styleId="192">
    <w:name w:val="签名 Char1"/>
    <w:qFormat/>
    <w:uiPriority w:val="0"/>
    <w:rPr>
      <w:rFonts w:ascii="Times New Roman" w:hAnsi="Times New Roman" w:eastAsia="宋体" w:cs="Times New Roman"/>
      <w:szCs w:val="24"/>
      <w:lang w:bidi="ar-SA"/>
    </w:rPr>
  </w:style>
  <w:style w:type="character" w:customStyle="1" w:styleId="193">
    <w:name w:val="HTML 预设格式 Char"/>
    <w:link w:val="60"/>
    <w:qFormat/>
    <w:uiPriority w:val="0"/>
    <w:rPr>
      <w:rFonts w:ascii="Arial" w:hAnsi="Arial" w:cs="Arial"/>
      <w:sz w:val="24"/>
      <w:szCs w:val="24"/>
    </w:rPr>
  </w:style>
  <w:style w:type="character" w:customStyle="1" w:styleId="194">
    <w:name w:val="标题 8 Char1"/>
    <w:qFormat/>
    <w:uiPriority w:val="0"/>
    <w:rPr>
      <w:rFonts w:ascii="Arial" w:hAnsi="Arial" w:eastAsia="黑体"/>
      <w:kern w:val="2"/>
      <w:sz w:val="24"/>
    </w:rPr>
  </w:style>
  <w:style w:type="character" w:customStyle="1" w:styleId="195">
    <w:name w:val="正文文本缩进 2 Char1"/>
    <w:qFormat/>
    <w:uiPriority w:val="0"/>
    <w:rPr>
      <w:rFonts w:ascii="Times New Roman" w:hAnsi="Times New Roman" w:eastAsia="宋体" w:cs="Times New Roman"/>
      <w:szCs w:val="24"/>
      <w:lang w:bidi="ar-SA"/>
    </w:rPr>
  </w:style>
  <w:style w:type="character" w:customStyle="1" w:styleId="196">
    <w:name w:val="red141"/>
    <w:qFormat/>
    <w:uiPriority w:val="0"/>
    <w:rPr>
      <w:rFonts w:ascii="Arial" w:hAnsi="Arial" w:eastAsia="宋体" w:cs="Arial"/>
      <w:color w:val="FF0000"/>
      <w:kern w:val="2"/>
      <w:sz w:val="21"/>
      <w:szCs w:val="21"/>
      <w:u w:val="none"/>
      <w:lang w:val="en-US" w:eastAsia="zh-CN" w:bidi="ar-SA"/>
    </w:rPr>
  </w:style>
  <w:style w:type="character" w:customStyle="1" w:styleId="197">
    <w:name w:val="标题1.1.1.1.1 Char"/>
    <w:qFormat/>
    <w:uiPriority w:val="0"/>
    <w:rPr>
      <w:rFonts w:eastAsia="宋体"/>
      <w:sz w:val="24"/>
      <w:lang w:val="en-US" w:eastAsia="zh-CN" w:bidi="ar-SA"/>
    </w:rPr>
  </w:style>
  <w:style w:type="character" w:customStyle="1" w:styleId="198">
    <w:name w:val="列出段落 Char1"/>
    <w:qFormat/>
    <w:uiPriority w:val="34"/>
    <w:rPr>
      <w:rFonts w:ascii="Calibri" w:hAnsi="Calibri" w:eastAsia="宋体" w:cs="Times New Roman"/>
      <w:kern w:val="2"/>
      <w:sz w:val="21"/>
    </w:rPr>
  </w:style>
  <w:style w:type="character" w:customStyle="1" w:styleId="199">
    <w:name w:val="标题 Char1"/>
    <w:qFormat/>
    <w:uiPriority w:val="0"/>
    <w:rPr>
      <w:rFonts w:ascii="Cambria" w:hAnsi="Cambria" w:eastAsia="宋体" w:cs="黑体"/>
      <w:b/>
      <w:bCs/>
      <w:sz w:val="32"/>
      <w:szCs w:val="32"/>
      <w:lang w:bidi="ar-SA"/>
    </w:rPr>
  </w:style>
  <w:style w:type="character" w:customStyle="1" w:styleId="200">
    <w:name w:val="明显强调1"/>
    <w:qFormat/>
    <w:uiPriority w:val="0"/>
    <w:rPr>
      <w:b/>
      <w:i/>
      <w:color w:val="4F81BD"/>
    </w:rPr>
  </w:style>
  <w:style w:type="character" w:customStyle="1" w:styleId="201">
    <w:name w:val="明显引用 Char1"/>
    <w:qFormat/>
    <w:uiPriority w:val="0"/>
    <w:rPr>
      <w:rFonts w:eastAsia="楷体_GB2312"/>
      <w:b/>
      <w:bCs/>
      <w:i/>
      <w:iCs/>
      <w:color w:val="4F81BD"/>
      <w:kern w:val="2"/>
      <w:sz w:val="28"/>
    </w:rPr>
  </w:style>
  <w:style w:type="character" w:customStyle="1" w:styleId="202">
    <w:name w:val="Char Char191"/>
    <w:qFormat/>
    <w:uiPriority w:val="0"/>
    <w:rPr>
      <w:rFonts w:ascii="楷体_GB2312" w:eastAsia="楷体_GB2312"/>
      <w:kern w:val="2"/>
      <w:sz w:val="28"/>
      <w:szCs w:val="31"/>
      <w:lang w:val="en-US" w:eastAsia="zh-CN"/>
    </w:rPr>
  </w:style>
  <w:style w:type="character" w:customStyle="1" w:styleId="203">
    <w:name w:val="页眉 Char Char"/>
    <w:qFormat/>
    <w:uiPriority w:val="0"/>
    <w:rPr>
      <w:rFonts w:ascii="Calibri" w:hAnsi="Calibri" w:eastAsia="仿宋_GB2312"/>
      <w:kern w:val="2"/>
      <w:sz w:val="18"/>
      <w:szCs w:val="18"/>
      <w:lang w:val="en-US" w:eastAsia="zh-CN" w:bidi="ar-SA"/>
    </w:rPr>
  </w:style>
  <w:style w:type="character" w:customStyle="1" w:styleId="204">
    <w:name w:val="Char Char181"/>
    <w:qFormat/>
    <w:uiPriority w:val="0"/>
    <w:rPr>
      <w:rFonts w:ascii="楷体_GB2312" w:eastAsia="楷体_GB2312"/>
      <w:kern w:val="2"/>
      <w:sz w:val="28"/>
      <w:szCs w:val="28"/>
      <w:lang w:val="en-US" w:eastAsia="zh-CN" w:bidi="ar-SA"/>
    </w:rPr>
  </w:style>
  <w:style w:type="character" w:customStyle="1" w:styleId="205">
    <w:name w:val="Table Text Char Char Char Char"/>
    <w:qFormat/>
    <w:uiPriority w:val="0"/>
    <w:rPr>
      <w:rFonts w:ascii="Arial" w:hAnsi="Arial"/>
      <w:sz w:val="18"/>
      <w:lang w:val="en-US" w:eastAsia="zh-CN" w:bidi="ar-SA"/>
    </w:rPr>
  </w:style>
  <w:style w:type="character" w:customStyle="1" w:styleId="206">
    <w:name w:val="副标题 Char3"/>
    <w:qFormat/>
    <w:uiPriority w:val="0"/>
    <w:rPr>
      <w:rFonts w:ascii="Cambria" w:hAnsi="Cambria" w:eastAsia="宋体" w:cs="Times New Roman"/>
      <w:b/>
      <w:bCs/>
      <w:kern w:val="28"/>
      <w:sz w:val="32"/>
      <w:szCs w:val="32"/>
    </w:rPr>
  </w:style>
  <w:style w:type="character" w:customStyle="1" w:styleId="207">
    <w:name w:val="unnamed11"/>
    <w:qFormat/>
    <w:uiPriority w:val="0"/>
    <w:rPr>
      <w:rFonts w:hint="default"/>
      <w:color w:val="000066"/>
      <w:spacing w:val="15"/>
      <w:w w:val="15"/>
      <w:sz w:val="24"/>
      <w:szCs w:val="24"/>
      <w:u w:val="none"/>
    </w:rPr>
  </w:style>
  <w:style w:type="character" w:customStyle="1" w:styleId="208">
    <w:name w:val="font31"/>
    <w:qFormat/>
    <w:uiPriority w:val="0"/>
    <w:rPr>
      <w:rFonts w:hint="default" w:ascii="Times New Roman" w:hAnsi="Times New Roman" w:cs="Times New Roman"/>
      <w:color w:val="000000"/>
      <w:sz w:val="20"/>
      <w:szCs w:val="20"/>
      <w:u w:val="none"/>
    </w:rPr>
  </w:style>
  <w:style w:type="character" w:customStyle="1" w:styleId="209">
    <w:name w:val="样式 首行缩进:  2 字符 Char Char"/>
    <w:link w:val="210"/>
    <w:qFormat/>
    <w:uiPriority w:val="0"/>
    <w:rPr>
      <w:rFonts w:cs="宋体"/>
      <w:kern w:val="2"/>
      <w:sz w:val="24"/>
      <w:szCs w:val="28"/>
    </w:rPr>
  </w:style>
  <w:style w:type="paragraph" w:customStyle="1" w:styleId="210">
    <w:name w:val="样式 首行缩进:  2 字符"/>
    <w:basedOn w:val="1"/>
    <w:link w:val="209"/>
    <w:qFormat/>
    <w:uiPriority w:val="0"/>
    <w:pPr>
      <w:spacing w:line="480" w:lineRule="exact"/>
      <w:ind w:firstLine="560" w:firstLineChars="200"/>
    </w:pPr>
    <w:rPr>
      <w:rFonts w:ascii="Times New Roman" w:hAnsi="Times New Roman" w:eastAsia="宋体" w:cs="宋体"/>
      <w:szCs w:val="28"/>
    </w:rPr>
  </w:style>
  <w:style w:type="character" w:customStyle="1" w:styleId="211">
    <w:name w:val="Char Char16"/>
    <w:qFormat/>
    <w:uiPriority w:val="0"/>
    <w:rPr>
      <w:rFonts w:eastAsia="宋体"/>
      <w:kern w:val="2"/>
      <w:sz w:val="18"/>
      <w:lang w:val="en-US" w:eastAsia="zh-CN" w:bidi="ar-SA"/>
    </w:rPr>
  </w:style>
  <w:style w:type="character" w:customStyle="1" w:styleId="212">
    <w:name w:val="textcontents1"/>
    <w:qFormat/>
    <w:uiPriority w:val="0"/>
    <w:rPr>
      <w:rFonts w:ascii="ˎ̥" w:hAnsi="ˎ̥"/>
      <w:sz w:val="21"/>
      <w:szCs w:val="21"/>
    </w:rPr>
  </w:style>
  <w:style w:type="character" w:customStyle="1" w:styleId="213">
    <w:name w:val="h3 Char"/>
    <w:qFormat/>
    <w:uiPriority w:val="0"/>
    <w:rPr>
      <w:rFonts w:eastAsia="Arial Unicode MS"/>
      <w:b/>
      <w:kern w:val="2"/>
      <w:sz w:val="21"/>
      <w:lang w:val="en-US" w:eastAsia="zh-CN" w:bidi="ar-SA"/>
    </w:rPr>
  </w:style>
  <w:style w:type="character" w:customStyle="1" w:styleId="214">
    <w:name w:val="h3 Char1"/>
    <w:qFormat/>
    <w:uiPriority w:val="0"/>
    <w:rPr>
      <w:rFonts w:eastAsia="Arial Unicode MS"/>
      <w:b/>
      <w:kern w:val="2"/>
      <w:sz w:val="21"/>
      <w:lang w:val="en-US" w:eastAsia="zh-CN" w:bidi="ar-SA"/>
    </w:rPr>
  </w:style>
  <w:style w:type="character" w:customStyle="1" w:styleId="215">
    <w:name w:val="尾注文本 Char1"/>
    <w:qFormat/>
    <w:uiPriority w:val="0"/>
    <w:rPr>
      <w:rFonts w:eastAsia="楷体_GB2312"/>
      <w:kern w:val="2"/>
      <w:sz w:val="28"/>
    </w:rPr>
  </w:style>
  <w:style w:type="character" w:customStyle="1" w:styleId="216">
    <w:name w:val="文正文 Char"/>
    <w:link w:val="217"/>
    <w:qFormat/>
    <w:uiPriority w:val="0"/>
    <w:rPr>
      <w:sz w:val="24"/>
      <w:szCs w:val="24"/>
      <w:lang w:bidi="en-US"/>
    </w:rPr>
  </w:style>
  <w:style w:type="paragraph" w:customStyle="1" w:styleId="217">
    <w:name w:val="文正文"/>
    <w:basedOn w:val="1"/>
    <w:link w:val="216"/>
    <w:qFormat/>
    <w:uiPriority w:val="0"/>
    <w:pPr>
      <w:widowControl/>
      <w:spacing w:beforeLines="50" w:afterLines="50"/>
      <w:ind w:firstLine="480"/>
      <w:jc w:val="left"/>
    </w:pPr>
    <w:rPr>
      <w:rFonts w:ascii="Times New Roman" w:hAnsi="Times New Roman" w:eastAsia="宋体" w:cs="Times New Roman"/>
      <w:kern w:val="0"/>
      <w:lang w:bidi="en-US"/>
    </w:rPr>
  </w:style>
  <w:style w:type="character" w:customStyle="1" w:styleId="218">
    <w:name w:val="称呼 Char1"/>
    <w:qFormat/>
    <w:uiPriority w:val="0"/>
    <w:rPr>
      <w:rFonts w:eastAsia="楷体_GB2312"/>
      <w:kern w:val="2"/>
      <w:sz w:val="28"/>
    </w:rPr>
  </w:style>
  <w:style w:type="character" w:customStyle="1" w:styleId="219">
    <w:name w:val="正文文本缩进 2 Char"/>
    <w:link w:val="38"/>
    <w:qFormat/>
    <w:uiPriority w:val="0"/>
    <w:rPr>
      <w:rFonts w:ascii="楷体_GB2312"/>
      <w:kern w:val="2"/>
      <w:sz w:val="28"/>
      <w:szCs w:val="28"/>
    </w:rPr>
  </w:style>
  <w:style w:type="character" w:customStyle="1" w:styleId="220">
    <w:name w:val="Char Char91"/>
    <w:qFormat/>
    <w:uiPriority w:val="0"/>
    <w:rPr>
      <w:rFonts w:eastAsia="宋体"/>
      <w:kern w:val="2"/>
      <w:sz w:val="18"/>
      <w:szCs w:val="18"/>
      <w:lang w:val="en-US" w:eastAsia="zh-CN"/>
    </w:rPr>
  </w:style>
  <w:style w:type="character" w:customStyle="1" w:styleId="221">
    <w:name w:val="Char Char171"/>
    <w:qFormat/>
    <w:uiPriority w:val="0"/>
    <w:rPr>
      <w:rFonts w:ascii="华文彩云" w:eastAsia="华文彩云"/>
      <w:kern w:val="2"/>
      <w:sz w:val="28"/>
      <w:szCs w:val="24"/>
      <w:lang w:val="en-US" w:eastAsia="zh-CN"/>
    </w:rPr>
  </w:style>
  <w:style w:type="character" w:customStyle="1" w:styleId="222">
    <w:name w:val="标题 5 Char1"/>
    <w:qFormat/>
    <w:uiPriority w:val="0"/>
    <w:rPr>
      <w:rFonts w:eastAsia="宋体"/>
      <w:b/>
      <w:bCs/>
      <w:kern w:val="2"/>
      <w:sz w:val="24"/>
      <w:szCs w:val="24"/>
      <w:lang w:val="en-US" w:eastAsia="zh-CN" w:bidi="ar-SA"/>
    </w:rPr>
  </w:style>
  <w:style w:type="character" w:customStyle="1" w:styleId="223">
    <w:name w:val="批注引用1"/>
    <w:qFormat/>
    <w:uiPriority w:val="0"/>
    <w:rPr>
      <w:sz w:val="21"/>
      <w:szCs w:val="21"/>
    </w:rPr>
  </w:style>
  <w:style w:type="character" w:customStyle="1" w:styleId="224">
    <w:name w:val="尾注文本 Char2"/>
    <w:qFormat/>
    <w:uiPriority w:val="0"/>
    <w:rPr>
      <w:rFonts w:eastAsia="宋体"/>
      <w:kern w:val="2"/>
      <w:sz w:val="21"/>
      <w:szCs w:val="24"/>
    </w:rPr>
  </w:style>
  <w:style w:type="character" w:customStyle="1" w:styleId="225">
    <w:name w:val="不明显强调1"/>
    <w:qFormat/>
    <w:uiPriority w:val="0"/>
    <w:rPr>
      <w:i/>
      <w:color w:val="808080"/>
    </w:rPr>
  </w:style>
  <w:style w:type="character" w:customStyle="1" w:styleId="226">
    <w:name w:val="duanluoblack1"/>
    <w:qFormat/>
    <w:uiPriority w:val="0"/>
    <w:rPr>
      <w:rFonts w:ascii="宋体" w:eastAsia="宋体"/>
      <w:color w:val="414042"/>
      <w:sz w:val="18"/>
      <w:szCs w:val="18"/>
      <w:u w:val="none"/>
    </w:rPr>
  </w:style>
  <w:style w:type="character" w:customStyle="1" w:styleId="227">
    <w:name w:val="v-split6"/>
    <w:qFormat/>
    <w:uiPriority w:val="0"/>
    <w:rPr>
      <w:color w:val="C1C1C1"/>
    </w:rPr>
  </w:style>
  <w:style w:type="character" w:customStyle="1" w:styleId="228">
    <w:name w:val="标题 6 Char1"/>
    <w:qFormat/>
    <w:uiPriority w:val="0"/>
    <w:rPr>
      <w:rFonts w:ascii="Arial" w:hAnsi="Arial" w:eastAsia="黑体"/>
      <w:b/>
      <w:kern w:val="2"/>
      <w:sz w:val="24"/>
    </w:rPr>
  </w:style>
  <w:style w:type="character" w:customStyle="1" w:styleId="229">
    <w:name w:val="正文文本缩进 Char"/>
    <w:link w:val="26"/>
    <w:qFormat/>
    <w:uiPriority w:val="0"/>
    <w:rPr>
      <w:rFonts w:ascii="Arial" w:hAnsi="Arial" w:eastAsia="仿宋_GB2312" w:cstheme="minorEastAsia"/>
      <w:kern w:val="2"/>
      <w:sz w:val="28"/>
      <w:szCs w:val="24"/>
    </w:rPr>
  </w:style>
  <w:style w:type="character" w:customStyle="1" w:styleId="230">
    <w:name w:val="abcde1"/>
    <w:qFormat/>
    <w:uiPriority w:val="0"/>
    <w:rPr>
      <w:sz w:val="20"/>
      <w:szCs w:val="20"/>
    </w:rPr>
  </w:style>
  <w:style w:type="character" w:customStyle="1" w:styleId="231">
    <w:name w:val="页码1"/>
    <w:qFormat/>
    <w:uiPriority w:val="0"/>
  </w:style>
  <w:style w:type="character" w:customStyle="1" w:styleId="232">
    <w:name w:val="日期 Char"/>
    <w:link w:val="37"/>
    <w:qFormat/>
    <w:uiPriority w:val="0"/>
    <w:rPr>
      <w:kern w:val="2"/>
      <w:sz w:val="28"/>
      <w:szCs w:val="24"/>
    </w:rPr>
  </w:style>
  <w:style w:type="character" w:customStyle="1" w:styleId="233">
    <w:name w:val="v-split2"/>
    <w:qFormat/>
    <w:uiPriority w:val="0"/>
    <w:rPr>
      <w:color w:val="C1C1C1"/>
    </w:rPr>
  </w:style>
  <w:style w:type="character" w:customStyle="1" w:styleId="234">
    <w:name w:val="正文文本 2 Char"/>
    <w:link w:val="58"/>
    <w:qFormat/>
    <w:uiPriority w:val="0"/>
    <w:rPr>
      <w:kern w:val="2"/>
      <w:sz w:val="21"/>
      <w:szCs w:val="24"/>
    </w:rPr>
  </w:style>
  <w:style w:type="character" w:customStyle="1" w:styleId="235">
    <w:name w:val="Table Text Char Char"/>
    <w:link w:val="236"/>
    <w:qFormat/>
    <w:uiPriority w:val="0"/>
    <w:rPr>
      <w:rFonts w:ascii="Arial" w:hAnsi="Arial"/>
      <w:sz w:val="18"/>
    </w:rPr>
  </w:style>
  <w:style w:type="paragraph" w:customStyle="1" w:styleId="236">
    <w:name w:val="Table Text Char"/>
    <w:link w:val="235"/>
    <w:qFormat/>
    <w:uiPriority w:val="0"/>
    <w:pPr>
      <w:snapToGrid w:val="0"/>
      <w:spacing w:before="80" w:after="80"/>
    </w:pPr>
    <w:rPr>
      <w:rFonts w:ascii="Arial" w:hAnsi="Arial" w:eastAsia="宋体" w:cs="Times New Roman"/>
      <w:sz w:val="18"/>
      <w:lang w:val="en-US" w:eastAsia="zh-CN" w:bidi="ar-SA"/>
    </w:rPr>
  </w:style>
  <w:style w:type="character" w:customStyle="1" w:styleId="237">
    <w:name w:val="p141"/>
    <w:qFormat/>
    <w:uiPriority w:val="0"/>
    <w:rPr>
      <w:sz w:val="21"/>
      <w:szCs w:val="21"/>
    </w:rPr>
  </w:style>
  <w:style w:type="character" w:customStyle="1" w:styleId="238">
    <w:name w:val="正文缩进 Char"/>
    <w:link w:val="13"/>
    <w:qFormat/>
    <w:uiPriority w:val="0"/>
    <w:rPr>
      <w:kern w:val="2"/>
      <w:sz w:val="28"/>
    </w:rPr>
  </w:style>
  <w:style w:type="character" w:customStyle="1" w:styleId="239">
    <w:name w:val="myfont1"/>
    <w:basedOn w:val="69"/>
    <w:qFormat/>
    <w:uiPriority w:val="0"/>
  </w:style>
  <w:style w:type="character" w:customStyle="1" w:styleId="240">
    <w:name w:val="脚注文本 Char"/>
    <w:link w:val="50"/>
    <w:qFormat/>
    <w:uiPriority w:val="0"/>
    <w:rPr>
      <w:rFonts w:eastAsia="楷体_GB2312"/>
      <w:kern w:val="2"/>
      <w:sz w:val="18"/>
      <w:szCs w:val="18"/>
    </w:rPr>
  </w:style>
  <w:style w:type="character" w:customStyle="1" w:styleId="241">
    <w:name w:val="自动正文1"/>
    <w:qFormat/>
    <w:uiPriority w:val="99"/>
    <w:rPr>
      <w:rFonts w:ascii="宋体" w:hAnsi="宋体" w:eastAsia="宋体" w:cs="宋体"/>
      <w:sz w:val="28"/>
      <w:szCs w:val="28"/>
    </w:rPr>
  </w:style>
  <w:style w:type="character" w:customStyle="1" w:styleId="242">
    <w:name w:val="题注 Char"/>
    <w:link w:val="17"/>
    <w:qFormat/>
    <w:uiPriority w:val="0"/>
    <w:rPr>
      <w:rFonts w:ascii="Arial" w:hAnsi="Arial" w:eastAsia="黑体" w:cs="Arial"/>
      <w:kern w:val="2"/>
    </w:rPr>
  </w:style>
  <w:style w:type="character" w:customStyle="1" w:styleId="243">
    <w:name w:val="明显参考1"/>
    <w:qFormat/>
    <w:uiPriority w:val="0"/>
    <w:rPr>
      <w:b/>
      <w:smallCaps/>
      <w:color w:val="C0504D"/>
      <w:spacing w:val="5"/>
      <w:u w:val="single"/>
    </w:rPr>
  </w:style>
  <w:style w:type="character" w:customStyle="1" w:styleId="244">
    <w:name w:val="Default Text Char Char"/>
    <w:link w:val="245"/>
    <w:qFormat/>
    <w:uiPriority w:val="0"/>
    <w:rPr>
      <w:color w:val="000000"/>
      <w:sz w:val="24"/>
      <w:szCs w:val="24"/>
    </w:rPr>
  </w:style>
  <w:style w:type="paragraph" w:customStyle="1" w:styleId="245">
    <w:name w:val="Default Text"/>
    <w:link w:val="24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6">
    <w:name w:val="Char Char81"/>
    <w:qFormat/>
    <w:uiPriority w:val="0"/>
    <w:rPr>
      <w:rFonts w:ascii="宋体" w:hAnsi="宋体" w:eastAsia="宋体"/>
      <w:kern w:val="2"/>
      <w:sz w:val="18"/>
      <w:szCs w:val="18"/>
      <w:lang w:val="en-US" w:eastAsia="zh-CN" w:bidi="ar-SA"/>
    </w:rPr>
  </w:style>
  <w:style w:type="character" w:customStyle="1" w:styleId="247">
    <w:name w:val="Table Heading Char"/>
    <w:link w:val="248"/>
    <w:qFormat/>
    <w:uiPriority w:val="0"/>
    <w:rPr>
      <w:rFonts w:ascii="Arial" w:hAnsi="Arial" w:eastAsia="黑体" w:cs="Arial"/>
      <w:sz w:val="18"/>
      <w:szCs w:val="18"/>
    </w:rPr>
  </w:style>
  <w:style w:type="paragraph" w:customStyle="1" w:styleId="248">
    <w:name w:val="Table Heading"/>
    <w:link w:val="247"/>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249">
    <w:name w:val="正文模版 Char Char"/>
    <w:link w:val="250"/>
    <w:qFormat/>
    <w:uiPriority w:val="0"/>
    <w:rPr>
      <w:rFonts w:ascii="宋体" w:hAnsi="宋体"/>
      <w:kern w:val="2"/>
      <w:sz w:val="24"/>
    </w:rPr>
  </w:style>
  <w:style w:type="paragraph" w:customStyle="1" w:styleId="250">
    <w:name w:val="正文模版"/>
    <w:basedOn w:val="1"/>
    <w:link w:val="249"/>
    <w:qFormat/>
    <w:uiPriority w:val="0"/>
    <w:pPr>
      <w:ind w:firstLine="480" w:firstLineChars="200"/>
    </w:pPr>
    <w:rPr>
      <w:rFonts w:ascii="宋体" w:hAnsi="宋体" w:eastAsia="宋体" w:cs="Times New Roman"/>
      <w:szCs w:val="20"/>
    </w:rPr>
  </w:style>
  <w:style w:type="character" w:customStyle="1" w:styleId="251">
    <w:name w:val="未处理的提及"/>
    <w:unhideWhenUsed/>
    <w:qFormat/>
    <w:uiPriority w:val="99"/>
    <w:rPr>
      <w:color w:val="605E5C"/>
      <w:shd w:val="clear" w:color="auto" w:fill="E1DFDD"/>
    </w:rPr>
  </w:style>
  <w:style w:type="character" w:customStyle="1" w:styleId="252">
    <w:name w:val="干标题(a) Char Char"/>
    <w:qFormat/>
    <w:uiPriority w:val="0"/>
    <w:rPr>
      <w:rFonts w:ascii="Arial" w:hAnsi="Arial" w:eastAsia="黑体"/>
      <w:sz w:val="24"/>
      <w:lang w:val="en-US" w:eastAsia="zh-CN" w:bidi="ar-SA"/>
    </w:rPr>
  </w:style>
  <w:style w:type="character" w:customStyle="1" w:styleId="253">
    <w:name w:val="Char Char2"/>
    <w:qFormat/>
    <w:uiPriority w:val="0"/>
    <w:rPr>
      <w:rFonts w:ascii="Cambria" w:hAnsi="Cambria" w:eastAsia="黑体"/>
      <w:kern w:val="2"/>
      <w:sz w:val="28"/>
      <w:szCs w:val="24"/>
      <w:lang w:val="en-US" w:eastAsia="zh-CN" w:bidi="ar-SA"/>
    </w:rPr>
  </w:style>
  <w:style w:type="character" w:customStyle="1" w:styleId="254">
    <w:name w:val="1page sec3 Char"/>
    <w:qFormat/>
    <w:uiPriority w:val="0"/>
    <w:rPr>
      <w:rFonts w:eastAsia="宋体"/>
      <w:kern w:val="2"/>
      <w:sz w:val="18"/>
      <w:szCs w:val="24"/>
      <w:lang w:val="en-US" w:eastAsia="zh-CN" w:bidi="ar-SA"/>
    </w:rPr>
  </w:style>
  <w:style w:type="character" w:customStyle="1" w:styleId="255">
    <w:name w:val="目标题 1) Char Char"/>
    <w:qFormat/>
    <w:uiPriority w:val="0"/>
    <w:rPr>
      <w:rFonts w:eastAsia="宋体"/>
      <w:sz w:val="24"/>
      <w:lang w:val="en-US" w:eastAsia="zh-CN" w:bidi="ar-SA"/>
    </w:rPr>
  </w:style>
  <w:style w:type="character" w:customStyle="1" w:styleId="256">
    <w:name w:val="标题1.1.1.1.1.1 Char"/>
    <w:qFormat/>
    <w:uiPriority w:val="0"/>
    <w:rPr>
      <w:rFonts w:eastAsia="宋体"/>
      <w:sz w:val="24"/>
      <w:lang w:val="en-US" w:eastAsia="zh-CN" w:bidi="ar-SA"/>
    </w:rPr>
  </w:style>
  <w:style w:type="character" w:customStyle="1" w:styleId="257">
    <w:name w:val="页脚 Char Char"/>
    <w:qFormat/>
    <w:uiPriority w:val="0"/>
    <w:rPr>
      <w:rFonts w:ascii="Calibri" w:hAnsi="Calibri" w:eastAsia="仿宋_GB2312"/>
      <w:kern w:val="2"/>
      <w:sz w:val="18"/>
      <w:szCs w:val="18"/>
      <w:lang w:val="en-US" w:eastAsia="zh-CN" w:bidi="ar-SA"/>
    </w:rPr>
  </w:style>
  <w:style w:type="character" w:customStyle="1" w:styleId="258">
    <w:name w:val="HTML 预设格式 Char1"/>
    <w:qFormat/>
    <w:uiPriority w:val="0"/>
    <w:rPr>
      <w:rFonts w:ascii="Courier New" w:hAnsi="Courier New" w:eastAsia="宋体" w:cs="Courier New"/>
      <w:sz w:val="20"/>
      <w:szCs w:val="20"/>
      <w:lang w:bidi="ar-SA"/>
    </w:rPr>
  </w:style>
  <w:style w:type="character" w:customStyle="1" w:styleId="259">
    <w:name w:val="wd12hei221"/>
    <w:qFormat/>
    <w:uiPriority w:val="0"/>
    <w:rPr>
      <w:rFonts w:ascii="Tahoma" w:hAnsi="Tahoma" w:eastAsia="宋体"/>
      <w:color w:val="000000"/>
      <w:kern w:val="2"/>
      <w:sz w:val="18"/>
      <w:szCs w:val="18"/>
      <w:u w:val="none"/>
      <w:lang w:val="en-US" w:eastAsia="zh-CN" w:bidi="ar-SA"/>
    </w:rPr>
  </w:style>
  <w:style w:type="character" w:customStyle="1" w:styleId="260">
    <w:name w:val="userdata"/>
    <w:qFormat/>
    <w:uiPriority w:val="0"/>
    <w:rPr>
      <w:rFonts w:eastAsia="宋体"/>
      <w:kern w:val="2"/>
      <w:sz w:val="24"/>
      <w:szCs w:val="24"/>
      <w:lang w:val="en-US" w:eastAsia="zh-CN" w:bidi="ar-SA"/>
    </w:rPr>
  </w:style>
  <w:style w:type="character" w:customStyle="1" w:styleId="261">
    <w:name w:val="font41"/>
    <w:basedOn w:val="69"/>
    <w:qFormat/>
    <w:uiPriority w:val="0"/>
    <w:rPr>
      <w:rFonts w:hint="eastAsia" w:ascii="方正仿宋_GBK" w:hAnsi="方正仿宋_GBK" w:eastAsia="方正仿宋_GBK" w:cs="方正仿宋_GBK"/>
      <w:color w:val="000000"/>
      <w:sz w:val="18"/>
      <w:szCs w:val="18"/>
      <w:u w:val="none"/>
    </w:rPr>
  </w:style>
  <w:style w:type="character" w:customStyle="1" w:styleId="262">
    <w:name w:val="3zw"/>
    <w:qFormat/>
    <w:uiPriority w:val="0"/>
    <w:rPr>
      <w:rFonts w:ascii="Calibri" w:hAnsi="Calibri" w:eastAsia="仿宋_GB2312"/>
      <w:kern w:val="2"/>
      <w:sz w:val="28"/>
      <w:szCs w:val="24"/>
      <w:lang w:val="en-US" w:eastAsia="zh-CN" w:bidi="ar-SA"/>
    </w:rPr>
  </w:style>
  <w:style w:type="character" w:customStyle="1" w:styleId="263">
    <w:name w:val="投标正文 Char Char"/>
    <w:link w:val="264"/>
    <w:qFormat/>
    <w:uiPriority w:val="0"/>
    <w:rPr>
      <w:rFonts w:ascii="宋体" w:hAnsi="宋体"/>
      <w:kern w:val="2"/>
      <w:sz w:val="24"/>
      <w:szCs w:val="24"/>
    </w:rPr>
  </w:style>
  <w:style w:type="paragraph" w:customStyle="1" w:styleId="264">
    <w:name w:val="投标正文"/>
    <w:basedOn w:val="1"/>
    <w:link w:val="263"/>
    <w:qFormat/>
    <w:uiPriority w:val="0"/>
    <w:pPr>
      <w:adjustRightInd w:val="0"/>
      <w:snapToGrid w:val="0"/>
      <w:ind w:firstLine="480" w:firstLineChars="200"/>
    </w:pPr>
    <w:rPr>
      <w:rFonts w:ascii="宋体" w:hAnsi="宋体" w:eastAsia="宋体" w:cs="Times New Roman"/>
    </w:rPr>
  </w:style>
  <w:style w:type="character" w:customStyle="1" w:styleId="265">
    <w:name w:val="headline-content2"/>
    <w:qFormat/>
    <w:uiPriority w:val="0"/>
    <w:rPr>
      <w:rFonts w:ascii="Calibri" w:hAnsi="Calibri" w:eastAsia="仿宋_GB2312"/>
      <w:kern w:val="2"/>
      <w:sz w:val="28"/>
      <w:szCs w:val="24"/>
      <w:lang w:val="en-US" w:eastAsia="zh-CN" w:bidi="ar-SA"/>
    </w:rPr>
  </w:style>
  <w:style w:type="character" w:customStyle="1" w:styleId="266">
    <w:name w:val="引用 Char3"/>
    <w:qFormat/>
    <w:uiPriority w:val="29"/>
    <w:rPr>
      <w:rFonts w:eastAsia="宋体"/>
      <w:i/>
      <w:iCs/>
      <w:color w:val="000000"/>
      <w:kern w:val="2"/>
      <w:sz w:val="21"/>
      <w:szCs w:val="24"/>
    </w:rPr>
  </w:style>
  <w:style w:type="character" w:customStyle="1" w:styleId="267">
    <w:name w:val="comment-link1"/>
    <w:qFormat/>
    <w:uiPriority w:val="0"/>
    <w:rPr>
      <w:rFonts w:hint="default" w:ascii="Arial" w:hAnsi="Arial" w:cs="Arial"/>
      <w:color w:val="133DB6"/>
    </w:rPr>
  </w:style>
  <w:style w:type="character" w:customStyle="1" w:styleId="268">
    <w:name w:val="title_emph1"/>
    <w:qFormat/>
    <w:uiPriority w:val="0"/>
    <w:rPr>
      <w:rFonts w:ascii="Arial" w:hAnsi="Arial" w:eastAsia="宋体" w:cs="Arial"/>
      <w:b/>
      <w:bCs/>
      <w:sz w:val="18"/>
      <w:szCs w:val="18"/>
      <w:lang w:val="en-US" w:eastAsia="zh-CN" w:bidi="ar-SA"/>
    </w:rPr>
  </w:style>
  <w:style w:type="character" w:customStyle="1" w:styleId="269">
    <w:name w:val="标题 4 Char1"/>
    <w:qFormat/>
    <w:uiPriority w:val="0"/>
    <w:rPr>
      <w:rFonts w:ascii="Times New Roman" w:hAnsi="Times New Roman" w:eastAsia="宋体" w:cs="Times New Roman"/>
      <w:kern w:val="0"/>
      <w:sz w:val="24"/>
      <w:szCs w:val="20"/>
    </w:rPr>
  </w:style>
  <w:style w:type="character" w:customStyle="1" w:styleId="270">
    <w:name w:val="myfont2"/>
    <w:basedOn w:val="69"/>
    <w:qFormat/>
    <w:uiPriority w:val="0"/>
  </w:style>
  <w:style w:type="character" w:customStyle="1" w:styleId="271">
    <w:name w:val="font01"/>
    <w:qFormat/>
    <w:uiPriority w:val="0"/>
    <w:rPr>
      <w:rFonts w:hint="eastAsia" w:ascii="方正仿宋_GBK" w:hAnsi="方正仿宋_GBK" w:eastAsia="方正仿宋_GBK" w:cs="方正仿宋_GBK"/>
      <w:color w:val="FF0000"/>
      <w:sz w:val="18"/>
      <w:szCs w:val="18"/>
      <w:u w:val="none"/>
    </w:rPr>
  </w:style>
  <w:style w:type="character" w:customStyle="1" w:styleId="272">
    <w:name w:val="正文文本 3 Char1"/>
    <w:qFormat/>
    <w:uiPriority w:val="0"/>
    <w:rPr>
      <w:rFonts w:ascii="Times New Roman" w:hAnsi="Times New Roman" w:eastAsia="宋体" w:cs="Times New Roman"/>
      <w:sz w:val="16"/>
      <w:szCs w:val="16"/>
      <w:lang w:bidi="ar-SA"/>
    </w:rPr>
  </w:style>
  <w:style w:type="character" w:customStyle="1" w:styleId="273">
    <w:name w:val="明显引用 Char"/>
    <w:qFormat/>
    <w:uiPriority w:val="0"/>
    <w:rPr>
      <w:b/>
      <w:i/>
      <w:color w:val="4F81BD"/>
    </w:rPr>
  </w:style>
  <w:style w:type="paragraph" w:styleId="274">
    <w:name w:val="Intense Quote"/>
    <w:basedOn w:val="1"/>
    <w:next w:val="1"/>
    <w:link w:val="450"/>
    <w:qFormat/>
    <w:uiPriority w:val="0"/>
    <w:pPr>
      <w:widowControl/>
      <w:pBdr>
        <w:bottom w:val="single" w:color="4F81BD" w:sz="4" w:space="4"/>
      </w:pBdr>
      <w:spacing w:before="200" w:after="280"/>
      <w:ind w:left="936" w:right="936" w:firstLine="200" w:firstLineChars="200"/>
    </w:pPr>
    <w:rPr>
      <w:rFonts w:ascii="Times New Roman" w:hAnsi="Times New Roman" w:eastAsia="宋体" w:cs="Times New Roman"/>
      <w:b/>
      <w:i/>
      <w:color w:val="4F81BD"/>
      <w:kern w:val="0"/>
      <w:sz w:val="20"/>
      <w:szCs w:val="20"/>
    </w:rPr>
  </w:style>
  <w:style w:type="character" w:customStyle="1" w:styleId="275">
    <w:name w:val="Char Char8"/>
    <w:qFormat/>
    <w:uiPriority w:val="0"/>
    <w:rPr>
      <w:rFonts w:eastAsia="宋体"/>
      <w:kern w:val="2"/>
      <w:sz w:val="21"/>
      <w:szCs w:val="24"/>
      <w:lang w:val="en-US" w:eastAsia="zh-CN" w:bidi="ar-SA"/>
    </w:rPr>
  </w:style>
  <w:style w:type="character" w:customStyle="1" w:styleId="276">
    <w:name w:val="标2 Char"/>
    <w:link w:val="277"/>
    <w:qFormat/>
    <w:uiPriority w:val="0"/>
    <w:rPr>
      <w:rFonts w:ascii="宋体" w:hAnsi="宋体"/>
      <w:b/>
      <w:sz w:val="28"/>
      <w:szCs w:val="28"/>
    </w:rPr>
  </w:style>
  <w:style w:type="paragraph" w:customStyle="1" w:styleId="277">
    <w:name w:val="标2"/>
    <w:basedOn w:val="1"/>
    <w:link w:val="276"/>
    <w:qFormat/>
    <w:uiPriority w:val="0"/>
    <w:pPr>
      <w:adjustRightInd w:val="0"/>
      <w:snapToGrid w:val="0"/>
      <w:spacing w:beforeLines="50" w:afterLines="50" w:line="240" w:lineRule="auto"/>
      <w:ind w:left="-1" w:leftChars="-1" w:hanging="1"/>
      <w:outlineLvl w:val="1"/>
    </w:pPr>
    <w:rPr>
      <w:rFonts w:ascii="宋体" w:hAnsi="宋体" w:eastAsia="宋体" w:cs="Times New Roman"/>
      <w:b/>
      <w:kern w:val="0"/>
      <w:sz w:val="28"/>
      <w:szCs w:val="28"/>
    </w:rPr>
  </w:style>
  <w:style w:type="character" w:customStyle="1" w:styleId="278">
    <w:name w:val="规范正文 Char Char"/>
    <w:link w:val="279"/>
    <w:qFormat/>
    <w:uiPriority w:val="0"/>
    <w:rPr>
      <w:rFonts w:ascii="Arial" w:hAnsi="Arial"/>
      <w:sz w:val="24"/>
      <w:szCs w:val="22"/>
    </w:rPr>
  </w:style>
  <w:style w:type="paragraph" w:customStyle="1" w:styleId="279">
    <w:name w:val="规范正文"/>
    <w:link w:val="278"/>
    <w:qFormat/>
    <w:uiPriority w:val="0"/>
    <w:pPr>
      <w:adjustRightInd w:val="0"/>
      <w:spacing w:beforeLines="50" w:afterLines="50" w:line="360" w:lineRule="auto"/>
      <w:ind w:firstLine="200" w:firstLineChars="200"/>
      <w:textAlignment w:val="baseline"/>
    </w:pPr>
    <w:rPr>
      <w:rFonts w:ascii="Arial" w:hAnsi="Arial" w:eastAsia="宋体" w:cs="Times New Roman"/>
      <w:sz w:val="24"/>
      <w:szCs w:val="22"/>
      <w:lang w:val="en-US" w:eastAsia="zh-CN" w:bidi="ar-SA"/>
    </w:rPr>
  </w:style>
  <w:style w:type="character" w:customStyle="1" w:styleId="280">
    <w:name w:val="Footer1 Char Char"/>
    <w:qFormat/>
    <w:uiPriority w:val="0"/>
    <w:rPr>
      <w:rFonts w:eastAsia="宋体"/>
      <w:kern w:val="2"/>
      <w:sz w:val="18"/>
      <w:szCs w:val="18"/>
      <w:lang w:val="en-US" w:eastAsia="zh-CN" w:bidi="ar-SA"/>
    </w:rPr>
  </w:style>
  <w:style w:type="character" w:customStyle="1" w:styleId="281">
    <w:name w:val="正文文本缩进 3 Char1"/>
    <w:qFormat/>
    <w:uiPriority w:val="0"/>
    <w:rPr>
      <w:rFonts w:ascii="Times New Roman" w:hAnsi="Times New Roman" w:eastAsia="宋体" w:cs="Times New Roman"/>
      <w:sz w:val="16"/>
      <w:szCs w:val="16"/>
      <w:lang w:bidi="ar-SA"/>
    </w:rPr>
  </w:style>
  <w:style w:type="character" w:customStyle="1" w:styleId="282">
    <w:name w:val="引用 Char"/>
    <w:qFormat/>
    <w:uiPriority w:val="0"/>
    <w:rPr>
      <w:i/>
      <w:color w:val="000000"/>
    </w:rPr>
  </w:style>
  <w:style w:type="paragraph" w:styleId="283">
    <w:name w:val="Quote"/>
    <w:basedOn w:val="1"/>
    <w:next w:val="1"/>
    <w:link w:val="334"/>
    <w:qFormat/>
    <w:uiPriority w:val="0"/>
    <w:pPr>
      <w:widowControl/>
      <w:ind w:firstLine="200" w:firstLineChars="200"/>
    </w:pPr>
    <w:rPr>
      <w:rFonts w:ascii="Times New Roman" w:hAnsi="Times New Roman" w:eastAsia="宋体" w:cs="Times New Roman"/>
      <w:i/>
      <w:color w:val="000000"/>
      <w:kern w:val="0"/>
      <w:sz w:val="20"/>
      <w:szCs w:val="20"/>
    </w:rPr>
  </w:style>
  <w:style w:type="character" w:customStyle="1" w:styleId="284">
    <w:name w:val="明显引用 Char2"/>
    <w:qFormat/>
    <w:uiPriority w:val="30"/>
    <w:rPr>
      <w:rFonts w:eastAsia="楷体_GB2312"/>
      <w:b/>
      <w:bCs/>
      <w:i/>
      <w:iCs/>
      <w:color w:val="4F81BD"/>
      <w:kern w:val="2"/>
      <w:sz w:val="28"/>
    </w:rPr>
  </w:style>
  <w:style w:type="character" w:customStyle="1" w:styleId="285">
    <w:name w:val="small"/>
    <w:basedOn w:val="69"/>
    <w:qFormat/>
    <w:uiPriority w:val="0"/>
  </w:style>
  <w:style w:type="character" w:customStyle="1" w:styleId="286">
    <w:name w:val="日期 Char1"/>
    <w:qFormat/>
    <w:uiPriority w:val="0"/>
    <w:rPr>
      <w:rFonts w:ascii="Times New Roman" w:hAnsi="Times New Roman" w:eastAsia="宋体" w:cs="Times New Roman"/>
      <w:szCs w:val="24"/>
      <w:lang w:bidi="ar-SA"/>
    </w:rPr>
  </w:style>
  <w:style w:type="character" w:customStyle="1" w:styleId="287">
    <w:name w:val="xl26"/>
    <w:basedOn w:val="69"/>
    <w:qFormat/>
    <w:uiPriority w:val="0"/>
  </w:style>
  <w:style w:type="character" w:customStyle="1" w:styleId="288">
    <w:name w:val="Char Char Char Char Char1"/>
    <w:qFormat/>
    <w:uiPriority w:val="0"/>
    <w:rPr>
      <w:rFonts w:ascii="黑体" w:eastAsia="黑体"/>
      <w:snapToGrid w:val="0"/>
      <w:sz w:val="28"/>
    </w:rPr>
  </w:style>
  <w:style w:type="character" w:customStyle="1" w:styleId="289">
    <w:name w:val="样式 标题 2 + 黑色 Char Char"/>
    <w:link w:val="290"/>
    <w:qFormat/>
    <w:uiPriority w:val="0"/>
    <w:rPr>
      <w:rFonts w:ascii="Cambria" w:hAnsi="Cambria" w:eastAsia="黑体"/>
      <w:b/>
      <w:bCs/>
      <w:color w:val="000000"/>
      <w:kern w:val="2"/>
      <w:sz w:val="30"/>
      <w:szCs w:val="24"/>
    </w:rPr>
  </w:style>
  <w:style w:type="paragraph" w:customStyle="1" w:styleId="290">
    <w:name w:val="样式 标题 2 + 黑色"/>
    <w:basedOn w:val="5"/>
    <w:link w:val="289"/>
    <w:qFormat/>
    <w:uiPriority w:val="0"/>
    <w:pPr>
      <w:numPr>
        <w:ilvl w:val="0"/>
        <w:numId w:val="0"/>
      </w:numPr>
      <w:tabs>
        <w:tab w:val="left" w:pos="823"/>
      </w:tabs>
      <w:spacing w:beforeLines="50" w:afterLines="50"/>
      <w:ind w:left="425" w:right="1098" w:rightChars="392" w:hanging="420"/>
      <w:jc w:val="left"/>
    </w:pPr>
    <w:rPr>
      <w:rFonts w:ascii="Cambria" w:hAnsi="Cambria" w:eastAsia="黑体" w:cs="Times New Roman"/>
      <w:color w:val="000000"/>
      <w:szCs w:val="24"/>
    </w:rPr>
  </w:style>
  <w:style w:type="character" w:customStyle="1" w:styleId="291">
    <w:name w:val="款标题1.1.1.1 Char"/>
    <w:qFormat/>
    <w:uiPriority w:val="0"/>
    <w:rPr>
      <w:rFonts w:eastAsia="宋体"/>
      <w:sz w:val="24"/>
      <w:lang w:val="en-US" w:eastAsia="zh-CN" w:bidi="ar-SA"/>
    </w:rPr>
  </w:style>
  <w:style w:type="character" w:customStyle="1" w:styleId="292">
    <w:name w:val="unnamed21"/>
    <w:qFormat/>
    <w:uiPriority w:val="0"/>
    <w:rPr>
      <w:rFonts w:eastAsia="宋体"/>
      <w:color w:val="CC6633"/>
      <w:kern w:val="2"/>
      <w:sz w:val="24"/>
      <w:szCs w:val="24"/>
      <w:u w:val="none"/>
      <w:lang w:val="en-US" w:eastAsia="zh-CN" w:bidi="ar-SA"/>
    </w:rPr>
  </w:style>
  <w:style w:type="character" w:customStyle="1" w:styleId="293">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294">
    <w:name w:val="标题1"/>
    <w:basedOn w:val="69"/>
    <w:qFormat/>
    <w:uiPriority w:val="0"/>
  </w:style>
  <w:style w:type="character" w:customStyle="1" w:styleId="295">
    <w:name w:val="正文文本缩进 Char1"/>
    <w:qFormat/>
    <w:uiPriority w:val="0"/>
    <w:rPr>
      <w:rFonts w:ascii="Times New Roman" w:hAnsi="Times New Roman" w:eastAsia="宋体" w:cs="Times New Roman"/>
      <w:szCs w:val="24"/>
      <w:lang w:bidi="ar-SA"/>
    </w:rPr>
  </w:style>
  <w:style w:type="character" w:customStyle="1" w:styleId="296">
    <w:name w:val="Char Char18"/>
    <w:qFormat/>
    <w:uiPriority w:val="0"/>
    <w:rPr>
      <w:rFonts w:ascii="楷体_GB2312" w:eastAsia="楷体_GB2312"/>
      <w:kern w:val="2"/>
      <w:sz w:val="28"/>
      <w:szCs w:val="28"/>
      <w:lang w:val="en-US" w:eastAsia="zh-CN"/>
    </w:rPr>
  </w:style>
  <w:style w:type="character" w:customStyle="1" w:styleId="297">
    <w:name w:val="gray f12"/>
    <w:qFormat/>
    <w:uiPriority w:val="0"/>
  </w:style>
  <w:style w:type="character" w:customStyle="1" w:styleId="298">
    <w:name w:val="details6"/>
    <w:qFormat/>
    <w:uiPriority w:val="0"/>
    <w:rPr>
      <w:rFonts w:hint="default" w:ascii="Tahoma" w:hAnsi="Tahoma" w:cs="Tahoma"/>
      <w:color w:val="666666"/>
      <w:sz w:val="18"/>
      <w:szCs w:val="18"/>
    </w:rPr>
  </w:style>
  <w:style w:type="character" w:customStyle="1" w:styleId="299">
    <w:name w:val="float-r"/>
    <w:qFormat/>
    <w:uiPriority w:val="0"/>
  </w:style>
  <w:style w:type="character" w:customStyle="1" w:styleId="300">
    <w:name w:val="font71"/>
    <w:qFormat/>
    <w:uiPriority w:val="0"/>
    <w:rPr>
      <w:rFonts w:hint="eastAsia" w:ascii="方正仿宋_GBK" w:hAnsi="方正仿宋_GBK" w:eastAsia="方正仿宋_GBK" w:cs="方正仿宋_GBK"/>
      <w:color w:val="000000"/>
      <w:sz w:val="18"/>
      <w:szCs w:val="18"/>
      <w:u w:val="none"/>
    </w:rPr>
  </w:style>
  <w:style w:type="character" w:customStyle="1" w:styleId="301">
    <w:name w:val="Char Char82"/>
    <w:qFormat/>
    <w:uiPriority w:val="0"/>
    <w:rPr>
      <w:rFonts w:eastAsia="宋体"/>
      <w:kern w:val="2"/>
      <w:sz w:val="21"/>
      <w:szCs w:val="24"/>
      <w:lang w:val="en-US" w:eastAsia="zh-CN"/>
    </w:rPr>
  </w:style>
  <w:style w:type="character" w:customStyle="1" w:styleId="302">
    <w:name w:val="g1"/>
    <w:qFormat/>
    <w:uiPriority w:val="0"/>
    <w:rPr>
      <w:rFonts w:ascii="Calibri" w:hAnsi="Calibri" w:eastAsia="仿宋_GB2312"/>
      <w:color w:val="008000"/>
      <w:kern w:val="2"/>
      <w:sz w:val="28"/>
      <w:szCs w:val="24"/>
      <w:lang w:val="en-US" w:eastAsia="zh-CN" w:bidi="ar-SA"/>
    </w:rPr>
  </w:style>
  <w:style w:type="character" w:customStyle="1" w:styleId="303">
    <w:name w:val="项标题(1) Char Char"/>
    <w:qFormat/>
    <w:uiPriority w:val="0"/>
    <w:rPr>
      <w:rFonts w:eastAsia="宋体"/>
      <w:sz w:val="24"/>
      <w:lang w:val="en-US" w:eastAsia="zh-CN" w:bidi="ar-SA"/>
    </w:rPr>
  </w:style>
  <w:style w:type="character" w:customStyle="1" w:styleId="304">
    <w:name w:val="纯文本 Char2"/>
    <w:basedOn w:val="69"/>
    <w:link w:val="34"/>
    <w:semiHidden/>
    <w:qFormat/>
    <w:uiPriority w:val="99"/>
    <w:rPr>
      <w:rFonts w:ascii="宋体" w:hAnsi="Courier New" w:cs="Courier New"/>
      <w:kern w:val="2"/>
      <w:sz w:val="21"/>
      <w:szCs w:val="21"/>
    </w:rPr>
  </w:style>
  <w:style w:type="character" w:customStyle="1" w:styleId="305">
    <w:name w:val="尾注文本 Char3"/>
    <w:basedOn w:val="69"/>
    <w:link w:val="39"/>
    <w:semiHidden/>
    <w:qFormat/>
    <w:uiPriority w:val="99"/>
    <w:rPr>
      <w:rFonts w:asciiTheme="minorEastAsia" w:hAnsiTheme="minorEastAsia" w:eastAsiaTheme="minorEastAsia" w:cstheme="minorEastAsia"/>
      <w:kern w:val="2"/>
      <w:sz w:val="24"/>
      <w:szCs w:val="24"/>
    </w:rPr>
  </w:style>
  <w:style w:type="character" w:customStyle="1" w:styleId="306">
    <w:name w:val="日期 Char2"/>
    <w:basedOn w:val="69"/>
    <w:link w:val="37"/>
    <w:semiHidden/>
    <w:qFormat/>
    <w:uiPriority w:val="99"/>
    <w:rPr>
      <w:rFonts w:asciiTheme="minorEastAsia" w:hAnsiTheme="minorEastAsia" w:eastAsiaTheme="minorEastAsia" w:cstheme="minorEastAsia"/>
      <w:kern w:val="2"/>
      <w:sz w:val="24"/>
      <w:szCs w:val="24"/>
    </w:rPr>
  </w:style>
  <w:style w:type="character" w:customStyle="1" w:styleId="307">
    <w:name w:val="称呼 Char2"/>
    <w:basedOn w:val="69"/>
    <w:link w:val="24"/>
    <w:semiHidden/>
    <w:qFormat/>
    <w:uiPriority w:val="99"/>
    <w:rPr>
      <w:rFonts w:asciiTheme="minorEastAsia" w:hAnsiTheme="minorEastAsia" w:eastAsiaTheme="minorEastAsia" w:cstheme="minorEastAsia"/>
      <w:kern w:val="2"/>
      <w:sz w:val="24"/>
      <w:szCs w:val="24"/>
    </w:rPr>
  </w:style>
  <w:style w:type="character" w:customStyle="1" w:styleId="308">
    <w:name w:val="签名 Char"/>
    <w:basedOn w:val="69"/>
    <w:link w:val="43"/>
    <w:qFormat/>
    <w:uiPriority w:val="0"/>
    <w:rPr>
      <w:rFonts w:ascii="Calibri" w:hAnsi="Calibri" w:eastAsia="楷体_GB2312"/>
      <w:kern w:val="2"/>
      <w:sz w:val="21"/>
    </w:rPr>
  </w:style>
  <w:style w:type="character" w:customStyle="1" w:styleId="309">
    <w:name w:val="正文文本缩进 2 Char2"/>
    <w:basedOn w:val="69"/>
    <w:link w:val="38"/>
    <w:semiHidden/>
    <w:qFormat/>
    <w:uiPriority w:val="99"/>
    <w:rPr>
      <w:rFonts w:asciiTheme="minorEastAsia" w:hAnsiTheme="minorEastAsia" w:eastAsiaTheme="minorEastAsia" w:cstheme="minorEastAsia"/>
      <w:kern w:val="2"/>
      <w:sz w:val="24"/>
      <w:szCs w:val="24"/>
    </w:rPr>
  </w:style>
  <w:style w:type="character" w:customStyle="1" w:styleId="310">
    <w:name w:val="正文文本 3 Char2"/>
    <w:basedOn w:val="69"/>
    <w:link w:val="25"/>
    <w:semiHidden/>
    <w:qFormat/>
    <w:uiPriority w:val="99"/>
    <w:rPr>
      <w:rFonts w:asciiTheme="minorEastAsia" w:hAnsiTheme="minorEastAsia" w:eastAsiaTheme="minorEastAsia" w:cstheme="minorEastAsia"/>
      <w:kern w:val="2"/>
      <w:sz w:val="16"/>
      <w:szCs w:val="16"/>
    </w:rPr>
  </w:style>
  <w:style w:type="paragraph" w:customStyle="1" w:styleId="311">
    <w:name w:val="Char1 Char Char Char1"/>
    <w:basedOn w:val="1"/>
    <w:qFormat/>
    <w:uiPriority w:val="0"/>
    <w:pPr>
      <w:spacing w:line="240" w:lineRule="auto"/>
    </w:pPr>
    <w:rPr>
      <w:rFonts w:ascii="Tahoma" w:hAnsi="Tahoma" w:eastAsia="宋体" w:cs="Times New Roman"/>
      <w:szCs w:val="20"/>
    </w:rPr>
  </w:style>
  <w:style w:type="paragraph" w:customStyle="1" w:styleId="312">
    <w:name w:val="修订1"/>
    <w:qFormat/>
    <w:uiPriority w:val="0"/>
    <w:rPr>
      <w:rFonts w:ascii="Calibri" w:hAnsi="Calibri" w:eastAsia="宋体" w:cs="Times New Roman"/>
      <w:szCs w:val="24"/>
      <w:lang w:val="en-US" w:eastAsia="zh-CN" w:bidi="ar-SA"/>
    </w:rPr>
  </w:style>
  <w:style w:type="paragraph" w:customStyle="1" w:styleId="313">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Cs w:val="20"/>
    </w:rPr>
  </w:style>
  <w:style w:type="paragraph" w:customStyle="1" w:styleId="314">
    <w:name w:val="a1"/>
    <w:basedOn w:val="1"/>
    <w:qFormat/>
    <w:uiPriority w:val="0"/>
    <w:pPr>
      <w:widowControl/>
      <w:spacing w:before="100" w:beforeAutospacing="1" w:after="100" w:afterAutospacing="1" w:line="579" w:lineRule="exact"/>
      <w:jc w:val="left"/>
    </w:pPr>
    <w:rPr>
      <w:rFonts w:ascii="宋体" w:hAnsi="宋体" w:eastAsia="方正仿宋_GBK" w:cs="宋体"/>
      <w:kern w:val="0"/>
    </w:rPr>
  </w:style>
  <w:style w:type="paragraph" w:customStyle="1" w:styleId="315">
    <w:name w:val="关于"/>
    <w:basedOn w:val="1"/>
    <w:next w:val="1"/>
    <w:qFormat/>
    <w:uiPriority w:val="0"/>
    <w:pPr>
      <w:keepNext/>
      <w:keepLines/>
      <w:widowControl/>
      <w:tabs>
        <w:tab w:val="left" w:pos="600"/>
        <w:tab w:val="left" w:pos="960"/>
        <w:tab w:val="left" w:pos="1080"/>
      </w:tabs>
      <w:overflowPunct w:val="0"/>
      <w:spacing w:before="220"/>
      <w:ind w:right="28" w:firstLine="480"/>
    </w:pPr>
    <w:rPr>
      <w:rFonts w:ascii="宋体" w:hAnsi="Calibri" w:eastAsia="宋体" w:cs="Times New Roman"/>
      <w:kern w:val="0"/>
      <w:szCs w:val="20"/>
    </w:rPr>
  </w:style>
  <w:style w:type="paragraph" w:customStyle="1" w:styleId="316">
    <w:name w:val="表内文字"/>
    <w:basedOn w:val="1"/>
    <w:qFormat/>
    <w:uiPriority w:val="0"/>
    <w:pPr>
      <w:adjustRightInd w:val="0"/>
      <w:snapToGrid w:val="0"/>
      <w:spacing w:line="312" w:lineRule="auto"/>
      <w:jc w:val="center"/>
    </w:pPr>
    <w:rPr>
      <w:rFonts w:ascii="Calibri" w:hAnsi="Calibri" w:eastAsia="宋体" w:cs="Times New Roman"/>
      <w:color w:val="000000"/>
      <w:sz w:val="21"/>
      <w:szCs w:val="20"/>
    </w:rPr>
  </w:style>
  <w:style w:type="paragraph" w:customStyle="1" w:styleId="31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rPr>
  </w:style>
  <w:style w:type="paragraph" w:customStyle="1" w:styleId="318">
    <w:name w:val="样式 样式 标题 2 + 黑色 + 段前: 0.5 行 段后: 0.5 行"/>
    <w:basedOn w:val="1"/>
    <w:qFormat/>
    <w:uiPriority w:val="0"/>
    <w:pPr>
      <w:keepNext/>
      <w:keepLines/>
      <w:adjustRightInd w:val="0"/>
      <w:snapToGrid w:val="0"/>
      <w:spacing w:beforeLines="50" w:afterLines="50"/>
      <w:ind w:left="44" w:hanging="22"/>
      <w:outlineLvl w:val="1"/>
    </w:pPr>
    <w:rPr>
      <w:rFonts w:ascii="Cambria" w:hAnsi="Cambria" w:eastAsia="宋体" w:cs="宋体"/>
      <w:b/>
      <w:bCs/>
      <w:color w:val="000000"/>
      <w:sz w:val="30"/>
      <w:szCs w:val="20"/>
    </w:rPr>
  </w:style>
  <w:style w:type="paragraph" w:customStyle="1" w:styleId="319">
    <w:name w:val="样式3"/>
    <w:basedOn w:val="34"/>
    <w:qFormat/>
    <w:uiPriority w:val="0"/>
    <w:pPr>
      <w:widowControl/>
      <w:tabs>
        <w:tab w:val="left" w:pos="1980"/>
      </w:tabs>
      <w:spacing w:before="60" w:after="60" w:line="360" w:lineRule="auto"/>
      <w:ind w:left="1845" w:hanging="360"/>
      <w:jc w:val="left"/>
    </w:pPr>
    <w:rPr>
      <w:kern w:val="0"/>
    </w:rPr>
  </w:style>
  <w:style w:type="paragraph" w:customStyle="1" w:styleId="320">
    <w:name w:val="正"/>
    <w:basedOn w:val="1"/>
    <w:qFormat/>
    <w:uiPriority w:val="0"/>
    <w:pPr>
      <w:spacing w:line="240" w:lineRule="auto"/>
      <w:ind w:firstLine="525"/>
    </w:pPr>
    <w:rPr>
      <w:rFonts w:ascii="Calibri" w:hAnsi="Calibri" w:eastAsia="宋体" w:cs="Times New Roman"/>
      <w:spacing w:val="20"/>
      <w:sz w:val="21"/>
      <w:szCs w:val="20"/>
    </w:rPr>
  </w:style>
  <w:style w:type="paragraph" w:customStyle="1" w:styleId="321">
    <w:name w:val="Char Char Char Char Char Char1"/>
    <w:basedOn w:val="1"/>
    <w:qFormat/>
    <w:uiPriority w:val="0"/>
    <w:pPr>
      <w:spacing w:line="240" w:lineRule="auto"/>
      <w:ind w:firstLine="200" w:firstLineChars="200"/>
    </w:pPr>
    <w:rPr>
      <w:rFonts w:ascii="Tahoma" w:hAnsi="Tahoma" w:eastAsia="宋体" w:cs="Times New Roman"/>
      <w:szCs w:val="20"/>
    </w:rPr>
  </w:style>
  <w:style w:type="paragraph" w:customStyle="1" w:styleId="322">
    <w:name w:val="Char Char Char"/>
    <w:basedOn w:val="1"/>
    <w:qFormat/>
    <w:uiPriority w:val="0"/>
    <w:pPr>
      <w:spacing w:line="240" w:lineRule="auto"/>
    </w:pPr>
    <w:rPr>
      <w:rFonts w:ascii="Calibri" w:hAnsi="Calibri" w:eastAsia="宋体" w:cs="Times New Roman"/>
      <w:kern w:val="0"/>
    </w:rPr>
  </w:style>
  <w:style w:type="paragraph" w:customStyle="1" w:styleId="3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324">
    <w:name w:val="Char21"/>
    <w:basedOn w:val="1"/>
    <w:qFormat/>
    <w:uiPriority w:val="0"/>
    <w:pPr>
      <w:tabs>
        <w:tab w:val="left" w:pos="425"/>
      </w:tabs>
      <w:spacing w:line="240" w:lineRule="auto"/>
      <w:ind w:left="425" w:hanging="425"/>
    </w:pPr>
    <w:rPr>
      <w:rFonts w:ascii="Calibri" w:hAnsi="Calibri" w:eastAsia="宋体" w:cs="Times New Roman"/>
    </w:rPr>
  </w:style>
  <w:style w:type="paragraph" w:customStyle="1" w:styleId="325">
    <w:name w:val="标题5"/>
    <w:basedOn w:val="1"/>
    <w:qFormat/>
    <w:uiPriority w:val="0"/>
    <w:pPr>
      <w:spacing w:before="120" w:after="120" w:line="240" w:lineRule="auto"/>
    </w:pPr>
    <w:rPr>
      <w:rFonts w:ascii="宋体" w:hAnsi="Calibri" w:eastAsia="宋体" w:cs="Times New Roman"/>
      <w:b/>
      <w:sz w:val="28"/>
    </w:rPr>
  </w:style>
  <w:style w:type="paragraph" w:customStyle="1" w:styleId="32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rPr>
  </w:style>
  <w:style w:type="paragraph" w:customStyle="1" w:styleId="327">
    <w:name w:val="样式 黑色"/>
    <w:basedOn w:val="1"/>
    <w:qFormat/>
    <w:uiPriority w:val="0"/>
    <w:pPr>
      <w:adjustRightInd w:val="0"/>
      <w:snapToGrid w:val="0"/>
      <w:ind w:right="31" w:rightChars="11"/>
      <w:jc w:val="center"/>
    </w:pPr>
    <w:rPr>
      <w:rFonts w:ascii="Calibri" w:hAnsi="Calibri" w:eastAsia="宋体" w:cs="宋体"/>
      <w:color w:val="000000"/>
      <w:szCs w:val="20"/>
    </w:rPr>
  </w:style>
  <w:style w:type="paragraph" w:customStyle="1" w:styleId="3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329">
    <w:name w:val="中等深浅网格 1 - 强调文字颜色 21"/>
    <w:basedOn w:val="1"/>
    <w:qFormat/>
    <w:uiPriority w:val="34"/>
    <w:pPr>
      <w:spacing w:line="240" w:lineRule="auto"/>
      <w:ind w:firstLine="420" w:firstLineChars="200"/>
    </w:pPr>
    <w:rPr>
      <w:rFonts w:ascii="Calibri" w:hAnsi="Calibri" w:eastAsia="宋体" w:cs="Times New Roman"/>
      <w:sz w:val="21"/>
    </w:rPr>
  </w:style>
  <w:style w:type="paragraph" w:customStyle="1" w:styleId="33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331">
    <w:name w:val="Table Body"/>
    <w:basedOn w:val="1"/>
    <w:qFormat/>
    <w:uiPriority w:val="0"/>
    <w:pPr>
      <w:widowControl/>
      <w:spacing w:line="240" w:lineRule="auto"/>
      <w:jc w:val="center"/>
    </w:pPr>
    <w:rPr>
      <w:rFonts w:ascii="Arial" w:hAnsi="Arial" w:eastAsia="宋体" w:cs="Times New Roman"/>
      <w:snapToGrid w:val="0"/>
      <w:kern w:val="0"/>
      <w:sz w:val="18"/>
      <w:szCs w:val="20"/>
    </w:rPr>
  </w:style>
  <w:style w:type="paragraph" w:customStyle="1" w:styleId="332">
    <w:name w:val="CM10"/>
    <w:basedOn w:val="333"/>
    <w:next w:val="333"/>
    <w:qFormat/>
    <w:uiPriority w:val="0"/>
    <w:pPr>
      <w:spacing w:line="468" w:lineRule="atLeast"/>
    </w:pPr>
    <w:rPr>
      <w:rFonts w:ascii="黑体" w:hAnsi="Calibri" w:eastAsia="黑体" w:cs="Times New Roman"/>
      <w:color w:val="auto"/>
    </w:rPr>
  </w:style>
  <w:style w:type="paragraph" w:customStyle="1" w:styleId="33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34">
    <w:name w:val="引用 Char4"/>
    <w:basedOn w:val="69"/>
    <w:link w:val="283"/>
    <w:semiHidden/>
    <w:qFormat/>
    <w:uiPriority w:val="99"/>
    <w:rPr>
      <w:rFonts w:asciiTheme="minorEastAsia" w:hAnsiTheme="minorEastAsia" w:eastAsiaTheme="minorEastAsia" w:cstheme="minorEastAsia"/>
      <w:i/>
      <w:iCs/>
      <w:color w:val="000000" w:themeColor="text1"/>
      <w:kern w:val="2"/>
      <w:sz w:val="24"/>
      <w:szCs w:val="24"/>
      <w14:textFill>
        <w14:solidFill>
          <w14:schemeClr w14:val="tx1"/>
        </w14:solidFill>
      </w14:textFill>
    </w:rPr>
  </w:style>
  <w:style w:type="paragraph" w:customStyle="1" w:styleId="335">
    <w:name w:val="Char1 Char Char1 Char Char Char Char Char Char Char Char Char Char"/>
    <w:basedOn w:val="1"/>
    <w:qFormat/>
    <w:uiPriority w:val="0"/>
    <w:pPr>
      <w:tabs>
        <w:tab w:val="left" w:pos="425"/>
      </w:tabs>
      <w:spacing w:line="240" w:lineRule="auto"/>
      <w:ind w:left="425" w:hanging="425"/>
    </w:pPr>
    <w:rPr>
      <w:rFonts w:ascii="Calibri" w:hAnsi="Calibri" w:eastAsia="宋体" w:cs="Times New Roman"/>
    </w:rPr>
  </w:style>
  <w:style w:type="paragraph" w:customStyle="1" w:styleId="336">
    <w:name w:val="xl99"/>
    <w:basedOn w:val="1"/>
    <w:qFormat/>
    <w:uiPriority w:val="0"/>
    <w:pPr>
      <w:widowControl/>
      <w:spacing w:before="100" w:beforeAutospacing="1" w:after="100" w:afterAutospacing="1" w:line="240" w:lineRule="auto"/>
      <w:jc w:val="left"/>
    </w:pPr>
    <w:rPr>
      <w:rFonts w:ascii="宋体" w:hAnsi="Calibri" w:eastAsia="宋体" w:cs="宋体"/>
      <w:kern w:val="0"/>
      <w:sz w:val="14"/>
      <w:szCs w:val="14"/>
    </w:rPr>
  </w:style>
  <w:style w:type="paragraph" w:customStyle="1" w:styleId="337">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eastAsia="宋体" w:cs="Times New Roman"/>
      <w:szCs w:val="21"/>
    </w:rPr>
  </w:style>
  <w:style w:type="paragraph" w:customStyle="1" w:styleId="338">
    <w:name w:val="样式 四号 行距: 固定值 26 磅"/>
    <w:basedOn w:val="1"/>
    <w:qFormat/>
    <w:uiPriority w:val="0"/>
    <w:pPr>
      <w:ind w:firstLine="200" w:firstLineChars="200"/>
    </w:pPr>
    <w:rPr>
      <w:rFonts w:ascii="Calibri" w:hAnsi="Calibri" w:eastAsia="宋体" w:cs="宋体"/>
      <w:szCs w:val="20"/>
    </w:rPr>
  </w:style>
  <w:style w:type="paragraph" w:customStyle="1" w:styleId="339">
    <w:name w:val="修订2"/>
    <w:qFormat/>
    <w:uiPriority w:val="0"/>
    <w:rPr>
      <w:rFonts w:ascii="Calibri" w:hAnsi="Calibri" w:eastAsia="宋体" w:cs="Times New Roman"/>
      <w:kern w:val="2"/>
      <w:sz w:val="21"/>
      <w:szCs w:val="24"/>
      <w:lang w:val="en-US" w:eastAsia="zh-CN" w:bidi="ar-SA"/>
    </w:rPr>
  </w:style>
  <w:style w:type="character" w:customStyle="1" w:styleId="340">
    <w:name w:val="脚注文本 Char1"/>
    <w:basedOn w:val="69"/>
    <w:link w:val="50"/>
    <w:semiHidden/>
    <w:qFormat/>
    <w:uiPriority w:val="99"/>
    <w:rPr>
      <w:rFonts w:asciiTheme="minorEastAsia" w:hAnsiTheme="minorEastAsia" w:eastAsiaTheme="minorEastAsia" w:cstheme="minorEastAsia"/>
      <w:kern w:val="2"/>
      <w:sz w:val="18"/>
      <w:szCs w:val="18"/>
    </w:rPr>
  </w:style>
  <w:style w:type="paragraph" w:customStyle="1" w:styleId="341">
    <w:name w:val="正文（首行缩进）"/>
    <w:basedOn w:val="1"/>
    <w:qFormat/>
    <w:uiPriority w:val="0"/>
    <w:pPr>
      <w:ind w:firstLine="200" w:firstLineChars="200"/>
    </w:pPr>
    <w:rPr>
      <w:rFonts w:ascii="Calibri" w:hAnsi="Calibri" w:eastAsia="仿宋_GB2312" w:cs="Times New Roman"/>
      <w:szCs w:val="20"/>
    </w:rPr>
  </w:style>
  <w:style w:type="paragraph" w:customStyle="1" w:styleId="3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b/>
      <w:bCs/>
      <w:kern w:val="0"/>
      <w:sz w:val="22"/>
      <w:szCs w:val="22"/>
    </w:rPr>
  </w:style>
  <w:style w:type="paragraph" w:customStyle="1" w:styleId="343">
    <w:name w:val="样式 样式 标题 5 + 宋体 小四 段前: 6 磅 段后: 0 磅 行距: 1.5 倍行距 + 首行缩进:  2 字符"/>
    <w:basedOn w:val="1"/>
    <w:qFormat/>
    <w:uiPriority w:val="0"/>
    <w:pPr>
      <w:keepNext/>
      <w:keepLines/>
      <w:spacing w:before="120"/>
      <w:ind w:firstLine="200" w:firstLineChars="200"/>
      <w:outlineLvl w:val="4"/>
    </w:pPr>
    <w:rPr>
      <w:rFonts w:ascii="Calibri" w:hAnsi="Calibri" w:eastAsia="宋体" w:cs="宋体"/>
      <w:b/>
      <w:bCs/>
    </w:rPr>
  </w:style>
  <w:style w:type="paragraph" w:customStyle="1" w:styleId="344">
    <w:name w:val="Char Char1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45">
    <w:name w:val="列表内容"/>
    <w:basedOn w:val="1"/>
    <w:qFormat/>
    <w:uiPriority w:val="0"/>
    <w:pPr>
      <w:tabs>
        <w:tab w:val="left" w:pos="420"/>
      </w:tabs>
      <w:ind w:left="360" w:hanging="360"/>
    </w:pPr>
    <w:rPr>
      <w:rFonts w:ascii="Calibri" w:hAnsi="Calibri" w:eastAsia="宋体" w:cs="Times New Roman"/>
    </w:rPr>
  </w:style>
  <w:style w:type="paragraph" w:customStyle="1" w:styleId="346">
    <w:name w:val="样式1"/>
    <w:basedOn w:val="1"/>
    <w:qFormat/>
    <w:uiPriority w:val="0"/>
    <w:pPr>
      <w:adjustRightInd w:val="0"/>
      <w:snapToGrid w:val="0"/>
      <w:spacing w:before="40" w:after="40" w:line="300" w:lineRule="auto"/>
      <w:ind w:left="425" w:hanging="425"/>
      <w:jc w:val="center"/>
      <w:textAlignment w:val="center"/>
    </w:pPr>
    <w:rPr>
      <w:rFonts w:ascii="Calibri" w:hAnsi="Calibri" w:eastAsia="宋体" w:cs="Times New Roman"/>
      <w:snapToGrid w:val="0"/>
      <w:spacing w:val="20"/>
      <w:kern w:val="0"/>
      <w:sz w:val="18"/>
      <w:szCs w:val="20"/>
    </w:rPr>
  </w:style>
  <w:style w:type="paragraph" w:customStyle="1" w:styleId="34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348">
    <w:name w:val="签名1"/>
    <w:basedOn w:val="1"/>
    <w:qFormat/>
    <w:uiPriority w:val="0"/>
    <w:pPr>
      <w:spacing w:line="240" w:lineRule="auto"/>
      <w:ind w:left="4320"/>
    </w:pPr>
    <w:rPr>
      <w:rFonts w:ascii="Calibri" w:hAnsi="Calibri" w:eastAsia="楷体_GB2312" w:cs="Times New Roman"/>
      <w:kern w:val="0"/>
      <w:sz w:val="20"/>
      <w:szCs w:val="20"/>
    </w:rPr>
  </w:style>
  <w:style w:type="paragraph" w:customStyle="1" w:styleId="349">
    <w:name w:val="样式5"/>
    <w:basedOn w:val="350"/>
    <w:next w:val="350"/>
    <w:qFormat/>
    <w:uiPriority w:val="0"/>
    <w:pPr>
      <w:tabs>
        <w:tab w:val="left" w:pos="1319"/>
        <w:tab w:val="right" w:leader="dot" w:pos="9458"/>
      </w:tabs>
    </w:pPr>
  </w:style>
  <w:style w:type="paragraph" w:customStyle="1" w:styleId="350">
    <w:name w:val="样式4"/>
    <w:basedOn w:val="44"/>
    <w:qFormat/>
    <w:uiPriority w:val="0"/>
    <w:pPr>
      <w:tabs>
        <w:tab w:val="right" w:leader="dot" w:pos="9458"/>
      </w:tabs>
      <w:spacing w:before="120" w:after="120" w:line="240" w:lineRule="auto"/>
    </w:pPr>
    <w:rPr>
      <w:rFonts w:ascii="Calibri" w:hAnsi="Calibri" w:eastAsia="宋体" w:cs="Times New Roman"/>
      <w:sz w:val="21"/>
    </w:rPr>
  </w:style>
  <w:style w:type="paragraph" w:customStyle="1" w:styleId="351">
    <w:name w:val="样式2"/>
    <w:basedOn w:val="33"/>
    <w:qFormat/>
    <w:uiPriority w:val="0"/>
    <w:pPr>
      <w:tabs>
        <w:tab w:val="right" w:leader="dot" w:pos="9458"/>
      </w:tabs>
    </w:pPr>
    <w:rPr>
      <w:rFonts w:ascii="Arial" w:hAnsi="Arial" w:cs="Arial"/>
      <w:bCs/>
    </w:rPr>
  </w:style>
  <w:style w:type="paragraph" w:customStyle="1" w:styleId="3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kern w:val="0"/>
      <w:sz w:val="22"/>
      <w:szCs w:val="22"/>
    </w:rPr>
  </w:style>
  <w:style w:type="paragraph" w:customStyle="1" w:styleId="353">
    <w:name w:val="Char Char3 Char Char"/>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354">
    <w:name w:val="Char1"/>
    <w:basedOn w:val="1"/>
    <w:qFormat/>
    <w:uiPriority w:val="0"/>
    <w:pPr>
      <w:spacing w:line="240" w:lineRule="auto"/>
    </w:pPr>
    <w:rPr>
      <w:rFonts w:ascii="Tahoma" w:hAnsi="Tahoma" w:eastAsia="宋体" w:cs="Times New Roman"/>
      <w:szCs w:val="20"/>
    </w:rPr>
  </w:style>
  <w:style w:type="paragraph" w:customStyle="1" w:styleId="355">
    <w:name w:val="表格标题3"/>
    <w:basedOn w:val="356"/>
    <w:qFormat/>
    <w:uiPriority w:val="0"/>
    <w:pPr>
      <w:tabs>
        <w:tab w:val="left" w:pos="570"/>
        <w:tab w:val="left" w:pos="720"/>
        <w:tab w:val="left" w:pos="840"/>
        <w:tab w:val="left" w:pos="1260"/>
      </w:tabs>
      <w:ind w:left="570" w:hanging="570"/>
    </w:pPr>
  </w:style>
  <w:style w:type="paragraph" w:customStyle="1" w:styleId="356">
    <w:name w:val="表格标题2"/>
    <w:basedOn w:val="1"/>
    <w:qFormat/>
    <w:uiPriority w:val="0"/>
    <w:pPr>
      <w:tabs>
        <w:tab w:val="left" w:pos="840"/>
      </w:tabs>
      <w:adjustRightInd w:val="0"/>
      <w:spacing w:before="60" w:after="60" w:line="240" w:lineRule="auto"/>
      <w:ind w:left="840" w:hanging="420"/>
      <w:textAlignment w:val="bottom"/>
    </w:pPr>
    <w:rPr>
      <w:rFonts w:ascii="Calibri" w:hAnsi="Calibri" w:eastAsia="宋体" w:cs="Times New Roman"/>
      <w:kern w:val="0"/>
      <w:sz w:val="21"/>
      <w:szCs w:val="21"/>
    </w:rPr>
  </w:style>
  <w:style w:type="paragraph" w:customStyle="1" w:styleId="357">
    <w:name w:val="Char Char3 Char Char Char Char Char Char Char Char"/>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358">
    <w:name w:val="样式 标题 1章节标题b1 + 段前: 6 磅"/>
    <w:basedOn w:val="3"/>
    <w:qFormat/>
    <w:uiPriority w:val="0"/>
    <w:pPr>
      <w:numPr>
        <w:numId w:val="0"/>
      </w:numPr>
      <w:tabs>
        <w:tab w:val="left" w:pos="1740"/>
      </w:tabs>
      <w:spacing w:beforeLines="5" w:afterLines="5"/>
    </w:pPr>
    <w:rPr>
      <w:rFonts w:ascii="宋体" w:hAnsi="宋体" w:eastAsia="宋体" w:cs="宋体"/>
      <w:b w:val="0"/>
      <w:color w:val="000000"/>
      <w:kern w:val="2"/>
      <w:sz w:val="28"/>
      <w:szCs w:val="21"/>
    </w:rPr>
  </w:style>
  <w:style w:type="paragraph" w:customStyle="1" w:styleId="359">
    <w:name w:val="列出段落111"/>
    <w:basedOn w:val="1"/>
    <w:qFormat/>
    <w:uiPriority w:val="0"/>
    <w:pPr>
      <w:spacing w:line="240" w:lineRule="auto"/>
      <w:ind w:firstLine="420" w:firstLineChars="200"/>
    </w:pPr>
    <w:rPr>
      <w:rFonts w:ascii="Calibri" w:hAnsi="Calibri" w:eastAsia="宋体" w:cs="Times New Roman"/>
      <w:sz w:val="21"/>
      <w:lang w:val="zh-CN"/>
    </w:rPr>
  </w:style>
  <w:style w:type="paragraph" w:customStyle="1" w:styleId="3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rPr>
  </w:style>
  <w:style w:type="paragraph" w:customStyle="1" w:styleId="361">
    <w:name w:val="neirong"/>
    <w:basedOn w:val="1"/>
    <w:qFormat/>
    <w:uiPriority w:val="0"/>
    <w:pPr>
      <w:widowControl/>
      <w:spacing w:before="100" w:beforeAutospacing="1" w:after="100" w:afterAutospacing="1" w:line="240" w:lineRule="auto"/>
      <w:jc w:val="left"/>
    </w:pPr>
    <w:rPr>
      <w:rFonts w:ascii="宋体" w:hAnsi="Calibri" w:eastAsia="宋体" w:cs="Times New Roman"/>
      <w:color w:val="000000"/>
      <w:kern w:val="0"/>
      <w:sz w:val="20"/>
      <w:szCs w:val="20"/>
    </w:rPr>
  </w:style>
  <w:style w:type="character" w:customStyle="1" w:styleId="362">
    <w:name w:val="HTML 预设格式 Char2"/>
    <w:basedOn w:val="69"/>
    <w:link w:val="60"/>
    <w:semiHidden/>
    <w:qFormat/>
    <w:uiPriority w:val="99"/>
    <w:rPr>
      <w:rFonts w:ascii="Courier New" w:hAnsi="Courier New" w:cs="Courier New" w:eastAsiaTheme="minorEastAsia"/>
      <w:kern w:val="2"/>
    </w:rPr>
  </w:style>
  <w:style w:type="paragraph" w:customStyle="1" w:styleId="363">
    <w:name w:val="样式 首行缩进:  0.8 厘米1"/>
    <w:basedOn w:val="1"/>
    <w:qFormat/>
    <w:uiPriority w:val="0"/>
    <w:pPr>
      <w:spacing w:before="60" w:after="60" w:line="288" w:lineRule="auto"/>
      <w:ind w:firstLine="454"/>
    </w:pPr>
    <w:rPr>
      <w:rFonts w:ascii="Calibri" w:hAnsi="Calibri" w:eastAsia="宋体" w:cs="宋体"/>
      <w:kern w:val="0"/>
      <w:szCs w:val="20"/>
      <w:lang w:eastAsia="en-US"/>
    </w:rPr>
  </w:style>
  <w:style w:type="paragraph" w:customStyle="1" w:styleId="364">
    <w:name w:val="Default Text:1"/>
    <w:basedOn w:val="1"/>
    <w:qFormat/>
    <w:uiPriority w:val="0"/>
    <w:pPr>
      <w:widowControl/>
      <w:overflowPunct w:val="0"/>
      <w:autoSpaceDE w:val="0"/>
      <w:autoSpaceDN w:val="0"/>
      <w:adjustRightInd w:val="0"/>
      <w:spacing w:line="240" w:lineRule="auto"/>
      <w:jc w:val="left"/>
      <w:textAlignment w:val="baseline"/>
    </w:pPr>
    <w:rPr>
      <w:rFonts w:ascii="Calibri" w:hAnsi="Calibri" w:eastAsia="宋体" w:cs="Times New Roman"/>
      <w:kern w:val="0"/>
      <w:szCs w:val="20"/>
    </w:rPr>
  </w:style>
  <w:style w:type="paragraph" w:customStyle="1" w:styleId="365">
    <w:name w:val="Char"/>
    <w:basedOn w:val="1"/>
    <w:qFormat/>
    <w:uiPriority w:val="0"/>
    <w:pPr>
      <w:widowControl/>
      <w:spacing w:line="240" w:lineRule="auto"/>
      <w:jc w:val="left"/>
    </w:pPr>
    <w:rPr>
      <w:rFonts w:ascii="Calibri" w:hAnsi="Calibri" w:eastAsia="宋体" w:cs="Times New Roman"/>
      <w:kern w:val="0"/>
      <w:sz w:val="20"/>
      <w:szCs w:val="20"/>
    </w:rPr>
  </w:style>
  <w:style w:type="paragraph" w:customStyle="1" w:styleId="366">
    <w:name w:val="font1"/>
    <w:basedOn w:val="1"/>
    <w:qFormat/>
    <w:uiPriority w:val="0"/>
    <w:pPr>
      <w:widowControl/>
      <w:spacing w:before="100" w:beforeAutospacing="1" w:after="100" w:afterAutospacing="1" w:line="240" w:lineRule="auto"/>
      <w:jc w:val="left"/>
    </w:pPr>
    <w:rPr>
      <w:rFonts w:ascii="宋体" w:hAnsi="Calibri" w:eastAsia="宋体" w:cs="宋体"/>
      <w:kern w:val="0"/>
    </w:rPr>
  </w:style>
  <w:style w:type="paragraph" w:customStyle="1" w:styleId="367">
    <w:name w:val="S标准段落"/>
    <w:basedOn w:val="1"/>
    <w:qFormat/>
    <w:uiPriority w:val="0"/>
    <w:pPr>
      <w:spacing w:beforeLines="50"/>
      <w:ind w:firstLine="200" w:firstLineChars="200"/>
    </w:pPr>
    <w:rPr>
      <w:rFonts w:ascii="宋体" w:hAnsi="Times New Roman" w:eastAsia="宋体" w:cs="Times New Roman"/>
      <w:color w:val="000000"/>
      <w:kern w:val="0"/>
      <w:szCs w:val="21"/>
    </w:rPr>
  </w:style>
  <w:style w:type="paragraph" w:customStyle="1" w:styleId="368">
    <w:name w:val="font6"/>
    <w:basedOn w:val="1"/>
    <w:qFormat/>
    <w:uiPriority w:val="0"/>
    <w:pPr>
      <w:widowControl/>
      <w:spacing w:before="100" w:beforeAutospacing="1" w:after="100" w:afterAutospacing="1" w:line="240" w:lineRule="auto"/>
      <w:jc w:val="left"/>
    </w:pPr>
    <w:rPr>
      <w:rFonts w:ascii="Calibri" w:hAnsi="Calibri" w:eastAsia="宋体" w:cs="Times New Roman"/>
      <w:kern w:val="0"/>
      <w:sz w:val="20"/>
      <w:szCs w:val="20"/>
    </w:rPr>
  </w:style>
  <w:style w:type="paragraph" w:customStyle="1" w:styleId="369">
    <w:name w:val="正文--样式 (西文) 宋体 行距: 1.5 倍行距 首行缩进:  2 字符"/>
    <w:basedOn w:val="1"/>
    <w:qFormat/>
    <w:uiPriority w:val="0"/>
    <w:pPr>
      <w:ind w:firstLine="480" w:firstLineChars="200"/>
    </w:pPr>
    <w:rPr>
      <w:rFonts w:ascii="宋体" w:hAnsi="宋体" w:eastAsia="仿宋_GB2312" w:cs="宋体"/>
      <w:szCs w:val="20"/>
    </w:rPr>
  </w:style>
  <w:style w:type="character" w:customStyle="1" w:styleId="370">
    <w:name w:val="正文文本 2 Char1"/>
    <w:basedOn w:val="69"/>
    <w:link w:val="58"/>
    <w:semiHidden/>
    <w:qFormat/>
    <w:uiPriority w:val="99"/>
    <w:rPr>
      <w:rFonts w:asciiTheme="minorEastAsia" w:hAnsiTheme="minorEastAsia" w:eastAsiaTheme="minorEastAsia" w:cstheme="minorEastAsia"/>
      <w:kern w:val="2"/>
      <w:sz w:val="24"/>
      <w:szCs w:val="24"/>
    </w:rPr>
  </w:style>
  <w:style w:type="paragraph" w:customStyle="1" w:styleId="371">
    <w:name w:val="索引 11"/>
    <w:basedOn w:val="1"/>
    <w:next w:val="1"/>
    <w:qFormat/>
    <w:uiPriority w:val="0"/>
    <w:pPr>
      <w:spacing w:line="240" w:lineRule="auto"/>
    </w:pPr>
    <w:rPr>
      <w:rFonts w:ascii="Calibri" w:hAnsi="Calibri" w:eastAsia="宋体" w:cs="Times New Roman"/>
      <w:sz w:val="21"/>
    </w:rPr>
  </w:style>
  <w:style w:type="paragraph" w:customStyle="1" w:styleId="372">
    <w:name w:val="样式 正文文字缩进 + 宋体 首行缩进:  2 字符"/>
    <w:basedOn w:val="26"/>
    <w:qFormat/>
    <w:uiPriority w:val="0"/>
    <w:pPr>
      <w:spacing w:line="400" w:lineRule="exact"/>
      <w:ind w:firstLine="200" w:firstLineChars="200"/>
    </w:pPr>
    <w:rPr>
      <w:rFonts w:ascii="Times New Roman" w:hAnsi="Calibri" w:eastAsia="宋体" w:cs="宋体"/>
      <w:sz w:val="24"/>
    </w:rPr>
  </w:style>
  <w:style w:type="paragraph" w:customStyle="1" w:styleId="373">
    <w:name w:val="正文文本 31"/>
    <w:basedOn w:val="1"/>
    <w:qFormat/>
    <w:uiPriority w:val="0"/>
    <w:pPr>
      <w:spacing w:line="240" w:lineRule="auto"/>
      <w:jc w:val="center"/>
    </w:pPr>
    <w:rPr>
      <w:rFonts w:ascii="Calibri" w:hAnsi="Calibri" w:eastAsia="宋体" w:cs="Times New Roman"/>
      <w:kern w:val="0"/>
      <w:szCs w:val="20"/>
    </w:rPr>
  </w:style>
  <w:style w:type="paragraph" w:customStyle="1" w:styleId="374">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spacing w:line="240" w:lineRule="auto"/>
      <w:ind w:hanging="420"/>
      <w:jc w:val="left"/>
    </w:pPr>
    <w:rPr>
      <w:rFonts w:ascii="Calibri" w:hAnsi="Calibri" w:eastAsia="宋体" w:cs="Times New Roman"/>
      <w:sz w:val="21"/>
    </w:rPr>
  </w:style>
  <w:style w:type="paragraph" w:customStyle="1" w:styleId="375">
    <w:name w:val="subtitle 2"/>
    <w:basedOn w:val="1"/>
    <w:qFormat/>
    <w:uiPriority w:val="0"/>
    <w:pPr>
      <w:spacing w:before="240" w:after="240" w:line="312" w:lineRule="atLeast"/>
    </w:pPr>
    <w:rPr>
      <w:rFonts w:ascii="Calibri" w:hAnsi="Calibri" w:eastAsia="黑体" w:cs="Times New Roman"/>
      <w:snapToGrid w:val="0"/>
      <w:kern w:val="0"/>
      <w:szCs w:val="20"/>
    </w:rPr>
  </w:style>
  <w:style w:type="paragraph" w:customStyle="1" w:styleId="376">
    <w:name w:val="文档结构图2"/>
    <w:basedOn w:val="1"/>
    <w:qFormat/>
    <w:uiPriority w:val="0"/>
    <w:pPr>
      <w:spacing w:line="240" w:lineRule="auto"/>
    </w:pPr>
    <w:rPr>
      <w:rFonts w:ascii="宋体" w:hAnsi="Calibri" w:eastAsia="宋体" w:cs="Times New Roman"/>
      <w:kern w:val="0"/>
      <w:sz w:val="18"/>
      <w:szCs w:val="18"/>
    </w:rPr>
  </w:style>
  <w:style w:type="paragraph" w:customStyle="1" w:styleId="377">
    <w:name w:val="tableheading"/>
    <w:basedOn w:val="1"/>
    <w:qFormat/>
    <w:uiPriority w:val="0"/>
    <w:pPr>
      <w:widowControl/>
      <w:spacing w:before="100" w:beforeAutospacing="1" w:after="100" w:afterAutospacing="1" w:line="240" w:lineRule="auto"/>
      <w:jc w:val="left"/>
    </w:pPr>
    <w:rPr>
      <w:rFonts w:ascii="宋体" w:hAnsi="宋体" w:eastAsia="宋体" w:cs="宋体"/>
      <w:kern w:val="0"/>
    </w:rPr>
  </w:style>
  <w:style w:type="paragraph" w:customStyle="1" w:styleId="378">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79">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380">
    <w:name w:val="font9"/>
    <w:basedOn w:val="1"/>
    <w:qFormat/>
    <w:uiPriority w:val="0"/>
    <w:pPr>
      <w:widowControl/>
      <w:spacing w:before="100" w:beforeAutospacing="1" w:after="100" w:afterAutospacing="1" w:line="240" w:lineRule="auto"/>
      <w:jc w:val="left"/>
    </w:pPr>
    <w:rPr>
      <w:rFonts w:ascii="宋体" w:hAnsi="Calibri" w:eastAsia="宋体" w:cs="宋体"/>
      <w:kern w:val="0"/>
      <w:sz w:val="18"/>
      <w:szCs w:val="18"/>
    </w:rPr>
  </w:style>
  <w:style w:type="paragraph" w:customStyle="1" w:styleId="381">
    <w:name w:val="xl87"/>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宋体"/>
      <w:b/>
      <w:bCs/>
      <w:kern w:val="0"/>
      <w:sz w:val="36"/>
      <w:szCs w:val="36"/>
    </w:rPr>
  </w:style>
  <w:style w:type="character" w:customStyle="1" w:styleId="382">
    <w:name w:val="副标题 Char4"/>
    <w:basedOn w:val="69"/>
    <w:link w:val="48"/>
    <w:qFormat/>
    <w:uiPriority w:val="11"/>
    <w:rPr>
      <w:rFonts w:asciiTheme="majorHAnsi" w:hAnsiTheme="majorHAnsi" w:cstheme="majorBidi"/>
      <w:b/>
      <w:bCs/>
      <w:kern w:val="28"/>
      <w:sz w:val="32"/>
      <w:szCs w:val="32"/>
    </w:rPr>
  </w:style>
  <w:style w:type="paragraph" w:customStyle="1" w:styleId="383">
    <w:name w:val="表格"/>
    <w:basedOn w:val="1"/>
    <w:qFormat/>
    <w:uiPriority w:val="0"/>
    <w:pPr>
      <w:adjustRightInd w:val="0"/>
      <w:spacing w:before="60" w:after="60" w:line="240" w:lineRule="auto"/>
      <w:jc w:val="center"/>
      <w:textAlignment w:val="baseline"/>
    </w:pPr>
    <w:rPr>
      <w:rFonts w:ascii="宋体" w:hAnsi="Calibri" w:eastAsia="宋体" w:cs="Times New Roman"/>
      <w:kern w:val="0"/>
      <w:szCs w:val="20"/>
    </w:rPr>
  </w:style>
  <w:style w:type="paragraph" w:customStyle="1" w:styleId="384">
    <w:name w:val="正文（标题三）"/>
    <w:basedOn w:val="1"/>
    <w:qFormat/>
    <w:uiPriority w:val="0"/>
    <w:pPr>
      <w:ind w:left="170" w:firstLine="425"/>
    </w:pPr>
    <w:rPr>
      <w:rFonts w:ascii="Calibri" w:hAnsi="Calibri" w:eastAsia="宋体" w:cs="Times New Roman"/>
    </w:rPr>
  </w:style>
  <w:style w:type="paragraph" w:customStyle="1" w:styleId="385">
    <w:name w:val="1 Char Char Char Char"/>
    <w:basedOn w:val="1"/>
    <w:qFormat/>
    <w:uiPriority w:val="0"/>
    <w:pPr>
      <w:spacing w:line="240" w:lineRule="auto"/>
    </w:pPr>
    <w:rPr>
      <w:rFonts w:ascii="Tahoma" w:hAnsi="Tahoma" w:eastAsia="宋体" w:cs="Times New Roman"/>
      <w:szCs w:val="20"/>
    </w:rPr>
  </w:style>
  <w:style w:type="paragraph" w:customStyle="1" w:styleId="386">
    <w:name w:val="修订3"/>
    <w:unhideWhenUsed/>
    <w:qFormat/>
    <w:uiPriority w:val="99"/>
    <w:rPr>
      <w:rFonts w:ascii="Calibri" w:hAnsi="Calibri" w:eastAsia="宋体" w:cs="Times New Roman"/>
      <w:kern w:val="2"/>
      <w:sz w:val="21"/>
      <w:szCs w:val="24"/>
      <w:lang w:val="en-US" w:eastAsia="zh-CN" w:bidi="ar-SA"/>
    </w:rPr>
  </w:style>
  <w:style w:type="paragraph" w:customStyle="1" w:styleId="387">
    <w:name w:val="Table Paragraph"/>
    <w:next w:val="32"/>
    <w:qFormat/>
    <w:uiPriority w:val="0"/>
    <w:pPr>
      <w:widowControl w:val="0"/>
    </w:pPr>
    <w:rPr>
      <w:rFonts w:ascii="宋体" w:hAnsi="Calibri" w:eastAsia="宋体" w:cs="宋体"/>
      <w:snapToGrid w:val="0"/>
      <w:kern w:val="21"/>
      <w:sz w:val="22"/>
      <w:szCs w:val="22"/>
      <w:lang w:val="en-US" w:eastAsia="en-US" w:bidi="ar-SA"/>
    </w:rPr>
  </w:style>
  <w:style w:type="character" w:customStyle="1" w:styleId="388">
    <w:name w:val="标题 Char2"/>
    <w:basedOn w:val="69"/>
    <w:link w:val="63"/>
    <w:qFormat/>
    <w:uiPriority w:val="10"/>
    <w:rPr>
      <w:rFonts w:asciiTheme="majorHAnsi" w:hAnsiTheme="majorHAnsi" w:cstheme="majorBidi"/>
      <w:b/>
      <w:bCs/>
      <w:kern w:val="2"/>
      <w:sz w:val="32"/>
      <w:szCs w:val="32"/>
    </w:rPr>
  </w:style>
  <w:style w:type="paragraph" w:customStyle="1" w:styleId="389">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390">
    <w:name w:val="公司名称"/>
    <w:basedOn w:val="1"/>
    <w:qFormat/>
    <w:uiPriority w:val="0"/>
    <w:pPr>
      <w:keepLines/>
      <w:widowControl/>
      <w:shd w:val="solid" w:color="auto" w:fill="auto"/>
      <w:spacing w:line="320" w:lineRule="atLeast"/>
      <w:jc w:val="left"/>
    </w:pPr>
    <w:rPr>
      <w:rFonts w:ascii="Arial Black" w:hAnsi="Arial Black" w:eastAsia="黑体" w:cs="Times New Roman"/>
      <w:color w:val="FFFFFF"/>
      <w:spacing w:val="-15"/>
      <w:kern w:val="0"/>
      <w:sz w:val="32"/>
      <w:szCs w:val="20"/>
      <w:lang w:bidi="he-IL"/>
    </w:rPr>
  </w:style>
  <w:style w:type="paragraph" w:customStyle="1" w:styleId="391">
    <w:name w:val="首行缩进:  2 字符2"/>
    <w:basedOn w:val="1"/>
    <w:qFormat/>
    <w:uiPriority w:val="0"/>
    <w:pPr>
      <w:adjustRightInd w:val="0"/>
      <w:snapToGrid w:val="0"/>
      <w:ind w:firstLine="480" w:firstLineChars="200"/>
    </w:pPr>
    <w:rPr>
      <w:rFonts w:ascii="宋体" w:hAnsi="宋体" w:eastAsia="宋体" w:cs="宋体"/>
    </w:rPr>
  </w:style>
  <w:style w:type="paragraph" w:customStyle="1" w:styleId="392">
    <w:name w:val="Table Description"/>
    <w:basedOn w:val="1"/>
    <w:qFormat/>
    <w:uiPriority w:val="0"/>
    <w:pPr>
      <w:spacing w:line="240" w:lineRule="auto"/>
      <w:ind w:left="1701"/>
    </w:pPr>
    <w:rPr>
      <w:rFonts w:ascii="Calibri" w:hAnsi="Calibri" w:eastAsia="宋体" w:cs="Times New Roman"/>
      <w:sz w:val="21"/>
      <w:szCs w:val="20"/>
    </w:rPr>
  </w:style>
  <w:style w:type="paragraph" w:customStyle="1" w:styleId="393">
    <w:name w:val="Char1 Char Char Char Char Char Char"/>
    <w:basedOn w:val="1"/>
    <w:qFormat/>
    <w:uiPriority w:val="0"/>
    <w:pPr>
      <w:tabs>
        <w:tab w:val="left" w:pos="360"/>
      </w:tabs>
      <w:spacing w:line="240" w:lineRule="auto"/>
      <w:ind w:left="360" w:hanging="360"/>
    </w:pPr>
    <w:rPr>
      <w:rFonts w:ascii="Calibri" w:hAnsi="Calibri" w:eastAsia="宋体" w:cs="Times New Roman"/>
    </w:rPr>
  </w:style>
  <w:style w:type="paragraph" w:customStyle="1" w:styleId="394">
    <w:name w:val="默认段落字体 Para Char"/>
    <w:basedOn w:val="1"/>
    <w:qFormat/>
    <w:uiPriority w:val="0"/>
    <w:pPr>
      <w:adjustRightInd w:val="0"/>
    </w:pPr>
    <w:rPr>
      <w:rFonts w:ascii="宋体" w:hAnsi="Calibri" w:eastAsia="宋体" w:cs="宋体"/>
      <w:kern w:val="0"/>
      <w:szCs w:val="20"/>
    </w:rPr>
  </w:style>
  <w:style w:type="paragraph" w:customStyle="1" w:styleId="395">
    <w:name w:val="列表1"/>
    <w:basedOn w:val="1"/>
    <w:qFormat/>
    <w:uiPriority w:val="0"/>
    <w:pPr>
      <w:tabs>
        <w:tab w:val="left" w:pos="3660"/>
      </w:tabs>
      <w:ind w:left="3660" w:hanging="420"/>
      <w:jc w:val="left"/>
    </w:pPr>
    <w:rPr>
      <w:rFonts w:ascii="Century" w:hAnsi="Century" w:eastAsia="宋体" w:cs="Times New Roman"/>
      <w:sz w:val="21"/>
      <w:szCs w:val="21"/>
    </w:rPr>
  </w:style>
  <w:style w:type="paragraph" w:customStyle="1" w:styleId="396">
    <w:name w:val="正文 小四 首缩"/>
    <w:qFormat/>
    <w:uiPriority w:val="0"/>
    <w:pPr>
      <w:snapToGrid w:val="0"/>
      <w:spacing w:line="360" w:lineRule="auto"/>
      <w:ind w:firstLine="482"/>
    </w:pPr>
    <w:rPr>
      <w:rFonts w:ascii="Calibri" w:hAnsi="Calibri" w:eastAsia="宋体" w:cs="Times New Roman"/>
      <w:kern w:val="2"/>
      <w:sz w:val="24"/>
      <w:lang w:val="en-US" w:eastAsia="zh-CN" w:bidi="ar-SA"/>
    </w:rPr>
  </w:style>
  <w:style w:type="paragraph" w:customStyle="1" w:styleId="397">
    <w:name w:val="正文 A"/>
    <w:qFormat/>
    <w:uiPriority w:val="0"/>
    <w:pPr>
      <w:widowControl w:val="0"/>
      <w:jc w:val="both"/>
    </w:pPr>
    <w:rPr>
      <w:rFonts w:ascii="Calibri" w:hAnsi="Calibri" w:eastAsia="Times New Roman" w:cs="Times New Roman"/>
      <w:color w:val="000000"/>
      <w:kern w:val="2"/>
      <w:sz w:val="21"/>
      <w:szCs w:val="21"/>
      <w:lang w:val="en-US" w:eastAsia="zh-CN" w:bidi="ar-SA"/>
    </w:rPr>
  </w:style>
  <w:style w:type="paragraph" w:customStyle="1" w:styleId="398">
    <w:name w:val="xl51"/>
    <w:basedOn w:val="1"/>
    <w:qFormat/>
    <w:uiPriority w:val="0"/>
    <w:pPr>
      <w:widowControl/>
      <w:pBdr>
        <w:bottom w:val="single" w:color="auto" w:sz="4" w:space="0"/>
        <w:right w:val="single" w:color="auto" w:sz="4" w:space="0"/>
      </w:pBdr>
      <w:tabs>
        <w:tab w:val="left" w:pos="1739"/>
      </w:tabs>
      <w:spacing w:before="100" w:beforeAutospacing="1" w:after="100" w:afterAutospacing="1" w:line="240" w:lineRule="auto"/>
      <w:textAlignment w:val="center"/>
    </w:pPr>
    <w:rPr>
      <w:rFonts w:ascii="Arial" w:hAnsi="Arial" w:eastAsia="Arial Unicode MS" w:cs="Arial"/>
      <w:kern w:val="0"/>
      <w:sz w:val="21"/>
      <w:szCs w:val="21"/>
    </w:rPr>
  </w:style>
  <w:style w:type="paragraph" w:customStyle="1" w:styleId="399">
    <w:name w:val="章标题"/>
    <w:next w:val="1"/>
    <w:qFormat/>
    <w:uiPriority w:val="0"/>
    <w:pPr>
      <w:spacing w:beforeLines="50" w:afterLines="50"/>
      <w:jc w:val="both"/>
      <w:outlineLvl w:val="1"/>
    </w:pPr>
    <w:rPr>
      <w:rFonts w:ascii="黑体" w:hAnsi="Calibri" w:eastAsia="黑体" w:cs="Times New Roman"/>
      <w:sz w:val="21"/>
      <w:lang w:val="en-US" w:eastAsia="zh-CN" w:bidi="ar-SA"/>
    </w:rPr>
  </w:style>
  <w:style w:type="paragraph" w:customStyle="1" w:styleId="400">
    <w:name w:val="普通正文"/>
    <w:basedOn w:val="1"/>
    <w:qFormat/>
    <w:uiPriority w:val="0"/>
    <w:pPr>
      <w:adjustRightInd w:val="0"/>
      <w:spacing w:before="120" w:after="120"/>
      <w:ind w:firstLine="480"/>
      <w:jc w:val="left"/>
      <w:textAlignment w:val="baseline"/>
    </w:pPr>
    <w:rPr>
      <w:rFonts w:ascii="Arial" w:hAnsi="Arial" w:eastAsia="宋体" w:cs="Times New Roman"/>
      <w:kern w:val="0"/>
    </w:rPr>
  </w:style>
  <w:style w:type="paragraph" w:customStyle="1" w:styleId="401">
    <w:name w:val="图表注释"/>
    <w:basedOn w:val="1"/>
    <w:qFormat/>
    <w:uiPriority w:val="0"/>
    <w:pPr>
      <w:jc w:val="center"/>
    </w:pPr>
    <w:rPr>
      <w:rFonts w:ascii="宋体" w:hAnsi="宋体" w:eastAsia="宋体" w:cs="Times New Roman"/>
      <w:bCs/>
      <w:sz w:val="21"/>
    </w:rPr>
  </w:style>
  <w:style w:type="paragraph" w:customStyle="1" w:styleId="402">
    <w:name w:val="一级条标题"/>
    <w:next w:val="1"/>
    <w:qFormat/>
    <w:uiPriority w:val="0"/>
    <w:pPr>
      <w:outlineLvl w:val="2"/>
    </w:pPr>
    <w:rPr>
      <w:rFonts w:ascii="Calibri" w:hAnsi="Calibri" w:eastAsia="黑体" w:cs="Times New Roman"/>
      <w:sz w:val="21"/>
      <w:lang w:val="en-US" w:eastAsia="zh-CN" w:bidi="ar-SA"/>
    </w:rPr>
  </w:style>
  <w:style w:type="paragraph" w:customStyle="1" w:styleId="403">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404">
    <w:name w:val="正文文本缩进1"/>
    <w:basedOn w:val="1"/>
    <w:qFormat/>
    <w:uiPriority w:val="0"/>
    <w:pPr>
      <w:ind w:firstLine="200" w:firstLineChars="200"/>
    </w:pPr>
    <w:rPr>
      <w:rFonts w:ascii="楷体_GB2312" w:hAnsi="Calibri" w:eastAsia="楷体_GB2312" w:cs="Times New Roman"/>
      <w:kern w:val="0"/>
      <w:sz w:val="28"/>
      <w:szCs w:val="31"/>
    </w:rPr>
  </w:style>
  <w:style w:type="paragraph" w:customStyle="1" w:styleId="405">
    <w:name w:val="xl70"/>
    <w:basedOn w:val="1"/>
    <w:qFormat/>
    <w:uiPriority w:val="0"/>
    <w:pPr>
      <w:widowControl/>
      <w:spacing w:before="100" w:beforeAutospacing="1" w:after="100" w:afterAutospacing="1" w:line="240" w:lineRule="auto"/>
      <w:jc w:val="left"/>
      <w:textAlignment w:val="center"/>
    </w:pPr>
    <w:rPr>
      <w:rFonts w:ascii="Calibri" w:hAnsi="Calibri" w:eastAsia="宋体" w:cs="Times New Roman"/>
      <w:kern w:val="0"/>
    </w:rPr>
  </w:style>
  <w:style w:type="paragraph" w:customStyle="1" w:styleId="406">
    <w:name w:val="xl98"/>
    <w:basedOn w:val="1"/>
    <w:qFormat/>
    <w:uiPriority w:val="0"/>
    <w:pPr>
      <w:widowControl/>
      <w:spacing w:before="100" w:beforeAutospacing="1" w:after="100" w:afterAutospacing="1" w:line="240" w:lineRule="auto"/>
      <w:jc w:val="left"/>
    </w:pPr>
    <w:rPr>
      <w:rFonts w:ascii="宋体" w:hAnsi="Calibri" w:eastAsia="宋体" w:cs="宋体"/>
      <w:color w:val="FF0000"/>
      <w:kern w:val="0"/>
      <w:sz w:val="14"/>
      <w:szCs w:val="14"/>
    </w:rPr>
  </w:style>
  <w:style w:type="paragraph" w:customStyle="1" w:styleId="407">
    <w:name w:val="font8"/>
    <w:basedOn w:val="1"/>
    <w:qFormat/>
    <w:uiPriority w:val="0"/>
    <w:pPr>
      <w:widowControl/>
      <w:spacing w:before="100" w:beforeAutospacing="1" w:after="100" w:afterAutospacing="1" w:line="240" w:lineRule="auto"/>
      <w:jc w:val="left"/>
    </w:pPr>
    <w:rPr>
      <w:rFonts w:ascii="宋体" w:hAnsi="Calibri" w:eastAsia="宋体" w:cs="宋体"/>
      <w:kern w:val="0"/>
      <w:sz w:val="20"/>
      <w:szCs w:val="20"/>
    </w:rPr>
  </w:style>
  <w:style w:type="paragraph" w:customStyle="1" w:styleId="408">
    <w:name w:val="抄送、分送机关"/>
    <w:basedOn w:val="1"/>
    <w:qFormat/>
    <w:uiPriority w:val="0"/>
    <w:pPr>
      <w:spacing w:line="500" w:lineRule="exact"/>
    </w:pPr>
    <w:rPr>
      <w:rFonts w:ascii="仿宋_GB2312" w:hAnsi="Calibri" w:eastAsia="仿宋_GB2312" w:cs="Times New Roman"/>
      <w:sz w:val="32"/>
      <w:szCs w:val="32"/>
    </w:rPr>
  </w:style>
  <w:style w:type="paragraph" w:customStyle="1" w:styleId="4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b/>
      <w:bCs/>
      <w:kern w:val="0"/>
      <w:sz w:val="22"/>
      <w:szCs w:val="22"/>
    </w:rPr>
  </w:style>
  <w:style w:type="paragraph" w:customStyle="1" w:styleId="410">
    <w:name w:val="p0"/>
    <w:basedOn w:val="1"/>
    <w:qFormat/>
    <w:uiPriority w:val="0"/>
    <w:pPr>
      <w:widowControl/>
      <w:spacing w:line="240" w:lineRule="auto"/>
    </w:pPr>
    <w:rPr>
      <w:rFonts w:ascii="Courier New" w:hAnsi="Courier New" w:eastAsia="宋体" w:cs="Courier New"/>
      <w:kern w:val="0"/>
      <w:sz w:val="21"/>
      <w:szCs w:val="21"/>
    </w:rPr>
  </w:style>
  <w:style w:type="paragraph" w:customStyle="1" w:styleId="41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412">
    <w:name w:val="(1)"/>
    <w:basedOn w:val="1"/>
    <w:qFormat/>
    <w:uiPriority w:val="0"/>
    <w:pPr>
      <w:tabs>
        <w:tab w:val="left" w:pos="573"/>
      </w:tabs>
      <w:adjustRightInd w:val="0"/>
      <w:snapToGrid w:val="0"/>
      <w:spacing w:before="80" w:after="100" w:line="240" w:lineRule="atLeast"/>
      <w:textAlignment w:val="baseline"/>
    </w:pPr>
    <w:rPr>
      <w:rFonts w:ascii="Arial" w:hAnsi="Arial" w:eastAsia="宋体" w:cs="Times New Roman"/>
      <w:kern w:val="44"/>
    </w:rPr>
  </w:style>
  <w:style w:type="paragraph" w:customStyle="1" w:styleId="413">
    <w:name w:val="编号2级"/>
    <w:qFormat/>
    <w:uiPriority w:val="0"/>
    <w:pPr>
      <w:tabs>
        <w:tab w:val="left" w:pos="1134"/>
      </w:tabs>
      <w:spacing w:line="360" w:lineRule="auto"/>
      <w:ind w:left="1134" w:hanging="425"/>
    </w:pPr>
    <w:rPr>
      <w:rFonts w:ascii="Calibri" w:hAnsi="Calibri" w:eastAsia="宋体" w:cs="Times New Roman"/>
      <w:kern w:val="24"/>
      <w:sz w:val="24"/>
      <w:szCs w:val="18"/>
      <w:lang w:val="en-US" w:eastAsia="zh-CN" w:bidi="ar-SA"/>
    </w:rPr>
  </w:style>
  <w:style w:type="paragraph" w:customStyle="1" w:styleId="414">
    <w:name w:val="正文文本 21"/>
    <w:basedOn w:val="1"/>
    <w:qFormat/>
    <w:uiPriority w:val="0"/>
    <w:pPr>
      <w:adjustRightInd w:val="0"/>
      <w:spacing w:line="300" w:lineRule="auto"/>
      <w:jc w:val="center"/>
      <w:textAlignment w:val="baseline"/>
    </w:pPr>
    <w:rPr>
      <w:rFonts w:ascii="宋体" w:hAnsi="Calibri" w:eastAsia="宋体" w:cs="Times New Roman"/>
      <w:szCs w:val="20"/>
    </w:rPr>
  </w:style>
  <w:style w:type="paragraph" w:customStyle="1" w:styleId="415">
    <w:name w:val="_Style 8"/>
    <w:basedOn w:val="1"/>
    <w:qFormat/>
    <w:uiPriority w:val="99"/>
    <w:pPr>
      <w:spacing w:line="240" w:lineRule="auto"/>
      <w:ind w:firstLine="420" w:firstLineChars="200"/>
    </w:pPr>
    <w:rPr>
      <w:rFonts w:ascii="Calibri" w:hAnsi="Calibri" w:eastAsia="宋体" w:cs="Times New Roman"/>
      <w:sz w:val="21"/>
      <w:szCs w:val="22"/>
    </w:rPr>
  </w:style>
  <w:style w:type="paragraph" w:customStyle="1" w:styleId="416">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417">
    <w:name w:val="Char Char Char Char Char Char Char Char Char Char Char Char1 Char"/>
    <w:basedOn w:val="21"/>
    <w:qFormat/>
    <w:uiPriority w:val="0"/>
    <w:pPr>
      <w:shd w:val="clear" w:color="auto" w:fill="000080"/>
      <w:spacing w:line="240" w:lineRule="auto"/>
    </w:pPr>
    <w:rPr>
      <w:rFonts w:ascii="Tahoma" w:hAnsi="Tahoma" w:cs="Times New Roman"/>
      <w:sz w:val="24"/>
      <w:szCs w:val="24"/>
    </w:rPr>
  </w:style>
  <w:style w:type="paragraph" w:customStyle="1" w:styleId="418">
    <w:name w:val="Char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41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b/>
      <w:bCs/>
      <w:kern w:val="0"/>
      <w:sz w:val="20"/>
      <w:szCs w:val="20"/>
    </w:rPr>
  </w:style>
  <w:style w:type="paragraph" w:customStyle="1" w:styleId="42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422">
    <w:name w:val="def正文"/>
    <w:basedOn w:val="2"/>
    <w:qFormat/>
    <w:uiPriority w:val="0"/>
    <w:pPr>
      <w:widowControl/>
      <w:spacing w:after="0" w:line="276" w:lineRule="auto"/>
      <w:jc w:val="center"/>
    </w:pPr>
    <w:rPr>
      <w:rFonts w:ascii="黑体" w:hAnsi="Calibri" w:eastAsia="黑体" w:cs="Times New Roman"/>
      <w:kern w:val="0"/>
    </w:rPr>
  </w:style>
  <w:style w:type="paragraph" w:customStyle="1" w:styleId="423">
    <w:name w:val="xl74"/>
    <w:basedOn w:val="1"/>
    <w:qFormat/>
    <w:uiPriority w:val="0"/>
    <w:pPr>
      <w:widowControl/>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424">
    <w:name w:val="总册正文"/>
    <w:basedOn w:val="1"/>
    <w:qFormat/>
    <w:uiPriority w:val="0"/>
    <w:pPr>
      <w:spacing w:line="500" w:lineRule="exact"/>
      <w:ind w:firstLine="200" w:firstLineChars="200"/>
    </w:pPr>
    <w:rPr>
      <w:rFonts w:ascii="Times New Roman" w:hAnsi="Times New Roman" w:eastAsia="宋体" w:cs="Times New Roman"/>
      <w:sz w:val="28"/>
    </w:rPr>
  </w:style>
  <w:style w:type="paragraph" w:customStyle="1" w:styleId="425">
    <w:name w:val="图1"/>
    <w:basedOn w:val="1"/>
    <w:next w:val="1"/>
    <w:qFormat/>
    <w:uiPriority w:val="0"/>
    <w:pPr>
      <w:tabs>
        <w:tab w:val="left" w:pos="1845"/>
      </w:tabs>
      <w:spacing w:beforeLines="50" w:afterLines="100"/>
      <w:ind w:left="2210" w:hanging="748"/>
      <w:jc w:val="center"/>
    </w:pPr>
    <w:rPr>
      <w:rFonts w:ascii="Calibri" w:hAnsi="Calibri" w:eastAsia="宋体" w:cs="Times New Roman"/>
      <w:kern w:val="0"/>
    </w:rPr>
  </w:style>
  <w:style w:type="paragraph" w:customStyle="1" w:styleId="426">
    <w:name w:val="样式 标题 1 + 黑色"/>
    <w:basedOn w:val="3"/>
    <w:qFormat/>
    <w:uiPriority w:val="0"/>
    <w:pPr>
      <w:numPr>
        <w:numId w:val="0"/>
      </w:numPr>
      <w:adjustRightInd w:val="0"/>
      <w:snapToGrid w:val="0"/>
      <w:spacing w:beforeLines="100" w:afterLines="100"/>
      <w:ind w:left="851" w:hanging="426" w:firstLineChars="132"/>
    </w:pPr>
    <w:rPr>
      <w:rFonts w:ascii="Cambria" w:hAnsi="Cambria" w:eastAsia="黑体" w:cs="Times New Roman"/>
      <w:b w:val="0"/>
      <w:color w:val="000000"/>
    </w:rPr>
  </w:style>
  <w:style w:type="paragraph" w:customStyle="1" w:styleId="427">
    <w:name w:val="W内容"/>
    <w:basedOn w:val="1"/>
    <w:qFormat/>
    <w:uiPriority w:val="0"/>
    <w:pPr>
      <w:spacing w:line="240" w:lineRule="auto"/>
      <w:ind w:firstLine="200" w:firstLineChars="200"/>
    </w:pPr>
    <w:rPr>
      <w:rFonts w:ascii="宋体" w:hAnsi="宋体" w:eastAsia="宋体" w:cs="Times New Roman"/>
      <w:bCs/>
      <w:kern w:val="0"/>
      <w:sz w:val="28"/>
      <w:szCs w:val="28"/>
    </w:rPr>
  </w:style>
  <w:style w:type="paragraph" w:customStyle="1" w:styleId="428">
    <w:name w:val="font11"/>
    <w:basedOn w:val="1"/>
    <w:qFormat/>
    <w:uiPriority w:val="0"/>
    <w:pPr>
      <w:widowControl/>
      <w:spacing w:before="100" w:beforeAutospacing="1" w:after="100" w:afterAutospacing="1" w:line="240" w:lineRule="auto"/>
      <w:jc w:val="left"/>
    </w:pPr>
    <w:rPr>
      <w:rFonts w:ascii="宋体" w:hAnsi="Calibri" w:eastAsia="宋体" w:cs="宋体"/>
      <w:b/>
      <w:bCs/>
      <w:kern w:val="0"/>
      <w:sz w:val="20"/>
      <w:szCs w:val="20"/>
    </w:rPr>
  </w:style>
  <w:style w:type="paragraph" w:customStyle="1" w:styleId="429">
    <w:name w:val="列出段落11"/>
    <w:basedOn w:val="1"/>
    <w:qFormat/>
    <w:uiPriority w:val="0"/>
    <w:pPr>
      <w:spacing w:line="240" w:lineRule="auto"/>
      <w:ind w:firstLine="420" w:firstLineChars="200"/>
    </w:pPr>
    <w:rPr>
      <w:rFonts w:ascii="Calibri" w:hAnsi="Calibri" w:eastAsia="宋体" w:cs="Times New Roman"/>
      <w:sz w:val="21"/>
    </w:rPr>
  </w:style>
  <w:style w:type="paragraph" w:customStyle="1" w:styleId="430">
    <w:name w:val="列出段落3"/>
    <w:basedOn w:val="1"/>
    <w:qFormat/>
    <w:uiPriority w:val="34"/>
    <w:pPr>
      <w:spacing w:line="240" w:lineRule="auto"/>
      <w:ind w:firstLine="420" w:firstLineChars="200"/>
    </w:pPr>
    <w:rPr>
      <w:rFonts w:ascii="Calibri" w:hAnsi="Calibri" w:eastAsia="宋体" w:cs="Times New Roman"/>
      <w:sz w:val="21"/>
      <w:szCs w:val="22"/>
    </w:rPr>
  </w:style>
  <w:style w:type="paragraph" w:customStyle="1" w:styleId="431">
    <w:name w:val="正文文本 211"/>
    <w:basedOn w:val="1"/>
    <w:qFormat/>
    <w:uiPriority w:val="0"/>
    <w:pPr>
      <w:adjustRightInd w:val="0"/>
      <w:spacing w:line="300" w:lineRule="auto"/>
      <w:jc w:val="center"/>
      <w:textAlignment w:val="baseline"/>
    </w:pPr>
    <w:rPr>
      <w:rFonts w:ascii="宋体" w:hAnsi="Calibri" w:eastAsia="宋体" w:cs="Times New Roman"/>
      <w:szCs w:val="20"/>
    </w:rPr>
  </w:style>
  <w:style w:type="paragraph" w:customStyle="1" w:styleId="432">
    <w:name w:val="文档正文"/>
    <w:basedOn w:val="1"/>
    <w:qFormat/>
    <w:uiPriority w:val="0"/>
    <w:pPr>
      <w:spacing w:line="240" w:lineRule="auto"/>
    </w:pPr>
    <w:rPr>
      <w:rFonts w:ascii="Arial" w:hAnsi="Arial" w:eastAsia="宋体" w:cs="Arial"/>
      <w:bCs/>
    </w:rPr>
  </w:style>
  <w:style w:type="paragraph" w:customStyle="1" w:styleId="433">
    <w:name w:val="Char3"/>
    <w:basedOn w:val="1"/>
    <w:qFormat/>
    <w:uiPriority w:val="0"/>
    <w:pPr>
      <w:spacing w:line="240" w:lineRule="auto"/>
    </w:pPr>
    <w:rPr>
      <w:rFonts w:ascii="Calibri" w:hAnsi="Calibri" w:eastAsia="宋体" w:cs="Times New Roman"/>
      <w:sz w:val="21"/>
      <w:szCs w:val="20"/>
    </w:rPr>
  </w:style>
  <w:style w:type="paragraph" w:customStyle="1" w:styleId="434">
    <w:name w:val="小标"/>
    <w:basedOn w:val="1"/>
    <w:qFormat/>
    <w:uiPriority w:val="0"/>
    <w:pPr>
      <w:spacing w:line="240" w:lineRule="auto"/>
    </w:pPr>
    <w:rPr>
      <w:rFonts w:hint="eastAsia" w:ascii="黑体" w:hAnsi="Calibri" w:eastAsia="黑体" w:cs="Times New Roman"/>
      <w:spacing w:val="20"/>
      <w:sz w:val="21"/>
      <w:szCs w:val="20"/>
    </w:rPr>
  </w:style>
  <w:style w:type="paragraph" w:customStyle="1" w:styleId="43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b/>
      <w:bCs/>
      <w:kern w:val="0"/>
      <w:sz w:val="22"/>
      <w:szCs w:val="22"/>
    </w:rPr>
  </w:style>
  <w:style w:type="paragraph" w:customStyle="1" w:styleId="436">
    <w:name w:val="xl45"/>
    <w:basedOn w:val="1"/>
    <w:qFormat/>
    <w:uiPriority w:val="0"/>
    <w:pPr>
      <w:widowControl/>
      <w:pBdr>
        <w:top w:val="single" w:color="auto" w:sz="4" w:space="0"/>
        <w:bottom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437">
    <w:name w:val="不缩进"/>
    <w:basedOn w:val="1"/>
    <w:qFormat/>
    <w:uiPriority w:val="0"/>
    <w:pPr>
      <w:jc w:val="center"/>
    </w:pPr>
    <w:rPr>
      <w:rFonts w:ascii="Calibri" w:hAnsi="Calibri" w:eastAsia="宋体" w:cs="Times New Roman"/>
      <w:b/>
      <w:bCs/>
      <w:sz w:val="28"/>
      <w:szCs w:val="21"/>
      <w:lang w:bidi="he-IL"/>
    </w:rPr>
  </w:style>
  <w:style w:type="paragraph" w:customStyle="1" w:styleId="438">
    <w:name w:val="一级正文"/>
    <w:basedOn w:val="1"/>
    <w:qFormat/>
    <w:uiPriority w:val="0"/>
    <w:pPr>
      <w:ind w:firstLine="480" w:firstLineChars="200"/>
    </w:pPr>
    <w:rPr>
      <w:rFonts w:ascii="Calibri" w:hAnsi="Calibri" w:eastAsia="宋体" w:cs="Times New Roman"/>
    </w:rPr>
  </w:style>
  <w:style w:type="paragraph" w:customStyle="1" w:styleId="439">
    <w:name w:val="Char Char Char Char Char Char Char Char Char Char Char Char Char Char Char Char"/>
    <w:basedOn w:val="1"/>
    <w:qFormat/>
    <w:uiPriority w:val="0"/>
    <w:pPr>
      <w:tabs>
        <w:tab w:val="left" w:pos="360"/>
      </w:tabs>
      <w:ind w:left="482" w:firstLine="200" w:firstLineChars="200"/>
    </w:pPr>
    <w:rPr>
      <w:rFonts w:ascii="宋体" w:hAnsi="Calibri" w:eastAsia="宋体" w:cs="Times New Roman"/>
    </w:rPr>
  </w:style>
  <w:style w:type="paragraph" w:customStyle="1" w:styleId="440">
    <w:name w:val="Item List in Table"/>
    <w:basedOn w:val="1"/>
    <w:qFormat/>
    <w:uiPriority w:val="0"/>
    <w:pPr>
      <w:widowControl/>
      <w:tabs>
        <w:tab w:val="left" w:pos="284"/>
      </w:tabs>
      <w:topLinePunct/>
      <w:adjustRightInd w:val="0"/>
      <w:snapToGrid w:val="0"/>
      <w:spacing w:before="80" w:after="80" w:line="240" w:lineRule="atLeast"/>
      <w:jc w:val="left"/>
    </w:pPr>
    <w:rPr>
      <w:rFonts w:hint="eastAsia" w:ascii="Times New Roman" w:hAnsi="Times New Roman" w:eastAsia="方正仿宋_GBK" w:cs="Arial"/>
      <w:kern w:val="0"/>
      <w:sz w:val="32"/>
      <w:szCs w:val="21"/>
    </w:rPr>
  </w:style>
  <w:style w:type="paragraph" w:customStyle="1" w:styleId="441">
    <w:name w:val="正文缩进2"/>
    <w:basedOn w:val="1"/>
    <w:qFormat/>
    <w:uiPriority w:val="0"/>
    <w:pPr>
      <w:spacing w:line="240" w:lineRule="auto"/>
      <w:ind w:firstLine="200" w:firstLineChars="200"/>
    </w:pPr>
    <w:rPr>
      <w:rFonts w:ascii="Calibri" w:hAnsi="Calibri" w:eastAsia="楷体_GB2312" w:cs="Times New Roman"/>
      <w:kern w:val="0"/>
      <w:sz w:val="28"/>
      <w:szCs w:val="20"/>
    </w:rPr>
  </w:style>
  <w:style w:type="paragraph" w:customStyle="1" w:styleId="442">
    <w:name w:val="pchart_bodycmt"/>
    <w:basedOn w:val="1"/>
    <w:qFormat/>
    <w:uiPriority w:val="0"/>
    <w:pPr>
      <w:widowControl/>
      <w:spacing w:before="100" w:beforeAutospacing="1" w:after="100" w:afterAutospacing="1" w:line="276" w:lineRule="auto"/>
      <w:jc w:val="left"/>
    </w:pPr>
    <w:rPr>
      <w:rFonts w:ascii="宋体" w:hAnsi="宋体" w:eastAsia="方正仿宋_GBK" w:cs="宋体"/>
      <w:kern w:val="0"/>
      <w:lang w:eastAsia="en-US" w:bidi="en-US"/>
    </w:rPr>
  </w:style>
  <w:style w:type="paragraph" w:customStyle="1" w:styleId="443">
    <w:name w:val="xl79"/>
    <w:basedOn w:val="1"/>
    <w:qFormat/>
    <w:uiPriority w:val="0"/>
    <w:pPr>
      <w:widowControl/>
      <w:shd w:val="clear" w:color="000000" w:fill="FFFF00"/>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444">
    <w:name w:val="Char Char Char Char Char Char"/>
    <w:basedOn w:val="1"/>
    <w:qFormat/>
    <w:uiPriority w:val="0"/>
    <w:pPr>
      <w:spacing w:line="240" w:lineRule="auto"/>
      <w:ind w:firstLine="200" w:firstLineChars="200"/>
    </w:pPr>
    <w:rPr>
      <w:rFonts w:ascii="Tahoma" w:hAnsi="Tahoma" w:eastAsia="宋体" w:cs="Times New Roman"/>
      <w:szCs w:val="20"/>
    </w:rPr>
  </w:style>
  <w:style w:type="paragraph" w:customStyle="1" w:styleId="445">
    <w:name w:val="公文正文"/>
    <w:qFormat/>
    <w:uiPriority w:val="0"/>
    <w:pPr>
      <w:spacing w:line="560" w:lineRule="exact"/>
      <w:jc w:val="both"/>
    </w:pPr>
    <w:rPr>
      <w:rFonts w:ascii="仿宋_GB2312" w:hAnsi="Calibri" w:eastAsia="仿宋_GB2312" w:cs="Times New Roman"/>
      <w:bCs/>
      <w:kern w:val="2"/>
      <w:sz w:val="32"/>
      <w:szCs w:val="32"/>
      <w:lang w:val="en-US" w:eastAsia="zh-CN" w:bidi="ar-SA"/>
    </w:rPr>
  </w:style>
  <w:style w:type="paragraph" w:customStyle="1" w:styleId="446">
    <w:name w:val="--规划正文"/>
    <w:basedOn w:val="1"/>
    <w:qFormat/>
    <w:uiPriority w:val="0"/>
    <w:pPr>
      <w:ind w:firstLine="200" w:firstLineChars="200"/>
    </w:pPr>
    <w:rPr>
      <w:rFonts w:ascii="Calibri" w:hAnsi="Calibri" w:eastAsia="宋体" w:cs="Times New Roman"/>
      <w:sz w:val="21"/>
      <w:szCs w:val="20"/>
    </w:rPr>
  </w:style>
  <w:style w:type="paragraph" w:customStyle="1" w:styleId="447">
    <w:name w:val="日期2"/>
    <w:basedOn w:val="1"/>
    <w:next w:val="1"/>
    <w:qFormat/>
    <w:uiPriority w:val="0"/>
    <w:pPr>
      <w:spacing w:line="240" w:lineRule="auto"/>
      <w:ind w:left="2500" w:leftChars="2500"/>
    </w:pPr>
    <w:rPr>
      <w:rFonts w:ascii="Calibri" w:hAnsi="Calibri" w:eastAsia="宋体" w:cs="Times New Roman"/>
      <w:kern w:val="0"/>
      <w:sz w:val="28"/>
    </w:rPr>
  </w:style>
  <w:style w:type="paragraph" w:customStyle="1" w:styleId="448">
    <w:name w:val="a2"/>
    <w:basedOn w:val="1"/>
    <w:qFormat/>
    <w:uiPriority w:val="0"/>
    <w:pPr>
      <w:widowControl/>
      <w:spacing w:before="100" w:beforeAutospacing="1" w:after="100" w:afterAutospacing="1" w:line="240" w:lineRule="auto"/>
      <w:jc w:val="left"/>
    </w:pPr>
    <w:rPr>
      <w:rFonts w:ascii="宋体" w:hAnsi="宋体" w:eastAsia="宋体" w:cs="宋体"/>
      <w:kern w:val="0"/>
    </w:rPr>
  </w:style>
  <w:style w:type="paragraph" w:customStyle="1" w:styleId="449">
    <w:name w:val="È±Ê¡ÎÄ±¾"/>
    <w:basedOn w:val="1"/>
    <w:qFormat/>
    <w:uiPriority w:val="0"/>
    <w:pPr>
      <w:widowControl/>
      <w:overflowPunct w:val="0"/>
      <w:autoSpaceDE w:val="0"/>
      <w:autoSpaceDN w:val="0"/>
      <w:adjustRightInd w:val="0"/>
      <w:spacing w:line="240" w:lineRule="auto"/>
      <w:jc w:val="left"/>
      <w:textAlignment w:val="baseline"/>
    </w:pPr>
    <w:rPr>
      <w:rFonts w:ascii="Calibri" w:hAnsi="Calibri" w:eastAsia="宋体" w:cs="Times New Roman"/>
      <w:kern w:val="0"/>
      <w:szCs w:val="20"/>
    </w:rPr>
  </w:style>
  <w:style w:type="character" w:customStyle="1" w:styleId="450">
    <w:name w:val="明显引用 Char4"/>
    <w:basedOn w:val="69"/>
    <w:link w:val="274"/>
    <w:semiHidden/>
    <w:qFormat/>
    <w:uiPriority w:val="99"/>
    <w:rPr>
      <w:rFonts w:asciiTheme="minorEastAsia" w:hAnsiTheme="minorEastAsia" w:eastAsiaTheme="minorEastAsia" w:cstheme="minorEastAsia"/>
      <w:b/>
      <w:bCs/>
      <w:i/>
      <w:iCs/>
      <w:color w:val="5B9BD5" w:themeColor="accent1"/>
      <w:kern w:val="2"/>
      <w:sz w:val="24"/>
      <w:szCs w:val="24"/>
      <w14:textFill>
        <w14:solidFill>
          <w14:schemeClr w14:val="accent1"/>
        </w14:solidFill>
      </w14:textFill>
    </w:rPr>
  </w:style>
  <w:style w:type="paragraph" w:customStyle="1" w:styleId="451">
    <w:name w:val="公文日期"/>
    <w:basedOn w:val="445"/>
    <w:qFormat/>
    <w:uiPriority w:val="0"/>
    <w:pPr>
      <w:wordWrap w:val="0"/>
      <w:jc w:val="right"/>
    </w:pPr>
  </w:style>
  <w:style w:type="paragraph" w:customStyle="1" w:styleId="452">
    <w:name w:val="Figure Description"/>
    <w:basedOn w:val="1"/>
    <w:qFormat/>
    <w:uiPriority w:val="0"/>
    <w:pPr>
      <w:spacing w:line="240" w:lineRule="auto"/>
      <w:ind w:left="1701"/>
    </w:pPr>
    <w:rPr>
      <w:rFonts w:ascii="Calibri" w:hAnsi="Calibri" w:eastAsia="宋体" w:cs="Times New Roman"/>
      <w:sz w:val="21"/>
      <w:szCs w:val="20"/>
    </w:rPr>
  </w:style>
  <w:style w:type="paragraph" w:customStyle="1" w:styleId="453">
    <w:name w:val="打印正文1"/>
    <w:basedOn w:val="1"/>
    <w:qFormat/>
    <w:uiPriority w:val="0"/>
    <w:pPr>
      <w:tabs>
        <w:tab w:val="left" w:pos="705"/>
      </w:tabs>
      <w:spacing w:line="480" w:lineRule="atLeast"/>
      <w:ind w:left="1620" w:hanging="810"/>
    </w:pPr>
    <w:rPr>
      <w:rFonts w:ascii="宋体" w:hAnsi="宋体" w:eastAsia="宋体" w:cs="Times New Roman"/>
      <w:bCs/>
      <w:spacing w:val="10"/>
      <w:kern w:val="28"/>
      <w:sz w:val="21"/>
      <w:szCs w:val="21"/>
    </w:rPr>
  </w:style>
  <w:style w:type="paragraph" w:customStyle="1" w:styleId="454">
    <w:name w:val="样式 标题 1 + 黑体 三号 非加粗 居中 段前: 6 磅 段后: 6 磅 行距: 固定值 20 磅"/>
    <w:basedOn w:val="3"/>
    <w:qFormat/>
    <w:uiPriority w:val="0"/>
    <w:pPr>
      <w:numPr>
        <w:numId w:val="0"/>
      </w:numPr>
      <w:tabs>
        <w:tab w:val="left" w:pos="1740"/>
      </w:tabs>
      <w:spacing w:before="120" w:after="120" w:line="400" w:lineRule="exact"/>
      <w:jc w:val="center"/>
    </w:pPr>
    <w:rPr>
      <w:rFonts w:ascii="黑体" w:hAnsi="黑体" w:eastAsia="黑体" w:cs="Times New Roman"/>
      <w:bCs w:val="0"/>
    </w:rPr>
  </w:style>
  <w:style w:type="paragraph" w:customStyle="1" w:styleId="455">
    <w:name w:val="标题4 Char"/>
    <w:basedOn w:val="7"/>
    <w:qFormat/>
    <w:uiPriority w:val="0"/>
    <w:pPr>
      <w:numPr>
        <w:ilvl w:val="0"/>
        <w:numId w:val="0"/>
      </w:numPr>
      <w:tabs>
        <w:tab w:val="left" w:pos="425"/>
        <w:tab w:val="left" w:pos="777"/>
      </w:tabs>
      <w:adjustRightInd w:val="0"/>
      <w:spacing w:before="0" w:after="0"/>
      <w:ind w:left="425" w:hanging="425"/>
      <w:jc w:val="left"/>
      <w:textAlignment w:val="baseline"/>
    </w:pPr>
    <w:rPr>
      <w:rFonts w:ascii="楷体_GB2312" w:hAnsi="Arial" w:eastAsia="宋体" w:cs="Times New Roman"/>
      <w:bCs w:val="0"/>
      <w:kern w:val="0"/>
      <w:sz w:val="24"/>
      <w:szCs w:val="20"/>
    </w:rPr>
  </w:style>
  <w:style w:type="paragraph" w:customStyle="1" w:styleId="456">
    <w:name w:val="签名 - 公司"/>
    <w:basedOn w:val="43"/>
    <w:next w:val="315"/>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57">
    <w:name w:val="xl33"/>
    <w:basedOn w:val="1"/>
    <w:qFormat/>
    <w:uiPriority w:val="0"/>
    <w:pPr>
      <w:widowControl/>
      <w:spacing w:before="100" w:beforeAutospacing="1" w:after="100" w:afterAutospacing="1" w:line="240" w:lineRule="auto"/>
      <w:jc w:val="left"/>
      <w:textAlignment w:val="center"/>
    </w:pPr>
    <w:rPr>
      <w:rFonts w:ascii="宋体" w:hAnsi="Calibri" w:eastAsia="宋体" w:cs="Times New Roman"/>
      <w:b/>
      <w:bCs/>
      <w:kern w:val="0"/>
      <w:sz w:val="28"/>
      <w:szCs w:val="28"/>
    </w:rPr>
  </w:style>
  <w:style w:type="paragraph" w:customStyle="1" w:styleId="4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459">
    <w:name w:val="正文样式"/>
    <w:basedOn w:val="1"/>
    <w:qFormat/>
    <w:uiPriority w:val="0"/>
    <w:pPr>
      <w:tabs>
        <w:tab w:val="left" w:pos="1560"/>
      </w:tabs>
      <w:spacing w:before="163" w:after="163" w:line="300" w:lineRule="auto"/>
      <w:ind w:left="1560" w:hanging="360"/>
    </w:pPr>
    <w:rPr>
      <w:rFonts w:ascii="宋体" w:hAnsi="Calibri" w:eastAsia="宋体" w:cs="Times New Roman"/>
    </w:rPr>
  </w:style>
  <w:style w:type="paragraph" w:customStyle="1" w:styleId="460">
    <w:name w:val="Char Char Char Char Char Char1 Char1"/>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4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b/>
      <w:bCs/>
      <w:kern w:val="0"/>
      <w:sz w:val="20"/>
      <w:szCs w:val="20"/>
    </w:rPr>
  </w:style>
  <w:style w:type="paragraph" w:customStyle="1" w:styleId="46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63">
    <w:name w:val="Char11"/>
    <w:basedOn w:val="1"/>
    <w:qFormat/>
    <w:uiPriority w:val="0"/>
    <w:pPr>
      <w:spacing w:line="240" w:lineRule="auto"/>
    </w:pPr>
    <w:rPr>
      <w:rFonts w:ascii="Tahoma" w:hAnsi="Tahoma" w:eastAsia="宋体" w:cs="Times New Roman"/>
      <w:szCs w:val="20"/>
    </w:rPr>
  </w:style>
  <w:style w:type="paragraph" w:customStyle="1" w:styleId="464">
    <w:name w:val="font5"/>
    <w:basedOn w:val="1"/>
    <w:qFormat/>
    <w:uiPriority w:val="0"/>
    <w:pPr>
      <w:widowControl/>
      <w:spacing w:before="100" w:beforeAutospacing="1" w:after="100" w:afterAutospacing="1" w:line="240" w:lineRule="auto"/>
      <w:jc w:val="left"/>
    </w:pPr>
    <w:rPr>
      <w:rFonts w:ascii="宋体" w:hAnsi="Calibri" w:eastAsia="宋体" w:cs="宋体"/>
      <w:kern w:val="0"/>
      <w:sz w:val="18"/>
      <w:szCs w:val="18"/>
    </w:rPr>
  </w:style>
  <w:style w:type="paragraph" w:customStyle="1" w:styleId="465">
    <w:name w:val="编号3级"/>
    <w:qFormat/>
    <w:uiPriority w:val="0"/>
    <w:pPr>
      <w:tabs>
        <w:tab w:val="left" w:pos="1559"/>
      </w:tabs>
      <w:spacing w:line="360" w:lineRule="auto"/>
      <w:ind w:left="1559" w:hanging="425"/>
    </w:pPr>
    <w:rPr>
      <w:rFonts w:ascii="Calibri" w:hAnsi="Calibri" w:eastAsia="宋体" w:cs="Times New Roman"/>
      <w:kern w:val="24"/>
      <w:sz w:val="24"/>
      <w:szCs w:val="18"/>
      <w:lang w:val="en-US" w:eastAsia="zh-CN" w:bidi="ar-SA"/>
    </w:rPr>
  </w:style>
  <w:style w:type="paragraph" w:customStyle="1" w:styleId="46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Calibri" w:eastAsia="宋体" w:cs="宋体"/>
      <w:b/>
      <w:bCs/>
      <w:color w:val="000000"/>
      <w:kern w:val="0"/>
      <w:sz w:val="14"/>
      <w:szCs w:val="14"/>
    </w:rPr>
  </w:style>
  <w:style w:type="paragraph" w:customStyle="1" w:styleId="467">
    <w:name w:val="我的正文格式"/>
    <w:basedOn w:val="1"/>
    <w:next w:val="1"/>
    <w:qFormat/>
    <w:uiPriority w:val="0"/>
    <w:pPr>
      <w:snapToGrid w:val="0"/>
      <w:spacing w:line="288" w:lineRule="auto"/>
      <w:ind w:left="540" w:hanging="540" w:hangingChars="225"/>
    </w:pPr>
    <w:rPr>
      <w:rFonts w:ascii="Calibri" w:hAnsi="Calibri" w:eastAsia="宋体" w:cs="Times New Roman"/>
    </w:rPr>
  </w:style>
  <w:style w:type="paragraph" w:customStyle="1" w:styleId="468">
    <w:name w:val="xl89"/>
    <w:basedOn w:val="1"/>
    <w:qFormat/>
    <w:uiPriority w:val="0"/>
    <w:pPr>
      <w:widowControl/>
      <w:pBdr>
        <w:left w:val="single" w:color="auto" w:sz="4" w:space="0"/>
        <w:bottom w:val="single" w:color="auto" w:sz="4" w:space="0"/>
      </w:pBdr>
      <w:spacing w:before="100" w:beforeAutospacing="1" w:after="100" w:afterAutospacing="1" w:line="240" w:lineRule="auto"/>
      <w:jc w:val="center"/>
      <w:textAlignment w:val="center"/>
    </w:pPr>
    <w:rPr>
      <w:rFonts w:ascii="Calibri" w:hAnsi="Calibri" w:eastAsia="宋体" w:cs="Times New Roman"/>
      <w:b/>
      <w:bCs/>
      <w:kern w:val="0"/>
      <w:sz w:val="36"/>
      <w:szCs w:val="36"/>
    </w:rPr>
  </w:style>
  <w:style w:type="paragraph" w:customStyle="1" w:styleId="469">
    <w:name w:val="f14"/>
    <w:basedOn w:val="1"/>
    <w:qFormat/>
    <w:uiPriority w:val="0"/>
    <w:pPr>
      <w:widowControl/>
      <w:spacing w:before="100" w:beforeAutospacing="1" w:after="100" w:afterAutospacing="1" w:line="240" w:lineRule="auto"/>
      <w:jc w:val="left"/>
    </w:pPr>
    <w:rPr>
      <w:rFonts w:ascii="宋体" w:hAnsi="宋体" w:eastAsia="宋体" w:cs="宋体"/>
      <w:kern w:val="0"/>
    </w:rPr>
  </w:style>
  <w:style w:type="paragraph" w:customStyle="1" w:styleId="470">
    <w:name w:val="编号4级"/>
    <w:qFormat/>
    <w:uiPriority w:val="0"/>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471">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472">
    <w:name w:val="标题样式"/>
    <w:qFormat/>
    <w:uiPriority w:val="0"/>
    <w:pPr>
      <w:spacing w:line="560" w:lineRule="exact"/>
      <w:jc w:val="center"/>
    </w:pPr>
    <w:rPr>
      <w:rFonts w:ascii="公文小标宋简" w:hAnsi="Calibri" w:eastAsia="公文小标宋简" w:cs="Times New Roman"/>
      <w:bCs/>
      <w:kern w:val="2"/>
      <w:sz w:val="44"/>
      <w:szCs w:val="32"/>
      <w:lang w:val="en-US" w:eastAsia="zh-CN" w:bidi="ar-SA"/>
    </w:rPr>
  </w:style>
  <w:style w:type="paragraph" w:customStyle="1" w:styleId="473">
    <w:name w:val="二级条标题"/>
    <w:basedOn w:val="402"/>
    <w:next w:val="1"/>
    <w:qFormat/>
    <w:uiPriority w:val="0"/>
    <w:pPr>
      <w:outlineLvl w:val="3"/>
    </w:pPr>
  </w:style>
  <w:style w:type="paragraph" w:customStyle="1" w:styleId="474">
    <w:name w:val="地铁正文缩进"/>
    <w:qFormat/>
    <w:uiPriority w:val="0"/>
    <w:pPr>
      <w:adjustRightInd w:val="0"/>
      <w:snapToGrid w:val="0"/>
      <w:spacing w:line="360" w:lineRule="auto"/>
      <w:ind w:firstLine="200" w:firstLineChars="200"/>
    </w:pPr>
    <w:rPr>
      <w:rFonts w:ascii="宋体" w:hAnsi="Calibri" w:eastAsia="宋体" w:cs="宋体"/>
      <w:snapToGrid w:val="0"/>
      <w:sz w:val="21"/>
      <w:szCs w:val="24"/>
      <w:lang w:val="en-US" w:eastAsia="zh-CN" w:bidi="ar-SA"/>
    </w:rPr>
  </w:style>
  <w:style w:type="paragraph" w:customStyle="1" w:styleId="47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b/>
      <w:bCs/>
      <w:kern w:val="0"/>
      <w:sz w:val="22"/>
      <w:szCs w:val="22"/>
    </w:rPr>
  </w:style>
  <w:style w:type="paragraph" w:customStyle="1" w:styleId="476">
    <w:name w:val="zw_12_25"/>
    <w:basedOn w:val="1"/>
    <w:qFormat/>
    <w:uiPriority w:val="0"/>
    <w:pPr>
      <w:widowControl/>
      <w:spacing w:before="100" w:beforeAutospacing="1" w:after="100" w:afterAutospacing="1" w:line="300" w:lineRule="atLeast"/>
      <w:jc w:val="left"/>
    </w:pPr>
    <w:rPr>
      <w:rFonts w:ascii="Calibri" w:hAnsi="Calibri" w:eastAsia="宋体" w:cs="Times New Roman"/>
      <w:color w:val="333399"/>
      <w:kern w:val="0"/>
      <w:sz w:val="23"/>
      <w:szCs w:val="23"/>
    </w:rPr>
  </w:style>
  <w:style w:type="paragraph" w:customStyle="1" w:styleId="477">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spacing w:line="240" w:lineRule="auto"/>
      <w:ind w:hanging="420"/>
      <w:jc w:val="left"/>
    </w:pPr>
    <w:rPr>
      <w:rFonts w:ascii="Calibri" w:hAnsi="Calibri" w:eastAsia="宋体" w:cs="Times New Roman"/>
      <w:sz w:val="21"/>
    </w:rPr>
  </w:style>
  <w:style w:type="paragraph" w:customStyle="1" w:styleId="478">
    <w:name w:val="正文文本缩进 31"/>
    <w:basedOn w:val="1"/>
    <w:qFormat/>
    <w:uiPriority w:val="0"/>
    <w:pPr>
      <w:tabs>
        <w:tab w:val="left" w:pos="1440"/>
      </w:tabs>
      <w:ind w:firstLine="257" w:firstLineChars="257"/>
      <w:textAlignment w:val="center"/>
    </w:pPr>
    <w:rPr>
      <w:rFonts w:ascii="华文彩云" w:hAnsi="Calibri" w:eastAsia="华文彩云" w:cs="Times New Roman"/>
      <w:kern w:val="0"/>
      <w:sz w:val="28"/>
    </w:rPr>
  </w:style>
  <w:style w:type="paragraph" w:customStyle="1" w:styleId="479">
    <w:name w:val="正文居中"/>
    <w:basedOn w:val="1"/>
    <w:next w:val="38"/>
    <w:qFormat/>
    <w:uiPriority w:val="0"/>
    <w:pPr>
      <w:adjustRightInd w:val="0"/>
      <w:snapToGrid w:val="0"/>
      <w:spacing w:line="240" w:lineRule="auto"/>
      <w:ind w:firstLine="480" w:firstLineChars="200"/>
    </w:pPr>
    <w:rPr>
      <w:rFonts w:ascii="宋体" w:hAnsi="宋体" w:eastAsia="宋体" w:cs="Times New Roman"/>
    </w:rPr>
  </w:style>
  <w:style w:type="paragraph" w:customStyle="1" w:styleId="480">
    <w:name w:val="发文部门"/>
    <w:basedOn w:val="1"/>
    <w:qFormat/>
    <w:uiPriority w:val="0"/>
    <w:pPr>
      <w:adjustRightInd w:val="0"/>
      <w:snapToGrid w:val="0"/>
      <w:spacing w:line="240" w:lineRule="auto"/>
      <w:jc w:val="left"/>
    </w:pPr>
    <w:rPr>
      <w:rFonts w:ascii="仿宋_GB2312" w:hAnsi="Calibri" w:eastAsia="仿宋_GB2312" w:cs="Times New Roman"/>
      <w:bCs/>
      <w:spacing w:val="-30"/>
      <w:sz w:val="32"/>
      <w:szCs w:val="32"/>
    </w:rPr>
  </w:style>
  <w:style w:type="paragraph" w:customStyle="1" w:styleId="481">
    <w:name w:val="标题11"/>
    <w:basedOn w:val="3"/>
    <w:qFormat/>
    <w:uiPriority w:val="0"/>
    <w:pPr>
      <w:keepLines w:val="0"/>
      <w:widowControl/>
      <w:numPr>
        <w:numId w:val="0"/>
      </w:numPr>
      <w:pBdr>
        <w:bottom w:val="single" w:color="auto" w:sz="8" w:space="6"/>
      </w:pBdr>
      <w:tabs>
        <w:tab w:val="left" w:pos="1247"/>
      </w:tabs>
      <w:spacing w:before="480" w:line="240" w:lineRule="auto"/>
      <w:ind w:left="1247" w:hanging="1247"/>
      <w:jc w:val="left"/>
    </w:pPr>
    <w:rPr>
      <w:rFonts w:ascii="Arial" w:hAnsi="Arial" w:eastAsia="宋体" w:cs="Arial"/>
      <w:smallCaps/>
      <w:spacing w:val="10"/>
      <w:kern w:val="20"/>
      <w:szCs w:val="32"/>
    </w:rPr>
  </w:style>
  <w:style w:type="paragraph" w:customStyle="1" w:styleId="4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b/>
      <w:bCs/>
      <w:kern w:val="0"/>
      <w:sz w:val="20"/>
      <w:szCs w:val="20"/>
    </w:rPr>
  </w:style>
  <w:style w:type="paragraph" w:customStyle="1" w:styleId="483">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84">
    <w:name w:val="xl96"/>
    <w:basedOn w:val="1"/>
    <w:qFormat/>
    <w:uiPriority w:val="0"/>
    <w:pPr>
      <w:widowControl/>
      <w:spacing w:before="100" w:beforeAutospacing="1" w:after="100" w:afterAutospacing="1" w:line="240" w:lineRule="auto"/>
      <w:jc w:val="left"/>
    </w:pPr>
    <w:rPr>
      <w:rFonts w:ascii="宋体" w:hAnsi="Calibri" w:eastAsia="宋体" w:cs="宋体"/>
      <w:color w:val="000000"/>
      <w:kern w:val="0"/>
      <w:sz w:val="14"/>
      <w:szCs w:val="14"/>
    </w:rPr>
  </w:style>
  <w:style w:type="paragraph" w:customStyle="1" w:styleId="485">
    <w:name w:val="公司抬头"/>
    <w:basedOn w:val="1"/>
    <w:qFormat/>
    <w:uiPriority w:val="0"/>
    <w:pPr>
      <w:adjustRightInd w:val="0"/>
      <w:snapToGrid w:val="0"/>
      <w:spacing w:line="240" w:lineRule="auto"/>
      <w:jc w:val="center"/>
    </w:pPr>
    <w:rPr>
      <w:rFonts w:ascii="仿宋_GB2312" w:hAnsi="仿宋_GB2312" w:eastAsia="宋体" w:cs="Times New Roman"/>
      <w:b/>
      <w:bCs/>
      <w:smallCaps/>
      <w:snapToGrid w:val="0"/>
      <w:color w:val="FF0000"/>
      <w:spacing w:val="-6"/>
      <w:kern w:val="0"/>
      <w:sz w:val="52"/>
      <w:szCs w:val="52"/>
    </w:rPr>
  </w:style>
  <w:style w:type="paragraph" w:customStyle="1" w:styleId="486">
    <w:name w:val="new样式1"/>
    <w:basedOn w:val="3"/>
    <w:qFormat/>
    <w:uiPriority w:val="0"/>
    <w:pPr>
      <w:widowControl/>
      <w:numPr>
        <w:numId w:val="0"/>
      </w:numPr>
      <w:tabs>
        <w:tab w:val="left" w:pos="1740"/>
      </w:tabs>
      <w:spacing w:after="60"/>
      <w:jc w:val="center"/>
    </w:pPr>
    <w:rPr>
      <w:rFonts w:ascii="黑体" w:hAnsi="黑体" w:eastAsia="黑体" w:cs="Times New Roman"/>
      <w:kern w:val="0"/>
      <w:sz w:val="28"/>
      <w:szCs w:val="28"/>
      <w:lang w:eastAsia="en-US" w:bidi="en-US"/>
    </w:rPr>
  </w:style>
  <w:style w:type="paragraph" w:customStyle="1" w:styleId="48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Calibri" w:eastAsia="宋体" w:cs="宋体"/>
      <w:b/>
      <w:bCs/>
      <w:color w:val="000000"/>
      <w:kern w:val="0"/>
      <w:sz w:val="14"/>
      <w:szCs w:val="14"/>
    </w:rPr>
  </w:style>
  <w:style w:type="paragraph" w:customStyle="1" w:styleId="488">
    <w:name w:val="正文首行缩进1"/>
    <w:basedOn w:val="2"/>
    <w:qFormat/>
    <w:uiPriority w:val="0"/>
    <w:pPr>
      <w:suppressAutoHyphens/>
      <w:spacing w:line="240" w:lineRule="auto"/>
      <w:ind w:firstLine="420"/>
    </w:pPr>
    <w:rPr>
      <w:rFonts w:ascii="Calibri" w:hAnsi="Calibri" w:eastAsia="宋体" w:cs="Times New Roman"/>
      <w:kern w:val="1"/>
      <w:sz w:val="21"/>
      <w:lang w:eastAsia="ar-SA"/>
    </w:rPr>
  </w:style>
  <w:style w:type="paragraph" w:customStyle="1" w:styleId="489">
    <w:name w:val="列表 21"/>
    <w:basedOn w:val="1"/>
    <w:qFormat/>
    <w:uiPriority w:val="0"/>
    <w:pPr>
      <w:spacing w:line="240" w:lineRule="auto"/>
      <w:ind w:left="400" w:leftChars="200" w:hanging="200" w:hangingChars="200"/>
    </w:pPr>
    <w:rPr>
      <w:rFonts w:ascii="Calibri" w:hAnsi="Calibri" w:eastAsia="宋体" w:cs="Times New Roman"/>
      <w:sz w:val="21"/>
      <w:szCs w:val="20"/>
    </w:rPr>
  </w:style>
  <w:style w:type="paragraph" w:customStyle="1" w:styleId="490">
    <w:name w:val="Char1 Char Char1 Char Char Char Char Char Char Char Char Char Char1"/>
    <w:basedOn w:val="1"/>
    <w:qFormat/>
    <w:uiPriority w:val="0"/>
    <w:pPr>
      <w:tabs>
        <w:tab w:val="left" w:pos="425"/>
      </w:tabs>
      <w:spacing w:line="240" w:lineRule="auto"/>
      <w:ind w:left="425" w:hanging="425"/>
    </w:pPr>
    <w:rPr>
      <w:rFonts w:ascii="Calibri" w:hAnsi="Calibri" w:eastAsia="宋体" w:cs="Times New Roman"/>
    </w:rPr>
  </w:style>
  <w:style w:type="paragraph" w:customStyle="1" w:styleId="491">
    <w:name w:val="索引标题1"/>
    <w:basedOn w:val="1"/>
    <w:next w:val="371"/>
    <w:qFormat/>
    <w:uiPriority w:val="0"/>
    <w:pPr>
      <w:ind w:firstLine="482"/>
    </w:pPr>
    <w:rPr>
      <w:rFonts w:ascii="Footlight MT Light" w:hAnsi="Footlight MT Light" w:eastAsia="宋体" w:cs="Times New Roman"/>
      <w:szCs w:val="20"/>
    </w:rPr>
  </w:style>
  <w:style w:type="paragraph" w:customStyle="1" w:styleId="492">
    <w:name w:val="左对齐的表内文字"/>
    <w:basedOn w:val="1"/>
    <w:qFormat/>
    <w:uiPriority w:val="0"/>
    <w:pPr>
      <w:spacing w:line="240" w:lineRule="auto"/>
    </w:pPr>
    <w:rPr>
      <w:rFonts w:ascii="Calibri" w:hAnsi="Calibri" w:eastAsia="仿宋_GB2312" w:cs="宋体"/>
      <w:sz w:val="21"/>
      <w:szCs w:val="20"/>
    </w:rPr>
  </w:style>
  <w:style w:type="paragraph" w:customStyle="1" w:styleId="493">
    <w:name w:val="xl46"/>
    <w:basedOn w:val="1"/>
    <w:qFormat/>
    <w:uiPriority w:val="0"/>
    <w:pPr>
      <w:widowControl/>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494">
    <w:name w:val="正文文本缩进 21"/>
    <w:basedOn w:val="1"/>
    <w:qFormat/>
    <w:uiPriority w:val="0"/>
    <w:pPr>
      <w:ind w:firstLine="607"/>
    </w:pPr>
    <w:rPr>
      <w:rFonts w:ascii="楷体_GB2312" w:hAnsi="Calibri" w:eastAsia="楷体_GB2312" w:cs="Times New Roman"/>
      <w:kern w:val="0"/>
      <w:sz w:val="28"/>
      <w:szCs w:val="28"/>
    </w:rPr>
  </w:style>
  <w:style w:type="paragraph" w:customStyle="1" w:styleId="495">
    <w:name w:val="Spd正文"/>
    <w:basedOn w:val="1"/>
    <w:qFormat/>
    <w:uiPriority w:val="0"/>
    <w:pPr>
      <w:widowControl/>
      <w:ind w:firstLine="480" w:firstLineChars="200"/>
      <w:contextualSpacing/>
      <w:jc w:val="left"/>
    </w:pPr>
    <w:rPr>
      <w:rFonts w:ascii="Calibri" w:hAnsi="Calibri" w:eastAsia="宋体" w:cs="Times New Roman"/>
    </w:rPr>
  </w:style>
  <w:style w:type="paragraph" w:customStyle="1" w:styleId="496">
    <w:name w:val="样式 样式 标题 4 + 宋体 段前: 12 磅 段后: 6 磅 行距: 1.5 倍行距1 + 首行缩进:  2 字符"/>
    <w:basedOn w:val="1"/>
    <w:qFormat/>
    <w:uiPriority w:val="0"/>
    <w:pPr>
      <w:keepNext/>
      <w:keepLines/>
      <w:spacing w:before="240" w:after="120"/>
      <w:outlineLvl w:val="3"/>
    </w:pPr>
    <w:rPr>
      <w:rFonts w:ascii="Calibri" w:hAnsi="Calibri" w:eastAsia="宋体" w:cs="宋体"/>
      <w:b/>
      <w:bCs/>
      <w:sz w:val="28"/>
      <w:szCs w:val="28"/>
    </w:rPr>
  </w:style>
  <w:style w:type="paragraph" w:customStyle="1" w:styleId="497">
    <w:name w:val="Retrait 1"/>
    <w:basedOn w:val="1"/>
    <w:qFormat/>
    <w:uiPriority w:val="0"/>
    <w:pPr>
      <w:widowControl/>
      <w:overflowPunct w:val="0"/>
      <w:autoSpaceDE w:val="0"/>
      <w:autoSpaceDN w:val="0"/>
      <w:adjustRightInd w:val="0"/>
      <w:spacing w:before="120" w:line="240" w:lineRule="auto"/>
      <w:ind w:left="851"/>
      <w:textAlignment w:val="baseline"/>
    </w:pPr>
    <w:rPr>
      <w:rFonts w:ascii="Arial" w:hAnsi="Arial" w:eastAsia="宋体" w:cs="Times New Roman"/>
      <w:kern w:val="0"/>
      <w:sz w:val="20"/>
      <w:szCs w:val="20"/>
      <w:lang w:val="en-GB"/>
    </w:rPr>
  </w:style>
  <w:style w:type="paragraph" w:customStyle="1" w:styleId="498">
    <w:name w:val="Char Char Char Char Char Char1 Char"/>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499">
    <w:name w:val="表格文字"/>
    <w:basedOn w:val="1"/>
    <w:next w:val="363"/>
    <w:qFormat/>
    <w:uiPriority w:val="0"/>
    <w:pPr>
      <w:overflowPunct w:val="0"/>
      <w:spacing w:before="20" w:after="20" w:line="240" w:lineRule="auto"/>
    </w:pPr>
    <w:rPr>
      <w:rFonts w:hint="eastAsia" w:ascii="Century Gothic" w:hAnsi="Century Gothic" w:eastAsia="宋体" w:cs="Times New Roman"/>
      <w:kern w:val="1"/>
      <w:sz w:val="20"/>
      <w:szCs w:val="20"/>
      <w:lang w:eastAsia="ar-SA"/>
    </w:rPr>
  </w:style>
  <w:style w:type="paragraph" w:customStyle="1" w:styleId="50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Calibri" w:eastAsia="宋体" w:cs="宋体"/>
      <w:color w:val="000000"/>
      <w:kern w:val="0"/>
      <w:sz w:val="14"/>
      <w:szCs w:val="14"/>
    </w:rPr>
  </w:style>
  <w:style w:type="paragraph" w:customStyle="1" w:styleId="501">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502">
    <w:name w:val="31a（正文）章标题"/>
    <w:qFormat/>
    <w:uiPriority w:val="0"/>
    <w:pPr>
      <w:tabs>
        <w:tab w:val="left" w:pos="425"/>
      </w:tabs>
      <w:adjustRightInd w:val="0"/>
      <w:snapToGrid w:val="0"/>
      <w:spacing w:beforeLines="50" w:afterLines="50"/>
      <w:ind w:left="425" w:hanging="425"/>
      <w:jc w:val="both"/>
      <w:outlineLvl w:val="0"/>
    </w:pPr>
    <w:rPr>
      <w:rFonts w:ascii="仿宋_GB2312" w:hAnsi="Calibri" w:eastAsia="仿宋_GB2312" w:cs="Times New Roman"/>
      <w:b/>
      <w:sz w:val="28"/>
      <w:szCs w:val="28"/>
      <w:lang w:val="en-US" w:eastAsia="zh-CN" w:bidi="ar-SA"/>
    </w:rPr>
  </w:style>
  <w:style w:type="paragraph" w:customStyle="1" w:styleId="503">
    <w:name w:val="默认段落字体 Para Char Char Char Char Char Char Char"/>
    <w:basedOn w:val="1"/>
    <w:qFormat/>
    <w:uiPriority w:val="0"/>
    <w:pPr>
      <w:spacing w:line="240" w:lineRule="auto"/>
    </w:pPr>
    <w:rPr>
      <w:rFonts w:ascii="Calibri" w:hAnsi="Calibri" w:eastAsia="宋体" w:cs="Times New Roman"/>
    </w:rPr>
  </w:style>
  <w:style w:type="paragraph" w:customStyle="1" w:styleId="50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Calibri" w:eastAsia="宋体" w:cs="宋体"/>
      <w:b/>
      <w:bCs/>
      <w:color w:val="000000"/>
      <w:kern w:val="0"/>
      <w:sz w:val="14"/>
      <w:szCs w:val="14"/>
    </w:rPr>
  </w:style>
  <w:style w:type="paragraph" w:customStyle="1" w:styleId="505">
    <w:name w:val="样式 宋体 行距: 1.5 倍行距"/>
    <w:basedOn w:val="1"/>
    <w:qFormat/>
    <w:uiPriority w:val="0"/>
    <w:pPr>
      <w:ind w:firstLine="200" w:firstLineChars="200"/>
    </w:pPr>
    <w:rPr>
      <w:rFonts w:ascii="宋体" w:hAnsi="Calibri" w:eastAsia="宋体" w:cs="宋体"/>
      <w:szCs w:val="20"/>
    </w:rPr>
  </w:style>
  <w:style w:type="paragraph" w:customStyle="1" w:styleId="506">
    <w:name w:val="英文标号正文"/>
    <w:basedOn w:val="1"/>
    <w:qFormat/>
    <w:uiPriority w:val="0"/>
    <w:pPr>
      <w:widowControl/>
      <w:tabs>
        <w:tab w:val="left" w:pos="425"/>
        <w:tab w:val="left" w:pos="1545"/>
      </w:tabs>
      <w:autoSpaceDE w:val="0"/>
      <w:autoSpaceDN w:val="0"/>
      <w:spacing w:line="240" w:lineRule="auto"/>
      <w:ind w:left="1545" w:hanging="915"/>
    </w:pPr>
    <w:rPr>
      <w:rFonts w:ascii="Calibri" w:hAnsi="Calibri" w:eastAsia="宋体" w:cs="Times New Roman"/>
      <w:kern w:val="0"/>
      <w:szCs w:val="20"/>
    </w:rPr>
  </w:style>
  <w:style w:type="paragraph" w:customStyle="1" w:styleId="507">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eastAsia="宋体" w:cs="Times New Roman"/>
      <w:kern w:val="0"/>
      <w:sz w:val="21"/>
      <w:szCs w:val="20"/>
    </w:rPr>
  </w:style>
  <w:style w:type="paragraph" w:customStyle="1" w:styleId="508">
    <w:name w:val="xl49"/>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509">
    <w:name w:val="正文段落"/>
    <w:basedOn w:val="1"/>
    <w:qFormat/>
    <w:uiPriority w:val="0"/>
    <w:pPr>
      <w:spacing w:line="579" w:lineRule="exact"/>
    </w:pPr>
    <w:rPr>
      <w:rFonts w:ascii="Calibri" w:hAnsi="Calibri" w:eastAsia="方正仿宋_GBK" w:cs="Times New Roman"/>
      <w:sz w:val="32"/>
    </w:rPr>
  </w:style>
  <w:style w:type="paragraph" w:customStyle="1" w:styleId="510">
    <w:name w:val="List Paragraph1"/>
    <w:basedOn w:val="1"/>
    <w:qFormat/>
    <w:uiPriority w:val="0"/>
    <w:pPr>
      <w:tabs>
        <w:tab w:val="right" w:pos="-2120"/>
      </w:tabs>
      <w:adjustRightInd w:val="0"/>
      <w:spacing w:line="312" w:lineRule="atLeast"/>
      <w:ind w:firstLine="200" w:firstLineChars="200"/>
      <w:textAlignment w:val="baseline"/>
    </w:pPr>
    <w:rPr>
      <w:rFonts w:ascii="Calibri" w:hAnsi="Calibri" w:eastAsia="仿宋_GB2312" w:cs="Times New Roman"/>
      <w:kern w:val="0"/>
      <w:sz w:val="28"/>
      <w:szCs w:val="20"/>
    </w:rPr>
  </w:style>
  <w:style w:type="paragraph" w:customStyle="1" w:styleId="511">
    <w:name w:val="标书原文"/>
    <w:basedOn w:val="1"/>
    <w:qFormat/>
    <w:uiPriority w:val="0"/>
    <w:pPr>
      <w:ind w:firstLine="454"/>
    </w:pPr>
    <w:rPr>
      <w:rFonts w:ascii="宋体" w:hAnsi="宋体" w:eastAsia="宋体" w:cs="Times New Roman"/>
      <w:color w:val="000000"/>
      <w:kern w:val="1"/>
      <w:szCs w:val="20"/>
    </w:rPr>
  </w:style>
  <w:style w:type="paragraph" w:customStyle="1" w:styleId="512">
    <w:name w:val="Char Char Char Char Char Char Char1"/>
    <w:basedOn w:val="1"/>
    <w:qFormat/>
    <w:uiPriority w:val="0"/>
    <w:pPr>
      <w:spacing w:line="240" w:lineRule="auto"/>
    </w:pPr>
    <w:rPr>
      <w:rFonts w:ascii="Calibri" w:hAnsi="Calibri" w:eastAsia="宋体" w:cs="Times New Roman"/>
      <w:sz w:val="21"/>
    </w:rPr>
  </w:style>
  <w:style w:type="paragraph" w:customStyle="1" w:styleId="513">
    <w:name w:val="font10"/>
    <w:basedOn w:val="1"/>
    <w:qFormat/>
    <w:uiPriority w:val="0"/>
    <w:pPr>
      <w:widowControl/>
      <w:spacing w:before="100" w:beforeAutospacing="1" w:after="100" w:afterAutospacing="1" w:line="240" w:lineRule="auto"/>
      <w:jc w:val="left"/>
    </w:pPr>
    <w:rPr>
      <w:rFonts w:ascii="宋体" w:hAnsi="Calibri" w:eastAsia="宋体" w:cs="宋体"/>
      <w:kern w:val="0"/>
      <w:sz w:val="20"/>
      <w:szCs w:val="20"/>
    </w:rPr>
  </w:style>
  <w:style w:type="paragraph" w:customStyle="1" w:styleId="514">
    <w:name w:val="Char2"/>
    <w:basedOn w:val="1"/>
    <w:qFormat/>
    <w:uiPriority w:val="0"/>
    <w:pPr>
      <w:tabs>
        <w:tab w:val="left" w:pos="425"/>
      </w:tabs>
      <w:spacing w:line="240" w:lineRule="auto"/>
      <w:ind w:left="425" w:hanging="425"/>
    </w:pPr>
    <w:rPr>
      <w:rFonts w:ascii="Calibri" w:hAnsi="Calibri" w:eastAsia="宋体" w:cs="Times New Roman"/>
    </w:rPr>
  </w:style>
  <w:style w:type="paragraph" w:customStyle="1" w:styleId="515">
    <w:name w:val="图表文字"/>
    <w:qFormat/>
    <w:uiPriority w:val="0"/>
    <w:rPr>
      <w:rFonts w:ascii="Calibri" w:hAnsi="Calibri" w:eastAsia="宋体" w:cs="Times New Roman"/>
      <w:sz w:val="21"/>
      <w:szCs w:val="21"/>
      <w:lang w:val="en-US" w:eastAsia="zh-CN" w:bidi="ar-SA"/>
    </w:rPr>
  </w:style>
  <w:style w:type="paragraph" w:customStyle="1" w:styleId="516">
    <w:name w:val="Char1 Char Char Char"/>
    <w:basedOn w:val="1"/>
    <w:qFormat/>
    <w:uiPriority w:val="0"/>
    <w:pPr>
      <w:spacing w:line="240" w:lineRule="auto"/>
    </w:pPr>
    <w:rPr>
      <w:rFonts w:ascii="Tahoma" w:hAnsi="Tahoma" w:eastAsia="宋体" w:cs="Times New Roman"/>
      <w:szCs w:val="20"/>
    </w:rPr>
  </w:style>
  <w:style w:type="paragraph" w:customStyle="1" w:styleId="51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518">
    <w:name w:val="批注主题1"/>
    <w:basedOn w:val="22"/>
    <w:next w:val="22"/>
    <w:qFormat/>
    <w:uiPriority w:val="0"/>
    <w:pPr>
      <w:spacing w:line="240" w:lineRule="auto"/>
    </w:pPr>
    <w:rPr>
      <w:rFonts w:ascii="Calibri" w:hAnsi="Calibri" w:eastAsia="宋体" w:cs="Times New Roman"/>
      <w:b/>
      <w:bCs/>
      <w:kern w:val="0"/>
      <w:sz w:val="20"/>
      <w:szCs w:val="20"/>
    </w:rPr>
  </w:style>
  <w:style w:type="paragraph" w:customStyle="1" w:styleId="519">
    <w:name w:val="±í¸ñÎÄ±¾"/>
    <w:basedOn w:val="1"/>
    <w:qFormat/>
    <w:uiPriority w:val="0"/>
    <w:pPr>
      <w:widowControl/>
      <w:tabs>
        <w:tab w:val="decimal" w:pos="0"/>
      </w:tabs>
      <w:overflowPunct w:val="0"/>
      <w:autoSpaceDE w:val="0"/>
      <w:autoSpaceDN w:val="0"/>
      <w:adjustRightInd w:val="0"/>
      <w:spacing w:line="240" w:lineRule="auto"/>
      <w:textAlignment w:val="baseline"/>
    </w:pPr>
    <w:rPr>
      <w:rFonts w:ascii="Calibri" w:hAnsi="Calibri" w:eastAsia="宋体" w:cs="Times New Roman"/>
      <w:kern w:val="0"/>
      <w:szCs w:val="20"/>
    </w:rPr>
  </w:style>
  <w:style w:type="paragraph" w:customStyle="1" w:styleId="520">
    <w:name w:val="表格1"/>
    <w:basedOn w:val="1"/>
    <w:qFormat/>
    <w:uiPriority w:val="0"/>
    <w:pPr>
      <w:tabs>
        <w:tab w:val="left" w:pos="0"/>
      </w:tabs>
      <w:adjustRightInd w:val="0"/>
      <w:snapToGrid w:val="0"/>
      <w:spacing w:line="360" w:lineRule="atLeast"/>
      <w:jc w:val="center"/>
      <w:textAlignment w:val="baseline"/>
    </w:pPr>
    <w:rPr>
      <w:rFonts w:ascii="Calibri" w:hAnsi="Calibri" w:eastAsia="宋体" w:cs="Times New Roman"/>
      <w:kern w:val="0"/>
      <w:sz w:val="21"/>
      <w:szCs w:val="21"/>
    </w:rPr>
  </w:style>
  <w:style w:type="paragraph" w:customStyle="1" w:styleId="521">
    <w:name w:val="收函单位"/>
    <w:basedOn w:val="445"/>
    <w:qFormat/>
    <w:uiPriority w:val="0"/>
  </w:style>
  <w:style w:type="paragraph" w:customStyle="1" w:styleId="522">
    <w:name w:val="tll"/>
    <w:basedOn w:val="1"/>
    <w:qFormat/>
    <w:uiPriority w:val="0"/>
    <w:pPr>
      <w:autoSpaceDE w:val="0"/>
      <w:autoSpaceDN w:val="0"/>
      <w:adjustRightInd w:val="0"/>
      <w:spacing w:line="240" w:lineRule="auto"/>
      <w:jc w:val="left"/>
      <w:textAlignment w:val="baseline"/>
    </w:pPr>
    <w:rPr>
      <w:rFonts w:ascii="仿宋_GB2312" w:hAnsi="Arial" w:eastAsia="仿宋_GB2312" w:cs="Times New Roman"/>
      <w:kern w:val="0"/>
      <w:sz w:val="21"/>
      <w:szCs w:val="21"/>
    </w:rPr>
  </w:style>
  <w:style w:type="paragraph" w:customStyle="1" w:styleId="52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rPr>
  </w:style>
  <w:style w:type="paragraph" w:customStyle="1" w:styleId="5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525">
    <w:name w:val="Char1 Char Char Char Char Char Char1"/>
    <w:basedOn w:val="1"/>
    <w:qFormat/>
    <w:uiPriority w:val="0"/>
    <w:pPr>
      <w:tabs>
        <w:tab w:val="left" w:pos="360"/>
      </w:tabs>
      <w:spacing w:line="240" w:lineRule="auto"/>
      <w:ind w:left="360" w:hanging="360"/>
    </w:pPr>
    <w:rPr>
      <w:rFonts w:ascii="Calibri" w:hAnsi="Calibri" w:eastAsia="宋体" w:cs="Times New Roman"/>
    </w:rPr>
  </w:style>
  <w:style w:type="paragraph" w:customStyle="1" w:styleId="526">
    <w:name w:val="xl73"/>
    <w:basedOn w:val="1"/>
    <w:qFormat/>
    <w:uiPriority w:val="0"/>
    <w:pPr>
      <w:widowControl/>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5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Calibri" w:eastAsia="宋体" w:cs="宋体"/>
      <w:kern w:val="0"/>
      <w:sz w:val="20"/>
      <w:szCs w:val="20"/>
    </w:rPr>
  </w:style>
  <w:style w:type="paragraph" w:customStyle="1" w:styleId="52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Calibri" w:eastAsia="宋体" w:cs="宋体"/>
      <w:kern w:val="0"/>
      <w:sz w:val="14"/>
      <w:szCs w:val="14"/>
    </w:rPr>
  </w:style>
  <w:style w:type="paragraph" w:customStyle="1" w:styleId="529">
    <w:name w:val="抄送机关"/>
    <w:basedOn w:val="1"/>
    <w:qFormat/>
    <w:uiPriority w:val="0"/>
    <w:pPr>
      <w:spacing w:line="500" w:lineRule="exact"/>
    </w:pPr>
    <w:rPr>
      <w:rFonts w:ascii="仿宋_GB2312" w:hAnsi="Calibri" w:eastAsia="仿宋_GB2312" w:cs="Times New Roman"/>
      <w:sz w:val="32"/>
      <w:szCs w:val="32"/>
    </w:rPr>
  </w:style>
  <w:style w:type="paragraph" w:customStyle="1" w:styleId="530">
    <w:name w:val="目录文字"/>
    <w:basedOn w:val="1"/>
    <w:qFormat/>
    <w:uiPriority w:val="0"/>
    <w:pPr>
      <w:widowControl/>
      <w:spacing w:line="480" w:lineRule="auto"/>
      <w:jc w:val="left"/>
    </w:pPr>
    <w:rPr>
      <w:rFonts w:ascii="宋体" w:hAnsi="宋体" w:eastAsia="宋体" w:cs="Times New Roman"/>
      <w:kern w:val="0"/>
      <w:szCs w:val="20"/>
    </w:rPr>
  </w:style>
  <w:style w:type="paragraph" w:customStyle="1" w:styleId="531">
    <w:name w:val="正文21"/>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5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jc w:val="left"/>
    </w:pPr>
    <w:rPr>
      <w:rFonts w:ascii="Courier New" w:hAnsi="Courier New" w:eastAsia="宋体" w:cs="Times New Roman"/>
      <w:kern w:val="0"/>
      <w:sz w:val="20"/>
      <w:szCs w:val="20"/>
    </w:rPr>
  </w:style>
  <w:style w:type="paragraph" w:customStyle="1" w:styleId="533">
    <w:name w:val="表格标题1"/>
    <w:basedOn w:val="383"/>
    <w:qFormat/>
    <w:uiPriority w:val="0"/>
    <w:pPr>
      <w:tabs>
        <w:tab w:val="left" w:pos="855"/>
      </w:tabs>
      <w:ind w:left="855" w:hanging="360"/>
      <w:jc w:val="both"/>
      <w:textAlignment w:val="bottom"/>
    </w:pPr>
    <w:rPr>
      <w:rFonts w:ascii="Times New Roman"/>
      <w:sz w:val="21"/>
      <w:szCs w:val="21"/>
    </w:rPr>
  </w:style>
  <w:style w:type="paragraph" w:customStyle="1" w:styleId="534">
    <w:name w:val="样式 标题 1合同标题H1PIM 1h11Header 1Heading 0Header1标书1L1boc..."/>
    <w:basedOn w:val="3"/>
    <w:qFormat/>
    <w:uiPriority w:val="0"/>
    <w:pPr>
      <w:numPr>
        <w:numId w:val="0"/>
      </w:numPr>
      <w:spacing w:before="100" w:beforeAutospacing="1" w:after="100" w:afterAutospacing="1" w:line="480" w:lineRule="auto"/>
      <w:jc w:val="center"/>
    </w:pPr>
    <w:rPr>
      <w:rFonts w:ascii="Calibri" w:hAnsi="Calibri" w:eastAsia="黑体" w:cs="宋体"/>
      <w:szCs w:val="20"/>
    </w:rPr>
  </w:style>
  <w:style w:type="paragraph" w:customStyle="1" w:styleId="535">
    <w:name w:val="4"/>
    <w:basedOn w:val="1"/>
    <w:next w:val="1"/>
    <w:qFormat/>
    <w:uiPriority w:val="0"/>
    <w:pPr>
      <w:spacing w:line="240" w:lineRule="auto"/>
    </w:pPr>
    <w:rPr>
      <w:rFonts w:ascii="Calibri" w:hAnsi="Calibri" w:eastAsia="宋体" w:cs="Times New Roman"/>
      <w:sz w:val="21"/>
    </w:rPr>
  </w:style>
  <w:style w:type="paragraph" w:customStyle="1" w:styleId="536">
    <w:name w:val="表格正文2"/>
    <w:basedOn w:val="1"/>
    <w:qFormat/>
    <w:uiPriority w:val="0"/>
    <w:pPr>
      <w:adjustRightInd w:val="0"/>
      <w:snapToGrid w:val="0"/>
      <w:spacing w:line="400" w:lineRule="atLeast"/>
      <w:jc w:val="left"/>
    </w:pPr>
    <w:rPr>
      <w:rFonts w:ascii="Calibri" w:hAnsi="Calibri" w:eastAsia="宋体" w:cs="Times New Roman"/>
      <w:szCs w:val="20"/>
    </w:rPr>
  </w:style>
  <w:style w:type="paragraph" w:customStyle="1" w:styleId="537">
    <w:name w:val="序言中的项目"/>
    <w:basedOn w:val="1"/>
    <w:qFormat/>
    <w:uiPriority w:val="0"/>
    <w:pPr>
      <w:tabs>
        <w:tab w:val="left" w:pos="1781"/>
      </w:tabs>
      <w:spacing w:line="240" w:lineRule="auto"/>
      <w:ind w:left="1781" w:hanging="420"/>
    </w:pPr>
    <w:rPr>
      <w:rFonts w:ascii="Calibri" w:hAnsi="Calibri" w:eastAsia="宋体" w:cs="Times New Roman"/>
      <w:sz w:val="21"/>
    </w:rPr>
  </w:style>
  <w:style w:type="paragraph" w:customStyle="1" w:styleId="5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5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2"/>
      <w:szCs w:val="22"/>
    </w:rPr>
  </w:style>
  <w:style w:type="paragraph" w:customStyle="1" w:styleId="540">
    <w:name w:val="Body Text 21"/>
    <w:basedOn w:val="1"/>
    <w:qFormat/>
    <w:uiPriority w:val="0"/>
    <w:pPr>
      <w:adjustRightInd w:val="0"/>
      <w:spacing w:line="240" w:lineRule="exact"/>
      <w:textAlignment w:val="baseline"/>
    </w:pPr>
    <w:rPr>
      <w:rFonts w:ascii="宋体" w:hAnsi="Calibri" w:eastAsia="宋体" w:cs="Times New Roman"/>
      <w:kern w:val="0"/>
      <w:sz w:val="18"/>
      <w:szCs w:val="20"/>
    </w:rPr>
  </w:style>
  <w:style w:type="paragraph" w:customStyle="1" w:styleId="541">
    <w:name w:val="文本块1"/>
    <w:basedOn w:val="1"/>
    <w:qFormat/>
    <w:uiPriority w:val="0"/>
    <w:pPr>
      <w:spacing w:after="120" w:line="240" w:lineRule="auto"/>
      <w:ind w:left="700" w:leftChars="700" w:right="700" w:rightChars="700"/>
    </w:pPr>
    <w:rPr>
      <w:rFonts w:ascii="Calibri" w:hAnsi="Calibri" w:eastAsia="宋体" w:cs="Times New Roman"/>
      <w:sz w:val="21"/>
      <w:szCs w:val="21"/>
    </w:rPr>
  </w:style>
  <w:style w:type="paragraph" w:customStyle="1" w:styleId="542">
    <w:name w:val="标书正文"/>
    <w:basedOn w:val="1"/>
    <w:qFormat/>
    <w:uiPriority w:val="0"/>
    <w:pPr>
      <w:spacing w:line="300" w:lineRule="auto"/>
      <w:ind w:firstLine="480" w:firstLineChars="200"/>
    </w:pPr>
    <w:rPr>
      <w:rFonts w:ascii="Calibri" w:hAnsi="Calibri" w:eastAsia="宋体" w:cs="Times New Roman"/>
    </w:rPr>
  </w:style>
  <w:style w:type="paragraph" w:customStyle="1" w:styleId="54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Calibri" w:eastAsia="宋体" w:cs="宋体"/>
      <w:kern w:val="0"/>
      <w:sz w:val="14"/>
      <w:szCs w:val="14"/>
    </w:rPr>
  </w:style>
  <w:style w:type="paragraph" w:customStyle="1" w:styleId="545">
    <w:name w:val="Char Char Char Char1"/>
    <w:basedOn w:val="1"/>
    <w:qFormat/>
    <w:uiPriority w:val="0"/>
    <w:pPr>
      <w:adjustRightInd w:val="0"/>
      <w:snapToGrid w:val="0"/>
      <w:ind w:firstLine="200" w:firstLineChars="200"/>
    </w:pPr>
    <w:rPr>
      <w:rFonts w:ascii="Calibri" w:hAnsi="Calibri" w:eastAsia="仿宋_GB2312" w:cs="Times New Roman"/>
      <w:sz w:val="28"/>
      <w:szCs w:val="21"/>
    </w:rPr>
  </w:style>
  <w:style w:type="paragraph" w:customStyle="1" w:styleId="546">
    <w:name w:val="TOC 标题1"/>
    <w:basedOn w:val="3"/>
    <w:next w:val="1"/>
    <w:qFormat/>
    <w:uiPriority w:val="39"/>
    <w:pPr>
      <w:widowControl/>
      <w:numPr>
        <w:numId w:val="0"/>
      </w:numPr>
      <w:spacing w:before="480" w:after="0" w:line="276" w:lineRule="auto"/>
      <w:jc w:val="left"/>
      <w:outlineLvl w:val="9"/>
    </w:pPr>
    <w:rPr>
      <w:rFonts w:ascii="Cambria" w:hAnsi="Cambria" w:eastAsia="宋体" w:cs="Times New Roman"/>
      <w:color w:val="365F91"/>
      <w:kern w:val="0"/>
      <w:sz w:val="28"/>
      <w:szCs w:val="28"/>
    </w:rPr>
  </w:style>
  <w:style w:type="paragraph" w:customStyle="1" w:styleId="547">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2"/>
      <w:szCs w:val="22"/>
    </w:rPr>
  </w:style>
  <w:style w:type="paragraph" w:customStyle="1" w:styleId="54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eastAsia="宋体" w:cs="Times New Roman"/>
      <w:kern w:val="0"/>
      <w:sz w:val="21"/>
      <w:szCs w:val="20"/>
    </w:rPr>
  </w:style>
  <w:style w:type="paragraph" w:customStyle="1" w:styleId="54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宋体" w:cs="Times New Roman"/>
      <w:kern w:val="0"/>
    </w:rPr>
  </w:style>
  <w:style w:type="paragraph" w:customStyle="1" w:styleId="550">
    <w:name w:val="Char Char Char Char"/>
    <w:basedOn w:val="1"/>
    <w:qFormat/>
    <w:uiPriority w:val="0"/>
    <w:pPr>
      <w:widowControl/>
      <w:spacing w:after="160" w:line="240" w:lineRule="exact"/>
      <w:jc w:val="left"/>
    </w:pPr>
    <w:rPr>
      <w:rFonts w:ascii="Verdana" w:hAnsi="Verdana" w:eastAsia="宋体" w:cs="Times New Roman"/>
      <w:kern w:val="0"/>
      <w:sz w:val="20"/>
      <w:lang w:eastAsia="en-US"/>
    </w:rPr>
  </w:style>
  <w:style w:type="paragraph" w:customStyle="1" w:styleId="55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b/>
      <w:bCs/>
      <w:kern w:val="0"/>
      <w:sz w:val="36"/>
      <w:szCs w:val="36"/>
    </w:rPr>
  </w:style>
  <w:style w:type="paragraph" w:customStyle="1" w:styleId="552">
    <w:name w:val="my正文样式"/>
    <w:basedOn w:val="1"/>
    <w:qFormat/>
    <w:uiPriority w:val="0"/>
    <w:pPr>
      <w:suppressAutoHyphens/>
      <w:ind w:firstLine="200" w:firstLineChars="200"/>
    </w:pPr>
    <w:rPr>
      <w:rFonts w:ascii="仿宋_GB2312" w:hAnsi="Calibri" w:eastAsia="仿宋_GB2312" w:cs="Times New Roman"/>
      <w:kern w:val="0"/>
      <w:szCs w:val="21"/>
    </w:rPr>
  </w:style>
  <w:style w:type="paragraph" w:customStyle="1" w:styleId="553">
    <w:name w:val="1样式5"/>
    <w:basedOn w:val="358"/>
    <w:qFormat/>
    <w:uiPriority w:val="0"/>
    <w:pPr>
      <w:tabs>
        <w:tab w:val="left" w:pos="945"/>
        <w:tab w:val="clear" w:pos="1740"/>
      </w:tabs>
      <w:adjustRightInd w:val="0"/>
      <w:snapToGrid w:val="0"/>
      <w:spacing w:beforeLines="0" w:afterLines="0"/>
      <w:jc w:val="center"/>
    </w:pPr>
    <w:rPr>
      <w:rFonts w:eastAsia="黑体"/>
      <w:b/>
      <w:sz w:val="32"/>
      <w:szCs w:val="32"/>
    </w:rPr>
  </w:style>
  <w:style w:type="paragraph" w:customStyle="1" w:styleId="554">
    <w:name w:val="Char Char Char Char Char Char Char2"/>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555">
    <w:name w:val="font7"/>
    <w:basedOn w:val="1"/>
    <w:qFormat/>
    <w:uiPriority w:val="0"/>
    <w:pPr>
      <w:widowControl/>
      <w:spacing w:before="100" w:beforeAutospacing="1" w:after="100" w:afterAutospacing="1" w:line="240" w:lineRule="auto"/>
      <w:jc w:val="left"/>
    </w:pPr>
    <w:rPr>
      <w:rFonts w:ascii="宋体" w:hAnsi="Calibri" w:eastAsia="宋体" w:cs="宋体"/>
      <w:kern w:val="0"/>
      <w:sz w:val="18"/>
      <w:szCs w:val="18"/>
    </w:rPr>
  </w:style>
  <w:style w:type="paragraph" w:customStyle="1" w:styleId="556">
    <w:name w:val="aliang正文"/>
    <w:basedOn w:val="1"/>
    <w:qFormat/>
    <w:uiPriority w:val="0"/>
    <w:pPr>
      <w:spacing w:beforeLines="50" w:afterLines="50"/>
      <w:ind w:firstLine="200" w:firstLineChars="200"/>
      <w:jc w:val="left"/>
    </w:pPr>
    <w:rPr>
      <w:rFonts w:ascii="宋体" w:hAnsi="Calibri" w:eastAsia="宋体" w:cs="宋体"/>
    </w:rPr>
  </w:style>
  <w:style w:type="paragraph" w:customStyle="1" w:styleId="557">
    <w:name w:val="复选框1"/>
    <w:basedOn w:val="1"/>
    <w:qFormat/>
    <w:uiPriority w:val="0"/>
    <w:pPr>
      <w:widowControl/>
      <w:spacing w:before="360" w:after="360" w:line="240" w:lineRule="auto"/>
      <w:jc w:val="left"/>
    </w:pPr>
    <w:rPr>
      <w:rFonts w:ascii="Calibri" w:hAnsi="Calibri" w:eastAsia="宋体" w:cs="Times New Roman"/>
      <w:kern w:val="0"/>
      <w:sz w:val="20"/>
      <w:szCs w:val="20"/>
    </w:rPr>
  </w:style>
  <w:style w:type="paragraph" w:customStyle="1" w:styleId="558">
    <w:name w:val="标题3"/>
    <w:basedOn w:val="6"/>
    <w:qFormat/>
    <w:uiPriority w:val="0"/>
    <w:pPr>
      <w:keepLines w:val="0"/>
      <w:widowControl/>
      <w:numPr>
        <w:ilvl w:val="0"/>
        <w:numId w:val="0"/>
      </w:numPr>
      <w:tabs>
        <w:tab w:val="left" w:pos="1326"/>
      </w:tabs>
      <w:spacing w:after="120" w:line="240" w:lineRule="auto"/>
      <w:ind w:left="342" w:firstLine="198"/>
      <w:jc w:val="left"/>
    </w:pPr>
    <w:rPr>
      <w:rFonts w:ascii="Arial" w:hAnsi="Arial" w:eastAsia="宋体" w:cs="Arial"/>
      <w:kern w:val="0"/>
      <w:sz w:val="24"/>
      <w:szCs w:val="24"/>
    </w:rPr>
  </w:style>
  <w:style w:type="paragraph" w:customStyle="1" w:styleId="559">
    <w:name w:val="xl47"/>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Calibri" w:eastAsia="宋体" w:cs="Times New Roman"/>
      <w:kern w:val="0"/>
      <w:sz w:val="22"/>
      <w:szCs w:val="22"/>
    </w:rPr>
  </w:style>
  <w:style w:type="paragraph" w:customStyle="1" w:styleId="560">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宋体" w:cs="Times New Roman"/>
      <w:kern w:val="0"/>
      <w:sz w:val="20"/>
      <w:szCs w:val="20"/>
    </w:rPr>
  </w:style>
  <w:style w:type="paragraph" w:customStyle="1" w:styleId="561">
    <w:name w:val="Char Char Char Char Char Char Char Char Char Char Char"/>
    <w:basedOn w:val="1"/>
    <w:qFormat/>
    <w:uiPriority w:val="0"/>
    <w:pPr>
      <w:spacing w:line="240" w:lineRule="auto"/>
    </w:pPr>
    <w:rPr>
      <w:rFonts w:ascii="Tahoma" w:hAnsi="Tahoma" w:eastAsia="宋体" w:cs="Times New Roman"/>
      <w:szCs w:val="20"/>
    </w:rPr>
  </w:style>
  <w:style w:type="paragraph" w:customStyle="1" w:styleId="56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Cs w:val="20"/>
    </w:rPr>
  </w:style>
  <w:style w:type="paragraph" w:customStyle="1" w:styleId="563">
    <w:name w:val="cnfont"/>
    <w:basedOn w:val="1"/>
    <w:qFormat/>
    <w:uiPriority w:val="0"/>
    <w:pPr>
      <w:widowControl/>
      <w:spacing w:before="100" w:beforeAutospacing="1" w:after="100" w:afterAutospacing="1" w:line="240" w:lineRule="auto"/>
      <w:jc w:val="left"/>
    </w:pPr>
    <w:rPr>
      <w:rFonts w:ascii="宋体" w:hAnsi="Calibri" w:eastAsia="宋体" w:cs="Times New Roman"/>
      <w:color w:val="000000"/>
      <w:kern w:val="0"/>
    </w:rPr>
  </w:style>
  <w:style w:type="paragraph" w:customStyle="1" w:styleId="5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2"/>
      <w:szCs w:val="22"/>
    </w:rPr>
  </w:style>
  <w:style w:type="paragraph" w:customStyle="1" w:styleId="565">
    <w:name w:val="my正文"/>
    <w:basedOn w:val="1"/>
    <w:qFormat/>
    <w:uiPriority w:val="0"/>
    <w:pPr>
      <w:spacing w:beforeLines="25" w:afterLines="25"/>
      <w:ind w:firstLine="480" w:firstLineChars="200"/>
    </w:pPr>
    <w:rPr>
      <w:rFonts w:ascii="Calibri" w:hAnsi="Calibri" w:eastAsia="宋体" w:cs="Times New Roman"/>
      <w:kern w:val="0"/>
      <w:szCs w:val="20"/>
    </w:rPr>
  </w:style>
  <w:style w:type="paragraph" w:customStyle="1" w:styleId="566">
    <w:name w:val="1正文"/>
    <w:basedOn w:val="1"/>
    <w:qFormat/>
    <w:uiPriority w:val="0"/>
    <w:pPr>
      <w:adjustRightInd w:val="0"/>
      <w:spacing w:line="300" w:lineRule="auto"/>
      <w:ind w:firstLine="480"/>
      <w:textAlignment w:val="baseline"/>
    </w:pPr>
    <w:rPr>
      <w:rFonts w:ascii="Calibri" w:hAnsi="Calibri" w:eastAsia="仿宋_GB2312" w:cs="Times New Roman"/>
      <w:kern w:val="0"/>
      <w:szCs w:val="20"/>
    </w:rPr>
  </w:style>
  <w:style w:type="paragraph" w:customStyle="1" w:styleId="567">
    <w:name w:val="正文缩进21"/>
    <w:basedOn w:val="1"/>
    <w:qFormat/>
    <w:uiPriority w:val="0"/>
    <w:pPr>
      <w:adjustRightInd w:val="0"/>
      <w:spacing w:line="440" w:lineRule="exact"/>
      <w:ind w:firstLine="200" w:firstLineChars="200"/>
    </w:pPr>
    <w:rPr>
      <w:rFonts w:ascii="Calibri" w:hAnsi="Calibri" w:eastAsia="仿宋_GB2312" w:cs="Times New Roman"/>
      <w:sz w:val="28"/>
      <w:szCs w:val="28"/>
    </w:rPr>
  </w:style>
  <w:style w:type="paragraph" w:customStyle="1" w:styleId="568">
    <w:name w:val="_Style 195"/>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9">
    <w:name w:val="普通(网站)1"/>
    <w:basedOn w:val="1"/>
    <w:qFormat/>
    <w:uiPriority w:val="0"/>
    <w:pPr>
      <w:widowControl/>
      <w:spacing w:before="100" w:beforeAutospacing="1" w:after="100" w:afterAutospacing="1" w:line="240" w:lineRule="auto"/>
      <w:jc w:val="left"/>
    </w:pPr>
    <w:rPr>
      <w:rFonts w:ascii="宋体" w:hAnsi="Calibri" w:eastAsia="宋体" w:cs="宋体"/>
      <w:kern w:val="0"/>
    </w:rPr>
  </w:style>
  <w:style w:type="paragraph" w:customStyle="1" w:styleId="570">
    <w:name w:val="Char Char Char Char Char Char Char Char1"/>
    <w:basedOn w:val="1"/>
    <w:qFormat/>
    <w:uiPriority w:val="0"/>
    <w:pPr>
      <w:tabs>
        <w:tab w:val="left" w:pos="360"/>
      </w:tabs>
      <w:spacing w:line="240" w:lineRule="auto"/>
    </w:pPr>
    <w:rPr>
      <w:rFonts w:ascii="Calibri" w:hAnsi="Calibri" w:eastAsia="宋体" w:cs="Times New Roman"/>
    </w:rPr>
  </w:style>
  <w:style w:type="paragraph" w:customStyle="1" w:styleId="571">
    <w:name w:val="样式6"/>
    <w:basedOn w:val="3"/>
    <w:qFormat/>
    <w:uiPriority w:val="0"/>
    <w:pPr>
      <w:numPr>
        <w:numId w:val="0"/>
      </w:numPr>
      <w:tabs>
        <w:tab w:val="left" w:pos="1740"/>
      </w:tabs>
      <w:adjustRightInd w:val="0"/>
      <w:spacing w:beforeLines="5" w:afterLines="5" w:line="460" w:lineRule="exact"/>
      <w:jc w:val="center"/>
      <w:textAlignment w:val="baseline"/>
    </w:pPr>
    <w:rPr>
      <w:rFonts w:ascii="Calibri" w:hAnsi="Calibri" w:eastAsia="宋体" w:cs="Times New Roman"/>
      <w:b w:val="0"/>
      <w:bCs w:val="0"/>
    </w:rPr>
  </w:style>
  <w:style w:type="paragraph" w:customStyle="1" w:styleId="572">
    <w:name w:val="样式 标题 1 + 首行缩进:  2 字符 段前: 1 行 段后: 1 行"/>
    <w:basedOn w:val="3"/>
    <w:qFormat/>
    <w:uiPriority w:val="0"/>
    <w:pPr>
      <w:numPr>
        <w:numId w:val="0"/>
      </w:numPr>
      <w:tabs>
        <w:tab w:val="left" w:pos="945"/>
      </w:tabs>
      <w:spacing w:beforeLines="100" w:afterLines="100" w:line="240" w:lineRule="auto"/>
    </w:pPr>
    <w:rPr>
      <w:rFonts w:ascii="Calibri" w:hAnsi="Calibri" w:eastAsia="黑体" w:cs="Times New Roman"/>
      <w:b w:val="0"/>
      <w:bCs w:val="0"/>
      <w:sz w:val="28"/>
      <w:szCs w:val="20"/>
    </w:rPr>
  </w:style>
  <w:style w:type="paragraph" w:customStyle="1" w:styleId="573">
    <w:name w:val="列表 31"/>
    <w:basedOn w:val="1"/>
    <w:qFormat/>
    <w:uiPriority w:val="0"/>
    <w:pPr>
      <w:spacing w:line="240" w:lineRule="auto"/>
      <w:ind w:left="600" w:leftChars="400" w:hanging="200" w:hangingChars="200"/>
    </w:pPr>
    <w:rPr>
      <w:rFonts w:ascii="Calibri" w:hAnsi="Calibri" w:eastAsia="宋体" w:cs="Times New Roman"/>
      <w:sz w:val="21"/>
    </w:rPr>
  </w:style>
  <w:style w:type="paragraph" w:customStyle="1" w:styleId="574">
    <w:name w:val="日期1"/>
    <w:basedOn w:val="1"/>
    <w:next w:val="1"/>
    <w:qFormat/>
    <w:uiPriority w:val="0"/>
    <w:pPr>
      <w:autoSpaceDE w:val="0"/>
      <w:autoSpaceDN w:val="0"/>
      <w:adjustRightInd w:val="0"/>
      <w:spacing w:line="400" w:lineRule="atLeast"/>
      <w:jc w:val="left"/>
      <w:textAlignment w:val="baseline"/>
    </w:pPr>
    <w:rPr>
      <w:rFonts w:ascii="宋体" w:hAnsi="Calibri" w:eastAsia="宋体" w:cs="Times New Roman"/>
      <w:kern w:val="0"/>
      <w:szCs w:val="20"/>
    </w:rPr>
  </w:style>
  <w:style w:type="paragraph" w:customStyle="1" w:styleId="5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ascii="宋体" w:hAnsi="Calibri" w:eastAsia="宋体" w:cs="Times New Roman"/>
      <w:kern w:val="0"/>
      <w:sz w:val="22"/>
      <w:szCs w:val="22"/>
    </w:rPr>
  </w:style>
  <w:style w:type="paragraph" w:customStyle="1" w:styleId="576">
    <w:name w:val="Body"/>
    <w:basedOn w:val="1"/>
    <w:qFormat/>
    <w:uiPriority w:val="0"/>
    <w:pPr>
      <w:widowControl/>
      <w:tabs>
        <w:tab w:val="left" w:pos="1980"/>
      </w:tabs>
      <w:spacing w:before="80" w:after="80"/>
      <w:ind w:left="1259"/>
      <w:jc w:val="left"/>
    </w:pPr>
    <w:rPr>
      <w:rFonts w:ascii="Calibri" w:hAnsi="Calibri" w:eastAsia="宋体" w:cs="Times New Roman"/>
      <w:kern w:val="0"/>
      <w:sz w:val="21"/>
      <w:szCs w:val="21"/>
    </w:rPr>
  </w:style>
  <w:style w:type="paragraph" w:customStyle="1" w:styleId="577">
    <w:name w:val="tabletext"/>
    <w:basedOn w:val="1"/>
    <w:qFormat/>
    <w:uiPriority w:val="0"/>
    <w:pPr>
      <w:widowControl/>
      <w:spacing w:before="100" w:beforeAutospacing="1" w:after="100" w:afterAutospacing="1" w:line="240" w:lineRule="auto"/>
      <w:jc w:val="left"/>
    </w:pPr>
    <w:rPr>
      <w:rFonts w:ascii="宋体" w:hAnsi="宋体" w:eastAsia="宋体" w:cs="宋体"/>
      <w:kern w:val="0"/>
    </w:rPr>
  </w:style>
  <w:style w:type="paragraph" w:customStyle="1" w:styleId="578">
    <w:name w:val="标题2"/>
    <w:basedOn w:val="5"/>
    <w:qFormat/>
    <w:uiPriority w:val="0"/>
    <w:pPr>
      <w:keepLines w:val="0"/>
      <w:widowControl/>
      <w:numPr>
        <w:ilvl w:val="0"/>
        <w:numId w:val="0"/>
      </w:numPr>
      <w:tabs>
        <w:tab w:val="left" w:pos="1247"/>
        <w:tab w:val="left" w:pos="1326"/>
      </w:tabs>
      <w:spacing w:after="160" w:line="240" w:lineRule="auto"/>
      <w:ind w:left="1247" w:hanging="1247"/>
      <w:jc w:val="left"/>
    </w:pPr>
    <w:rPr>
      <w:rFonts w:ascii="Arial" w:hAnsi="Arial" w:eastAsia="宋体" w:cs="Arial"/>
      <w:spacing w:val="10"/>
      <w:kern w:val="28"/>
      <w:sz w:val="28"/>
      <w:szCs w:val="28"/>
    </w:rPr>
  </w:style>
  <w:style w:type="paragraph" w:customStyle="1" w:styleId="579">
    <w:name w:val="纯文本1"/>
    <w:basedOn w:val="1"/>
    <w:qFormat/>
    <w:uiPriority w:val="0"/>
    <w:pPr>
      <w:adjustRightInd w:val="0"/>
      <w:spacing w:line="240" w:lineRule="auto"/>
      <w:textAlignment w:val="baseline"/>
    </w:pPr>
    <w:rPr>
      <w:rFonts w:ascii="宋体" w:hAnsi="宋体" w:eastAsia="楷体_GB2312" w:cs="Times New Roman"/>
      <w:sz w:val="26"/>
      <w:szCs w:val="20"/>
    </w:rPr>
  </w:style>
  <w:style w:type="paragraph" w:customStyle="1" w:styleId="5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宋体" w:cs="Times New Roman"/>
      <w:kern w:val="0"/>
      <w:sz w:val="20"/>
      <w:szCs w:val="20"/>
    </w:rPr>
  </w:style>
  <w:style w:type="paragraph" w:customStyle="1" w:styleId="581">
    <w:name w:val="表文"/>
    <w:basedOn w:val="1"/>
    <w:qFormat/>
    <w:uiPriority w:val="0"/>
    <w:pPr>
      <w:spacing w:line="300" w:lineRule="auto"/>
      <w:jc w:val="center"/>
      <w:textAlignment w:val="baseline"/>
    </w:pPr>
    <w:rPr>
      <w:rFonts w:ascii="Calibri" w:hAnsi="Calibri" w:eastAsia="宋体" w:cs="Times New Roman"/>
      <w:kern w:val="0"/>
      <w:sz w:val="21"/>
      <w:szCs w:val="20"/>
    </w:rPr>
  </w:style>
  <w:style w:type="paragraph" w:customStyle="1" w:styleId="582">
    <w:name w:val="纯文本2"/>
    <w:basedOn w:val="1"/>
    <w:qFormat/>
    <w:uiPriority w:val="0"/>
    <w:pPr>
      <w:spacing w:line="240" w:lineRule="auto"/>
    </w:pPr>
    <w:rPr>
      <w:rFonts w:ascii="宋体" w:hAnsi="Calibri" w:eastAsia="宋体" w:cs="Times New Roman"/>
      <w:kern w:val="0"/>
      <w:sz w:val="20"/>
      <w:szCs w:val="21"/>
    </w:rPr>
  </w:style>
  <w:style w:type="paragraph" w:customStyle="1" w:styleId="583">
    <w:name w:val="xl95"/>
    <w:basedOn w:val="1"/>
    <w:qFormat/>
    <w:uiPriority w:val="0"/>
    <w:pPr>
      <w:widowControl/>
      <w:spacing w:before="100" w:beforeAutospacing="1" w:after="100" w:afterAutospacing="1" w:line="240" w:lineRule="auto"/>
      <w:jc w:val="center"/>
    </w:pPr>
    <w:rPr>
      <w:rFonts w:ascii="宋体" w:hAnsi="Calibri" w:eastAsia="宋体" w:cs="宋体"/>
      <w:color w:val="FF0000"/>
      <w:kern w:val="0"/>
      <w:sz w:val="14"/>
      <w:szCs w:val="14"/>
    </w:rPr>
  </w:style>
  <w:style w:type="paragraph" w:customStyle="1" w:styleId="58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Calibri" w:eastAsia="宋体" w:cs="宋体"/>
      <w:b/>
      <w:bCs/>
      <w:color w:val="000000"/>
      <w:kern w:val="0"/>
      <w:sz w:val="14"/>
      <w:szCs w:val="14"/>
    </w:rPr>
  </w:style>
  <w:style w:type="paragraph" w:customStyle="1" w:styleId="58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ascii="Calibri" w:hAnsi="Calibri" w:eastAsia="宋体" w:cs="Times New Roman"/>
      <w:kern w:val="0"/>
      <w:sz w:val="22"/>
      <w:szCs w:val="22"/>
    </w:rPr>
  </w:style>
  <w:style w:type="paragraph" w:customStyle="1" w:styleId="586">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hAnsi="Calibri" w:eastAsia="宋体" w:cs="Times New Roman"/>
      <w:kern w:val="0"/>
      <w:sz w:val="28"/>
      <w:szCs w:val="28"/>
      <w:lang w:eastAsia="en-US"/>
    </w:rPr>
  </w:style>
  <w:style w:type="paragraph" w:customStyle="1" w:styleId="587">
    <w:name w:val="Bullet"/>
    <w:basedOn w:val="1"/>
    <w:qFormat/>
    <w:uiPriority w:val="0"/>
    <w:pPr>
      <w:widowControl/>
      <w:adjustRightInd w:val="0"/>
      <w:spacing w:before="60" w:after="60" w:line="240" w:lineRule="auto"/>
      <w:ind w:left="742" w:leftChars="742" w:firstLine="2"/>
    </w:pPr>
    <w:rPr>
      <w:rFonts w:ascii="Arial" w:hAnsi="Arial" w:eastAsia="宋体" w:cs="Arial"/>
      <w:kern w:val="0"/>
    </w:rPr>
  </w:style>
  <w:style w:type="paragraph" w:customStyle="1" w:styleId="588">
    <w:name w:val="默认段落字体 Para Char Char Char Char"/>
    <w:basedOn w:val="1"/>
    <w:qFormat/>
    <w:uiPriority w:val="0"/>
    <w:pPr>
      <w:spacing w:line="240" w:lineRule="auto"/>
    </w:pPr>
    <w:rPr>
      <w:rFonts w:ascii="Calibri" w:hAnsi="Calibri" w:eastAsia="宋体" w:cs="Times New Roman"/>
      <w:sz w:val="21"/>
    </w:rPr>
  </w:style>
  <w:style w:type="paragraph" w:customStyle="1" w:styleId="589">
    <w:name w:val="正文缩进1"/>
    <w:basedOn w:val="1"/>
    <w:qFormat/>
    <w:uiPriority w:val="0"/>
    <w:pPr>
      <w:spacing w:line="240" w:lineRule="auto"/>
      <w:ind w:firstLine="567"/>
    </w:pPr>
    <w:rPr>
      <w:rFonts w:ascii="Calibri" w:hAnsi="Calibri" w:eastAsia="宋体" w:cs="Times New Roman"/>
      <w:spacing w:val="20"/>
      <w:szCs w:val="20"/>
    </w:rPr>
  </w:style>
  <w:style w:type="paragraph" w:customStyle="1" w:styleId="590">
    <w:name w:val="表上文字"/>
    <w:basedOn w:val="1"/>
    <w:qFormat/>
    <w:uiPriority w:val="0"/>
    <w:pPr>
      <w:adjustRightInd w:val="0"/>
      <w:snapToGrid w:val="0"/>
      <w:spacing w:before="60" w:after="60" w:line="312" w:lineRule="auto"/>
      <w:ind w:firstLine="200"/>
      <w:jc w:val="center"/>
    </w:pPr>
    <w:rPr>
      <w:rFonts w:ascii="Calibri" w:hAnsi="Calibri" w:eastAsia="宋体" w:cs="Times New Roman"/>
      <w:b/>
      <w:color w:val="000000"/>
      <w:szCs w:val="20"/>
    </w:rPr>
  </w:style>
  <w:style w:type="paragraph" w:customStyle="1" w:styleId="591">
    <w:name w:val="正文首行缩进2"/>
    <w:basedOn w:val="2"/>
    <w:qFormat/>
    <w:uiPriority w:val="0"/>
    <w:pPr>
      <w:spacing w:line="240" w:lineRule="auto"/>
      <w:ind w:firstLine="100" w:firstLineChars="100"/>
    </w:pPr>
    <w:rPr>
      <w:rFonts w:ascii="Times New Roman" w:hAnsi="Calibri" w:eastAsia="宋体" w:cs="Times New Roman"/>
      <w:kern w:val="0"/>
      <w:sz w:val="20"/>
      <w:szCs w:val="20"/>
    </w:rPr>
  </w:style>
  <w:style w:type="paragraph" w:customStyle="1" w:styleId="5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593">
    <w:name w:val="简单回函地址"/>
    <w:basedOn w:val="1"/>
    <w:qFormat/>
    <w:uiPriority w:val="0"/>
    <w:pPr>
      <w:spacing w:line="240" w:lineRule="auto"/>
    </w:pPr>
    <w:rPr>
      <w:rFonts w:ascii="Calibri" w:hAnsi="Calibri" w:eastAsia="宋体" w:cs="Times New Roman"/>
      <w:snapToGrid w:val="0"/>
      <w:kern w:val="24"/>
      <w:sz w:val="21"/>
    </w:rPr>
  </w:style>
  <w:style w:type="paragraph" w:customStyle="1" w:styleId="594">
    <w:name w:val="样式 首行缩进:  2 字符2 + 居中"/>
    <w:basedOn w:val="391"/>
    <w:qFormat/>
    <w:uiPriority w:val="0"/>
    <w:pPr>
      <w:adjustRightInd/>
      <w:snapToGrid/>
      <w:ind w:firstLine="0" w:firstLineChars="0"/>
      <w:jc w:val="center"/>
    </w:pPr>
    <w:rPr>
      <w:sz w:val="28"/>
      <w:szCs w:val="20"/>
    </w:rPr>
  </w:style>
  <w:style w:type="paragraph" w:customStyle="1" w:styleId="595">
    <w:name w:val="总册目录"/>
    <w:basedOn w:val="1"/>
    <w:qFormat/>
    <w:uiPriority w:val="0"/>
    <w:pPr>
      <w:spacing w:line="240" w:lineRule="auto"/>
      <w:jc w:val="center"/>
    </w:pPr>
    <w:rPr>
      <w:rFonts w:ascii="华文中宋" w:hAnsi="华文中宋" w:eastAsia="华文中宋" w:cs="Times New Roman"/>
      <w:b/>
      <w:bCs/>
      <w:sz w:val="52"/>
    </w:rPr>
  </w:style>
  <w:style w:type="paragraph" w:customStyle="1" w:styleId="59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Calibri" w:hAnsi="Calibri" w:eastAsia="宋体" w:cs="Times New Roman"/>
      <w:kern w:val="0"/>
      <w:sz w:val="20"/>
      <w:szCs w:val="20"/>
    </w:rPr>
  </w:style>
  <w:style w:type="paragraph" w:customStyle="1" w:styleId="597">
    <w:name w:val="图表标题"/>
    <w:basedOn w:val="1"/>
    <w:next w:val="1"/>
    <w:qFormat/>
    <w:uiPriority w:val="0"/>
    <w:pPr>
      <w:widowControl/>
      <w:spacing w:before="100" w:beforeAutospacing="1" w:after="100" w:afterAutospacing="1"/>
      <w:ind w:left="720"/>
      <w:contextualSpacing/>
      <w:jc w:val="left"/>
    </w:pPr>
    <w:rPr>
      <w:rFonts w:ascii="Calibri" w:hAnsi="Calibri" w:eastAsia="宋体" w:cs="Times New Roman"/>
      <w:kern w:val="0"/>
    </w:rPr>
  </w:style>
  <w:style w:type="paragraph" w:customStyle="1" w:styleId="598">
    <w:name w:val="*正文"/>
    <w:basedOn w:val="1"/>
    <w:next w:val="1"/>
    <w:link w:val="600"/>
    <w:qFormat/>
    <w:uiPriority w:val="0"/>
    <w:pPr>
      <w:widowControl/>
      <w:ind w:firstLine="482"/>
    </w:pPr>
    <w:rPr>
      <w:rFonts w:ascii="微软雅黑" w:hAnsi="微软雅黑" w:eastAsia="微软雅黑" w:cs="Times New Roman"/>
      <w:sz w:val="21"/>
      <w:szCs w:val="21"/>
    </w:rPr>
  </w:style>
  <w:style w:type="paragraph" w:customStyle="1" w:styleId="599">
    <w:name w:val="列出段落4"/>
    <w:basedOn w:val="1"/>
    <w:qFormat/>
    <w:uiPriority w:val="0"/>
    <w:pPr>
      <w:spacing w:before="100" w:beforeAutospacing="1" w:after="100" w:afterAutospacing="1"/>
      <w:ind w:left="420" w:hanging="420"/>
    </w:pPr>
    <w:rPr>
      <w:rFonts w:ascii="Calibri" w:hAnsi="Calibri" w:eastAsia="宋体" w:cs="Times New Roman"/>
      <w:sz w:val="21"/>
      <w:szCs w:val="21"/>
    </w:rPr>
  </w:style>
  <w:style w:type="character" w:customStyle="1" w:styleId="600">
    <w:name w:val="*正文 Char"/>
    <w:link w:val="598"/>
    <w:qFormat/>
    <w:uiPriority w:val="0"/>
    <w:rPr>
      <w:rFonts w:ascii="微软雅黑" w:hAnsi="微软雅黑" w:eastAsia="微软雅黑"/>
      <w:kern w:val="2"/>
      <w:sz w:val="21"/>
      <w:szCs w:val="21"/>
    </w:rPr>
  </w:style>
  <w:style w:type="paragraph" w:customStyle="1" w:styleId="601">
    <w:name w:val="TOC 标题2"/>
    <w:basedOn w:val="3"/>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59254-AF23-44BE-AF42-63361F9638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273</Pages>
  <Words>26288</Words>
  <Characters>149848</Characters>
  <Lines>1248</Lines>
  <Paragraphs>351</Paragraphs>
  <TotalTime>44</TotalTime>
  <ScaleCrop>false</ScaleCrop>
  <LinksUpToDate>false</LinksUpToDate>
  <CharactersWithSpaces>175785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2022-04-02T10:19:00Z</dcterms:created>
  <dc:creator>丁 煜</dc:creator>
  <cp:lastModifiedBy>Administrator</cp:lastModifiedBy>
  <cp:lastPrinted>2022-03-29T03:52:00Z</cp:lastPrinted>
  <dcterms:modified xsi:type="dcterms:W3CDTF">2022-07-27T05:19:52Z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9C11DAA3A3DD4EEB9AFA313322E4D00F</vt:lpwstr>
  </property>
</Properties>
</file>